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D6791" w14:textId="77777777" w:rsidR="00F33885" w:rsidRDefault="002E2B03" w:rsidP="005D1F7D">
      <w:pPr>
        <w:spacing w:line="360" w:lineRule="auto"/>
        <w:jc w:val="center"/>
        <w:rPr>
          <w:rFonts w:ascii="Times New Roman" w:hAnsi="Times New Roman" w:cs="Times New Roman"/>
          <w:b/>
          <w:sz w:val="24"/>
        </w:rPr>
      </w:pPr>
      <w:r w:rsidRPr="002E2B03">
        <w:rPr>
          <w:rFonts w:ascii="Times New Roman" w:hAnsi="Times New Roman" w:cs="Times New Roman"/>
          <w:b/>
          <w:sz w:val="24"/>
        </w:rPr>
        <w:t>CHARACTERIZATION AND RISK ASSESSMENT OF HEAVY METALS AND HYDROCARBON SLUDGE IN THE NSISIOKEN ENVIRONMENT, RIVERS STATE</w:t>
      </w:r>
      <w:r w:rsidR="006A71EC">
        <w:rPr>
          <w:rFonts w:ascii="Times New Roman" w:hAnsi="Times New Roman" w:cs="Times New Roman"/>
          <w:b/>
          <w:sz w:val="24"/>
        </w:rPr>
        <w:t xml:space="preserve"> NIGERIA</w:t>
      </w:r>
    </w:p>
    <w:p w14:paraId="6755C4ED" w14:textId="77777777" w:rsidR="008543CD" w:rsidRPr="00877D5C" w:rsidRDefault="008543CD" w:rsidP="005D1F7D">
      <w:pPr>
        <w:spacing w:line="360" w:lineRule="auto"/>
        <w:rPr>
          <w:rFonts w:ascii="Times New Roman" w:hAnsi="Times New Roman" w:cs="Times New Roman"/>
          <w:b/>
          <w:sz w:val="24"/>
        </w:rPr>
      </w:pPr>
      <w:r w:rsidRPr="00877D5C">
        <w:rPr>
          <w:rFonts w:ascii="Times New Roman" w:hAnsi="Times New Roman" w:cs="Times New Roman"/>
          <w:b/>
          <w:sz w:val="24"/>
        </w:rPr>
        <w:t>ABSTRACT</w:t>
      </w:r>
    </w:p>
    <w:p w14:paraId="6070A7AA" w14:textId="77777777" w:rsidR="008543CD" w:rsidRDefault="00DD3016" w:rsidP="00DD3016">
      <w:pPr>
        <w:spacing w:line="360" w:lineRule="auto"/>
        <w:jc w:val="both"/>
        <w:rPr>
          <w:rFonts w:ascii="Times New Roman" w:hAnsi="Times New Roman" w:cs="Times New Roman"/>
          <w:sz w:val="24"/>
        </w:rPr>
      </w:pPr>
      <w:r w:rsidRPr="00DD3016">
        <w:rPr>
          <w:rFonts w:ascii="Times New Roman" w:hAnsi="Times New Roman" w:cs="Times New Roman"/>
          <w:sz w:val="24"/>
        </w:rPr>
        <w:t xml:space="preserve">This study focuses on the characterization and risk assessment of heavy metals and hydrocarbon sludge contamination in the </w:t>
      </w:r>
      <w:proofErr w:type="spellStart"/>
      <w:r w:rsidRPr="00DD3016">
        <w:rPr>
          <w:rFonts w:ascii="Times New Roman" w:hAnsi="Times New Roman" w:cs="Times New Roman"/>
          <w:sz w:val="24"/>
        </w:rPr>
        <w:t>Nsisioken</w:t>
      </w:r>
      <w:proofErr w:type="spellEnd"/>
      <w:r w:rsidRPr="00DD3016">
        <w:rPr>
          <w:rFonts w:ascii="Times New Roman" w:hAnsi="Times New Roman" w:cs="Times New Roman"/>
          <w:sz w:val="24"/>
        </w:rPr>
        <w:t xml:space="preserve"> River environment, Rivers State, Nigeria. Soil and water samples were analyzed using Gas Chromatography with Flame Ionization Detection (GC-FID) and Atomic Absorption Spectroscopy (AAS). The </w:t>
      </w:r>
      <w:bookmarkStart w:id="0" w:name="_GoBack"/>
      <w:bookmarkEnd w:id="0"/>
      <w:r w:rsidRPr="00DD3016">
        <w:rPr>
          <w:rFonts w:ascii="Times New Roman" w:hAnsi="Times New Roman" w:cs="Times New Roman"/>
          <w:sz w:val="24"/>
        </w:rPr>
        <w:t xml:space="preserve">physicochemical parameters of the river revealed a mean pH of 7.29 ± 0.2, chemical oxygen demand (COD) of 47.5 ± 6.4 mg/L, </w:t>
      </w:r>
      <w:r w:rsidR="003F2F4E">
        <w:rPr>
          <w:rFonts w:ascii="Times New Roman" w:hAnsi="Times New Roman" w:cs="Times New Roman"/>
          <w:sz w:val="24"/>
        </w:rPr>
        <w:t xml:space="preserve">and turbidity of 11.0 ± 2.4 NTU </w:t>
      </w:r>
      <w:r w:rsidRPr="00DD3016">
        <w:rPr>
          <w:rFonts w:ascii="Times New Roman" w:hAnsi="Times New Roman" w:cs="Times New Roman"/>
          <w:sz w:val="24"/>
        </w:rPr>
        <w:t>values that exceed WHO permissible limits for surface water quality. Soil samples showed high concentrations of cadmium (0.38 ± 0.10 mg/kg), chromium (46.99 ± 5.9 mg/kg), nickel (20.1 ± 2.8 mg/kg), lead (24.1 ± 4.0 mg/kg</w:t>
      </w:r>
      <w:r>
        <w:rPr>
          <w:rFonts w:ascii="Times New Roman" w:hAnsi="Times New Roman" w:cs="Times New Roman"/>
          <w:sz w:val="24"/>
        </w:rPr>
        <w:t xml:space="preserve">), and zinc (99.3 ± 8.0 mg/kg). </w:t>
      </w:r>
      <w:r w:rsidRPr="00DD3016">
        <w:rPr>
          <w:rFonts w:ascii="Times New Roman" w:hAnsi="Times New Roman" w:cs="Times New Roman"/>
          <w:sz w:val="24"/>
        </w:rPr>
        <w:t>Total Petroleum Hydrocarbon (TPH) fractions in soil ranged from 12.8 mg/kg (C</w:t>
      </w:r>
      <w:r w:rsidRPr="009F586C">
        <w:rPr>
          <w:rFonts w:ascii="Times New Roman" w:hAnsi="Times New Roman" w:cs="Times New Roman"/>
          <w:sz w:val="24"/>
          <w:vertAlign w:val="subscript"/>
        </w:rPr>
        <w:t>25</w:t>
      </w:r>
      <w:r w:rsidRPr="00DD3016">
        <w:rPr>
          <w:rFonts w:ascii="Times New Roman" w:hAnsi="Times New Roman" w:cs="Times New Roman"/>
          <w:sz w:val="24"/>
        </w:rPr>
        <w:t>–C</w:t>
      </w:r>
      <w:r w:rsidRPr="009F586C">
        <w:rPr>
          <w:rFonts w:ascii="Times New Roman" w:hAnsi="Times New Roman" w:cs="Times New Roman"/>
          <w:sz w:val="24"/>
          <w:vertAlign w:val="subscript"/>
        </w:rPr>
        <w:t>30</w:t>
      </w:r>
      <w:r w:rsidRPr="00DD3016">
        <w:rPr>
          <w:rFonts w:ascii="Times New Roman" w:hAnsi="Times New Roman" w:cs="Times New Roman"/>
          <w:sz w:val="24"/>
        </w:rPr>
        <w:t>) to 45.6 mg/kg (C13–C16), contributing to a cumulative TPH risk value of 486,741.67. For water, the TPH risk was lower at 49,750, but still considerable. Health risk assessments revealed alarm</w:t>
      </w:r>
      <w:r w:rsidR="003F2F4E">
        <w:rPr>
          <w:rFonts w:ascii="Times New Roman" w:hAnsi="Times New Roman" w:cs="Times New Roman"/>
          <w:sz w:val="24"/>
        </w:rPr>
        <w:t xml:space="preserve">ing Hazard Quotient (HQ) values </w:t>
      </w:r>
      <w:r w:rsidRPr="00DD3016">
        <w:rPr>
          <w:rFonts w:ascii="Times New Roman" w:hAnsi="Times New Roman" w:cs="Times New Roman"/>
          <w:sz w:val="24"/>
        </w:rPr>
        <w:t xml:space="preserve">arsenic had an </w:t>
      </w:r>
      <w:proofErr w:type="spellStart"/>
      <w:r w:rsidRPr="00DD3016">
        <w:rPr>
          <w:rFonts w:ascii="Times New Roman" w:hAnsi="Times New Roman" w:cs="Times New Roman"/>
          <w:sz w:val="24"/>
        </w:rPr>
        <w:t>HQ_ingestion</w:t>
      </w:r>
      <w:proofErr w:type="spellEnd"/>
      <w:r w:rsidRPr="00DD3016">
        <w:rPr>
          <w:rFonts w:ascii="Times New Roman" w:hAnsi="Times New Roman" w:cs="Times New Roman"/>
          <w:sz w:val="24"/>
        </w:rPr>
        <w:t xml:space="preserve"> of 15,525.11 and a cancer risk (</w:t>
      </w:r>
      <w:proofErr w:type="spellStart"/>
      <w:r w:rsidRPr="00DD3016">
        <w:rPr>
          <w:rFonts w:ascii="Times New Roman" w:hAnsi="Times New Roman" w:cs="Times New Roman"/>
          <w:sz w:val="24"/>
        </w:rPr>
        <w:t>CR_ingestion</w:t>
      </w:r>
      <w:proofErr w:type="spellEnd"/>
      <w:r w:rsidRPr="00DD3016">
        <w:rPr>
          <w:rFonts w:ascii="Times New Roman" w:hAnsi="Times New Roman" w:cs="Times New Roman"/>
          <w:sz w:val="24"/>
        </w:rPr>
        <w:t>) of 6.99, far exceeding the USEPA’s acceptable cancer risk range of 10⁻⁶ to 10⁻⁴. Lead also showed high non-carcinogenic risks (</w:t>
      </w:r>
      <w:proofErr w:type="spellStart"/>
      <w:r w:rsidRPr="00DD3016">
        <w:rPr>
          <w:rFonts w:ascii="Times New Roman" w:hAnsi="Times New Roman" w:cs="Times New Roman"/>
          <w:sz w:val="24"/>
        </w:rPr>
        <w:t>HQ_ingestion</w:t>
      </w:r>
      <w:proofErr w:type="spellEnd"/>
      <w:r w:rsidRPr="00DD3016">
        <w:rPr>
          <w:rFonts w:ascii="Times New Roman" w:hAnsi="Times New Roman" w:cs="Times New Roman"/>
          <w:sz w:val="24"/>
        </w:rPr>
        <w:t xml:space="preserve"> = 9432.49)</w:t>
      </w:r>
      <w:r>
        <w:rPr>
          <w:rFonts w:ascii="Times New Roman" w:hAnsi="Times New Roman" w:cs="Times New Roman"/>
          <w:sz w:val="24"/>
        </w:rPr>
        <w:t xml:space="preserve">. </w:t>
      </w:r>
      <w:r w:rsidRPr="00DD3016">
        <w:rPr>
          <w:rFonts w:ascii="Times New Roman" w:hAnsi="Times New Roman" w:cs="Times New Roman"/>
          <w:sz w:val="24"/>
        </w:rPr>
        <w:t>These results indicate significant ecological and human health risks due to hydrocarbon and heavy metal pollution.</w:t>
      </w:r>
    </w:p>
    <w:p w14:paraId="5CDD105A" w14:textId="77777777" w:rsidR="008543CD" w:rsidRPr="00877D5C" w:rsidRDefault="00021D67" w:rsidP="005D1F7D">
      <w:pPr>
        <w:spacing w:line="360" w:lineRule="auto"/>
        <w:rPr>
          <w:rFonts w:ascii="Times New Roman" w:hAnsi="Times New Roman" w:cs="Times New Roman"/>
          <w:b/>
          <w:sz w:val="24"/>
        </w:rPr>
      </w:pPr>
      <w:r>
        <w:rPr>
          <w:rFonts w:ascii="Times New Roman" w:hAnsi="Times New Roman" w:cs="Times New Roman"/>
          <w:b/>
          <w:sz w:val="24"/>
        </w:rPr>
        <w:t xml:space="preserve">1.0 </w:t>
      </w:r>
      <w:r w:rsidR="008543CD" w:rsidRPr="00877D5C">
        <w:rPr>
          <w:rFonts w:ascii="Times New Roman" w:hAnsi="Times New Roman" w:cs="Times New Roman"/>
          <w:b/>
          <w:sz w:val="24"/>
        </w:rPr>
        <w:t>INTRODUCTION</w:t>
      </w:r>
    </w:p>
    <w:p w14:paraId="27C9469B" w14:textId="5D22F16E" w:rsidR="005747AD" w:rsidRDefault="009517E9" w:rsidP="005D1F7D">
      <w:pPr>
        <w:spacing w:line="360" w:lineRule="auto"/>
        <w:jc w:val="both"/>
        <w:rPr>
          <w:rFonts w:ascii="Times New Roman" w:hAnsi="Times New Roman" w:cs="Times New Roman"/>
          <w:sz w:val="24"/>
        </w:rPr>
      </w:pPr>
      <w:r w:rsidRPr="009517E9">
        <w:rPr>
          <w:rFonts w:ascii="Times New Roman" w:hAnsi="Times New Roman" w:cs="Times New Roman"/>
          <w:sz w:val="24"/>
        </w:rPr>
        <w:t xml:space="preserve">According to </w:t>
      </w:r>
      <w:proofErr w:type="spellStart"/>
      <w:r w:rsidRPr="009517E9">
        <w:rPr>
          <w:rFonts w:ascii="Times New Roman" w:hAnsi="Times New Roman" w:cs="Times New Roman"/>
          <w:sz w:val="24"/>
        </w:rPr>
        <w:t>Awoyemi</w:t>
      </w:r>
      <w:proofErr w:type="spellEnd"/>
      <w:r w:rsidRPr="009517E9">
        <w:rPr>
          <w:rFonts w:ascii="Times New Roman" w:hAnsi="Times New Roman" w:cs="Times New Roman"/>
          <w:sz w:val="24"/>
        </w:rPr>
        <w:t xml:space="preserve"> et al. (2020), the production and extraction of petroleum hydrocarbons are now significant causes of environmental contamination worldwide.  Nigeria, the 12th largest oil producer in the world, relies heavily on the oil and gas industry to support its economy.  However, environmental deterioration offsets this economic gain, especially in the Niger Delta region where oil extraction produces a lot of waste, such as hydrocarbon sludge and generated water </w:t>
      </w:r>
      <w:r w:rsidRPr="00036975">
        <w:rPr>
          <w:rFonts w:ascii="Times New Roman" w:hAnsi="Times New Roman" w:cs="Times New Roman"/>
          <w:sz w:val="24"/>
          <w:highlight w:val="yellow"/>
        </w:rPr>
        <w:t>(</w:t>
      </w:r>
      <w:proofErr w:type="spellStart"/>
      <w:r w:rsidR="00036975" w:rsidRPr="00036975">
        <w:rPr>
          <w:rFonts w:ascii="Times New Roman" w:hAnsi="Times New Roman" w:cs="Times New Roman"/>
          <w:sz w:val="24"/>
          <w:highlight w:val="yellow"/>
        </w:rPr>
        <w:t>Nwaichi</w:t>
      </w:r>
      <w:proofErr w:type="spellEnd"/>
      <w:r w:rsidR="00036975" w:rsidRPr="00036975">
        <w:rPr>
          <w:rFonts w:ascii="Times New Roman" w:hAnsi="Times New Roman" w:cs="Times New Roman"/>
          <w:sz w:val="24"/>
          <w:highlight w:val="yellow"/>
        </w:rPr>
        <w:t xml:space="preserve">, </w:t>
      </w:r>
      <w:r w:rsidR="00036975">
        <w:rPr>
          <w:rFonts w:ascii="Times New Roman" w:hAnsi="Times New Roman" w:cs="Times New Roman"/>
          <w:sz w:val="24"/>
          <w:highlight w:val="yellow"/>
        </w:rPr>
        <w:t>2014</w:t>
      </w:r>
      <w:r w:rsidRPr="00036975">
        <w:rPr>
          <w:rFonts w:ascii="Times New Roman" w:hAnsi="Times New Roman" w:cs="Times New Roman"/>
          <w:sz w:val="24"/>
          <w:highlight w:val="yellow"/>
        </w:rPr>
        <w:t>).</w:t>
      </w:r>
      <w:r w:rsidRPr="009517E9">
        <w:rPr>
          <w:rFonts w:ascii="Times New Roman" w:hAnsi="Times New Roman" w:cs="Times New Roman"/>
          <w:sz w:val="24"/>
        </w:rPr>
        <w:t xml:space="preserve">  Toxic components like heavy metals, which can contaminate soil and water sources and pose serious threats to the environment and public health, are frequently abundant in these waste streams.</w:t>
      </w:r>
      <w:r>
        <w:rPr>
          <w:rFonts w:ascii="Times New Roman" w:hAnsi="Times New Roman" w:cs="Times New Roman"/>
          <w:sz w:val="24"/>
        </w:rPr>
        <w:t xml:space="preserve"> </w:t>
      </w:r>
      <w:r w:rsidRPr="009517E9">
        <w:rPr>
          <w:rFonts w:ascii="Times New Roman" w:hAnsi="Times New Roman" w:cs="Times New Roman"/>
          <w:sz w:val="24"/>
        </w:rPr>
        <w:t>A complex mixture of water, hydrocarbons, salts, and other inorganic and organic substances, including heavy metals, produced water is a byproduct of the extraction of oil and gas (</w:t>
      </w:r>
      <w:proofErr w:type="spellStart"/>
      <w:r w:rsidR="000E41D3" w:rsidRPr="00E61C5F">
        <w:rPr>
          <w:rFonts w:ascii="Times New Roman" w:hAnsi="Times New Roman" w:cs="Times New Roman"/>
          <w:sz w:val="24"/>
          <w:highlight w:val="yellow"/>
        </w:rPr>
        <w:t>Júnior</w:t>
      </w:r>
      <w:proofErr w:type="spellEnd"/>
      <w:r w:rsidR="000E41D3" w:rsidRPr="00E61C5F">
        <w:rPr>
          <w:rFonts w:ascii="Times New Roman" w:hAnsi="Times New Roman" w:cs="Times New Roman"/>
          <w:sz w:val="24"/>
          <w:highlight w:val="yellow"/>
        </w:rPr>
        <w:t xml:space="preserve"> et al., 2020</w:t>
      </w:r>
      <w:r w:rsidR="0034500D">
        <w:rPr>
          <w:rFonts w:ascii="Times New Roman" w:hAnsi="Times New Roman" w:cs="Times New Roman"/>
          <w:sz w:val="24"/>
        </w:rPr>
        <w:t xml:space="preserve">; </w:t>
      </w:r>
      <w:proofErr w:type="spellStart"/>
      <w:r w:rsidR="0034500D" w:rsidRPr="00293795">
        <w:rPr>
          <w:rFonts w:ascii="Times New Roman" w:hAnsi="Times New Roman" w:cs="Times New Roman"/>
          <w:sz w:val="24"/>
          <w:highlight w:val="yellow"/>
        </w:rPr>
        <w:t>Ogbuagu</w:t>
      </w:r>
      <w:proofErr w:type="spellEnd"/>
      <w:r w:rsidR="0034500D" w:rsidRPr="00293795">
        <w:rPr>
          <w:rFonts w:ascii="Times New Roman" w:hAnsi="Times New Roman" w:cs="Times New Roman"/>
          <w:sz w:val="24"/>
          <w:highlight w:val="yellow"/>
        </w:rPr>
        <w:t xml:space="preserve"> et al., 2021</w:t>
      </w:r>
      <w:r w:rsidRPr="009517E9">
        <w:rPr>
          <w:rFonts w:ascii="Times New Roman" w:hAnsi="Times New Roman" w:cs="Times New Roman"/>
          <w:sz w:val="24"/>
        </w:rPr>
        <w:t xml:space="preserve">).  With an estimated 2.5 billion gallons produced every </w:t>
      </w:r>
      <w:r w:rsidRPr="009517E9">
        <w:rPr>
          <w:rFonts w:ascii="Times New Roman" w:hAnsi="Times New Roman" w:cs="Times New Roman"/>
          <w:sz w:val="24"/>
        </w:rPr>
        <w:lastRenderedPageBreak/>
        <w:t>day globally, it is the greatest waste stream in the petroleum sector (</w:t>
      </w:r>
      <w:proofErr w:type="spellStart"/>
      <w:r w:rsidR="00201886" w:rsidRPr="00E91A45">
        <w:rPr>
          <w:rFonts w:ascii="Times New Roman" w:hAnsi="Times New Roman" w:cs="Times New Roman"/>
          <w:sz w:val="24"/>
          <w:highlight w:val="yellow"/>
        </w:rPr>
        <w:t>Baessa</w:t>
      </w:r>
      <w:proofErr w:type="spellEnd"/>
      <w:r w:rsidR="00201886" w:rsidRPr="00E91A45">
        <w:rPr>
          <w:rFonts w:ascii="Times New Roman" w:hAnsi="Times New Roman" w:cs="Times New Roman"/>
          <w:sz w:val="24"/>
          <w:highlight w:val="yellow"/>
        </w:rPr>
        <w:t xml:space="preserve"> et al., 2024</w:t>
      </w:r>
      <w:r w:rsidRPr="009517E9">
        <w:rPr>
          <w:rFonts w:ascii="Times New Roman" w:hAnsi="Times New Roman" w:cs="Times New Roman"/>
          <w:sz w:val="24"/>
        </w:rPr>
        <w:t>).  Depending on the source, such as formation water, injection water, or condensate,</w:t>
      </w:r>
      <w:r>
        <w:rPr>
          <w:rFonts w:ascii="Times New Roman" w:hAnsi="Times New Roman" w:cs="Times New Roman"/>
          <w:sz w:val="24"/>
        </w:rPr>
        <w:t xml:space="preserve"> its composition and properties </w:t>
      </w:r>
      <w:r w:rsidRPr="009517E9">
        <w:rPr>
          <w:rFonts w:ascii="Times New Roman" w:hAnsi="Times New Roman" w:cs="Times New Roman"/>
          <w:sz w:val="24"/>
        </w:rPr>
        <w:t>which includ</w:t>
      </w:r>
      <w:r>
        <w:rPr>
          <w:rFonts w:ascii="Times New Roman" w:hAnsi="Times New Roman" w:cs="Times New Roman"/>
          <w:sz w:val="24"/>
        </w:rPr>
        <w:t xml:space="preserve">e salinity, pH, and temperature </w:t>
      </w:r>
      <w:r w:rsidR="009F586C">
        <w:rPr>
          <w:rFonts w:ascii="Times New Roman" w:hAnsi="Times New Roman" w:cs="Times New Roman"/>
          <w:sz w:val="24"/>
        </w:rPr>
        <w:t>vary significantly (</w:t>
      </w:r>
      <w:r w:rsidR="0034500D" w:rsidRPr="00293795">
        <w:rPr>
          <w:rFonts w:ascii="Times New Roman" w:hAnsi="Times New Roman" w:cs="Times New Roman"/>
          <w:sz w:val="24"/>
          <w:highlight w:val="yellow"/>
        </w:rPr>
        <w:t>Aja et al., 2025</w:t>
      </w:r>
      <w:r w:rsidRPr="009517E9">
        <w:rPr>
          <w:rFonts w:ascii="Times New Roman" w:hAnsi="Times New Roman" w:cs="Times New Roman"/>
          <w:sz w:val="24"/>
        </w:rPr>
        <w:t>).  Physical, chemical, and biological treatment techniques are usually combined for effective management, and then the waste is disposed of via reinjection or controlled release.</w:t>
      </w:r>
      <w:r>
        <w:rPr>
          <w:rFonts w:ascii="Times New Roman" w:hAnsi="Times New Roman" w:cs="Times New Roman"/>
          <w:sz w:val="24"/>
        </w:rPr>
        <w:t xml:space="preserve"> </w:t>
      </w:r>
      <w:r w:rsidRPr="009517E9">
        <w:rPr>
          <w:rFonts w:ascii="Times New Roman" w:hAnsi="Times New Roman" w:cs="Times New Roman"/>
          <w:sz w:val="24"/>
        </w:rPr>
        <w:t>Similarly, hydrocarbon sludge is generated during crude oil refining and transportation processes and contains high levels of hydrocarbons and heavy metals such as lead (Pb), mercury (Hg), cadmium (Cd), and chromium (Cr) (</w:t>
      </w:r>
      <w:proofErr w:type="spellStart"/>
      <w:r w:rsidR="009D0127" w:rsidRPr="009D0127">
        <w:rPr>
          <w:rFonts w:ascii="Times New Roman" w:hAnsi="Times New Roman" w:cs="Times New Roman"/>
          <w:sz w:val="24"/>
          <w:highlight w:val="yellow"/>
        </w:rPr>
        <w:t>Choong</w:t>
      </w:r>
      <w:proofErr w:type="spellEnd"/>
      <w:r w:rsidR="009D0127" w:rsidRPr="009D0127">
        <w:rPr>
          <w:rFonts w:ascii="Times New Roman" w:hAnsi="Times New Roman" w:cs="Times New Roman"/>
          <w:sz w:val="24"/>
          <w:highlight w:val="yellow"/>
        </w:rPr>
        <w:t xml:space="preserve"> et al., 2024</w:t>
      </w:r>
      <w:r w:rsidRPr="009517E9">
        <w:rPr>
          <w:rFonts w:ascii="Times New Roman" w:hAnsi="Times New Roman" w:cs="Times New Roman"/>
          <w:sz w:val="24"/>
        </w:rPr>
        <w:t>). Improper disposal of this sludge can lead to soil, surface water, and groundwater contamination, posing risks such as cancer, neurological disorders, and reproductive issues in exposed populations (</w:t>
      </w:r>
      <w:proofErr w:type="spellStart"/>
      <w:r w:rsidR="00293795" w:rsidRPr="00633DB7">
        <w:rPr>
          <w:rFonts w:ascii="Times New Roman" w:hAnsi="Times New Roman" w:cs="Times New Roman"/>
          <w:sz w:val="24"/>
          <w:highlight w:val="yellow"/>
        </w:rPr>
        <w:t>Adewuyi</w:t>
      </w:r>
      <w:proofErr w:type="spellEnd"/>
      <w:r w:rsidR="00293795" w:rsidRPr="00633DB7">
        <w:rPr>
          <w:rFonts w:ascii="Times New Roman" w:hAnsi="Times New Roman" w:cs="Times New Roman"/>
          <w:sz w:val="24"/>
          <w:highlight w:val="yellow"/>
        </w:rPr>
        <w:t xml:space="preserve"> et al., 2012</w:t>
      </w:r>
      <w:r w:rsidRPr="009517E9">
        <w:rPr>
          <w:rFonts w:ascii="Times New Roman" w:hAnsi="Times New Roman" w:cs="Times New Roman"/>
          <w:sz w:val="24"/>
        </w:rPr>
        <w:t xml:space="preserve">; </w:t>
      </w:r>
      <w:r w:rsidR="00D121CA" w:rsidRPr="00A46281">
        <w:rPr>
          <w:rFonts w:ascii="Times New Roman" w:hAnsi="Times New Roman" w:cs="Times New Roman"/>
          <w:sz w:val="24"/>
          <w:highlight w:val="yellow"/>
        </w:rPr>
        <w:t>Sari et al., 2018</w:t>
      </w:r>
      <w:r w:rsidRPr="009517E9">
        <w:rPr>
          <w:rFonts w:ascii="Times New Roman" w:hAnsi="Times New Roman" w:cs="Times New Roman"/>
          <w:sz w:val="24"/>
        </w:rPr>
        <w:t>).</w:t>
      </w:r>
      <w:r>
        <w:rPr>
          <w:rFonts w:ascii="Times New Roman" w:hAnsi="Times New Roman" w:cs="Times New Roman"/>
          <w:sz w:val="24"/>
        </w:rPr>
        <w:t xml:space="preserve"> </w:t>
      </w:r>
      <w:r w:rsidRPr="009517E9">
        <w:rPr>
          <w:rFonts w:ascii="Times New Roman" w:hAnsi="Times New Roman" w:cs="Times New Roman"/>
          <w:sz w:val="24"/>
        </w:rPr>
        <w:t xml:space="preserve">The </w:t>
      </w:r>
      <w:proofErr w:type="spellStart"/>
      <w:r w:rsidRPr="009517E9">
        <w:rPr>
          <w:rFonts w:ascii="Times New Roman" w:hAnsi="Times New Roman" w:cs="Times New Roman"/>
          <w:sz w:val="24"/>
        </w:rPr>
        <w:t>Nsisioken</w:t>
      </w:r>
      <w:proofErr w:type="spellEnd"/>
      <w:r w:rsidRPr="009517E9">
        <w:rPr>
          <w:rFonts w:ascii="Times New Roman" w:hAnsi="Times New Roman" w:cs="Times New Roman"/>
          <w:sz w:val="24"/>
        </w:rPr>
        <w:t xml:space="preserve"> River in Rivers State, Nigeria, is an ecologically important water body that provides essential ecosystem services and supports local communities. However, due to its proximity to oil and gas facilities, it is increasingly vulnerable to contamination from produced water and hydrocarbon sludge. </w:t>
      </w:r>
      <w:r w:rsidR="005747AD" w:rsidRPr="005747AD">
        <w:rPr>
          <w:rFonts w:ascii="Times New Roman" w:hAnsi="Times New Roman" w:cs="Times New Roman"/>
          <w:sz w:val="24"/>
        </w:rPr>
        <w:t>Although a number of studies have found high concentrations of heavy metals in water bodies close to Nigerian oil operations (</w:t>
      </w:r>
      <w:proofErr w:type="spellStart"/>
      <w:r w:rsidR="00204681" w:rsidRPr="00A46281">
        <w:rPr>
          <w:rFonts w:ascii="Times New Roman" w:hAnsi="Times New Roman" w:cs="Times New Roman"/>
          <w:sz w:val="24"/>
          <w:highlight w:val="yellow"/>
        </w:rPr>
        <w:t>Ogbuagu</w:t>
      </w:r>
      <w:proofErr w:type="spellEnd"/>
      <w:r w:rsidR="00204681" w:rsidRPr="00A46281">
        <w:rPr>
          <w:rFonts w:ascii="Times New Roman" w:hAnsi="Times New Roman" w:cs="Times New Roman"/>
          <w:sz w:val="24"/>
          <w:highlight w:val="yellow"/>
        </w:rPr>
        <w:t xml:space="preserve"> et al., 2023</w:t>
      </w:r>
      <w:r w:rsidR="005747AD" w:rsidRPr="005747AD">
        <w:rPr>
          <w:rFonts w:ascii="Times New Roman" w:hAnsi="Times New Roman" w:cs="Times New Roman"/>
          <w:sz w:val="24"/>
        </w:rPr>
        <w:t xml:space="preserve">), thorough research on the harmful potential of these contaminants in the </w:t>
      </w:r>
      <w:proofErr w:type="spellStart"/>
      <w:r w:rsidR="005747AD" w:rsidRPr="005747AD">
        <w:rPr>
          <w:rFonts w:ascii="Times New Roman" w:hAnsi="Times New Roman" w:cs="Times New Roman"/>
          <w:sz w:val="24"/>
        </w:rPr>
        <w:t>Nsisioken</w:t>
      </w:r>
      <w:proofErr w:type="spellEnd"/>
      <w:r w:rsidR="005747AD" w:rsidRPr="005747AD">
        <w:rPr>
          <w:rFonts w:ascii="Times New Roman" w:hAnsi="Times New Roman" w:cs="Times New Roman"/>
          <w:sz w:val="24"/>
        </w:rPr>
        <w:t xml:space="preserve"> River is lacking.  Therefore, this study aims to describe the river's heavy metal and hydrocarbon sludge contamination profile and evaluate the ecological and human health concerns associated with them, offering crucial data for regional environmental management and policy development.</w:t>
      </w:r>
    </w:p>
    <w:p w14:paraId="6FA67016" w14:textId="77777777" w:rsidR="008543CD" w:rsidRPr="00877D5C" w:rsidRDefault="00021D67"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2.0 </w:t>
      </w:r>
      <w:r w:rsidR="008543CD" w:rsidRPr="00877D5C">
        <w:rPr>
          <w:rFonts w:ascii="Times New Roman" w:hAnsi="Times New Roman" w:cs="Times New Roman"/>
          <w:b/>
          <w:sz w:val="24"/>
        </w:rPr>
        <w:t>MATERIALS AND METHOD</w:t>
      </w:r>
      <w:r w:rsidR="005747AD">
        <w:rPr>
          <w:rFonts w:ascii="Times New Roman" w:hAnsi="Times New Roman" w:cs="Times New Roman"/>
          <w:b/>
          <w:sz w:val="24"/>
        </w:rPr>
        <w:tab/>
      </w:r>
    </w:p>
    <w:p w14:paraId="5F26FCA4" w14:textId="77777777" w:rsidR="0071617B" w:rsidRPr="0071617B" w:rsidRDefault="00021D67"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2.1 </w:t>
      </w:r>
      <w:r w:rsidR="0071617B" w:rsidRPr="0071617B">
        <w:rPr>
          <w:rFonts w:ascii="Times New Roman" w:hAnsi="Times New Roman" w:cs="Times New Roman"/>
          <w:b/>
          <w:sz w:val="24"/>
        </w:rPr>
        <w:t>Study area</w:t>
      </w:r>
    </w:p>
    <w:p w14:paraId="75B71B22" w14:textId="77777777" w:rsidR="0071617B" w:rsidRPr="0071617B" w:rsidRDefault="0071617B" w:rsidP="005D1F7D">
      <w:pPr>
        <w:spacing w:line="360" w:lineRule="auto"/>
        <w:jc w:val="both"/>
        <w:rPr>
          <w:rFonts w:ascii="Times New Roman" w:hAnsi="Times New Roman" w:cs="Times New Roman"/>
          <w:sz w:val="24"/>
        </w:rPr>
      </w:pPr>
      <w:r w:rsidRPr="0071617B">
        <w:rPr>
          <w:rFonts w:ascii="Times New Roman" w:hAnsi="Times New Roman" w:cs="Times New Roman"/>
          <w:sz w:val="24"/>
        </w:rPr>
        <w:t xml:space="preserve">The study area is located in the </w:t>
      </w:r>
      <w:proofErr w:type="spellStart"/>
      <w:r w:rsidRPr="0071617B">
        <w:rPr>
          <w:rFonts w:ascii="Times New Roman" w:hAnsi="Times New Roman" w:cs="Times New Roman"/>
          <w:sz w:val="24"/>
        </w:rPr>
        <w:t>Nsisioken</w:t>
      </w:r>
      <w:proofErr w:type="spellEnd"/>
      <w:r w:rsidRPr="0071617B">
        <w:rPr>
          <w:rFonts w:ascii="Times New Roman" w:hAnsi="Times New Roman" w:cs="Times New Roman"/>
          <w:sz w:val="24"/>
        </w:rPr>
        <w:t xml:space="preserve"> River basin, Rivers State, Nigeria, and covers approximately 20 square kilometers. It is characterized by a network of rivers, creeks, and wetlands, with the </w:t>
      </w:r>
      <w:proofErr w:type="spellStart"/>
      <w:r w:rsidRPr="0071617B">
        <w:rPr>
          <w:rFonts w:ascii="Times New Roman" w:hAnsi="Times New Roman" w:cs="Times New Roman"/>
          <w:sz w:val="24"/>
        </w:rPr>
        <w:t>Nsisioken</w:t>
      </w:r>
      <w:proofErr w:type="spellEnd"/>
      <w:r w:rsidRPr="0071617B">
        <w:rPr>
          <w:rFonts w:ascii="Times New Roman" w:hAnsi="Times New Roman" w:cs="Times New Roman"/>
          <w:sz w:val="24"/>
        </w:rPr>
        <w:t xml:space="preserve"> River being a tributary of the Bonny River. The area is underlain by sedimentary rocks, including sandstones, shales, and clays, with the soil being predominantly sandy loam and high levels of organic matter. The </w:t>
      </w:r>
      <w:proofErr w:type="spellStart"/>
      <w:r w:rsidRPr="0071617B">
        <w:rPr>
          <w:rFonts w:ascii="Times New Roman" w:hAnsi="Times New Roman" w:cs="Times New Roman"/>
          <w:sz w:val="24"/>
        </w:rPr>
        <w:t>Nsisioken</w:t>
      </w:r>
      <w:proofErr w:type="spellEnd"/>
      <w:r w:rsidRPr="0071617B">
        <w:rPr>
          <w:rFonts w:ascii="Times New Roman" w:hAnsi="Times New Roman" w:cs="Times New Roman"/>
          <w:sz w:val="24"/>
        </w:rPr>
        <w:t xml:space="preserve"> River is a tidal river, with a mix of fresh and brackish water, flowing through a densely populated area with several communities and industrial facilities along its banks. The climate is tropical monsoon, with high temperatures and high levels of rainfall throughout the year. The study area has a mix of land uses, including oil and gas operations, agriculture primarily fishing and farming, urban and industrial development, and </w:t>
      </w:r>
      <w:r w:rsidRPr="0071617B">
        <w:rPr>
          <w:rFonts w:ascii="Times New Roman" w:hAnsi="Times New Roman" w:cs="Times New Roman"/>
          <w:sz w:val="24"/>
        </w:rPr>
        <w:lastRenderedPageBreak/>
        <w:t>wetlands and natural habitats. However, the area has been impacted by various environmental concerns, including oil spills and pollution, industrial effluents and waste disposal, deforestation and habitat destruction, and climate change and sea level rise.</w:t>
      </w:r>
    </w:p>
    <w:p w14:paraId="0C98D55A" w14:textId="77777777" w:rsidR="0071617B" w:rsidRPr="0071617B" w:rsidRDefault="002470CD" w:rsidP="005D1F7D">
      <w:pPr>
        <w:spacing w:line="360" w:lineRule="auto"/>
        <w:jc w:val="both"/>
        <w:rPr>
          <w:rFonts w:ascii="Times New Roman" w:hAnsi="Times New Roman" w:cs="Times New Roman"/>
          <w:b/>
          <w:bCs/>
          <w:sz w:val="24"/>
        </w:rPr>
      </w:pPr>
      <w:r>
        <w:rPr>
          <w:rFonts w:ascii="Times New Roman" w:hAnsi="Times New Roman" w:cs="Times New Roman"/>
          <w:b/>
          <w:bCs/>
          <w:sz w:val="24"/>
        </w:rPr>
        <w:t xml:space="preserve">Table </w:t>
      </w:r>
      <w:r w:rsidR="0071617B" w:rsidRPr="0071617B">
        <w:rPr>
          <w:rFonts w:ascii="Times New Roman" w:hAnsi="Times New Roman" w:cs="Times New Roman"/>
          <w:b/>
          <w:bCs/>
          <w:sz w:val="24"/>
        </w:rPr>
        <w:t>1</w:t>
      </w:r>
      <w:r>
        <w:rPr>
          <w:rFonts w:ascii="Times New Roman" w:hAnsi="Times New Roman" w:cs="Times New Roman"/>
          <w:b/>
          <w:bCs/>
          <w:sz w:val="24"/>
        </w:rPr>
        <w:t>:</w:t>
      </w:r>
      <w:r w:rsidR="0071617B" w:rsidRPr="0071617B">
        <w:rPr>
          <w:rFonts w:ascii="Times New Roman" w:hAnsi="Times New Roman" w:cs="Times New Roman"/>
          <w:b/>
          <w:bCs/>
          <w:sz w:val="24"/>
        </w:rPr>
        <w:t xml:space="preserve"> Sampling locations and their corresponding coordinates.</w:t>
      </w:r>
    </w:p>
    <w:tbl>
      <w:tblPr>
        <w:tblStyle w:val="TableGrid"/>
        <w:tblW w:w="333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tblGrid>
      <w:tr w:rsidR="0071617B" w:rsidRPr="0071617B" w14:paraId="6AAA9019" w14:textId="77777777" w:rsidTr="0071617B">
        <w:trPr>
          <w:trHeight w:val="315"/>
          <w:jc w:val="center"/>
        </w:trPr>
        <w:tc>
          <w:tcPr>
            <w:tcW w:w="2500" w:type="pct"/>
            <w:tcBorders>
              <w:top w:val="single" w:sz="4" w:space="0" w:color="auto"/>
              <w:left w:val="nil"/>
              <w:bottom w:val="single" w:sz="4" w:space="0" w:color="auto"/>
              <w:right w:val="nil"/>
            </w:tcBorders>
            <w:hideMark/>
          </w:tcPr>
          <w:p w14:paraId="5E3D83AF" w14:textId="77777777" w:rsidR="0071617B" w:rsidRPr="0071617B" w:rsidRDefault="0071617B" w:rsidP="005D1F7D">
            <w:pPr>
              <w:spacing w:after="160" w:line="360" w:lineRule="auto"/>
              <w:jc w:val="both"/>
              <w:rPr>
                <w:rFonts w:ascii="Times New Roman" w:hAnsi="Times New Roman" w:cs="Times New Roman"/>
                <w:b/>
                <w:sz w:val="24"/>
              </w:rPr>
            </w:pPr>
            <w:r w:rsidRPr="0071617B">
              <w:rPr>
                <w:rFonts w:ascii="Times New Roman" w:hAnsi="Times New Roman" w:cs="Times New Roman"/>
                <w:b/>
                <w:sz w:val="24"/>
              </w:rPr>
              <w:t>Sampling code</w:t>
            </w:r>
          </w:p>
        </w:tc>
        <w:tc>
          <w:tcPr>
            <w:tcW w:w="2500" w:type="pct"/>
            <w:tcBorders>
              <w:top w:val="single" w:sz="4" w:space="0" w:color="auto"/>
              <w:left w:val="nil"/>
              <w:bottom w:val="single" w:sz="4" w:space="0" w:color="auto"/>
              <w:right w:val="nil"/>
            </w:tcBorders>
            <w:hideMark/>
          </w:tcPr>
          <w:p w14:paraId="78F1ADEF" w14:textId="77777777" w:rsidR="0071617B" w:rsidRPr="0071617B" w:rsidRDefault="0071617B" w:rsidP="005D1F7D">
            <w:pPr>
              <w:spacing w:after="160" w:line="360" w:lineRule="auto"/>
              <w:jc w:val="both"/>
              <w:rPr>
                <w:rFonts w:ascii="Times New Roman" w:hAnsi="Times New Roman" w:cs="Times New Roman"/>
                <w:b/>
                <w:sz w:val="24"/>
              </w:rPr>
            </w:pPr>
            <w:r w:rsidRPr="0071617B">
              <w:rPr>
                <w:rFonts w:ascii="Times New Roman" w:hAnsi="Times New Roman" w:cs="Times New Roman"/>
                <w:b/>
                <w:sz w:val="24"/>
              </w:rPr>
              <w:t>Coordinates</w:t>
            </w:r>
          </w:p>
        </w:tc>
      </w:tr>
      <w:tr w:rsidR="0071617B" w:rsidRPr="0071617B" w14:paraId="313F0979" w14:textId="77777777" w:rsidTr="0071617B">
        <w:trPr>
          <w:jc w:val="center"/>
        </w:trPr>
        <w:tc>
          <w:tcPr>
            <w:tcW w:w="2500" w:type="pct"/>
            <w:tcBorders>
              <w:top w:val="single" w:sz="4" w:space="0" w:color="auto"/>
              <w:left w:val="nil"/>
              <w:bottom w:val="nil"/>
              <w:right w:val="nil"/>
            </w:tcBorders>
          </w:tcPr>
          <w:p w14:paraId="2C670D0A" w14:textId="77777777" w:rsidR="0071617B" w:rsidRPr="0071617B" w:rsidRDefault="0071617B" w:rsidP="005D1F7D">
            <w:pPr>
              <w:spacing w:after="160" w:line="360" w:lineRule="auto"/>
              <w:jc w:val="both"/>
              <w:rPr>
                <w:rFonts w:ascii="Times New Roman" w:hAnsi="Times New Roman" w:cs="Times New Roman"/>
                <w:b/>
                <w:sz w:val="24"/>
              </w:rPr>
            </w:pPr>
          </w:p>
        </w:tc>
        <w:tc>
          <w:tcPr>
            <w:tcW w:w="2500" w:type="pct"/>
            <w:tcBorders>
              <w:top w:val="single" w:sz="4" w:space="0" w:color="auto"/>
              <w:left w:val="nil"/>
              <w:bottom w:val="nil"/>
              <w:right w:val="nil"/>
            </w:tcBorders>
          </w:tcPr>
          <w:p w14:paraId="086BF913" w14:textId="77777777" w:rsidR="0071617B" w:rsidRPr="0071617B" w:rsidRDefault="0071617B" w:rsidP="005D1F7D">
            <w:pPr>
              <w:spacing w:after="160" w:line="360" w:lineRule="auto"/>
              <w:jc w:val="both"/>
              <w:rPr>
                <w:rFonts w:ascii="Times New Roman" w:hAnsi="Times New Roman" w:cs="Times New Roman"/>
                <w:b/>
                <w:sz w:val="24"/>
              </w:rPr>
            </w:pPr>
          </w:p>
        </w:tc>
      </w:tr>
      <w:tr w:rsidR="0071617B" w:rsidRPr="0071617B" w14:paraId="6ECD51BD" w14:textId="77777777" w:rsidTr="0071617B">
        <w:trPr>
          <w:jc w:val="center"/>
        </w:trPr>
        <w:tc>
          <w:tcPr>
            <w:tcW w:w="2500" w:type="pct"/>
            <w:hideMark/>
          </w:tcPr>
          <w:p w14:paraId="5A5B29F1"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A</w:t>
            </w:r>
          </w:p>
        </w:tc>
        <w:tc>
          <w:tcPr>
            <w:tcW w:w="2500" w:type="pct"/>
            <w:hideMark/>
          </w:tcPr>
          <w:p w14:paraId="7664EB39"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05.857°</w:t>
            </w:r>
          </w:p>
          <w:p w14:paraId="18A0E065"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07.272°</w:t>
            </w:r>
          </w:p>
        </w:tc>
      </w:tr>
      <w:tr w:rsidR="0071617B" w:rsidRPr="0071617B" w14:paraId="6D4B405F" w14:textId="77777777" w:rsidTr="0071617B">
        <w:trPr>
          <w:jc w:val="center"/>
        </w:trPr>
        <w:tc>
          <w:tcPr>
            <w:tcW w:w="2500" w:type="pct"/>
            <w:hideMark/>
          </w:tcPr>
          <w:p w14:paraId="55C5B1B3"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B</w:t>
            </w:r>
          </w:p>
        </w:tc>
        <w:tc>
          <w:tcPr>
            <w:tcW w:w="2500" w:type="pct"/>
            <w:hideMark/>
          </w:tcPr>
          <w:p w14:paraId="1C3F0B8D"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05.75°</w:t>
            </w:r>
          </w:p>
          <w:p w14:paraId="39AAECCD"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07.252°</w:t>
            </w:r>
          </w:p>
        </w:tc>
      </w:tr>
      <w:tr w:rsidR="0071617B" w:rsidRPr="0071617B" w14:paraId="4877D33F" w14:textId="77777777" w:rsidTr="0071617B">
        <w:trPr>
          <w:jc w:val="center"/>
        </w:trPr>
        <w:tc>
          <w:tcPr>
            <w:tcW w:w="2500" w:type="pct"/>
            <w:hideMark/>
          </w:tcPr>
          <w:p w14:paraId="7AF17CC9"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C</w:t>
            </w:r>
          </w:p>
        </w:tc>
        <w:tc>
          <w:tcPr>
            <w:tcW w:w="2500" w:type="pct"/>
            <w:hideMark/>
          </w:tcPr>
          <w:p w14:paraId="1D4D2A07"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06.275°</w:t>
            </w:r>
          </w:p>
          <w:p w14:paraId="3451FD86"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07.822°</w:t>
            </w:r>
          </w:p>
        </w:tc>
      </w:tr>
      <w:tr w:rsidR="0071617B" w:rsidRPr="0071617B" w14:paraId="3331D140" w14:textId="77777777" w:rsidTr="0071617B">
        <w:trPr>
          <w:jc w:val="center"/>
        </w:trPr>
        <w:tc>
          <w:tcPr>
            <w:tcW w:w="2500" w:type="pct"/>
            <w:hideMark/>
          </w:tcPr>
          <w:p w14:paraId="37F0025C"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D</w:t>
            </w:r>
          </w:p>
        </w:tc>
        <w:tc>
          <w:tcPr>
            <w:tcW w:w="2500" w:type="pct"/>
            <w:hideMark/>
          </w:tcPr>
          <w:p w14:paraId="0D976189"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05.565°</w:t>
            </w:r>
          </w:p>
          <w:p w14:paraId="03857DA5"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07.035°</w:t>
            </w:r>
          </w:p>
        </w:tc>
      </w:tr>
      <w:tr w:rsidR="0071617B" w:rsidRPr="0071617B" w14:paraId="204965B4" w14:textId="77777777" w:rsidTr="0071617B">
        <w:trPr>
          <w:jc w:val="center"/>
        </w:trPr>
        <w:tc>
          <w:tcPr>
            <w:tcW w:w="2500" w:type="pct"/>
            <w:hideMark/>
          </w:tcPr>
          <w:p w14:paraId="19354178"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E</w:t>
            </w:r>
          </w:p>
        </w:tc>
        <w:tc>
          <w:tcPr>
            <w:tcW w:w="2500" w:type="pct"/>
            <w:hideMark/>
          </w:tcPr>
          <w:p w14:paraId="2B1D5B6E"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06. 6°</w:t>
            </w:r>
          </w:p>
        </w:tc>
      </w:tr>
      <w:tr w:rsidR="0071617B" w:rsidRPr="0071617B" w14:paraId="26E71E0A" w14:textId="77777777" w:rsidTr="0071617B">
        <w:trPr>
          <w:jc w:val="center"/>
        </w:trPr>
        <w:tc>
          <w:tcPr>
            <w:tcW w:w="2500" w:type="pct"/>
            <w:tcBorders>
              <w:top w:val="nil"/>
              <w:left w:val="nil"/>
              <w:bottom w:val="single" w:sz="4" w:space="0" w:color="auto"/>
              <w:right w:val="nil"/>
            </w:tcBorders>
          </w:tcPr>
          <w:p w14:paraId="3ACF5C98" w14:textId="77777777" w:rsidR="0071617B" w:rsidRPr="0071617B" w:rsidRDefault="0071617B" w:rsidP="005D1F7D">
            <w:pPr>
              <w:spacing w:after="160" w:line="360" w:lineRule="auto"/>
              <w:jc w:val="both"/>
              <w:rPr>
                <w:rFonts w:ascii="Times New Roman" w:hAnsi="Times New Roman" w:cs="Times New Roman"/>
                <w:sz w:val="24"/>
              </w:rPr>
            </w:pPr>
          </w:p>
        </w:tc>
        <w:tc>
          <w:tcPr>
            <w:tcW w:w="2500" w:type="pct"/>
            <w:tcBorders>
              <w:top w:val="nil"/>
              <w:left w:val="nil"/>
              <w:bottom w:val="single" w:sz="4" w:space="0" w:color="auto"/>
              <w:right w:val="nil"/>
            </w:tcBorders>
            <w:hideMark/>
          </w:tcPr>
          <w:p w14:paraId="40200185"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05. 333°</w:t>
            </w:r>
          </w:p>
        </w:tc>
      </w:tr>
    </w:tbl>
    <w:p w14:paraId="1C75F5AB" w14:textId="77777777" w:rsidR="00F26545" w:rsidRPr="00F26545" w:rsidRDefault="00021D67" w:rsidP="005D1F7D">
      <w:pPr>
        <w:spacing w:line="360" w:lineRule="auto"/>
        <w:rPr>
          <w:rFonts w:ascii="Times New Roman" w:hAnsi="Times New Roman" w:cs="Times New Roman"/>
          <w:b/>
          <w:sz w:val="24"/>
        </w:rPr>
      </w:pPr>
      <w:r>
        <w:rPr>
          <w:rFonts w:ascii="Times New Roman" w:hAnsi="Times New Roman" w:cs="Times New Roman"/>
          <w:b/>
          <w:sz w:val="24"/>
        </w:rPr>
        <w:t xml:space="preserve">2.2 </w:t>
      </w:r>
      <w:r w:rsidR="00F26545" w:rsidRPr="00F26545">
        <w:rPr>
          <w:rFonts w:ascii="Times New Roman" w:hAnsi="Times New Roman" w:cs="Times New Roman"/>
          <w:b/>
          <w:sz w:val="24"/>
        </w:rPr>
        <w:t>Material and Equipment used</w:t>
      </w:r>
    </w:p>
    <w:p w14:paraId="745E721E" w14:textId="77777777" w:rsidR="008543CD" w:rsidRDefault="00F26545" w:rsidP="005D1F7D">
      <w:pPr>
        <w:spacing w:line="360" w:lineRule="auto"/>
        <w:jc w:val="both"/>
        <w:rPr>
          <w:rFonts w:ascii="Times New Roman" w:hAnsi="Times New Roman" w:cs="Times New Roman"/>
          <w:sz w:val="24"/>
        </w:rPr>
      </w:pPr>
      <w:r w:rsidRPr="00F26545">
        <w:rPr>
          <w:rFonts w:ascii="Times New Roman" w:hAnsi="Times New Roman" w:cs="Times New Roman"/>
          <w:sz w:val="24"/>
        </w:rPr>
        <w:t>The following materials are required for the analysis of hydrocarbon sludge using gas chromatography: hydrocarbon sludge sample, solvents (hexane and dichloromethane, HPLC grade), GC instrument (Agilent 7890A GC), FID detector, GC columns (DB-1 and DB-17), syringes and needles, vials and caps, pipettes and pipette tips, and analytical balance. Hexane (HPLC grade), Dichloromethane (HPLC grade), Aromatic standards and Certified Reference Materials (CRMs) for hydrocarbons (NIST SRM 2723).</w:t>
      </w:r>
    </w:p>
    <w:p w14:paraId="664CD04C" w14:textId="77777777" w:rsidR="00166DF7" w:rsidRPr="00166DF7" w:rsidRDefault="00021D67"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2.3 </w:t>
      </w:r>
      <w:r w:rsidR="00166DF7" w:rsidRPr="00166DF7">
        <w:rPr>
          <w:rFonts w:ascii="Times New Roman" w:hAnsi="Times New Roman" w:cs="Times New Roman"/>
          <w:b/>
          <w:sz w:val="24"/>
        </w:rPr>
        <w:t>Sample Preparation</w:t>
      </w:r>
      <w:r w:rsidR="00C957F5">
        <w:rPr>
          <w:rFonts w:ascii="Times New Roman" w:hAnsi="Times New Roman" w:cs="Times New Roman"/>
          <w:b/>
          <w:sz w:val="24"/>
        </w:rPr>
        <w:t xml:space="preserve"> and digestion</w:t>
      </w:r>
    </w:p>
    <w:p w14:paraId="2BDFE6ED" w14:textId="0BD5A0F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lastRenderedPageBreak/>
        <w:t>The hydrocarbon sludge sample is collected and stored in a se</w:t>
      </w:r>
      <w:r w:rsidR="00C957F5">
        <w:rPr>
          <w:rFonts w:ascii="Times New Roman" w:hAnsi="Times New Roman" w:cs="Times New Roman"/>
          <w:sz w:val="24"/>
        </w:rPr>
        <w:t xml:space="preserve">aled container. </w:t>
      </w:r>
      <w:r w:rsidRPr="00166DF7">
        <w:rPr>
          <w:rFonts w:ascii="Times New Roman" w:hAnsi="Times New Roman" w:cs="Times New Roman"/>
          <w:sz w:val="24"/>
        </w:rPr>
        <w:t>2 grams of sludge is weighed into a v</w:t>
      </w:r>
      <w:r w:rsidR="00C957F5">
        <w:rPr>
          <w:rFonts w:ascii="Times New Roman" w:hAnsi="Times New Roman" w:cs="Times New Roman"/>
          <w:sz w:val="24"/>
        </w:rPr>
        <w:t xml:space="preserve">ial, and 20 mL of </w:t>
      </w:r>
      <w:r w:rsidRPr="00166DF7">
        <w:rPr>
          <w:rFonts w:ascii="Times New Roman" w:hAnsi="Times New Roman" w:cs="Times New Roman"/>
          <w:sz w:val="24"/>
        </w:rPr>
        <w:t>dichloromethane is added. Th</w:t>
      </w:r>
      <w:r w:rsidR="00977B43">
        <w:rPr>
          <w:rFonts w:ascii="Times New Roman" w:hAnsi="Times New Roman" w:cs="Times New Roman"/>
          <w:sz w:val="24"/>
        </w:rPr>
        <w:t>e mixture is sonicated for 10</w:t>
      </w:r>
      <w:r w:rsidRPr="00166DF7">
        <w:rPr>
          <w:rFonts w:ascii="Times New Roman" w:hAnsi="Times New Roman" w:cs="Times New Roman"/>
          <w:sz w:val="24"/>
        </w:rPr>
        <w:t xml:space="preserve"> minutes and centrifuged at 3000 rpm for 10 minutes. The supernatant is transferred to a new vial.</w:t>
      </w:r>
      <w:r w:rsidR="00977B43">
        <w:rPr>
          <w:rFonts w:ascii="Times New Roman" w:hAnsi="Times New Roman" w:cs="Times New Roman"/>
          <w:sz w:val="24"/>
        </w:rPr>
        <w:t xml:space="preserve"> The mixture is heated at </w:t>
      </w:r>
      <w:r w:rsidRPr="00166DF7">
        <w:rPr>
          <w:rFonts w:ascii="Times New Roman" w:hAnsi="Times New Roman" w:cs="Times New Roman"/>
          <w:sz w:val="24"/>
        </w:rPr>
        <w:t xml:space="preserve">60°C for 30 minutes to facilitate digestion. After heating, the mixture is allowed to cool to room temperature. The mixture is then centrifuged at 3000 rpm for 10 minutes to separate the liquid and solid phases. The liquid phase is filtered through a 0.45 </w:t>
      </w:r>
      <w:proofErr w:type="spellStart"/>
      <w:r w:rsidRPr="00166DF7">
        <w:rPr>
          <w:rFonts w:ascii="Times New Roman" w:hAnsi="Times New Roman" w:cs="Times New Roman"/>
          <w:sz w:val="24"/>
        </w:rPr>
        <w:t>μm</w:t>
      </w:r>
      <w:proofErr w:type="spellEnd"/>
      <w:r w:rsidRPr="00166DF7">
        <w:rPr>
          <w:rFonts w:ascii="Times New Roman" w:hAnsi="Times New Roman" w:cs="Times New Roman"/>
          <w:sz w:val="24"/>
        </w:rPr>
        <w:t xml:space="preserve"> filter to remove any remaining solids. The filtered liquid phase is the</w:t>
      </w:r>
      <w:r w:rsidR="00977B43">
        <w:rPr>
          <w:rFonts w:ascii="Times New Roman" w:hAnsi="Times New Roman" w:cs="Times New Roman"/>
          <w:sz w:val="24"/>
        </w:rPr>
        <w:t xml:space="preserve">n concentrated to a volume of </w:t>
      </w:r>
      <w:r w:rsidRPr="00166DF7">
        <w:rPr>
          <w:rFonts w:ascii="Times New Roman" w:hAnsi="Times New Roman" w:cs="Times New Roman"/>
          <w:sz w:val="24"/>
        </w:rPr>
        <w:t>2 mL using a rotary evaporator or nitrogen blowdown. Finally, the concentrated liquid phase is transferred to a GC vial for analysis. The digest</w:t>
      </w:r>
      <w:r w:rsidR="00977B43">
        <w:rPr>
          <w:rFonts w:ascii="Times New Roman" w:hAnsi="Times New Roman" w:cs="Times New Roman"/>
          <w:sz w:val="24"/>
        </w:rPr>
        <w:t>ion reagents used is</w:t>
      </w:r>
      <w:r w:rsidRPr="00166DF7">
        <w:rPr>
          <w:rFonts w:ascii="Times New Roman" w:hAnsi="Times New Roman" w:cs="Times New Roman"/>
          <w:sz w:val="24"/>
        </w:rPr>
        <w:t xml:space="preserve"> dichloromethane (HPLC grade), and the digestion</w:t>
      </w:r>
      <w:r w:rsidR="00977B43">
        <w:rPr>
          <w:rFonts w:ascii="Times New Roman" w:hAnsi="Times New Roman" w:cs="Times New Roman"/>
          <w:sz w:val="24"/>
        </w:rPr>
        <w:t xml:space="preserve"> conditions are temperature (</w:t>
      </w:r>
      <w:r w:rsidRPr="00166DF7">
        <w:rPr>
          <w:rFonts w:ascii="Times New Roman" w:hAnsi="Times New Roman" w:cs="Times New Roman"/>
          <w:sz w:val="24"/>
        </w:rPr>
        <w:t xml:space="preserve">60°C), time (30 </w:t>
      </w:r>
      <w:r w:rsidR="00977B43">
        <w:rPr>
          <w:rFonts w:ascii="Times New Roman" w:hAnsi="Times New Roman" w:cs="Times New Roman"/>
          <w:sz w:val="24"/>
        </w:rPr>
        <w:t xml:space="preserve">minutes), and sonication (10 </w:t>
      </w:r>
      <w:r w:rsidRPr="00166DF7">
        <w:rPr>
          <w:rFonts w:ascii="Times New Roman" w:hAnsi="Times New Roman" w:cs="Times New Roman"/>
          <w:sz w:val="24"/>
        </w:rPr>
        <w:t>minutes)</w:t>
      </w:r>
      <w:r w:rsidR="009561D5">
        <w:rPr>
          <w:rFonts w:ascii="Times New Roman" w:hAnsi="Times New Roman" w:cs="Times New Roman"/>
          <w:sz w:val="24"/>
        </w:rPr>
        <w:t xml:space="preserve"> (</w:t>
      </w:r>
      <w:proofErr w:type="spellStart"/>
      <w:r w:rsidR="009561D5" w:rsidRPr="009561D5">
        <w:rPr>
          <w:rFonts w:ascii="Times New Roman" w:hAnsi="Times New Roman" w:cs="Times New Roman"/>
          <w:sz w:val="24"/>
          <w:highlight w:val="yellow"/>
        </w:rPr>
        <w:t>Amadi</w:t>
      </w:r>
      <w:proofErr w:type="spellEnd"/>
      <w:r w:rsidR="009561D5" w:rsidRPr="009561D5">
        <w:rPr>
          <w:rFonts w:ascii="Times New Roman" w:hAnsi="Times New Roman" w:cs="Times New Roman"/>
          <w:sz w:val="24"/>
          <w:highlight w:val="yellow"/>
        </w:rPr>
        <w:t>, 2014</w:t>
      </w:r>
      <w:r w:rsidR="009561D5">
        <w:rPr>
          <w:rFonts w:ascii="Times New Roman" w:hAnsi="Times New Roman" w:cs="Times New Roman"/>
          <w:sz w:val="24"/>
        </w:rPr>
        <w:t>)</w:t>
      </w:r>
      <w:r w:rsidRPr="00166DF7">
        <w:rPr>
          <w:rFonts w:ascii="Times New Roman" w:hAnsi="Times New Roman" w:cs="Times New Roman"/>
          <w:sz w:val="24"/>
        </w:rPr>
        <w:t>.</w:t>
      </w:r>
    </w:p>
    <w:p w14:paraId="47AADA7A" w14:textId="77777777" w:rsidR="00166DF7" w:rsidRPr="00166DF7" w:rsidRDefault="00021D67"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2.4 </w:t>
      </w:r>
      <w:r w:rsidR="00166DF7" w:rsidRPr="00166DF7">
        <w:rPr>
          <w:rFonts w:ascii="Times New Roman" w:hAnsi="Times New Roman" w:cs="Times New Roman"/>
          <w:b/>
          <w:sz w:val="24"/>
        </w:rPr>
        <w:t>GC Analysis</w:t>
      </w:r>
    </w:p>
    <w:p w14:paraId="008C65FF" w14:textId="74E6E04A"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The sample solution (1-2 </w:t>
      </w:r>
      <w:proofErr w:type="spellStart"/>
      <w:r w:rsidRPr="00166DF7">
        <w:rPr>
          <w:rFonts w:ascii="Times New Roman" w:hAnsi="Times New Roman" w:cs="Times New Roman"/>
          <w:sz w:val="24"/>
        </w:rPr>
        <w:t>μL</w:t>
      </w:r>
      <w:proofErr w:type="spellEnd"/>
      <w:r w:rsidRPr="00166DF7">
        <w:rPr>
          <w:rFonts w:ascii="Times New Roman" w:hAnsi="Times New Roman" w:cs="Times New Roman"/>
          <w:sz w:val="24"/>
        </w:rPr>
        <w:t>) is injected into the GC instrument. The GC conditions are set as follows: oven temperature, 50-300°C (10°C/min); carrier gas, helium (1.5 mL/min); detector temperature, 300°C. The DB-1 column is used for separating hydrocarbons based on boiling point, while the DB-17 column is used for separating hydrocarbons based on polarity. Hydrocarbons are detected using FID or MS detector</w:t>
      </w:r>
      <w:r w:rsidR="00A46281">
        <w:rPr>
          <w:rFonts w:ascii="Times New Roman" w:hAnsi="Times New Roman" w:cs="Times New Roman"/>
          <w:sz w:val="24"/>
        </w:rPr>
        <w:t xml:space="preserve"> (</w:t>
      </w:r>
      <w:proofErr w:type="spellStart"/>
      <w:r w:rsidR="00A46281" w:rsidRPr="003C79FE">
        <w:rPr>
          <w:rFonts w:ascii="Times New Roman" w:hAnsi="Times New Roman" w:cs="Times New Roman"/>
          <w:sz w:val="24"/>
          <w:highlight w:val="yellow"/>
        </w:rPr>
        <w:t>Almutairi</w:t>
      </w:r>
      <w:proofErr w:type="spellEnd"/>
      <w:r w:rsidR="00A46281" w:rsidRPr="003C79FE">
        <w:rPr>
          <w:rFonts w:ascii="Times New Roman" w:hAnsi="Times New Roman" w:cs="Times New Roman"/>
          <w:sz w:val="24"/>
          <w:highlight w:val="yellow"/>
        </w:rPr>
        <w:t>,</w:t>
      </w:r>
      <w:r w:rsidR="00A46281">
        <w:rPr>
          <w:rFonts w:ascii="Times New Roman" w:hAnsi="Times New Roman" w:cs="Times New Roman"/>
          <w:sz w:val="24"/>
        </w:rPr>
        <w:t xml:space="preserve"> </w:t>
      </w:r>
      <w:r w:rsidR="00A46281" w:rsidRPr="00A46281">
        <w:rPr>
          <w:rFonts w:ascii="Times New Roman" w:hAnsi="Times New Roman" w:cs="Times New Roman"/>
          <w:sz w:val="24"/>
          <w:highlight w:val="yellow"/>
        </w:rPr>
        <w:t>2022</w:t>
      </w:r>
      <w:r w:rsidR="00A46281">
        <w:rPr>
          <w:rFonts w:ascii="Times New Roman" w:hAnsi="Times New Roman" w:cs="Times New Roman"/>
          <w:sz w:val="24"/>
        </w:rPr>
        <w:t>)</w:t>
      </w:r>
      <w:r w:rsidRPr="00166DF7">
        <w:rPr>
          <w:rFonts w:ascii="Times New Roman" w:hAnsi="Times New Roman" w:cs="Times New Roman"/>
          <w:sz w:val="24"/>
        </w:rPr>
        <w:t>.</w:t>
      </w:r>
    </w:p>
    <w:p w14:paraId="25319BCA" w14:textId="77777777" w:rsidR="00166DF7" w:rsidRPr="00166DF7" w:rsidRDefault="00021D67"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2.4.1 </w:t>
      </w:r>
      <w:r w:rsidR="00166DF7" w:rsidRPr="00166DF7">
        <w:rPr>
          <w:rFonts w:ascii="Times New Roman" w:hAnsi="Times New Roman" w:cs="Times New Roman"/>
          <w:b/>
          <w:sz w:val="24"/>
        </w:rPr>
        <w:t>FID Detector Conditions</w:t>
      </w:r>
    </w:p>
    <w:p w14:paraId="7B32580A"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The FID detector conditions are as follows: hydrogen flow, 30 mL/min; air flow, 300 mL/min; makeup gas flow, 20 mL/min.</w:t>
      </w:r>
    </w:p>
    <w:p w14:paraId="55688429" w14:textId="77777777" w:rsidR="00166DF7" w:rsidRPr="00166DF7" w:rsidRDefault="00021D67"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2.5 </w:t>
      </w:r>
      <w:r w:rsidR="00166DF7" w:rsidRPr="00166DF7">
        <w:rPr>
          <w:rFonts w:ascii="Times New Roman" w:hAnsi="Times New Roman" w:cs="Times New Roman"/>
          <w:b/>
          <w:sz w:val="24"/>
        </w:rPr>
        <w:t>Heavy metal analysis</w:t>
      </w:r>
    </w:p>
    <w:p w14:paraId="25A2F92E" w14:textId="5785386D"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Samples were collected and stored in clean, dry containers. Solid samples were ground or crushed to a fine powder and 1-2 grams were wei</w:t>
      </w:r>
      <w:r w:rsidR="003F2F4E">
        <w:rPr>
          <w:rFonts w:ascii="Times New Roman" w:hAnsi="Times New Roman" w:cs="Times New Roman"/>
          <w:sz w:val="24"/>
        </w:rPr>
        <w:t xml:space="preserve">ghed into a digestion vessel. 20 mL of </w:t>
      </w:r>
      <w:r w:rsidRPr="00166DF7">
        <w:rPr>
          <w:rFonts w:ascii="Times New Roman" w:hAnsi="Times New Roman" w:cs="Times New Roman"/>
          <w:sz w:val="24"/>
        </w:rPr>
        <w:t>aqua regia (HNO</w:t>
      </w:r>
      <w:r w:rsidRPr="003F2F4E">
        <w:rPr>
          <w:rFonts w:ascii="Times New Roman" w:hAnsi="Times New Roman" w:cs="Times New Roman"/>
          <w:sz w:val="24"/>
          <w:vertAlign w:val="subscript"/>
        </w:rPr>
        <w:t>3</w:t>
      </w:r>
      <w:r w:rsidRPr="00166DF7">
        <w:rPr>
          <w:rFonts w:ascii="Times New Roman" w:hAnsi="Times New Roman" w:cs="Times New Roman"/>
          <w:sz w:val="24"/>
        </w:rPr>
        <w:t xml:space="preserve"> + HCl) was added to the vessel and the mixture was heated at 9</w:t>
      </w:r>
      <w:r w:rsidR="003F2F4E">
        <w:rPr>
          <w:rFonts w:ascii="Times New Roman" w:hAnsi="Times New Roman" w:cs="Times New Roman"/>
          <w:sz w:val="24"/>
        </w:rPr>
        <w:t>5-100°C for 30 minutes</w:t>
      </w:r>
      <w:r w:rsidRPr="00166DF7">
        <w:rPr>
          <w:rFonts w:ascii="Times New Roman" w:hAnsi="Times New Roman" w:cs="Times New Roman"/>
          <w:sz w:val="24"/>
        </w:rPr>
        <w:t xml:space="preserve">. The mixture was allowed to cool, then the digested mixture was filtered through a 0.45 </w:t>
      </w:r>
      <w:proofErr w:type="spellStart"/>
      <w:r w:rsidRPr="00166DF7">
        <w:rPr>
          <w:rFonts w:ascii="Times New Roman" w:hAnsi="Times New Roman" w:cs="Times New Roman"/>
          <w:sz w:val="24"/>
        </w:rPr>
        <w:t>μm</w:t>
      </w:r>
      <w:proofErr w:type="spellEnd"/>
      <w:r w:rsidRPr="00166DF7">
        <w:rPr>
          <w:rFonts w:ascii="Times New Roman" w:hAnsi="Times New Roman" w:cs="Times New Roman"/>
          <w:sz w:val="24"/>
        </w:rPr>
        <w:t xml:space="preserve"> filter and the filtrate was collected in a clean container. The filtrate was analyzed for heavy metals using Atomic Absorption Spectroscopy (AAS). The instrument was calibr</w:t>
      </w:r>
      <w:r w:rsidR="003F2F4E">
        <w:rPr>
          <w:rFonts w:ascii="Times New Roman" w:hAnsi="Times New Roman" w:cs="Times New Roman"/>
          <w:sz w:val="24"/>
        </w:rPr>
        <w:t xml:space="preserve">ated using standards </w:t>
      </w:r>
      <w:r w:rsidRPr="00166DF7">
        <w:rPr>
          <w:rFonts w:ascii="Times New Roman" w:hAnsi="Times New Roman" w:cs="Times New Roman"/>
          <w:sz w:val="24"/>
        </w:rPr>
        <w:t xml:space="preserve">and quality control samples were run. The analysis included heavy metals such as lead (Pb), mercury </w:t>
      </w:r>
      <w:r w:rsidRPr="00166DF7">
        <w:rPr>
          <w:rFonts w:ascii="Times New Roman" w:hAnsi="Times New Roman" w:cs="Times New Roman"/>
          <w:sz w:val="24"/>
        </w:rPr>
        <w:lastRenderedPageBreak/>
        <w:t>(Hg), arsenic (As), cadmium (Cd), chromium (Cr), copper (Cu), nickel (Ni), and zinc (Zn)</w:t>
      </w:r>
      <w:r w:rsidR="00A46281">
        <w:rPr>
          <w:rFonts w:ascii="Times New Roman" w:hAnsi="Times New Roman" w:cs="Times New Roman"/>
          <w:sz w:val="24"/>
        </w:rPr>
        <w:t xml:space="preserve"> (</w:t>
      </w:r>
      <w:r w:rsidR="00A46281" w:rsidRPr="00A46281">
        <w:rPr>
          <w:rFonts w:ascii="Times New Roman" w:hAnsi="Times New Roman" w:cs="Times New Roman"/>
          <w:sz w:val="24"/>
          <w:highlight w:val="yellow"/>
        </w:rPr>
        <w:t>Kumar et al., 2020</w:t>
      </w:r>
      <w:r w:rsidR="00A46281">
        <w:rPr>
          <w:rFonts w:ascii="Times New Roman" w:hAnsi="Times New Roman" w:cs="Times New Roman"/>
          <w:sz w:val="24"/>
        </w:rPr>
        <w:t>)</w:t>
      </w:r>
      <w:r w:rsidRPr="00166DF7">
        <w:rPr>
          <w:rFonts w:ascii="Times New Roman" w:hAnsi="Times New Roman" w:cs="Times New Roman"/>
          <w:sz w:val="24"/>
        </w:rPr>
        <w:t>.</w:t>
      </w:r>
    </w:p>
    <w:p w14:paraId="783E1CD8" w14:textId="77777777" w:rsidR="00166DF7" w:rsidRPr="00166DF7" w:rsidRDefault="00114E36"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2.5.1 </w:t>
      </w:r>
      <w:r w:rsidR="00166DF7" w:rsidRPr="00166DF7">
        <w:rPr>
          <w:rFonts w:ascii="Times New Roman" w:hAnsi="Times New Roman" w:cs="Times New Roman"/>
          <w:b/>
          <w:sz w:val="24"/>
        </w:rPr>
        <w:t xml:space="preserve">Water sample preparation for Analysis of heavy metals </w:t>
      </w:r>
      <w:r w:rsidR="00166DF7" w:rsidRPr="00A46281">
        <w:rPr>
          <w:rFonts w:ascii="Times New Roman" w:hAnsi="Times New Roman" w:cs="Times New Roman"/>
          <w:b/>
          <w:sz w:val="24"/>
          <w:highlight w:val="yellow"/>
        </w:rPr>
        <w:t>(APHA, 2017).</w:t>
      </w:r>
    </w:p>
    <w:p w14:paraId="01E58116"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The water samples were filtered using a Whatman No 42 filter paper, 9 cm. 100 ml of the filtrate was then measured into a beaker. In addition, 15 ml concentrated nitric acid solution and 10 ml of 50% concentrated hydrochloric acid solution were added. The content was evaporated to almost dryness on a hot plate and 7 ml of 50% concentrated hydrochloric acid added and heated for 10 minutes. The solutions were allowed to cool, and then distilled water added to each and filtered into a 100 ml Pyrex volumetric flask using a Whatman No 42 filter, 9 cm. This was then made up to the mark with distilled water. The 100 ml each of the water samples was used for the heavy metal determination using Varian </w:t>
      </w:r>
      <w:proofErr w:type="spellStart"/>
      <w:r w:rsidRPr="00166DF7">
        <w:rPr>
          <w:rFonts w:ascii="Times New Roman" w:hAnsi="Times New Roman" w:cs="Times New Roman"/>
          <w:sz w:val="24"/>
        </w:rPr>
        <w:t>SpectrAA</w:t>
      </w:r>
      <w:proofErr w:type="spellEnd"/>
      <w:r w:rsidRPr="00166DF7">
        <w:rPr>
          <w:rFonts w:ascii="Times New Roman" w:hAnsi="Times New Roman" w:cs="Times New Roman"/>
          <w:sz w:val="24"/>
        </w:rPr>
        <w:t xml:space="preserve"> 600-Flame Atomic Absorption Spectrometer model. Calculation of concentration of heavy metals was done using the equation of the calibration curve.</w:t>
      </w:r>
    </w:p>
    <w:p w14:paraId="5C95CAC9"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ab/>
      </w:r>
      <m:oMath>
        <m:r>
          <m:rPr>
            <m:sty m:val="b"/>
          </m:rPr>
          <w:rPr>
            <w:rFonts w:ascii="Cambria Math" w:hAnsi="Cambria Math" w:cs="Times New Roman"/>
            <w:sz w:val="24"/>
          </w:rPr>
          <m:t xml:space="preserve">  Conc. of metal</m:t>
        </m:r>
        <m:d>
          <m:dPr>
            <m:ctrlPr>
              <w:rPr>
                <w:rFonts w:ascii="Cambria Math" w:hAnsi="Cambria Math" w:cs="Times New Roman"/>
                <w:b/>
                <w:sz w:val="24"/>
              </w:rPr>
            </m:ctrlPr>
          </m:dPr>
          <m:e>
            <m:f>
              <m:fPr>
                <m:ctrlPr>
                  <w:rPr>
                    <w:rFonts w:ascii="Cambria Math" w:hAnsi="Cambria Math" w:cs="Times New Roman"/>
                    <w:b/>
                    <w:sz w:val="24"/>
                  </w:rPr>
                </m:ctrlPr>
              </m:fPr>
              <m:num>
                <m:r>
                  <m:rPr>
                    <m:sty m:val="b"/>
                  </m:rPr>
                  <w:rPr>
                    <w:rFonts w:ascii="Cambria Math" w:hAnsi="Cambria Math" w:cs="Times New Roman"/>
                    <w:sz w:val="24"/>
                  </w:rPr>
                  <m:t>mg</m:t>
                </m:r>
              </m:num>
              <m:den>
                <m:r>
                  <m:rPr>
                    <m:sty m:val="b"/>
                  </m:rPr>
                  <w:rPr>
                    <w:rFonts w:ascii="Cambria Math" w:hAnsi="Cambria Math" w:cs="Times New Roman"/>
                    <w:sz w:val="24"/>
                  </w:rPr>
                  <m:t>kg</m:t>
                </m:r>
              </m:den>
            </m:f>
          </m:e>
        </m:d>
        <m:r>
          <m:rPr>
            <m:sty m:val="b"/>
          </m:rPr>
          <w:rPr>
            <w:rFonts w:ascii="Cambria Math" w:hAnsi="Cambria Math" w:cs="Times New Roman"/>
            <w:sz w:val="24"/>
          </w:rPr>
          <m:t>=</m:t>
        </m:r>
        <m:f>
          <m:fPr>
            <m:ctrlPr>
              <w:rPr>
                <w:rFonts w:ascii="Cambria Math" w:hAnsi="Cambria Math" w:cs="Times New Roman"/>
                <w:b/>
                <w:sz w:val="24"/>
              </w:rPr>
            </m:ctrlPr>
          </m:fPr>
          <m:num>
            <m:d>
              <m:dPr>
                <m:ctrlPr>
                  <w:rPr>
                    <w:rFonts w:ascii="Cambria Math" w:hAnsi="Cambria Math" w:cs="Times New Roman"/>
                    <w:b/>
                    <w:sz w:val="24"/>
                  </w:rPr>
                </m:ctrlPr>
              </m:dPr>
              <m:e>
                <m:r>
                  <m:rPr>
                    <m:sty m:val="b"/>
                  </m:rPr>
                  <w:rPr>
                    <w:rFonts w:ascii="Cambria Math" w:hAnsi="Cambria Math" w:cs="Times New Roman"/>
                    <w:sz w:val="24"/>
                  </w:rPr>
                  <m:t>A-B</m:t>
                </m:r>
              </m:e>
            </m:d>
            <m:r>
              <m:rPr>
                <m:sty m:val="b"/>
              </m:rPr>
              <w:rPr>
                <w:rFonts w:ascii="Cambria Math" w:hAnsi="Cambria Math" w:cs="Times New Roman"/>
                <w:sz w:val="24"/>
              </w:rPr>
              <m:t xml:space="preserve"> X DF</m:t>
            </m:r>
          </m:num>
          <m:den>
            <m:r>
              <m:rPr>
                <m:sty m:val="b"/>
              </m:rPr>
              <w:rPr>
                <w:rFonts w:ascii="Cambria Math" w:hAnsi="Cambria Math" w:cs="Times New Roman"/>
                <w:sz w:val="24"/>
              </w:rPr>
              <m:t>Wt of sample(g)</m:t>
            </m:r>
          </m:den>
        </m:f>
      </m:oMath>
    </w:p>
    <w:p w14:paraId="799157C9"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 xml:space="preserve">  Where:  </w:t>
      </w:r>
    </w:p>
    <w:p w14:paraId="57E1B7E6"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 A = concentration of metal in sample (mg/l), B = concentration of metal in blank (mg/l), DF= dilution factor</w:t>
      </w:r>
    </w:p>
    <w:p w14:paraId="0958D264" w14:textId="5A974284" w:rsidR="00166DF7" w:rsidRPr="00166DF7" w:rsidRDefault="00114E36" w:rsidP="005D1F7D">
      <w:pPr>
        <w:spacing w:line="360" w:lineRule="auto"/>
        <w:jc w:val="both"/>
        <w:rPr>
          <w:rFonts w:ascii="Times New Roman" w:hAnsi="Times New Roman" w:cs="Times New Roman"/>
          <w:b/>
          <w:bCs/>
          <w:sz w:val="24"/>
        </w:rPr>
      </w:pPr>
      <w:r>
        <w:rPr>
          <w:rFonts w:ascii="Times New Roman" w:hAnsi="Times New Roman" w:cs="Times New Roman"/>
          <w:b/>
          <w:bCs/>
          <w:sz w:val="24"/>
        </w:rPr>
        <w:t xml:space="preserve">2.5.2 </w:t>
      </w:r>
      <w:r w:rsidR="00166DF7" w:rsidRPr="00166DF7">
        <w:rPr>
          <w:rFonts w:ascii="Times New Roman" w:hAnsi="Times New Roman" w:cs="Times New Roman"/>
          <w:b/>
          <w:bCs/>
          <w:sz w:val="24"/>
        </w:rPr>
        <w:t xml:space="preserve">Determination of heavy metals in soil </w:t>
      </w:r>
      <w:r w:rsidR="00A53F7A" w:rsidRPr="00A46281">
        <w:rPr>
          <w:rFonts w:ascii="Times New Roman" w:hAnsi="Times New Roman" w:cs="Times New Roman"/>
          <w:b/>
          <w:bCs/>
          <w:sz w:val="24"/>
          <w:highlight w:val="yellow"/>
        </w:rPr>
        <w:t>(</w:t>
      </w:r>
      <w:proofErr w:type="spellStart"/>
      <w:r w:rsidR="00A46281" w:rsidRPr="00A46281">
        <w:rPr>
          <w:rFonts w:ascii="Times New Roman" w:hAnsi="Times New Roman" w:cs="Times New Roman"/>
          <w:b/>
          <w:bCs/>
          <w:sz w:val="24"/>
          <w:highlight w:val="yellow"/>
        </w:rPr>
        <w:t>Afolabi</w:t>
      </w:r>
      <w:proofErr w:type="spellEnd"/>
      <w:r w:rsidR="00A46281" w:rsidRPr="00A46281">
        <w:rPr>
          <w:rFonts w:ascii="Times New Roman" w:hAnsi="Times New Roman" w:cs="Times New Roman"/>
          <w:b/>
          <w:bCs/>
          <w:sz w:val="24"/>
          <w:highlight w:val="yellow"/>
        </w:rPr>
        <w:t xml:space="preserve"> and </w:t>
      </w:r>
      <w:proofErr w:type="spellStart"/>
      <w:r w:rsidR="00A46281" w:rsidRPr="00A46281">
        <w:rPr>
          <w:rFonts w:ascii="Times New Roman" w:hAnsi="Times New Roman" w:cs="Times New Roman"/>
          <w:b/>
          <w:bCs/>
          <w:sz w:val="24"/>
          <w:highlight w:val="yellow"/>
        </w:rPr>
        <w:t>Adesope</w:t>
      </w:r>
      <w:proofErr w:type="spellEnd"/>
      <w:r w:rsidR="00A46281" w:rsidRPr="00A46281">
        <w:rPr>
          <w:rFonts w:ascii="Times New Roman" w:hAnsi="Times New Roman" w:cs="Times New Roman"/>
          <w:b/>
          <w:bCs/>
          <w:sz w:val="24"/>
          <w:highlight w:val="yellow"/>
        </w:rPr>
        <w:t>, 2022</w:t>
      </w:r>
      <w:r w:rsidR="00A53F7A" w:rsidRPr="00A46281">
        <w:rPr>
          <w:rFonts w:ascii="Times New Roman" w:hAnsi="Times New Roman" w:cs="Times New Roman"/>
          <w:b/>
          <w:bCs/>
          <w:sz w:val="24"/>
          <w:highlight w:val="yellow"/>
        </w:rPr>
        <w:t>)</w:t>
      </w:r>
    </w:p>
    <w:p w14:paraId="2F8C0605"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A series of calibration solutions (standards) containing known amounts of analyte elements was prepared and used to calibrate the VARIAN Atomic Absorption Spectrometer AA240FS. Blanks were then atomized followed by the standards and calibration graphs plotted showing the response from the AAS. The concentrations were calculated based on the absorbance obtained using the Beer Lambert law. Responses of standard were then used to establish accurate performance of machine and accurate concentration values of element. The machine was calibrated after every triplicate analysis. Using the AAS, light was generated from a hollow cathode lamp at a wavelength characteristic to each analyte. Each analyte was then atomized using an atomizer to create free atoms from the samples. Air-acetylene gas was used as the source of energy for the production of free atoms for the elements Manganese (Mn), Copper (Cu), Nickel (Ni), Arsenic (As) and Chromium (Cr). The samples were then introduced as an aerosol into the flame and the </w:t>
      </w:r>
      <w:r w:rsidRPr="00166DF7">
        <w:rPr>
          <w:rFonts w:ascii="Times New Roman" w:hAnsi="Times New Roman" w:cs="Times New Roman"/>
          <w:sz w:val="24"/>
        </w:rPr>
        <w:lastRenderedPageBreak/>
        <w:t>burner aligned in the optical path to allow the light beam pass through the flame where the light was absorbed. The light was then directed into a monochromator which then isolated the specific analytical wavelength of the light emitted by the hollow cathode lamp from the non-analytical. The sensitive light detector then measured the light and translated the response into analytical measurements. Calculation of concentration of heavy metals was done using the equation of the calibration curve.</w:t>
      </w:r>
    </w:p>
    <w:p w14:paraId="29CFB06E" w14:textId="77777777" w:rsidR="00166DF7" w:rsidRPr="00166DF7" w:rsidRDefault="00166DF7" w:rsidP="005D1F7D">
      <w:pPr>
        <w:spacing w:line="360" w:lineRule="auto"/>
        <w:jc w:val="both"/>
        <w:rPr>
          <w:rFonts w:ascii="Times New Roman" w:hAnsi="Times New Roman" w:cs="Times New Roman"/>
          <w:b/>
          <w:sz w:val="24"/>
        </w:rPr>
      </w:pPr>
      <m:oMathPara>
        <m:oMathParaPr>
          <m:jc m:val="left"/>
        </m:oMathParaPr>
        <m:oMath>
          <m:r>
            <m:rPr>
              <m:sty m:val="b"/>
            </m:rPr>
            <w:rPr>
              <w:rFonts w:ascii="Cambria Math" w:hAnsi="Cambria Math" w:cs="Times New Roman"/>
              <w:sz w:val="24"/>
            </w:rPr>
            <m:t>Conc. of metal</m:t>
          </m:r>
          <m:d>
            <m:dPr>
              <m:ctrlPr>
                <w:rPr>
                  <w:rFonts w:ascii="Cambria Math" w:hAnsi="Cambria Math" w:cs="Times New Roman"/>
                  <w:b/>
                  <w:sz w:val="24"/>
                </w:rPr>
              </m:ctrlPr>
            </m:dPr>
            <m:e>
              <m:f>
                <m:fPr>
                  <m:ctrlPr>
                    <w:rPr>
                      <w:rFonts w:ascii="Cambria Math" w:hAnsi="Cambria Math" w:cs="Times New Roman"/>
                      <w:b/>
                      <w:sz w:val="24"/>
                    </w:rPr>
                  </m:ctrlPr>
                </m:fPr>
                <m:num>
                  <m:r>
                    <m:rPr>
                      <m:sty m:val="b"/>
                    </m:rPr>
                    <w:rPr>
                      <w:rFonts w:ascii="Cambria Math" w:hAnsi="Cambria Math" w:cs="Times New Roman"/>
                      <w:sz w:val="24"/>
                    </w:rPr>
                    <m:t>mg</m:t>
                  </m:r>
                </m:num>
                <m:den>
                  <m:r>
                    <m:rPr>
                      <m:sty m:val="b"/>
                    </m:rPr>
                    <w:rPr>
                      <w:rFonts w:ascii="Cambria Math" w:hAnsi="Cambria Math" w:cs="Times New Roman"/>
                      <w:sz w:val="24"/>
                    </w:rPr>
                    <m:t>kg</m:t>
                  </m:r>
                </m:den>
              </m:f>
            </m:e>
          </m:d>
          <m:r>
            <m:rPr>
              <m:sty m:val="b"/>
            </m:rPr>
            <w:rPr>
              <w:rFonts w:ascii="Cambria Math" w:hAnsi="Cambria Math" w:cs="Times New Roman"/>
              <w:sz w:val="24"/>
            </w:rPr>
            <m:t>=</m:t>
          </m:r>
          <m:f>
            <m:fPr>
              <m:ctrlPr>
                <w:rPr>
                  <w:rFonts w:ascii="Cambria Math" w:hAnsi="Cambria Math" w:cs="Times New Roman"/>
                  <w:b/>
                  <w:sz w:val="24"/>
                </w:rPr>
              </m:ctrlPr>
            </m:fPr>
            <m:num>
              <m:d>
                <m:dPr>
                  <m:ctrlPr>
                    <w:rPr>
                      <w:rFonts w:ascii="Cambria Math" w:hAnsi="Cambria Math" w:cs="Times New Roman"/>
                      <w:b/>
                      <w:sz w:val="24"/>
                    </w:rPr>
                  </m:ctrlPr>
                </m:dPr>
                <m:e>
                  <m:r>
                    <m:rPr>
                      <m:sty m:val="b"/>
                    </m:rPr>
                    <w:rPr>
                      <w:rFonts w:ascii="Cambria Math" w:hAnsi="Cambria Math" w:cs="Times New Roman"/>
                      <w:sz w:val="24"/>
                    </w:rPr>
                    <m:t>A-B</m:t>
                  </m:r>
                </m:e>
              </m:d>
              <m:r>
                <m:rPr>
                  <m:sty m:val="b"/>
                </m:rPr>
                <w:rPr>
                  <w:rFonts w:ascii="Cambria Math" w:hAnsi="Cambria Math" w:cs="Times New Roman"/>
                  <w:sz w:val="24"/>
                </w:rPr>
                <m:t xml:space="preserve"> X DF</m:t>
              </m:r>
            </m:num>
            <m:den>
              <m:r>
                <m:rPr>
                  <m:sty m:val="b"/>
                </m:rPr>
                <w:rPr>
                  <w:rFonts w:ascii="Cambria Math" w:hAnsi="Cambria Math" w:cs="Times New Roman"/>
                  <w:sz w:val="24"/>
                </w:rPr>
                <m:t>Wt of sample(g)</m:t>
              </m:r>
            </m:den>
          </m:f>
        </m:oMath>
      </m:oMathPara>
    </w:p>
    <w:p w14:paraId="1FB031CC"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 xml:space="preserve">  Where:  </w:t>
      </w:r>
      <w:r w:rsidRPr="00166DF7">
        <w:rPr>
          <w:rFonts w:ascii="Times New Roman" w:hAnsi="Times New Roman" w:cs="Times New Roman"/>
          <w:sz w:val="24"/>
        </w:rPr>
        <w:t>A = concentration of metal in sample (mg/l), B = concentration of metal in blank (mg/l) DF= dilution factor</w:t>
      </w:r>
    </w:p>
    <w:p w14:paraId="45731DAD" w14:textId="77777777" w:rsidR="00166DF7" w:rsidRPr="00166DF7" w:rsidRDefault="00114E36"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2.5.3 </w:t>
      </w:r>
      <w:r w:rsidR="00166DF7" w:rsidRPr="00166DF7">
        <w:rPr>
          <w:rFonts w:ascii="Times New Roman" w:hAnsi="Times New Roman" w:cs="Times New Roman"/>
          <w:b/>
          <w:sz w:val="24"/>
        </w:rPr>
        <w:t>TPH Analysis</w:t>
      </w:r>
    </w:p>
    <w:p w14:paraId="6C464305" w14:textId="77777777" w:rsidR="00166DF7" w:rsidRPr="00166DF7" w:rsidRDefault="003F2F4E" w:rsidP="003F2F4E">
      <w:pPr>
        <w:spacing w:line="360" w:lineRule="auto"/>
        <w:jc w:val="both"/>
        <w:rPr>
          <w:rFonts w:ascii="Times New Roman" w:hAnsi="Times New Roman" w:cs="Times New Roman"/>
          <w:sz w:val="24"/>
        </w:rPr>
      </w:pPr>
      <w:r>
        <w:rPr>
          <w:rFonts w:ascii="Times New Roman" w:hAnsi="Times New Roman" w:cs="Times New Roman"/>
          <w:sz w:val="24"/>
        </w:rPr>
        <w:t>Sample were collected and stored</w:t>
      </w:r>
      <w:r w:rsidRPr="003F2F4E">
        <w:rPr>
          <w:rFonts w:ascii="Times New Roman" w:hAnsi="Times New Roman" w:cs="Times New Roman"/>
          <w:sz w:val="24"/>
        </w:rPr>
        <w:t xml:space="preserve"> in clean, dry containers to prevent contamination. </w:t>
      </w:r>
      <w:r>
        <w:rPr>
          <w:rFonts w:ascii="Times New Roman" w:hAnsi="Times New Roman" w:cs="Times New Roman"/>
          <w:sz w:val="24"/>
        </w:rPr>
        <w:t>S</w:t>
      </w:r>
      <w:r w:rsidRPr="003F2F4E">
        <w:rPr>
          <w:rFonts w:ascii="Times New Roman" w:hAnsi="Times New Roman" w:cs="Times New Roman"/>
          <w:sz w:val="24"/>
        </w:rPr>
        <w:t xml:space="preserve">amples were </w:t>
      </w:r>
      <w:r>
        <w:rPr>
          <w:rFonts w:ascii="Times New Roman" w:hAnsi="Times New Roman" w:cs="Times New Roman"/>
          <w:sz w:val="24"/>
        </w:rPr>
        <w:t xml:space="preserve">also </w:t>
      </w:r>
      <w:r w:rsidRPr="003F2F4E">
        <w:rPr>
          <w:rFonts w:ascii="Times New Roman" w:hAnsi="Times New Roman" w:cs="Times New Roman"/>
          <w:sz w:val="24"/>
        </w:rPr>
        <w:t>subjected</w:t>
      </w:r>
      <w:r>
        <w:rPr>
          <w:rFonts w:ascii="Times New Roman" w:hAnsi="Times New Roman" w:cs="Times New Roman"/>
          <w:sz w:val="24"/>
        </w:rPr>
        <w:t xml:space="preserve"> to centrifugation</w:t>
      </w:r>
      <w:r w:rsidRPr="003F2F4E">
        <w:rPr>
          <w:rFonts w:ascii="Times New Roman" w:hAnsi="Times New Roman" w:cs="Times New Roman"/>
          <w:sz w:val="24"/>
        </w:rPr>
        <w:t xml:space="preserve"> to remove pa</w:t>
      </w:r>
      <w:r>
        <w:rPr>
          <w:rFonts w:ascii="Times New Roman" w:hAnsi="Times New Roman" w:cs="Times New Roman"/>
          <w:sz w:val="24"/>
        </w:rPr>
        <w:t xml:space="preserve">rticulate matter. </w:t>
      </w:r>
      <w:r w:rsidRPr="003F2F4E">
        <w:rPr>
          <w:rFonts w:ascii="Times New Roman" w:hAnsi="Times New Roman" w:cs="Times New Roman"/>
          <w:sz w:val="24"/>
        </w:rPr>
        <w:t>2 mL of the sample was transferred into a clean vial</w:t>
      </w:r>
      <w:r>
        <w:rPr>
          <w:rFonts w:ascii="Times New Roman" w:hAnsi="Times New Roman" w:cs="Times New Roman"/>
          <w:sz w:val="24"/>
        </w:rPr>
        <w:t xml:space="preserve">, followed by the addition of </w:t>
      </w:r>
      <w:r w:rsidRPr="003F2F4E">
        <w:rPr>
          <w:rFonts w:ascii="Times New Roman" w:hAnsi="Times New Roman" w:cs="Times New Roman"/>
          <w:sz w:val="24"/>
        </w:rPr>
        <w:t>2 mL of hexane.</w:t>
      </w:r>
      <w:r>
        <w:rPr>
          <w:rFonts w:ascii="Times New Roman" w:hAnsi="Times New Roman" w:cs="Times New Roman"/>
          <w:sz w:val="24"/>
        </w:rPr>
        <w:t xml:space="preserve"> The mixture was vortexed for </w:t>
      </w:r>
      <w:r w:rsidRPr="003F2F4E">
        <w:rPr>
          <w:rFonts w:ascii="Times New Roman" w:hAnsi="Times New Roman" w:cs="Times New Roman"/>
          <w:sz w:val="24"/>
        </w:rPr>
        <w:t xml:space="preserve">2 minutes to facilitate extraction. After phase separation, the aqueous layer was discarded. Liquid-liquid extraction was then performed using dichloromethane as the extracting solvent. The organic extract was concentrated using either rotary evaporation or nitrogen blowdown and subsequently transferred </w:t>
      </w:r>
      <w:r>
        <w:rPr>
          <w:rFonts w:ascii="Times New Roman" w:hAnsi="Times New Roman" w:cs="Times New Roman"/>
          <w:sz w:val="24"/>
        </w:rPr>
        <w:t xml:space="preserve">into a clean vial for analysis. </w:t>
      </w:r>
      <w:r w:rsidRPr="003F2F4E">
        <w:rPr>
          <w:rFonts w:ascii="Times New Roman" w:hAnsi="Times New Roman" w:cs="Times New Roman"/>
          <w:sz w:val="24"/>
        </w:rPr>
        <w:t>Gas chromatography with flame ionization detection (GC-FID) was employed for the determination of total petroleum hydrocarbons. The GC-FID conditions included a temperature program from 40°C (held for 5 minutes) to 280°C (held for 10 minutes), an injector temperature of 250°C, and a detector temperature of 300°C. Helium served as the carrier gas at a flow rate of 1.5 mL/min. A 1–2 µL aliquot of the concentrated extract was then injec</w:t>
      </w:r>
      <w:r>
        <w:rPr>
          <w:rFonts w:ascii="Times New Roman" w:hAnsi="Times New Roman" w:cs="Times New Roman"/>
          <w:sz w:val="24"/>
        </w:rPr>
        <w:t xml:space="preserve">ted into the GC for analysis </w:t>
      </w:r>
      <w:r w:rsidRPr="0050678F">
        <w:rPr>
          <w:rFonts w:ascii="Times New Roman" w:hAnsi="Times New Roman" w:cs="Times New Roman"/>
          <w:sz w:val="24"/>
          <w:highlight w:val="yellow"/>
        </w:rPr>
        <w:t>(Wang et al., 2015)</w:t>
      </w:r>
      <w:r w:rsidR="00166DF7" w:rsidRPr="0050678F">
        <w:rPr>
          <w:rFonts w:ascii="Times New Roman" w:hAnsi="Times New Roman" w:cs="Times New Roman"/>
          <w:sz w:val="24"/>
          <w:highlight w:val="yellow"/>
        </w:rPr>
        <w:t>.</w:t>
      </w:r>
    </w:p>
    <w:p w14:paraId="5E861A77" w14:textId="77777777" w:rsidR="00166DF7" w:rsidRPr="00166DF7" w:rsidRDefault="00342CD8" w:rsidP="005D1F7D">
      <w:pPr>
        <w:spacing w:line="360" w:lineRule="auto"/>
        <w:jc w:val="both"/>
        <w:rPr>
          <w:rFonts w:ascii="Times New Roman" w:hAnsi="Times New Roman" w:cs="Times New Roman"/>
          <w:b/>
          <w:iCs/>
          <w:sz w:val="24"/>
        </w:rPr>
      </w:pPr>
      <w:r>
        <w:rPr>
          <w:rFonts w:ascii="Times New Roman" w:hAnsi="Times New Roman" w:cs="Times New Roman"/>
          <w:b/>
          <w:iCs/>
          <w:sz w:val="24"/>
        </w:rPr>
        <w:t xml:space="preserve">2.6 </w:t>
      </w:r>
      <w:r w:rsidR="00166DF7" w:rsidRPr="00166DF7">
        <w:rPr>
          <w:rFonts w:ascii="Times New Roman" w:hAnsi="Times New Roman" w:cs="Times New Roman"/>
          <w:b/>
          <w:iCs/>
          <w:sz w:val="24"/>
        </w:rPr>
        <w:t>Human Health Risk Assessment Model</w:t>
      </w:r>
    </w:p>
    <w:p w14:paraId="59B2269D"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Human health risk assessment was carried out to estimate the nature and probability of adverse health effects in humans as a result of exposure to heavy metals through soil and water around the vicinity of the study areas. Assessment was carried out for both adults and children for carcinogenic health risk. The reference table for Heavy metals carcinogenic ri</w:t>
      </w:r>
      <w:r w:rsidR="00342CD8">
        <w:rPr>
          <w:rFonts w:ascii="Times New Roman" w:hAnsi="Times New Roman" w:cs="Times New Roman"/>
          <w:sz w:val="24"/>
        </w:rPr>
        <w:t>sk assessment are presented in T</w:t>
      </w:r>
      <w:r w:rsidR="00A755CF">
        <w:rPr>
          <w:rFonts w:ascii="Times New Roman" w:hAnsi="Times New Roman" w:cs="Times New Roman"/>
          <w:sz w:val="24"/>
        </w:rPr>
        <w:t>able 2</w:t>
      </w:r>
      <w:r w:rsidRPr="00166DF7">
        <w:rPr>
          <w:rFonts w:ascii="Times New Roman" w:hAnsi="Times New Roman" w:cs="Times New Roman"/>
          <w:sz w:val="24"/>
        </w:rPr>
        <w:t xml:space="preserve"> respectively. </w:t>
      </w:r>
    </w:p>
    <w:p w14:paraId="228037A5" w14:textId="77777777" w:rsidR="00166DF7" w:rsidRPr="00166DF7" w:rsidRDefault="002924E1" w:rsidP="005D1F7D">
      <w:pPr>
        <w:spacing w:line="360" w:lineRule="auto"/>
        <w:jc w:val="both"/>
        <w:rPr>
          <w:rFonts w:ascii="Times New Roman" w:hAnsi="Times New Roman" w:cs="Times New Roman"/>
          <w:b/>
          <w:sz w:val="24"/>
        </w:rPr>
      </w:pPr>
      <w:r>
        <w:rPr>
          <w:rFonts w:ascii="Times New Roman" w:hAnsi="Times New Roman" w:cs="Times New Roman"/>
          <w:b/>
          <w:sz w:val="24"/>
        </w:rPr>
        <w:lastRenderedPageBreak/>
        <w:t xml:space="preserve">2.6.1 </w:t>
      </w:r>
      <w:r w:rsidR="00166DF7" w:rsidRPr="00166DF7">
        <w:rPr>
          <w:rFonts w:ascii="Times New Roman" w:hAnsi="Times New Roman" w:cs="Times New Roman"/>
          <w:b/>
          <w:sz w:val="24"/>
        </w:rPr>
        <w:t xml:space="preserve">Risk Assessment Formula for Heavy Metals </w:t>
      </w:r>
      <w:r w:rsidR="00D7415D" w:rsidRPr="0050678F">
        <w:rPr>
          <w:rFonts w:ascii="Times New Roman" w:hAnsi="Times New Roman" w:cs="Times New Roman"/>
          <w:b/>
          <w:sz w:val="24"/>
          <w:highlight w:val="yellow"/>
        </w:rPr>
        <w:t>(USEPA 2020)</w:t>
      </w:r>
    </w:p>
    <w:p w14:paraId="2BE369EB"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b/>
          <w:sz w:val="24"/>
        </w:rPr>
        <w:t>Hazard Quotient (HQ) for Non-Carcinogenic Risk:</w:t>
      </w:r>
      <w:r w:rsidRPr="00166DF7">
        <w:rPr>
          <w:rFonts w:ascii="Times New Roman" w:hAnsi="Times New Roman" w:cs="Times New Roman"/>
          <w:sz w:val="24"/>
        </w:rPr>
        <w:t xml:space="preserve"> The hazard quotient (HQ) evaluates non-carcinogenic risks from a specific exposure route (ingestion and dermal contact).</w:t>
      </w:r>
    </w:p>
    <w:p w14:paraId="4E631FF5" w14:textId="77777777" w:rsidR="00166DF7" w:rsidRPr="00166DF7" w:rsidRDefault="00166DF7" w:rsidP="005D1F7D">
      <w:pPr>
        <w:spacing w:line="360" w:lineRule="auto"/>
        <w:jc w:val="both"/>
        <w:rPr>
          <w:rFonts w:ascii="Times New Roman" w:hAnsi="Times New Roman" w:cs="Times New Roman"/>
          <w:sz w:val="24"/>
        </w:rPr>
      </w:pPr>
      <m:oMathPara>
        <m:oMath>
          <m:r>
            <w:rPr>
              <w:rFonts w:ascii="Cambria Math" w:hAnsi="Cambria Math" w:cs="Times New Roman"/>
              <w:sz w:val="24"/>
            </w:rPr>
            <m:t>HQ = ADD / RfD</m:t>
          </m:r>
        </m:oMath>
      </m:oMathPara>
    </w:p>
    <w:p w14:paraId="4BCDCDB3"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ADD: Average Daily Dose (mg/kg/day); </w:t>
      </w:r>
      <w:proofErr w:type="spellStart"/>
      <w:r w:rsidRPr="00166DF7">
        <w:rPr>
          <w:rFonts w:ascii="Times New Roman" w:hAnsi="Times New Roman" w:cs="Times New Roman"/>
          <w:sz w:val="24"/>
        </w:rPr>
        <w:t>RfD</w:t>
      </w:r>
      <w:proofErr w:type="spellEnd"/>
      <w:r w:rsidRPr="00166DF7">
        <w:rPr>
          <w:rFonts w:ascii="Times New Roman" w:hAnsi="Times New Roman" w:cs="Times New Roman"/>
          <w:sz w:val="24"/>
        </w:rPr>
        <w:t xml:space="preserve">: Reference Dose (mg/kg/day) </w:t>
      </w:r>
    </w:p>
    <w:p w14:paraId="315921BF"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If HQ &gt; 1, there is potential for non-carcinogenic effects.</w:t>
      </w:r>
    </w:p>
    <w:p w14:paraId="43706E6F"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 xml:space="preserve">Cancer Risk (CR) for Carcinogenic Risk: </w:t>
      </w:r>
      <w:r w:rsidRPr="00166DF7">
        <w:rPr>
          <w:rFonts w:ascii="Times New Roman" w:hAnsi="Times New Roman" w:cs="Times New Roman"/>
          <w:sz w:val="24"/>
        </w:rPr>
        <w:t>The cancer risk (CR) estimates the lifetime probability of developing cancer due to exposure.</w:t>
      </w:r>
    </w:p>
    <w:p w14:paraId="4B496E31"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CR = ADD × SF</w:t>
      </w:r>
    </w:p>
    <w:p w14:paraId="5B152DC8"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SF: Slope Factor (mg/kg/day</w:t>
      </w:r>
      <w:proofErr w:type="gramStart"/>
      <w:r w:rsidRPr="00166DF7">
        <w:rPr>
          <w:rFonts w:ascii="Times New Roman" w:hAnsi="Times New Roman" w:cs="Times New Roman"/>
          <w:sz w:val="24"/>
        </w:rPr>
        <w:t>)⁻</w:t>
      </w:r>
      <w:proofErr w:type="gramEnd"/>
      <w:r w:rsidRPr="00166DF7">
        <w:rPr>
          <w:rFonts w:ascii="Times New Roman" w:hAnsi="Times New Roman" w:cs="Times New Roman"/>
          <w:sz w:val="24"/>
        </w:rPr>
        <w:t>¹; ADD: Average Daily Dose (mg/kg/day)</w:t>
      </w:r>
    </w:p>
    <w:p w14:paraId="568A45A5"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Acceptable risk levels are typically between 10⁻⁶ and 10⁻⁴.</w:t>
      </w:r>
    </w:p>
    <w:p w14:paraId="119EABAD"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 xml:space="preserve">Average Daily Dose (ADD): </w:t>
      </w:r>
      <w:r w:rsidRPr="00166DF7">
        <w:rPr>
          <w:rFonts w:ascii="Times New Roman" w:hAnsi="Times New Roman" w:cs="Times New Roman"/>
          <w:sz w:val="24"/>
        </w:rPr>
        <w:t>ADD is calculated for various pathways:</w:t>
      </w:r>
    </w:p>
    <w:p w14:paraId="0F2CD26F"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Ingestion</w:t>
      </w:r>
    </w:p>
    <w:p w14:paraId="4591A3D9" w14:textId="77777777" w:rsidR="00166DF7" w:rsidRPr="00166DF7" w:rsidRDefault="00166DF7" w:rsidP="005D1F7D">
      <w:pPr>
        <w:spacing w:line="360" w:lineRule="auto"/>
        <w:jc w:val="both"/>
        <w:rPr>
          <w:rFonts w:ascii="Times New Roman" w:hAnsi="Times New Roman" w:cs="Times New Roman"/>
          <w:sz w:val="24"/>
        </w:rPr>
      </w:pPr>
      <m:oMathPara>
        <m:oMath>
          <m:r>
            <w:rPr>
              <w:rFonts w:ascii="Cambria Math" w:hAnsi="Cambria Math" w:cs="Times New Roman"/>
              <w:sz w:val="24"/>
            </w:rPr>
            <m:t>ADD</m:t>
          </m:r>
          <m:r>
            <w:rPr>
              <w:rFonts w:ascii="Cambria Math" w:hAnsi="Cambria Math" w:cs="Times New Roman"/>
              <w:sz w:val="24"/>
              <w:vertAlign w:val="subscript"/>
            </w:rPr>
            <m:t>ing</m:t>
          </m:r>
          <m:r>
            <w:rPr>
              <w:rFonts w:ascii="Cambria Math" w:hAnsi="Cambria Math" w:cs="Times New Roman"/>
              <w:sz w:val="24"/>
            </w:rPr>
            <m:t xml:space="preserve"> = (C × IR × EF × ED) / (BW × AT)</m:t>
          </m:r>
        </m:oMath>
      </m:oMathPara>
    </w:p>
    <w:p w14:paraId="7F478628"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Dermal Contact</w:t>
      </w:r>
    </w:p>
    <w:p w14:paraId="75F2B3EC" w14:textId="77777777" w:rsidR="00166DF7" w:rsidRPr="00166DF7" w:rsidRDefault="00166DF7" w:rsidP="005D1F7D">
      <w:pPr>
        <w:spacing w:line="360" w:lineRule="auto"/>
        <w:jc w:val="both"/>
        <w:rPr>
          <w:rFonts w:ascii="Times New Roman" w:hAnsi="Times New Roman" w:cs="Times New Roman"/>
          <w:sz w:val="24"/>
        </w:rPr>
      </w:pPr>
      <m:oMathPara>
        <m:oMath>
          <m:r>
            <w:rPr>
              <w:rFonts w:ascii="Cambria Math" w:hAnsi="Cambria Math" w:cs="Times New Roman"/>
              <w:sz w:val="24"/>
            </w:rPr>
            <m:t>ADD</m:t>
          </m:r>
          <m:r>
            <w:rPr>
              <w:rFonts w:ascii="Cambria Math" w:hAnsi="Cambria Math" w:cs="Times New Roman"/>
              <w:sz w:val="24"/>
              <w:vertAlign w:val="subscript"/>
            </w:rPr>
            <m:t>dermal</m:t>
          </m:r>
          <m:r>
            <w:rPr>
              <w:rFonts w:ascii="Cambria Math" w:hAnsi="Cambria Math" w:cs="Times New Roman"/>
              <w:sz w:val="24"/>
            </w:rPr>
            <m:t xml:space="preserve"> = (C × SA × AF × ABS × EF × ED) / (BW × AT)</m:t>
          </m:r>
        </m:oMath>
      </m:oMathPara>
    </w:p>
    <w:p w14:paraId="7AED6DA0"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b/>
          <w:sz w:val="24"/>
        </w:rPr>
        <w:t>For Soil media:</w:t>
      </w:r>
      <w:r w:rsidRPr="00166DF7">
        <w:rPr>
          <w:rFonts w:ascii="Times New Roman" w:hAnsi="Times New Roman" w:cs="Times New Roman"/>
          <w:sz w:val="24"/>
        </w:rPr>
        <w:t xml:space="preserve"> C: Contaminant concentration (mg/kg or mg/L); IR (Ingestion rate): Adults: 100 mg/day Children: 200 mg/day;  EF (Exposure frequency): Residential: 350 days/year;  ED (Exposure duration): Adults: 30 years, Children: 6 years; BW (Body weight): Adults: 70 kg Children: 15 kg; AT (Averaging time): Non-carcinogenic: ED×365 days;  Carcinogenic: 70years×365 days = 25,550 days; A (Skin surface area exposed): Adults: 5700 cm² Children: 2800 cm²; AF (Adherence factor): Adults: 0.07 mg/cm²; Children: 0.2 mg/cm² ABS (Absorption factor): Soil: 0.1 (</w:t>
      </w:r>
      <w:proofErr w:type="spellStart"/>
      <w:r w:rsidRPr="00166DF7">
        <w:rPr>
          <w:rFonts w:ascii="Times New Roman" w:hAnsi="Times New Roman" w:cs="Times New Roman"/>
          <w:sz w:val="24"/>
        </w:rPr>
        <w:t>unitless</w:t>
      </w:r>
      <w:proofErr w:type="spellEnd"/>
      <w:r w:rsidRPr="00166DF7">
        <w:rPr>
          <w:rFonts w:ascii="Times New Roman" w:hAnsi="Times New Roman" w:cs="Times New Roman"/>
          <w:sz w:val="24"/>
        </w:rPr>
        <w:t xml:space="preserve">) </w:t>
      </w:r>
      <w:proofErr w:type="spellStart"/>
      <w:r w:rsidRPr="00166DF7">
        <w:rPr>
          <w:rFonts w:ascii="Times New Roman" w:hAnsi="Times New Roman" w:cs="Times New Roman"/>
          <w:sz w:val="24"/>
        </w:rPr>
        <w:t>IR_</w:t>
      </w:r>
      <w:r w:rsidRPr="00166DF7">
        <w:rPr>
          <w:rFonts w:ascii="Times New Roman" w:hAnsi="Times New Roman" w:cs="Times New Roman"/>
          <w:sz w:val="24"/>
          <w:vertAlign w:val="subscript"/>
        </w:rPr>
        <w:t>inh</w:t>
      </w:r>
      <w:proofErr w:type="spellEnd"/>
      <w:r w:rsidRPr="00166DF7">
        <w:rPr>
          <w:rFonts w:ascii="Times New Roman" w:hAnsi="Times New Roman" w:cs="Times New Roman"/>
          <w:sz w:val="24"/>
        </w:rPr>
        <w:t xml:space="preserve"> (Inhalation rate): Adults: 20 m³/day Children: 10 m³/day;</w:t>
      </w:r>
    </w:p>
    <w:p w14:paraId="01938DF0"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For Water media</w:t>
      </w:r>
    </w:p>
    <w:p w14:paraId="14B8D894"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lastRenderedPageBreak/>
        <w:t>IR (Ingestion rate): Adults: 2.0 L/</w:t>
      </w:r>
      <w:proofErr w:type="spellStart"/>
      <w:r w:rsidRPr="00166DF7">
        <w:rPr>
          <w:rFonts w:ascii="Times New Roman" w:hAnsi="Times New Roman" w:cs="Times New Roman"/>
          <w:sz w:val="24"/>
        </w:rPr>
        <w:t>day,Children</w:t>
      </w:r>
      <w:proofErr w:type="spellEnd"/>
      <w:r w:rsidRPr="00166DF7">
        <w:rPr>
          <w:rFonts w:ascii="Times New Roman" w:hAnsi="Times New Roman" w:cs="Times New Roman"/>
          <w:sz w:val="24"/>
        </w:rPr>
        <w:t>: 1.0 L/day; EF (Exposure frequency): Residential: 350 days/year; ED (Exposure duration): Adults: 30 years, Children: 6 years; BW (Body weight): Adults: 70 kg, Children: 15 kg; AT (Averaging time): Non-carcinogenic: ED×365 days, Carcinogenic: 70years×365 days = 25,550 days; SA (Skin surface area exposed for dermal exposure): Adults: 18,000 cm², Children: 6600 cm²; AF (Adherence factor for water): Adults: 0.001 mg/cm², Children: 0.002 mg/cm²; ABS (Absorption factor for water): Water: 0.5 (</w:t>
      </w:r>
      <w:proofErr w:type="spellStart"/>
      <w:r w:rsidRPr="00166DF7">
        <w:rPr>
          <w:rFonts w:ascii="Times New Roman" w:hAnsi="Times New Roman" w:cs="Times New Roman"/>
          <w:sz w:val="24"/>
        </w:rPr>
        <w:t>unitless</w:t>
      </w:r>
      <w:proofErr w:type="spellEnd"/>
      <w:r w:rsidRPr="00166DF7">
        <w:rPr>
          <w:rFonts w:ascii="Times New Roman" w:hAnsi="Times New Roman" w:cs="Times New Roman"/>
          <w:sz w:val="24"/>
        </w:rPr>
        <w:t xml:space="preserve">); </w:t>
      </w:r>
      <w:proofErr w:type="spellStart"/>
      <w:r w:rsidRPr="00166DF7">
        <w:rPr>
          <w:rFonts w:ascii="Times New Roman" w:hAnsi="Times New Roman" w:cs="Times New Roman"/>
          <w:sz w:val="24"/>
        </w:rPr>
        <w:t>IR</w:t>
      </w:r>
      <w:r w:rsidRPr="00166DF7">
        <w:rPr>
          <w:rFonts w:ascii="Times New Roman" w:hAnsi="Times New Roman" w:cs="Times New Roman"/>
          <w:sz w:val="24"/>
          <w:vertAlign w:val="subscript"/>
        </w:rPr>
        <w:t>_inh</w:t>
      </w:r>
      <w:proofErr w:type="spellEnd"/>
      <w:r w:rsidRPr="00166DF7">
        <w:rPr>
          <w:rFonts w:ascii="Times New Roman" w:hAnsi="Times New Roman" w:cs="Times New Roman"/>
          <w:sz w:val="24"/>
        </w:rPr>
        <w:t xml:space="preserve"> (Inhalation rate): Adults: 20 m³/day, Children: 10 m³/day.</w:t>
      </w:r>
    </w:p>
    <w:p w14:paraId="12595593" w14:textId="53D439C9" w:rsidR="00166DF7" w:rsidRPr="00166DF7" w:rsidRDefault="002924E1"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2.6.2 </w:t>
      </w:r>
      <w:r w:rsidR="00166DF7" w:rsidRPr="00166DF7">
        <w:rPr>
          <w:rFonts w:ascii="Times New Roman" w:hAnsi="Times New Roman" w:cs="Times New Roman"/>
          <w:b/>
          <w:sz w:val="24"/>
        </w:rPr>
        <w:t>Risk Assessment for TPH</w:t>
      </w:r>
      <w:r w:rsidR="0050678F">
        <w:rPr>
          <w:rFonts w:ascii="Times New Roman" w:hAnsi="Times New Roman" w:cs="Times New Roman"/>
          <w:b/>
          <w:sz w:val="24"/>
        </w:rPr>
        <w:t xml:space="preserve"> </w:t>
      </w:r>
      <w:r w:rsidR="0050678F" w:rsidRPr="0050678F">
        <w:rPr>
          <w:rFonts w:ascii="Times New Roman" w:hAnsi="Times New Roman" w:cs="Times New Roman"/>
          <w:b/>
          <w:sz w:val="24"/>
          <w:highlight w:val="yellow"/>
        </w:rPr>
        <w:t>(</w:t>
      </w:r>
      <w:proofErr w:type="spellStart"/>
      <w:r w:rsidR="0050678F" w:rsidRPr="0050678F">
        <w:rPr>
          <w:rFonts w:ascii="Times New Roman" w:hAnsi="Times New Roman" w:cs="Times New Roman"/>
          <w:b/>
          <w:sz w:val="24"/>
          <w:highlight w:val="yellow"/>
        </w:rPr>
        <w:t>Pinedo</w:t>
      </w:r>
      <w:proofErr w:type="spellEnd"/>
      <w:r w:rsidR="0050678F" w:rsidRPr="0050678F">
        <w:rPr>
          <w:rFonts w:ascii="Times New Roman" w:hAnsi="Times New Roman" w:cs="Times New Roman"/>
          <w:b/>
          <w:sz w:val="24"/>
          <w:highlight w:val="yellow"/>
        </w:rPr>
        <w:t xml:space="preserve"> </w:t>
      </w:r>
      <w:r w:rsidR="0050678F" w:rsidRPr="0050678F">
        <w:rPr>
          <w:rFonts w:ascii="Times New Roman" w:hAnsi="Times New Roman" w:cs="Times New Roman"/>
          <w:b/>
          <w:i/>
          <w:sz w:val="24"/>
          <w:highlight w:val="yellow"/>
        </w:rPr>
        <w:t>et al.,</w:t>
      </w:r>
      <w:r w:rsidR="0050678F" w:rsidRPr="0050678F">
        <w:rPr>
          <w:rFonts w:ascii="Times New Roman" w:hAnsi="Times New Roman" w:cs="Times New Roman"/>
          <w:b/>
          <w:sz w:val="24"/>
          <w:highlight w:val="yellow"/>
        </w:rPr>
        <w:t xml:space="preserve"> 2014)</w:t>
      </w:r>
    </w:p>
    <w:p w14:paraId="0834A30A"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For TPH, the risk assessment often involves summing the risk for each hydrocarbon range.</w:t>
      </w:r>
    </w:p>
    <w:p w14:paraId="665F5C0F" w14:textId="77777777" w:rsidR="00166DF7" w:rsidRPr="00166DF7" w:rsidRDefault="00166DF7" w:rsidP="005D1F7D">
      <w:pPr>
        <w:spacing w:line="360" w:lineRule="auto"/>
        <w:jc w:val="both"/>
        <w:rPr>
          <w:rFonts w:ascii="Times New Roman" w:hAnsi="Times New Roman" w:cs="Times New Roman"/>
          <w:sz w:val="24"/>
        </w:rPr>
      </w:pPr>
      <m:oMathPara>
        <m:oMath>
          <m:r>
            <w:rPr>
              <w:rFonts w:ascii="Cambria Math" w:hAnsi="Cambria Math" w:cs="Times New Roman"/>
              <w:sz w:val="24"/>
            </w:rPr>
            <m:t>Risk TPH = Σ (Ci / RfDi)</m:t>
          </m:r>
        </m:oMath>
      </m:oMathPara>
    </w:p>
    <w:p w14:paraId="735B8E17"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Ci: Concentration of </w:t>
      </w:r>
      <w:r w:rsidR="0025630A">
        <w:rPr>
          <w:rFonts w:ascii="Times New Roman" w:hAnsi="Times New Roman" w:cs="Times New Roman"/>
          <w:sz w:val="24"/>
        </w:rPr>
        <w:t>each TPH fraction (mg/kg</w:t>
      </w:r>
      <w:r w:rsidRPr="00166DF7">
        <w:rPr>
          <w:rFonts w:ascii="Times New Roman" w:hAnsi="Times New Roman" w:cs="Times New Roman"/>
          <w:sz w:val="24"/>
        </w:rPr>
        <w:t>)</w:t>
      </w:r>
    </w:p>
    <w:p w14:paraId="1A66FA66" w14:textId="77777777" w:rsidR="00166DF7" w:rsidRPr="00166DF7" w:rsidRDefault="00166DF7" w:rsidP="005D1F7D">
      <w:pPr>
        <w:spacing w:line="360" w:lineRule="auto"/>
        <w:jc w:val="both"/>
        <w:rPr>
          <w:rFonts w:ascii="Times New Roman" w:hAnsi="Times New Roman" w:cs="Times New Roman"/>
          <w:sz w:val="24"/>
        </w:rPr>
      </w:pPr>
      <w:proofErr w:type="spellStart"/>
      <w:r w:rsidRPr="00166DF7">
        <w:rPr>
          <w:rFonts w:ascii="Times New Roman" w:hAnsi="Times New Roman" w:cs="Times New Roman"/>
          <w:sz w:val="24"/>
        </w:rPr>
        <w:t>RfDi</w:t>
      </w:r>
      <w:proofErr w:type="spellEnd"/>
      <w:r w:rsidRPr="00166DF7">
        <w:rPr>
          <w:rFonts w:ascii="Times New Roman" w:hAnsi="Times New Roman" w:cs="Times New Roman"/>
          <w:sz w:val="24"/>
        </w:rPr>
        <w:t>: Reference dose for the corresponding hydrocarbon fraction (in mg/kg/day):</w:t>
      </w:r>
    </w:p>
    <w:p w14:paraId="7BA0E036"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C</w:t>
      </w:r>
      <w:r w:rsidRPr="00166DF7">
        <w:rPr>
          <w:rFonts w:ascii="Times New Roman" w:hAnsi="Times New Roman" w:cs="Times New Roman"/>
          <w:sz w:val="24"/>
          <w:vertAlign w:val="subscript"/>
        </w:rPr>
        <w:t>10</w:t>
      </w:r>
      <w:r w:rsidRPr="00166DF7">
        <w:rPr>
          <w:rFonts w:ascii="Times New Roman" w:hAnsi="Times New Roman" w:cs="Times New Roman"/>
          <w:sz w:val="24"/>
        </w:rPr>
        <w:t>-C</w:t>
      </w:r>
      <w:r w:rsidRPr="00166DF7">
        <w:rPr>
          <w:rFonts w:ascii="Times New Roman" w:hAnsi="Times New Roman" w:cs="Times New Roman"/>
          <w:sz w:val="24"/>
          <w:vertAlign w:val="subscript"/>
        </w:rPr>
        <w:t>12</w:t>
      </w:r>
      <w:r w:rsidRPr="00166DF7">
        <w:rPr>
          <w:rFonts w:ascii="Times New Roman" w:hAnsi="Times New Roman" w:cs="Times New Roman"/>
          <w:sz w:val="24"/>
        </w:rPr>
        <w:t>: 0.0008 mg/kg/day</w:t>
      </w:r>
    </w:p>
    <w:p w14:paraId="65C66A8E"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C</w:t>
      </w:r>
      <w:r w:rsidRPr="00166DF7">
        <w:rPr>
          <w:rFonts w:ascii="Times New Roman" w:hAnsi="Times New Roman" w:cs="Times New Roman"/>
          <w:sz w:val="24"/>
          <w:vertAlign w:val="subscript"/>
        </w:rPr>
        <w:t>13</w:t>
      </w:r>
      <w:r w:rsidRPr="00166DF7">
        <w:rPr>
          <w:rFonts w:ascii="Times New Roman" w:hAnsi="Times New Roman" w:cs="Times New Roman"/>
          <w:sz w:val="24"/>
        </w:rPr>
        <w:t>-C</w:t>
      </w:r>
      <w:r w:rsidRPr="00166DF7">
        <w:rPr>
          <w:rFonts w:ascii="Times New Roman" w:hAnsi="Times New Roman" w:cs="Times New Roman"/>
          <w:sz w:val="24"/>
          <w:vertAlign w:val="subscript"/>
        </w:rPr>
        <w:t>16</w:t>
      </w:r>
      <w:r w:rsidRPr="00166DF7">
        <w:rPr>
          <w:rFonts w:ascii="Times New Roman" w:hAnsi="Times New Roman" w:cs="Times New Roman"/>
          <w:sz w:val="24"/>
        </w:rPr>
        <w:t>: 0.0005 mg/kg/day</w:t>
      </w:r>
    </w:p>
    <w:p w14:paraId="07F2BC01"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C</w:t>
      </w:r>
      <w:r w:rsidRPr="00166DF7">
        <w:rPr>
          <w:rFonts w:ascii="Times New Roman" w:hAnsi="Times New Roman" w:cs="Times New Roman"/>
          <w:sz w:val="24"/>
          <w:vertAlign w:val="subscript"/>
        </w:rPr>
        <w:t>17</w:t>
      </w:r>
      <w:r w:rsidRPr="00166DF7">
        <w:rPr>
          <w:rFonts w:ascii="Times New Roman" w:hAnsi="Times New Roman" w:cs="Times New Roman"/>
          <w:sz w:val="24"/>
        </w:rPr>
        <w:t>-C</w:t>
      </w:r>
      <w:r w:rsidRPr="00166DF7">
        <w:rPr>
          <w:rFonts w:ascii="Times New Roman" w:hAnsi="Times New Roman" w:cs="Times New Roman"/>
          <w:sz w:val="24"/>
          <w:vertAlign w:val="subscript"/>
        </w:rPr>
        <w:t>20</w:t>
      </w:r>
      <w:r w:rsidRPr="00166DF7">
        <w:rPr>
          <w:rFonts w:ascii="Times New Roman" w:hAnsi="Times New Roman" w:cs="Times New Roman"/>
          <w:sz w:val="24"/>
        </w:rPr>
        <w:t>: 0.0003 mg/kg/day</w:t>
      </w:r>
    </w:p>
    <w:p w14:paraId="062333DB"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C</w:t>
      </w:r>
      <w:r w:rsidRPr="00166DF7">
        <w:rPr>
          <w:rFonts w:ascii="Times New Roman" w:hAnsi="Times New Roman" w:cs="Times New Roman"/>
          <w:sz w:val="24"/>
          <w:vertAlign w:val="subscript"/>
        </w:rPr>
        <w:t>21</w:t>
      </w:r>
      <w:r w:rsidRPr="00166DF7">
        <w:rPr>
          <w:rFonts w:ascii="Times New Roman" w:hAnsi="Times New Roman" w:cs="Times New Roman"/>
          <w:sz w:val="24"/>
        </w:rPr>
        <w:t>-C</w:t>
      </w:r>
      <w:r w:rsidRPr="00166DF7">
        <w:rPr>
          <w:rFonts w:ascii="Times New Roman" w:hAnsi="Times New Roman" w:cs="Times New Roman"/>
          <w:sz w:val="24"/>
          <w:vertAlign w:val="subscript"/>
        </w:rPr>
        <w:t>24</w:t>
      </w:r>
      <w:r w:rsidRPr="00166DF7">
        <w:rPr>
          <w:rFonts w:ascii="Times New Roman" w:hAnsi="Times New Roman" w:cs="Times New Roman"/>
          <w:sz w:val="24"/>
        </w:rPr>
        <w:t>: 0.0002 mg/kg/day</w:t>
      </w:r>
    </w:p>
    <w:p w14:paraId="0F890299"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C</w:t>
      </w:r>
      <w:r w:rsidRPr="00166DF7">
        <w:rPr>
          <w:rFonts w:ascii="Times New Roman" w:hAnsi="Times New Roman" w:cs="Times New Roman"/>
          <w:sz w:val="24"/>
          <w:vertAlign w:val="subscript"/>
        </w:rPr>
        <w:t>25</w:t>
      </w:r>
      <w:r w:rsidRPr="00166DF7">
        <w:rPr>
          <w:rFonts w:ascii="Times New Roman" w:hAnsi="Times New Roman" w:cs="Times New Roman"/>
          <w:sz w:val="24"/>
        </w:rPr>
        <w:t>-C</w:t>
      </w:r>
      <w:r w:rsidRPr="00166DF7">
        <w:rPr>
          <w:rFonts w:ascii="Times New Roman" w:hAnsi="Times New Roman" w:cs="Times New Roman"/>
          <w:sz w:val="24"/>
          <w:vertAlign w:val="subscript"/>
        </w:rPr>
        <w:t>30</w:t>
      </w:r>
      <w:r w:rsidRPr="00166DF7">
        <w:rPr>
          <w:rFonts w:ascii="Times New Roman" w:hAnsi="Times New Roman" w:cs="Times New Roman"/>
          <w:sz w:val="24"/>
        </w:rPr>
        <w:t>: 0.0001 mg/kg/day</w:t>
      </w:r>
    </w:p>
    <w:p w14:paraId="1635573D" w14:textId="77777777" w:rsidR="00166DF7" w:rsidRPr="00166DF7" w:rsidRDefault="00A755CF" w:rsidP="005D1F7D">
      <w:pPr>
        <w:spacing w:line="360" w:lineRule="auto"/>
        <w:jc w:val="both"/>
        <w:rPr>
          <w:rFonts w:ascii="Times New Roman" w:hAnsi="Times New Roman" w:cs="Times New Roman"/>
          <w:b/>
          <w:sz w:val="24"/>
        </w:rPr>
      </w:pPr>
      <w:r>
        <w:rPr>
          <w:rFonts w:ascii="Times New Roman" w:hAnsi="Times New Roman" w:cs="Times New Roman"/>
          <w:b/>
          <w:sz w:val="24"/>
        </w:rPr>
        <w:t>Table 2</w:t>
      </w:r>
      <w:r w:rsidR="00166DF7" w:rsidRPr="00166DF7">
        <w:rPr>
          <w:rFonts w:ascii="Times New Roman" w:hAnsi="Times New Roman" w:cs="Times New Roman"/>
          <w:b/>
          <w:sz w:val="24"/>
        </w:rPr>
        <w:t xml:space="preserve">: Reference value for Heavy metals </w:t>
      </w:r>
      <w:r w:rsidR="00166DF7" w:rsidRPr="0050678F">
        <w:rPr>
          <w:rFonts w:ascii="Times New Roman" w:hAnsi="Times New Roman" w:cs="Times New Roman"/>
          <w:b/>
          <w:sz w:val="24"/>
          <w:highlight w:val="yellow"/>
        </w:rPr>
        <w:t>(USEPA, 2020)</w:t>
      </w:r>
    </w:p>
    <w:tbl>
      <w:tblPr>
        <w:tblW w:w="0" w:type="auto"/>
        <w:jc w:val="center"/>
        <w:tblCellSpacing w:w="15" w:type="dxa"/>
        <w:tblBorders>
          <w:top w:val="single" w:sz="4" w:space="0" w:color="auto"/>
          <w:bottom w:val="single" w:sz="4" w:space="0" w:color="auto"/>
        </w:tblBorders>
        <w:tblLook w:val="04A0" w:firstRow="1" w:lastRow="0" w:firstColumn="1" w:lastColumn="0" w:noHBand="0" w:noVBand="1"/>
      </w:tblPr>
      <w:tblGrid>
        <w:gridCol w:w="1985"/>
        <w:gridCol w:w="1984"/>
        <w:gridCol w:w="1134"/>
        <w:gridCol w:w="2268"/>
        <w:gridCol w:w="851"/>
      </w:tblGrid>
      <w:tr w:rsidR="00166DF7" w:rsidRPr="00166DF7" w14:paraId="38DBC733" w14:textId="77777777" w:rsidTr="00166DF7">
        <w:trPr>
          <w:tblHeader/>
          <w:tblCellSpacing w:w="15" w:type="dxa"/>
          <w:jc w:val="center"/>
        </w:trPr>
        <w:tc>
          <w:tcPr>
            <w:tcW w:w="1940" w:type="dxa"/>
            <w:tcBorders>
              <w:top w:val="nil"/>
              <w:left w:val="nil"/>
              <w:bottom w:val="single" w:sz="4" w:space="0" w:color="auto"/>
              <w:right w:val="nil"/>
            </w:tcBorders>
            <w:tcMar>
              <w:top w:w="15" w:type="dxa"/>
              <w:left w:w="15" w:type="dxa"/>
              <w:bottom w:w="15" w:type="dxa"/>
              <w:right w:w="15" w:type="dxa"/>
            </w:tcMar>
            <w:vAlign w:val="center"/>
            <w:hideMark/>
          </w:tcPr>
          <w:p w14:paraId="176086B8" w14:textId="77777777" w:rsidR="00166DF7" w:rsidRPr="00166DF7" w:rsidRDefault="00166DF7" w:rsidP="005D1F7D">
            <w:pPr>
              <w:spacing w:line="360" w:lineRule="auto"/>
              <w:jc w:val="center"/>
              <w:rPr>
                <w:rFonts w:ascii="Times New Roman" w:hAnsi="Times New Roman" w:cs="Times New Roman"/>
                <w:b/>
                <w:bCs/>
                <w:sz w:val="24"/>
              </w:rPr>
            </w:pPr>
            <w:r w:rsidRPr="00166DF7">
              <w:rPr>
                <w:rFonts w:ascii="Times New Roman" w:hAnsi="Times New Roman" w:cs="Times New Roman"/>
                <w:b/>
                <w:bCs/>
                <w:sz w:val="24"/>
              </w:rPr>
              <w:t>Heavy Metal</w:t>
            </w:r>
          </w:p>
        </w:tc>
        <w:tc>
          <w:tcPr>
            <w:tcW w:w="3088" w:type="dxa"/>
            <w:gridSpan w:val="2"/>
            <w:tcBorders>
              <w:top w:val="nil"/>
              <w:left w:val="nil"/>
              <w:bottom w:val="single" w:sz="4" w:space="0" w:color="auto"/>
              <w:right w:val="nil"/>
            </w:tcBorders>
            <w:tcMar>
              <w:top w:w="15" w:type="dxa"/>
              <w:left w:w="15" w:type="dxa"/>
              <w:bottom w:w="15" w:type="dxa"/>
              <w:right w:w="15" w:type="dxa"/>
            </w:tcMar>
            <w:vAlign w:val="center"/>
            <w:hideMark/>
          </w:tcPr>
          <w:p w14:paraId="6D1D063A" w14:textId="77777777" w:rsidR="00166DF7" w:rsidRPr="00166DF7" w:rsidRDefault="00166DF7" w:rsidP="005D1F7D">
            <w:pPr>
              <w:spacing w:line="360" w:lineRule="auto"/>
              <w:jc w:val="center"/>
              <w:rPr>
                <w:rFonts w:ascii="Times New Roman" w:hAnsi="Times New Roman" w:cs="Times New Roman"/>
                <w:b/>
                <w:bCs/>
                <w:sz w:val="24"/>
              </w:rPr>
            </w:pPr>
            <w:r w:rsidRPr="00166DF7">
              <w:rPr>
                <w:rFonts w:ascii="Times New Roman" w:hAnsi="Times New Roman" w:cs="Times New Roman"/>
                <w:b/>
                <w:bCs/>
                <w:sz w:val="24"/>
              </w:rPr>
              <w:t>Dermal Exposure</w:t>
            </w:r>
          </w:p>
        </w:tc>
        <w:tc>
          <w:tcPr>
            <w:tcW w:w="3074" w:type="dxa"/>
            <w:gridSpan w:val="2"/>
            <w:tcBorders>
              <w:top w:val="nil"/>
              <w:left w:val="nil"/>
              <w:bottom w:val="single" w:sz="4" w:space="0" w:color="auto"/>
              <w:right w:val="nil"/>
            </w:tcBorders>
            <w:tcMar>
              <w:top w:w="15" w:type="dxa"/>
              <w:left w:w="15" w:type="dxa"/>
              <w:bottom w:w="15" w:type="dxa"/>
              <w:right w:w="15" w:type="dxa"/>
            </w:tcMar>
            <w:vAlign w:val="center"/>
            <w:hideMark/>
          </w:tcPr>
          <w:p w14:paraId="0D84C08E" w14:textId="77777777" w:rsidR="00166DF7" w:rsidRPr="00166DF7" w:rsidRDefault="00166DF7" w:rsidP="005D1F7D">
            <w:pPr>
              <w:spacing w:line="360" w:lineRule="auto"/>
              <w:jc w:val="center"/>
              <w:rPr>
                <w:rFonts w:ascii="Times New Roman" w:hAnsi="Times New Roman" w:cs="Times New Roman"/>
                <w:b/>
                <w:bCs/>
                <w:sz w:val="24"/>
              </w:rPr>
            </w:pPr>
            <w:r w:rsidRPr="00166DF7">
              <w:rPr>
                <w:rFonts w:ascii="Times New Roman" w:hAnsi="Times New Roman" w:cs="Times New Roman"/>
                <w:b/>
                <w:bCs/>
                <w:sz w:val="24"/>
              </w:rPr>
              <w:t>Ingestion Exposure</w:t>
            </w:r>
          </w:p>
        </w:tc>
      </w:tr>
      <w:tr w:rsidR="00166DF7" w:rsidRPr="00166DF7" w14:paraId="13B6E5D5"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6275D188" w14:textId="77777777" w:rsidR="00166DF7" w:rsidRPr="00166DF7" w:rsidRDefault="00166DF7" w:rsidP="005D1F7D">
            <w:pPr>
              <w:spacing w:line="360" w:lineRule="auto"/>
              <w:jc w:val="both"/>
              <w:rPr>
                <w:rFonts w:ascii="Times New Roman" w:hAnsi="Times New Roman" w:cs="Times New Roman"/>
                <w:b/>
                <w:bCs/>
                <w:sz w:val="24"/>
              </w:rPr>
            </w:pPr>
          </w:p>
        </w:tc>
        <w:tc>
          <w:tcPr>
            <w:tcW w:w="1954" w:type="dxa"/>
            <w:tcBorders>
              <w:top w:val="nil"/>
              <w:left w:val="nil"/>
              <w:bottom w:val="nil"/>
              <w:right w:val="nil"/>
            </w:tcBorders>
            <w:tcMar>
              <w:top w:w="15" w:type="dxa"/>
              <w:left w:w="15" w:type="dxa"/>
              <w:bottom w:w="15" w:type="dxa"/>
              <w:right w:w="15" w:type="dxa"/>
            </w:tcMar>
            <w:vAlign w:val="center"/>
            <w:hideMark/>
          </w:tcPr>
          <w:p w14:paraId="5CF43EB9"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CSF</w:t>
            </w:r>
            <w:r w:rsidRPr="00166DF7">
              <w:rPr>
                <w:rFonts w:ascii="Times New Roman" w:hAnsi="Times New Roman" w:cs="Times New Roman"/>
                <w:sz w:val="24"/>
              </w:rPr>
              <w:t xml:space="preserve"> (mg/kg/day)</w:t>
            </w:r>
          </w:p>
        </w:tc>
        <w:tc>
          <w:tcPr>
            <w:tcW w:w="1104" w:type="dxa"/>
            <w:tcBorders>
              <w:top w:val="nil"/>
              <w:left w:val="nil"/>
              <w:bottom w:val="nil"/>
              <w:right w:val="nil"/>
            </w:tcBorders>
            <w:tcMar>
              <w:top w:w="15" w:type="dxa"/>
              <w:left w:w="15" w:type="dxa"/>
              <w:bottom w:w="15" w:type="dxa"/>
              <w:right w:w="15" w:type="dxa"/>
            </w:tcMar>
            <w:vAlign w:val="center"/>
            <w:hideMark/>
          </w:tcPr>
          <w:p w14:paraId="211723C3" w14:textId="77777777" w:rsidR="00166DF7" w:rsidRPr="00166DF7" w:rsidRDefault="00166DF7" w:rsidP="005D1F7D">
            <w:pPr>
              <w:spacing w:line="360" w:lineRule="auto"/>
              <w:jc w:val="center"/>
              <w:rPr>
                <w:rFonts w:ascii="Times New Roman" w:hAnsi="Times New Roman" w:cs="Times New Roman"/>
                <w:sz w:val="24"/>
              </w:rPr>
            </w:pPr>
            <w:proofErr w:type="spellStart"/>
            <w:r w:rsidRPr="00166DF7">
              <w:rPr>
                <w:rFonts w:ascii="Times New Roman" w:hAnsi="Times New Roman" w:cs="Times New Roman"/>
                <w:b/>
                <w:bCs/>
                <w:sz w:val="24"/>
              </w:rPr>
              <w:t>RfD</w:t>
            </w:r>
            <w:proofErr w:type="spellEnd"/>
          </w:p>
        </w:tc>
        <w:tc>
          <w:tcPr>
            <w:tcW w:w="2238" w:type="dxa"/>
            <w:tcBorders>
              <w:top w:val="nil"/>
              <w:left w:val="nil"/>
              <w:bottom w:val="nil"/>
              <w:right w:val="nil"/>
            </w:tcBorders>
            <w:tcMar>
              <w:top w:w="15" w:type="dxa"/>
              <w:left w:w="15" w:type="dxa"/>
              <w:bottom w:w="15" w:type="dxa"/>
              <w:right w:w="15" w:type="dxa"/>
            </w:tcMar>
            <w:vAlign w:val="center"/>
            <w:hideMark/>
          </w:tcPr>
          <w:p w14:paraId="0FC3C08A"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OSF</w:t>
            </w:r>
            <w:r w:rsidRPr="00166DF7">
              <w:rPr>
                <w:rFonts w:ascii="Times New Roman" w:hAnsi="Times New Roman" w:cs="Times New Roman"/>
                <w:sz w:val="24"/>
              </w:rPr>
              <w:t xml:space="preserve"> (mg/kg/day)</w:t>
            </w:r>
          </w:p>
        </w:tc>
        <w:tc>
          <w:tcPr>
            <w:tcW w:w="806" w:type="dxa"/>
            <w:tcBorders>
              <w:top w:val="nil"/>
              <w:left w:val="nil"/>
              <w:bottom w:val="nil"/>
              <w:right w:val="nil"/>
            </w:tcBorders>
            <w:tcMar>
              <w:top w:w="15" w:type="dxa"/>
              <w:left w:w="15" w:type="dxa"/>
              <w:bottom w:w="15" w:type="dxa"/>
              <w:right w:w="15" w:type="dxa"/>
            </w:tcMar>
            <w:vAlign w:val="center"/>
            <w:hideMark/>
          </w:tcPr>
          <w:p w14:paraId="63BE39A9" w14:textId="77777777" w:rsidR="00166DF7" w:rsidRPr="00166DF7" w:rsidRDefault="00166DF7" w:rsidP="005D1F7D">
            <w:pPr>
              <w:spacing w:line="360" w:lineRule="auto"/>
              <w:jc w:val="center"/>
              <w:rPr>
                <w:rFonts w:ascii="Times New Roman" w:hAnsi="Times New Roman" w:cs="Times New Roman"/>
                <w:sz w:val="24"/>
              </w:rPr>
            </w:pPr>
            <w:proofErr w:type="spellStart"/>
            <w:r w:rsidRPr="00166DF7">
              <w:rPr>
                <w:rFonts w:ascii="Times New Roman" w:hAnsi="Times New Roman" w:cs="Times New Roman"/>
                <w:b/>
                <w:bCs/>
                <w:sz w:val="24"/>
              </w:rPr>
              <w:t>RfD</w:t>
            </w:r>
            <w:proofErr w:type="spellEnd"/>
          </w:p>
        </w:tc>
      </w:tr>
      <w:tr w:rsidR="00166DF7" w:rsidRPr="00166DF7" w14:paraId="1D92C764"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6A9BE342"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Arsenic</w:t>
            </w:r>
          </w:p>
        </w:tc>
        <w:tc>
          <w:tcPr>
            <w:tcW w:w="1954" w:type="dxa"/>
            <w:tcBorders>
              <w:top w:val="nil"/>
              <w:left w:val="nil"/>
              <w:bottom w:val="nil"/>
              <w:right w:val="nil"/>
            </w:tcBorders>
            <w:tcMar>
              <w:top w:w="15" w:type="dxa"/>
              <w:left w:w="15" w:type="dxa"/>
              <w:bottom w:w="15" w:type="dxa"/>
              <w:right w:w="15" w:type="dxa"/>
            </w:tcMar>
            <w:vAlign w:val="center"/>
            <w:hideMark/>
          </w:tcPr>
          <w:p w14:paraId="796A54BB"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1.5</w:t>
            </w:r>
          </w:p>
        </w:tc>
        <w:tc>
          <w:tcPr>
            <w:tcW w:w="1104" w:type="dxa"/>
            <w:tcBorders>
              <w:top w:val="nil"/>
              <w:left w:val="nil"/>
              <w:bottom w:val="nil"/>
              <w:right w:val="nil"/>
            </w:tcBorders>
            <w:tcMar>
              <w:top w:w="15" w:type="dxa"/>
              <w:left w:w="15" w:type="dxa"/>
              <w:bottom w:w="15" w:type="dxa"/>
              <w:right w:w="15" w:type="dxa"/>
            </w:tcMar>
            <w:vAlign w:val="center"/>
            <w:hideMark/>
          </w:tcPr>
          <w:p w14:paraId="7F419080"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0.0003</w:t>
            </w:r>
          </w:p>
        </w:tc>
        <w:tc>
          <w:tcPr>
            <w:tcW w:w="2238" w:type="dxa"/>
            <w:tcBorders>
              <w:top w:val="nil"/>
              <w:left w:val="nil"/>
              <w:bottom w:val="nil"/>
              <w:right w:val="nil"/>
            </w:tcBorders>
            <w:tcMar>
              <w:top w:w="15" w:type="dxa"/>
              <w:left w:w="15" w:type="dxa"/>
              <w:bottom w:w="15" w:type="dxa"/>
              <w:right w:w="15" w:type="dxa"/>
            </w:tcMar>
            <w:vAlign w:val="center"/>
            <w:hideMark/>
          </w:tcPr>
          <w:p w14:paraId="11518766"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1.5</w:t>
            </w:r>
          </w:p>
        </w:tc>
        <w:tc>
          <w:tcPr>
            <w:tcW w:w="806" w:type="dxa"/>
            <w:tcBorders>
              <w:top w:val="nil"/>
              <w:left w:val="nil"/>
              <w:bottom w:val="nil"/>
              <w:right w:val="nil"/>
            </w:tcBorders>
            <w:tcMar>
              <w:top w:w="15" w:type="dxa"/>
              <w:left w:w="15" w:type="dxa"/>
              <w:bottom w:w="15" w:type="dxa"/>
              <w:right w:w="15" w:type="dxa"/>
            </w:tcMar>
            <w:vAlign w:val="center"/>
            <w:hideMark/>
          </w:tcPr>
          <w:p w14:paraId="7FC40222"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0.0003</w:t>
            </w:r>
          </w:p>
        </w:tc>
      </w:tr>
      <w:tr w:rsidR="00166DF7" w:rsidRPr="00166DF7" w14:paraId="53BBA6FC"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22F816AE"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Chromium (III)</w:t>
            </w:r>
          </w:p>
        </w:tc>
        <w:tc>
          <w:tcPr>
            <w:tcW w:w="1954" w:type="dxa"/>
            <w:tcBorders>
              <w:top w:val="nil"/>
              <w:left w:val="nil"/>
              <w:bottom w:val="nil"/>
              <w:right w:val="nil"/>
            </w:tcBorders>
            <w:tcMar>
              <w:top w:w="15" w:type="dxa"/>
              <w:left w:w="15" w:type="dxa"/>
              <w:bottom w:w="15" w:type="dxa"/>
              <w:right w:w="15" w:type="dxa"/>
            </w:tcMar>
            <w:vAlign w:val="center"/>
            <w:hideMark/>
          </w:tcPr>
          <w:p w14:paraId="228AD267"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1104" w:type="dxa"/>
            <w:tcBorders>
              <w:top w:val="nil"/>
              <w:left w:val="nil"/>
              <w:bottom w:val="nil"/>
              <w:right w:val="nil"/>
            </w:tcBorders>
            <w:tcMar>
              <w:top w:w="15" w:type="dxa"/>
              <w:left w:w="15" w:type="dxa"/>
              <w:bottom w:w="15" w:type="dxa"/>
              <w:right w:w="15" w:type="dxa"/>
            </w:tcMar>
            <w:vAlign w:val="center"/>
            <w:hideMark/>
          </w:tcPr>
          <w:p w14:paraId="42B66DF1"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0.005</w:t>
            </w:r>
          </w:p>
        </w:tc>
        <w:tc>
          <w:tcPr>
            <w:tcW w:w="2238" w:type="dxa"/>
            <w:tcBorders>
              <w:top w:val="nil"/>
              <w:left w:val="nil"/>
              <w:bottom w:val="nil"/>
              <w:right w:val="nil"/>
            </w:tcBorders>
            <w:tcMar>
              <w:top w:w="15" w:type="dxa"/>
              <w:left w:w="15" w:type="dxa"/>
              <w:bottom w:w="15" w:type="dxa"/>
              <w:right w:w="15" w:type="dxa"/>
            </w:tcMar>
            <w:vAlign w:val="center"/>
            <w:hideMark/>
          </w:tcPr>
          <w:p w14:paraId="6BA49D0D"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806" w:type="dxa"/>
            <w:tcBorders>
              <w:top w:val="nil"/>
              <w:left w:val="nil"/>
              <w:bottom w:val="nil"/>
              <w:right w:val="nil"/>
            </w:tcBorders>
            <w:tcMar>
              <w:top w:w="15" w:type="dxa"/>
              <w:left w:w="15" w:type="dxa"/>
              <w:bottom w:w="15" w:type="dxa"/>
              <w:right w:w="15" w:type="dxa"/>
            </w:tcMar>
            <w:vAlign w:val="center"/>
            <w:hideMark/>
          </w:tcPr>
          <w:p w14:paraId="2529E825"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1.5</w:t>
            </w:r>
          </w:p>
        </w:tc>
      </w:tr>
      <w:tr w:rsidR="00166DF7" w:rsidRPr="00166DF7" w14:paraId="598A674D"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6101FFB1"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Chromium (VI)</w:t>
            </w:r>
          </w:p>
        </w:tc>
        <w:tc>
          <w:tcPr>
            <w:tcW w:w="1954" w:type="dxa"/>
            <w:tcBorders>
              <w:top w:val="nil"/>
              <w:left w:val="nil"/>
              <w:bottom w:val="nil"/>
              <w:right w:val="nil"/>
            </w:tcBorders>
            <w:tcMar>
              <w:top w:w="15" w:type="dxa"/>
              <w:left w:w="15" w:type="dxa"/>
              <w:bottom w:w="15" w:type="dxa"/>
              <w:right w:w="15" w:type="dxa"/>
            </w:tcMar>
            <w:vAlign w:val="center"/>
            <w:hideMark/>
          </w:tcPr>
          <w:p w14:paraId="24BB0397"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1104" w:type="dxa"/>
            <w:tcBorders>
              <w:top w:val="nil"/>
              <w:left w:val="nil"/>
              <w:bottom w:val="nil"/>
              <w:right w:val="nil"/>
            </w:tcBorders>
            <w:tcMar>
              <w:top w:w="15" w:type="dxa"/>
              <w:left w:w="15" w:type="dxa"/>
              <w:bottom w:w="15" w:type="dxa"/>
              <w:right w:w="15" w:type="dxa"/>
            </w:tcMar>
            <w:vAlign w:val="center"/>
            <w:hideMark/>
          </w:tcPr>
          <w:p w14:paraId="35858CFA"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0.0003</w:t>
            </w:r>
          </w:p>
        </w:tc>
        <w:tc>
          <w:tcPr>
            <w:tcW w:w="2238" w:type="dxa"/>
            <w:tcBorders>
              <w:top w:val="nil"/>
              <w:left w:val="nil"/>
              <w:bottom w:val="nil"/>
              <w:right w:val="nil"/>
            </w:tcBorders>
            <w:tcMar>
              <w:top w:w="15" w:type="dxa"/>
              <w:left w:w="15" w:type="dxa"/>
              <w:bottom w:w="15" w:type="dxa"/>
              <w:right w:w="15" w:type="dxa"/>
            </w:tcMar>
            <w:vAlign w:val="center"/>
            <w:hideMark/>
          </w:tcPr>
          <w:p w14:paraId="5F7E137B"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0.5</w:t>
            </w:r>
          </w:p>
        </w:tc>
        <w:tc>
          <w:tcPr>
            <w:tcW w:w="806" w:type="dxa"/>
            <w:tcBorders>
              <w:top w:val="nil"/>
              <w:left w:val="nil"/>
              <w:bottom w:val="nil"/>
              <w:right w:val="nil"/>
            </w:tcBorders>
            <w:tcMar>
              <w:top w:w="15" w:type="dxa"/>
              <w:left w:w="15" w:type="dxa"/>
              <w:bottom w:w="15" w:type="dxa"/>
              <w:right w:w="15" w:type="dxa"/>
            </w:tcMar>
            <w:vAlign w:val="center"/>
            <w:hideMark/>
          </w:tcPr>
          <w:p w14:paraId="02BE4C86"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0.003</w:t>
            </w:r>
          </w:p>
        </w:tc>
      </w:tr>
      <w:tr w:rsidR="00166DF7" w:rsidRPr="00166DF7" w14:paraId="68C91CEB"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2DA9DEC6"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lastRenderedPageBreak/>
              <w:t>Copper</w:t>
            </w:r>
          </w:p>
        </w:tc>
        <w:tc>
          <w:tcPr>
            <w:tcW w:w="1954" w:type="dxa"/>
            <w:tcBorders>
              <w:top w:val="nil"/>
              <w:left w:val="nil"/>
              <w:bottom w:val="nil"/>
              <w:right w:val="nil"/>
            </w:tcBorders>
            <w:tcMar>
              <w:top w:w="15" w:type="dxa"/>
              <w:left w:w="15" w:type="dxa"/>
              <w:bottom w:w="15" w:type="dxa"/>
              <w:right w:w="15" w:type="dxa"/>
            </w:tcMar>
            <w:vAlign w:val="center"/>
            <w:hideMark/>
          </w:tcPr>
          <w:p w14:paraId="68D42EB0"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1104" w:type="dxa"/>
            <w:tcBorders>
              <w:top w:val="nil"/>
              <w:left w:val="nil"/>
              <w:bottom w:val="nil"/>
              <w:right w:val="nil"/>
            </w:tcBorders>
            <w:tcMar>
              <w:top w:w="15" w:type="dxa"/>
              <w:left w:w="15" w:type="dxa"/>
              <w:bottom w:w="15" w:type="dxa"/>
              <w:right w:w="15" w:type="dxa"/>
            </w:tcMar>
            <w:vAlign w:val="center"/>
            <w:hideMark/>
          </w:tcPr>
          <w:p w14:paraId="2F101132"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0.024</w:t>
            </w:r>
          </w:p>
        </w:tc>
        <w:tc>
          <w:tcPr>
            <w:tcW w:w="2238" w:type="dxa"/>
            <w:tcBorders>
              <w:top w:val="nil"/>
              <w:left w:val="nil"/>
              <w:bottom w:val="nil"/>
              <w:right w:val="nil"/>
            </w:tcBorders>
            <w:tcMar>
              <w:top w:w="15" w:type="dxa"/>
              <w:left w:w="15" w:type="dxa"/>
              <w:bottom w:w="15" w:type="dxa"/>
              <w:right w:w="15" w:type="dxa"/>
            </w:tcMar>
            <w:vAlign w:val="center"/>
            <w:hideMark/>
          </w:tcPr>
          <w:p w14:paraId="16707D4A"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806" w:type="dxa"/>
            <w:tcBorders>
              <w:top w:val="nil"/>
              <w:left w:val="nil"/>
              <w:bottom w:val="nil"/>
              <w:right w:val="nil"/>
            </w:tcBorders>
            <w:tcMar>
              <w:top w:w="15" w:type="dxa"/>
              <w:left w:w="15" w:type="dxa"/>
              <w:bottom w:w="15" w:type="dxa"/>
              <w:right w:w="15" w:type="dxa"/>
            </w:tcMar>
            <w:vAlign w:val="center"/>
            <w:hideMark/>
          </w:tcPr>
          <w:p w14:paraId="7483365A"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0.04</w:t>
            </w:r>
          </w:p>
        </w:tc>
      </w:tr>
      <w:tr w:rsidR="00166DF7" w:rsidRPr="00166DF7" w14:paraId="1ACC52B1"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066757E3"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Manganese</w:t>
            </w:r>
          </w:p>
        </w:tc>
        <w:tc>
          <w:tcPr>
            <w:tcW w:w="1954" w:type="dxa"/>
            <w:tcBorders>
              <w:top w:val="nil"/>
              <w:left w:val="nil"/>
              <w:bottom w:val="nil"/>
              <w:right w:val="nil"/>
            </w:tcBorders>
            <w:tcMar>
              <w:top w:w="15" w:type="dxa"/>
              <w:left w:w="15" w:type="dxa"/>
              <w:bottom w:w="15" w:type="dxa"/>
              <w:right w:w="15" w:type="dxa"/>
            </w:tcMar>
            <w:vAlign w:val="center"/>
            <w:hideMark/>
          </w:tcPr>
          <w:p w14:paraId="45A36440"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1104" w:type="dxa"/>
            <w:tcBorders>
              <w:top w:val="nil"/>
              <w:left w:val="nil"/>
              <w:bottom w:val="nil"/>
              <w:right w:val="nil"/>
            </w:tcBorders>
            <w:tcMar>
              <w:top w:w="15" w:type="dxa"/>
              <w:left w:w="15" w:type="dxa"/>
              <w:bottom w:w="15" w:type="dxa"/>
              <w:right w:w="15" w:type="dxa"/>
            </w:tcMar>
            <w:vAlign w:val="center"/>
            <w:hideMark/>
          </w:tcPr>
          <w:p w14:paraId="2849BB5A"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0.00005</w:t>
            </w:r>
          </w:p>
        </w:tc>
        <w:tc>
          <w:tcPr>
            <w:tcW w:w="2238" w:type="dxa"/>
            <w:tcBorders>
              <w:top w:val="nil"/>
              <w:left w:val="nil"/>
              <w:bottom w:val="nil"/>
              <w:right w:val="nil"/>
            </w:tcBorders>
            <w:tcMar>
              <w:top w:w="15" w:type="dxa"/>
              <w:left w:w="15" w:type="dxa"/>
              <w:bottom w:w="15" w:type="dxa"/>
              <w:right w:w="15" w:type="dxa"/>
            </w:tcMar>
            <w:vAlign w:val="center"/>
            <w:hideMark/>
          </w:tcPr>
          <w:p w14:paraId="2FA525D7"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806" w:type="dxa"/>
            <w:tcBorders>
              <w:top w:val="nil"/>
              <w:left w:val="nil"/>
              <w:bottom w:val="nil"/>
              <w:right w:val="nil"/>
            </w:tcBorders>
            <w:tcMar>
              <w:top w:w="15" w:type="dxa"/>
              <w:left w:w="15" w:type="dxa"/>
              <w:bottom w:w="15" w:type="dxa"/>
              <w:right w:w="15" w:type="dxa"/>
            </w:tcMar>
            <w:vAlign w:val="center"/>
            <w:hideMark/>
          </w:tcPr>
          <w:p w14:paraId="6DA98125"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0.14</w:t>
            </w:r>
          </w:p>
        </w:tc>
      </w:tr>
      <w:tr w:rsidR="00166DF7" w:rsidRPr="00166DF7" w14:paraId="6A94E8EA"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2B8D19A8"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Nickel</w:t>
            </w:r>
          </w:p>
        </w:tc>
        <w:tc>
          <w:tcPr>
            <w:tcW w:w="1954" w:type="dxa"/>
            <w:tcBorders>
              <w:top w:val="nil"/>
              <w:left w:val="nil"/>
              <w:bottom w:val="nil"/>
              <w:right w:val="nil"/>
            </w:tcBorders>
            <w:tcMar>
              <w:top w:w="15" w:type="dxa"/>
              <w:left w:w="15" w:type="dxa"/>
              <w:bottom w:w="15" w:type="dxa"/>
              <w:right w:w="15" w:type="dxa"/>
            </w:tcMar>
            <w:vAlign w:val="center"/>
            <w:hideMark/>
          </w:tcPr>
          <w:p w14:paraId="5F1E1533"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1104" w:type="dxa"/>
            <w:tcBorders>
              <w:top w:val="nil"/>
              <w:left w:val="nil"/>
              <w:bottom w:val="nil"/>
              <w:right w:val="nil"/>
            </w:tcBorders>
            <w:tcMar>
              <w:top w:w="15" w:type="dxa"/>
              <w:left w:w="15" w:type="dxa"/>
              <w:bottom w:w="15" w:type="dxa"/>
              <w:right w:w="15" w:type="dxa"/>
            </w:tcMar>
            <w:vAlign w:val="center"/>
            <w:hideMark/>
          </w:tcPr>
          <w:p w14:paraId="20203732"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0.0056</w:t>
            </w:r>
          </w:p>
        </w:tc>
        <w:tc>
          <w:tcPr>
            <w:tcW w:w="2238" w:type="dxa"/>
            <w:tcBorders>
              <w:top w:val="nil"/>
              <w:left w:val="nil"/>
              <w:bottom w:val="nil"/>
              <w:right w:val="nil"/>
            </w:tcBorders>
            <w:tcMar>
              <w:top w:w="15" w:type="dxa"/>
              <w:left w:w="15" w:type="dxa"/>
              <w:bottom w:w="15" w:type="dxa"/>
              <w:right w:w="15" w:type="dxa"/>
            </w:tcMar>
            <w:vAlign w:val="center"/>
            <w:hideMark/>
          </w:tcPr>
          <w:p w14:paraId="0EF241B3"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806" w:type="dxa"/>
            <w:tcBorders>
              <w:top w:val="nil"/>
              <w:left w:val="nil"/>
              <w:bottom w:val="nil"/>
              <w:right w:val="nil"/>
            </w:tcBorders>
            <w:tcMar>
              <w:top w:w="15" w:type="dxa"/>
              <w:left w:w="15" w:type="dxa"/>
              <w:bottom w:w="15" w:type="dxa"/>
              <w:right w:w="15" w:type="dxa"/>
            </w:tcMar>
            <w:vAlign w:val="center"/>
            <w:hideMark/>
          </w:tcPr>
          <w:p w14:paraId="7ECF1CE8"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0.02</w:t>
            </w:r>
          </w:p>
        </w:tc>
      </w:tr>
    </w:tbl>
    <w:p w14:paraId="6DB843EE" w14:textId="77777777" w:rsidR="00166DF7" w:rsidRPr="00166DF7" w:rsidRDefault="00F7497C" w:rsidP="005D1F7D">
      <w:pPr>
        <w:spacing w:line="360" w:lineRule="auto"/>
        <w:jc w:val="both"/>
        <w:rPr>
          <w:rFonts w:ascii="Times New Roman" w:hAnsi="Times New Roman" w:cs="Times New Roman"/>
          <w:sz w:val="24"/>
        </w:rPr>
      </w:pPr>
      <w:r>
        <w:rPr>
          <w:rFonts w:ascii="Times New Roman" w:hAnsi="Times New Roman" w:cs="Times New Roman"/>
          <w:sz w:val="24"/>
        </w:rPr>
        <w:t>NA: Not Available</w:t>
      </w:r>
    </w:p>
    <w:p w14:paraId="5112E304"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Where: CSF: cancer slope factor (mg/kg/day), OSF: oral slope factor (mg/kg/day), IUR: inhalation unit risk (mg/m</w:t>
      </w:r>
      <w:r w:rsidRPr="00166DF7">
        <w:rPr>
          <w:rFonts w:ascii="Times New Roman" w:hAnsi="Times New Roman" w:cs="Times New Roman"/>
          <w:sz w:val="24"/>
          <w:vertAlign w:val="superscript"/>
        </w:rPr>
        <w:t>3</w:t>
      </w:r>
      <w:r w:rsidRPr="00166DF7">
        <w:rPr>
          <w:rFonts w:ascii="Times New Roman" w:hAnsi="Times New Roman" w:cs="Times New Roman"/>
          <w:sz w:val="24"/>
        </w:rPr>
        <w:t xml:space="preserve">), </w:t>
      </w:r>
      <w:proofErr w:type="spellStart"/>
      <w:r w:rsidRPr="00166DF7">
        <w:rPr>
          <w:rFonts w:ascii="Times New Roman" w:hAnsi="Times New Roman" w:cs="Times New Roman"/>
          <w:sz w:val="24"/>
        </w:rPr>
        <w:t>RfD</w:t>
      </w:r>
      <w:proofErr w:type="spellEnd"/>
      <w:r w:rsidRPr="00166DF7">
        <w:rPr>
          <w:rFonts w:ascii="Times New Roman" w:hAnsi="Times New Roman" w:cs="Times New Roman"/>
          <w:sz w:val="24"/>
        </w:rPr>
        <w:t xml:space="preserve">: reference dose, </w:t>
      </w:r>
      <w:proofErr w:type="spellStart"/>
      <w:r w:rsidRPr="00166DF7">
        <w:rPr>
          <w:rFonts w:ascii="Times New Roman" w:hAnsi="Times New Roman" w:cs="Times New Roman"/>
          <w:sz w:val="24"/>
        </w:rPr>
        <w:t>RfC</w:t>
      </w:r>
      <w:proofErr w:type="spellEnd"/>
      <w:r w:rsidRPr="00166DF7">
        <w:rPr>
          <w:rFonts w:ascii="Times New Roman" w:hAnsi="Times New Roman" w:cs="Times New Roman"/>
          <w:sz w:val="24"/>
        </w:rPr>
        <w:t>: reference concentration.</w:t>
      </w:r>
    </w:p>
    <w:p w14:paraId="5C9BFD79" w14:textId="77777777" w:rsidR="00166DF7" w:rsidRPr="00166DF7" w:rsidRDefault="003255C6" w:rsidP="005D1F7D">
      <w:pPr>
        <w:spacing w:line="360" w:lineRule="auto"/>
        <w:jc w:val="both"/>
        <w:rPr>
          <w:rFonts w:ascii="Times New Roman" w:hAnsi="Times New Roman" w:cs="Times New Roman"/>
          <w:b/>
          <w:bCs/>
          <w:sz w:val="24"/>
        </w:rPr>
      </w:pPr>
      <w:r>
        <w:rPr>
          <w:rFonts w:ascii="Times New Roman" w:hAnsi="Times New Roman" w:cs="Times New Roman"/>
          <w:b/>
          <w:bCs/>
          <w:sz w:val="24"/>
        </w:rPr>
        <w:t xml:space="preserve">2.7 </w:t>
      </w:r>
      <w:r w:rsidR="00166DF7" w:rsidRPr="00166DF7">
        <w:rPr>
          <w:rFonts w:ascii="Times New Roman" w:hAnsi="Times New Roman" w:cs="Times New Roman"/>
          <w:b/>
          <w:bCs/>
          <w:sz w:val="24"/>
        </w:rPr>
        <w:t xml:space="preserve">Analytical quality assurance and quality control </w:t>
      </w:r>
    </w:p>
    <w:p w14:paraId="6757EFCF"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Proper quality assurance procedures and precautions were taken to ensure the reliability of the results. The samples were carefully handled to avoid any external influences that could interfere with the integrity of the sample and hence contaminate it. Glass wares were properly cleaned, and reagents were of analytical grades. Deionized water was used throughout the study. For the spectrophotometric analysis, reagent blank determinations were used to correct the instrument readings. For validation of the analytical procedure, repeated analysis of the samples against internationally certified/standard reference material (SRM-1570) of National Institute of Standard and Technology were used. </w:t>
      </w:r>
    </w:p>
    <w:p w14:paraId="3397C4C5" w14:textId="77777777" w:rsidR="00166DF7" w:rsidRPr="00166DF7" w:rsidRDefault="00706E6D"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2.8 </w:t>
      </w:r>
      <w:r w:rsidR="00166DF7" w:rsidRPr="00166DF7">
        <w:rPr>
          <w:rFonts w:ascii="Times New Roman" w:hAnsi="Times New Roman" w:cs="Times New Roman"/>
          <w:b/>
          <w:sz w:val="24"/>
        </w:rPr>
        <w:t>Data Analysis</w:t>
      </w:r>
    </w:p>
    <w:p w14:paraId="60649AF9"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Data obtained from soil and water samples were subjected to analysis using Microsoft Excel 2010 software. One-way Analysis of variance (ANOVA) was used to test for the significant differences. Correlation analysis and principal component analysis was done on physiochemical parameters with heavy metals to establish the relationship of the data between them and the sources of the TPH and heavy metals respectively.</w:t>
      </w:r>
    </w:p>
    <w:p w14:paraId="49FFD87D" w14:textId="77777777" w:rsidR="008543CD" w:rsidRPr="00877D5C" w:rsidRDefault="004B73D9" w:rsidP="005D1F7D">
      <w:pPr>
        <w:spacing w:line="360" w:lineRule="auto"/>
        <w:rPr>
          <w:rFonts w:ascii="Times New Roman" w:hAnsi="Times New Roman" w:cs="Times New Roman"/>
          <w:b/>
          <w:sz w:val="24"/>
        </w:rPr>
      </w:pPr>
      <w:r>
        <w:rPr>
          <w:rFonts w:ascii="Times New Roman" w:hAnsi="Times New Roman" w:cs="Times New Roman"/>
          <w:b/>
          <w:sz w:val="24"/>
        </w:rPr>
        <w:t xml:space="preserve">3.0 </w:t>
      </w:r>
      <w:r w:rsidR="008543CD" w:rsidRPr="00877D5C">
        <w:rPr>
          <w:rFonts w:ascii="Times New Roman" w:hAnsi="Times New Roman" w:cs="Times New Roman"/>
          <w:b/>
          <w:sz w:val="24"/>
        </w:rPr>
        <w:t>RESULTS AND DISCUSSION</w:t>
      </w:r>
    </w:p>
    <w:p w14:paraId="7721011C" w14:textId="77777777" w:rsidR="00031DB4" w:rsidRPr="00031DB4" w:rsidRDefault="00031DB4" w:rsidP="005D1F7D">
      <w:pPr>
        <w:spacing w:line="360" w:lineRule="auto"/>
        <w:rPr>
          <w:rFonts w:ascii="Times New Roman" w:hAnsi="Times New Roman" w:cs="Times New Roman"/>
          <w:b/>
          <w:sz w:val="24"/>
        </w:rPr>
      </w:pPr>
      <w:r>
        <w:rPr>
          <w:rFonts w:ascii="Times New Roman" w:hAnsi="Times New Roman" w:cs="Times New Roman"/>
          <w:b/>
          <w:sz w:val="24"/>
        </w:rPr>
        <w:t xml:space="preserve">3.1 </w:t>
      </w:r>
      <w:r w:rsidRPr="00031DB4">
        <w:rPr>
          <w:rFonts w:ascii="Times New Roman" w:hAnsi="Times New Roman" w:cs="Times New Roman"/>
          <w:b/>
          <w:sz w:val="24"/>
        </w:rPr>
        <w:t>Physicochemica</w:t>
      </w:r>
      <w:r>
        <w:rPr>
          <w:rFonts w:ascii="Times New Roman" w:hAnsi="Times New Roman" w:cs="Times New Roman"/>
          <w:b/>
          <w:sz w:val="24"/>
        </w:rPr>
        <w:t xml:space="preserve">l Properties of </w:t>
      </w:r>
      <w:proofErr w:type="spellStart"/>
      <w:r>
        <w:rPr>
          <w:rFonts w:ascii="Times New Roman" w:hAnsi="Times New Roman" w:cs="Times New Roman"/>
          <w:b/>
          <w:sz w:val="24"/>
        </w:rPr>
        <w:t>Nsisioken</w:t>
      </w:r>
      <w:proofErr w:type="spellEnd"/>
      <w:r>
        <w:rPr>
          <w:rFonts w:ascii="Times New Roman" w:hAnsi="Times New Roman" w:cs="Times New Roman"/>
          <w:b/>
          <w:sz w:val="24"/>
        </w:rPr>
        <w:t xml:space="preserve"> River</w:t>
      </w:r>
    </w:p>
    <w:p w14:paraId="483476DF" w14:textId="77777777" w:rsidR="00031DB4" w:rsidRPr="00031DB4" w:rsidRDefault="00031DB4" w:rsidP="005D1F7D">
      <w:pPr>
        <w:spacing w:line="360" w:lineRule="auto"/>
        <w:rPr>
          <w:rFonts w:ascii="Times New Roman" w:hAnsi="Times New Roman" w:cs="Times New Roman"/>
          <w:b/>
          <w:sz w:val="24"/>
        </w:rPr>
      </w:pPr>
      <w:r>
        <w:rPr>
          <w:rFonts w:ascii="Times New Roman" w:hAnsi="Times New Roman" w:cs="Times New Roman"/>
          <w:b/>
          <w:sz w:val="24"/>
        </w:rPr>
        <w:t>Table 3</w:t>
      </w:r>
      <w:r w:rsidRPr="00031DB4">
        <w:rPr>
          <w:rFonts w:ascii="Times New Roman" w:hAnsi="Times New Roman" w:cs="Times New Roman"/>
          <w:b/>
          <w:sz w:val="24"/>
        </w:rPr>
        <w:t xml:space="preserve">: Result of physicochemical properties of </w:t>
      </w:r>
      <w:proofErr w:type="spellStart"/>
      <w:r w:rsidRPr="00031DB4">
        <w:rPr>
          <w:rFonts w:ascii="Times New Roman" w:hAnsi="Times New Roman" w:cs="Times New Roman"/>
          <w:b/>
          <w:sz w:val="24"/>
        </w:rPr>
        <w:t>Nsisioken</w:t>
      </w:r>
      <w:proofErr w:type="spellEnd"/>
      <w:r w:rsidRPr="00031DB4">
        <w:rPr>
          <w:rFonts w:ascii="Times New Roman" w:hAnsi="Times New Roman" w:cs="Times New Roman"/>
          <w:b/>
          <w:sz w:val="24"/>
        </w:rPr>
        <w:t xml:space="preserve"> River</w:t>
      </w:r>
    </w:p>
    <w:tbl>
      <w:tblPr>
        <w:tblStyle w:val="TableGrid"/>
        <w:tblW w:w="978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77"/>
        <w:gridCol w:w="1418"/>
        <w:gridCol w:w="1558"/>
        <w:gridCol w:w="1419"/>
        <w:gridCol w:w="1842"/>
      </w:tblGrid>
      <w:tr w:rsidR="00031DB4" w:rsidRPr="00031DB4" w14:paraId="2D78AE6D" w14:textId="77777777" w:rsidTr="00FD2CCF">
        <w:tc>
          <w:tcPr>
            <w:tcW w:w="2268" w:type="dxa"/>
            <w:tcBorders>
              <w:top w:val="single" w:sz="4" w:space="0" w:color="auto"/>
              <w:left w:val="nil"/>
              <w:bottom w:val="single" w:sz="4" w:space="0" w:color="auto"/>
              <w:right w:val="nil"/>
            </w:tcBorders>
            <w:hideMark/>
          </w:tcPr>
          <w:p w14:paraId="1FC131D7"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lastRenderedPageBreak/>
              <w:t>Sample code</w:t>
            </w:r>
          </w:p>
        </w:tc>
        <w:tc>
          <w:tcPr>
            <w:tcW w:w="1277" w:type="dxa"/>
            <w:tcBorders>
              <w:top w:val="single" w:sz="4" w:space="0" w:color="auto"/>
              <w:left w:val="nil"/>
              <w:bottom w:val="single" w:sz="4" w:space="0" w:color="auto"/>
              <w:right w:val="nil"/>
            </w:tcBorders>
            <w:hideMark/>
          </w:tcPr>
          <w:p w14:paraId="51A1BD00"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pH</w:t>
            </w:r>
          </w:p>
        </w:tc>
        <w:tc>
          <w:tcPr>
            <w:tcW w:w="1418" w:type="dxa"/>
            <w:tcBorders>
              <w:top w:val="single" w:sz="4" w:space="0" w:color="auto"/>
              <w:left w:val="nil"/>
              <w:bottom w:val="single" w:sz="4" w:space="0" w:color="auto"/>
              <w:right w:val="nil"/>
            </w:tcBorders>
            <w:hideMark/>
          </w:tcPr>
          <w:p w14:paraId="44DC962C"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DO (mg/L)</w:t>
            </w:r>
          </w:p>
        </w:tc>
        <w:tc>
          <w:tcPr>
            <w:tcW w:w="1558" w:type="dxa"/>
            <w:tcBorders>
              <w:top w:val="single" w:sz="4" w:space="0" w:color="auto"/>
              <w:left w:val="nil"/>
              <w:bottom w:val="single" w:sz="4" w:space="0" w:color="auto"/>
              <w:right w:val="nil"/>
            </w:tcBorders>
            <w:hideMark/>
          </w:tcPr>
          <w:p w14:paraId="5D79E269"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COD (mg/L)</w:t>
            </w:r>
          </w:p>
        </w:tc>
        <w:tc>
          <w:tcPr>
            <w:tcW w:w="1419" w:type="dxa"/>
            <w:tcBorders>
              <w:top w:val="single" w:sz="4" w:space="0" w:color="auto"/>
              <w:left w:val="nil"/>
              <w:bottom w:val="single" w:sz="4" w:space="0" w:color="auto"/>
              <w:right w:val="nil"/>
            </w:tcBorders>
            <w:hideMark/>
          </w:tcPr>
          <w:p w14:paraId="27EFBA7A"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TDS (mg/L)</w:t>
            </w:r>
          </w:p>
        </w:tc>
        <w:tc>
          <w:tcPr>
            <w:tcW w:w="1842" w:type="dxa"/>
            <w:tcBorders>
              <w:top w:val="single" w:sz="4" w:space="0" w:color="auto"/>
              <w:left w:val="nil"/>
              <w:bottom w:val="single" w:sz="4" w:space="0" w:color="auto"/>
              <w:right w:val="nil"/>
            </w:tcBorders>
            <w:hideMark/>
          </w:tcPr>
          <w:p w14:paraId="32D1961D"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Turbidity (NTU)</w:t>
            </w:r>
          </w:p>
        </w:tc>
      </w:tr>
      <w:tr w:rsidR="00031DB4" w:rsidRPr="00031DB4" w14:paraId="43ACB55B" w14:textId="77777777" w:rsidTr="00FD2CCF">
        <w:tc>
          <w:tcPr>
            <w:tcW w:w="2268" w:type="dxa"/>
            <w:tcBorders>
              <w:top w:val="single" w:sz="4" w:space="0" w:color="auto"/>
              <w:left w:val="nil"/>
              <w:bottom w:val="nil"/>
              <w:right w:val="nil"/>
            </w:tcBorders>
            <w:hideMark/>
          </w:tcPr>
          <w:p w14:paraId="09C867EA"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1</w:t>
            </w:r>
          </w:p>
        </w:tc>
        <w:tc>
          <w:tcPr>
            <w:tcW w:w="1277" w:type="dxa"/>
            <w:tcBorders>
              <w:top w:val="single" w:sz="4" w:space="0" w:color="auto"/>
              <w:left w:val="nil"/>
              <w:bottom w:val="nil"/>
              <w:right w:val="nil"/>
            </w:tcBorders>
            <w:vAlign w:val="center"/>
            <w:hideMark/>
          </w:tcPr>
          <w:p w14:paraId="68472717"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7.3 ± 0.2</w:t>
            </w:r>
          </w:p>
        </w:tc>
        <w:tc>
          <w:tcPr>
            <w:tcW w:w="1418" w:type="dxa"/>
            <w:tcBorders>
              <w:top w:val="single" w:sz="4" w:space="0" w:color="auto"/>
              <w:left w:val="nil"/>
              <w:bottom w:val="nil"/>
              <w:right w:val="nil"/>
            </w:tcBorders>
            <w:vAlign w:val="center"/>
            <w:hideMark/>
          </w:tcPr>
          <w:p w14:paraId="0CB38835"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5.0 ± 0.6</w:t>
            </w:r>
          </w:p>
        </w:tc>
        <w:tc>
          <w:tcPr>
            <w:tcW w:w="1558" w:type="dxa"/>
            <w:tcBorders>
              <w:top w:val="single" w:sz="4" w:space="0" w:color="auto"/>
              <w:left w:val="nil"/>
              <w:bottom w:val="nil"/>
              <w:right w:val="nil"/>
            </w:tcBorders>
            <w:vAlign w:val="center"/>
            <w:hideMark/>
          </w:tcPr>
          <w:p w14:paraId="5E7D0D7A"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 ± 7.2</w:t>
            </w:r>
          </w:p>
        </w:tc>
        <w:tc>
          <w:tcPr>
            <w:tcW w:w="1419" w:type="dxa"/>
            <w:tcBorders>
              <w:top w:val="single" w:sz="4" w:space="0" w:color="auto"/>
              <w:left w:val="nil"/>
              <w:bottom w:val="nil"/>
              <w:right w:val="nil"/>
            </w:tcBorders>
            <w:vAlign w:val="center"/>
            <w:hideMark/>
          </w:tcPr>
          <w:p w14:paraId="7E7AF24F"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470 ± 50</w:t>
            </w:r>
          </w:p>
        </w:tc>
        <w:tc>
          <w:tcPr>
            <w:tcW w:w="1842" w:type="dxa"/>
            <w:tcBorders>
              <w:top w:val="single" w:sz="4" w:space="0" w:color="auto"/>
              <w:left w:val="nil"/>
              <w:bottom w:val="nil"/>
              <w:right w:val="nil"/>
            </w:tcBorders>
            <w:vAlign w:val="center"/>
            <w:hideMark/>
          </w:tcPr>
          <w:p w14:paraId="4DAEBD9B"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11.2 ± 2.5</w:t>
            </w:r>
          </w:p>
        </w:tc>
      </w:tr>
      <w:tr w:rsidR="00031DB4" w:rsidRPr="00031DB4" w14:paraId="4E657548" w14:textId="77777777" w:rsidTr="00FD2CCF">
        <w:tc>
          <w:tcPr>
            <w:tcW w:w="2268" w:type="dxa"/>
            <w:tcBorders>
              <w:top w:val="nil"/>
              <w:left w:val="nil"/>
              <w:bottom w:val="nil"/>
              <w:right w:val="nil"/>
            </w:tcBorders>
            <w:hideMark/>
          </w:tcPr>
          <w:p w14:paraId="53B639ED"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2</w:t>
            </w:r>
          </w:p>
        </w:tc>
        <w:tc>
          <w:tcPr>
            <w:tcW w:w="1277" w:type="dxa"/>
            <w:tcBorders>
              <w:top w:val="nil"/>
              <w:left w:val="nil"/>
              <w:bottom w:val="nil"/>
              <w:right w:val="nil"/>
            </w:tcBorders>
            <w:vAlign w:val="center"/>
            <w:hideMark/>
          </w:tcPr>
          <w:p w14:paraId="10D91916"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7.2 ± 0.3</w:t>
            </w:r>
          </w:p>
        </w:tc>
        <w:tc>
          <w:tcPr>
            <w:tcW w:w="1418" w:type="dxa"/>
            <w:tcBorders>
              <w:top w:val="nil"/>
              <w:left w:val="nil"/>
              <w:bottom w:val="nil"/>
              <w:right w:val="nil"/>
            </w:tcBorders>
            <w:vAlign w:val="center"/>
            <w:hideMark/>
          </w:tcPr>
          <w:p w14:paraId="73A40840"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 ± 0.5</w:t>
            </w:r>
          </w:p>
        </w:tc>
        <w:tc>
          <w:tcPr>
            <w:tcW w:w="1558" w:type="dxa"/>
            <w:tcBorders>
              <w:top w:val="nil"/>
              <w:left w:val="nil"/>
              <w:bottom w:val="nil"/>
              <w:right w:val="nil"/>
            </w:tcBorders>
            <w:vAlign w:val="center"/>
            <w:hideMark/>
          </w:tcPr>
          <w:p w14:paraId="76DD8658"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50 ± 6.5</w:t>
            </w:r>
          </w:p>
        </w:tc>
        <w:tc>
          <w:tcPr>
            <w:tcW w:w="1419" w:type="dxa"/>
            <w:tcBorders>
              <w:top w:val="nil"/>
              <w:left w:val="nil"/>
              <w:bottom w:val="nil"/>
              <w:right w:val="nil"/>
            </w:tcBorders>
            <w:vAlign w:val="center"/>
            <w:hideMark/>
          </w:tcPr>
          <w:p w14:paraId="2B77CAFE"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460 ± 55</w:t>
            </w:r>
          </w:p>
        </w:tc>
        <w:tc>
          <w:tcPr>
            <w:tcW w:w="1842" w:type="dxa"/>
            <w:tcBorders>
              <w:top w:val="nil"/>
              <w:left w:val="nil"/>
              <w:bottom w:val="nil"/>
              <w:right w:val="nil"/>
            </w:tcBorders>
            <w:vAlign w:val="center"/>
            <w:hideMark/>
          </w:tcPr>
          <w:p w14:paraId="2DB330D7"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10.5 ± 2.2</w:t>
            </w:r>
          </w:p>
        </w:tc>
      </w:tr>
      <w:tr w:rsidR="00031DB4" w:rsidRPr="00031DB4" w14:paraId="25940FFB" w14:textId="77777777" w:rsidTr="00FD2CCF">
        <w:tc>
          <w:tcPr>
            <w:tcW w:w="2268" w:type="dxa"/>
            <w:tcBorders>
              <w:top w:val="nil"/>
              <w:left w:val="nil"/>
              <w:bottom w:val="nil"/>
              <w:right w:val="nil"/>
            </w:tcBorders>
            <w:hideMark/>
          </w:tcPr>
          <w:p w14:paraId="25512872"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3</w:t>
            </w:r>
          </w:p>
        </w:tc>
        <w:tc>
          <w:tcPr>
            <w:tcW w:w="1277" w:type="dxa"/>
            <w:tcBorders>
              <w:top w:val="nil"/>
              <w:left w:val="nil"/>
              <w:bottom w:val="nil"/>
              <w:right w:val="nil"/>
            </w:tcBorders>
            <w:vAlign w:val="center"/>
            <w:hideMark/>
          </w:tcPr>
          <w:p w14:paraId="3589565C"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7.4 ± 0.2</w:t>
            </w:r>
          </w:p>
        </w:tc>
        <w:tc>
          <w:tcPr>
            <w:tcW w:w="1418" w:type="dxa"/>
            <w:tcBorders>
              <w:top w:val="nil"/>
              <w:left w:val="nil"/>
              <w:bottom w:val="nil"/>
              <w:right w:val="nil"/>
            </w:tcBorders>
            <w:vAlign w:val="center"/>
            <w:hideMark/>
          </w:tcPr>
          <w:p w14:paraId="70C2E30E"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5.2 ± 0.7</w:t>
            </w:r>
          </w:p>
        </w:tc>
        <w:tc>
          <w:tcPr>
            <w:tcW w:w="1558" w:type="dxa"/>
            <w:tcBorders>
              <w:top w:val="nil"/>
              <w:left w:val="nil"/>
              <w:bottom w:val="nil"/>
              <w:right w:val="nil"/>
            </w:tcBorders>
            <w:vAlign w:val="center"/>
            <w:hideMark/>
          </w:tcPr>
          <w:p w14:paraId="7F8D95E8"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45 ± 5.8</w:t>
            </w:r>
          </w:p>
        </w:tc>
        <w:tc>
          <w:tcPr>
            <w:tcW w:w="1419" w:type="dxa"/>
            <w:tcBorders>
              <w:top w:val="nil"/>
              <w:left w:val="nil"/>
              <w:bottom w:val="nil"/>
              <w:right w:val="nil"/>
            </w:tcBorders>
            <w:vAlign w:val="center"/>
            <w:hideMark/>
          </w:tcPr>
          <w:p w14:paraId="75BCCF01"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485 ± 58</w:t>
            </w:r>
          </w:p>
        </w:tc>
        <w:tc>
          <w:tcPr>
            <w:tcW w:w="1842" w:type="dxa"/>
            <w:tcBorders>
              <w:top w:val="nil"/>
              <w:left w:val="nil"/>
              <w:bottom w:val="nil"/>
              <w:right w:val="nil"/>
            </w:tcBorders>
            <w:vAlign w:val="center"/>
            <w:hideMark/>
          </w:tcPr>
          <w:p w14:paraId="675E3E97"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12.0 ± 2.9</w:t>
            </w:r>
          </w:p>
        </w:tc>
      </w:tr>
      <w:tr w:rsidR="00031DB4" w:rsidRPr="00031DB4" w14:paraId="46C8F652" w14:textId="77777777" w:rsidTr="00FD2CCF">
        <w:tc>
          <w:tcPr>
            <w:tcW w:w="2268" w:type="dxa"/>
            <w:tcBorders>
              <w:top w:val="nil"/>
              <w:left w:val="nil"/>
              <w:bottom w:val="nil"/>
              <w:right w:val="nil"/>
            </w:tcBorders>
            <w:hideMark/>
          </w:tcPr>
          <w:p w14:paraId="3C35E3F4"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4</w:t>
            </w:r>
          </w:p>
        </w:tc>
        <w:tc>
          <w:tcPr>
            <w:tcW w:w="1277" w:type="dxa"/>
            <w:tcBorders>
              <w:top w:val="nil"/>
              <w:left w:val="nil"/>
              <w:bottom w:val="nil"/>
              <w:right w:val="nil"/>
            </w:tcBorders>
            <w:vAlign w:val="center"/>
            <w:hideMark/>
          </w:tcPr>
          <w:p w14:paraId="7A76E453"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7.1 ± 0.1</w:t>
            </w:r>
          </w:p>
        </w:tc>
        <w:tc>
          <w:tcPr>
            <w:tcW w:w="1418" w:type="dxa"/>
            <w:tcBorders>
              <w:top w:val="nil"/>
              <w:left w:val="nil"/>
              <w:bottom w:val="nil"/>
              <w:right w:val="nil"/>
            </w:tcBorders>
            <w:vAlign w:val="center"/>
            <w:hideMark/>
          </w:tcPr>
          <w:p w14:paraId="3E223871"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5.3 ± 0.4</w:t>
            </w:r>
          </w:p>
        </w:tc>
        <w:tc>
          <w:tcPr>
            <w:tcW w:w="1558" w:type="dxa"/>
            <w:tcBorders>
              <w:top w:val="nil"/>
              <w:left w:val="nil"/>
              <w:bottom w:val="nil"/>
              <w:right w:val="nil"/>
            </w:tcBorders>
            <w:vAlign w:val="center"/>
            <w:hideMark/>
          </w:tcPr>
          <w:p w14:paraId="41DC1D4B"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46 ± 6.0</w:t>
            </w:r>
          </w:p>
        </w:tc>
        <w:tc>
          <w:tcPr>
            <w:tcW w:w="1419" w:type="dxa"/>
            <w:tcBorders>
              <w:top w:val="nil"/>
              <w:left w:val="nil"/>
              <w:bottom w:val="nil"/>
              <w:right w:val="nil"/>
            </w:tcBorders>
            <w:vAlign w:val="center"/>
            <w:hideMark/>
          </w:tcPr>
          <w:p w14:paraId="345CA2B5"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480 ± 52</w:t>
            </w:r>
          </w:p>
        </w:tc>
        <w:tc>
          <w:tcPr>
            <w:tcW w:w="1842" w:type="dxa"/>
            <w:tcBorders>
              <w:top w:val="nil"/>
              <w:left w:val="nil"/>
              <w:bottom w:val="nil"/>
              <w:right w:val="nil"/>
            </w:tcBorders>
            <w:vAlign w:val="center"/>
            <w:hideMark/>
          </w:tcPr>
          <w:p w14:paraId="60DAD923"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9.8 ± 2.3</w:t>
            </w:r>
          </w:p>
        </w:tc>
      </w:tr>
      <w:tr w:rsidR="00031DB4" w:rsidRPr="00031DB4" w14:paraId="7CE4840E" w14:textId="77777777" w:rsidTr="00FD2CCF">
        <w:tc>
          <w:tcPr>
            <w:tcW w:w="2268" w:type="dxa"/>
            <w:tcBorders>
              <w:top w:val="nil"/>
              <w:left w:val="nil"/>
              <w:bottom w:val="nil"/>
              <w:right w:val="nil"/>
            </w:tcBorders>
            <w:hideMark/>
          </w:tcPr>
          <w:p w14:paraId="269E8321"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5</w:t>
            </w:r>
          </w:p>
        </w:tc>
        <w:tc>
          <w:tcPr>
            <w:tcW w:w="1277" w:type="dxa"/>
            <w:tcBorders>
              <w:top w:val="nil"/>
              <w:left w:val="nil"/>
              <w:bottom w:val="nil"/>
              <w:right w:val="nil"/>
            </w:tcBorders>
            <w:vAlign w:val="center"/>
            <w:hideMark/>
          </w:tcPr>
          <w:p w14:paraId="2A194C93"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7.3 ± 0.2</w:t>
            </w:r>
          </w:p>
        </w:tc>
        <w:tc>
          <w:tcPr>
            <w:tcW w:w="1418" w:type="dxa"/>
            <w:tcBorders>
              <w:top w:val="nil"/>
              <w:left w:val="nil"/>
              <w:bottom w:val="nil"/>
              <w:right w:val="nil"/>
            </w:tcBorders>
            <w:vAlign w:val="center"/>
            <w:hideMark/>
          </w:tcPr>
          <w:p w14:paraId="279B7719"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4.9 ± 0.6</w:t>
            </w:r>
          </w:p>
        </w:tc>
        <w:tc>
          <w:tcPr>
            <w:tcW w:w="1558" w:type="dxa"/>
            <w:tcBorders>
              <w:top w:val="nil"/>
              <w:left w:val="nil"/>
              <w:bottom w:val="nil"/>
              <w:right w:val="nil"/>
            </w:tcBorders>
            <w:vAlign w:val="center"/>
            <w:hideMark/>
          </w:tcPr>
          <w:p w14:paraId="1234CFCE"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49 ± 6.3</w:t>
            </w:r>
          </w:p>
        </w:tc>
        <w:tc>
          <w:tcPr>
            <w:tcW w:w="1419" w:type="dxa"/>
            <w:tcBorders>
              <w:top w:val="nil"/>
              <w:left w:val="nil"/>
              <w:bottom w:val="nil"/>
              <w:right w:val="nil"/>
            </w:tcBorders>
            <w:vAlign w:val="center"/>
            <w:hideMark/>
          </w:tcPr>
          <w:p w14:paraId="0F14BD86"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475 ± 53</w:t>
            </w:r>
          </w:p>
        </w:tc>
        <w:tc>
          <w:tcPr>
            <w:tcW w:w="1842" w:type="dxa"/>
            <w:tcBorders>
              <w:top w:val="nil"/>
              <w:left w:val="nil"/>
              <w:bottom w:val="nil"/>
              <w:right w:val="nil"/>
            </w:tcBorders>
            <w:vAlign w:val="center"/>
            <w:hideMark/>
          </w:tcPr>
          <w:p w14:paraId="29B76D30"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10.8 ± 2.4</w:t>
            </w:r>
          </w:p>
        </w:tc>
      </w:tr>
      <w:tr w:rsidR="00031DB4" w:rsidRPr="00031DB4" w14:paraId="1C27BBC7" w14:textId="77777777" w:rsidTr="00FD2CCF">
        <w:tc>
          <w:tcPr>
            <w:tcW w:w="2268" w:type="dxa"/>
            <w:tcBorders>
              <w:top w:val="nil"/>
              <w:left w:val="nil"/>
              <w:bottom w:val="nil"/>
              <w:right w:val="nil"/>
            </w:tcBorders>
            <w:hideMark/>
          </w:tcPr>
          <w:p w14:paraId="65AB0113"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6</w:t>
            </w:r>
          </w:p>
        </w:tc>
        <w:tc>
          <w:tcPr>
            <w:tcW w:w="1277" w:type="dxa"/>
            <w:tcBorders>
              <w:top w:val="nil"/>
              <w:left w:val="nil"/>
              <w:bottom w:val="nil"/>
              <w:right w:val="nil"/>
            </w:tcBorders>
            <w:vAlign w:val="center"/>
            <w:hideMark/>
          </w:tcPr>
          <w:p w14:paraId="6C5516A2"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7.4 ± 0.2</w:t>
            </w:r>
          </w:p>
        </w:tc>
        <w:tc>
          <w:tcPr>
            <w:tcW w:w="1418" w:type="dxa"/>
            <w:tcBorders>
              <w:top w:val="nil"/>
              <w:left w:val="nil"/>
              <w:bottom w:val="nil"/>
              <w:right w:val="nil"/>
            </w:tcBorders>
            <w:vAlign w:val="center"/>
            <w:hideMark/>
          </w:tcPr>
          <w:p w14:paraId="175231CD"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5.1 ± 0.5</w:t>
            </w:r>
          </w:p>
        </w:tc>
        <w:tc>
          <w:tcPr>
            <w:tcW w:w="1558" w:type="dxa"/>
            <w:tcBorders>
              <w:top w:val="nil"/>
              <w:left w:val="nil"/>
              <w:bottom w:val="nil"/>
              <w:right w:val="nil"/>
            </w:tcBorders>
            <w:vAlign w:val="center"/>
            <w:hideMark/>
          </w:tcPr>
          <w:p w14:paraId="474D3D25"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47 ± 7.1</w:t>
            </w:r>
          </w:p>
        </w:tc>
        <w:tc>
          <w:tcPr>
            <w:tcW w:w="1419" w:type="dxa"/>
            <w:tcBorders>
              <w:top w:val="nil"/>
              <w:left w:val="nil"/>
              <w:bottom w:val="nil"/>
              <w:right w:val="nil"/>
            </w:tcBorders>
            <w:vAlign w:val="center"/>
            <w:hideMark/>
          </w:tcPr>
          <w:p w14:paraId="792F8CB4"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490 ± 55</w:t>
            </w:r>
          </w:p>
        </w:tc>
        <w:tc>
          <w:tcPr>
            <w:tcW w:w="1842" w:type="dxa"/>
            <w:tcBorders>
              <w:top w:val="nil"/>
              <w:left w:val="nil"/>
              <w:bottom w:val="nil"/>
              <w:right w:val="nil"/>
            </w:tcBorders>
            <w:vAlign w:val="center"/>
            <w:hideMark/>
          </w:tcPr>
          <w:p w14:paraId="3035D48C"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11.5 ± 2.7</w:t>
            </w:r>
          </w:p>
        </w:tc>
      </w:tr>
      <w:tr w:rsidR="00031DB4" w:rsidRPr="00031DB4" w14:paraId="4BF174C5" w14:textId="77777777" w:rsidTr="00FD2CCF">
        <w:tc>
          <w:tcPr>
            <w:tcW w:w="2268" w:type="dxa"/>
            <w:tcBorders>
              <w:top w:val="nil"/>
              <w:left w:val="nil"/>
              <w:bottom w:val="nil"/>
              <w:right w:val="nil"/>
            </w:tcBorders>
            <w:hideMark/>
          </w:tcPr>
          <w:p w14:paraId="3B5B8E9F"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7</w:t>
            </w:r>
          </w:p>
        </w:tc>
        <w:tc>
          <w:tcPr>
            <w:tcW w:w="1277" w:type="dxa"/>
            <w:tcBorders>
              <w:top w:val="nil"/>
              <w:left w:val="nil"/>
              <w:bottom w:val="nil"/>
              <w:right w:val="nil"/>
            </w:tcBorders>
            <w:vAlign w:val="center"/>
            <w:hideMark/>
          </w:tcPr>
          <w:p w14:paraId="427B2E9F"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7.2 ± 0.3</w:t>
            </w:r>
          </w:p>
        </w:tc>
        <w:tc>
          <w:tcPr>
            <w:tcW w:w="1418" w:type="dxa"/>
            <w:tcBorders>
              <w:top w:val="nil"/>
              <w:left w:val="nil"/>
              <w:bottom w:val="nil"/>
              <w:right w:val="nil"/>
            </w:tcBorders>
            <w:vAlign w:val="center"/>
            <w:hideMark/>
          </w:tcPr>
          <w:p w14:paraId="0AB860D5"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4.7 ± 0.6</w:t>
            </w:r>
          </w:p>
        </w:tc>
        <w:tc>
          <w:tcPr>
            <w:tcW w:w="1558" w:type="dxa"/>
            <w:tcBorders>
              <w:top w:val="nil"/>
              <w:left w:val="nil"/>
              <w:bottom w:val="nil"/>
              <w:right w:val="nil"/>
            </w:tcBorders>
            <w:vAlign w:val="center"/>
            <w:hideMark/>
          </w:tcPr>
          <w:p w14:paraId="5E678167"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52 ± 6.8</w:t>
            </w:r>
          </w:p>
        </w:tc>
        <w:tc>
          <w:tcPr>
            <w:tcW w:w="1419" w:type="dxa"/>
            <w:tcBorders>
              <w:top w:val="nil"/>
              <w:left w:val="nil"/>
              <w:bottom w:val="nil"/>
              <w:right w:val="nil"/>
            </w:tcBorders>
            <w:vAlign w:val="center"/>
            <w:hideMark/>
          </w:tcPr>
          <w:p w14:paraId="43DC24D5"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460 ± 58</w:t>
            </w:r>
          </w:p>
        </w:tc>
        <w:tc>
          <w:tcPr>
            <w:tcW w:w="1842" w:type="dxa"/>
            <w:tcBorders>
              <w:top w:val="nil"/>
              <w:left w:val="nil"/>
              <w:bottom w:val="nil"/>
              <w:right w:val="nil"/>
            </w:tcBorders>
            <w:vAlign w:val="center"/>
            <w:hideMark/>
          </w:tcPr>
          <w:p w14:paraId="6F7DE61A"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10.3 ± 2.1</w:t>
            </w:r>
          </w:p>
        </w:tc>
      </w:tr>
      <w:tr w:rsidR="00031DB4" w:rsidRPr="00031DB4" w14:paraId="5C83862D" w14:textId="77777777" w:rsidTr="00FD2CCF">
        <w:tc>
          <w:tcPr>
            <w:tcW w:w="2268" w:type="dxa"/>
            <w:tcBorders>
              <w:top w:val="nil"/>
              <w:left w:val="nil"/>
              <w:bottom w:val="nil"/>
              <w:right w:val="nil"/>
            </w:tcBorders>
            <w:hideMark/>
          </w:tcPr>
          <w:p w14:paraId="09199731"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8</w:t>
            </w:r>
          </w:p>
        </w:tc>
        <w:tc>
          <w:tcPr>
            <w:tcW w:w="1277" w:type="dxa"/>
            <w:tcBorders>
              <w:top w:val="nil"/>
              <w:left w:val="nil"/>
              <w:bottom w:val="nil"/>
              <w:right w:val="nil"/>
            </w:tcBorders>
            <w:vAlign w:val="center"/>
            <w:hideMark/>
          </w:tcPr>
          <w:p w14:paraId="35C9DC50"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7.5 ± 0.3</w:t>
            </w:r>
          </w:p>
        </w:tc>
        <w:tc>
          <w:tcPr>
            <w:tcW w:w="1418" w:type="dxa"/>
            <w:tcBorders>
              <w:top w:val="nil"/>
              <w:left w:val="nil"/>
              <w:bottom w:val="nil"/>
              <w:right w:val="nil"/>
            </w:tcBorders>
            <w:vAlign w:val="center"/>
            <w:hideMark/>
          </w:tcPr>
          <w:p w14:paraId="1C15B4AB"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5.4 ± 0.7</w:t>
            </w:r>
          </w:p>
        </w:tc>
        <w:tc>
          <w:tcPr>
            <w:tcW w:w="1558" w:type="dxa"/>
            <w:tcBorders>
              <w:top w:val="nil"/>
              <w:left w:val="nil"/>
              <w:bottom w:val="nil"/>
              <w:right w:val="nil"/>
            </w:tcBorders>
            <w:vAlign w:val="center"/>
            <w:hideMark/>
          </w:tcPr>
          <w:p w14:paraId="07C0C22A"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44 ± 5.5</w:t>
            </w:r>
          </w:p>
        </w:tc>
        <w:tc>
          <w:tcPr>
            <w:tcW w:w="1419" w:type="dxa"/>
            <w:tcBorders>
              <w:top w:val="nil"/>
              <w:left w:val="nil"/>
              <w:bottom w:val="nil"/>
              <w:right w:val="nil"/>
            </w:tcBorders>
            <w:vAlign w:val="center"/>
            <w:hideMark/>
          </w:tcPr>
          <w:p w14:paraId="08E58806"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495 ± 60</w:t>
            </w:r>
          </w:p>
        </w:tc>
        <w:tc>
          <w:tcPr>
            <w:tcW w:w="1842" w:type="dxa"/>
            <w:tcBorders>
              <w:top w:val="nil"/>
              <w:left w:val="nil"/>
              <w:bottom w:val="nil"/>
              <w:right w:val="nil"/>
            </w:tcBorders>
            <w:vAlign w:val="center"/>
            <w:hideMark/>
          </w:tcPr>
          <w:p w14:paraId="689FFB96"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12.2 ± 3.0</w:t>
            </w:r>
          </w:p>
        </w:tc>
      </w:tr>
      <w:tr w:rsidR="00031DB4" w:rsidRPr="00031DB4" w14:paraId="7214D974" w14:textId="77777777" w:rsidTr="00FD2CCF">
        <w:tc>
          <w:tcPr>
            <w:tcW w:w="2268" w:type="dxa"/>
            <w:tcBorders>
              <w:top w:val="nil"/>
              <w:left w:val="nil"/>
              <w:bottom w:val="nil"/>
              <w:right w:val="nil"/>
            </w:tcBorders>
            <w:hideMark/>
          </w:tcPr>
          <w:p w14:paraId="3CBF60A3"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9</w:t>
            </w:r>
          </w:p>
        </w:tc>
        <w:tc>
          <w:tcPr>
            <w:tcW w:w="1277" w:type="dxa"/>
            <w:tcBorders>
              <w:top w:val="nil"/>
              <w:left w:val="nil"/>
              <w:bottom w:val="nil"/>
              <w:right w:val="nil"/>
            </w:tcBorders>
            <w:vAlign w:val="center"/>
            <w:hideMark/>
          </w:tcPr>
          <w:p w14:paraId="14EB2376"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7.3 ± 0.2</w:t>
            </w:r>
          </w:p>
        </w:tc>
        <w:tc>
          <w:tcPr>
            <w:tcW w:w="1418" w:type="dxa"/>
            <w:tcBorders>
              <w:top w:val="nil"/>
              <w:left w:val="nil"/>
              <w:bottom w:val="nil"/>
              <w:right w:val="nil"/>
            </w:tcBorders>
            <w:vAlign w:val="center"/>
            <w:hideMark/>
          </w:tcPr>
          <w:p w14:paraId="1BBC1BF8"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5.2 ± 0.5</w:t>
            </w:r>
          </w:p>
        </w:tc>
        <w:tc>
          <w:tcPr>
            <w:tcW w:w="1558" w:type="dxa"/>
            <w:tcBorders>
              <w:top w:val="nil"/>
              <w:left w:val="nil"/>
              <w:bottom w:val="nil"/>
              <w:right w:val="nil"/>
            </w:tcBorders>
            <w:vAlign w:val="center"/>
            <w:hideMark/>
          </w:tcPr>
          <w:p w14:paraId="1A89B21E"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46 ± 6.1</w:t>
            </w:r>
          </w:p>
        </w:tc>
        <w:tc>
          <w:tcPr>
            <w:tcW w:w="1419" w:type="dxa"/>
            <w:tcBorders>
              <w:top w:val="nil"/>
              <w:left w:val="nil"/>
              <w:bottom w:val="nil"/>
              <w:right w:val="nil"/>
            </w:tcBorders>
            <w:vAlign w:val="center"/>
            <w:hideMark/>
          </w:tcPr>
          <w:p w14:paraId="2F82E524"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470 ± 54</w:t>
            </w:r>
          </w:p>
        </w:tc>
        <w:tc>
          <w:tcPr>
            <w:tcW w:w="1842" w:type="dxa"/>
            <w:tcBorders>
              <w:top w:val="nil"/>
              <w:left w:val="nil"/>
              <w:bottom w:val="nil"/>
              <w:right w:val="nil"/>
            </w:tcBorders>
            <w:vAlign w:val="center"/>
            <w:hideMark/>
          </w:tcPr>
          <w:p w14:paraId="4B9D716A"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11.0 ± 2.6</w:t>
            </w:r>
          </w:p>
        </w:tc>
      </w:tr>
      <w:tr w:rsidR="00031DB4" w:rsidRPr="00031DB4" w14:paraId="5FD7A615" w14:textId="77777777" w:rsidTr="00FD2CCF">
        <w:tc>
          <w:tcPr>
            <w:tcW w:w="2268" w:type="dxa"/>
            <w:tcBorders>
              <w:top w:val="nil"/>
              <w:left w:val="nil"/>
              <w:bottom w:val="single" w:sz="4" w:space="0" w:color="auto"/>
              <w:right w:val="nil"/>
            </w:tcBorders>
            <w:hideMark/>
          </w:tcPr>
          <w:p w14:paraId="24E73133"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10</w:t>
            </w:r>
          </w:p>
        </w:tc>
        <w:tc>
          <w:tcPr>
            <w:tcW w:w="1277" w:type="dxa"/>
            <w:tcBorders>
              <w:top w:val="nil"/>
              <w:left w:val="nil"/>
              <w:bottom w:val="single" w:sz="4" w:space="0" w:color="auto"/>
              <w:right w:val="nil"/>
            </w:tcBorders>
            <w:vAlign w:val="center"/>
            <w:hideMark/>
          </w:tcPr>
          <w:p w14:paraId="54574752"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7.2 ± 0.2</w:t>
            </w:r>
          </w:p>
        </w:tc>
        <w:tc>
          <w:tcPr>
            <w:tcW w:w="1418" w:type="dxa"/>
            <w:tcBorders>
              <w:top w:val="nil"/>
              <w:left w:val="nil"/>
              <w:bottom w:val="single" w:sz="4" w:space="0" w:color="auto"/>
              <w:right w:val="nil"/>
            </w:tcBorders>
            <w:vAlign w:val="center"/>
            <w:hideMark/>
          </w:tcPr>
          <w:p w14:paraId="3357EDCE"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 ± 0.4</w:t>
            </w:r>
          </w:p>
        </w:tc>
        <w:tc>
          <w:tcPr>
            <w:tcW w:w="1558" w:type="dxa"/>
            <w:tcBorders>
              <w:top w:val="nil"/>
              <w:left w:val="nil"/>
              <w:bottom w:val="single" w:sz="4" w:space="0" w:color="auto"/>
              <w:right w:val="nil"/>
            </w:tcBorders>
            <w:vAlign w:val="center"/>
            <w:hideMark/>
          </w:tcPr>
          <w:p w14:paraId="4F4AC995"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 ± 6.4</w:t>
            </w:r>
          </w:p>
        </w:tc>
        <w:tc>
          <w:tcPr>
            <w:tcW w:w="1419" w:type="dxa"/>
            <w:tcBorders>
              <w:top w:val="nil"/>
              <w:left w:val="nil"/>
              <w:bottom w:val="single" w:sz="4" w:space="0" w:color="auto"/>
              <w:right w:val="nil"/>
            </w:tcBorders>
            <w:vAlign w:val="center"/>
            <w:hideMark/>
          </w:tcPr>
          <w:p w14:paraId="0324397E"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480 ± 59</w:t>
            </w:r>
          </w:p>
        </w:tc>
        <w:tc>
          <w:tcPr>
            <w:tcW w:w="1842" w:type="dxa"/>
            <w:tcBorders>
              <w:top w:val="nil"/>
              <w:left w:val="nil"/>
              <w:bottom w:val="single" w:sz="4" w:space="0" w:color="auto"/>
              <w:right w:val="nil"/>
            </w:tcBorders>
            <w:vAlign w:val="center"/>
            <w:hideMark/>
          </w:tcPr>
          <w:p w14:paraId="1FBE3A84"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10.7 ± 2.4</w:t>
            </w:r>
          </w:p>
        </w:tc>
      </w:tr>
      <w:tr w:rsidR="00031DB4" w:rsidRPr="00031DB4" w14:paraId="27EC3BEB" w14:textId="77777777" w:rsidTr="00FD2CCF">
        <w:tc>
          <w:tcPr>
            <w:tcW w:w="2268" w:type="dxa"/>
            <w:tcBorders>
              <w:top w:val="single" w:sz="4" w:space="0" w:color="auto"/>
              <w:left w:val="nil"/>
              <w:bottom w:val="single" w:sz="4" w:space="0" w:color="auto"/>
              <w:right w:val="nil"/>
            </w:tcBorders>
            <w:hideMark/>
          </w:tcPr>
          <w:p w14:paraId="6F0B5316" w14:textId="77777777" w:rsidR="00031DB4" w:rsidRPr="00031DB4" w:rsidRDefault="00031DB4" w:rsidP="00C21D8D">
            <w:pPr>
              <w:spacing w:after="160" w:line="360" w:lineRule="auto"/>
              <w:jc w:val="center"/>
              <w:rPr>
                <w:rFonts w:ascii="Times New Roman" w:hAnsi="Times New Roman" w:cs="Times New Roman"/>
                <w:sz w:val="24"/>
              </w:rPr>
            </w:pPr>
            <w:r w:rsidRPr="00031DB4">
              <w:rPr>
                <w:rFonts w:ascii="Times New Roman" w:hAnsi="Times New Roman" w:cs="Times New Roman"/>
                <w:sz w:val="24"/>
              </w:rPr>
              <w:t>Mean</w:t>
            </w:r>
          </w:p>
        </w:tc>
        <w:tc>
          <w:tcPr>
            <w:tcW w:w="1277" w:type="dxa"/>
            <w:tcBorders>
              <w:top w:val="single" w:sz="4" w:space="0" w:color="auto"/>
              <w:left w:val="nil"/>
              <w:bottom w:val="single" w:sz="4" w:space="0" w:color="auto"/>
              <w:right w:val="nil"/>
            </w:tcBorders>
            <w:vAlign w:val="center"/>
            <w:hideMark/>
          </w:tcPr>
          <w:p w14:paraId="207F5C92" w14:textId="77777777" w:rsidR="00031DB4" w:rsidRPr="00031DB4" w:rsidRDefault="00031DB4" w:rsidP="00C21D8D">
            <w:pPr>
              <w:spacing w:after="160" w:line="360" w:lineRule="auto"/>
              <w:jc w:val="center"/>
              <w:rPr>
                <w:rFonts w:ascii="Times New Roman" w:hAnsi="Times New Roman" w:cs="Times New Roman"/>
                <w:sz w:val="24"/>
              </w:rPr>
            </w:pPr>
            <w:r w:rsidRPr="00031DB4">
              <w:rPr>
                <w:rFonts w:ascii="Times New Roman" w:hAnsi="Times New Roman" w:cs="Times New Roman"/>
                <w:sz w:val="24"/>
              </w:rPr>
              <w:t>7.29 ± 0.2</w:t>
            </w:r>
          </w:p>
        </w:tc>
        <w:tc>
          <w:tcPr>
            <w:tcW w:w="1418" w:type="dxa"/>
            <w:tcBorders>
              <w:top w:val="single" w:sz="4" w:space="0" w:color="auto"/>
              <w:left w:val="nil"/>
              <w:bottom w:val="single" w:sz="4" w:space="0" w:color="auto"/>
              <w:right w:val="nil"/>
            </w:tcBorders>
            <w:vAlign w:val="center"/>
            <w:hideMark/>
          </w:tcPr>
          <w:p w14:paraId="510EFDF7" w14:textId="77777777" w:rsidR="00031DB4" w:rsidRPr="00031DB4" w:rsidRDefault="00031DB4" w:rsidP="00C21D8D">
            <w:pPr>
              <w:spacing w:after="160" w:line="360" w:lineRule="auto"/>
              <w:jc w:val="center"/>
              <w:rPr>
                <w:rFonts w:ascii="Times New Roman" w:hAnsi="Times New Roman" w:cs="Times New Roman"/>
                <w:sz w:val="24"/>
              </w:rPr>
            </w:pPr>
            <w:r w:rsidRPr="00031DB4">
              <w:rPr>
                <w:rFonts w:ascii="Times New Roman" w:hAnsi="Times New Roman" w:cs="Times New Roman"/>
                <w:sz w:val="24"/>
              </w:rPr>
              <w:t>5.04 ± 0.6</w:t>
            </w:r>
          </w:p>
        </w:tc>
        <w:tc>
          <w:tcPr>
            <w:tcW w:w="1558" w:type="dxa"/>
            <w:tcBorders>
              <w:top w:val="single" w:sz="4" w:space="0" w:color="auto"/>
              <w:left w:val="nil"/>
              <w:bottom w:val="single" w:sz="4" w:space="0" w:color="auto"/>
              <w:right w:val="nil"/>
            </w:tcBorders>
            <w:vAlign w:val="center"/>
            <w:hideMark/>
          </w:tcPr>
          <w:p w14:paraId="4731DE06" w14:textId="77777777" w:rsidR="00031DB4" w:rsidRPr="00031DB4" w:rsidRDefault="00031DB4" w:rsidP="00C21D8D">
            <w:pPr>
              <w:spacing w:after="160" w:line="360" w:lineRule="auto"/>
              <w:jc w:val="center"/>
              <w:rPr>
                <w:rFonts w:ascii="Times New Roman" w:hAnsi="Times New Roman" w:cs="Times New Roman"/>
                <w:sz w:val="24"/>
              </w:rPr>
            </w:pPr>
            <w:r w:rsidRPr="00031DB4">
              <w:rPr>
                <w:rFonts w:ascii="Times New Roman" w:hAnsi="Times New Roman" w:cs="Times New Roman"/>
                <w:sz w:val="24"/>
              </w:rPr>
              <w:t>47.5 ± 6.4</w:t>
            </w:r>
          </w:p>
        </w:tc>
        <w:tc>
          <w:tcPr>
            <w:tcW w:w="1419" w:type="dxa"/>
            <w:tcBorders>
              <w:top w:val="single" w:sz="4" w:space="0" w:color="auto"/>
              <w:left w:val="nil"/>
              <w:bottom w:val="single" w:sz="4" w:space="0" w:color="auto"/>
              <w:right w:val="nil"/>
            </w:tcBorders>
            <w:vAlign w:val="center"/>
            <w:hideMark/>
          </w:tcPr>
          <w:p w14:paraId="5F1F583B" w14:textId="77777777" w:rsidR="00031DB4" w:rsidRPr="00031DB4" w:rsidRDefault="00031DB4" w:rsidP="00C21D8D">
            <w:pPr>
              <w:spacing w:after="160" w:line="360" w:lineRule="auto"/>
              <w:jc w:val="center"/>
              <w:rPr>
                <w:rFonts w:ascii="Times New Roman" w:hAnsi="Times New Roman" w:cs="Times New Roman"/>
                <w:sz w:val="24"/>
              </w:rPr>
            </w:pPr>
            <w:r w:rsidRPr="00031DB4">
              <w:rPr>
                <w:rFonts w:ascii="Times New Roman" w:hAnsi="Times New Roman" w:cs="Times New Roman"/>
                <w:sz w:val="24"/>
              </w:rPr>
              <w:t>476.5 ± 54</w:t>
            </w:r>
          </w:p>
        </w:tc>
        <w:tc>
          <w:tcPr>
            <w:tcW w:w="1842" w:type="dxa"/>
            <w:tcBorders>
              <w:top w:val="single" w:sz="4" w:space="0" w:color="auto"/>
              <w:left w:val="nil"/>
              <w:bottom w:val="single" w:sz="4" w:space="0" w:color="auto"/>
              <w:right w:val="nil"/>
            </w:tcBorders>
            <w:vAlign w:val="center"/>
            <w:hideMark/>
          </w:tcPr>
          <w:p w14:paraId="5088B749" w14:textId="77777777" w:rsidR="00031DB4" w:rsidRPr="00031DB4" w:rsidRDefault="00031DB4" w:rsidP="00C21D8D">
            <w:pPr>
              <w:spacing w:after="160" w:line="360" w:lineRule="auto"/>
              <w:jc w:val="center"/>
              <w:rPr>
                <w:rFonts w:ascii="Times New Roman" w:hAnsi="Times New Roman" w:cs="Times New Roman"/>
                <w:sz w:val="24"/>
              </w:rPr>
            </w:pPr>
            <w:r w:rsidRPr="00031DB4">
              <w:rPr>
                <w:rFonts w:ascii="Times New Roman" w:hAnsi="Times New Roman" w:cs="Times New Roman"/>
                <w:sz w:val="24"/>
              </w:rPr>
              <w:t>11.0 ± 2.4</w:t>
            </w:r>
          </w:p>
        </w:tc>
      </w:tr>
      <w:tr w:rsidR="00031DB4" w:rsidRPr="00031DB4" w14:paraId="020225A5" w14:textId="77777777" w:rsidTr="00FD2CCF">
        <w:tc>
          <w:tcPr>
            <w:tcW w:w="2268" w:type="dxa"/>
            <w:tcBorders>
              <w:top w:val="single" w:sz="4" w:space="0" w:color="auto"/>
              <w:left w:val="nil"/>
              <w:bottom w:val="single" w:sz="4" w:space="0" w:color="auto"/>
              <w:right w:val="nil"/>
            </w:tcBorders>
            <w:hideMark/>
          </w:tcPr>
          <w:p w14:paraId="2CC37C64" w14:textId="77777777" w:rsidR="00031DB4" w:rsidRPr="00031DB4" w:rsidRDefault="00031DB4" w:rsidP="00155AA1">
            <w:pPr>
              <w:spacing w:after="160"/>
              <w:jc w:val="center"/>
              <w:rPr>
                <w:rFonts w:ascii="Times New Roman" w:hAnsi="Times New Roman" w:cs="Times New Roman"/>
                <w:sz w:val="24"/>
              </w:rPr>
            </w:pPr>
            <w:r w:rsidRPr="00155AA1">
              <w:rPr>
                <w:rFonts w:ascii="Times New Roman" w:hAnsi="Times New Roman" w:cs="Times New Roman"/>
                <w:sz w:val="20"/>
              </w:rPr>
              <w:t>Permissible limit (WHO, 2017, USEPA, 2018)</w:t>
            </w:r>
          </w:p>
        </w:tc>
        <w:tc>
          <w:tcPr>
            <w:tcW w:w="1277" w:type="dxa"/>
            <w:tcBorders>
              <w:top w:val="single" w:sz="4" w:space="0" w:color="auto"/>
              <w:left w:val="nil"/>
              <w:bottom w:val="single" w:sz="4" w:space="0" w:color="auto"/>
              <w:right w:val="nil"/>
            </w:tcBorders>
            <w:vAlign w:val="center"/>
            <w:hideMark/>
          </w:tcPr>
          <w:p w14:paraId="6287CFE2" w14:textId="77777777" w:rsidR="00031DB4" w:rsidRPr="00031DB4" w:rsidRDefault="00031DB4" w:rsidP="00155AA1">
            <w:pPr>
              <w:spacing w:after="160"/>
              <w:jc w:val="center"/>
              <w:rPr>
                <w:rFonts w:ascii="Times New Roman" w:hAnsi="Times New Roman" w:cs="Times New Roman"/>
                <w:sz w:val="24"/>
              </w:rPr>
            </w:pPr>
            <w:r w:rsidRPr="00031DB4">
              <w:rPr>
                <w:rFonts w:ascii="Times New Roman" w:hAnsi="Times New Roman" w:cs="Times New Roman"/>
                <w:sz w:val="24"/>
              </w:rPr>
              <w:t>6.5-8.5</w:t>
            </w:r>
          </w:p>
        </w:tc>
        <w:tc>
          <w:tcPr>
            <w:tcW w:w="1418" w:type="dxa"/>
            <w:tcBorders>
              <w:top w:val="single" w:sz="4" w:space="0" w:color="auto"/>
              <w:left w:val="nil"/>
              <w:bottom w:val="single" w:sz="4" w:space="0" w:color="auto"/>
              <w:right w:val="nil"/>
            </w:tcBorders>
            <w:vAlign w:val="center"/>
            <w:hideMark/>
          </w:tcPr>
          <w:p w14:paraId="0F3EFCDA" w14:textId="77777777" w:rsidR="00031DB4" w:rsidRPr="00031DB4" w:rsidRDefault="00031DB4" w:rsidP="00155AA1">
            <w:pPr>
              <w:spacing w:after="160"/>
              <w:jc w:val="center"/>
              <w:rPr>
                <w:rFonts w:ascii="Times New Roman" w:hAnsi="Times New Roman" w:cs="Times New Roman"/>
                <w:sz w:val="24"/>
              </w:rPr>
            </w:pPr>
            <w:r w:rsidRPr="00031DB4">
              <w:rPr>
                <w:rFonts w:ascii="Times New Roman" w:hAnsi="Times New Roman" w:cs="Times New Roman"/>
                <w:sz w:val="24"/>
              </w:rPr>
              <w:t>≥</w:t>
            </w:r>
            <w:r w:rsidR="00C21D8D">
              <w:rPr>
                <w:rFonts w:ascii="Times New Roman" w:hAnsi="Times New Roman" w:cs="Times New Roman"/>
                <w:sz w:val="24"/>
              </w:rPr>
              <w:t xml:space="preserve"> </w:t>
            </w:r>
            <w:r w:rsidRPr="00031DB4">
              <w:rPr>
                <w:rFonts w:ascii="Times New Roman" w:hAnsi="Times New Roman" w:cs="Times New Roman"/>
                <w:sz w:val="24"/>
              </w:rPr>
              <w:t>5.0</w:t>
            </w:r>
          </w:p>
        </w:tc>
        <w:tc>
          <w:tcPr>
            <w:tcW w:w="1558" w:type="dxa"/>
            <w:tcBorders>
              <w:top w:val="single" w:sz="4" w:space="0" w:color="auto"/>
              <w:left w:val="nil"/>
              <w:bottom w:val="single" w:sz="4" w:space="0" w:color="auto"/>
              <w:right w:val="nil"/>
            </w:tcBorders>
            <w:vAlign w:val="center"/>
            <w:hideMark/>
          </w:tcPr>
          <w:p w14:paraId="7E76F24F" w14:textId="77777777" w:rsidR="00031DB4" w:rsidRPr="00031DB4" w:rsidRDefault="00031DB4" w:rsidP="00155AA1">
            <w:pPr>
              <w:spacing w:after="160"/>
              <w:jc w:val="center"/>
              <w:rPr>
                <w:rFonts w:ascii="Times New Roman" w:hAnsi="Times New Roman" w:cs="Times New Roman"/>
                <w:sz w:val="24"/>
              </w:rPr>
            </w:pPr>
            <w:r w:rsidRPr="00031DB4">
              <w:rPr>
                <w:rFonts w:ascii="Times New Roman" w:hAnsi="Times New Roman" w:cs="Times New Roman"/>
                <w:sz w:val="24"/>
              </w:rPr>
              <w:t>≤</w:t>
            </w:r>
            <w:r w:rsidR="00C21D8D">
              <w:rPr>
                <w:rFonts w:ascii="Times New Roman" w:hAnsi="Times New Roman" w:cs="Times New Roman"/>
                <w:sz w:val="24"/>
              </w:rPr>
              <w:t xml:space="preserve"> </w:t>
            </w:r>
            <w:r w:rsidRPr="00031DB4">
              <w:rPr>
                <w:rFonts w:ascii="Times New Roman" w:hAnsi="Times New Roman" w:cs="Times New Roman"/>
                <w:sz w:val="24"/>
              </w:rPr>
              <w:t>40</w:t>
            </w:r>
          </w:p>
        </w:tc>
        <w:tc>
          <w:tcPr>
            <w:tcW w:w="1419" w:type="dxa"/>
            <w:tcBorders>
              <w:top w:val="single" w:sz="4" w:space="0" w:color="auto"/>
              <w:left w:val="nil"/>
              <w:bottom w:val="single" w:sz="4" w:space="0" w:color="auto"/>
              <w:right w:val="nil"/>
            </w:tcBorders>
            <w:vAlign w:val="center"/>
            <w:hideMark/>
          </w:tcPr>
          <w:p w14:paraId="343ACCF7" w14:textId="77777777" w:rsidR="00031DB4" w:rsidRPr="00031DB4" w:rsidRDefault="00031DB4" w:rsidP="00155AA1">
            <w:pPr>
              <w:spacing w:after="160"/>
              <w:jc w:val="center"/>
              <w:rPr>
                <w:rFonts w:ascii="Times New Roman" w:hAnsi="Times New Roman" w:cs="Times New Roman"/>
                <w:sz w:val="24"/>
              </w:rPr>
            </w:pPr>
            <w:r w:rsidRPr="00031DB4">
              <w:rPr>
                <w:rFonts w:ascii="Times New Roman" w:hAnsi="Times New Roman" w:cs="Times New Roman"/>
                <w:sz w:val="24"/>
              </w:rPr>
              <w:t>≤</w:t>
            </w:r>
            <w:r w:rsidR="00C21D8D">
              <w:rPr>
                <w:rFonts w:ascii="Times New Roman" w:hAnsi="Times New Roman" w:cs="Times New Roman"/>
                <w:sz w:val="24"/>
              </w:rPr>
              <w:t xml:space="preserve"> </w:t>
            </w:r>
            <w:r w:rsidRPr="00031DB4">
              <w:rPr>
                <w:rFonts w:ascii="Times New Roman" w:hAnsi="Times New Roman" w:cs="Times New Roman"/>
                <w:sz w:val="24"/>
              </w:rPr>
              <w:t>500</w:t>
            </w:r>
          </w:p>
        </w:tc>
        <w:tc>
          <w:tcPr>
            <w:tcW w:w="1842" w:type="dxa"/>
            <w:tcBorders>
              <w:top w:val="single" w:sz="4" w:space="0" w:color="auto"/>
              <w:left w:val="nil"/>
              <w:bottom w:val="single" w:sz="4" w:space="0" w:color="auto"/>
              <w:right w:val="nil"/>
            </w:tcBorders>
            <w:vAlign w:val="center"/>
            <w:hideMark/>
          </w:tcPr>
          <w:p w14:paraId="4ED5FAC5" w14:textId="77777777" w:rsidR="00031DB4" w:rsidRPr="00031DB4" w:rsidRDefault="00031DB4" w:rsidP="00155AA1">
            <w:pPr>
              <w:spacing w:after="160"/>
              <w:jc w:val="center"/>
              <w:rPr>
                <w:rFonts w:ascii="Times New Roman" w:hAnsi="Times New Roman" w:cs="Times New Roman"/>
                <w:sz w:val="24"/>
              </w:rPr>
            </w:pPr>
            <w:r w:rsidRPr="00031DB4">
              <w:rPr>
                <w:rFonts w:ascii="Times New Roman" w:hAnsi="Times New Roman" w:cs="Times New Roman"/>
                <w:sz w:val="24"/>
              </w:rPr>
              <w:t>≤</w:t>
            </w:r>
            <w:r w:rsidR="00C21D8D">
              <w:rPr>
                <w:rFonts w:ascii="Times New Roman" w:hAnsi="Times New Roman" w:cs="Times New Roman"/>
                <w:sz w:val="24"/>
              </w:rPr>
              <w:t xml:space="preserve"> </w:t>
            </w:r>
            <w:r w:rsidRPr="00031DB4">
              <w:rPr>
                <w:rFonts w:ascii="Times New Roman" w:hAnsi="Times New Roman" w:cs="Times New Roman"/>
                <w:sz w:val="24"/>
              </w:rPr>
              <w:t>5</w:t>
            </w:r>
          </w:p>
        </w:tc>
      </w:tr>
    </w:tbl>
    <w:p w14:paraId="276AE8C2" w14:textId="77777777" w:rsidR="00FD023C" w:rsidRDefault="00FD023C" w:rsidP="005D1F7D">
      <w:pPr>
        <w:spacing w:line="360" w:lineRule="auto"/>
        <w:rPr>
          <w:rFonts w:ascii="Times New Roman" w:hAnsi="Times New Roman" w:cs="Times New Roman"/>
          <w:sz w:val="24"/>
        </w:rPr>
      </w:pPr>
    </w:p>
    <w:p w14:paraId="4B702EB3" w14:textId="38362B49" w:rsidR="008D621F" w:rsidRDefault="008D621F" w:rsidP="005D1F7D">
      <w:pPr>
        <w:spacing w:line="360" w:lineRule="auto"/>
        <w:jc w:val="both"/>
        <w:rPr>
          <w:rFonts w:ascii="Times New Roman" w:hAnsi="Times New Roman" w:cs="Times New Roman"/>
          <w:sz w:val="24"/>
        </w:rPr>
      </w:pPr>
      <w:r>
        <w:rPr>
          <w:rFonts w:ascii="Times New Roman" w:hAnsi="Times New Roman" w:cs="Times New Roman"/>
          <w:sz w:val="24"/>
        </w:rPr>
        <w:t xml:space="preserve">The physicochemical properties of </w:t>
      </w:r>
      <w:proofErr w:type="spellStart"/>
      <w:r>
        <w:rPr>
          <w:rFonts w:ascii="Times New Roman" w:hAnsi="Times New Roman" w:cs="Times New Roman"/>
          <w:sz w:val="24"/>
        </w:rPr>
        <w:t>Nsisioken</w:t>
      </w:r>
      <w:proofErr w:type="spellEnd"/>
      <w:r>
        <w:rPr>
          <w:rFonts w:ascii="Times New Roman" w:hAnsi="Times New Roman" w:cs="Times New Roman"/>
          <w:sz w:val="24"/>
        </w:rPr>
        <w:t xml:space="preserve"> River were evaluated to determine the extent of contamination and potential risks associated with anthropogenic activities. The results indicate mean values of pH (7.29 ± 0.2), dissolved oxygen (DO) (5.04 ± 0.6 mg/L), chemical oxygen demand (COD) (47.5 ± 6.4 mg/L), total dissolved solids (TDS) (476.5 ± 54 mg/L), and turbidity (11.0 ± 2.4 NTU). These values were compared to permissible limits set by regulatory agencies, including the World Health Organization (WHO) and the United States Environmental Protection Agency (EPA).</w:t>
      </w:r>
      <w:r w:rsidR="004870DF">
        <w:rPr>
          <w:rFonts w:ascii="Times New Roman" w:hAnsi="Times New Roman" w:cs="Times New Roman"/>
          <w:sz w:val="24"/>
        </w:rPr>
        <w:t xml:space="preserve"> </w:t>
      </w:r>
      <w:r>
        <w:rPr>
          <w:rFonts w:ascii="Times New Roman" w:hAnsi="Times New Roman" w:cs="Times New Roman"/>
          <w:sz w:val="24"/>
        </w:rPr>
        <w:t>The pH of the river, ranging from 7.1 to 7.5 with a mean of 7.29 ± 0.2, indicates neutral to slightly alkaline conditions. This is within the WHO guideline range of 6.5–8.5 for drinking water quality, suggesting that the pH levels may not pose a direct threat to aquatic life or human use. Similar results w</w:t>
      </w:r>
      <w:r w:rsidR="00321B90">
        <w:rPr>
          <w:rFonts w:ascii="Times New Roman" w:hAnsi="Times New Roman" w:cs="Times New Roman"/>
          <w:sz w:val="24"/>
        </w:rPr>
        <w:t xml:space="preserve">ere reported by </w:t>
      </w:r>
      <w:proofErr w:type="spellStart"/>
      <w:r w:rsidR="00230AC6" w:rsidRPr="00230AC6">
        <w:rPr>
          <w:rFonts w:ascii="Times New Roman" w:hAnsi="Times New Roman" w:cs="Times New Roman"/>
          <w:sz w:val="24"/>
          <w:highlight w:val="yellow"/>
        </w:rPr>
        <w:t>Cheraghi</w:t>
      </w:r>
      <w:proofErr w:type="spellEnd"/>
      <w:r w:rsidR="00230AC6" w:rsidRPr="00230AC6">
        <w:rPr>
          <w:rFonts w:ascii="Times New Roman" w:hAnsi="Times New Roman" w:cs="Times New Roman"/>
          <w:sz w:val="24"/>
          <w:highlight w:val="yellow"/>
        </w:rPr>
        <w:t xml:space="preserve"> et al. (2015)</w:t>
      </w:r>
      <w:r>
        <w:rPr>
          <w:rFonts w:ascii="Times New Roman" w:hAnsi="Times New Roman" w:cs="Times New Roman"/>
          <w:sz w:val="24"/>
        </w:rPr>
        <w:t xml:space="preserve"> in their study of urban rivers in the Niger Delta, where pH values ranged</w:t>
      </w:r>
      <w:r w:rsidR="004870DF">
        <w:rPr>
          <w:rFonts w:ascii="Times New Roman" w:hAnsi="Times New Roman" w:cs="Times New Roman"/>
          <w:sz w:val="24"/>
        </w:rPr>
        <w:t xml:space="preserve"> between 7.0 and 7.4, due</w:t>
      </w:r>
      <w:r>
        <w:rPr>
          <w:rFonts w:ascii="Times New Roman" w:hAnsi="Times New Roman" w:cs="Times New Roman"/>
          <w:sz w:val="24"/>
        </w:rPr>
        <w:t xml:space="preserve"> to moderate buffering capacity </w:t>
      </w:r>
      <w:r>
        <w:rPr>
          <w:rFonts w:ascii="Times New Roman" w:hAnsi="Times New Roman" w:cs="Times New Roman"/>
          <w:sz w:val="24"/>
        </w:rPr>
        <w:lastRenderedPageBreak/>
        <w:t>from carbonate-rich sediments. However, slight alkalinity could suggest ongoing interaction with industrial or domestic effluents, emphasizing the need for regular monitoring.</w:t>
      </w:r>
    </w:p>
    <w:p w14:paraId="29BC59CD" w14:textId="3110E99A" w:rsidR="004870DF" w:rsidRDefault="008D621F" w:rsidP="005D1F7D">
      <w:pPr>
        <w:spacing w:line="360" w:lineRule="auto"/>
        <w:jc w:val="both"/>
        <w:rPr>
          <w:rFonts w:ascii="Times New Roman" w:hAnsi="Times New Roman" w:cs="Times New Roman"/>
          <w:sz w:val="24"/>
        </w:rPr>
      </w:pPr>
      <w:r>
        <w:rPr>
          <w:rFonts w:ascii="Times New Roman" w:hAnsi="Times New Roman" w:cs="Times New Roman"/>
          <w:sz w:val="24"/>
        </w:rPr>
        <w:t xml:space="preserve">The DO concentration (5.04 ± 0.6 mg/L) is relatively moderate, </w:t>
      </w:r>
      <w:r w:rsidR="004870DF">
        <w:rPr>
          <w:rFonts w:ascii="Times New Roman" w:hAnsi="Times New Roman" w:cs="Times New Roman"/>
          <w:sz w:val="24"/>
        </w:rPr>
        <w:t>correlating</w:t>
      </w:r>
      <w:r>
        <w:rPr>
          <w:rFonts w:ascii="Times New Roman" w:hAnsi="Times New Roman" w:cs="Times New Roman"/>
          <w:sz w:val="24"/>
        </w:rPr>
        <w:t xml:space="preserve"> with the recommended threshold of ≥5 mg/L for sustaining aquatic life. This value indicates that the river has sufficient oxygen to support aquatic organisms, but it is also close to the lower limit, which raises concerns about potential oxygen depletion from organic matter decomposition or hydrocarbon pollution. The COD of the river (47.5 ± 6.4 mg/L) is higher than the typical values for unpolluted surface water, which are generally below 20 mg/L </w:t>
      </w:r>
      <w:r w:rsidR="00230AC6" w:rsidRPr="00230AC6">
        <w:rPr>
          <w:rFonts w:ascii="Times New Roman" w:hAnsi="Times New Roman" w:cs="Times New Roman"/>
          <w:sz w:val="24"/>
          <w:highlight w:val="yellow"/>
        </w:rPr>
        <w:t>(USEPA, 2012)</w:t>
      </w:r>
      <w:r w:rsidRPr="00230AC6">
        <w:rPr>
          <w:rFonts w:ascii="Times New Roman" w:hAnsi="Times New Roman" w:cs="Times New Roman"/>
          <w:sz w:val="24"/>
          <w:highlight w:val="yellow"/>
        </w:rPr>
        <w:t>.</w:t>
      </w:r>
      <w:r>
        <w:rPr>
          <w:rFonts w:ascii="Times New Roman" w:hAnsi="Times New Roman" w:cs="Times New Roman"/>
          <w:sz w:val="24"/>
        </w:rPr>
        <w:t xml:space="preserve"> This elevated COD reflects significant organic and possibly hydrocarbon contamination, likely from crude oil residues and industrial discharges. The mean TDS of 476.5 ± 54 mg/L is below the WHO guideline of 1000 mg/L for drinking water but indicates substantial mineral and dissolved pollutant loads. The observed values are consistent with findings by </w:t>
      </w:r>
      <w:proofErr w:type="spellStart"/>
      <w:r w:rsidR="00CC0D04" w:rsidRPr="005D10BB">
        <w:rPr>
          <w:rFonts w:ascii="Times New Roman" w:hAnsi="Times New Roman" w:cs="Times New Roman"/>
          <w:sz w:val="24"/>
          <w:highlight w:val="yellow"/>
        </w:rPr>
        <w:t>Ogbuagu</w:t>
      </w:r>
      <w:proofErr w:type="spellEnd"/>
      <w:r w:rsidR="00CC0D04" w:rsidRPr="005D10BB">
        <w:rPr>
          <w:rFonts w:ascii="Times New Roman" w:hAnsi="Times New Roman" w:cs="Times New Roman"/>
          <w:sz w:val="24"/>
          <w:highlight w:val="yellow"/>
        </w:rPr>
        <w:t xml:space="preserve"> et al. (2023</w:t>
      </w:r>
      <w:r w:rsidR="005D10BB">
        <w:rPr>
          <w:rFonts w:ascii="Times New Roman" w:hAnsi="Times New Roman" w:cs="Times New Roman"/>
          <w:sz w:val="24"/>
        </w:rPr>
        <w:t xml:space="preserve">) in the </w:t>
      </w:r>
      <w:proofErr w:type="spellStart"/>
      <w:r w:rsidR="005D10BB">
        <w:rPr>
          <w:rFonts w:ascii="Times New Roman" w:hAnsi="Times New Roman" w:cs="Times New Roman"/>
          <w:sz w:val="24"/>
        </w:rPr>
        <w:t>Bodo</w:t>
      </w:r>
      <w:proofErr w:type="spellEnd"/>
      <w:r>
        <w:rPr>
          <w:rFonts w:ascii="Times New Roman" w:hAnsi="Times New Roman" w:cs="Times New Roman"/>
          <w:sz w:val="24"/>
        </w:rPr>
        <w:t xml:space="preserve"> River, where TDS levels between 450–500 mg/L were associated with industrial and domestic wastewater discharges. High TDS levels influence water salinity, affect aquatic habitats, and pose challenges for agricultural use. The presence of hydrocarbons and heavy metals in industrial sludge may contribute to the observed values.</w:t>
      </w:r>
      <w:r w:rsidR="004870DF">
        <w:rPr>
          <w:rFonts w:ascii="Times New Roman" w:hAnsi="Times New Roman" w:cs="Times New Roman"/>
          <w:sz w:val="24"/>
        </w:rPr>
        <w:t xml:space="preserve"> </w:t>
      </w:r>
      <w:r>
        <w:rPr>
          <w:rFonts w:ascii="Times New Roman" w:hAnsi="Times New Roman" w:cs="Times New Roman"/>
          <w:sz w:val="24"/>
        </w:rPr>
        <w:t xml:space="preserve">Turbidity levels in </w:t>
      </w:r>
      <w:proofErr w:type="spellStart"/>
      <w:r>
        <w:rPr>
          <w:rFonts w:ascii="Times New Roman" w:hAnsi="Times New Roman" w:cs="Times New Roman"/>
          <w:sz w:val="24"/>
        </w:rPr>
        <w:t>Nsisioken</w:t>
      </w:r>
      <w:proofErr w:type="spellEnd"/>
      <w:r>
        <w:rPr>
          <w:rFonts w:ascii="Times New Roman" w:hAnsi="Times New Roman" w:cs="Times New Roman"/>
          <w:sz w:val="24"/>
        </w:rPr>
        <w:t xml:space="preserve"> River, averaging 11.0 ± 2.4 NTU, are within the WHO guideline of 5–50 NTU for drinking and recreational water use but indicate moderate particulate pollution. Elevated turbidity can result from suspended solids, oil residues, and organic particles, reducing light penetration and affecting photosynthetic processes. While some physicochemical parameters of the </w:t>
      </w:r>
      <w:proofErr w:type="spellStart"/>
      <w:r>
        <w:rPr>
          <w:rFonts w:ascii="Times New Roman" w:hAnsi="Times New Roman" w:cs="Times New Roman"/>
          <w:sz w:val="24"/>
        </w:rPr>
        <w:t>Nsisioken</w:t>
      </w:r>
      <w:proofErr w:type="spellEnd"/>
      <w:r>
        <w:rPr>
          <w:rFonts w:ascii="Times New Roman" w:hAnsi="Times New Roman" w:cs="Times New Roman"/>
          <w:sz w:val="24"/>
        </w:rPr>
        <w:t xml:space="preserve"> River fall within acceptable ranges, others, such as COD and TDS, reflect significant pollution that could pose ecological and human health risks. </w:t>
      </w:r>
    </w:p>
    <w:p w14:paraId="39CDDFF8" w14:textId="77777777" w:rsidR="008D621F" w:rsidRDefault="004870DF"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3.2 </w:t>
      </w:r>
      <w:r w:rsidR="008D621F">
        <w:rPr>
          <w:rFonts w:ascii="Times New Roman" w:hAnsi="Times New Roman" w:cs="Times New Roman"/>
          <w:b/>
          <w:sz w:val="24"/>
        </w:rPr>
        <w:t xml:space="preserve">Heavy Metal Content in Soil </w:t>
      </w:r>
    </w:p>
    <w:p w14:paraId="2A160669" w14:textId="77777777" w:rsidR="008D621F" w:rsidRDefault="008D621F" w:rsidP="005D1F7D">
      <w:pPr>
        <w:tabs>
          <w:tab w:val="right" w:pos="9360"/>
        </w:tabs>
        <w:spacing w:line="360" w:lineRule="auto"/>
        <w:jc w:val="both"/>
        <w:rPr>
          <w:rFonts w:ascii="Times New Roman" w:hAnsi="Times New Roman" w:cs="Times New Roman"/>
          <w:b/>
          <w:sz w:val="24"/>
        </w:rPr>
      </w:pPr>
      <w:r>
        <w:rPr>
          <w:rFonts w:ascii="Times New Roman" w:hAnsi="Times New Roman" w:cs="Times New Roman"/>
          <w:b/>
          <w:sz w:val="24"/>
        </w:rPr>
        <w:t xml:space="preserve">Table 4: Result of heavy metal analysis in soil </w:t>
      </w:r>
      <w:r>
        <w:rPr>
          <w:rFonts w:ascii="Times New Roman" w:hAnsi="Times New Roman" w:cs="Times New Roman"/>
          <w:b/>
          <w:sz w:val="24"/>
        </w:rPr>
        <w:tab/>
      </w:r>
    </w:p>
    <w:tbl>
      <w:tblPr>
        <w:tblW w:w="9498" w:type="dxa"/>
        <w:jc w:val="center"/>
        <w:tblCellSpacing w:w="15" w:type="dxa"/>
        <w:tblBorders>
          <w:top w:val="single" w:sz="4" w:space="0" w:color="auto"/>
          <w:bottom w:val="single" w:sz="4" w:space="0" w:color="auto"/>
        </w:tblBorders>
        <w:tblLook w:val="04A0" w:firstRow="1" w:lastRow="0" w:firstColumn="1" w:lastColumn="0" w:noHBand="0" w:noVBand="1"/>
      </w:tblPr>
      <w:tblGrid>
        <w:gridCol w:w="1656"/>
        <w:gridCol w:w="1321"/>
        <w:gridCol w:w="1276"/>
        <w:gridCol w:w="1276"/>
        <w:gridCol w:w="1275"/>
        <w:gridCol w:w="1276"/>
        <w:gridCol w:w="1418"/>
      </w:tblGrid>
      <w:tr w:rsidR="008D621F" w14:paraId="31EF3764" w14:textId="77777777" w:rsidTr="008D621F">
        <w:trPr>
          <w:tblHeader/>
          <w:tblCellSpacing w:w="15" w:type="dxa"/>
          <w:jc w:val="center"/>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2A00B167"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Sampling Point</w:t>
            </w:r>
          </w:p>
        </w:tc>
        <w:tc>
          <w:tcPr>
            <w:tcW w:w="1291" w:type="dxa"/>
            <w:tcBorders>
              <w:top w:val="nil"/>
              <w:left w:val="nil"/>
              <w:bottom w:val="single" w:sz="4" w:space="0" w:color="auto"/>
              <w:right w:val="nil"/>
            </w:tcBorders>
            <w:tcMar>
              <w:top w:w="15" w:type="dxa"/>
              <w:left w:w="15" w:type="dxa"/>
              <w:bottom w:w="15" w:type="dxa"/>
              <w:right w:w="15" w:type="dxa"/>
            </w:tcMar>
            <w:vAlign w:val="center"/>
            <w:hideMark/>
          </w:tcPr>
          <w:p w14:paraId="77A28C4A"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Cd (mg/kg)</w:t>
            </w:r>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31ECE4DA"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Cr (mg/kg)</w:t>
            </w:r>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68143D4F"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Ni (mg/kg)</w:t>
            </w:r>
          </w:p>
        </w:tc>
        <w:tc>
          <w:tcPr>
            <w:tcW w:w="1245" w:type="dxa"/>
            <w:tcBorders>
              <w:top w:val="nil"/>
              <w:left w:val="nil"/>
              <w:bottom w:val="single" w:sz="4" w:space="0" w:color="auto"/>
              <w:right w:val="nil"/>
            </w:tcBorders>
            <w:tcMar>
              <w:top w:w="15" w:type="dxa"/>
              <w:left w:w="15" w:type="dxa"/>
              <w:bottom w:w="15" w:type="dxa"/>
              <w:right w:w="15" w:type="dxa"/>
            </w:tcMar>
            <w:vAlign w:val="center"/>
            <w:hideMark/>
          </w:tcPr>
          <w:p w14:paraId="6B80EFCA"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As (mg/kg)</w:t>
            </w:r>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4C7C0E65"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Pb (mg/kg)</w:t>
            </w:r>
          </w:p>
        </w:tc>
        <w:tc>
          <w:tcPr>
            <w:tcW w:w="1373" w:type="dxa"/>
            <w:tcBorders>
              <w:top w:val="nil"/>
              <w:left w:val="nil"/>
              <w:bottom w:val="single" w:sz="4" w:space="0" w:color="auto"/>
              <w:right w:val="nil"/>
            </w:tcBorders>
            <w:tcMar>
              <w:top w:w="15" w:type="dxa"/>
              <w:left w:w="15" w:type="dxa"/>
              <w:bottom w:w="15" w:type="dxa"/>
              <w:right w:w="15" w:type="dxa"/>
            </w:tcMar>
            <w:vAlign w:val="center"/>
            <w:hideMark/>
          </w:tcPr>
          <w:p w14:paraId="4E4115D4"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Zn (mg/kg)</w:t>
            </w:r>
          </w:p>
        </w:tc>
      </w:tr>
      <w:tr w:rsidR="008D621F" w14:paraId="31251D5F"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412CB4D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w:t>
            </w:r>
          </w:p>
        </w:tc>
        <w:tc>
          <w:tcPr>
            <w:tcW w:w="1291" w:type="dxa"/>
            <w:tcBorders>
              <w:top w:val="nil"/>
              <w:left w:val="nil"/>
              <w:bottom w:val="nil"/>
              <w:right w:val="nil"/>
            </w:tcBorders>
            <w:tcMar>
              <w:top w:w="15" w:type="dxa"/>
              <w:left w:w="15" w:type="dxa"/>
              <w:bottom w:w="15" w:type="dxa"/>
              <w:right w:w="15" w:type="dxa"/>
            </w:tcMar>
            <w:vAlign w:val="center"/>
            <w:hideMark/>
          </w:tcPr>
          <w:p w14:paraId="6B22A12D"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0.35 ± 0.08</w:t>
            </w:r>
          </w:p>
        </w:tc>
        <w:tc>
          <w:tcPr>
            <w:tcW w:w="1246" w:type="dxa"/>
            <w:tcBorders>
              <w:top w:val="nil"/>
              <w:left w:val="nil"/>
              <w:bottom w:val="nil"/>
              <w:right w:val="nil"/>
            </w:tcBorders>
            <w:tcMar>
              <w:top w:w="15" w:type="dxa"/>
              <w:left w:w="15" w:type="dxa"/>
              <w:bottom w:w="15" w:type="dxa"/>
              <w:right w:w="15" w:type="dxa"/>
            </w:tcMar>
            <w:vAlign w:val="center"/>
            <w:hideMark/>
          </w:tcPr>
          <w:p w14:paraId="2A8E2BF7"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45.2 ± 5.6</w:t>
            </w:r>
          </w:p>
        </w:tc>
        <w:tc>
          <w:tcPr>
            <w:tcW w:w="1246" w:type="dxa"/>
            <w:tcBorders>
              <w:top w:val="nil"/>
              <w:left w:val="nil"/>
              <w:bottom w:val="nil"/>
              <w:right w:val="nil"/>
            </w:tcBorders>
            <w:tcMar>
              <w:top w:w="15" w:type="dxa"/>
              <w:left w:w="15" w:type="dxa"/>
              <w:bottom w:w="15" w:type="dxa"/>
              <w:right w:w="15" w:type="dxa"/>
            </w:tcMar>
            <w:vAlign w:val="center"/>
            <w:hideMark/>
          </w:tcPr>
          <w:p w14:paraId="2B397CDF"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18.7 ± 2.3</w:t>
            </w:r>
          </w:p>
        </w:tc>
        <w:tc>
          <w:tcPr>
            <w:tcW w:w="1245" w:type="dxa"/>
            <w:tcBorders>
              <w:top w:val="nil"/>
              <w:left w:val="nil"/>
              <w:bottom w:val="nil"/>
              <w:right w:val="nil"/>
            </w:tcBorders>
            <w:tcMar>
              <w:top w:w="15" w:type="dxa"/>
              <w:left w:w="15" w:type="dxa"/>
              <w:bottom w:w="15" w:type="dxa"/>
              <w:right w:w="15" w:type="dxa"/>
            </w:tcMar>
            <w:vAlign w:val="center"/>
            <w:hideMark/>
          </w:tcPr>
          <w:p w14:paraId="57783E31"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3.2 ± 0.6</w:t>
            </w:r>
          </w:p>
        </w:tc>
        <w:tc>
          <w:tcPr>
            <w:tcW w:w="1246" w:type="dxa"/>
            <w:tcBorders>
              <w:top w:val="nil"/>
              <w:left w:val="nil"/>
              <w:bottom w:val="nil"/>
              <w:right w:val="nil"/>
            </w:tcBorders>
            <w:tcMar>
              <w:top w:w="15" w:type="dxa"/>
              <w:left w:w="15" w:type="dxa"/>
              <w:bottom w:w="15" w:type="dxa"/>
              <w:right w:w="15" w:type="dxa"/>
            </w:tcMar>
            <w:vAlign w:val="center"/>
            <w:hideMark/>
          </w:tcPr>
          <w:p w14:paraId="3AF6CD12"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22.5 ± 3.8</w:t>
            </w:r>
          </w:p>
        </w:tc>
        <w:tc>
          <w:tcPr>
            <w:tcW w:w="1373" w:type="dxa"/>
            <w:tcBorders>
              <w:top w:val="nil"/>
              <w:left w:val="nil"/>
              <w:bottom w:val="nil"/>
              <w:right w:val="nil"/>
            </w:tcBorders>
            <w:tcMar>
              <w:top w:w="15" w:type="dxa"/>
              <w:left w:w="15" w:type="dxa"/>
              <w:bottom w:w="15" w:type="dxa"/>
              <w:right w:w="15" w:type="dxa"/>
            </w:tcMar>
            <w:vAlign w:val="center"/>
            <w:hideMark/>
          </w:tcPr>
          <w:p w14:paraId="2925FB44"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95.8 ± 7.1</w:t>
            </w:r>
          </w:p>
        </w:tc>
      </w:tr>
      <w:tr w:rsidR="008D621F" w14:paraId="038F65A9"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7E48BCB"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p>
        </w:tc>
        <w:tc>
          <w:tcPr>
            <w:tcW w:w="1291" w:type="dxa"/>
            <w:tcBorders>
              <w:top w:val="nil"/>
              <w:left w:val="nil"/>
              <w:bottom w:val="nil"/>
              <w:right w:val="nil"/>
            </w:tcBorders>
            <w:tcMar>
              <w:top w:w="15" w:type="dxa"/>
              <w:left w:w="15" w:type="dxa"/>
              <w:bottom w:w="15" w:type="dxa"/>
              <w:right w:w="15" w:type="dxa"/>
            </w:tcMar>
            <w:vAlign w:val="center"/>
            <w:hideMark/>
          </w:tcPr>
          <w:p w14:paraId="15D3D320"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0.42 ± 0.10</w:t>
            </w:r>
          </w:p>
        </w:tc>
        <w:tc>
          <w:tcPr>
            <w:tcW w:w="1246" w:type="dxa"/>
            <w:tcBorders>
              <w:top w:val="nil"/>
              <w:left w:val="nil"/>
              <w:bottom w:val="nil"/>
              <w:right w:val="nil"/>
            </w:tcBorders>
            <w:tcMar>
              <w:top w:w="15" w:type="dxa"/>
              <w:left w:w="15" w:type="dxa"/>
              <w:bottom w:w="15" w:type="dxa"/>
              <w:right w:w="15" w:type="dxa"/>
            </w:tcMar>
            <w:vAlign w:val="center"/>
            <w:hideMark/>
          </w:tcPr>
          <w:p w14:paraId="7A57272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47.8 ± 6.2</w:t>
            </w:r>
          </w:p>
        </w:tc>
        <w:tc>
          <w:tcPr>
            <w:tcW w:w="1246" w:type="dxa"/>
            <w:tcBorders>
              <w:top w:val="nil"/>
              <w:left w:val="nil"/>
              <w:bottom w:val="nil"/>
              <w:right w:val="nil"/>
            </w:tcBorders>
            <w:tcMar>
              <w:top w:w="15" w:type="dxa"/>
              <w:left w:w="15" w:type="dxa"/>
              <w:bottom w:w="15" w:type="dxa"/>
              <w:right w:w="15" w:type="dxa"/>
            </w:tcMar>
            <w:vAlign w:val="center"/>
            <w:hideMark/>
          </w:tcPr>
          <w:p w14:paraId="7C85C34E"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20.1 ± 2.8</w:t>
            </w:r>
          </w:p>
        </w:tc>
        <w:tc>
          <w:tcPr>
            <w:tcW w:w="1245" w:type="dxa"/>
            <w:tcBorders>
              <w:top w:val="nil"/>
              <w:left w:val="nil"/>
              <w:bottom w:val="nil"/>
              <w:right w:val="nil"/>
            </w:tcBorders>
            <w:tcMar>
              <w:top w:w="15" w:type="dxa"/>
              <w:left w:w="15" w:type="dxa"/>
              <w:bottom w:w="15" w:type="dxa"/>
              <w:right w:w="15" w:type="dxa"/>
            </w:tcMar>
            <w:vAlign w:val="center"/>
            <w:hideMark/>
          </w:tcPr>
          <w:p w14:paraId="32A273C2"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3.5 ± 0.7</w:t>
            </w:r>
          </w:p>
        </w:tc>
        <w:tc>
          <w:tcPr>
            <w:tcW w:w="1246" w:type="dxa"/>
            <w:tcBorders>
              <w:top w:val="nil"/>
              <w:left w:val="nil"/>
              <w:bottom w:val="nil"/>
              <w:right w:val="nil"/>
            </w:tcBorders>
            <w:tcMar>
              <w:top w:w="15" w:type="dxa"/>
              <w:left w:w="15" w:type="dxa"/>
              <w:bottom w:w="15" w:type="dxa"/>
              <w:right w:w="15" w:type="dxa"/>
            </w:tcMar>
            <w:vAlign w:val="center"/>
            <w:hideMark/>
          </w:tcPr>
          <w:p w14:paraId="1D3FAD0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24.7 ± 4.1</w:t>
            </w:r>
          </w:p>
        </w:tc>
        <w:tc>
          <w:tcPr>
            <w:tcW w:w="1373" w:type="dxa"/>
            <w:tcBorders>
              <w:top w:val="nil"/>
              <w:left w:val="nil"/>
              <w:bottom w:val="nil"/>
              <w:right w:val="nil"/>
            </w:tcBorders>
            <w:tcMar>
              <w:top w:w="15" w:type="dxa"/>
              <w:left w:w="15" w:type="dxa"/>
              <w:bottom w:w="15" w:type="dxa"/>
              <w:right w:w="15" w:type="dxa"/>
            </w:tcMar>
            <w:vAlign w:val="center"/>
            <w:hideMark/>
          </w:tcPr>
          <w:p w14:paraId="2EDD86F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100.3 ± 8.2</w:t>
            </w:r>
          </w:p>
        </w:tc>
      </w:tr>
      <w:tr w:rsidR="008D621F" w14:paraId="5538858B"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2F3BB327"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3</w:t>
            </w:r>
          </w:p>
        </w:tc>
        <w:tc>
          <w:tcPr>
            <w:tcW w:w="1291" w:type="dxa"/>
            <w:tcBorders>
              <w:top w:val="nil"/>
              <w:left w:val="nil"/>
              <w:bottom w:val="nil"/>
              <w:right w:val="nil"/>
            </w:tcBorders>
            <w:tcMar>
              <w:top w:w="15" w:type="dxa"/>
              <w:left w:w="15" w:type="dxa"/>
              <w:bottom w:w="15" w:type="dxa"/>
              <w:right w:w="15" w:type="dxa"/>
            </w:tcMar>
            <w:vAlign w:val="center"/>
            <w:hideMark/>
          </w:tcPr>
          <w:p w14:paraId="20549FD5"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0.37 ± 0.09</w:t>
            </w:r>
          </w:p>
        </w:tc>
        <w:tc>
          <w:tcPr>
            <w:tcW w:w="1246" w:type="dxa"/>
            <w:tcBorders>
              <w:top w:val="nil"/>
              <w:left w:val="nil"/>
              <w:bottom w:val="nil"/>
              <w:right w:val="nil"/>
            </w:tcBorders>
            <w:tcMar>
              <w:top w:w="15" w:type="dxa"/>
              <w:left w:w="15" w:type="dxa"/>
              <w:bottom w:w="15" w:type="dxa"/>
              <w:right w:w="15" w:type="dxa"/>
            </w:tcMar>
            <w:vAlign w:val="center"/>
            <w:hideMark/>
          </w:tcPr>
          <w:p w14:paraId="69847EDA"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46.3 ± 5.8</w:t>
            </w:r>
          </w:p>
        </w:tc>
        <w:tc>
          <w:tcPr>
            <w:tcW w:w="1246" w:type="dxa"/>
            <w:tcBorders>
              <w:top w:val="nil"/>
              <w:left w:val="nil"/>
              <w:bottom w:val="nil"/>
              <w:right w:val="nil"/>
            </w:tcBorders>
            <w:tcMar>
              <w:top w:w="15" w:type="dxa"/>
              <w:left w:w="15" w:type="dxa"/>
              <w:bottom w:w="15" w:type="dxa"/>
              <w:right w:w="15" w:type="dxa"/>
            </w:tcMar>
            <w:vAlign w:val="center"/>
            <w:hideMark/>
          </w:tcPr>
          <w:p w14:paraId="1B034E2F"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19.4 ± 2.5</w:t>
            </w:r>
          </w:p>
        </w:tc>
        <w:tc>
          <w:tcPr>
            <w:tcW w:w="1245" w:type="dxa"/>
            <w:tcBorders>
              <w:top w:val="nil"/>
              <w:left w:val="nil"/>
              <w:bottom w:val="nil"/>
              <w:right w:val="nil"/>
            </w:tcBorders>
            <w:tcMar>
              <w:top w:w="15" w:type="dxa"/>
              <w:left w:w="15" w:type="dxa"/>
              <w:bottom w:w="15" w:type="dxa"/>
              <w:right w:w="15" w:type="dxa"/>
            </w:tcMar>
            <w:vAlign w:val="center"/>
            <w:hideMark/>
          </w:tcPr>
          <w:p w14:paraId="68DB2482"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3.3 ± 0.7</w:t>
            </w:r>
          </w:p>
        </w:tc>
        <w:tc>
          <w:tcPr>
            <w:tcW w:w="1246" w:type="dxa"/>
            <w:tcBorders>
              <w:top w:val="nil"/>
              <w:left w:val="nil"/>
              <w:bottom w:val="nil"/>
              <w:right w:val="nil"/>
            </w:tcBorders>
            <w:tcMar>
              <w:top w:w="15" w:type="dxa"/>
              <w:left w:w="15" w:type="dxa"/>
              <w:bottom w:w="15" w:type="dxa"/>
              <w:right w:w="15" w:type="dxa"/>
            </w:tcMar>
            <w:vAlign w:val="center"/>
            <w:hideMark/>
          </w:tcPr>
          <w:p w14:paraId="3A147B59"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23.1 ± 3.6</w:t>
            </w:r>
          </w:p>
        </w:tc>
        <w:tc>
          <w:tcPr>
            <w:tcW w:w="1373" w:type="dxa"/>
            <w:tcBorders>
              <w:top w:val="nil"/>
              <w:left w:val="nil"/>
              <w:bottom w:val="nil"/>
              <w:right w:val="nil"/>
            </w:tcBorders>
            <w:tcMar>
              <w:top w:w="15" w:type="dxa"/>
              <w:left w:w="15" w:type="dxa"/>
              <w:bottom w:w="15" w:type="dxa"/>
              <w:right w:w="15" w:type="dxa"/>
            </w:tcMar>
            <w:vAlign w:val="center"/>
            <w:hideMark/>
          </w:tcPr>
          <w:p w14:paraId="3ECCE34B"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97.2 ± 7.5</w:t>
            </w:r>
          </w:p>
        </w:tc>
      </w:tr>
      <w:tr w:rsidR="008D621F" w14:paraId="3D2C9E4A"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468026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4</w:t>
            </w:r>
          </w:p>
        </w:tc>
        <w:tc>
          <w:tcPr>
            <w:tcW w:w="1291" w:type="dxa"/>
            <w:tcBorders>
              <w:top w:val="nil"/>
              <w:left w:val="nil"/>
              <w:bottom w:val="nil"/>
              <w:right w:val="nil"/>
            </w:tcBorders>
            <w:tcMar>
              <w:top w:w="15" w:type="dxa"/>
              <w:left w:w="15" w:type="dxa"/>
              <w:bottom w:w="15" w:type="dxa"/>
              <w:right w:w="15" w:type="dxa"/>
            </w:tcMar>
            <w:vAlign w:val="center"/>
            <w:hideMark/>
          </w:tcPr>
          <w:p w14:paraId="5531329C"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0.40 ± 0.11</w:t>
            </w:r>
          </w:p>
        </w:tc>
        <w:tc>
          <w:tcPr>
            <w:tcW w:w="1246" w:type="dxa"/>
            <w:tcBorders>
              <w:top w:val="nil"/>
              <w:left w:val="nil"/>
              <w:bottom w:val="nil"/>
              <w:right w:val="nil"/>
            </w:tcBorders>
            <w:tcMar>
              <w:top w:w="15" w:type="dxa"/>
              <w:left w:w="15" w:type="dxa"/>
              <w:bottom w:w="15" w:type="dxa"/>
              <w:right w:w="15" w:type="dxa"/>
            </w:tcMar>
            <w:vAlign w:val="center"/>
            <w:hideMark/>
          </w:tcPr>
          <w:p w14:paraId="5B6F7AFD"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48.5 ± 6.4</w:t>
            </w:r>
          </w:p>
        </w:tc>
        <w:tc>
          <w:tcPr>
            <w:tcW w:w="1246" w:type="dxa"/>
            <w:tcBorders>
              <w:top w:val="nil"/>
              <w:left w:val="nil"/>
              <w:bottom w:val="nil"/>
              <w:right w:val="nil"/>
            </w:tcBorders>
            <w:tcMar>
              <w:top w:w="15" w:type="dxa"/>
              <w:left w:w="15" w:type="dxa"/>
              <w:bottom w:w="15" w:type="dxa"/>
              <w:right w:w="15" w:type="dxa"/>
            </w:tcMar>
            <w:vAlign w:val="center"/>
            <w:hideMark/>
          </w:tcPr>
          <w:p w14:paraId="5ECE207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21.0 ± 3.0</w:t>
            </w:r>
          </w:p>
        </w:tc>
        <w:tc>
          <w:tcPr>
            <w:tcW w:w="1245" w:type="dxa"/>
            <w:tcBorders>
              <w:top w:val="nil"/>
              <w:left w:val="nil"/>
              <w:bottom w:val="nil"/>
              <w:right w:val="nil"/>
            </w:tcBorders>
            <w:tcMar>
              <w:top w:w="15" w:type="dxa"/>
              <w:left w:w="15" w:type="dxa"/>
              <w:bottom w:w="15" w:type="dxa"/>
              <w:right w:w="15" w:type="dxa"/>
            </w:tcMar>
            <w:vAlign w:val="center"/>
            <w:hideMark/>
          </w:tcPr>
          <w:p w14:paraId="24C045EE"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3.7 ± 0.8</w:t>
            </w:r>
          </w:p>
        </w:tc>
        <w:tc>
          <w:tcPr>
            <w:tcW w:w="1246" w:type="dxa"/>
            <w:tcBorders>
              <w:top w:val="nil"/>
              <w:left w:val="nil"/>
              <w:bottom w:val="nil"/>
              <w:right w:val="nil"/>
            </w:tcBorders>
            <w:tcMar>
              <w:top w:w="15" w:type="dxa"/>
              <w:left w:w="15" w:type="dxa"/>
              <w:bottom w:w="15" w:type="dxa"/>
              <w:right w:w="15" w:type="dxa"/>
            </w:tcMar>
            <w:vAlign w:val="center"/>
            <w:hideMark/>
          </w:tcPr>
          <w:p w14:paraId="7F4786FC"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25.0 ± 4.3</w:t>
            </w:r>
          </w:p>
        </w:tc>
        <w:tc>
          <w:tcPr>
            <w:tcW w:w="1373" w:type="dxa"/>
            <w:tcBorders>
              <w:top w:val="nil"/>
              <w:left w:val="nil"/>
              <w:bottom w:val="nil"/>
              <w:right w:val="nil"/>
            </w:tcBorders>
            <w:tcMar>
              <w:top w:w="15" w:type="dxa"/>
              <w:left w:w="15" w:type="dxa"/>
              <w:bottom w:w="15" w:type="dxa"/>
              <w:right w:w="15" w:type="dxa"/>
            </w:tcMar>
            <w:vAlign w:val="center"/>
            <w:hideMark/>
          </w:tcPr>
          <w:p w14:paraId="7612755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102.0 ± 8.7</w:t>
            </w:r>
          </w:p>
        </w:tc>
      </w:tr>
      <w:tr w:rsidR="008D621F" w14:paraId="69594EC7"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3C15752"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S</w:t>
            </w:r>
            <w:r>
              <w:rPr>
                <w:rFonts w:ascii="Times New Roman" w:hAnsi="Times New Roman" w:cs="Times New Roman"/>
                <w:sz w:val="24"/>
                <w:szCs w:val="24"/>
                <w:vertAlign w:val="subscript"/>
              </w:rPr>
              <w:t>5</w:t>
            </w:r>
          </w:p>
        </w:tc>
        <w:tc>
          <w:tcPr>
            <w:tcW w:w="1291" w:type="dxa"/>
            <w:tcBorders>
              <w:top w:val="nil"/>
              <w:left w:val="nil"/>
              <w:bottom w:val="nil"/>
              <w:right w:val="nil"/>
            </w:tcBorders>
            <w:tcMar>
              <w:top w:w="15" w:type="dxa"/>
              <w:left w:w="15" w:type="dxa"/>
              <w:bottom w:w="15" w:type="dxa"/>
              <w:right w:w="15" w:type="dxa"/>
            </w:tcMar>
            <w:vAlign w:val="center"/>
            <w:hideMark/>
          </w:tcPr>
          <w:p w14:paraId="5B3FC7D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0.36 ± 0.09</w:t>
            </w:r>
          </w:p>
        </w:tc>
        <w:tc>
          <w:tcPr>
            <w:tcW w:w="1246" w:type="dxa"/>
            <w:tcBorders>
              <w:top w:val="nil"/>
              <w:left w:val="nil"/>
              <w:bottom w:val="nil"/>
              <w:right w:val="nil"/>
            </w:tcBorders>
            <w:tcMar>
              <w:top w:w="15" w:type="dxa"/>
              <w:left w:w="15" w:type="dxa"/>
              <w:bottom w:w="15" w:type="dxa"/>
              <w:right w:w="15" w:type="dxa"/>
            </w:tcMar>
            <w:vAlign w:val="center"/>
            <w:hideMark/>
          </w:tcPr>
          <w:p w14:paraId="38E28867"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44.7 ± 5.4</w:t>
            </w:r>
          </w:p>
        </w:tc>
        <w:tc>
          <w:tcPr>
            <w:tcW w:w="1246" w:type="dxa"/>
            <w:tcBorders>
              <w:top w:val="nil"/>
              <w:left w:val="nil"/>
              <w:bottom w:val="nil"/>
              <w:right w:val="nil"/>
            </w:tcBorders>
            <w:tcMar>
              <w:top w:w="15" w:type="dxa"/>
              <w:left w:w="15" w:type="dxa"/>
              <w:bottom w:w="15" w:type="dxa"/>
              <w:right w:w="15" w:type="dxa"/>
            </w:tcMar>
            <w:vAlign w:val="center"/>
            <w:hideMark/>
          </w:tcPr>
          <w:p w14:paraId="6597B693"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18.9 ± 2.6</w:t>
            </w:r>
          </w:p>
        </w:tc>
        <w:tc>
          <w:tcPr>
            <w:tcW w:w="1245" w:type="dxa"/>
            <w:tcBorders>
              <w:top w:val="nil"/>
              <w:left w:val="nil"/>
              <w:bottom w:val="nil"/>
              <w:right w:val="nil"/>
            </w:tcBorders>
            <w:tcMar>
              <w:top w:w="15" w:type="dxa"/>
              <w:left w:w="15" w:type="dxa"/>
              <w:bottom w:w="15" w:type="dxa"/>
              <w:right w:w="15" w:type="dxa"/>
            </w:tcMar>
            <w:vAlign w:val="center"/>
            <w:hideMark/>
          </w:tcPr>
          <w:p w14:paraId="0844197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 ± 0.6</w:t>
            </w:r>
          </w:p>
        </w:tc>
        <w:tc>
          <w:tcPr>
            <w:tcW w:w="1246" w:type="dxa"/>
            <w:tcBorders>
              <w:top w:val="nil"/>
              <w:left w:val="nil"/>
              <w:bottom w:val="nil"/>
              <w:right w:val="nil"/>
            </w:tcBorders>
            <w:tcMar>
              <w:top w:w="15" w:type="dxa"/>
              <w:left w:w="15" w:type="dxa"/>
              <w:bottom w:w="15" w:type="dxa"/>
              <w:right w:w="15" w:type="dxa"/>
            </w:tcMar>
            <w:vAlign w:val="center"/>
            <w:hideMark/>
          </w:tcPr>
          <w:p w14:paraId="3791D1EF"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22.3 ± 3.9</w:t>
            </w:r>
          </w:p>
        </w:tc>
        <w:tc>
          <w:tcPr>
            <w:tcW w:w="1373" w:type="dxa"/>
            <w:tcBorders>
              <w:top w:val="nil"/>
              <w:left w:val="nil"/>
              <w:bottom w:val="nil"/>
              <w:right w:val="nil"/>
            </w:tcBorders>
            <w:tcMar>
              <w:top w:w="15" w:type="dxa"/>
              <w:left w:w="15" w:type="dxa"/>
              <w:bottom w:w="15" w:type="dxa"/>
              <w:right w:w="15" w:type="dxa"/>
            </w:tcMar>
            <w:vAlign w:val="center"/>
            <w:hideMark/>
          </w:tcPr>
          <w:p w14:paraId="702F804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94.5 ± 7.3</w:t>
            </w:r>
          </w:p>
        </w:tc>
      </w:tr>
      <w:tr w:rsidR="008D621F" w14:paraId="37747834"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2230159E"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6</w:t>
            </w:r>
          </w:p>
        </w:tc>
        <w:tc>
          <w:tcPr>
            <w:tcW w:w="1291" w:type="dxa"/>
            <w:tcBorders>
              <w:top w:val="nil"/>
              <w:left w:val="nil"/>
              <w:bottom w:val="nil"/>
              <w:right w:val="nil"/>
            </w:tcBorders>
            <w:tcMar>
              <w:top w:w="15" w:type="dxa"/>
              <w:left w:w="15" w:type="dxa"/>
              <w:bottom w:w="15" w:type="dxa"/>
              <w:right w:w="15" w:type="dxa"/>
            </w:tcMar>
            <w:vAlign w:val="center"/>
            <w:hideMark/>
          </w:tcPr>
          <w:p w14:paraId="29BA026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0.39 ± 0.10</w:t>
            </w:r>
          </w:p>
        </w:tc>
        <w:tc>
          <w:tcPr>
            <w:tcW w:w="1246" w:type="dxa"/>
            <w:tcBorders>
              <w:top w:val="nil"/>
              <w:left w:val="nil"/>
              <w:bottom w:val="nil"/>
              <w:right w:val="nil"/>
            </w:tcBorders>
            <w:tcMar>
              <w:top w:w="15" w:type="dxa"/>
              <w:left w:w="15" w:type="dxa"/>
              <w:bottom w:w="15" w:type="dxa"/>
              <w:right w:w="15" w:type="dxa"/>
            </w:tcMar>
            <w:vAlign w:val="center"/>
            <w:hideMark/>
          </w:tcPr>
          <w:p w14:paraId="5FFADF24"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47.2 ± 6.0</w:t>
            </w:r>
          </w:p>
        </w:tc>
        <w:tc>
          <w:tcPr>
            <w:tcW w:w="1246" w:type="dxa"/>
            <w:tcBorders>
              <w:top w:val="nil"/>
              <w:left w:val="nil"/>
              <w:bottom w:val="nil"/>
              <w:right w:val="nil"/>
            </w:tcBorders>
            <w:tcMar>
              <w:top w:w="15" w:type="dxa"/>
              <w:left w:w="15" w:type="dxa"/>
              <w:bottom w:w="15" w:type="dxa"/>
              <w:right w:w="15" w:type="dxa"/>
            </w:tcMar>
            <w:vAlign w:val="center"/>
            <w:hideMark/>
          </w:tcPr>
          <w:p w14:paraId="364F4AFC"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20.5 ± 2.9</w:t>
            </w:r>
          </w:p>
        </w:tc>
        <w:tc>
          <w:tcPr>
            <w:tcW w:w="1245" w:type="dxa"/>
            <w:tcBorders>
              <w:top w:val="nil"/>
              <w:left w:val="nil"/>
              <w:bottom w:val="nil"/>
              <w:right w:val="nil"/>
            </w:tcBorders>
            <w:tcMar>
              <w:top w:w="15" w:type="dxa"/>
              <w:left w:w="15" w:type="dxa"/>
              <w:bottom w:w="15" w:type="dxa"/>
              <w:right w:w="15" w:type="dxa"/>
            </w:tcMar>
            <w:vAlign w:val="center"/>
            <w:hideMark/>
          </w:tcPr>
          <w:p w14:paraId="1AFC766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3.4 ± 0.7</w:t>
            </w:r>
          </w:p>
        </w:tc>
        <w:tc>
          <w:tcPr>
            <w:tcW w:w="1246" w:type="dxa"/>
            <w:tcBorders>
              <w:top w:val="nil"/>
              <w:left w:val="nil"/>
              <w:bottom w:val="nil"/>
              <w:right w:val="nil"/>
            </w:tcBorders>
            <w:tcMar>
              <w:top w:w="15" w:type="dxa"/>
              <w:left w:w="15" w:type="dxa"/>
              <w:bottom w:w="15" w:type="dxa"/>
              <w:right w:w="15" w:type="dxa"/>
            </w:tcMar>
            <w:vAlign w:val="center"/>
            <w:hideMark/>
          </w:tcPr>
          <w:p w14:paraId="6256DA27"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24.0 ± 4.0</w:t>
            </w:r>
          </w:p>
        </w:tc>
        <w:tc>
          <w:tcPr>
            <w:tcW w:w="1373" w:type="dxa"/>
            <w:tcBorders>
              <w:top w:val="nil"/>
              <w:left w:val="nil"/>
              <w:bottom w:val="nil"/>
              <w:right w:val="nil"/>
            </w:tcBorders>
            <w:tcMar>
              <w:top w:w="15" w:type="dxa"/>
              <w:left w:w="15" w:type="dxa"/>
              <w:bottom w:w="15" w:type="dxa"/>
              <w:right w:w="15" w:type="dxa"/>
            </w:tcMar>
            <w:vAlign w:val="center"/>
            <w:hideMark/>
          </w:tcPr>
          <w:p w14:paraId="38FC05BA"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99.5 ± 8.1</w:t>
            </w:r>
          </w:p>
        </w:tc>
      </w:tr>
      <w:tr w:rsidR="008D621F" w14:paraId="58714796"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0A342F3F"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7</w:t>
            </w:r>
          </w:p>
        </w:tc>
        <w:tc>
          <w:tcPr>
            <w:tcW w:w="1291" w:type="dxa"/>
            <w:tcBorders>
              <w:top w:val="nil"/>
              <w:left w:val="nil"/>
              <w:bottom w:val="nil"/>
              <w:right w:val="nil"/>
            </w:tcBorders>
            <w:tcMar>
              <w:top w:w="15" w:type="dxa"/>
              <w:left w:w="15" w:type="dxa"/>
              <w:bottom w:w="15" w:type="dxa"/>
              <w:right w:w="15" w:type="dxa"/>
            </w:tcMar>
            <w:vAlign w:val="center"/>
            <w:hideMark/>
          </w:tcPr>
          <w:p w14:paraId="0F053AE3"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0.41 ± 0.12</w:t>
            </w:r>
          </w:p>
        </w:tc>
        <w:tc>
          <w:tcPr>
            <w:tcW w:w="1246" w:type="dxa"/>
            <w:tcBorders>
              <w:top w:val="nil"/>
              <w:left w:val="nil"/>
              <w:bottom w:val="nil"/>
              <w:right w:val="nil"/>
            </w:tcBorders>
            <w:tcMar>
              <w:top w:w="15" w:type="dxa"/>
              <w:left w:w="15" w:type="dxa"/>
              <w:bottom w:w="15" w:type="dxa"/>
              <w:right w:w="15" w:type="dxa"/>
            </w:tcMar>
            <w:vAlign w:val="center"/>
            <w:hideMark/>
          </w:tcPr>
          <w:p w14:paraId="56B0D661"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49.0 ± 6.5</w:t>
            </w:r>
          </w:p>
        </w:tc>
        <w:tc>
          <w:tcPr>
            <w:tcW w:w="1246" w:type="dxa"/>
            <w:tcBorders>
              <w:top w:val="nil"/>
              <w:left w:val="nil"/>
              <w:bottom w:val="nil"/>
              <w:right w:val="nil"/>
            </w:tcBorders>
            <w:tcMar>
              <w:top w:w="15" w:type="dxa"/>
              <w:left w:w="15" w:type="dxa"/>
              <w:bottom w:w="15" w:type="dxa"/>
              <w:right w:w="15" w:type="dxa"/>
            </w:tcMar>
            <w:vAlign w:val="center"/>
            <w:hideMark/>
          </w:tcPr>
          <w:p w14:paraId="591D1EC1"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21.8 ± 3.1</w:t>
            </w:r>
          </w:p>
        </w:tc>
        <w:tc>
          <w:tcPr>
            <w:tcW w:w="1245" w:type="dxa"/>
            <w:tcBorders>
              <w:top w:val="nil"/>
              <w:left w:val="nil"/>
              <w:bottom w:val="nil"/>
              <w:right w:val="nil"/>
            </w:tcBorders>
            <w:tcMar>
              <w:top w:w="15" w:type="dxa"/>
              <w:left w:w="15" w:type="dxa"/>
              <w:bottom w:w="15" w:type="dxa"/>
              <w:right w:w="15" w:type="dxa"/>
            </w:tcMar>
            <w:vAlign w:val="center"/>
            <w:hideMark/>
          </w:tcPr>
          <w:p w14:paraId="4D31B1F2"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3.8 ± 0.9</w:t>
            </w:r>
          </w:p>
        </w:tc>
        <w:tc>
          <w:tcPr>
            <w:tcW w:w="1246" w:type="dxa"/>
            <w:tcBorders>
              <w:top w:val="nil"/>
              <w:left w:val="nil"/>
              <w:bottom w:val="nil"/>
              <w:right w:val="nil"/>
            </w:tcBorders>
            <w:tcMar>
              <w:top w:w="15" w:type="dxa"/>
              <w:left w:w="15" w:type="dxa"/>
              <w:bottom w:w="15" w:type="dxa"/>
              <w:right w:w="15" w:type="dxa"/>
            </w:tcMar>
            <w:vAlign w:val="center"/>
            <w:hideMark/>
          </w:tcPr>
          <w:p w14:paraId="068476F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26.1 ± 4.5</w:t>
            </w:r>
          </w:p>
        </w:tc>
        <w:tc>
          <w:tcPr>
            <w:tcW w:w="1373" w:type="dxa"/>
            <w:tcBorders>
              <w:top w:val="nil"/>
              <w:left w:val="nil"/>
              <w:bottom w:val="nil"/>
              <w:right w:val="nil"/>
            </w:tcBorders>
            <w:tcMar>
              <w:top w:w="15" w:type="dxa"/>
              <w:left w:w="15" w:type="dxa"/>
              <w:bottom w:w="15" w:type="dxa"/>
              <w:right w:w="15" w:type="dxa"/>
            </w:tcMar>
            <w:vAlign w:val="center"/>
            <w:hideMark/>
          </w:tcPr>
          <w:p w14:paraId="22D4CAB5"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103.8 ± 8.9</w:t>
            </w:r>
          </w:p>
        </w:tc>
      </w:tr>
      <w:tr w:rsidR="008D621F" w14:paraId="0991F300"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0CD42A6D"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8</w:t>
            </w:r>
          </w:p>
        </w:tc>
        <w:tc>
          <w:tcPr>
            <w:tcW w:w="1291" w:type="dxa"/>
            <w:tcBorders>
              <w:top w:val="nil"/>
              <w:left w:val="nil"/>
              <w:bottom w:val="nil"/>
              <w:right w:val="nil"/>
            </w:tcBorders>
            <w:tcMar>
              <w:top w:w="15" w:type="dxa"/>
              <w:left w:w="15" w:type="dxa"/>
              <w:bottom w:w="15" w:type="dxa"/>
              <w:right w:w="15" w:type="dxa"/>
            </w:tcMar>
            <w:vAlign w:val="center"/>
            <w:hideMark/>
          </w:tcPr>
          <w:p w14:paraId="426C3E69"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0.38 ± 0.09</w:t>
            </w:r>
          </w:p>
        </w:tc>
        <w:tc>
          <w:tcPr>
            <w:tcW w:w="1246" w:type="dxa"/>
            <w:tcBorders>
              <w:top w:val="nil"/>
              <w:left w:val="nil"/>
              <w:bottom w:val="nil"/>
              <w:right w:val="nil"/>
            </w:tcBorders>
            <w:tcMar>
              <w:top w:w="15" w:type="dxa"/>
              <w:left w:w="15" w:type="dxa"/>
              <w:bottom w:w="15" w:type="dxa"/>
              <w:right w:w="15" w:type="dxa"/>
            </w:tcMar>
            <w:vAlign w:val="center"/>
            <w:hideMark/>
          </w:tcPr>
          <w:p w14:paraId="4DA31F6E"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46.9 ± 5.9</w:t>
            </w:r>
          </w:p>
        </w:tc>
        <w:tc>
          <w:tcPr>
            <w:tcW w:w="1246" w:type="dxa"/>
            <w:tcBorders>
              <w:top w:val="nil"/>
              <w:left w:val="nil"/>
              <w:bottom w:val="nil"/>
              <w:right w:val="nil"/>
            </w:tcBorders>
            <w:tcMar>
              <w:top w:w="15" w:type="dxa"/>
              <w:left w:w="15" w:type="dxa"/>
              <w:bottom w:w="15" w:type="dxa"/>
              <w:right w:w="15" w:type="dxa"/>
            </w:tcMar>
            <w:vAlign w:val="center"/>
            <w:hideMark/>
          </w:tcPr>
          <w:p w14:paraId="05F99E4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20.2 ± 2.7</w:t>
            </w:r>
          </w:p>
        </w:tc>
        <w:tc>
          <w:tcPr>
            <w:tcW w:w="1245" w:type="dxa"/>
            <w:tcBorders>
              <w:top w:val="nil"/>
              <w:left w:val="nil"/>
              <w:bottom w:val="nil"/>
              <w:right w:val="nil"/>
            </w:tcBorders>
            <w:tcMar>
              <w:top w:w="15" w:type="dxa"/>
              <w:left w:w="15" w:type="dxa"/>
              <w:bottom w:w="15" w:type="dxa"/>
              <w:right w:w="15" w:type="dxa"/>
            </w:tcMar>
            <w:vAlign w:val="center"/>
            <w:hideMark/>
          </w:tcPr>
          <w:p w14:paraId="543998B4"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3.6 ± 0.8</w:t>
            </w:r>
          </w:p>
        </w:tc>
        <w:tc>
          <w:tcPr>
            <w:tcW w:w="1246" w:type="dxa"/>
            <w:tcBorders>
              <w:top w:val="nil"/>
              <w:left w:val="nil"/>
              <w:bottom w:val="nil"/>
              <w:right w:val="nil"/>
            </w:tcBorders>
            <w:tcMar>
              <w:top w:w="15" w:type="dxa"/>
              <w:left w:w="15" w:type="dxa"/>
              <w:bottom w:w="15" w:type="dxa"/>
              <w:right w:w="15" w:type="dxa"/>
            </w:tcMar>
            <w:vAlign w:val="center"/>
            <w:hideMark/>
          </w:tcPr>
          <w:p w14:paraId="40A410D9"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24.5 ± 4.2</w:t>
            </w:r>
          </w:p>
        </w:tc>
        <w:tc>
          <w:tcPr>
            <w:tcW w:w="1373" w:type="dxa"/>
            <w:tcBorders>
              <w:top w:val="nil"/>
              <w:left w:val="nil"/>
              <w:bottom w:val="nil"/>
              <w:right w:val="nil"/>
            </w:tcBorders>
            <w:tcMar>
              <w:top w:w="15" w:type="dxa"/>
              <w:left w:w="15" w:type="dxa"/>
              <w:bottom w:w="15" w:type="dxa"/>
              <w:right w:w="15" w:type="dxa"/>
            </w:tcMar>
            <w:vAlign w:val="center"/>
            <w:hideMark/>
          </w:tcPr>
          <w:p w14:paraId="71273E67"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98.6 ± 7.7</w:t>
            </w:r>
          </w:p>
        </w:tc>
      </w:tr>
      <w:tr w:rsidR="008D621F" w14:paraId="09DF08C8"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3F240AF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9</w:t>
            </w:r>
          </w:p>
        </w:tc>
        <w:tc>
          <w:tcPr>
            <w:tcW w:w="1291" w:type="dxa"/>
            <w:tcBorders>
              <w:top w:val="nil"/>
              <w:left w:val="nil"/>
              <w:bottom w:val="nil"/>
              <w:right w:val="nil"/>
            </w:tcBorders>
            <w:tcMar>
              <w:top w:w="15" w:type="dxa"/>
              <w:left w:w="15" w:type="dxa"/>
              <w:bottom w:w="15" w:type="dxa"/>
              <w:right w:w="15" w:type="dxa"/>
            </w:tcMar>
            <w:vAlign w:val="center"/>
            <w:hideMark/>
          </w:tcPr>
          <w:p w14:paraId="64C54F8A"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0.37 ± 0.08</w:t>
            </w:r>
          </w:p>
        </w:tc>
        <w:tc>
          <w:tcPr>
            <w:tcW w:w="1246" w:type="dxa"/>
            <w:tcBorders>
              <w:top w:val="nil"/>
              <w:left w:val="nil"/>
              <w:bottom w:val="nil"/>
              <w:right w:val="nil"/>
            </w:tcBorders>
            <w:tcMar>
              <w:top w:w="15" w:type="dxa"/>
              <w:left w:w="15" w:type="dxa"/>
              <w:bottom w:w="15" w:type="dxa"/>
              <w:right w:w="15" w:type="dxa"/>
            </w:tcMar>
            <w:vAlign w:val="center"/>
            <w:hideMark/>
          </w:tcPr>
          <w:p w14:paraId="0089489D"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45.5 ± 5.7</w:t>
            </w:r>
          </w:p>
        </w:tc>
        <w:tc>
          <w:tcPr>
            <w:tcW w:w="1246" w:type="dxa"/>
            <w:tcBorders>
              <w:top w:val="nil"/>
              <w:left w:val="nil"/>
              <w:bottom w:val="nil"/>
              <w:right w:val="nil"/>
            </w:tcBorders>
            <w:tcMar>
              <w:top w:w="15" w:type="dxa"/>
              <w:left w:w="15" w:type="dxa"/>
              <w:bottom w:w="15" w:type="dxa"/>
              <w:right w:w="15" w:type="dxa"/>
            </w:tcMar>
            <w:vAlign w:val="center"/>
            <w:hideMark/>
          </w:tcPr>
          <w:p w14:paraId="2DB35C9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19.1 ± 2.4</w:t>
            </w:r>
          </w:p>
        </w:tc>
        <w:tc>
          <w:tcPr>
            <w:tcW w:w="1245" w:type="dxa"/>
            <w:tcBorders>
              <w:top w:val="nil"/>
              <w:left w:val="nil"/>
              <w:bottom w:val="nil"/>
              <w:right w:val="nil"/>
            </w:tcBorders>
            <w:tcMar>
              <w:top w:w="15" w:type="dxa"/>
              <w:left w:w="15" w:type="dxa"/>
              <w:bottom w:w="15" w:type="dxa"/>
              <w:right w:w="15" w:type="dxa"/>
            </w:tcMar>
            <w:vAlign w:val="center"/>
            <w:hideMark/>
          </w:tcPr>
          <w:p w14:paraId="54F3F77B"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3.2 ± 0.6</w:t>
            </w:r>
          </w:p>
        </w:tc>
        <w:tc>
          <w:tcPr>
            <w:tcW w:w="1246" w:type="dxa"/>
            <w:tcBorders>
              <w:top w:val="nil"/>
              <w:left w:val="nil"/>
              <w:bottom w:val="nil"/>
              <w:right w:val="nil"/>
            </w:tcBorders>
            <w:tcMar>
              <w:top w:w="15" w:type="dxa"/>
              <w:left w:w="15" w:type="dxa"/>
              <w:bottom w:w="15" w:type="dxa"/>
              <w:right w:w="15" w:type="dxa"/>
            </w:tcMar>
            <w:vAlign w:val="center"/>
            <w:hideMark/>
          </w:tcPr>
          <w:p w14:paraId="2E69FADF"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23.0 ± 3.7</w:t>
            </w:r>
          </w:p>
        </w:tc>
        <w:tc>
          <w:tcPr>
            <w:tcW w:w="1373" w:type="dxa"/>
            <w:tcBorders>
              <w:top w:val="nil"/>
              <w:left w:val="nil"/>
              <w:bottom w:val="nil"/>
              <w:right w:val="nil"/>
            </w:tcBorders>
            <w:tcMar>
              <w:top w:w="15" w:type="dxa"/>
              <w:left w:w="15" w:type="dxa"/>
              <w:bottom w:w="15" w:type="dxa"/>
              <w:right w:w="15" w:type="dxa"/>
            </w:tcMar>
            <w:vAlign w:val="center"/>
            <w:hideMark/>
          </w:tcPr>
          <w:p w14:paraId="32C9FC41"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96.0 ± 7.4</w:t>
            </w:r>
          </w:p>
        </w:tc>
      </w:tr>
      <w:tr w:rsidR="008D621F" w14:paraId="6ABAB08D" w14:textId="77777777" w:rsidTr="008D621F">
        <w:trPr>
          <w:tblCellSpacing w:w="15" w:type="dxa"/>
          <w:jc w:val="center"/>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4C6098DA"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10</w:t>
            </w:r>
          </w:p>
        </w:tc>
        <w:tc>
          <w:tcPr>
            <w:tcW w:w="1291" w:type="dxa"/>
            <w:tcBorders>
              <w:top w:val="nil"/>
              <w:left w:val="nil"/>
              <w:bottom w:val="single" w:sz="4" w:space="0" w:color="auto"/>
              <w:right w:val="nil"/>
            </w:tcBorders>
            <w:tcMar>
              <w:top w:w="15" w:type="dxa"/>
              <w:left w:w="15" w:type="dxa"/>
              <w:bottom w:w="15" w:type="dxa"/>
              <w:right w:w="15" w:type="dxa"/>
            </w:tcMar>
            <w:vAlign w:val="center"/>
            <w:hideMark/>
          </w:tcPr>
          <w:p w14:paraId="30D4C5E1"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0.43 ± 0.11</w:t>
            </w:r>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6DB804AE"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48.8 ± 6.3</w:t>
            </w:r>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47986D0A"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21.5 ± 3.2</w:t>
            </w:r>
          </w:p>
        </w:tc>
        <w:tc>
          <w:tcPr>
            <w:tcW w:w="1245" w:type="dxa"/>
            <w:tcBorders>
              <w:top w:val="nil"/>
              <w:left w:val="nil"/>
              <w:bottom w:val="single" w:sz="4" w:space="0" w:color="auto"/>
              <w:right w:val="nil"/>
            </w:tcBorders>
            <w:tcMar>
              <w:top w:w="15" w:type="dxa"/>
              <w:left w:w="15" w:type="dxa"/>
              <w:bottom w:w="15" w:type="dxa"/>
              <w:right w:w="15" w:type="dxa"/>
            </w:tcMar>
            <w:vAlign w:val="center"/>
            <w:hideMark/>
          </w:tcPr>
          <w:p w14:paraId="3D9BECC7"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3.9 ± 0.9</w:t>
            </w:r>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21D7677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26.0 ± 4.6</w:t>
            </w:r>
          </w:p>
        </w:tc>
        <w:tc>
          <w:tcPr>
            <w:tcW w:w="1373" w:type="dxa"/>
            <w:tcBorders>
              <w:top w:val="nil"/>
              <w:left w:val="nil"/>
              <w:bottom w:val="single" w:sz="4" w:space="0" w:color="auto"/>
              <w:right w:val="nil"/>
            </w:tcBorders>
            <w:tcMar>
              <w:top w:w="15" w:type="dxa"/>
              <w:left w:w="15" w:type="dxa"/>
              <w:bottom w:w="15" w:type="dxa"/>
              <w:right w:w="15" w:type="dxa"/>
            </w:tcMar>
            <w:vAlign w:val="center"/>
            <w:hideMark/>
          </w:tcPr>
          <w:p w14:paraId="5FA8D330"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104.3 ± 9.0</w:t>
            </w:r>
          </w:p>
        </w:tc>
      </w:tr>
      <w:tr w:rsidR="008D621F" w14:paraId="7DDADCF6"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17140271"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Mean</w:t>
            </w:r>
          </w:p>
        </w:tc>
        <w:tc>
          <w:tcPr>
            <w:tcW w:w="1291" w:type="dxa"/>
            <w:tcBorders>
              <w:top w:val="nil"/>
              <w:left w:val="nil"/>
              <w:bottom w:val="nil"/>
              <w:right w:val="nil"/>
            </w:tcBorders>
            <w:tcMar>
              <w:top w:w="15" w:type="dxa"/>
              <w:left w:w="15" w:type="dxa"/>
              <w:bottom w:w="15" w:type="dxa"/>
              <w:right w:w="15" w:type="dxa"/>
            </w:tcMar>
            <w:vAlign w:val="center"/>
            <w:hideMark/>
          </w:tcPr>
          <w:p w14:paraId="75AE6E22"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0.38 ± 0.10</w:t>
            </w:r>
          </w:p>
        </w:tc>
        <w:tc>
          <w:tcPr>
            <w:tcW w:w="1246" w:type="dxa"/>
            <w:tcBorders>
              <w:top w:val="nil"/>
              <w:left w:val="nil"/>
              <w:bottom w:val="nil"/>
              <w:right w:val="nil"/>
            </w:tcBorders>
            <w:tcMar>
              <w:top w:w="15" w:type="dxa"/>
              <w:left w:w="15" w:type="dxa"/>
              <w:bottom w:w="15" w:type="dxa"/>
              <w:right w:w="15" w:type="dxa"/>
            </w:tcMar>
            <w:vAlign w:val="center"/>
            <w:hideMark/>
          </w:tcPr>
          <w:p w14:paraId="3FC3FA53"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46.99 ± 5.9</w:t>
            </w:r>
          </w:p>
        </w:tc>
        <w:tc>
          <w:tcPr>
            <w:tcW w:w="1246" w:type="dxa"/>
            <w:tcBorders>
              <w:top w:val="nil"/>
              <w:left w:val="nil"/>
              <w:bottom w:val="nil"/>
              <w:right w:val="nil"/>
            </w:tcBorders>
            <w:tcMar>
              <w:top w:w="15" w:type="dxa"/>
              <w:left w:w="15" w:type="dxa"/>
              <w:bottom w:w="15" w:type="dxa"/>
              <w:right w:w="15" w:type="dxa"/>
            </w:tcMar>
            <w:vAlign w:val="center"/>
            <w:hideMark/>
          </w:tcPr>
          <w:p w14:paraId="5C671240"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20.1 ± 2.8</w:t>
            </w:r>
          </w:p>
        </w:tc>
        <w:tc>
          <w:tcPr>
            <w:tcW w:w="1245" w:type="dxa"/>
            <w:tcBorders>
              <w:top w:val="nil"/>
              <w:left w:val="nil"/>
              <w:bottom w:val="nil"/>
              <w:right w:val="nil"/>
            </w:tcBorders>
            <w:tcMar>
              <w:top w:w="15" w:type="dxa"/>
              <w:left w:w="15" w:type="dxa"/>
              <w:bottom w:w="15" w:type="dxa"/>
              <w:right w:w="15" w:type="dxa"/>
            </w:tcMar>
            <w:vAlign w:val="center"/>
            <w:hideMark/>
          </w:tcPr>
          <w:p w14:paraId="793401C1"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3.4 ± 0.7</w:t>
            </w:r>
          </w:p>
        </w:tc>
        <w:tc>
          <w:tcPr>
            <w:tcW w:w="1246" w:type="dxa"/>
            <w:tcBorders>
              <w:top w:val="nil"/>
              <w:left w:val="nil"/>
              <w:bottom w:val="nil"/>
              <w:right w:val="nil"/>
            </w:tcBorders>
            <w:tcMar>
              <w:top w:w="15" w:type="dxa"/>
              <w:left w:w="15" w:type="dxa"/>
              <w:bottom w:w="15" w:type="dxa"/>
              <w:right w:w="15" w:type="dxa"/>
            </w:tcMar>
            <w:vAlign w:val="center"/>
            <w:hideMark/>
          </w:tcPr>
          <w:p w14:paraId="5B344784"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24.1 ± 4.0</w:t>
            </w:r>
          </w:p>
        </w:tc>
        <w:tc>
          <w:tcPr>
            <w:tcW w:w="1373" w:type="dxa"/>
            <w:tcBorders>
              <w:top w:val="nil"/>
              <w:left w:val="nil"/>
              <w:bottom w:val="nil"/>
              <w:right w:val="nil"/>
            </w:tcBorders>
            <w:tcMar>
              <w:top w:w="15" w:type="dxa"/>
              <w:left w:w="15" w:type="dxa"/>
              <w:bottom w:w="15" w:type="dxa"/>
              <w:right w:w="15" w:type="dxa"/>
            </w:tcMar>
            <w:vAlign w:val="center"/>
            <w:hideMark/>
          </w:tcPr>
          <w:p w14:paraId="7FA87D46"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99.3 ± 8.0</w:t>
            </w:r>
          </w:p>
        </w:tc>
      </w:tr>
    </w:tbl>
    <w:p w14:paraId="505BD75B" w14:textId="77777777" w:rsidR="008D621F" w:rsidRDefault="008D621F" w:rsidP="005D1F7D">
      <w:pPr>
        <w:spacing w:line="360" w:lineRule="auto"/>
        <w:jc w:val="both"/>
        <w:rPr>
          <w:rFonts w:ascii="Times New Roman" w:hAnsi="Times New Roman" w:cs="Times New Roman"/>
          <w:sz w:val="24"/>
        </w:rPr>
      </w:pPr>
    </w:p>
    <w:p w14:paraId="6E619FFD" w14:textId="70DE9721" w:rsidR="008D621F" w:rsidRDefault="008D621F" w:rsidP="005D1F7D">
      <w:pPr>
        <w:spacing w:line="360" w:lineRule="auto"/>
        <w:jc w:val="both"/>
        <w:rPr>
          <w:rFonts w:ascii="Times New Roman" w:hAnsi="Times New Roman" w:cs="Times New Roman"/>
          <w:sz w:val="24"/>
        </w:rPr>
      </w:pPr>
      <w:r>
        <w:rPr>
          <w:rFonts w:ascii="Times New Roman" w:hAnsi="Times New Roman" w:cs="Times New Roman"/>
          <w:sz w:val="24"/>
        </w:rPr>
        <w:t>The analysis of heavy metals in soil samples across the 10 sampling points revealed variations in concentrations of cadmium (Cd), chromium (Cr), nickel (Ni), arsenic (As), lead (Pb), and zinc (Zn). The mean concentrations were as follows: Cd (0.38 ± 0.10 mg/kg), Cr (46.99 ± 5.9 mg/kg), Ni (20.1 ± 2.8 mg/kg), As (3.4 ± 0.7 mg/kg), Pb (24.1 ± 4.0 mg/kg), and Zn (99.3 ± 8.0 mg/kg). These values indicate that while some metals were within acceptable regulatory limits, others exceeded thresholds set by international guidelines, such as the United States Environmental Protection Agency (USEPA).</w:t>
      </w:r>
      <w:r w:rsidR="00633E47">
        <w:rPr>
          <w:rFonts w:ascii="Times New Roman" w:hAnsi="Times New Roman" w:cs="Times New Roman"/>
          <w:sz w:val="24"/>
        </w:rPr>
        <w:t xml:space="preserve"> </w:t>
      </w:r>
      <w:r>
        <w:rPr>
          <w:rFonts w:ascii="Times New Roman" w:hAnsi="Times New Roman" w:cs="Times New Roman"/>
          <w:sz w:val="24"/>
        </w:rPr>
        <w:t xml:space="preserve">The mean Cd concentration (0.38 ± 0.10 mg/kg) was slightly below the USEPA's permissible limit of 0.5 mg/kg for agricultural soils, indicating minimal contamination at these sites. However, chromium levels (46.99 ± 5.9 mg/kg) approached the threshold value of 50 mg/kg set by the European Union for non-contaminated soils, suggesting potential risks of environmental degradation in some locations. Nickel concentrations (20.1 ± 2.8 mg/kg) were within the safe range of 30-50 mg/kg but merit attention due to their </w:t>
      </w:r>
      <w:proofErr w:type="spellStart"/>
      <w:r>
        <w:rPr>
          <w:rFonts w:ascii="Times New Roman" w:hAnsi="Times New Roman" w:cs="Times New Roman"/>
          <w:sz w:val="24"/>
        </w:rPr>
        <w:t>bioaccumulative</w:t>
      </w:r>
      <w:proofErr w:type="spellEnd"/>
      <w:r>
        <w:rPr>
          <w:rFonts w:ascii="Times New Roman" w:hAnsi="Times New Roman" w:cs="Times New Roman"/>
          <w:sz w:val="24"/>
        </w:rPr>
        <w:t xml:space="preserve"> tendencies and potential toxicity.</w:t>
      </w:r>
      <w:r w:rsidR="00633E47">
        <w:rPr>
          <w:rFonts w:ascii="Times New Roman" w:hAnsi="Times New Roman" w:cs="Times New Roman"/>
          <w:sz w:val="24"/>
        </w:rPr>
        <w:t xml:space="preserve"> </w:t>
      </w:r>
      <w:r>
        <w:rPr>
          <w:rFonts w:ascii="Times New Roman" w:hAnsi="Times New Roman" w:cs="Times New Roman"/>
          <w:sz w:val="24"/>
        </w:rPr>
        <w:t>Arsenic, with a mean concentration of 3.4 ± 0.7 mg/kg, fell below the WHO permissible limit of 10 mg/kg for soils, indicating low anthropogenic input. Lead concentrations (24.1 ± 4.0 mg/kg) were below the critical threshold of 50 mg/kg, which is often associated with industrial and vehicular emissions. Zinc exhibited the highest mean concentration (99.3 ± 8.0 mg/kg), but it remained within the acceptable range of 200-300 mg/kg for agricultural soils, as recommended by the USEPA.</w:t>
      </w:r>
    </w:p>
    <w:p w14:paraId="32439643" w14:textId="1A046A31" w:rsidR="008D621F" w:rsidRDefault="008D621F" w:rsidP="005D1F7D">
      <w:pPr>
        <w:spacing w:line="360" w:lineRule="auto"/>
        <w:jc w:val="both"/>
        <w:rPr>
          <w:rFonts w:ascii="Times New Roman" w:hAnsi="Times New Roman" w:cs="Times New Roman"/>
          <w:sz w:val="24"/>
        </w:rPr>
      </w:pPr>
      <w:r>
        <w:rPr>
          <w:rFonts w:ascii="Times New Roman" w:hAnsi="Times New Roman" w:cs="Times New Roman"/>
          <w:sz w:val="24"/>
        </w:rPr>
        <w:t>However, the Pb levels in this study were significantly lower</w:t>
      </w:r>
      <w:r w:rsidR="00857E84">
        <w:rPr>
          <w:rFonts w:ascii="Times New Roman" w:hAnsi="Times New Roman" w:cs="Times New Roman"/>
          <w:sz w:val="24"/>
        </w:rPr>
        <w:t xml:space="preserve"> than those recorded by</w:t>
      </w:r>
      <w:r>
        <w:rPr>
          <w:rFonts w:ascii="Times New Roman" w:hAnsi="Times New Roman" w:cs="Times New Roman"/>
          <w:sz w:val="24"/>
        </w:rPr>
        <w:t xml:space="preserve"> </w:t>
      </w:r>
      <w:proofErr w:type="spellStart"/>
      <w:r w:rsidRPr="00DE2BAB">
        <w:rPr>
          <w:rFonts w:ascii="Times New Roman" w:hAnsi="Times New Roman" w:cs="Times New Roman"/>
          <w:sz w:val="24"/>
          <w:highlight w:val="yellow"/>
        </w:rPr>
        <w:t>Ugwu</w:t>
      </w:r>
      <w:proofErr w:type="spellEnd"/>
      <w:r w:rsidR="00857E84" w:rsidRPr="00DE2BAB">
        <w:rPr>
          <w:rFonts w:ascii="Times New Roman" w:hAnsi="Times New Roman" w:cs="Times New Roman"/>
          <w:sz w:val="24"/>
          <w:highlight w:val="yellow"/>
        </w:rPr>
        <w:t xml:space="preserve"> et al. (2024</w:t>
      </w:r>
      <w:r w:rsidRPr="00DE2BAB">
        <w:rPr>
          <w:rFonts w:ascii="Times New Roman" w:hAnsi="Times New Roman" w:cs="Times New Roman"/>
          <w:sz w:val="24"/>
          <w:highlight w:val="yellow"/>
        </w:rPr>
        <w:t>)</w:t>
      </w:r>
      <w:r>
        <w:rPr>
          <w:rFonts w:ascii="Times New Roman" w:hAnsi="Times New Roman" w:cs="Times New Roman"/>
          <w:sz w:val="24"/>
        </w:rPr>
        <w:t xml:space="preserve"> in urban soils of Lagos State, where Pb concentrations exceeded 100 mg/kg due to heavy </w:t>
      </w:r>
      <w:r>
        <w:rPr>
          <w:rFonts w:ascii="Times New Roman" w:hAnsi="Times New Roman" w:cs="Times New Roman"/>
          <w:sz w:val="24"/>
        </w:rPr>
        <w:lastRenderedPageBreak/>
        <w:t xml:space="preserve">industrial activities and vehicular emissions. These </w:t>
      </w:r>
      <w:r w:rsidR="00022CA3">
        <w:rPr>
          <w:rFonts w:ascii="Times New Roman" w:hAnsi="Times New Roman" w:cs="Times New Roman"/>
          <w:sz w:val="24"/>
        </w:rPr>
        <w:t>results</w:t>
      </w:r>
      <w:r>
        <w:rPr>
          <w:rFonts w:ascii="Times New Roman" w:hAnsi="Times New Roman" w:cs="Times New Roman"/>
          <w:sz w:val="24"/>
        </w:rPr>
        <w:t xml:space="preserve"> suggest that while the study area is not heavily contaminated with toxic heavy metals, the elevated levels of Zn and borderline concentrations of Cr warrant monitoring. The high Zn content could be attributed to agricultural activities, such as the application of zinc-containing fertilizers, as suggested by </w:t>
      </w:r>
      <w:proofErr w:type="spellStart"/>
      <w:r w:rsidR="00F63EB6">
        <w:rPr>
          <w:rFonts w:ascii="Times New Roman" w:hAnsi="Times New Roman" w:cs="Times New Roman"/>
          <w:sz w:val="24"/>
        </w:rPr>
        <w:t>Tenebe</w:t>
      </w:r>
      <w:proofErr w:type="spellEnd"/>
      <w:r w:rsidR="00F63EB6">
        <w:rPr>
          <w:rFonts w:ascii="Times New Roman" w:hAnsi="Times New Roman" w:cs="Times New Roman"/>
          <w:sz w:val="24"/>
        </w:rPr>
        <w:t xml:space="preserve"> et al. (2022</w:t>
      </w:r>
      <w:r>
        <w:rPr>
          <w:rFonts w:ascii="Times New Roman" w:hAnsi="Times New Roman" w:cs="Times New Roman"/>
          <w:sz w:val="24"/>
        </w:rPr>
        <w:t>). The moderate Cr levels may be linked to natural geological formations and minor industrial inputs, consistent with t</w:t>
      </w:r>
      <w:r w:rsidR="00000BB9">
        <w:rPr>
          <w:rFonts w:ascii="Times New Roman" w:hAnsi="Times New Roman" w:cs="Times New Roman"/>
          <w:sz w:val="24"/>
        </w:rPr>
        <w:t xml:space="preserve">he observations of </w:t>
      </w:r>
      <w:proofErr w:type="spellStart"/>
      <w:r w:rsidR="00000BB9" w:rsidRPr="00DE2BAB">
        <w:rPr>
          <w:rFonts w:ascii="Times New Roman" w:hAnsi="Times New Roman" w:cs="Times New Roman"/>
          <w:sz w:val="24"/>
          <w:highlight w:val="yellow"/>
        </w:rPr>
        <w:t>Ojo</w:t>
      </w:r>
      <w:proofErr w:type="spellEnd"/>
      <w:r w:rsidR="00000BB9" w:rsidRPr="00DE2BAB">
        <w:rPr>
          <w:rFonts w:ascii="Times New Roman" w:hAnsi="Times New Roman" w:cs="Times New Roman"/>
          <w:sz w:val="24"/>
          <w:highlight w:val="yellow"/>
        </w:rPr>
        <w:t xml:space="preserve"> (2024</w:t>
      </w:r>
      <w:r w:rsidRPr="00DE2BAB">
        <w:rPr>
          <w:rFonts w:ascii="Times New Roman" w:hAnsi="Times New Roman" w:cs="Times New Roman"/>
          <w:sz w:val="24"/>
          <w:highlight w:val="yellow"/>
        </w:rPr>
        <w:t>).</w:t>
      </w:r>
      <w:r>
        <w:rPr>
          <w:rFonts w:ascii="Times New Roman" w:hAnsi="Times New Roman" w:cs="Times New Roman"/>
          <w:sz w:val="24"/>
        </w:rPr>
        <w:t xml:space="preserve"> </w:t>
      </w:r>
    </w:p>
    <w:p w14:paraId="65E84ACD" w14:textId="77777777" w:rsidR="008D621F" w:rsidRDefault="008D621F" w:rsidP="005D1F7D">
      <w:pPr>
        <w:spacing w:line="360" w:lineRule="auto"/>
        <w:jc w:val="both"/>
        <w:rPr>
          <w:rFonts w:ascii="Times New Roman" w:hAnsi="Times New Roman" w:cs="Times New Roman"/>
          <w:sz w:val="24"/>
        </w:rPr>
      </w:pPr>
      <w:r>
        <w:rPr>
          <w:rFonts w:ascii="Times New Roman" w:hAnsi="Times New Roman" w:cs="Times New Roman"/>
          <w:sz w:val="24"/>
        </w:rPr>
        <w:t>The soil heavy metal analysis indicates a mix of natural and anthropogenic influences. Continuous monitoring and implementation of soil remediation strategies, where necessary, are recommended to mitigate potential environmental and public health risks. Further comparative studies across broader geographical regions will enhance understanding and inform sustainable land use practices.</w:t>
      </w:r>
    </w:p>
    <w:p w14:paraId="1B8A78BC" w14:textId="77777777" w:rsidR="00633E47" w:rsidRDefault="00022CA3"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3.3 </w:t>
      </w:r>
      <w:r w:rsidR="00633E47">
        <w:rPr>
          <w:rFonts w:ascii="Times New Roman" w:hAnsi="Times New Roman" w:cs="Times New Roman"/>
          <w:b/>
          <w:sz w:val="24"/>
        </w:rPr>
        <w:t xml:space="preserve">Hydrocarbon Content in Soil </w:t>
      </w:r>
    </w:p>
    <w:p w14:paraId="2A468B1B" w14:textId="77777777" w:rsidR="00633E47" w:rsidRDefault="00633E47" w:rsidP="005D1F7D">
      <w:pPr>
        <w:tabs>
          <w:tab w:val="left" w:pos="6078"/>
        </w:tabs>
        <w:spacing w:line="360" w:lineRule="auto"/>
        <w:jc w:val="both"/>
        <w:rPr>
          <w:rFonts w:ascii="Times New Roman" w:hAnsi="Times New Roman" w:cs="Times New Roman"/>
          <w:b/>
          <w:sz w:val="24"/>
        </w:rPr>
      </w:pPr>
      <w:r>
        <w:rPr>
          <w:rFonts w:ascii="Times New Roman" w:hAnsi="Times New Roman" w:cs="Times New Roman"/>
          <w:b/>
          <w:sz w:val="24"/>
        </w:rPr>
        <w:t>Table 5: Result of Hydrocarbon content in soil</w:t>
      </w:r>
      <w:r>
        <w:rPr>
          <w:rFonts w:ascii="Times New Roman" w:hAnsi="Times New Roman" w:cs="Times New Roman"/>
          <w:b/>
          <w:sz w:val="24"/>
        </w:rPr>
        <w:tab/>
      </w:r>
    </w:p>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1378"/>
        <w:gridCol w:w="1579"/>
        <w:gridCol w:w="1597"/>
        <w:gridCol w:w="1597"/>
        <w:gridCol w:w="1597"/>
        <w:gridCol w:w="1612"/>
      </w:tblGrid>
      <w:tr w:rsidR="00633E47" w:rsidRPr="00A02130" w14:paraId="59678861" w14:textId="77777777" w:rsidTr="00633E47">
        <w:trPr>
          <w:tblHeader/>
          <w:tblCellSpacing w:w="15" w:type="dxa"/>
        </w:trPr>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6F53573C" w14:textId="77777777" w:rsidR="00633E47" w:rsidRPr="00A02130" w:rsidRDefault="00633E47" w:rsidP="005D1F7D">
            <w:pPr>
              <w:spacing w:after="0" w:line="360" w:lineRule="auto"/>
              <w:contextualSpacing/>
              <w:jc w:val="center"/>
              <w:rPr>
                <w:rFonts w:ascii="Times New Roman" w:hAnsi="Times New Roman" w:cs="Times New Roman"/>
                <w:b/>
                <w:bCs/>
                <w:sz w:val="24"/>
                <w:szCs w:val="24"/>
              </w:rPr>
            </w:pPr>
            <w:r w:rsidRPr="00A02130">
              <w:rPr>
                <w:rStyle w:val="Strong"/>
                <w:rFonts w:ascii="Times New Roman" w:hAnsi="Times New Roman" w:cs="Times New Roman"/>
                <w:sz w:val="24"/>
                <w:szCs w:val="24"/>
              </w:rPr>
              <w:t>Sample Code</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6B467D20" w14:textId="77777777" w:rsidR="00633E47" w:rsidRPr="00A02130" w:rsidRDefault="00633E47" w:rsidP="005D1F7D">
            <w:pPr>
              <w:spacing w:after="0" w:line="360" w:lineRule="auto"/>
              <w:contextualSpacing/>
              <w:jc w:val="center"/>
              <w:rPr>
                <w:rFonts w:ascii="Times New Roman" w:hAnsi="Times New Roman" w:cs="Times New Roman"/>
                <w:b/>
                <w:bCs/>
                <w:sz w:val="24"/>
                <w:szCs w:val="24"/>
              </w:rPr>
            </w:pP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10</w:t>
            </w: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 xml:space="preserve">12 </w:t>
            </w:r>
            <w:r w:rsidRPr="00A02130">
              <w:rPr>
                <w:rStyle w:val="Strong"/>
                <w:rFonts w:ascii="Times New Roman" w:hAnsi="Times New Roman" w:cs="Times New Roman"/>
                <w:sz w:val="24"/>
                <w:szCs w:val="24"/>
              </w:rPr>
              <w:t>(mg/kg)</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0A3B16DC" w14:textId="77777777" w:rsidR="00633E47" w:rsidRPr="00A02130" w:rsidRDefault="00633E47" w:rsidP="005D1F7D">
            <w:pPr>
              <w:spacing w:after="0" w:line="360" w:lineRule="auto"/>
              <w:contextualSpacing/>
              <w:jc w:val="center"/>
              <w:rPr>
                <w:rFonts w:ascii="Times New Roman" w:hAnsi="Times New Roman" w:cs="Times New Roman"/>
                <w:b/>
                <w:bCs/>
                <w:sz w:val="24"/>
                <w:szCs w:val="24"/>
              </w:rPr>
            </w:pP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13</w:t>
            </w: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16</w:t>
            </w:r>
            <w:r w:rsidRPr="00A02130">
              <w:rPr>
                <w:rStyle w:val="Strong"/>
                <w:rFonts w:ascii="Times New Roman" w:hAnsi="Times New Roman" w:cs="Times New Roman"/>
                <w:sz w:val="24"/>
                <w:szCs w:val="24"/>
              </w:rPr>
              <w:t xml:space="preserve"> (mg/kg)</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17E8AE7F" w14:textId="77777777" w:rsidR="00633E47" w:rsidRPr="00A02130" w:rsidRDefault="00633E47" w:rsidP="005D1F7D">
            <w:pPr>
              <w:spacing w:after="0" w:line="360" w:lineRule="auto"/>
              <w:contextualSpacing/>
              <w:jc w:val="center"/>
              <w:rPr>
                <w:rFonts w:ascii="Times New Roman" w:hAnsi="Times New Roman" w:cs="Times New Roman"/>
                <w:b/>
                <w:bCs/>
                <w:sz w:val="24"/>
                <w:szCs w:val="24"/>
              </w:rPr>
            </w:pP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17</w:t>
            </w: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20</w:t>
            </w:r>
            <w:r w:rsidRPr="00A02130">
              <w:rPr>
                <w:rStyle w:val="Strong"/>
                <w:rFonts w:ascii="Times New Roman" w:hAnsi="Times New Roman" w:cs="Times New Roman"/>
                <w:sz w:val="24"/>
                <w:szCs w:val="24"/>
              </w:rPr>
              <w:t xml:space="preserve"> (mg/kg)</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547AF6EE" w14:textId="77777777" w:rsidR="00633E47" w:rsidRPr="00A02130" w:rsidRDefault="00633E47" w:rsidP="005D1F7D">
            <w:pPr>
              <w:spacing w:after="0" w:line="360" w:lineRule="auto"/>
              <w:contextualSpacing/>
              <w:jc w:val="center"/>
              <w:rPr>
                <w:rFonts w:ascii="Times New Roman" w:hAnsi="Times New Roman" w:cs="Times New Roman"/>
                <w:b/>
                <w:bCs/>
                <w:sz w:val="24"/>
                <w:szCs w:val="24"/>
              </w:rPr>
            </w:pP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21</w:t>
            </w: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24</w:t>
            </w:r>
            <w:r w:rsidRPr="00A02130">
              <w:rPr>
                <w:rStyle w:val="Strong"/>
                <w:rFonts w:ascii="Times New Roman" w:hAnsi="Times New Roman" w:cs="Times New Roman"/>
                <w:sz w:val="24"/>
                <w:szCs w:val="24"/>
              </w:rPr>
              <w:t xml:space="preserve"> (mg/kg)</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0C5FFC87" w14:textId="77777777" w:rsidR="00633E47" w:rsidRPr="00A02130" w:rsidRDefault="00633E47" w:rsidP="005D1F7D">
            <w:pPr>
              <w:spacing w:after="0" w:line="360" w:lineRule="auto"/>
              <w:contextualSpacing/>
              <w:jc w:val="center"/>
              <w:rPr>
                <w:rFonts w:ascii="Times New Roman" w:hAnsi="Times New Roman" w:cs="Times New Roman"/>
                <w:b/>
                <w:bCs/>
                <w:sz w:val="24"/>
                <w:szCs w:val="24"/>
              </w:rPr>
            </w:pP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25</w:t>
            </w: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30</w:t>
            </w:r>
            <w:r w:rsidRPr="00A02130">
              <w:rPr>
                <w:rStyle w:val="Strong"/>
                <w:rFonts w:ascii="Times New Roman" w:hAnsi="Times New Roman" w:cs="Times New Roman"/>
                <w:sz w:val="24"/>
                <w:szCs w:val="24"/>
              </w:rPr>
              <w:t xml:space="preserve"> (mg/kg)</w:t>
            </w:r>
          </w:p>
        </w:tc>
      </w:tr>
      <w:tr w:rsidR="00633E47" w:rsidRPr="00A02130" w14:paraId="7951EAD3"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3E7DA0F"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1</w:t>
            </w:r>
          </w:p>
        </w:tc>
        <w:tc>
          <w:tcPr>
            <w:tcW w:w="0" w:type="auto"/>
            <w:tcBorders>
              <w:top w:val="nil"/>
              <w:left w:val="nil"/>
              <w:bottom w:val="nil"/>
              <w:right w:val="nil"/>
            </w:tcBorders>
            <w:tcMar>
              <w:top w:w="15" w:type="dxa"/>
              <w:left w:w="15" w:type="dxa"/>
              <w:bottom w:w="15" w:type="dxa"/>
              <w:right w:w="15" w:type="dxa"/>
            </w:tcMar>
            <w:vAlign w:val="center"/>
            <w:hideMark/>
          </w:tcPr>
          <w:p w14:paraId="20A5761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18.2 ± 2.3</w:t>
            </w:r>
          </w:p>
        </w:tc>
        <w:tc>
          <w:tcPr>
            <w:tcW w:w="0" w:type="auto"/>
            <w:tcBorders>
              <w:top w:val="nil"/>
              <w:left w:val="nil"/>
              <w:bottom w:val="nil"/>
              <w:right w:val="nil"/>
            </w:tcBorders>
            <w:tcMar>
              <w:top w:w="15" w:type="dxa"/>
              <w:left w:w="15" w:type="dxa"/>
              <w:bottom w:w="15" w:type="dxa"/>
              <w:right w:w="15" w:type="dxa"/>
            </w:tcMar>
            <w:vAlign w:val="center"/>
            <w:hideMark/>
          </w:tcPr>
          <w:p w14:paraId="06AF7DDD"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45.1 ± 4.6</w:t>
            </w:r>
          </w:p>
        </w:tc>
        <w:tc>
          <w:tcPr>
            <w:tcW w:w="0" w:type="auto"/>
            <w:tcBorders>
              <w:top w:val="nil"/>
              <w:left w:val="nil"/>
              <w:bottom w:val="nil"/>
              <w:right w:val="nil"/>
            </w:tcBorders>
            <w:tcMar>
              <w:top w:w="15" w:type="dxa"/>
              <w:left w:w="15" w:type="dxa"/>
              <w:bottom w:w="15" w:type="dxa"/>
              <w:right w:w="15" w:type="dxa"/>
            </w:tcMar>
            <w:vAlign w:val="center"/>
            <w:hideMark/>
          </w:tcPr>
          <w:p w14:paraId="157C3B4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37.9 ± 3.4</w:t>
            </w:r>
          </w:p>
        </w:tc>
        <w:tc>
          <w:tcPr>
            <w:tcW w:w="0" w:type="auto"/>
            <w:tcBorders>
              <w:top w:val="nil"/>
              <w:left w:val="nil"/>
              <w:bottom w:val="nil"/>
              <w:right w:val="nil"/>
            </w:tcBorders>
            <w:tcMar>
              <w:top w:w="15" w:type="dxa"/>
              <w:left w:w="15" w:type="dxa"/>
              <w:bottom w:w="15" w:type="dxa"/>
              <w:right w:w="15" w:type="dxa"/>
            </w:tcMar>
            <w:vAlign w:val="center"/>
            <w:hideMark/>
          </w:tcPr>
          <w:p w14:paraId="59FB3B9B"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23.4 ± 2.7</w:t>
            </w:r>
          </w:p>
        </w:tc>
        <w:tc>
          <w:tcPr>
            <w:tcW w:w="0" w:type="auto"/>
            <w:tcBorders>
              <w:top w:val="nil"/>
              <w:left w:val="nil"/>
              <w:bottom w:val="nil"/>
              <w:right w:val="nil"/>
            </w:tcBorders>
            <w:tcMar>
              <w:top w:w="15" w:type="dxa"/>
              <w:left w:w="15" w:type="dxa"/>
              <w:bottom w:w="15" w:type="dxa"/>
              <w:right w:w="15" w:type="dxa"/>
            </w:tcMar>
            <w:vAlign w:val="center"/>
            <w:hideMark/>
          </w:tcPr>
          <w:p w14:paraId="162A8C38"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12.6 ± 1.8</w:t>
            </w:r>
          </w:p>
        </w:tc>
      </w:tr>
      <w:tr w:rsidR="00633E47" w:rsidRPr="00A02130" w14:paraId="793C5CE9"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6AAA07B"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2</w:t>
            </w:r>
          </w:p>
        </w:tc>
        <w:tc>
          <w:tcPr>
            <w:tcW w:w="0" w:type="auto"/>
            <w:tcBorders>
              <w:top w:val="nil"/>
              <w:left w:val="nil"/>
              <w:bottom w:val="nil"/>
              <w:right w:val="nil"/>
            </w:tcBorders>
            <w:tcMar>
              <w:top w:w="15" w:type="dxa"/>
              <w:left w:w="15" w:type="dxa"/>
              <w:bottom w:w="15" w:type="dxa"/>
              <w:right w:w="15" w:type="dxa"/>
            </w:tcMar>
            <w:vAlign w:val="center"/>
            <w:hideMark/>
          </w:tcPr>
          <w:p w14:paraId="6ADB6406"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19.1 ± 2.5</w:t>
            </w:r>
          </w:p>
        </w:tc>
        <w:tc>
          <w:tcPr>
            <w:tcW w:w="0" w:type="auto"/>
            <w:tcBorders>
              <w:top w:val="nil"/>
              <w:left w:val="nil"/>
              <w:bottom w:val="nil"/>
              <w:right w:val="nil"/>
            </w:tcBorders>
            <w:tcMar>
              <w:top w:w="15" w:type="dxa"/>
              <w:left w:w="15" w:type="dxa"/>
              <w:bottom w:w="15" w:type="dxa"/>
              <w:right w:w="15" w:type="dxa"/>
            </w:tcMar>
            <w:vAlign w:val="center"/>
            <w:hideMark/>
          </w:tcPr>
          <w:p w14:paraId="7D99361C"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46.8 ± 4.2</w:t>
            </w:r>
          </w:p>
        </w:tc>
        <w:tc>
          <w:tcPr>
            <w:tcW w:w="0" w:type="auto"/>
            <w:tcBorders>
              <w:top w:val="nil"/>
              <w:left w:val="nil"/>
              <w:bottom w:val="nil"/>
              <w:right w:val="nil"/>
            </w:tcBorders>
            <w:tcMar>
              <w:top w:w="15" w:type="dxa"/>
              <w:left w:w="15" w:type="dxa"/>
              <w:bottom w:w="15" w:type="dxa"/>
              <w:right w:w="15" w:type="dxa"/>
            </w:tcMar>
            <w:vAlign w:val="center"/>
            <w:hideMark/>
          </w:tcPr>
          <w:p w14:paraId="79BDBACB"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38.5 ± 3.1</w:t>
            </w:r>
          </w:p>
        </w:tc>
        <w:tc>
          <w:tcPr>
            <w:tcW w:w="0" w:type="auto"/>
            <w:tcBorders>
              <w:top w:val="nil"/>
              <w:left w:val="nil"/>
              <w:bottom w:val="nil"/>
              <w:right w:val="nil"/>
            </w:tcBorders>
            <w:tcMar>
              <w:top w:w="15" w:type="dxa"/>
              <w:left w:w="15" w:type="dxa"/>
              <w:bottom w:w="15" w:type="dxa"/>
              <w:right w:w="15" w:type="dxa"/>
            </w:tcMar>
            <w:vAlign w:val="center"/>
            <w:hideMark/>
          </w:tcPr>
          <w:p w14:paraId="7EB3E9DD"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24.2 ± 3.0</w:t>
            </w:r>
          </w:p>
        </w:tc>
        <w:tc>
          <w:tcPr>
            <w:tcW w:w="0" w:type="auto"/>
            <w:tcBorders>
              <w:top w:val="nil"/>
              <w:left w:val="nil"/>
              <w:bottom w:val="nil"/>
              <w:right w:val="nil"/>
            </w:tcBorders>
            <w:tcMar>
              <w:top w:w="15" w:type="dxa"/>
              <w:left w:w="15" w:type="dxa"/>
              <w:bottom w:w="15" w:type="dxa"/>
              <w:right w:w="15" w:type="dxa"/>
            </w:tcMar>
            <w:vAlign w:val="center"/>
            <w:hideMark/>
          </w:tcPr>
          <w:p w14:paraId="571FC7AF"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13.1 ± 1.9</w:t>
            </w:r>
          </w:p>
        </w:tc>
      </w:tr>
      <w:tr w:rsidR="00633E47" w:rsidRPr="00A02130" w14:paraId="563245DB"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BC55CC5"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3</w:t>
            </w:r>
          </w:p>
        </w:tc>
        <w:tc>
          <w:tcPr>
            <w:tcW w:w="0" w:type="auto"/>
            <w:tcBorders>
              <w:top w:val="nil"/>
              <w:left w:val="nil"/>
              <w:bottom w:val="nil"/>
              <w:right w:val="nil"/>
            </w:tcBorders>
            <w:tcMar>
              <w:top w:w="15" w:type="dxa"/>
              <w:left w:w="15" w:type="dxa"/>
              <w:bottom w:w="15" w:type="dxa"/>
              <w:right w:w="15" w:type="dxa"/>
            </w:tcMar>
            <w:vAlign w:val="center"/>
            <w:hideMark/>
          </w:tcPr>
          <w:p w14:paraId="7D84AA6F"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17.8 ± 2.2</w:t>
            </w:r>
          </w:p>
        </w:tc>
        <w:tc>
          <w:tcPr>
            <w:tcW w:w="0" w:type="auto"/>
            <w:tcBorders>
              <w:top w:val="nil"/>
              <w:left w:val="nil"/>
              <w:bottom w:val="nil"/>
              <w:right w:val="nil"/>
            </w:tcBorders>
            <w:tcMar>
              <w:top w:w="15" w:type="dxa"/>
              <w:left w:w="15" w:type="dxa"/>
              <w:bottom w:w="15" w:type="dxa"/>
              <w:right w:w="15" w:type="dxa"/>
            </w:tcMar>
            <w:vAlign w:val="center"/>
            <w:hideMark/>
          </w:tcPr>
          <w:p w14:paraId="658B5F5B"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44.3 ± 4.3</w:t>
            </w:r>
          </w:p>
        </w:tc>
        <w:tc>
          <w:tcPr>
            <w:tcW w:w="0" w:type="auto"/>
            <w:tcBorders>
              <w:top w:val="nil"/>
              <w:left w:val="nil"/>
              <w:bottom w:val="nil"/>
              <w:right w:val="nil"/>
            </w:tcBorders>
            <w:tcMar>
              <w:top w:w="15" w:type="dxa"/>
              <w:left w:w="15" w:type="dxa"/>
              <w:bottom w:w="15" w:type="dxa"/>
              <w:right w:w="15" w:type="dxa"/>
            </w:tcMar>
            <w:vAlign w:val="center"/>
            <w:hideMark/>
          </w:tcPr>
          <w:p w14:paraId="2ED609C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36.7 ± 3.2</w:t>
            </w:r>
          </w:p>
        </w:tc>
        <w:tc>
          <w:tcPr>
            <w:tcW w:w="0" w:type="auto"/>
            <w:tcBorders>
              <w:top w:val="nil"/>
              <w:left w:val="nil"/>
              <w:bottom w:val="nil"/>
              <w:right w:val="nil"/>
            </w:tcBorders>
            <w:tcMar>
              <w:top w:w="15" w:type="dxa"/>
              <w:left w:w="15" w:type="dxa"/>
              <w:bottom w:w="15" w:type="dxa"/>
              <w:right w:w="15" w:type="dxa"/>
            </w:tcMar>
            <w:vAlign w:val="center"/>
            <w:hideMark/>
          </w:tcPr>
          <w:p w14:paraId="64425B27"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22.9 ± 2.5</w:t>
            </w:r>
          </w:p>
        </w:tc>
        <w:tc>
          <w:tcPr>
            <w:tcW w:w="0" w:type="auto"/>
            <w:tcBorders>
              <w:top w:val="nil"/>
              <w:left w:val="nil"/>
              <w:bottom w:val="nil"/>
              <w:right w:val="nil"/>
            </w:tcBorders>
            <w:tcMar>
              <w:top w:w="15" w:type="dxa"/>
              <w:left w:w="15" w:type="dxa"/>
              <w:bottom w:w="15" w:type="dxa"/>
              <w:right w:w="15" w:type="dxa"/>
            </w:tcMar>
            <w:vAlign w:val="center"/>
            <w:hideMark/>
          </w:tcPr>
          <w:p w14:paraId="60AFE007"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12.2 ± 1.7</w:t>
            </w:r>
          </w:p>
        </w:tc>
      </w:tr>
      <w:tr w:rsidR="00633E47" w:rsidRPr="00A02130" w14:paraId="455A76FC"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1AED02D"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4</w:t>
            </w:r>
          </w:p>
        </w:tc>
        <w:tc>
          <w:tcPr>
            <w:tcW w:w="0" w:type="auto"/>
            <w:tcBorders>
              <w:top w:val="nil"/>
              <w:left w:val="nil"/>
              <w:bottom w:val="nil"/>
              <w:right w:val="nil"/>
            </w:tcBorders>
            <w:tcMar>
              <w:top w:w="15" w:type="dxa"/>
              <w:left w:w="15" w:type="dxa"/>
              <w:bottom w:w="15" w:type="dxa"/>
              <w:right w:w="15" w:type="dxa"/>
            </w:tcMar>
            <w:vAlign w:val="center"/>
            <w:hideMark/>
          </w:tcPr>
          <w:p w14:paraId="0A754497"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18.5 ± 2.1</w:t>
            </w:r>
          </w:p>
        </w:tc>
        <w:tc>
          <w:tcPr>
            <w:tcW w:w="0" w:type="auto"/>
            <w:tcBorders>
              <w:top w:val="nil"/>
              <w:left w:val="nil"/>
              <w:bottom w:val="nil"/>
              <w:right w:val="nil"/>
            </w:tcBorders>
            <w:tcMar>
              <w:top w:w="15" w:type="dxa"/>
              <w:left w:w="15" w:type="dxa"/>
              <w:bottom w:w="15" w:type="dxa"/>
              <w:right w:w="15" w:type="dxa"/>
            </w:tcMar>
            <w:vAlign w:val="center"/>
            <w:hideMark/>
          </w:tcPr>
          <w:p w14:paraId="4FD4FA18"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47.1 ± 4.4</w:t>
            </w:r>
          </w:p>
        </w:tc>
        <w:tc>
          <w:tcPr>
            <w:tcW w:w="0" w:type="auto"/>
            <w:tcBorders>
              <w:top w:val="nil"/>
              <w:left w:val="nil"/>
              <w:bottom w:val="nil"/>
              <w:right w:val="nil"/>
            </w:tcBorders>
            <w:tcMar>
              <w:top w:w="15" w:type="dxa"/>
              <w:left w:w="15" w:type="dxa"/>
              <w:bottom w:w="15" w:type="dxa"/>
              <w:right w:w="15" w:type="dxa"/>
            </w:tcMar>
            <w:vAlign w:val="center"/>
            <w:hideMark/>
          </w:tcPr>
          <w:p w14:paraId="388B4F20"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39.2 ± 3.3</w:t>
            </w:r>
          </w:p>
        </w:tc>
        <w:tc>
          <w:tcPr>
            <w:tcW w:w="0" w:type="auto"/>
            <w:tcBorders>
              <w:top w:val="nil"/>
              <w:left w:val="nil"/>
              <w:bottom w:val="nil"/>
              <w:right w:val="nil"/>
            </w:tcBorders>
            <w:tcMar>
              <w:top w:w="15" w:type="dxa"/>
              <w:left w:w="15" w:type="dxa"/>
              <w:bottom w:w="15" w:type="dxa"/>
              <w:right w:w="15" w:type="dxa"/>
            </w:tcMar>
            <w:vAlign w:val="center"/>
            <w:hideMark/>
          </w:tcPr>
          <w:p w14:paraId="5367416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23.8 ± 2.8</w:t>
            </w:r>
          </w:p>
        </w:tc>
        <w:tc>
          <w:tcPr>
            <w:tcW w:w="0" w:type="auto"/>
            <w:tcBorders>
              <w:top w:val="nil"/>
              <w:left w:val="nil"/>
              <w:bottom w:val="nil"/>
              <w:right w:val="nil"/>
            </w:tcBorders>
            <w:tcMar>
              <w:top w:w="15" w:type="dxa"/>
              <w:left w:w="15" w:type="dxa"/>
              <w:bottom w:w="15" w:type="dxa"/>
              <w:right w:w="15" w:type="dxa"/>
            </w:tcMar>
            <w:vAlign w:val="center"/>
            <w:hideMark/>
          </w:tcPr>
          <w:p w14:paraId="3B4446BC"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12.8 ± 1.6</w:t>
            </w:r>
          </w:p>
        </w:tc>
      </w:tr>
      <w:tr w:rsidR="00633E47" w:rsidRPr="00A02130" w14:paraId="45062C5B"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A936F79"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5</w:t>
            </w:r>
          </w:p>
        </w:tc>
        <w:tc>
          <w:tcPr>
            <w:tcW w:w="0" w:type="auto"/>
            <w:tcBorders>
              <w:top w:val="nil"/>
              <w:left w:val="nil"/>
              <w:bottom w:val="nil"/>
              <w:right w:val="nil"/>
            </w:tcBorders>
            <w:tcMar>
              <w:top w:w="15" w:type="dxa"/>
              <w:left w:w="15" w:type="dxa"/>
              <w:bottom w:w="15" w:type="dxa"/>
              <w:right w:w="15" w:type="dxa"/>
            </w:tcMar>
            <w:vAlign w:val="center"/>
            <w:hideMark/>
          </w:tcPr>
          <w:p w14:paraId="45284B3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19.4 ± 2.4</w:t>
            </w:r>
          </w:p>
        </w:tc>
        <w:tc>
          <w:tcPr>
            <w:tcW w:w="0" w:type="auto"/>
            <w:tcBorders>
              <w:top w:val="nil"/>
              <w:left w:val="nil"/>
              <w:bottom w:val="nil"/>
              <w:right w:val="nil"/>
            </w:tcBorders>
            <w:tcMar>
              <w:top w:w="15" w:type="dxa"/>
              <w:left w:w="15" w:type="dxa"/>
              <w:bottom w:w="15" w:type="dxa"/>
              <w:right w:w="15" w:type="dxa"/>
            </w:tcMar>
            <w:vAlign w:val="center"/>
            <w:hideMark/>
          </w:tcPr>
          <w:p w14:paraId="35D9BFFD"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48.5 ± 4.6</w:t>
            </w:r>
          </w:p>
        </w:tc>
        <w:tc>
          <w:tcPr>
            <w:tcW w:w="0" w:type="auto"/>
            <w:tcBorders>
              <w:top w:val="nil"/>
              <w:left w:val="nil"/>
              <w:bottom w:val="nil"/>
              <w:right w:val="nil"/>
            </w:tcBorders>
            <w:tcMar>
              <w:top w:w="15" w:type="dxa"/>
              <w:left w:w="15" w:type="dxa"/>
              <w:bottom w:w="15" w:type="dxa"/>
              <w:right w:w="15" w:type="dxa"/>
            </w:tcMar>
            <w:vAlign w:val="center"/>
            <w:hideMark/>
          </w:tcPr>
          <w:p w14:paraId="7DA72C4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40.0 ± 3.5</w:t>
            </w:r>
          </w:p>
        </w:tc>
        <w:tc>
          <w:tcPr>
            <w:tcW w:w="0" w:type="auto"/>
            <w:tcBorders>
              <w:top w:val="nil"/>
              <w:left w:val="nil"/>
              <w:bottom w:val="nil"/>
              <w:right w:val="nil"/>
            </w:tcBorders>
            <w:tcMar>
              <w:top w:w="15" w:type="dxa"/>
              <w:left w:w="15" w:type="dxa"/>
              <w:bottom w:w="15" w:type="dxa"/>
              <w:right w:w="15" w:type="dxa"/>
            </w:tcMar>
            <w:vAlign w:val="center"/>
            <w:hideMark/>
          </w:tcPr>
          <w:p w14:paraId="115B1BDB"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24.6 ± 2.9</w:t>
            </w:r>
          </w:p>
        </w:tc>
        <w:tc>
          <w:tcPr>
            <w:tcW w:w="0" w:type="auto"/>
            <w:tcBorders>
              <w:top w:val="nil"/>
              <w:left w:val="nil"/>
              <w:bottom w:val="nil"/>
              <w:right w:val="nil"/>
            </w:tcBorders>
            <w:tcMar>
              <w:top w:w="15" w:type="dxa"/>
              <w:left w:w="15" w:type="dxa"/>
              <w:bottom w:w="15" w:type="dxa"/>
              <w:right w:w="15" w:type="dxa"/>
            </w:tcMar>
            <w:vAlign w:val="center"/>
            <w:hideMark/>
          </w:tcPr>
          <w:p w14:paraId="6F485588"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13.3 ± 1.7</w:t>
            </w:r>
          </w:p>
        </w:tc>
      </w:tr>
      <w:tr w:rsidR="00633E47" w:rsidRPr="00A02130" w14:paraId="2047FA8E"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8E072E8"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6</w:t>
            </w:r>
          </w:p>
        </w:tc>
        <w:tc>
          <w:tcPr>
            <w:tcW w:w="0" w:type="auto"/>
            <w:tcBorders>
              <w:top w:val="nil"/>
              <w:left w:val="nil"/>
              <w:bottom w:val="nil"/>
              <w:right w:val="nil"/>
            </w:tcBorders>
            <w:tcMar>
              <w:top w:w="15" w:type="dxa"/>
              <w:left w:w="15" w:type="dxa"/>
              <w:bottom w:w="15" w:type="dxa"/>
              <w:right w:w="15" w:type="dxa"/>
            </w:tcMar>
            <w:vAlign w:val="center"/>
            <w:hideMark/>
          </w:tcPr>
          <w:p w14:paraId="75A4EB92"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18.1 ± 2.3</w:t>
            </w:r>
          </w:p>
        </w:tc>
        <w:tc>
          <w:tcPr>
            <w:tcW w:w="0" w:type="auto"/>
            <w:tcBorders>
              <w:top w:val="nil"/>
              <w:left w:val="nil"/>
              <w:bottom w:val="nil"/>
              <w:right w:val="nil"/>
            </w:tcBorders>
            <w:tcMar>
              <w:top w:w="15" w:type="dxa"/>
              <w:left w:w="15" w:type="dxa"/>
              <w:bottom w:w="15" w:type="dxa"/>
              <w:right w:w="15" w:type="dxa"/>
            </w:tcMar>
            <w:vAlign w:val="center"/>
            <w:hideMark/>
          </w:tcPr>
          <w:p w14:paraId="52EE3035"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45.5 ± 4.5</w:t>
            </w:r>
          </w:p>
        </w:tc>
        <w:tc>
          <w:tcPr>
            <w:tcW w:w="0" w:type="auto"/>
            <w:tcBorders>
              <w:top w:val="nil"/>
              <w:left w:val="nil"/>
              <w:bottom w:val="nil"/>
              <w:right w:val="nil"/>
            </w:tcBorders>
            <w:tcMar>
              <w:top w:w="15" w:type="dxa"/>
              <w:left w:w="15" w:type="dxa"/>
              <w:bottom w:w="15" w:type="dxa"/>
              <w:right w:w="15" w:type="dxa"/>
            </w:tcMar>
            <w:vAlign w:val="center"/>
            <w:hideMark/>
          </w:tcPr>
          <w:p w14:paraId="16BC37F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37.6 ± 3.3</w:t>
            </w:r>
          </w:p>
        </w:tc>
        <w:tc>
          <w:tcPr>
            <w:tcW w:w="0" w:type="auto"/>
            <w:tcBorders>
              <w:top w:val="nil"/>
              <w:left w:val="nil"/>
              <w:bottom w:val="nil"/>
              <w:right w:val="nil"/>
            </w:tcBorders>
            <w:tcMar>
              <w:top w:w="15" w:type="dxa"/>
              <w:left w:w="15" w:type="dxa"/>
              <w:bottom w:w="15" w:type="dxa"/>
              <w:right w:w="15" w:type="dxa"/>
            </w:tcMar>
            <w:vAlign w:val="center"/>
            <w:hideMark/>
          </w:tcPr>
          <w:p w14:paraId="4DBB1ED2"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23.3 ± 2.6</w:t>
            </w:r>
          </w:p>
        </w:tc>
        <w:tc>
          <w:tcPr>
            <w:tcW w:w="0" w:type="auto"/>
            <w:tcBorders>
              <w:top w:val="nil"/>
              <w:left w:val="nil"/>
              <w:bottom w:val="nil"/>
              <w:right w:val="nil"/>
            </w:tcBorders>
            <w:tcMar>
              <w:top w:w="15" w:type="dxa"/>
              <w:left w:w="15" w:type="dxa"/>
              <w:bottom w:w="15" w:type="dxa"/>
              <w:right w:w="15" w:type="dxa"/>
            </w:tcMar>
            <w:vAlign w:val="center"/>
            <w:hideMark/>
          </w:tcPr>
          <w:p w14:paraId="1E9A4B50"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12.4 ± 1.8</w:t>
            </w:r>
          </w:p>
        </w:tc>
      </w:tr>
      <w:tr w:rsidR="00633E47" w:rsidRPr="00A02130" w14:paraId="084F8935"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463DFCC"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7</w:t>
            </w:r>
          </w:p>
        </w:tc>
        <w:tc>
          <w:tcPr>
            <w:tcW w:w="0" w:type="auto"/>
            <w:tcBorders>
              <w:top w:val="nil"/>
              <w:left w:val="nil"/>
              <w:bottom w:val="nil"/>
              <w:right w:val="nil"/>
            </w:tcBorders>
            <w:tcMar>
              <w:top w:w="15" w:type="dxa"/>
              <w:left w:w="15" w:type="dxa"/>
              <w:bottom w:w="15" w:type="dxa"/>
              <w:right w:w="15" w:type="dxa"/>
            </w:tcMar>
            <w:vAlign w:val="center"/>
            <w:hideMark/>
          </w:tcPr>
          <w:p w14:paraId="068D5028"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18.9 ± 2.2</w:t>
            </w:r>
          </w:p>
        </w:tc>
        <w:tc>
          <w:tcPr>
            <w:tcW w:w="0" w:type="auto"/>
            <w:tcBorders>
              <w:top w:val="nil"/>
              <w:left w:val="nil"/>
              <w:bottom w:val="nil"/>
              <w:right w:val="nil"/>
            </w:tcBorders>
            <w:tcMar>
              <w:top w:w="15" w:type="dxa"/>
              <w:left w:w="15" w:type="dxa"/>
              <w:bottom w:w="15" w:type="dxa"/>
              <w:right w:w="15" w:type="dxa"/>
            </w:tcMar>
            <w:vAlign w:val="center"/>
            <w:hideMark/>
          </w:tcPr>
          <w:p w14:paraId="7648C719"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46.1 ± 4.3</w:t>
            </w:r>
          </w:p>
        </w:tc>
        <w:tc>
          <w:tcPr>
            <w:tcW w:w="0" w:type="auto"/>
            <w:tcBorders>
              <w:top w:val="nil"/>
              <w:left w:val="nil"/>
              <w:bottom w:val="nil"/>
              <w:right w:val="nil"/>
            </w:tcBorders>
            <w:tcMar>
              <w:top w:w="15" w:type="dxa"/>
              <w:left w:w="15" w:type="dxa"/>
              <w:bottom w:w="15" w:type="dxa"/>
              <w:right w:w="15" w:type="dxa"/>
            </w:tcMar>
            <w:vAlign w:val="center"/>
            <w:hideMark/>
          </w:tcPr>
          <w:p w14:paraId="610B0F9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38.3 ± 3.4</w:t>
            </w:r>
          </w:p>
        </w:tc>
        <w:tc>
          <w:tcPr>
            <w:tcW w:w="0" w:type="auto"/>
            <w:tcBorders>
              <w:top w:val="nil"/>
              <w:left w:val="nil"/>
              <w:bottom w:val="nil"/>
              <w:right w:val="nil"/>
            </w:tcBorders>
            <w:tcMar>
              <w:top w:w="15" w:type="dxa"/>
              <w:left w:w="15" w:type="dxa"/>
              <w:bottom w:w="15" w:type="dxa"/>
              <w:right w:w="15" w:type="dxa"/>
            </w:tcMar>
            <w:vAlign w:val="center"/>
            <w:hideMark/>
          </w:tcPr>
          <w:p w14:paraId="00627B2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24.0 ± 2.7</w:t>
            </w:r>
          </w:p>
        </w:tc>
        <w:tc>
          <w:tcPr>
            <w:tcW w:w="0" w:type="auto"/>
            <w:tcBorders>
              <w:top w:val="nil"/>
              <w:left w:val="nil"/>
              <w:bottom w:val="nil"/>
              <w:right w:val="nil"/>
            </w:tcBorders>
            <w:tcMar>
              <w:top w:w="15" w:type="dxa"/>
              <w:left w:w="15" w:type="dxa"/>
              <w:bottom w:w="15" w:type="dxa"/>
              <w:right w:w="15" w:type="dxa"/>
            </w:tcMar>
            <w:vAlign w:val="center"/>
            <w:hideMark/>
          </w:tcPr>
          <w:p w14:paraId="5D1BA32B"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13.0 ± 1.9</w:t>
            </w:r>
          </w:p>
        </w:tc>
      </w:tr>
      <w:tr w:rsidR="00633E47" w:rsidRPr="00A02130" w14:paraId="6FB85B77"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E4F7D49"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8</w:t>
            </w:r>
          </w:p>
        </w:tc>
        <w:tc>
          <w:tcPr>
            <w:tcW w:w="0" w:type="auto"/>
            <w:tcBorders>
              <w:top w:val="nil"/>
              <w:left w:val="nil"/>
              <w:bottom w:val="nil"/>
              <w:right w:val="nil"/>
            </w:tcBorders>
            <w:tcMar>
              <w:top w:w="15" w:type="dxa"/>
              <w:left w:w="15" w:type="dxa"/>
              <w:bottom w:w="15" w:type="dxa"/>
              <w:right w:w="15" w:type="dxa"/>
            </w:tcMar>
            <w:vAlign w:val="center"/>
            <w:hideMark/>
          </w:tcPr>
          <w:p w14:paraId="7A863AD9"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17.7 ± 2.1</w:t>
            </w:r>
          </w:p>
        </w:tc>
        <w:tc>
          <w:tcPr>
            <w:tcW w:w="0" w:type="auto"/>
            <w:tcBorders>
              <w:top w:val="nil"/>
              <w:left w:val="nil"/>
              <w:bottom w:val="nil"/>
              <w:right w:val="nil"/>
            </w:tcBorders>
            <w:tcMar>
              <w:top w:w="15" w:type="dxa"/>
              <w:left w:w="15" w:type="dxa"/>
              <w:bottom w:w="15" w:type="dxa"/>
              <w:right w:w="15" w:type="dxa"/>
            </w:tcMar>
            <w:vAlign w:val="center"/>
            <w:hideMark/>
          </w:tcPr>
          <w:p w14:paraId="0A8C953D"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44.7 ± 4.1</w:t>
            </w:r>
          </w:p>
        </w:tc>
        <w:tc>
          <w:tcPr>
            <w:tcW w:w="0" w:type="auto"/>
            <w:tcBorders>
              <w:top w:val="nil"/>
              <w:left w:val="nil"/>
              <w:bottom w:val="nil"/>
              <w:right w:val="nil"/>
            </w:tcBorders>
            <w:tcMar>
              <w:top w:w="15" w:type="dxa"/>
              <w:left w:w="15" w:type="dxa"/>
              <w:bottom w:w="15" w:type="dxa"/>
              <w:right w:w="15" w:type="dxa"/>
            </w:tcMar>
            <w:vAlign w:val="center"/>
            <w:hideMark/>
          </w:tcPr>
          <w:p w14:paraId="4E46091F"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37.3 ± 3.2</w:t>
            </w:r>
          </w:p>
        </w:tc>
        <w:tc>
          <w:tcPr>
            <w:tcW w:w="0" w:type="auto"/>
            <w:tcBorders>
              <w:top w:val="nil"/>
              <w:left w:val="nil"/>
              <w:bottom w:val="nil"/>
              <w:right w:val="nil"/>
            </w:tcBorders>
            <w:tcMar>
              <w:top w:w="15" w:type="dxa"/>
              <w:left w:w="15" w:type="dxa"/>
              <w:bottom w:w="15" w:type="dxa"/>
              <w:right w:w="15" w:type="dxa"/>
            </w:tcMar>
            <w:vAlign w:val="center"/>
            <w:hideMark/>
          </w:tcPr>
          <w:p w14:paraId="6FD8BA6F"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23.2 ± 2.5</w:t>
            </w:r>
          </w:p>
        </w:tc>
        <w:tc>
          <w:tcPr>
            <w:tcW w:w="0" w:type="auto"/>
            <w:tcBorders>
              <w:top w:val="nil"/>
              <w:left w:val="nil"/>
              <w:bottom w:val="nil"/>
              <w:right w:val="nil"/>
            </w:tcBorders>
            <w:tcMar>
              <w:top w:w="15" w:type="dxa"/>
              <w:left w:w="15" w:type="dxa"/>
              <w:bottom w:w="15" w:type="dxa"/>
              <w:right w:w="15" w:type="dxa"/>
            </w:tcMar>
            <w:vAlign w:val="center"/>
            <w:hideMark/>
          </w:tcPr>
          <w:p w14:paraId="68751BCC"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12.0 ± 1.6</w:t>
            </w:r>
          </w:p>
        </w:tc>
      </w:tr>
      <w:tr w:rsidR="00633E47" w:rsidRPr="00A02130" w14:paraId="035128F8"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E99D5D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9</w:t>
            </w:r>
          </w:p>
        </w:tc>
        <w:tc>
          <w:tcPr>
            <w:tcW w:w="0" w:type="auto"/>
            <w:tcBorders>
              <w:top w:val="nil"/>
              <w:left w:val="nil"/>
              <w:bottom w:val="nil"/>
              <w:right w:val="nil"/>
            </w:tcBorders>
            <w:tcMar>
              <w:top w:w="15" w:type="dxa"/>
              <w:left w:w="15" w:type="dxa"/>
              <w:bottom w:w="15" w:type="dxa"/>
              <w:right w:w="15" w:type="dxa"/>
            </w:tcMar>
            <w:vAlign w:val="center"/>
            <w:hideMark/>
          </w:tcPr>
          <w:p w14:paraId="3EACC137"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19.0 ± 2.5</w:t>
            </w:r>
          </w:p>
        </w:tc>
        <w:tc>
          <w:tcPr>
            <w:tcW w:w="0" w:type="auto"/>
            <w:tcBorders>
              <w:top w:val="nil"/>
              <w:left w:val="nil"/>
              <w:bottom w:val="nil"/>
              <w:right w:val="nil"/>
            </w:tcBorders>
            <w:tcMar>
              <w:top w:w="15" w:type="dxa"/>
              <w:left w:w="15" w:type="dxa"/>
              <w:bottom w:w="15" w:type="dxa"/>
              <w:right w:w="15" w:type="dxa"/>
            </w:tcMar>
            <w:vAlign w:val="center"/>
            <w:hideMark/>
          </w:tcPr>
          <w:p w14:paraId="047D325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46.3 ± 4.4</w:t>
            </w:r>
          </w:p>
        </w:tc>
        <w:tc>
          <w:tcPr>
            <w:tcW w:w="0" w:type="auto"/>
            <w:tcBorders>
              <w:top w:val="nil"/>
              <w:left w:val="nil"/>
              <w:bottom w:val="nil"/>
              <w:right w:val="nil"/>
            </w:tcBorders>
            <w:tcMar>
              <w:top w:w="15" w:type="dxa"/>
              <w:left w:w="15" w:type="dxa"/>
              <w:bottom w:w="15" w:type="dxa"/>
              <w:right w:w="15" w:type="dxa"/>
            </w:tcMar>
            <w:vAlign w:val="center"/>
            <w:hideMark/>
          </w:tcPr>
          <w:p w14:paraId="5201523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38.0 ± 3.3</w:t>
            </w:r>
          </w:p>
        </w:tc>
        <w:tc>
          <w:tcPr>
            <w:tcW w:w="0" w:type="auto"/>
            <w:tcBorders>
              <w:top w:val="nil"/>
              <w:left w:val="nil"/>
              <w:bottom w:val="nil"/>
              <w:right w:val="nil"/>
            </w:tcBorders>
            <w:tcMar>
              <w:top w:w="15" w:type="dxa"/>
              <w:left w:w="15" w:type="dxa"/>
              <w:bottom w:w="15" w:type="dxa"/>
              <w:right w:w="15" w:type="dxa"/>
            </w:tcMar>
            <w:vAlign w:val="center"/>
            <w:hideMark/>
          </w:tcPr>
          <w:p w14:paraId="17BC695E"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23.6 ± 2.8</w:t>
            </w:r>
          </w:p>
        </w:tc>
        <w:tc>
          <w:tcPr>
            <w:tcW w:w="0" w:type="auto"/>
            <w:tcBorders>
              <w:top w:val="nil"/>
              <w:left w:val="nil"/>
              <w:bottom w:val="nil"/>
              <w:right w:val="nil"/>
            </w:tcBorders>
            <w:tcMar>
              <w:top w:w="15" w:type="dxa"/>
              <w:left w:w="15" w:type="dxa"/>
              <w:bottom w:w="15" w:type="dxa"/>
              <w:right w:w="15" w:type="dxa"/>
            </w:tcMar>
            <w:vAlign w:val="center"/>
            <w:hideMark/>
          </w:tcPr>
          <w:p w14:paraId="3222FD0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12.9 ± 1.7</w:t>
            </w:r>
          </w:p>
        </w:tc>
      </w:tr>
      <w:tr w:rsidR="00633E47" w:rsidRPr="00A02130" w14:paraId="7D887696" w14:textId="77777777" w:rsidTr="00633E47">
        <w:trP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B9D7381"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10</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42650BA9"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18.3 ± 2.2</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397D1D2C"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45.8 ± 4.2</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0FD50577"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37.8 ± 3.4</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7A3F6FF5"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23.5 ± 2.6</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EB7000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12.7 ± 1.8</w:t>
            </w:r>
          </w:p>
        </w:tc>
      </w:tr>
      <w:tr w:rsidR="00633E47" w:rsidRPr="00A02130" w14:paraId="77902E62"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73A504D"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Mean</w:t>
            </w:r>
          </w:p>
        </w:tc>
        <w:tc>
          <w:tcPr>
            <w:tcW w:w="0" w:type="auto"/>
            <w:tcBorders>
              <w:top w:val="nil"/>
              <w:left w:val="nil"/>
              <w:bottom w:val="nil"/>
              <w:right w:val="nil"/>
            </w:tcBorders>
            <w:tcMar>
              <w:top w:w="15" w:type="dxa"/>
              <w:left w:w="15" w:type="dxa"/>
              <w:bottom w:w="15" w:type="dxa"/>
              <w:right w:w="15" w:type="dxa"/>
            </w:tcMar>
            <w:vAlign w:val="center"/>
            <w:hideMark/>
          </w:tcPr>
          <w:p w14:paraId="132784E6"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18.3 ± 2.3</w:t>
            </w:r>
          </w:p>
        </w:tc>
        <w:tc>
          <w:tcPr>
            <w:tcW w:w="0" w:type="auto"/>
            <w:tcBorders>
              <w:top w:val="nil"/>
              <w:left w:val="nil"/>
              <w:bottom w:val="nil"/>
              <w:right w:val="nil"/>
            </w:tcBorders>
            <w:tcMar>
              <w:top w:w="15" w:type="dxa"/>
              <w:left w:w="15" w:type="dxa"/>
              <w:bottom w:w="15" w:type="dxa"/>
              <w:right w:w="15" w:type="dxa"/>
            </w:tcMar>
            <w:vAlign w:val="center"/>
            <w:hideMark/>
          </w:tcPr>
          <w:p w14:paraId="6E2226D2"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45.6 ± 4.4</w:t>
            </w:r>
          </w:p>
        </w:tc>
        <w:tc>
          <w:tcPr>
            <w:tcW w:w="0" w:type="auto"/>
            <w:tcBorders>
              <w:top w:val="nil"/>
              <w:left w:val="nil"/>
              <w:bottom w:val="nil"/>
              <w:right w:val="nil"/>
            </w:tcBorders>
            <w:tcMar>
              <w:top w:w="15" w:type="dxa"/>
              <w:left w:w="15" w:type="dxa"/>
              <w:bottom w:w="15" w:type="dxa"/>
              <w:right w:w="15" w:type="dxa"/>
            </w:tcMar>
            <w:vAlign w:val="center"/>
            <w:hideMark/>
          </w:tcPr>
          <w:p w14:paraId="2F383A21"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38.0 ± 3.3</w:t>
            </w:r>
          </w:p>
        </w:tc>
        <w:tc>
          <w:tcPr>
            <w:tcW w:w="0" w:type="auto"/>
            <w:tcBorders>
              <w:top w:val="nil"/>
              <w:left w:val="nil"/>
              <w:bottom w:val="nil"/>
              <w:right w:val="nil"/>
            </w:tcBorders>
            <w:tcMar>
              <w:top w:w="15" w:type="dxa"/>
              <w:left w:w="15" w:type="dxa"/>
              <w:bottom w:w="15" w:type="dxa"/>
              <w:right w:w="15" w:type="dxa"/>
            </w:tcMar>
            <w:vAlign w:val="center"/>
            <w:hideMark/>
          </w:tcPr>
          <w:p w14:paraId="1B1AD6F0"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23.6 ± 2.8</w:t>
            </w:r>
          </w:p>
        </w:tc>
        <w:tc>
          <w:tcPr>
            <w:tcW w:w="0" w:type="auto"/>
            <w:tcBorders>
              <w:top w:val="nil"/>
              <w:left w:val="nil"/>
              <w:bottom w:val="nil"/>
              <w:right w:val="nil"/>
            </w:tcBorders>
            <w:tcMar>
              <w:top w:w="15" w:type="dxa"/>
              <w:left w:w="15" w:type="dxa"/>
              <w:bottom w:w="15" w:type="dxa"/>
              <w:right w:w="15" w:type="dxa"/>
            </w:tcMar>
            <w:vAlign w:val="center"/>
            <w:hideMark/>
          </w:tcPr>
          <w:p w14:paraId="6FB46B95"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12.8 ± 1.8</w:t>
            </w:r>
          </w:p>
        </w:tc>
      </w:tr>
    </w:tbl>
    <w:p w14:paraId="71505E29" w14:textId="77777777" w:rsidR="00633E47" w:rsidRDefault="00633E47" w:rsidP="005D1F7D">
      <w:pPr>
        <w:spacing w:line="360" w:lineRule="auto"/>
        <w:rPr>
          <w:lang w:val="en-GB" w:eastAsia="en-GB"/>
        </w:rPr>
      </w:pPr>
    </w:p>
    <w:p w14:paraId="33392EC6" w14:textId="49C3461D" w:rsidR="00633E47" w:rsidRDefault="00633E47" w:rsidP="005D1F7D">
      <w:pPr>
        <w:spacing w:line="360" w:lineRule="auto"/>
        <w:jc w:val="both"/>
        <w:rPr>
          <w:rFonts w:ascii="Times New Roman" w:hAnsi="Times New Roman" w:cs="Times New Roman"/>
          <w:sz w:val="24"/>
          <w:lang w:val="en-GB" w:eastAsia="en-GB"/>
        </w:rPr>
      </w:pPr>
      <w:r>
        <w:rPr>
          <w:rFonts w:ascii="Times New Roman" w:hAnsi="Times New Roman" w:cs="Times New Roman"/>
          <w:sz w:val="24"/>
          <w:lang w:val="en-GB" w:eastAsia="en-GB"/>
        </w:rPr>
        <w:lastRenderedPageBreak/>
        <w:t>The mean TPH concentr</w:t>
      </w:r>
      <w:r w:rsidR="00527D64">
        <w:rPr>
          <w:rFonts w:ascii="Times New Roman" w:hAnsi="Times New Roman" w:cs="Times New Roman"/>
          <w:sz w:val="24"/>
          <w:lang w:val="en-GB" w:eastAsia="en-GB"/>
        </w:rPr>
        <w:t xml:space="preserve">ations in soil samples (Table </w:t>
      </w:r>
      <w:r>
        <w:rPr>
          <w:rFonts w:ascii="Times New Roman" w:hAnsi="Times New Roman" w:cs="Times New Roman"/>
          <w:sz w:val="24"/>
          <w:lang w:val="en-GB" w:eastAsia="en-GB"/>
        </w:rPr>
        <w:t>5) ranged from 12.8 ± 1.8 mg/kg for the heavier fractions (C</w:t>
      </w:r>
      <w:r>
        <w:rPr>
          <w:rFonts w:ascii="Times New Roman" w:hAnsi="Times New Roman" w:cs="Times New Roman"/>
          <w:sz w:val="24"/>
          <w:vertAlign w:val="subscript"/>
          <w:lang w:val="en-GB" w:eastAsia="en-GB"/>
        </w:rPr>
        <w:t>25</w:t>
      </w:r>
      <w:r>
        <w:rPr>
          <w:rFonts w:ascii="Times New Roman" w:hAnsi="Times New Roman" w:cs="Times New Roman"/>
          <w:sz w:val="24"/>
          <w:lang w:val="en-GB" w:eastAsia="en-GB"/>
        </w:rPr>
        <w:t>-C</w:t>
      </w:r>
      <w:r>
        <w:rPr>
          <w:rFonts w:ascii="Times New Roman" w:hAnsi="Times New Roman" w:cs="Times New Roman"/>
          <w:sz w:val="24"/>
          <w:vertAlign w:val="subscript"/>
          <w:lang w:val="en-GB" w:eastAsia="en-GB"/>
        </w:rPr>
        <w:t>30</w:t>
      </w:r>
      <w:r>
        <w:rPr>
          <w:rFonts w:ascii="Times New Roman" w:hAnsi="Times New Roman" w:cs="Times New Roman"/>
          <w:sz w:val="24"/>
          <w:lang w:val="en-GB" w:eastAsia="en-GB"/>
        </w:rPr>
        <w:t>) to 45.6 ± 4.4 mg/kg for mid-range fractions (C</w:t>
      </w:r>
      <w:r>
        <w:rPr>
          <w:rFonts w:ascii="Times New Roman" w:hAnsi="Times New Roman" w:cs="Times New Roman"/>
          <w:sz w:val="24"/>
          <w:vertAlign w:val="subscript"/>
          <w:lang w:val="en-GB" w:eastAsia="en-GB"/>
        </w:rPr>
        <w:t>13</w:t>
      </w:r>
      <w:r>
        <w:rPr>
          <w:rFonts w:ascii="Times New Roman" w:hAnsi="Times New Roman" w:cs="Times New Roman"/>
          <w:sz w:val="24"/>
          <w:lang w:val="en-GB" w:eastAsia="en-GB"/>
        </w:rPr>
        <w:t>-C</w:t>
      </w:r>
      <w:r>
        <w:rPr>
          <w:rFonts w:ascii="Times New Roman" w:hAnsi="Times New Roman" w:cs="Times New Roman"/>
          <w:sz w:val="24"/>
          <w:vertAlign w:val="subscript"/>
          <w:lang w:val="en-GB" w:eastAsia="en-GB"/>
        </w:rPr>
        <w:t>16</w:t>
      </w:r>
      <w:r>
        <w:rPr>
          <w:rFonts w:ascii="Times New Roman" w:hAnsi="Times New Roman" w:cs="Times New Roman"/>
          <w:sz w:val="24"/>
          <w:lang w:val="en-GB" w:eastAsia="en-GB"/>
        </w:rPr>
        <w:t>). This distribution indicates a predominance of mid-range hydrocarbons, which are commonly associated with crude oil contamination and are less volatile compared to lighter hydrocarbons. The higher levels of C</w:t>
      </w:r>
      <w:r>
        <w:rPr>
          <w:rFonts w:ascii="Times New Roman" w:hAnsi="Times New Roman" w:cs="Times New Roman"/>
          <w:sz w:val="24"/>
          <w:vertAlign w:val="subscript"/>
          <w:lang w:val="en-GB" w:eastAsia="en-GB"/>
        </w:rPr>
        <w:t>13</w:t>
      </w:r>
      <w:r>
        <w:rPr>
          <w:rFonts w:ascii="Times New Roman" w:hAnsi="Times New Roman" w:cs="Times New Roman"/>
          <w:sz w:val="24"/>
          <w:lang w:val="en-GB" w:eastAsia="en-GB"/>
        </w:rPr>
        <w:t>-C</w:t>
      </w:r>
      <w:r>
        <w:rPr>
          <w:rFonts w:ascii="Times New Roman" w:hAnsi="Times New Roman" w:cs="Times New Roman"/>
          <w:sz w:val="24"/>
          <w:vertAlign w:val="subscript"/>
          <w:lang w:val="en-GB" w:eastAsia="en-GB"/>
        </w:rPr>
        <w:t>16</w:t>
      </w:r>
      <w:r>
        <w:rPr>
          <w:rFonts w:ascii="Times New Roman" w:hAnsi="Times New Roman" w:cs="Times New Roman"/>
          <w:sz w:val="24"/>
          <w:lang w:val="en-GB" w:eastAsia="en-GB"/>
        </w:rPr>
        <w:t xml:space="preserve"> fractions may result from partial degradation of lighter hydrocarbons or recent petroleum input, as observed in previous st</w:t>
      </w:r>
      <w:r w:rsidR="00527D64">
        <w:rPr>
          <w:rFonts w:ascii="Times New Roman" w:hAnsi="Times New Roman" w:cs="Times New Roman"/>
          <w:sz w:val="24"/>
          <w:lang w:val="en-GB" w:eastAsia="en-GB"/>
        </w:rPr>
        <w:t>udies (</w:t>
      </w:r>
      <w:proofErr w:type="spellStart"/>
      <w:r w:rsidR="00DE2BAB" w:rsidRPr="00DE2BAB">
        <w:rPr>
          <w:rFonts w:ascii="Times New Roman" w:hAnsi="Times New Roman" w:cs="Times New Roman"/>
          <w:sz w:val="24"/>
          <w:lang w:val="en-GB" w:eastAsia="en-GB"/>
        </w:rPr>
        <w:t>Pikovskii</w:t>
      </w:r>
      <w:proofErr w:type="spellEnd"/>
      <w:r w:rsidR="00DE2BAB">
        <w:rPr>
          <w:rFonts w:ascii="Times New Roman" w:hAnsi="Times New Roman" w:cs="Times New Roman"/>
          <w:sz w:val="24"/>
          <w:lang w:val="en-GB" w:eastAsia="en-GB"/>
        </w:rPr>
        <w:t xml:space="preserve"> et al. 2017</w:t>
      </w:r>
      <w:r w:rsidR="00527D64">
        <w:rPr>
          <w:rFonts w:ascii="Times New Roman" w:hAnsi="Times New Roman" w:cs="Times New Roman"/>
          <w:sz w:val="24"/>
          <w:lang w:val="en-GB" w:eastAsia="en-GB"/>
        </w:rPr>
        <w:t xml:space="preserve">). </w:t>
      </w:r>
      <w:r>
        <w:rPr>
          <w:rFonts w:ascii="Times New Roman" w:hAnsi="Times New Roman" w:cs="Times New Roman"/>
          <w:sz w:val="24"/>
          <w:lang w:val="en-GB" w:eastAsia="en-GB"/>
        </w:rPr>
        <w:t>The presence of heavier hydrocarbons (C</w:t>
      </w:r>
      <w:r>
        <w:rPr>
          <w:rFonts w:ascii="Times New Roman" w:hAnsi="Times New Roman" w:cs="Times New Roman"/>
          <w:sz w:val="24"/>
          <w:vertAlign w:val="subscript"/>
          <w:lang w:val="en-GB" w:eastAsia="en-GB"/>
        </w:rPr>
        <w:t>25</w:t>
      </w:r>
      <w:r>
        <w:rPr>
          <w:rFonts w:ascii="Times New Roman" w:hAnsi="Times New Roman" w:cs="Times New Roman"/>
          <w:sz w:val="24"/>
          <w:lang w:val="en-GB" w:eastAsia="en-GB"/>
        </w:rPr>
        <w:t>-C</w:t>
      </w:r>
      <w:r>
        <w:rPr>
          <w:rFonts w:ascii="Times New Roman" w:hAnsi="Times New Roman" w:cs="Times New Roman"/>
          <w:sz w:val="24"/>
          <w:vertAlign w:val="subscript"/>
          <w:lang w:val="en-GB" w:eastAsia="en-GB"/>
        </w:rPr>
        <w:t>30</w:t>
      </w:r>
      <w:r>
        <w:rPr>
          <w:rFonts w:ascii="Times New Roman" w:hAnsi="Times New Roman" w:cs="Times New Roman"/>
          <w:sz w:val="24"/>
          <w:lang w:val="en-GB" w:eastAsia="en-GB"/>
        </w:rPr>
        <w:t xml:space="preserve">) suggests long-term contamination, as these compounds exhibit lower mobility and higher persistence in the soil. This finding aligns with </w:t>
      </w:r>
      <w:proofErr w:type="spellStart"/>
      <w:r w:rsidR="0090096C" w:rsidRPr="008A1B5D">
        <w:rPr>
          <w:rFonts w:ascii="Times New Roman" w:hAnsi="Times New Roman" w:cs="Times New Roman"/>
          <w:sz w:val="24"/>
        </w:rPr>
        <w:t>Ukalska-Jaruga</w:t>
      </w:r>
      <w:proofErr w:type="spellEnd"/>
      <w:r w:rsidR="0090096C">
        <w:rPr>
          <w:rFonts w:ascii="Times New Roman" w:hAnsi="Times New Roman" w:cs="Times New Roman"/>
          <w:sz w:val="24"/>
          <w:lang w:val="en-GB" w:eastAsia="en-GB"/>
        </w:rPr>
        <w:t xml:space="preserve"> et al. (2019</w:t>
      </w:r>
      <w:r>
        <w:rPr>
          <w:rFonts w:ascii="Times New Roman" w:hAnsi="Times New Roman" w:cs="Times New Roman"/>
          <w:sz w:val="24"/>
          <w:lang w:val="en-GB" w:eastAsia="en-GB"/>
        </w:rPr>
        <w:t>), who reported similar hydrocarbon profiles in soils around oil spill sites in the Niger Delta, with concentrations ranging from 10 to 50 mg/kg for C</w:t>
      </w:r>
      <w:r>
        <w:rPr>
          <w:rFonts w:ascii="Times New Roman" w:hAnsi="Times New Roman" w:cs="Times New Roman"/>
          <w:sz w:val="24"/>
          <w:vertAlign w:val="subscript"/>
          <w:lang w:val="en-GB" w:eastAsia="en-GB"/>
        </w:rPr>
        <w:t>25</w:t>
      </w:r>
      <w:r>
        <w:rPr>
          <w:rFonts w:ascii="Times New Roman" w:hAnsi="Times New Roman" w:cs="Times New Roman"/>
          <w:sz w:val="24"/>
          <w:lang w:val="en-GB" w:eastAsia="en-GB"/>
        </w:rPr>
        <w:t>-C</w:t>
      </w:r>
      <w:r>
        <w:rPr>
          <w:rFonts w:ascii="Times New Roman" w:hAnsi="Times New Roman" w:cs="Times New Roman"/>
          <w:sz w:val="24"/>
          <w:vertAlign w:val="subscript"/>
          <w:lang w:val="en-GB" w:eastAsia="en-GB"/>
        </w:rPr>
        <w:t>30</w:t>
      </w:r>
      <w:r>
        <w:rPr>
          <w:rFonts w:ascii="Times New Roman" w:hAnsi="Times New Roman" w:cs="Times New Roman"/>
          <w:sz w:val="24"/>
          <w:lang w:val="en-GB" w:eastAsia="en-GB"/>
        </w:rPr>
        <w:t xml:space="preserve"> fractions. These heavier hydrocarbons pose a greater environmental risk due to their potential to bioaccumulate and their resistance to microbial degradation.</w:t>
      </w:r>
    </w:p>
    <w:p w14:paraId="33C440B7" w14:textId="77777777" w:rsidR="00E04257" w:rsidRDefault="00527D64" w:rsidP="005D1F7D">
      <w:pPr>
        <w:spacing w:line="360" w:lineRule="auto"/>
        <w:jc w:val="both"/>
        <w:rPr>
          <w:rFonts w:ascii="Times New Roman" w:hAnsi="Times New Roman" w:cs="Times New Roman"/>
          <w:b/>
          <w:sz w:val="24"/>
        </w:rPr>
      </w:pPr>
      <w:r>
        <w:rPr>
          <w:rFonts w:ascii="Times New Roman" w:hAnsi="Times New Roman" w:cs="Times New Roman"/>
          <w:b/>
          <w:sz w:val="24"/>
        </w:rPr>
        <w:t>3</w:t>
      </w:r>
      <w:r w:rsidR="00E04257">
        <w:rPr>
          <w:rFonts w:ascii="Times New Roman" w:hAnsi="Times New Roman" w:cs="Times New Roman"/>
          <w:b/>
          <w:sz w:val="24"/>
        </w:rPr>
        <w:t>.4 Risk Assessment</w:t>
      </w:r>
    </w:p>
    <w:p w14:paraId="0AF37DB5" w14:textId="77777777" w:rsidR="00E04257" w:rsidRDefault="00527D64" w:rsidP="005D1F7D">
      <w:pPr>
        <w:spacing w:line="360" w:lineRule="auto"/>
        <w:jc w:val="both"/>
        <w:rPr>
          <w:rFonts w:ascii="Times New Roman" w:hAnsi="Times New Roman" w:cs="Times New Roman"/>
          <w:b/>
          <w:sz w:val="24"/>
        </w:rPr>
      </w:pPr>
      <w:r>
        <w:rPr>
          <w:rFonts w:ascii="Times New Roman" w:hAnsi="Times New Roman" w:cs="Times New Roman"/>
          <w:b/>
          <w:sz w:val="24"/>
        </w:rPr>
        <w:t>3</w:t>
      </w:r>
      <w:r w:rsidR="00E04257">
        <w:rPr>
          <w:rFonts w:ascii="Times New Roman" w:hAnsi="Times New Roman" w:cs="Times New Roman"/>
          <w:b/>
          <w:sz w:val="24"/>
        </w:rPr>
        <w:t>.4.1 Risk assessment of heavy metals</w:t>
      </w:r>
    </w:p>
    <w:p w14:paraId="3A2A3856" w14:textId="77777777"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 xml:space="preserve">Risk assessment of heavy </w:t>
      </w:r>
      <w:r w:rsidR="00527D64">
        <w:rPr>
          <w:rFonts w:ascii="Times New Roman" w:hAnsi="Times New Roman" w:cs="Times New Roman"/>
          <w:sz w:val="24"/>
        </w:rPr>
        <w:t>metals are computed in Table 6</w:t>
      </w:r>
      <w:r w:rsidR="00265A45">
        <w:rPr>
          <w:rFonts w:ascii="Times New Roman" w:hAnsi="Times New Roman" w:cs="Times New Roman"/>
          <w:sz w:val="24"/>
        </w:rPr>
        <w:t xml:space="preserve"> and 7</w:t>
      </w:r>
      <w:r>
        <w:rPr>
          <w:rFonts w:ascii="Times New Roman" w:hAnsi="Times New Roman" w:cs="Times New Roman"/>
          <w:sz w:val="24"/>
        </w:rPr>
        <w:t xml:space="preserve"> for both soil and water media</w:t>
      </w:r>
    </w:p>
    <w:p w14:paraId="00BFFBD6" w14:textId="77777777" w:rsidR="00E04257" w:rsidRDefault="00527D64" w:rsidP="005D1F7D">
      <w:pPr>
        <w:spacing w:line="360" w:lineRule="auto"/>
        <w:jc w:val="both"/>
        <w:rPr>
          <w:rFonts w:ascii="Times New Roman" w:hAnsi="Times New Roman" w:cs="Times New Roman"/>
          <w:b/>
          <w:sz w:val="24"/>
        </w:rPr>
      </w:pPr>
      <w:r>
        <w:rPr>
          <w:rFonts w:ascii="Times New Roman" w:hAnsi="Times New Roman" w:cs="Times New Roman"/>
          <w:b/>
          <w:sz w:val="24"/>
        </w:rPr>
        <w:t>Table 6</w:t>
      </w:r>
      <w:r w:rsidR="00E04257">
        <w:rPr>
          <w:rFonts w:ascii="Times New Roman" w:hAnsi="Times New Roman" w:cs="Times New Roman"/>
          <w:b/>
          <w:sz w:val="24"/>
        </w:rPr>
        <w:t>: Risk assessment of heavy metals in soil</w:t>
      </w:r>
    </w:p>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993"/>
        <w:gridCol w:w="1417"/>
        <w:gridCol w:w="1418"/>
        <w:gridCol w:w="1275"/>
        <w:gridCol w:w="1151"/>
        <w:gridCol w:w="1276"/>
        <w:gridCol w:w="1134"/>
      </w:tblGrid>
      <w:tr w:rsidR="00E04257" w14:paraId="7C54F3B0" w14:textId="77777777" w:rsidTr="00E04257">
        <w:trPr>
          <w:tblHeader/>
          <w:tblCellSpacing w:w="15" w:type="dxa"/>
        </w:trPr>
        <w:tc>
          <w:tcPr>
            <w:tcW w:w="948" w:type="dxa"/>
            <w:tcBorders>
              <w:top w:val="nil"/>
              <w:left w:val="nil"/>
              <w:bottom w:val="single" w:sz="4" w:space="0" w:color="auto"/>
              <w:right w:val="nil"/>
            </w:tcBorders>
            <w:tcMar>
              <w:top w:w="15" w:type="dxa"/>
              <w:left w:w="15" w:type="dxa"/>
              <w:bottom w:w="15" w:type="dxa"/>
              <w:right w:w="15" w:type="dxa"/>
            </w:tcMar>
            <w:vAlign w:val="center"/>
            <w:hideMark/>
          </w:tcPr>
          <w:p w14:paraId="602CE3E2"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Metal</w:t>
            </w:r>
          </w:p>
        </w:tc>
        <w:tc>
          <w:tcPr>
            <w:tcW w:w="1387" w:type="dxa"/>
            <w:tcBorders>
              <w:top w:val="nil"/>
              <w:left w:val="nil"/>
              <w:bottom w:val="single" w:sz="4" w:space="0" w:color="auto"/>
              <w:right w:val="nil"/>
            </w:tcBorders>
            <w:tcMar>
              <w:top w:w="15" w:type="dxa"/>
              <w:left w:w="15" w:type="dxa"/>
              <w:bottom w:w="15" w:type="dxa"/>
              <w:right w:w="15" w:type="dxa"/>
            </w:tcMar>
            <w:vAlign w:val="center"/>
            <w:hideMark/>
          </w:tcPr>
          <w:p w14:paraId="352F363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ADD</w:t>
            </w:r>
            <w:r>
              <w:rPr>
                <w:rFonts w:ascii="Times New Roman" w:eastAsia="Times New Roman" w:hAnsi="Times New Roman" w:cs="Times New Roman"/>
                <w:b/>
                <w:bCs/>
                <w:sz w:val="24"/>
                <w:szCs w:val="24"/>
                <w:vertAlign w:val="subscript"/>
              </w:rPr>
              <w:t>ing</w:t>
            </w:r>
            <w:proofErr w:type="spellEnd"/>
          </w:p>
        </w:tc>
        <w:tc>
          <w:tcPr>
            <w:tcW w:w="1388" w:type="dxa"/>
            <w:tcBorders>
              <w:top w:val="nil"/>
              <w:left w:val="nil"/>
              <w:bottom w:val="single" w:sz="4" w:space="0" w:color="auto"/>
              <w:right w:val="nil"/>
            </w:tcBorders>
            <w:tcMar>
              <w:top w:w="15" w:type="dxa"/>
              <w:left w:w="15" w:type="dxa"/>
              <w:bottom w:w="15" w:type="dxa"/>
              <w:right w:w="15" w:type="dxa"/>
            </w:tcMar>
            <w:vAlign w:val="center"/>
            <w:hideMark/>
          </w:tcPr>
          <w:p w14:paraId="6F3F8424"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ADD</w:t>
            </w:r>
            <w:r>
              <w:rPr>
                <w:rFonts w:ascii="Times New Roman" w:eastAsia="Times New Roman" w:hAnsi="Times New Roman" w:cs="Times New Roman"/>
                <w:b/>
                <w:bCs/>
                <w:sz w:val="24"/>
                <w:szCs w:val="24"/>
                <w:vertAlign w:val="subscript"/>
              </w:rPr>
              <w:t>dermal</w:t>
            </w:r>
            <w:proofErr w:type="spellEnd"/>
          </w:p>
        </w:tc>
        <w:tc>
          <w:tcPr>
            <w:tcW w:w="1245" w:type="dxa"/>
            <w:tcBorders>
              <w:top w:val="nil"/>
              <w:left w:val="nil"/>
              <w:bottom w:val="single" w:sz="4" w:space="0" w:color="auto"/>
              <w:right w:val="nil"/>
            </w:tcBorders>
            <w:tcMar>
              <w:top w:w="15" w:type="dxa"/>
              <w:left w:w="15" w:type="dxa"/>
              <w:bottom w:w="15" w:type="dxa"/>
              <w:right w:w="15" w:type="dxa"/>
            </w:tcMar>
            <w:vAlign w:val="center"/>
            <w:hideMark/>
          </w:tcPr>
          <w:p w14:paraId="72BD40B4"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HQ</w:t>
            </w:r>
            <w:r>
              <w:rPr>
                <w:rFonts w:ascii="Times New Roman" w:eastAsia="Times New Roman" w:hAnsi="Times New Roman" w:cs="Times New Roman"/>
                <w:b/>
                <w:bCs/>
                <w:sz w:val="24"/>
                <w:szCs w:val="24"/>
                <w:vertAlign w:val="subscript"/>
              </w:rPr>
              <w:t>ing</w:t>
            </w:r>
            <w:proofErr w:type="spellEnd"/>
          </w:p>
        </w:tc>
        <w:tc>
          <w:tcPr>
            <w:tcW w:w="1121" w:type="dxa"/>
            <w:tcBorders>
              <w:top w:val="nil"/>
              <w:left w:val="nil"/>
              <w:bottom w:val="single" w:sz="4" w:space="0" w:color="auto"/>
              <w:right w:val="nil"/>
            </w:tcBorders>
            <w:tcMar>
              <w:top w:w="15" w:type="dxa"/>
              <w:left w:w="15" w:type="dxa"/>
              <w:bottom w:w="15" w:type="dxa"/>
              <w:right w:w="15" w:type="dxa"/>
            </w:tcMar>
            <w:vAlign w:val="center"/>
            <w:hideMark/>
          </w:tcPr>
          <w:p w14:paraId="61681B52"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HQ</w:t>
            </w:r>
            <w:r>
              <w:rPr>
                <w:rFonts w:ascii="Times New Roman" w:eastAsia="Times New Roman" w:hAnsi="Times New Roman" w:cs="Times New Roman"/>
                <w:b/>
                <w:bCs/>
                <w:sz w:val="24"/>
                <w:szCs w:val="24"/>
                <w:vertAlign w:val="subscript"/>
              </w:rPr>
              <w:t>dermal</w:t>
            </w:r>
            <w:proofErr w:type="spellEnd"/>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71ED023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CR</w:t>
            </w:r>
            <w:r>
              <w:rPr>
                <w:rFonts w:ascii="Times New Roman" w:eastAsia="Times New Roman" w:hAnsi="Times New Roman" w:cs="Times New Roman"/>
                <w:b/>
                <w:bCs/>
                <w:sz w:val="24"/>
                <w:szCs w:val="24"/>
                <w:vertAlign w:val="subscript"/>
              </w:rPr>
              <w:t>ing</w:t>
            </w:r>
            <w:proofErr w:type="spellEnd"/>
          </w:p>
        </w:tc>
        <w:tc>
          <w:tcPr>
            <w:tcW w:w="1089" w:type="dxa"/>
            <w:tcBorders>
              <w:top w:val="nil"/>
              <w:left w:val="nil"/>
              <w:bottom w:val="single" w:sz="4" w:space="0" w:color="auto"/>
              <w:right w:val="nil"/>
            </w:tcBorders>
            <w:tcMar>
              <w:top w:w="15" w:type="dxa"/>
              <w:left w:w="15" w:type="dxa"/>
              <w:bottom w:w="15" w:type="dxa"/>
              <w:right w:w="15" w:type="dxa"/>
            </w:tcMar>
            <w:vAlign w:val="center"/>
            <w:hideMark/>
          </w:tcPr>
          <w:p w14:paraId="2C7AC143"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CR</w:t>
            </w:r>
            <w:r>
              <w:rPr>
                <w:rFonts w:ascii="Times New Roman" w:eastAsia="Times New Roman" w:hAnsi="Times New Roman" w:cs="Times New Roman"/>
                <w:b/>
                <w:bCs/>
                <w:sz w:val="24"/>
                <w:szCs w:val="24"/>
                <w:vertAlign w:val="subscript"/>
              </w:rPr>
              <w:t>dermal</w:t>
            </w:r>
            <w:proofErr w:type="spellEnd"/>
          </w:p>
        </w:tc>
      </w:tr>
      <w:tr w:rsidR="00E04257" w14:paraId="38E8FDBD" w14:textId="77777777" w:rsidTr="00E04257">
        <w:trPr>
          <w:tblCellSpacing w:w="15" w:type="dxa"/>
        </w:trPr>
        <w:tc>
          <w:tcPr>
            <w:tcW w:w="948" w:type="dxa"/>
            <w:tcBorders>
              <w:top w:val="nil"/>
              <w:left w:val="nil"/>
              <w:bottom w:val="nil"/>
              <w:right w:val="nil"/>
            </w:tcBorders>
            <w:tcMar>
              <w:top w:w="15" w:type="dxa"/>
              <w:left w:w="15" w:type="dxa"/>
              <w:bottom w:w="15" w:type="dxa"/>
              <w:right w:w="15" w:type="dxa"/>
            </w:tcMar>
            <w:vAlign w:val="center"/>
            <w:hideMark/>
          </w:tcPr>
          <w:p w14:paraId="6215AAA9"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Cd</w:t>
            </w:r>
          </w:p>
        </w:tc>
        <w:tc>
          <w:tcPr>
            <w:tcW w:w="1387" w:type="dxa"/>
            <w:tcBorders>
              <w:top w:val="nil"/>
              <w:left w:val="nil"/>
              <w:bottom w:val="nil"/>
              <w:right w:val="nil"/>
            </w:tcBorders>
            <w:tcMar>
              <w:top w:w="15" w:type="dxa"/>
              <w:left w:w="15" w:type="dxa"/>
              <w:bottom w:w="15" w:type="dxa"/>
              <w:right w:w="15" w:type="dxa"/>
            </w:tcMar>
            <w:vAlign w:val="center"/>
            <w:hideMark/>
          </w:tcPr>
          <w:p w14:paraId="7440FBD2"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0.5205</w:t>
            </w:r>
          </w:p>
        </w:tc>
        <w:tc>
          <w:tcPr>
            <w:tcW w:w="1388" w:type="dxa"/>
            <w:tcBorders>
              <w:top w:val="nil"/>
              <w:left w:val="nil"/>
              <w:bottom w:val="nil"/>
              <w:right w:val="nil"/>
            </w:tcBorders>
            <w:tcMar>
              <w:top w:w="15" w:type="dxa"/>
              <w:left w:w="15" w:type="dxa"/>
              <w:bottom w:w="15" w:type="dxa"/>
              <w:right w:w="15" w:type="dxa"/>
            </w:tcMar>
            <w:vAlign w:val="center"/>
            <w:hideMark/>
          </w:tcPr>
          <w:p w14:paraId="7C098CBD"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0.2077</w:t>
            </w:r>
          </w:p>
        </w:tc>
        <w:tc>
          <w:tcPr>
            <w:tcW w:w="1245" w:type="dxa"/>
            <w:tcBorders>
              <w:top w:val="nil"/>
              <w:left w:val="nil"/>
              <w:bottom w:val="nil"/>
              <w:right w:val="nil"/>
            </w:tcBorders>
            <w:tcMar>
              <w:top w:w="15" w:type="dxa"/>
              <w:left w:w="15" w:type="dxa"/>
              <w:bottom w:w="15" w:type="dxa"/>
              <w:right w:w="15" w:type="dxa"/>
            </w:tcMar>
            <w:vAlign w:val="center"/>
            <w:hideMark/>
          </w:tcPr>
          <w:p w14:paraId="15692CC4"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520.55</w:t>
            </w:r>
          </w:p>
        </w:tc>
        <w:tc>
          <w:tcPr>
            <w:tcW w:w="1121" w:type="dxa"/>
            <w:tcBorders>
              <w:top w:val="nil"/>
              <w:left w:val="nil"/>
              <w:bottom w:val="nil"/>
              <w:right w:val="nil"/>
            </w:tcBorders>
            <w:tcMar>
              <w:top w:w="15" w:type="dxa"/>
              <w:left w:w="15" w:type="dxa"/>
              <w:bottom w:w="15" w:type="dxa"/>
              <w:right w:w="15" w:type="dxa"/>
            </w:tcMar>
            <w:vAlign w:val="center"/>
            <w:hideMark/>
          </w:tcPr>
          <w:p w14:paraId="7EE729A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207.70</w:t>
            </w:r>
          </w:p>
        </w:tc>
        <w:tc>
          <w:tcPr>
            <w:tcW w:w="1246" w:type="dxa"/>
            <w:tcBorders>
              <w:top w:val="nil"/>
              <w:left w:val="nil"/>
              <w:bottom w:val="nil"/>
              <w:right w:val="nil"/>
            </w:tcBorders>
            <w:tcMar>
              <w:top w:w="15" w:type="dxa"/>
              <w:left w:w="15" w:type="dxa"/>
              <w:bottom w:w="15" w:type="dxa"/>
              <w:right w:w="15" w:type="dxa"/>
            </w:tcMar>
            <w:vAlign w:val="center"/>
            <w:hideMark/>
          </w:tcPr>
          <w:p w14:paraId="0535CC54"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089" w:type="dxa"/>
            <w:tcBorders>
              <w:top w:val="nil"/>
              <w:left w:val="nil"/>
              <w:bottom w:val="nil"/>
              <w:right w:val="nil"/>
            </w:tcBorders>
            <w:tcMar>
              <w:top w:w="15" w:type="dxa"/>
              <w:left w:w="15" w:type="dxa"/>
              <w:bottom w:w="15" w:type="dxa"/>
              <w:right w:w="15" w:type="dxa"/>
            </w:tcMar>
            <w:vAlign w:val="center"/>
            <w:hideMark/>
          </w:tcPr>
          <w:p w14:paraId="7BEC7247"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E04257" w14:paraId="78B9B366" w14:textId="77777777" w:rsidTr="00E04257">
        <w:trPr>
          <w:tblCellSpacing w:w="15" w:type="dxa"/>
        </w:trPr>
        <w:tc>
          <w:tcPr>
            <w:tcW w:w="948" w:type="dxa"/>
            <w:tcBorders>
              <w:top w:val="nil"/>
              <w:left w:val="nil"/>
              <w:bottom w:val="nil"/>
              <w:right w:val="nil"/>
            </w:tcBorders>
            <w:tcMar>
              <w:top w:w="15" w:type="dxa"/>
              <w:left w:w="15" w:type="dxa"/>
              <w:bottom w:w="15" w:type="dxa"/>
              <w:right w:w="15" w:type="dxa"/>
            </w:tcMar>
            <w:vAlign w:val="center"/>
            <w:hideMark/>
          </w:tcPr>
          <w:p w14:paraId="5D5AFD85"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p>
        </w:tc>
        <w:tc>
          <w:tcPr>
            <w:tcW w:w="1387" w:type="dxa"/>
            <w:tcBorders>
              <w:top w:val="nil"/>
              <w:left w:val="nil"/>
              <w:bottom w:val="nil"/>
              <w:right w:val="nil"/>
            </w:tcBorders>
            <w:tcMar>
              <w:top w:w="15" w:type="dxa"/>
              <w:left w:w="15" w:type="dxa"/>
              <w:bottom w:w="15" w:type="dxa"/>
              <w:right w:w="15" w:type="dxa"/>
            </w:tcMar>
            <w:vAlign w:val="center"/>
            <w:hideMark/>
          </w:tcPr>
          <w:p w14:paraId="06BCCA8F"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64.37</w:t>
            </w:r>
          </w:p>
        </w:tc>
        <w:tc>
          <w:tcPr>
            <w:tcW w:w="1388" w:type="dxa"/>
            <w:tcBorders>
              <w:top w:val="nil"/>
              <w:left w:val="nil"/>
              <w:bottom w:val="nil"/>
              <w:right w:val="nil"/>
            </w:tcBorders>
            <w:tcMar>
              <w:top w:w="15" w:type="dxa"/>
              <w:left w:w="15" w:type="dxa"/>
              <w:bottom w:w="15" w:type="dxa"/>
              <w:right w:w="15" w:type="dxa"/>
            </w:tcMar>
            <w:vAlign w:val="center"/>
            <w:hideMark/>
          </w:tcPr>
          <w:p w14:paraId="13B3915D"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25.68</w:t>
            </w:r>
          </w:p>
        </w:tc>
        <w:tc>
          <w:tcPr>
            <w:tcW w:w="1245" w:type="dxa"/>
            <w:tcBorders>
              <w:top w:val="nil"/>
              <w:left w:val="nil"/>
              <w:bottom w:val="nil"/>
              <w:right w:val="nil"/>
            </w:tcBorders>
            <w:tcMar>
              <w:top w:w="15" w:type="dxa"/>
              <w:left w:w="15" w:type="dxa"/>
              <w:bottom w:w="15" w:type="dxa"/>
              <w:right w:w="15" w:type="dxa"/>
            </w:tcMar>
            <w:vAlign w:val="center"/>
            <w:hideMark/>
          </w:tcPr>
          <w:p w14:paraId="6ADC663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42.91</w:t>
            </w:r>
          </w:p>
        </w:tc>
        <w:tc>
          <w:tcPr>
            <w:tcW w:w="1121" w:type="dxa"/>
            <w:tcBorders>
              <w:top w:val="nil"/>
              <w:left w:val="nil"/>
              <w:bottom w:val="nil"/>
              <w:right w:val="nil"/>
            </w:tcBorders>
            <w:tcMar>
              <w:top w:w="15" w:type="dxa"/>
              <w:left w:w="15" w:type="dxa"/>
              <w:bottom w:w="15" w:type="dxa"/>
              <w:right w:w="15" w:type="dxa"/>
            </w:tcMar>
            <w:vAlign w:val="center"/>
            <w:hideMark/>
          </w:tcPr>
          <w:p w14:paraId="244A261F"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5136.72</w:t>
            </w:r>
          </w:p>
        </w:tc>
        <w:tc>
          <w:tcPr>
            <w:tcW w:w="1246" w:type="dxa"/>
            <w:tcBorders>
              <w:top w:val="nil"/>
              <w:left w:val="nil"/>
              <w:bottom w:val="nil"/>
              <w:right w:val="nil"/>
            </w:tcBorders>
            <w:tcMar>
              <w:top w:w="15" w:type="dxa"/>
              <w:left w:w="15" w:type="dxa"/>
              <w:bottom w:w="15" w:type="dxa"/>
              <w:right w:w="15" w:type="dxa"/>
            </w:tcMar>
            <w:vAlign w:val="center"/>
            <w:hideMark/>
          </w:tcPr>
          <w:p w14:paraId="4BA53A85"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089" w:type="dxa"/>
            <w:tcBorders>
              <w:top w:val="nil"/>
              <w:left w:val="nil"/>
              <w:bottom w:val="nil"/>
              <w:right w:val="nil"/>
            </w:tcBorders>
            <w:tcMar>
              <w:top w:w="15" w:type="dxa"/>
              <w:left w:w="15" w:type="dxa"/>
              <w:bottom w:w="15" w:type="dxa"/>
              <w:right w:w="15" w:type="dxa"/>
            </w:tcMar>
            <w:vAlign w:val="center"/>
            <w:hideMark/>
          </w:tcPr>
          <w:p w14:paraId="1CC2D031"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E04257" w14:paraId="2F515EFB" w14:textId="77777777" w:rsidTr="00E04257">
        <w:trPr>
          <w:tblCellSpacing w:w="15" w:type="dxa"/>
        </w:trPr>
        <w:tc>
          <w:tcPr>
            <w:tcW w:w="948" w:type="dxa"/>
            <w:tcBorders>
              <w:top w:val="nil"/>
              <w:left w:val="nil"/>
              <w:bottom w:val="nil"/>
              <w:right w:val="nil"/>
            </w:tcBorders>
            <w:tcMar>
              <w:top w:w="15" w:type="dxa"/>
              <w:left w:w="15" w:type="dxa"/>
              <w:bottom w:w="15" w:type="dxa"/>
              <w:right w:w="15" w:type="dxa"/>
            </w:tcMar>
            <w:vAlign w:val="center"/>
            <w:hideMark/>
          </w:tcPr>
          <w:p w14:paraId="07245AD3"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w:t>
            </w:r>
          </w:p>
        </w:tc>
        <w:tc>
          <w:tcPr>
            <w:tcW w:w="1387" w:type="dxa"/>
            <w:tcBorders>
              <w:top w:val="nil"/>
              <w:left w:val="nil"/>
              <w:bottom w:val="nil"/>
              <w:right w:val="nil"/>
            </w:tcBorders>
            <w:tcMar>
              <w:top w:w="15" w:type="dxa"/>
              <w:left w:w="15" w:type="dxa"/>
              <w:bottom w:w="15" w:type="dxa"/>
              <w:right w:w="15" w:type="dxa"/>
            </w:tcMar>
            <w:vAlign w:val="center"/>
            <w:hideMark/>
          </w:tcPr>
          <w:p w14:paraId="18BD136B"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27.53</w:t>
            </w:r>
          </w:p>
        </w:tc>
        <w:tc>
          <w:tcPr>
            <w:tcW w:w="1388" w:type="dxa"/>
            <w:tcBorders>
              <w:top w:val="nil"/>
              <w:left w:val="nil"/>
              <w:bottom w:val="nil"/>
              <w:right w:val="nil"/>
            </w:tcBorders>
            <w:tcMar>
              <w:top w:w="15" w:type="dxa"/>
              <w:left w:w="15" w:type="dxa"/>
              <w:bottom w:w="15" w:type="dxa"/>
              <w:right w:w="15" w:type="dxa"/>
            </w:tcMar>
            <w:vAlign w:val="center"/>
            <w:hideMark/>
          </w:tcPr>
          <w:p w14:paraId="289E9D48"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10.99</w:t>
            </w:r>
          </w:p>
        </w:tc>
        <w:tc>
          <w:tcPr>
            <w:tcW w:w="1245" w:type="dxa"/>
            <w:tcBorders>
              <w:top w:val="nil"/>
              <w:left w:val="nil"/>
              <w:bottom w:val="nil"/>
              <w:right w:val="nil"/>
            </w:tcBorders>
            <w:tcMar>
              <w:top w:w="15" w:type="dxa"/>
              <w:left w:w="15" w:type="dxa"/>
              <w:bottom w:w="15" w:type="dxa"/>
              <w:right w:w="15" w:type="dxa"/>
            </w:tcMar>
            <w:vAlign w:val="center"/>
            <w:hideMark/>
          </w:tcPr>
          <w:p w14:paraId="6804897A"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1376.71</w:t>
            </w:r>
          </w:p>
        </w:tc>
        <w:tc>
          <w:tcPr>
            <w:tcW w:w="1121" w:type="dxa"/>
            <w:tcBorders>
              <w:top w:val="nil"/>
              <w:left w:val="nil"/>
              <w:bottom w:val="nil"/>
              <w:right w:val="nil"/>
            </w:tcBorders>
            <w:tcMar>
              <w:top w:w="15" w:type="dxa"/>
              <w:left w:w="15" w:type="dxa"/>
              <w:bottom w:w="15" w:type="dxa"/>
              <w:right w:w="15" w:type="dxa"/>
            </w:tcMar>
            <w:vAlign w:val="center"/>
            <w:hideMark/>
          </w:tcPr>
          <w:p w14:paraId="111B019D"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1961.82</w:t>
            </w:r>
          </w:p>
        </w:tc>
        <w:tc>
          <w:tcPr>
            <w:tcW w:w="1246" w:type="dxa"/>
            <w:tcBorders>
              <w:top w:val="nil"/>
              <w:left w:val="nil"/>
              <w:bottom w:val="nil"/>
              <w:right w:val="nil"/>
            </w:tcBorders>
            <w:tcMar>
              <w:top w:w="15" w:type="dxa"/>
              <w:left w:w="15" w:type="dxa"/>
              <w:bottom w:w="15" w:type="dxa"/>
              <w:right w:w="15" w:type="dxa"/>
            </w:tcMar>
            <w:vAlign w:val="center"/>
            <w:hideMark/>
          </w:tcPr>
          <w:p w14:paraId="541993EA"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089" w:type="dxa"/>
            <w:tcBorders>
              <w:top w:val="nil"/>
              <w:left w:val="nil"/>
              <w:bottom w:val="nil"/>
              <w:right w:val="nil"/>
            </w:tcBorders>
            <w:tcMar>
              <w:top w:w="15" w:type="dxa"/>
              <w:left w:w="15" w:type="dxa"/>
              <w:bottom w:w="15" w:type="dxa"/>
              <w:right w:w="15" w:type="dxa"/>
            </w:tcMar>
            <w:vAlign w:val="center"/>
            <w:hideMark/>
          </w:tcPr>
          <w:p w14:paraId="744C5477"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E04257" w14:paraId="322AC532" w14:textId="77777777" w:rsidTr="00E04257">
        <w:trPr>
          <w:tblCellSpacing w:w="15" w:type="dxa"/>
        </w:trPr>
        <w:tc>
          <w:tcPr>
            <w:tcW w:w="948" w:type="dxa"/>
            <w:tcBorders>
              <w:top w:val="nil"/>
              <w:left w:val="nil"/>
              <w:bottom w:val="nil"/>
              <w:right w:val="nil"/>
            </w:tcBorders>
            <w:tcMar>
              <w:top w:w="15" w:type="dxa"/>
              <w:left w:w="15" w:type="dxa"/>
              <w:bottom w:w="15" w:type="dxa"/>
              <w:right w:w="15" w:type="dxa"/>
            </w:tcMar>
            <w:vAlign w:val="center"/>
            <w:hideMark/>
          </w:tcPr>
          <w:p w14:paraId="5FB57F80"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p>
        </w:tc>
        <w:tc>
          <w:tcPr>
            <w:tcW w:w="1387" w:type="dxa"/>
            <w:tcBorders>
              <w:top w:val="nil"/>
              <w:left w:val="nil"/>
              <w:bottom w:val="nil"/>
              <w:right w:val="nil"/>
            </w:tcBorders>
            <w:tcMar>
              <w:top w:w="15" w:type="dxa"/>
              <w:left w:w="15" w:type="dxa"/>
              <w:bottom w:w="15" w:type="dxa"/>
              <w:right w:w="15" w:type="dxa"/>
            </w:tcMar>
            <w:vAlign w:val="center"/>
            <w:hideMark/>
          </w:tcPr>
          <w:p w14:paraId="50E933CE"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c>
          <w:tcPr>
            <w:tcW w:w="1388" w:type="dxa"/>
            <w:tcBorders>
              <w:top w:val="nil"/>
              <w:left w:val="nil"/>
              <w:bottom w:val="nil"/>
              <w:right w:val="nil"/>
            </w:tcBorders>
            <w:tcMar>
              <w:top w:w="15" w:type="dxa"/>
              <w:left w:w="15" w:type="dxa"/>
              <w:bottom w:w="15" w:type="dxa"/>
              <w:right w:w="15" w:type="dxa"/>
            </w:tcMar>
            <w:vAlign w:val="center"/>
            <w:hideMark/>
          </w:tcPr>
          <w:p w14:paraId="1D754BAA"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1245" w:type="dxa"/>
            <w:tcBorders>
              <w:top w:val="nil"/>
              <w:left w:val="nil"/>
              <w:bottom w:val="nil"/>
              <w:right w:val="nil"/>
            </w:tcBorders>
            <w:tcMar>
              <w:top w:w="15" w:type="dxa"/>
              <w:left w:w="15" w:type="dxa"/>
              <w:bottom w:w="15" w:type="dxa"/>
              <w:right w:w="15" w:type="dxa"/>
            </w:tcMar>
            <w:vAlign w:val="center"/>
            <w:hideMark/>
          </w:tcPr>
          <w:p w14:paraId="37E48CD4"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15525.11</w:t>
            </w:r>
          </w:p>
        </w:tc>
        <w:tc>
          <w:tcPr>
            <w:tcW w:w="1121" w:type="dxa"/>
            <w:tcBorders>
              <w:top w:val="nil"/>
              <w:left w:val="nil"/>
              <w:bottom w:val="nil"/>
              <w:right w:val="nil"/>
            </w:tcBorders>
            <w:tcMar>
              <w:top w:w="15" w:type="dxa"/>
              <w:left w:w="15" w:type="dxa"/>
              <w:bottom w:w="15" w:type="dxa"/>
              <w:right w:w="15" w:type="dxa"/>
            </w:tcMar>
            <w:vAlign w:val="center"/>
            <w:hideMark/>
          </w:tcPr>
          <w:p w14:paraId="55FB733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6194.52</w:t>
            </w:r>
          </w:p>
        </w:tc>
        <w:tc>
          <w:tcPr>
            <w:tcW w:w="1246" w:type="dxa"/>
            <w:tcBorders>
              <w:top w:val="nil"/>
              <w:left w:val="nil"/>
              <w:bottom w:val="nil"/>
              <w:right w:val="nil"/>
            </w:tcBorders>
            <w:tcMar>
              <w:top w:w="15" w:type="dxa"/>
              <w:left w:w="15" w:type="dxa"/>
              <w:bottom w:w="15" w:type="dxa"/>
              <w:right w:w="15" w:type="dxa"/>
            </w:tcMar>
            <w:vAlign w:val="center"/>
            <w:hideMark/>
          </w:tcPr>
          <w:p w14:paraId="2A7FC26C"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6.99</w:t>
            </w:r>
          </w:p>
        </w:tc>
        <w:tc>
          <w:tcPr>
            <w:tcW w:w="1089" w:type="dxa"/>
            <w:tcBorders>
              <w:top w:val="nil"/>
              <w:left w:val="nil"/>
              <w:bottom w:val="nil"/>
              <w:right w:val="nil"/>
            </w:tcBorders>
            <w:tcMar>
              <w:top w:w="15" w:type="dxa"/>
              <w:left w:w="15" w:type="dxa"/>
              <w:bottom w:w="15" w:type="dxa"/>
              <w:right w:w="15" w:type="dxa"/>
            </w:tcMar>
            <w:vAlign w:val="center"/>
            <w:hideMark/>
          </w:tcPr>
          <w:p w14:paraId="025280FB"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2.79</w:t>
            </w:r>
          </w:p>
        </w:tc>
      </w:tr>
      <w:tr w:rsidR="00E04257" w14:paraId="2724AF10" w14:textId="77777777" w:rsidTr="00E04257">
        <w:trPr>
          <w:tblCellSpacing w:w="15" w:type="dxa"/>
        </w:trPr>
        <w:tc>
          <w:tcPr>
            <w:tcW w:w="948" w:type="dxa"/>
            <w:tcBorders>
              <w:top w:val="nil"/>
              <w:left w:val="nil"/>
              <w:bottom w:val="nil"/>
              <w:right w:val="nil"/>
            </w:tcBorders>
            <w:tcMar>
              <w:top w:w="15" w:type="dxa"/>
              <w:left w:w="15" w:type="dxa"/>
              <w:bottom w:w="15" w:type="dxa"/>
              <w:right w:w="15" w:type="dxa"/>
            </w:tcMar>
            <w:vAlign w:val="center"/>
            <w:hideMark/>
          </w:tcPr>
          <w:p w14:paraId="2DDBE8DB"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Pb</w:t>
            </w:r>
          </w:p>
        </w:tc>
        <w:tc>
          <w:tcPr>
            <w:tcW w:w="1387" w:type="dxa"/>
            <w:tcBorders>
              <w:top w:val="nil"/>
              <w:left w:val="nil"/>
              <w:bottom w:val="nil"/>
              <w:right w:val="nil"/>
            </w:tcBorders>
            <w:tcMar>
              <w:top w:w="15" w:type="dxa"/>
              <w:left w:w="15" w:type="dxa"/>
              <w:bottom w:w="15" w:type="dxa"/>
              <w:right w:w="15" w:type="dxa"/>
            </w:tcMar>
            <w:vAlign w:val="center"/>
            <w:hideMark/>
          </w:tcPr>
          <w:p w14:paraId="6880F44B"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33.01</w:t>
            </w:r>
          </w:p>
        </w:tc>
        <w:tc>
          <w:tcPr>
            <w:tcW w:w="1388" w:type="dxa"/>
            <w:tcBorders>
              <w:top w:val="nil"/>
              <w:left w:val="nil"/>
              <w:bottom w:val="nil"/>
              <w:right w:val="nil"/>
            </w:tcBorders>
            <w:tcMar>
              <w:top w:w="15" w:type="dxa"/>
              <w:left w:w="15" w:type="dxa"/>
              <w:bottom w:w="15" w:type="dxa"/>
              <w:right w:w="15" w:type="dxa"/>
            </w:tcMar>
            <w:vAlign w:val="center"/>
            <w:hideMark/>
          </w:tcPr>
          <w:p w14:paraId="3628E02D"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13.17</w:t>
            </w:r>
          </w:p>
        </w:tc>
        <w:tc>
          <w:tcPr>
            <w:tcW w:w="1245" w:type="dxa"/>
            <w:tcBorders>
              <w:top w:val="nil"/>
              <w:left w:val="nil"/>
              <w:bottom w:val="nil"/>
              <w:right w:val="nil"/>
            </w:tcBorders>
            <w:tcMar>
              <w:top w:w="15" w:type="dxa"/>
              <w:left w:w="15" w:type="dxa"/>
              <w:bottom w:w="15" w:type="dxa"/>
              <w:right w:w="15" w:type="dxa"/>
            </w:tcMar>
            <w:vAlign w:val="center"/>
            <w:hideMark/>
          </w:tcPr>
          <w:p w14:paraId="592CECA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9432.49</w:t>
            </w:r>
          </w:p>
        </w:tc>
        <w:tc>
          <w:tcPr>
            <w:tcW w:w="1121" w:type="dxa"/>
            <w:tcBorders>
              <w:top w:val="nil"/>
              <w:left w:val="nil"/>
              <w:bottom w:val="nil"/>
              <w:right w:val="nil"/>
            </w:tcBorders>
            <w:tcMar>
              <w:top w:w="15" w:type="dxa"/>
              <w:left w:w="15" w:type="dxa"/>
              <w:bottom w:w="15" w:type="dxa"/>
              <w:right w:w="15" w:type="dxa"/>
            </w:tcMar>
            <w:vAlign w:val="center"/>
            <w:hideMark/>
          </w:tcPr>
          <w:p w14:paraId="2B7F6F07"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3763.56</w:t>
            </w:r>
          </w:p>
        </w:tc>
        <w:tc>
          <w:tcPr>
            <w:tcW w:w="1246" w:type="dxa"/>
            <w:tcBorders>
              <w:top w:val="nil"/>
              <w:left w:val="nil"/>
              <w:bottom w:val="nil"/>
              <w:right w:val="nil"/>
            </w:tcBorders>
            <w:tcMar>
              <w:top w:w="15" w:type="dxa"/>
              <w:left w:w="15" w:type="dxa"/>
              <w:bottom w:w="15" w:type="dxa"/>
              <w:right w:w="15" w:type="dxa"/>
            </w:tcMar>
            <w:vAlign w:val="center"/>
            <w:hideMark/>
          </w:tcPr>
          <w:p w14:paraId="52D3276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089" w:type="dxa"/>
            <w:tcBorders>
              <w:top w:val="nil"/>
              <w:left w:val="nil"/>
              <w:bottom w:val="nil"/>
              <w:right w:val="nil"/>
            </w:tcBorders>
            <w:tcMar>
              <w:top w:w="15" w:type="dxa"/>
              <w:left w:w="15" w:type="dxa"/>
              <w:bottom w:w="15" w:type="dxa"/>
              <w:right w:w="15" w:type="dxa"/>
            </w:tcMar>
            <w:vAlign w:val="center"/>
            <w:hideMark/>
          </w:tcPr>
          <w:p w14:paraId="099B5551"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E04257" w14:paraId="34CA688F" w14:textId="77777777" w:rsidTr="00E04257">
        <w:trPr>
          <w:tblCellSpacing w:w="15" w:type="dxa"/>
        </w:trPr>
        <w:tc>
          <w:tcPr>
            <w:tcW w:w="948" w:type="dxa"/>
            <w:tcBorders>
              <w:top w:val="nil"/>
              <w:left w:val="nil"/>
              <w:bottom w:val="nil"/>
              <w:right w:val="nil"/>
            </w:tcBorders>
            <w:tcMar>
              <w:top w:w="15" w:type="dxa"/>
              <w:left w:w="15" w:type="dxa"/>
              <w:bottom w:w="15" w:type="dxa"/>
              <w:right w:w="15" w:type="dxa"/>
            </w:tcMar>
            <w:vAlign w:val="center"/>
            <w:hideMark/>
          </w:tcPr>
          <w:p w14:paraId="455CB9DA"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Zn</w:t>
            </w:r>
          </w:p>
        </w:tc>
        <w:tc>
          <w:tcPr>
            <w:tcW w:w="1387" w:type="dxa"/>
            <w:tcBorders>
              <w:top w:val="nil"/>
              <w:left w:val="nil"/>
              <w:bottom w:val="nil"/>
              <w:right w:val="nil"/>
            </w:tcBorders>
            <w:tcMar>
              <w:top w:w="15" w:type="dxa"/>
              <w:left w:w="15" w:type="dxa"/>
              <w:bottom w:w="15" w:type="dxa"/>
              <w:right w:w="15" w:type="dxa"/>
            </w:tcMar>
            <w:vAlign w:val="center"/>
            <w:hideMark/>
          </w:tcPr>
          <w:p w14:paraId="1152AD2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136.03</w:t>
            </w:r>
          </w:p>
        </w:tc>
        <w:tc>
          <w:tcPr>
            <w:tcW w:w="1388" w:type="dxa"/>
            <w:tcBorders>
              <w:top w:val="nil"/>
              <w:left w:val="nil"/>
              <w:bottom w:val="nil"/>
              <w:right w:val="nil"/>
            </w:tcBorders>
            <w:tcMar>
              <w:top w:w="15" w:type="dxa"/>
              <w:left w:w="15" w:type="dxa"/>
              <w:bottom w:w="15" w:type="dxa"/>
              <w:right w:w="15" w:type="dxa"/>
            </w:tcMar>
            <w:vAlign w:val="center"/>
            <w:hideMark/>
          </w:tcPr>
          <w:p w14:paraId="2BC95330"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54.27</w:t>
            </w:r>
          </w:p>
        </w:tc>
        <w:tc>
          <w:tcPr>
            <w:tcW w:w="1245" w:type="dxa"/>
            <w:tcBorders>
              <w:top w:val="nil"/>
              <w:left w:val="nil"/>
              <w:bottom w:val="nil"/>
              <w:right w:val="nil"/>
            </w:tcBorders>
            <w:tcMar>
              <w:top w:w="15" w:type="dxa"/>
              <w:left w:w="15" w:type="dxa"/>
              <w:bottom w:w="15" w:type="dxa"/>
              <w:right w:w="15" w:type="dxa"/>
            </w:tcMar>
            <w:vAlign w:val="center"/>
            <w:hideMark/>
          </w:tcPr>
          <w:p w14:paraId="65891DBF"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453.42</w:t>
            </w:r>
          </w:p>
        </w:tc>
        <w:tc>
          <w:tcPr>
            <w:tcW w:w="1121" w:type="dxa"/>
            <w:tcBorders>
              <w:top w:val="nil"/>
              <w:left w:val="nil"/>
              <w:bottom w:val="nil"/>
              <w:right w:val="nil"/>
            </w:tcBorders>
            <w:tcMar>
              <w:top w:w="15" w:type="dxa"/>
              <w:left w:w="15" w:type="dxa"/>
              <w:bottom w:w="15" w:type="dxa"/>
              <w:right w:w="15" w:type="dxa"/>
            </w:tcMar>
            <w:vAlign w:val="center"/>
            <w:hideMark/>
          </w:tcPr>
          <w:p w14:paraId="584702E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180.92</w:t>
            </w:r>
          </w:p>
        </w:tc>
        <w:tc>
          <w:tcPr>
            <w:tcW w:w="1246" w:type="dxa"/>
            <w:tcBorders>
              <w:top w:val="nil"/>
              <w:left w:val="nil"/>
              <w:bottom w:val="nil"/>
              <w:right w:val="nil"/>
            </w:tcBorders>
            <w:tcMar>
              <w:top w:w="15" w:type="dxa"/>
              <w:left w:w="15" w:type="dxa"/>
              <w:bottom w:w="15" w:type="dxa"/>
              <w:right w:w="15" w:type="dxa"/>
            </w:tcMar>
            <w:vAlign w:val="center"/>
            <w:hideMark/>
          </w:tcPr>
          <w:p w14:paraId="37471B94"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089" w:type="dxa"/>
            <w:tcBorders>
              <w:top w:val="nil"/>
              <w:left w:val="nil"/>
              <w:bottom w:val="nil"/>
              <w:right w:val="nil"/>
            </w:tcBorders>
            <w:tcMar>
              <w:top w:w="15" w:type="dxa"/>
              <w:left w:w="15" w:type="dxa"/>
              <w:bottom w:w="15" w:type="dxa"/>
              <w:right w:w="15" w:type="dxa"/>
            </w:tcMar>
            <w:vAlign w:val="center"/>
            <w:hideMark/>
          </w:tcPr>
          <w:p w14:paraId="3DF9D76E"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bl>
    <w:p w14:paraId="541A085F" w14:textId="77777777" w:rsidR="00E04257" w:rsidRDefault="00E04257" w:rsidP="005D1F7D">
      <w:pPr>
        <w:spacing w:line="360" w:lineRule="auto"/>
        <w:jc w:val="center"/>
        <w:rPr>
          <w:rFonts w:ascii="Times New Roman" w:hAnsi="Times New Roman" w:cs="Times New Roman"/>
          <w:sz w:val="24"/>
        </w:rPr>
      </w:pPr>
    </w:p>
    <w:p w14:paraId="306E214D" w14:textId="4225FE3F"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 xml:space="preserve">The risk assessment for heavy metals in soil samples from the study area indicate significant concerns for both non-carcinogenic and carcinogenic health risks. The Hazard Quotient (HQ), which evaluates non-carcinogenic risks through ingestion and dermal exposure pathways, exceeded the threshold value of 1 for all metals assessed, </w:t>
      </w:r>
      <w:r w:rsidR="00265A45">
        <w:rPr>
          <w:rFonts w:ascii="Times New Roman" w:hAnsi="Times New Roman" w:cs="Times New Roman"/>
          <w:sz w:val="24"/>
        </w:rPr>
        <w:t>predicting</w:t>
      </w:r>
      <w:r>
        <w:rPr>
          <w:rFonts w:ascii="Times New Roman" w:hAnsi="Times New Roman" w:cs="Times New Roman"/>
          <w:sz w:val="24"/>
        </w:rPr>
        <w:t xml:space="preserve"> the likelihood of adverse </w:t>
      </w:r>
      <w:r>
        <w:rPr>
          <w:rFonts w:ascii="Times New Roman" w:hAnsi="Times New Roman" w:cs="Times New Roman"/>
          <w:sz w:val="24"/>
        </w:rPr>
        <w:lastRenderedPageBreak/>
        <w:t>health effects. Cadmium (Cd) posed a notable risk, with HQ values of 520.55 for ingestion and 207.70 for dermal exposure. Chronic exposure to Cd is associated with kidney damage, osteoporosis, and oth</w:t>
      </w:r>
      <w:r w:rsidR="00265A45">
        <w:rPr>
          <w:rFonts w:ascii="Times New Roman" w:hAnsi="Times New Roman" w:cs="Times New Roman"/>
          <w:sz w:val="24"/>
        </w:rPr>
        <w:t>er systemic effects. C</w:t>
      </w:r>
      <w:r>
        <w:rPr>
          <w:rFonts w:ascii="Times New Roman" w:hAnsi="Times New Roman" w:cs="Times New Roman"/>
          <w:sz w:val="24"/>
        </w:rPr>
        <w:t>hromium (Cr), particularly in its hexavalent form (Cr VI), exhibited high HQ values of 42.91 for ingestion and 5136.72 for dermal exposure, highlighting its potential to cause skin irritation and</w:t>
      </w:r>
      <w:r w:rsidR="00CF1775">
        <w:rPr>
          <w:rFonts w:ascii="Times New Roman" w:hAnsi="Times New Roman" w:cs="Times New Roman"/>
          <w:sz w:val="24"/>
        </w:rPr>
        <w:t xml:space="preserve"> gastrointestinal disturbances. </w:t>
      </w:r>
      <w:r>
        <w:rPr>
          <w:rFonts w:ascii="Times New Roman" w:hAnsi="Times New Roman" w:cs="Times New Roman"/>
          <w:sz w:val="24"/>
        </w:rPr>
        <w:t>Nickel (Ni) also presented elevated non-carcinogenic risks, with HQ values of 1376.71 and 1961.82 for ingestion and dermal exposure, respectively, which align with the metal’s documented impact on respiratory health and skin conditions. Arsenic (As) posed the most significant non-carcinogenic risk, with alarmingly high HQ values of 15,525.11 for ingestion and 6,194.52 for dermal exposure. This suggests substantial chronic health risks, including cardiovascular disease, neurotoxicity, and skin lesions. Lead (Pb) displayed HQ values of 9432.49 for ingestion and 3763.56 for dermal exposure, signaling a severe risk of cognitive and developmental impairments, particularly in children. Zinc (Zn), although an essential nutrient, presented HQ values of 453.42 for ingestion and 180.92 for dermal exposure, suggesting potential risks of gastrointestinal discomfort and immune dysfunction due to excessive exposure.</w:t>
      </w:r>
    </w:p>
    <w:p w14:paraId="04022F16" w14:textId="519D38F7"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In terms of carcinogenic risks, the Cancer Risk (CR) values for arsenic exceeded the acceptable range of 10</w:t>
      </w:r>
      <w:r>
        <w:rPr>
          <w:rFonts w:ascii="Times New Roman" w:hAnsi="Times New Roman" w:cs="Times New Roman"/>
          <w:sz w:val="24"/>
          <w:vertAlign w:val="superscript"/>
        </w:rPr>
        <w:t>−6</w:t>
      </w:r>
      <w:r>
        <w:rPr>
          <w:rFonts w:ascii="Times New Roman" w:hAnsi="Times New Roman" w:cs="Times New Roman"/>
          <w:sz w:val="24"/>
        </w:rPr>
        <w:t xml:space="preserve"> to 10</w:t>
      </w:r>
      <w:r>
        <w:rPr>
          <w:rFonts w:ascii="Times New Roman" w:hAnsi="Times New Roman" w:cs="Times New Roman"/>
          <w:sz w:val="24"/>
          <w:vertAlign w:val="superscript"/>
        </w:rPr>
        <w:t>−4</w:t>
      </w:r>
      <w:r>
        <w:rPr>
          <w:rFonts w:ascii="Times New Roman" w:hAnsi="Times New Roman" w:cs="Times New Roman"/>
          <w:sz w:val="24"/>
        </w:rPr>
        <w:t>, with CR values of 6.99 for ingestion and 2.79 for dermal exposure. This indicates a significant lifetime risk of developing cancer from prolonged ex</w:t>
      </w:r>
      <w:r w:rsidR="00CF1775">
        <w:rPr>
          <w:rFonts w:ascii="Times New Roman" w:hAnsi="Times New Roman" w:cs="Times New Roman"/>
          <w:sz w:val="24"/>
        </w:rPr>
        <w:t xml:space="preserve">posure to As-contaminated soil. </w:t>
      </w:r>
      <w:r>
        <w:rPr>
          <w:rFonts w:ascii="Times New Roman" w:hAnsi="Times New Roman" w:cs="Times New Roman"/>
          <w:sz w:val="24"/>
        </w:rPr>
        <w:t xml:space="preserve">Furthermore, the carcinogenic risks associated with arsenic contamination are consistent with findings from Bangladesh by </w:t>
      </w:r>
      <w:proofErr w:type="spellStart"/>
      <w:r w:rsidR="009F586C" w:rsidRPr="00CF1775">
        <w:rPr>
          <w:rFonts w:ascii="Times New Roman" w:hAnsi="Times New Roman" w:cs="Times New Roman"/>
          <w:sz w:val="24"/>
          <w:szCs w:val="24"/>
          <w:highlight w:val="yellow"/>
        </w:rPr>
        <w:t>Ezeani</w:t>
      </w:r>
      <w:proofErr w:type="spellEnd"/>
      <w:r w:rsidR="009F586C" w:rsidRPr="00CF1775">
        <w:rPr>
          <w:rFonts w:ascii="Times New Roman" w:hAnsi="Times New Roman" w:cs="Times New Roman"/>
          <w:sz w:val="24"/>
          <w:highlight w:val="yellow"/>
        </w:rPr>
        <w:t xml:space="preserve"> et al. (2022</w:t>
      </w:r>
      <w:r w:rsidRPr="00CF1775">
        <w:rPr>
          <w:rFonts w:ascii="Times New Roman" w:hAnsi="Times New Roman" w:cs="Times New Roman"/>
          <w:sz w:val="24"/>
          <w:highlight w:val="yellow"/>
        </w:rPr>
        <w:t>),</w:t>
      </w:r>
      <w:r>
        <w:rPr>
          <w:rFonts w:ascii="Times New Roman" w:hAnsi="Times New Roman" w:cs="Times New Roman"/>
          <w:sz w:val="24"/>
        </w:rPr>
        <w:t xml:space="preserve"> where CR values for </w:t>
      </w:r>
      <w:proofErr w:type="gramStart"/>
      <w:r>
        <w:rPr>
          <w:rFonts w:ascii="Times New Roman" w:hAnsi="Times New Roman" w:cs="Times New Roman"/>
          <w:sz w:val="24"/>
        </w:rPr>
        <w:t>As</w:t>
      </w:r>
      <w:proofErr w:type="gramEnd"/>
      <w:r>
        <w:rPr>
          <w:rFonts w:ascii="Times New Roman" w:hAnsi="Times New Roman" w:cs="Times New Roman"/>
          <w:sz w:val="24"/>
        </w:rPr>
        <w:t xml:space="preserve"> were observed to exceed 5, emphasizing its global significance as a health concern. Elevated HQ values for Ni observed in this study also align with findings from mining communities in Ghana by </w:t>
      </w:r>
      <w:proofErr w:type="spellStart"/>
      <w:r w:rsidR="00CF1775" w:rsidRPr="008A1B5D">
        <w:rPr>
          <w:rFonts w:ascii="Times New Roman" w:hAnsi="Times New Roman" w:cs="Times New Roman"/>
          <w:sz w:val="24"/>
          <w:highlight w:val="yellow"/>
        </w:rPr>
        <w:t>Ankapong</w:t>
      </w:r>
      <w:proofErr w:type="spellEnd"/>
      <w:r w:rsidR="00CF1775">
        <w:rPr>
          <w:rFonts w:ascii="Times New Roman" w:hAnsi="Times New Roman" w:cs="Times New Roman"/>
          <w:sz w:val="24"/>
        </w:rPr>
        <w:t xml:space="preserve"> et al. (2025</w:t>
      </w:r>
      <w:r>
        <w:rPr>
          <w:rFonts w:ascii="Times New Roman" w:hAnsi="Times New Roman" w:cs="Times New Roman"/>
          <w:sz w:val="24"/>
        </w:rPr>
        <w:t>), which highlight the recurring issue of nickel contamination in areas of mining and industrial activities.</w:t>
      </w:r>
    </w:p>
    <w:p w14:paraId="62D50B46" w14:textId="77777777" w:rsidR="00E04257" w:rsidRDefault="00527D64" w:rsidP="005D1F7D">
      <w:pPr>
        <w:spacing w:line="360" w:lineRule="auto"/>
        <w:jc w:val="both"/>
        <w:rPr>
          <w:rFonts w:ascii="Times New Roman" w:hAnsi="Times New Roman" w:cs="Times New Roman"/>
          <w:b/>
          <w:sz w:val="24"/>
        </w:rPr>
      </w:pPr>
      <w:r>
        <w:rPr>
          <w:rFonts w:ascii="Times New Roman" w:hAnsi="Times New Roman" w:cs="Times New Roman"/>
          <w:b/>
          <w:sz w:val="24"/>
        </w:rPr>
        <w:t>Table 7</w:t>
      </w:r>
      <w:r w:rsidR="00E04257">
        <w:rPr>
          <w:rFonts w:ascii="Times New Roman" w:hAnsi="Times New Roman" w:cs="Times New Roman"/>
          <w:b/>
          <w:sz w:val="24"/>
        </w:rPr>
        <w:t>: Risk assessment of heavy metals in water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134"/>
        <w:gridCol w:w="1275"/>
        <w:gridCol w:w="1134"/>
        <w:gridCol w:w="1134"/>
        <w:gridCol w:w="1418"/>
        <w:gridCol w:w="1116"/>
      </w:tblGrid>
      <w:tr w:rsidR="00E04257" w14:paraId="2306A38E" w14:textId="77777777" w:rsidTr="00E04257">
        <w:trPr>
          <w:jc w:val="center"/>
        </w:trPr>
        <w:tc>
          <w:tcPr>
            <w:tcW w:w="988" w:type="dxa"/>
            <w:tcBorders>
              <w:top w:val="single" w:sz="4" w:space="0" w:color="auto"/>
              <w:left w:val="nil"/>
              <w:bottom w:val="single" w:sz="4" w:space="0" w:color="auto"/>
              <w:right w:val="nil"/>
            </w:tcBorders>
            <w:hideMark/>
          </w:tcPr>
          <w:p w14:paraId="221E63AF"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Metal</w:t>
            </w:r>
          </w:p>
        </w:tc>
        <w:tc>
          <w:tcPr>
            <w:tcW w:w="1134" w:type="dxa"/>
            <w:tcBorders>
              <w:top w:val="single" w:sz="4" w:space="0" w:color="auto"/>
              <w:left w:val="nil"/>
              <w:bottom w:val="single" w:sz="4" w:space="0" w:color="auto"/>
              <w:right w:val="nil"/>
            </w:tcBorders>
            <w:hideMark/>
          </w:tcPr>
          <w:p w14:paraId="02E2EF98" w14:textId="77777777" w:rsidR="00E04257" w:rsidRDefault="00E04257" w:rsidP="005D1F7D">
            <w:pPr>
              <w:spacing w:line="360" w:lineRule="auto"/>
              <w:jc w:val="center"/>
              <w:rPr>
                <w:rFonts w:ascii="Times New Roman" w:hAnsi="Times New Roman" w:cs="Times New Roman"/>
                <w:sz w:val="24"/>
              </w:rPr>
            </w:pPr>
            <w:proofErr w:type="spellStart"/>
            <w:r>
              <w:rPr>
                <w:rFonts w:ascii="Times New Roman" w:hAnsi="Times New Roman" w:cs="Times New Roman"/>
                <w:sz w:val="24"/>
              </w:rPr>
              <w:t>ADD</w:t>
            </w:r>
            <w:r>
              <w:rPr>
                <w:rFonts w:ascii="Times New Roman" w:hAnsi="Times New Roman" w:cs="Times New Roman"/>
                <w:sz w:val="24"/>
                <w:vertAlign w:val="subscript"/>
              </w:rPr>
              <w:t>ing</w:t>
            </w:r>
            <w:proofErr w:type="spellEnd"/>
          </w:p>
        </w:tc>
        <w:tc>
          <w:tcPr>
            <w:tcW w:w="1275" w:type="dxa"/>
            <w:tcBorders>
              <w:top w:val="single" w:sz="4" w:space="0" w:color="auto"/>
              <w:left w:val="nil"/>
              <w:bottom w:val="single" w:sz="4" w:space="0" w:color="auto"/>
              <w:right w:val="nil"/>
            </w:tcBorders>
            <w:hideMark/>
          </w:tcPr>
          <w:p w14:paraId="570E447A" w14:textId="77777777" w:rsidR="00E04257" w:rsidRDefault="00E04257" w:rsidP="005D1F7D">
            <w:pPr>
              <w:spacing w:line="360" w:lineRule="auto"/>
              <w:jc w:val="center"/>
              <w:rPr>
                <w:rFonts w:ascii="Times New Roman" w:hAnsi="Times New Roman" w:cs="Times New Roman"/>
                <w:sz w:val="24"/>
              </w:rPr>
            </w:pPr>
            <w:proofErr w:type="spellStart"/>
            <w:r>
              <w:rPr>
                <w:rFonts w:ascii="Times New Roman" w:hAnsi="Times New Roman" w:cs="Times New Roman"/>
                <w:sz w:val="24"/>
              </w:rPr>
              <w:t>ADD</w:t>
            </w:r>
            <w:r>
              <w:rPr>
                <w:rFonts w:ascii="Times New Roman" w:hAnsi="Times New Roman" w:cs="Times New Roman"/>
                <w:sz w:val="24"/>
                <w:vertAlign w:val="subscript"/>
              </w:rPr>
              <w:t>der</w:t>
            </w:r>
            <w:proofErr w:type="spellEnd"/>
          </w:p>
        </w:tc>
        <w:tc>
          <w:tcPr>
            <w:tcW w:w="1134" w:type="dxa"/>
            <w:tcBorders>
              <w:top w:val="single" w:sz="4" w:space="0" w:color="auto"/>
              <w:left w:val="nil"/>
              <w:bottom w:val="single" w:sz="4" w:space="0" w:color="auto"/>
              <w:right w:val="nil"/>
            </w:tcBorders>
            <w:hideMark/>
          </w:tcPr>
          <w:p w14:paraId="5965E73E" w14:textId="77777777" w:rsidR="00E04257" w:rsidRDefault="00E04257" w:rsidP="005D1F7D">
            <w:pPr>
              <w:spacing w:line="360" w:lineRule="auto"/>
              <w:jc w:val="center"/>
              <w:rPr>
                <w:rFonts w:ascii="Times New Roman" w:hAnsi="Times New Roman" w:cs="Times New Roman"/>
                <w:sz w:val="24"/>
              </w:rPr>
            </w:pPr>
            <w:proofErr w:type="spellStart"/>
            <w:r>
              <w:rPr>
                <w:rFonts w:ascii="Times New Roman" w:hAnsi="Times New Roman" w:cs="Times New Roman"/>
                <w:sz w:val="24"/>
              </w:rPr>
              <w:t>HQing</w:t>
            </w:r>
            <w:proofErr w:type="spellEnd"/>
          </w:p>
        </w:tc>
        <w:tc>
          <w:tcPr>
            <w:tcW w:w="1134" w:type="dxa"/>
            <w:tcBorders>
              <w:top w:val="single" w:sz="4" w:space="0" w:color="auto"/>
              <w:left w:val="nil"/>
              <w:bottom w:val="single" w:sz="4" w:space="0" w:color="auto"/>
              <w:right w:val="nil"/>
            </w:tcBorders>
            <w:hideMark/>
          </w:tcPr>
          <w:p w14:paraId="35652E16" w14:textId="77777777" w:rsidR="00E04257" w:rsidRDefault="00E04257" w:rsidP="005D1F7D">
            <w:pPr>
              <w:spacing w:line="360" w:lineRule="auto"/>
              <w:jc w:val="center"/>
              <w:rPr>
                <w:rFonts w:ascii="Times New Roman" w:hAnsi="Times New Roman" w:cs="Times New Roman"/>
                <w:sz w:val="24"/>
              </w:rPr>
            </w:pPr>
            <w:proofErr w:type="spellStart"/>
            <w:r>
              <w:rPr>
                <w:rFonts w:ascii="Times New Roman" w:hAnsi="Times New Roman" w:cs="Times New Roman"/>
                <w:sz w:val="24"/>
              </w:rPr>
              <w:t>HQ</w:t>
            </w:r>
            <w:r>
              <w:rPr>
                <w:rFonts w:ascii="Times New Roman" w:hAnsi="Times New Roman" w:cs="Times New Roman"/>
                <w:sz w:val="24"/>
                <w:vertAlign w:val="subscript"/>
              </w:rPr>
              <w:t>der</w:t>
            </w:r>
            <w:proofErr w:type="spellEnd"/>
          </w:p>
        </w:tc>
        <w:tc>
          <w:tcPr>
            <w:tcW w:w="1418" w:type="dxa"/>
            <w:tcBorders>
              <w:top w:val="single" w:sz="4" w:space="0" w:color="auto"/>
              <w:left w:val="nil"/>
              <w:bottom w:val="single" w:sz="4" w:space="0" w:color="auto"/>
              <w:right w:val="nil"/>
            </w:tcBorders>
            <w:hideMark/>
          </w:tcPr>
          <w:p w14:paraId="05A5BF70" w14:textId="77777777" w:rsidR="00E04257" w:rsidRDefault="00E04257" w:rsidP="005D1F7D">
            <w:pPr>
              <w:spacing w:line="360" w:lineRule="auto"/>
              <w:jc w:val="center"/>
              <w:rPr>
                <w:rFonts w:ascii="Times New Roman" w:hAnsi="Times New Roman" w:cs="Times New Roman"/>
                <w:sz w:val="24"/>
              </w:rPr>
            </w:pPr>
            <w:proofErr w:type="spellStart"/>
            <w:r>
              <w:rPr>
                <w:rFonts w:ascii="Times New Roman" w:hAnsi="Times New Roman" w:cs="Times New Roman"/>
                <w:sz w:val="24"/>
              </w:rPr>
              <w:t>CR</w:t>
            </w:r>
            <w:r>
              <w:rPr>
                <w:rFonts w:ascii="Times New Roman" w:hAnsi="Times New Roman" w:cs="Times New Roman"/>
                <w:sz w:val="24"/>
                <w:vertAlign w:val="subscript"/>
              </w:rPr>
              <w:t>ing</w:t>
            </w:r>
            <w:proofErr w:type="spellEnd"/>
          </w:p>
        </w:tc>
        <w:tc>
          <w:tcPr>
            <w:tcW w:w="1116" w:type="dxa"/>
            <w:tcBorders>
              <w:top w:val="single" w:sz="4" w:space="0" w:color="auto"/>
              <w:left w:val="nil"/>
              <w:bottom w:val="single" w:sz="4" w:space="0" w:color="auto"/>
              <w:right w:val="nil"/>
            </w:tcBorders>
            <w:hideMark/>
          </w:tcPr>
          <w:p w14:paraId="42ADDD11" w14:textId="77777777" w:rsidR="00E04257" w:rsidRDefault="00E04257" w:rsidP="005D1F7D">
            <w:pPr>
              <w:spacing w:line="360" w:lineRule="auto"/>
              <w:jc w:val="center"/>
              <w:rPr>
                <w:rFonts w:ascii="Times New Roman" w:hAnsi="Times New Roman" w:cs="Times New Roman"/>
                <w:sz w:val="24"/>
              </w:rPr>
            </w:pPr>
            <w:proofErr w:type="spellStart"/>
            <w:r>
              <w:rPr>
                <w:rFonts w:ascii="Times New Roman" w:hAnsi="Times New Roman" w:cs="Times New Roman"/>
                <w:sz w:val="24"/>
              </w:rPr>
              <w:t>CR</w:t>
            </w:r>
            <w:r>
              <w:rPr>
                <w:rFonts w:ascii="Times New Roman" w:hAnsi="Times New Roman" w:cs="Times New Roman"/>
                <w:sz w:val="24"/>
                <w:vertAlign w:val="subscript"/>
              </w:rPr>
              <w:t>der</w:t>
            </w:r>
            <w:proofErr w:type="spellEnd"/>
          </w:p>
        </w:tc>
      </w:tr>
      <w:tr w:rsidR="00E04257" w14:paraId="5DC8DEDF" w14:textId="77777777" w:rsidTr="00E04257">
        <w:trPr>
          <w:jc w:val="center"/>
        </w:trPr>
        <w:tc>
          <w:tcPr>
            <w:tcW w:w="988" w:type="dxa"/>
            <w:tcBorders>
              <w:top w:val="single" w:sz="4" w:space="0" w:color="auto"/>
              <w:left w:val="nil"/>
              <w:bottom w:val="nil"/>
              <w:right w:val="nil"/>
            </w:tcBorders>
            <w:hideMark/>
          </w:tcPr>
          <w:p w14:paraId="50BD31E9"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Cd</w:t>
            </w:r>
          </w:p>
        </w:tc>
        <w:tc>
          <w:tcPr>
            <w:tcW w:w="1134" w:type="dxa"/>
            <w:tcBorders>
              <w:top w:val="single" w:sz="4" w:space="0" w:color="auto"/>
              <w:left w:val="nil"/>
              <w:bottom w:val="nil"/>
              <w:right w:val="nil"/>
            </w:tcBorders>
            <w:hideMark/>
          </w:tcPr>
          <w:p w14:paraId="0530A1BF"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0.00356</w:t>
            </w:r>
          </w:p>
        </w:tc>
        <w:tc>
          <w:tcPr>
            <w:tcW w:w="1275" w:type="dxa"/>
            <w:tcBorders>
              <w:top w:val="single" w:sz="4" w:space="0" w:color="auto"/>
              <w:left w:val="nil"/>
              <w:bottom w:val="nil"/>
              <w:right w:val="nil"/>
            </w:tcBorders>
            <w:vAlign w:val="center"/>
            <w:hideMark/>
          </w:tcPr>
          <w:p w14:paraId="35B9D7A8"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0.000032</w:t>
            </w:r>
          </w:p>
        </w:tc>
        <w:tc>
          <w:tcPr>
            <w:tcW w:w="1134" w:type="dxa"/>
            <w:tcBorders>
              <w:top w:val="single" w:sz="4" w:space="0" w:color="auto"/>
              <w:left w:val="nil"/>
              <w:bottom w:val="nil"/>
              <w:right w:val="nil"/>
            </w:tcBorders>
            <w:hideMark/>
          </w:tcPr>
          <w:p w14:paraId="35931582"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3.56</w:t>
            </w:r>
          </w:p>
        </w:tc>
        <w:tc>
          <w:tcPr>
            <w:tcW w:w="1134" w:type="dxa"/>
            <w:tcBorders>
              <w:top w:val="single" w:sz="4" w:space="0" w:color="auto"/>
              <w:left w:val="nil"/>
              <w:bottom w:val="nil"/>
              <w:right w:val="nil"/>
            </w:tcBorders>
            <w:vAlign w:val="center"/>
            <w:hideMark/>
          </w:tcPr>
          <w:p w14:paraId="66ACEF0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0.064</w:t>
            </w:r>
          </w:p>
        </w:tc>
        <w:tc>
          <w:tcPr>
            <w:tcW w:w="1418" w:type="dxa"/>
            <w:tcBorders>
              <w:top w:val="single" w:sz="4" w:space="0" w:color="auto"/>
              <w:left w:val="nil"/>
              <w:bottom w:val="nil"/>
              <w:right w:val="nil"/>
            </w:tcBorders>
            <w:hideMark/>
          </w:tcPr>
          <w:p w14:paraId="135A8802"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0.0021</w:t>
            </w:r>
          </w:p>
        </w:tc>
        <w:tc>
          <w:tcPr>
            <w:tcW w:w="1116" w:type="dxa"/>
            <w:tcBorders>
              <w:top w:val="single" w:sz="4" w:space="0" w:color="auto"/>
              <w:left w:val="nil"/>
              <w:bottom w:val="nil"/>
              <w:right w:val="nil"/>
            </w:tcBorders>
            <w:vAlign w:val="center"/>
            <w:hideMark/>
          </w:tcPr>
          <w:p w14:paraId="13206B81"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0.000019</w:t>
            </w:r>
          </w:p>
        </w:tc>
      </w:tr>
      <w:tr w:rsidR="00E04257" w14:paraId="2BC0628F" w14:textId="77777777" w:rsidTr="00E04257">
        <w:trPr>
          <w:jc w:val="center"/>
        </w:trPr>
        <w:tc>
          <w:tcPr>
            <w:tcW w:w="988" w:type="dxa"/>
            <w:tcBorders>
              <w:top w:val="nil"/>
              <w:left w:val="nil"/>
              <w:bottom w:val="nil"/>
              <w:right w:val="nil"/>
            </w:tcBorders>
            <w:hideMark/>
          </w:tcPr>
          <w:p w14:paraId="7E1AF4E3"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Cr</w:t>
            </w:r>
          </w:p>
        </w:tc>
        <w:tc>
          <w:tcPr>
            <w:tcW w:w="1134" w:type="dxa"/>
            <w:tcBorders>
              <w:top w:val="nil"/>
              <w:left w:val="nil"/>
              <w:bottom w:val="nil"/>
              <w:right w:val="nil"/>
            </w:tcBorders>
            <w:hideMark/>
          </w:tcPr>
          <w:p w14:paraId="6B31AD89"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0.05123</w:t>
            </w:r>
          </w:p>
        </w:tc>
        <w:tc>
          <w:tcPr>
            <w:tcW w:w="1275" w:type="dxa"/>
            <w:tcBorders>
              <w:top w:val="nil"/>
              <w:left w:val="nil"/>
              <w:bottom w:val="nil"/>
              <w:right w:val="nil"/>
            </w:tcBorders>
            <w:vAlign w:val="center"/>
            <w:hideMark/>
          </w:tcPr>
          <w:p w14:paraId="6BDB5162"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0.000461</w:t>
            </w:r>
          </w:p>
        </w:tc>
        <w:tc>
          <w:tcPr>
            <w:tcW w:w="1134" w:type="dxa"/>
            <w:tcBorders>
              <w:top w:val="nil"/>
              <w:left w:val="nil"/>
              <w:bottom w:val="nil"/>
              <w:right w:val="nil"/>
            </w:tcBorders>
            <w:hideMark/>
          </w:tcPr>
          <w:p w14:paraId="57CE1D1A"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17.08</w:t>
            </w:r>
          </w:p>
        </w:tc>
        <w:tc>
          <w:tcPr>
            <w:tcW w:w="1134" w:type="dxa"/>
            <w:tcBorders>
              <w:top w:val="nil"/>
              <w:left w:val="nil"/>
              <w:bottom w:val="nil"/>
              <w:right w:val="nil"/>
            </w:tcBorders>
            <w:vAlign w:val="center"/>
            <w:hideMark/>
          </w:tcPr>
          <w:p w14:paraId="193F5C11"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0.768</w:t>
            </w:r>
          </w:p>
        </w:tc>
        <w:tc>
          <w:tcPr>
            <w:tcW w:w="1418" w:type="dxa"/>
            <w:tcBorders>
              <w:top w:val="nil"/>
              <w:left w:val="nil"/>
              <w:bottom w:val="nil"/>
              <w:right w:val="nil"/>
            </w:tcBorders>
            <w:hideMark/>
          </w:tcPr>
          <w:p w14:paraId="2EBBC80D"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0.0256</w:t>
            </w:r>
          </w:p>
        </w:tc>
        <w:tc>
          <w:tcPr>
            <w:tcW w:w="1116" w:type="dxa"/>
            <w:tcBorders>
              <w:top w:val="nil"/>
              <w:left w:val="nil"/>
              <w:bottom w:val="nil"/>
              <w:right w:val="nil"/>
            </w:tcBorders>
            <w:vAlign w:val="center"/>
            <w:hideMark/>
          </w:tcPr>
          <w:p w14:paraId="74F66653"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0.000231</w:t>
            </w:r>
          </w:p>
        </w:tc>
      </w:tr>
      <w:tr w:rsidR="00E04257" w14:paraId="00B8FCAA" w14:textId="77777777" w:rsidTr="00E04257">
        <w:trPr>
          <w:jc w:val="center"/>
        </w:trPr>
        <w:tc>
          <w:tcPr>
            <w:tcW w:w="988" w:type="dxa"/>
            <w:tcBorders>
              <w:top w:val="nil"/>
              <w:left w:val="nil"/>
              <w:bottom w:val="nil"/>
              <w:right w:val="nil"/>
            </w:tcBorders>
            <w:hideMark/>
          </w:tcPr>
          <w:p w14:paraId="0E91CAB7"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Ni</w:t>
            </w:r>
          </w:p>
        </w:tc>
        <w:tc>
          <w:tcPr>
            <w:tcW w:w="1134" w:type="dxa"/>
            <w:tcBorders>
              <w:top w:val="nil"/>
              <w:left w:val="nil"/>
              <w:bottom w:val="nil"/>
              <w:right w:val="nil"/>
            </w:tcBorders>
            <w:hideMark/>
          </w:tcPr>
          <w:p w14:paraId="0A1A7BE4"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0.02301</w:t>
            </w:r>
          </w:p>
        </w:tc>
        <w:tc>
          <w:tcPr>
            <w:tcW w:w="1275" w:type="dxa"/>
            <w:tcBorders>
              <w:top w:val="nil"/>
              <w:left w:val="nil"/>
              <w:bottom w:val="nil"/>
              <w:right w:val="nil"/>
            </w:tcBorders>
            <w:vAlign w:val="center"/>
            <w:hideMark/>
          </w:tcPr>
          <w:p w14:paraId="350F9027"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0.000207</w:t>
            </w:r>
          </w:p>
        </w:tc>
        <w:tc>
          <w:tcPr>
            <w:tcW w:w="1134" w:type="dxa"/>
            <w:tcBorders>
              <w:top w:val="nil"/>
              <w:left w:val="nil"/>
              <w:bottom w:val="nil"/>
              <w:right w:val="nil"/>
            </w:tcBorders>
            <w:hideMark/>
          </w:tcPr>
          <w:p w14:paraId="3119F618"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1.15</w:t>
            </w:r>
          </w:p>
        </w:tc>
        <w:tc>
          <w:tcPr>
            <w:tcW w:w="1134" w:type="dxa"/>
            <w:tcBorders>
              <w:top w:val="nil"/>
              <w:left w:val="nil"/>
              <w:bottom w:val="nil"/>
              <w:right w:val="nil"/>
            </w:tcBorders>
            <w:vAlign w:val="center"/>
            <w:hideMark/>
          </w:tcPr>
          <w:p w14:paraId="4C02CCF6"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0.041</w:t>
            </w:r>
          </w:p>
        </w:tc>
        <w:tc>
          <w:tcPr>
            <w:tcW w:w="1418" w:type="dxa"/>
            <w:tcBorders>
              <w:top w:val="nil"/>
              <w:left w:val="nil"/>
              <w:bottom w:val="nil"/>
              <w:right w:val="nil"/>
            </w:tcBorders>
            <w:hideMark/>
          </w:tcPr>
          <w:p w14:paraId="227DD5D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0.0209</w:t>
            </w:r>
          </w:p>
        </w:tc>
        <w:tc>
          <w:tcPr>
            <w:tcW w:w="1116" w:type="dxa"/>
            <w:tcBorders>
              <w:top w:val="nil"/>
              <w:left w:val="nil"/>
              <w:bottom w:val="nil"/>
              <w:right w:val="nil"/>
            </w:tcBorders>
            <w:vAlign w:val="center"/>
            <w:hideMark/>
          </w:tcPr>
          <w:p w14:paraId="50810566"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0.000188</w:t>
            </w:r>
          </w:p>
        </w:tc>
      </w:tr>
      <w:tr w:rsidR="00E04257" w14:paraId="5D5562A0" w14:textId="77777777" w:rsidTr="00E04257">
        <w:trPr>
          <w:jc w:val="center"/>
        </w:trPr>
        <w:tc>
          <w:tcPr>
            <w:tcW w:w="988" w:type="dxa"/>
            <w:tcBorders>
              <w:top w:val="nil"/>
              <w:left w:val="nil"/>
              <w:bottom w:val="nil"/>
              <w:right w:val="nil"/>
            </w:tcBorders>
            <w:hideMark/>
          </w:tcPr>
          <w:p w14:paraId="53C1BABB"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As</w:t>
            </w:r>
          </w:p>
        </w:tc>
        <w:tc>
          <w:tcPr>
            <w:tcW w:w="1134" w:type="dxa"/>
            <w:tcBorders>
              <w:top w:val="nil"/>
              <w:left w:val="nil"/>
              <w:bottom w:val="nil"/>
              <w:right w:val="nil"/>
            </w:tcBorders>
            <w:hideMark/>
          </w:tcPr>
          <w:p w14:paraId="4A2581E2"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0.00137</w:t>
            </w:r>
          </w:p>
        </w:tc>
        <w:tc>
          <w:tcPr>
            <w:tcW w:w="1275" w:type="dxa"/>
            <w:tcBorders>
              <w:top w:val="nil"/>
              <w:left w:val="nil"/>
              <w:bottom w:val="nil"/>
              <w:right w:val="nil"/>
            </w:tcBorders>
            <w:vAlign w:val="center"/>
            <w:hideMark/>
          </w:tcPr>
          <w:p w14:paraId="1BF49A43"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0.000012</w:t>
            </w:r>
          </w:p>
        </w:tc>
        <w:tc>
          <w:tcPr>
            <w:tcW w:w="1134" w:type="dxa"/>
            <w:tcBorders>
              <w:top w:val="nil"/>
              <w:left w:val="nil"/>
              <w:bottom w:val="nil"/>
              <w:right w:val="nil"/>
            </w:tcBorders>
            <w:hideMark/>
          </w:tcPr>
          <w:p w14:paraId="11CECA0B"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4.57</w:t>
            </w:r>
          </w:p>
        </w:tc>
        <w:tc>
          <w:tcPr>
            <w:tcW w:w="1134" w:type="dxa"/>
            <w:tcBorders>
              <w:top w:val="nil"/>
              <w:left w:val="nil"/>
              <w:bottom w:val="nil"/>
              <w:right w:val="nil"/>
            </w:tcBorders>
            <w:vAlign w:val="center"/>
            <w:hideMark/>
          </w:tcPr>
          <w:p w14:paraId="4529C95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0.123</w:t>
            </w:r>
          </w:p>
        </w:tc>
        <w:tc>
          <w:tcPr>
            <w:tcW w:w="1418" w:type="dxa"/>
            <w:tcBorders>
              <w:top w:val="nil"/>
              <w:left w:val="nil"/>
              <w:bottom w:val="nil"/>
              <w:right w:val="nil"/>
            </w:tcBorders>
            <w:hideMark/>
          </w:tcPr>
          <w:p w14:paraId="6F1DAAB3"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0.0021</w:t>
            </w:r>
          </w:p>
        </w:tc>
        <w:tc>
          <w:tcPr>
            <w:tcW w:w="1116" w:type="dxa"/>
            <w:tcBorders>
              <w:top w:val="nil"/>
              <w:left w:val="nil"/>
              <w:bottom w:val="nil"/>
              <w:right w:val="nil"/>
            </w:tcBorders>
            <w:vAlign w:val="center"/>
            <w:hideMark/>
          </w:tcPr>
          <w:p w14:paraId="602A99A6"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0.000018</w:t>
            </w:r>
          </w:p>
        </w:tc>
      </w:tr>
      <w:tr w:rsidR="00E04257" w14:paraId="58AF2621" w14:textId="77777777" w:rsidTr="00E04257">
        <w:trPr>
          <w:jc w:val="center"/>
        </w:trPr>
        <w:tc>
          <w:tcPr>
            <w:tcW w:w="988" w:type="dxa"/>
            <w:tcBorders>
              <w:top w:val="nil"/>
              <w:left w:val="nil"/>
              <w:bottom w:val="nil"/>
              <w:right w:val="nil"/>
            </w:tcBorders>
            <w:hideMark/>
          </w:tcPr>
          <w:p w14:paraId="2FB56E7D"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lastRenderedPageBreak/>
              <w:t>Pb</w:t>
            </w:r>
          </w:p>
        </w:tc>
        <w:tc>
          <w:tcPr>
            <w:tcW w:w="1134" w:type="dxa"/>
            <w:tcBorders>
              <w:top w:val="nil"/>
              <w:left w:val="nil"/>
              <w:bottom w:val="nil"/>
              <w:right w:val="nil"/>
            </w:tcBorders>
            <w:hideMark/>
          </w:tcPr>
          <w:p w14:paraId="5E5C8D7F"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0.01288</w:t>
            </w:r>
          </w:p>
        </w:tc>
        <w:tc>
          <w:tcPr>
            <w:tcW w:w="1275" w:type="dxa"/>
            <w:tcBorders>
              <w:top w:val="nil"/>
              <w:left w:val="nil"/>
              <w:bottom w:val="nil"/>
              <w:right w:val="nil"/>
            </w:tcBorders>
            <w:vAlign w:val="center"/>
            <w:hideMark/>
          </w:tcPr>
          <w:p w14:paraId="1FAD240B"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0.000116</w:t>
            </w:r>
          </w:p>
        </w:tc>
        <w:tc>
          <w:tcPr>
            <w:tcW w:w="1134" w:type="dxa"/>
            <w:tcBorders>
              <w:top w:val="nil"/>
              <w:left w:val="nil"/>
              <w:bottom w:val="nil"/>
              <w:right w:val="nil"/>
            </w:tcBorders>
            <w:hideMark/>
          </w:tcPr>
          <w:p w14:paraId="504C8AD8"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9.20</w:t>
            </w:r>
          </w:p>
        </w:tc>
        <w:tc>
          <w:tcPr>
            <w:tcW w:w="1134" w:type="dxa"/>
            <w:tcBorders>
              <w:top w:val="nil"/>
              <w:left w:val="nil"/>
              <w:bottom w:val="nil"/>
              <w:right w:val="nil"/>
            </w:tcBorders>
            <w:vAlign w:val="center"/>
            <w:hideMark/>
          </w:tcPr>
          <w:p w14:paraId="237759EF"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0.290</w:t>
            </w:r>
          </w:p>
        </w:tc>
        <w:tc>
          <w:tcPr>
            <w:tcW w:w="1418" w:type="dxa"/>
            <w:tcBorders>
              <w:top w:val="nil"/>
              <w:left w:val="nil"/>
              <w:bottom w:val="nil"/>
              <w:right w:val="nil"/>
            </w:tcBorders>
            <w:hideMark/>
          </w:tcPr>
          <w:p w14:paraId="34C1FB0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0.0109</w:t>
            </w:r>
          </w:p>
        </w:tc>
        <w:tc>
          <w:tcPr>
            <w:tcW w:w="1116" w:type="dxa"/>
            <w:tcBorders>
              <w:top w:val="nil"/>
              <w:left w:val="nil"/>
              <w:bottom w:val="nil"/>
              <w:right w:val="nil"/>
            </w:tcBorders>
            <w:vAlign w:val="center"/>
            <w:hideMark/>
          </w:tcPr>
          <w:p w14:paraId="10C7B673"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0.000099</w:t>
            </w:r>
          </w:p>
        </w:tc>
      </w:tr>
      <w:tr w:rsidR="00E04257" w14:paraId="56F3AAD5" w14:textId="77777777" w:rsidTr="00E04257">
        <w:trPr>
          <w:jc w:val="center"/>
        </w:trPr>
        <w:tc>
          <w:tcPr>
            <w:tcW w:w="988" w:type="dxa"/>
            <w:tcBorders>
              <w:top w:val="nil"/>
              <w:left w:val="nil"/>
              <w:bottom w:val="single" w:sz="4" w:space="0" w:color="auto"/>
              <w:right w:val="nil"/>
            </w:tcBorders>
            <w:hideMark/>
          </w:tcPr>
          <w:p w14:paraId="52569D59"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Zn</w:t>
            </w:r>
          </w:p>
        </w:tc>
        <w:tc>
          <w:tcPr>
            <w:tcW w:w="1134" w:type="dxa"/>
            <w:tcBorders>
              <w:top w:val="nil"/>
              <w:left w:val="nil"/>
              <w:bottom w:val="single" w:sz="4" w:space="0" w:color="auto"/>
              <w:right w:val="nil"/>
            </w:tcBorders>
            <w:hideMark/>
          </w:tcPr>
          <w:p w14:paraId="5FDF459C"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0.14822</w:t>
            </w:r>
          </w:p>
        </w:tc>
        <w:tc>
          <w:tcPr>
            <w:tcW w:w="1275" w:type="dxa"/>
            <w:tcBorders>
              <w:top w:val="nil"/>
              <w:left w:val="nil"/>
              <w:bottom w:val="single" w:sz="4" w:space="0" w:color="auto"/>
              <w:right w:val="nil"/>
            </w:tcBorders>
            <w:vAlign w:val="center"/>
            <w:hideMark/>
          </w:tcPr>
          <w:p w14:paraId="137E4931"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0.001334</w:t>
            </w:r>
          </w:p>
        </w:tc>
        <w:tc>
          <w:tcPr>
            <w:tcW w:w="1134" w:type="dxa"/>
            <w:tcBorders>
              <w:top w:val="nil"/>
              <w:left w:val="nil"/>
              <w:bottom w:val="single" w:sz="4" w:space="0" w:color="auto"/>
              <w:right w:val="nil"/>
            </w:tcBorders>
            <w:hideMark/>
          </w:tcPr>
          <w:p w14:paraId="6ECA964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0.49</w:t>
            </w:r>
          </w:p>
        </w:tc>
        <w:tc>
          <w:tcPr>
            <w:tcW w:w="1134" w:type="dxa"/>
            <w:tcBorders>
              <w:top w:val="nil"/>
              <w:left w:val="nil"/>
              <w:bottom w:val="single" w:sz="4" w:space="0" w:color="auto"/>
              <w:right w:val="nil"/>
            </w:tcBorders>
            <w:vAlign w:val="center"/>
            <w:hideMark/>
          </w:tcPr>
          <w:p w14:paraId="6CF3BB1E"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0.019</w:t>
            </w:r>
          </w:p>
        </w:tc>
        <w:tc>
          <w:tcPr>
            <w:tcW w:w="1418" w:type="dxa"/>
            <w:tcBorders>
              <w:top w:val="nil"/>
              <w:left w:val="nil"/>
              <w:bottom w:val="single" w:sz="4" w:space="0" w:color="auto"/>
              <w:right w:val="nil"/>
            </w:tcBorders>
            <w:hideMark/>
          </w:tcPr>
          <w:p w14:paraId="5D5E570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w:t>
            </w:r>
          </w:p>
        </w:tc>
        <w:tc>
          <w:tcPr>
            <w:tcW w:w="1116" w:type="dxa"/>
            <w:tcBorders>
              <w:top w:val="nil"/>
              <w:left w:val="nil"/>
              <w:bottom w:val="single" w:sz="4" w:space="0" w:color="auto"/>
              <w:right w:val="nil"/>
            </w:tcBorders>
            <w:vAlign w:val="center"/>
            <w:hideMark/>
          </w:tcPr>
          <w:p w14:paraId="073D5507"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0.000000</w:t>
            </w:r>
          </w:p>
        </w:tc>
      </w:tr>
    </w:tbl>
    <w:p w14:paraId="5CED9D8C" w14:textId="77777777" w:rsidR="00E04257" w:rsidRDefault="00E04257" w:rsidP="005D1F7D">
      <w:pPr>
        <w:tabs>
          <w:tab w:val="left" w:pos="7724"/>
        </w:tabs>
        <w:spacing w:line="360" w:lineRule="auto"/>
        <w:jc w:val="both"/>
        <w:rPr>
          <w:rFonts w:ascii="Times New Roman" w:hAnsi="Times New Roman" w:cs="Times New Roman"/>
          <w:sz w:val="24"/>
        </w:rPr>
      </w:pPr>
      <w:r>
        <w:rPr>
          <w:rFonts w:ascii="Times New Roman" w:hAnsi="Times New Roman" w:cs="Times New Roman"/>
          <w:sz w:val="24"/>
        </w:rPr>
        <w:tab/>
      </w:r>
    </w:p>
    <w:p w14:paraId="22C1DA7B" w14:textId="77777777"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The results of the heavy metal analysis in produced water revealed varying levels of contamination for each met</w:t>
      </w:r>
      <w:r w:rsidR="00707D58">
        <w:rPr>
          <w:rFonts w:ascii="Times New Roman" w:hAnsi="Times New Roman" w:cs="Times New Roman"/>
          <w:sz w:val="24"/>
        </w:rPr>
        <w:t xml:space="preserve">al across the sampling points.  </w:t>
      </w:r>
      <w:r>
        <w:rPr>
          <w:rFonts w:ascii="Times New Roman" w:hAnsi="Times New Roman" w:cs="Times New Roman"/>
          <w:sz w:val="24"/>
        </w:rPr>
        <w:t>The Average Daily Dose (ADD) quantifies the amount of a specific contaminant an individual may ingest or absorb per day. The ADD values for ingestion and dermal pathways were calculated based on the concentration of each metal in the produced water. These values indicate the amount of heavy metals an individual would be exposed to und</w:t>
      </w:r>
      <w:r w:rsidR="00707D58">
        <w:rPr>
          <w:rFonts w:ascii="Times New Roman" w:hAnsi="Times New Roman" w:cs="Times New Roman"/>
          <w:sz w:val="24"/>
        </w:rPr>
        <w:t>er normal circumstances. For</w:t>
      </w:r>
      <w:r>
        <w:rPr>
          <w:rFonts w:ascii="Times New Roman" w:hAnsi="Times New Roman" w:cs="Times New Roman"/>
          <w:sz w:val="24"/>
        </w:rPr>
        <w:t xml:space="preserve"> ingestion pathway, the ADD values ranged from 0.00137 mg/kg/day for arsenic (As) to 0.14822 mg/kg/day for zinc (Zn), with zinc showing the highest value. The high value of zinc could be due to its relatively higher concentration in the produced water compared to other metals, suggesting a higher potential for exposure through ingestion. In term of dermal exposure, the ADD values were significantly lower across all metals, with zinc again showing the highest value (0.001334 mg/kg/day). The reduced ADD for dermal exposure reflects the less direct absorption mechanism via the skin compared to ingestion. For instance, cadmium (Cd) showed an ADD of 0.000032 mg/kg/day through dermal contact, which is orders of magnitude lower than its ing</w:t>
      </w:r>
      <w:r w:rsidR="00707D58">
        <w:rPr>
          <w:rFonts w:ascii="Times New Roman" w:hAnsi="Times New Roman" w:cs="Times New Roman"/>
          <w:sz w:val="24"/>
        </w:rPr>
        <w:t xml:space="preserve">estion ADD (0.00356 mg/kg/day). </w:t>
      </w:r>
      <w:r>
        <w:rPr>
          <w:rFonts w:ascii="Times New Roman" w:hAnsi="Times New Roman" w:cs="Times New Roman"/>
          <w:sz w:val="24"/>
        </w:rPr>
        <w:t>The Hazard Quotient (HQ) is a critical component in risk assessments, representing the ratio of the exposure level to the reference dose for each contaminant. When the HQ exceeds 1, it indicates potential health concerns for the exposed population. For the ingestion pathway, metals such as chromium (Cr), cadmium (Cd), arsenic (As), and lead (Pb) exhibited HQ values that significantly exceeded 1. Chromium (HQ = 17.08) and cadmium (HQ = 3.56) suggest that the ingestion of produced water containing these metals could lead to significant health risks over time. Other metals like nickel (Ni) and zinc (Zn), however, presented much lower HQ values, below 1, indicating that their ingestion does not pose a significant risk at the current levels of exposure. On the dermal exposure pathway, all metals showed HQ values well below 1, suggesting that direct contact with the water via skin absorption does not present a significant health risk. For example, chromium (HQ = 0.768) and cadmium (HQ = 0.064) represent much lower dermal exposure risk compared to ingestion, reinforcing the understanding that ingestion remains the predominant pathway for health ris</w:t>
      </w:r>
      <w:r w:rsidR="007E71CB">
        <w:rPr>
          <w:rFonts w:ascii="Times New Roman" w:hAnsi="Times New Roman" w:cs="Times New Roman"/>
          <w:sz w:val="24"/>
        </w:rPr>
        <w:t>ks from these metals in</w:t>
      </w:r>
      <w:r>
        <w:rPr>
          <w:rFonts w:ascii="Times New Roman" w:hAnsi="Times New Roman" w:cs="Times New Roman"/>
          <w:sz w:val="24"/>
        </w:rPr>
        <w:t xml:space="preserve"> water.</w:t>
      </w:r>
    </w:p>
    <w:p w14:paraId="01E75344" w14:textId="77777777" w:rsidR="00E04257" w:rsidRPr="00707D58" w:rsidRDefault="00E04257" w:rsidP="005D1F7D">
      <w:pPr>
        <w:spacing w:line="360" w:lineRule="auto"/>
        <w:jc w:val="both"/>
        <w:rPr>
          <w:rFonts w:ascii="Times New Roman" w:hAnsi="Times New Roman" w:cs="Times New Roman"/>
          <w:sz w:val="24"/>
          <w:vertAlign w:val="superscript"/>
        </w:rPr>
      </w:pPr>
      <w:r>
        <w:rPr>
          <w:rFonts w:ascii="Times New Roman" w:hAnsi="Times New Roman" w:cs="Times New Roman"/>
          <w:sz w:val="24"/>
        </w:rPr>
        <w:lastRenderedPageBreak/>
        <w:t xml:space="preserve">The Carcinogenic Risk (CR) is used to estimate the probability of an individual developing cancer as a result of long-term exposure to carcinogenic substances. This risk is typically expressed as a probability of developing cancer over a lifetime (from exposure at a dose level). The U.S. Environmental Protection Agency (EPA) considers a CR value above 1×10 </w:t>
      </w:r>
      <w:r>
        <w:rPr>
          <w:rFonts w:ascii="Times New Roman" w:hAnsi="Times New Roman" w:cs="Times New Roman"/>
          <w:sz w:val="24"/>
          <w:vertAlign w:val="superscript"/>
        </w:rPr>
        <w:t xml:space="preserve">−6 </w:t>
      </w:r>
      <w:r>
        <w:rPr>
          <w:rFonts w:ascii="Times New Roman" w:hAnsi="Times New Roman" w:cs="Times New Roman"/>
          <w:sz w:val="24"/>
        </w:rPr>
        <w:t>as significant, suggesting a potential risk for cancer. For ingestion, chromium (CR = 0.0256), lead (CR = 0.0109), and nickel (CR = 0.0209) presented CR values exceeding this threshold, indicating a non-negligible carcinogenic risk from ingestion of produced water contaminated with these metals. These metals are classified as either probable or possible human carcinogens, and their presence in the water raises concerns regarding public health, especially for those exposed to high levels over extended periods.</w:t>
      </w:r>
      <w:r>
        <w:rPr>
          <w:rFonts w:ascii="Times New Roman" w:hAnsi="Times New Roman" w:cs="Times New Roman"/>
          <w:sz w:val="24"/>
          <w:vertAlign w:val="superscript"/>
        </w:rPr>
        <w:t xml:space="preserve"> </w:t>
      </w:r>
      <w:r>
        <w:rPr>
          <w:rFonts w:ascii="Times New Roman" w:hAnsi="Times New Roman" w:cs="Times New Roman"/>
          <w:sz w:val="24"/>
        </w:rPr>
        <w:t xml:space="preserve">For dermal exposure, the CR values were notably lower compared to ingestion, with all metals showing CR values well below 1×10 </w:t>
      </w:r>
      <w:r>
        <w:rPr>
          <w:rFonts w:ascii="Times New Roman" w:hAnsi="Times New Roman" w:cs="Times New Roman"/>
          <w:sz w:val="24"/>
          <w:vertAlign w:val="superscript"/>
        </w:rPr>
        <w:t>−</w:t>
      </w:r>
      <w:proofErr w:type="gramStart"/>
      <w:r>
        <w:rPr>
          <w:rFonts w:ascii="Times New Roman" w:hAnsi="Times New Roman" w:cs="Times New Roman"/>
          <w:sz w:val="24"/>
          <w:vertAlign w:val="superscript"/>
        </w:rPr>
        <w:t>6</w:t>
      </w:r>
      <w:r>
        <w:rPr>
          <w:rFonts w:ascii="Times New Roman" w:hAnsi="Times New Roman" w:cs="Times New Roman"/>
          <w:sz w:val="24"/>
        </w:rPr>
        <w:t xml:space="preserve"> ,</w:t>
      </w:r>
      <w:proofErr w:type="gramEnd"/>
      <w:r>
        <w:rPr>
          <w:rFonts w:ascii="Times New Roman" w:hAnsi="Times New Roman" w:cs="Times New Roman"/>
          <w:sz w:val="24"/>
        </w:rPr>
        <w:t xml:space="preserve"> implying that dermal exposure does not pose a significant cancer risk from the metals found in the produced water. This further highlights the relatively low impact of dermal absorption in comparison to ingestion, which is the primary route of concern for carcinogenic risk.</w:t>
      </w:r>
      <w:r w:rsidR="00707D58">
        <w:rPr>
          <w:rFonts w:ascii="Times New Roman" w:hAnsi="Times New Roman" w:cs="Times New Roman"/>
          <w:sz w:val="24"/>
          <w:vertAlign w:val="superscript"/>
        </w:rPr>
        <w:t xml:space="preserve"> </w:t>
      </w:r>
      <w:r>
        <w:rPr>
          <w:rFonts w:ascii="Times New Roman" w:hAnsi="Times New Roman" w:cs="Times New Roman"/>
          <w:sz w:val="24"/>
        </w:rPr>
        <w:t>The dermal pathway does not pose an immediate significant risk, as indicated by the low HQ and CR values for skin exposure. However, it remains essential to consider the potential cumulative exposure in case of frequent and prolonged contact, particularly for sensitive groups like children or those working in the water handling industry.</w:t>
      </w:r>
    </w:p>
    <w:p w14:paraId="2271FC1F" w14:textId="77777777" w:rsidR="00E04257" w:rsidRDefault="004A60A8" w:rsidP="005D1F7D">
      <w:pPr>
        <w:spacing w:line="360" w:lineRule="auto"/>
        <w:jc w:val="both"/>
        <w:rPr>
          <w:rFonts w:ascii="Times New Roman" w:hAnsi="Times New Roman" w:cs="Times New Roman"/>
          <w:b/>
          <w:sz w:val="24"/>
        </w:rPr>
      </w:pPr>
      <w:r>
        <w:rPr>
          <w:rFonts w:ascii="Times New Roman" w:hAnsi="Times New Roman" w:cs="Times New Roman"/>
          <w:b/>
          <w:sz w:val="24"/>
        </w:rPr>
        <w:t>3.5</w:t>
      </w:r>
      <w:r w:rsidR="00E04257">
        <w:rPr>
          <w:rFonts w:ascii="Times New Roman" w:hAnsi="Times New Roman" w:cs="Times New Roman"/>
          <w:b/>
          <w:sz w:val="24"/>
        </w:rPr>
        <w:t xml:space="preserve"> Risk assessment of TPH</w:t>
      </w:r>
    </w:p>
    <w:p w14:paraId="09E1EF62" w14:textId="77777777" w:rsidR="00E04257" w:rsidRDefault="004A60A8" w:rsidP="005D1F7D">
      <w:pPr>
        <w:spacing w:line="360" w:lineRule="auto"/>
        <w:jc w:val="both"/>
        <w:rPr>
          <w:rFonts w:ascii="Times New Roman" w:hAnsi="Times New Roman" w:cs="Times New Roman"/>
          <w:b/>
          <w:sz w:val="24"/>
        </w:rPr>
      </w:pPr>
      <w:r>
        <w:rPr>
          <w:rFonts w:ascii="Times New Roman" w:hAnsi="Times New Roman" w:cs="Times New Roman"/>
          <w:b/>
          <w:sz w:val="24"/>
        </w:rPr>
        <w:t>Table 8</w:t>
      </w:r>
      <w:r w:rsidR="00E04257">
        <w:rPr>
          <w:rFonts w:ascii="Times New Roman" w:hAnsi="Times New Roman" w:cs="Times New Roman"/>
          <w:b/>
          <w:sz w:val="24"/>
        </w:rPr>
        <w:t>: Risk assessment of TPH of soil</w:t>
      </w:r>
    </w:p>
    <w:tbl>
      <w:tblPr>
        <w:tblW w:w="0" w:type="auto"/>
        <w:jc w:val="center"/>
        <w:tblCellSpacing w:w="15" w:type="dxa"/>
        <w:tblBorders>
          <w:top w:val="single" w:sz="4" w:space="0" w:color="auto"/>
          <w:bottom w:val="single" w:sz="4" w:space="0" w:color="auto"/>
        </w:tblBorders>
        <w:tblLook w:val="04A0" w:firstRow="1" w:lastRow="0" w:firstColumn="1" w:lastColumn="0" w:noHBand="0" w:noVBand="1"/>
      </w:tblPr>
      <w:tblGrid>
        <w:gridCol w:w="2223"/>
        <w:gridCol w:w="2236"/>
        <w:gridCol w:w="3053"/>
        <w:gridCol w:w="1848"/>
      </w:tblGrid>
      <w:tr w:rsidR="00E04257" w14:paraId="7888E6F8" w14:textId="77777777" w:rsidTr="00E04257">
        <w:trPr>
          <w:tblHeader/>
          <w:tblCellSpacing w:w="15" w:type="dxa"/>
          <w:jc w:val="center"/>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3BA93CF9"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Hydrocarbon Fraction</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694E30A"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Concentration (mg/kg)</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78D6D484"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Reference Dose (</w:t>
            </w:r>
            <w:proofErr w:type="spellStart"/>
            <w:r>
              <w:rPr>
                <w:rFonts w:ascii="Times New Roman" w:hAnsi="Times New Roman" w:cs="Times New Roman"/>
                <w:b/>
                <w:bCs/>
                <w:sz w:val="24"/>
              </w:rPr>
              <w:t>RfD</w:t>
            </w:r>
            <w:proofErr w:type="spellEnd"/>
            <w:r>
              <w:rPr>
                <w:rFonts w:ascii="Times New Roman" w:hAnsi="Times New Roman" w:cs="Times New Roman"/>
                <w:b/>
                <w:bCs/>
                <w:sz w:val="24"/>
              </w:rPr>
              <w:t>, mg/kg/day)</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4A3BCA5"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 xml:space="preserve">Risk Contribution </w:t>
            </w:r>
          </w:p>
        </w:tc>
      </w:tr>
      <w:tr w:rsidR="00E04257" w14:paraId="074BB897" w14:textId="77777777" w:rsidTr="00E0425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3711C0EA"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10</w:t>
            </w:r>
            <w:r>
              <w:rPr>
                <w:rFonts w:ascii="Times New Roman" w:hAnsi="Times New Roman" w:cs="Times New Roman"/>
                <w:sz w:val="24"/>
              </w:rPr>
              <w:t>-C</w:t>
            </w:r>
            <w:r>
              <w:rPr>
                <w:rFonts w:ascii="Times New Roman" w:hAnsi="Times New Roman" w:cs="Times New Roman"/>
                <w:sz w:val="24"/>
                <w:vertAlign w:val="subscript"/>
              </w:rPr>
              <w:t>12</w:t>
            </w:r>
          </w:p>
        </w:tc>
        <w:tc>
          <w:tcPr>
            <w:tcW w:w="0" w:type="auto"/>
            <w:tcBorders>
              <w:top w:val="nil"/>
              <w:left w:val="nil"/>
              <w:bottom w:val="nil"/>
              <w:right w:val="nil"/>
            </w:tcBorders>
            <w:tcMar>
              <w:top w:w="15" w:type="dxa"/>
              <w:left w:w="15" w:type="dxa"/>
              <w:bottom w:w="15" w:type="dxa"/>
              <w:right w:w="15" w:type="dxa"/>
            </w:tcMar>
            <w:vAlign w:val="center"/>
            <w:hideMark/>
          </w:tcPr>
          <w:p w14:paraId="3F229E8F"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18.3</w:t>
            </w:r>
          </w:p>
        </w:tc>
        <w:tc>
          <w:tcPr>
            <w:tcW w:w="0" w:type="auto"/>
            <w:tcBorders>
              <w:top w:val="nil"/>
              <w:left w:val="nil"/>
              <w:bottom w:val="nil"/>
              <w:right w:val="nil"/>
            </w:tcBorders>
            <w:tcMar>
              <w:top w:w="15" w:type="dxa"/>
              <w:left w:w="15" w:type="dxa"/>
              <w:bottom w:w="15" w:type="dxa"/>
              <w:right w:w="15" w:type="dxa"/>
            </w:tcMar>
            <w:vAlign w:val="center"/>
            <w:hideMark/>
          </w:tcPr>
          <w:p w14:paraId="2E29ADB7"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0.0008</w:t>
            </w:r>
          </w:p>
        </w:tc>
        <w:tc>
          <w:tcPr>
            <w:tcW w:w="0" w:type="auto"/>
            <w:tcBorders>
              <w:top w:val="nil"/>
              <w:left w:val="nil"/>
              <w:bottom w:val="nil"/>
              <w:right w:val="nil"/>
            </w:tcBorders>
            <w:tcMar>
              <w:top w:w="15" w:type="dxa"/>
              <w:left w:w="15" w:type="dxa"/>
              <w:bottom w:w="15" w:type="dxa"/>
              <w:right w:w="15" w:type="dxa"/>
            </w:tcMar>
            <w:vAlign w:val="center"/>
            <w:hideMark/>
          </w:tcPr>
          <w:p w14:paraId="0FFA1030"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22,875</w:t>
            </w:r>
          </w:p>
        </w:tc>
      </w:tr>
      <w:tr w:rsidR="00E04257" w14:paraId="5079EBD5" w14:textId="77777777" w:rsidTr="00E0425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EF52057"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13</w:t>
            </w:r>
            <w:r>
              <w:rPr>
                <w:rFonts w:ascii="Times New Roman" w:hAnsi="Times New Roman" w:cs="Times New Roman"/>
                <w:sz w:val="24"/>
              </w:rPr>
              <w:t>-C</w:t>
            </w:r>
            <w:r>
              <w:rPr>
                <w:rFonts w:ascii="Times New Roman" w:hAnsi="Times New Roman" w:cs="Times New Roman"/>
                <w:sz w:val="24"/>
                <w:vertAlign w:val="subscript"/>
              </w:rPr>
              <w:t>16</w:t>
            </w:r>
          </w:p>
        </w:tc>
        <w:tc>
          <w:tcPr>
            <w:tcW w:w="0" w:type="auto"/>
            <w:tcBorders>
              <w:top w:val="nil"/>
              <w:left w:val="nil"/>
              <w:bottom w:val="nil"/>
              <w:right w:val="nil"/>
            </w:tcBorders>
            <w:tcMar>
              <w:top w:w="15" w:type="dxa"/>
              <w:left w:w="15" w:type="dxa"/>
              <w:bottom w:w="15" w:type="dxa"/>
              <w:right w:w="15" w:type="dxa"/>
            </w:tcMar>
            <w:vAlign w:val="center"/>
            <w:hideMark/>
          </w:tcPr>
          <w:p w14:paraId="1CE69F3F"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45.6</w:t>
            </w:r>
          </w:p>
        </w:tc>
        <w:tc>
          <w:tcPr>
            <w:tcW w:w="0" w:type="auto"/>
            <w:tcBorders>
              <w:top w:val="nil"/>
              <w:left w:val="nil"/>
              <w:bottom w:val="nil"/>
              <w:right w:val="nil"/>
            </w:tcBorders>
            <w:tcMar>
              <w:top w:w="15" w:type="dxa"/>
              <w:left w:w="15" w:type="dxa"/>
              <w:bottom w:w="15" w:type="dxa"/>
              <w:right w:w="15" w:type="dxa"/>
            </w:tcMar>
            <w:vAlign w:val="center"/>
            <w:hideMark/>
          </w:tcPr>
          <w:p w14:paraId="5677EE41"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0.0005</w:t>
            </w:r>
          </w:p>
        </w:tc>
        <w:tc>
          <w:tcPr>
            <w:tcW w:w="0" w:type="auto"/>
            <w:tcBorders>
              <w:top w:val="nil"/>
              <w:left w:val="nil"/>
              <w:bottom w:val="nil"/>
              <w:right w:val="nil"/>
            </w:tcBorders>
            <w:tcMar>
              <w:top w:w="15" w:type="dxa"/>
              <w:left w:w="15" w:type="dxa"/>
              <w:bottom w:w="15" w:type="dxa"/>
              <w:right w:w="15" w:type="dxa"/>
            </w:tcMar>
            <w:vAlign w:val="center"/>
            <w:hideMark/>
          </w:tcPr>
          <w:p w14:paraId="51FC208F"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91,200</w:t>
            </w:r>
          </w:p>
        </w:tc>
      </w:tr>
      <w:tr w:rsidR="00E04257" w14:paraId="6D9469D9" w14:textId="77777777" w:rsidTr="00E0425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0593B12"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17</w:t>
            </w:r>
            <w:r>
              <w:rPr>
                <w:rFonts w:ascii="Times New Roman" w:hAnsi="Times New Roman" w:cs="Times New Roman"/>
                <w:sz w:val="24"/>
              </w:rPr>
              <w:t>-C</w:t>
            </w:r>
            <w:r>
              <w:rPr>
                <w:rFonts w:ascii="Times New Roman" w:hAnsi="Times New Roman" w:cs="Times New Roman"/>
                <w:sz w:val="24"/>
                <w:vertAlign w:val="subscript"/>
              </w:rPr>
              <w:t>20</w:t>
            </w:r>
          </w:p>
        </w:tc>
        <w:tc>
          <w:tcPr>
            <w:tcW w:w="0" w:type="auto"/>
            <w:tcBorders>
              <w:top w:val="nil"/>
              <w:left w:val="nil"/>
              <w:bottom w:val="nil"/>
              <w:right w:val="nil"/>
            </w:tcBorders>
            <w:tcMar>
              <w:top w:w="15" w:type="dxa"/>
              <w:left w:w="15" w:type="dxa"/>
              <w:bottom w:w="15" w:type="dxa"/>
              <w:right w:w="15" w:type="dxa"/>
            </w:tcMar>
            <w:vAlign w:val="center"/>
            <w:hideMark/>
          </w:tcPr>
          <w:p w14:paraId="2A3C0293"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38.0</w:t>
            </w:r>
          </w:p>
        </w:tc>
        <w:tc>
          <w:tcPr>
            <w:tcW w:w="0" w:type="auto"/>
            <w:tcBorders>
              <w:top w:val="nil"/>
              <w:left w:val="nil"/>
              <w:bottom w:val="nil"/>
              <w:right w:val="nil"/>
            </w:tcBorders>
            <w:tcMar>
              <w:top w:w="15" w:type="dxa"/>
              <w:left w:w="15" w:type="dxa"/>
              <w:bottom w:w="15" w:type="dxa"/>
              <w:right w:w="15" w:type="dxa"/>
            </w:tcMar>
            <w:vAlign w:val="center"/>
            <w:hideMark/>
          </w:tcPr>
          <w:p w14:paraId="5B3B7D92"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0.0003</w:t>
            </w:r>
          </w:p>
        </w:tc>
        <w:tc>
          <w:tcPr>
            <w:tcW w:w="0" w:type="auto"/>
            <w:tcBorders>
              <w:top w:val="nil"/>
              <w:left w:val="nil"/>
              <w:bottom w:val="nil"/>
              <w:right w:val="nil"/>
            </w:tcBorders>
            <w:tcMar>
              <w:top w:w="15" w:type="dxa"/>
              <w:left w:w="15" w:type="dxa"/>
              <w:bottom w:w="15" w:type="dxa"/>
              <w:right w:w="15" w:type="dxa"/>
            </w:tcMar>
            <w:vAlign w:val="center"/>
            <w:hideMark/>
          </w:tcPr>
          <w:p w14:paraId="144D1E69"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126,666.67</w:t>
            </w:r>
          </w:p>
        </w:tc>
      </w:tr>
      <w:tr w:rsidR="00E04257" w14:paraId="19C2F7D6" w14:textId="77777777" w:rsidTr="00E0425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1ADA383"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21</w:t>
            </w:r>
            <w:r>
              <w:rPr>
                <w:rFonts w:ascii="Times New Roman" w:hAnsi="Times New Roman" w:cs="Times New Roman"/>
                <w:sz w:val="24"/>
              </w:rPr>
              <w:t>-C</w:t>
            </w:r>
            <w:r>
              <w:rPr>
                <w:rFonts w:ascii="Times New Roman" w:hAnsi="Times New Roman" w:cs="Times New Roman"/>
                <w:sz w:val="24"/>
                <w:vertAlign w:val="subscript"/>
              </w:rPr>
              <w:t>24</w:t>
            </w:r>
          </w:p>
        </w:tc>
        <w:tc>
          <w:tcPr>
            <w:tcW w:w="0" w:type="auto"/>
            <w:tcBorders>
              <w:top w:val="nil"/>
              <w:left w:val="nil"/>
              <w:bottom w:val="nil"/>
              <w:right w:val="nil"/>
            </w:tcBorders>
            <w:tcMar>
              <w:top w:w="15" w:type="dxa"/>
              <w:left w:w="15" w:type="dxa"/>
              <w:bottom w:w="15" w:type="dxa"/>
              <w:right w:w="15" w:type="dxa"/>
            </w:tcMar>
            <w:vAlign w:val="center"/>
            <w:hideMark/>
          </w:tcPr>
          <w:p w14:paraId="2D66D832"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23.6</w:t>
            </w:r>
          </w:p>
        </w:tc>
        <w:tc>
          <w:tcPr>
            <w:tcW w:w="0" w:type="auto"/>
            <w:tcBorders>
              <w:top w:val="nil"/>
              <w:left w:val="nil"/>
              <w:bottom w:val="nil"/>
              <w:right w:val="nil"/>
            </w:tcBorders>
            <w:tcMar>
              <w:top w:w="15" w:type="dxa"/>
              <w:left w:w="15" w:type="dxa"/>
              <w:bottom w:w="15" w:type="dxa"/>
              <w:right w:w="15" w:type="dxa"/>
            </w:tcMar>
            <w:vAlign w:val="center"/>
            <w:hideMark/>
          </w:tcPr>
          <w:p w14:paraId="5D80B687"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0.0002</w:t>
            </w:r>
          </w:p>
        </w:tc>
        <w:tc>
          <w:tcPr>
            <w:tcW w:w="0" w:type="auto"/>
            <w:tcBorders>
              <w:top w:val="nil"/>
              <w:left w:val="nil"/>
              <w:bottom w:val="nil"/>
              <w:right w:val="nil"/>
            </w:tcBorders>
            <w:tcMar>
              <w:top w:w="15" w:type="dxa"/>
              <w:left w:w="15" w:type="dxa"/>
              <w:bottom w:w="15" w:type="dxa"/>
              <w:right w:w="15" w:type="dxa"/>
            </w:tcMar>
            <w:vAlign w:val="center"/>
            <w:hideMark/>
          </w:tcPr>
          <w:p w14:paraId="2DE73402"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118,000</w:t>
            </w:r>
          </w:p>
        </w:tc>
      </w:tr>
      <w:tr w:rsidR="00E04257" w14:paraId="3E5FE2A2" w14:textId="77777777" w:rsidTr="00E04257">
        <w:trPr>
          <w:tblCellSpacing w:w="15" w:type="dxa"/>
          <w:jc w:val="center"/>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7AA8EAD"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25</w:t>
            </w:r>
            <w:r>
              <w:rPr>
                <w:rFonts w:ascii="Times New Roman" w:hAnsi="Times New Roman" w:cs="Times New Roman"/>
                <w:sz w:val="24"/>
              </w:rPr>
              <w:t>-C</w:t>
            </w:r>
            <w:r>
              <w:rPr>
                <w:rFonts w:ascii="Times New Roman" w:hAnsi="Times New Roman" w:cs="Times New Roman"/>
                <w:sz w:val="24"/>
                <w:vertAlign w:val="subscript"/>
              </w:rPr>
              <w:t>30</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15307D0F"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12.8</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003A65BF"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0.0001</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B5DF3D4"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128,000</w:t>
            </w:r>
          </w:p>
        </w:tc>
      </w:tr>
      <w:tr w:rsidR="00E04257" w14:paraId="0ACBB268" w14:textId="77777777" w:rsidTr="00E0425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F86482D"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Total TPH Risk</w:t>
            </w:r>
          </w:p>
        </w:tc>
        <w:tc>
          <w:tcPr>
            <w:tcW w:w="0" w:type="auto"/>
            <w:tcBorders>
              <w:top w:val="nil"/>
              <w:left w:val="nil"/>
              <w:bottom w:val="nil"/>
              <w:right w:val="nil"/>
            </w:tcBorders>
            <w:tcMar>
              <w:top w:w="15" w:type="dxa"/>
              <w:left w:w="15" w:type="dxa"/>
              <w:bottom w:w="15" w:type="dxa"/>
              <w:right w:w="15" w:type="dxa"/>
            </w:tcMar>
            <w:vAlign w:val="center"/>
            <w:hideMark/>
          </w:tcPr>
          <w:p w14:paraId="5D8BD2B1"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w:t>
            </w:r>
          </w:p>
        </w:tc>
        <w:tc>
          <w:tcPr>
            <w:tcW w:w="0" w:type="auto"/>
            <w:tcBorders>
              <w:top w:val="nil"/>
              <w:left w:val="nil"/>
              <w:bottom w:val="nil"/>
              <w:right w:val="nil"/>
            </w:tcBorders>
            <w:tcMar>
              <w:top w:w="15" w:type="dxa"/>
              <w:left w:w="15" w:type="dxa"/>
              <w:bottom w:w="15" w:type="dxa"/>
              <w:right w:w="15" w:type="dxa"/>
            </w:tcMar>
            <w:vAlign w:val="center"/>
            <w:hideMark/>
          </w:tcPr>
          <w:p w14:paraId="581EC351"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w:t>
            </w:r>
          </w:p>
        </w:tc>
        <w:tc>
          <w:tcPr>
            <w:tcW w:w="0" w:type="auto"/>
            <w:tcBorders>
              <w:top w:val="nil"/>
              <w:left w:val="nil"/>
              <w:bottom w:val="nil"/>
              <w:right w:val="nil"/>
            </w:tcBorders>
            <w:tcMar>
              <w:top w:w="15" w:type="dxa"/>
              <w:left w:w="15" w:type="dxa"/>
              <w:bottom w:w="15" w:type="dxa"/>
              <w:right w:w="15" w:type="dxa"/>
            </w:tcMar>
            <w:vAlign w:val="center"/>
            <w:hideMark/>
          </w:tcPr>
          <w:p w14:paraId="2F37CD4C"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486,741.67</w:t>
            </w:r>
          </w:p>
        </w:tc>
      </w:tr>
    </w:tbl>
    <w:p w14:paraId="4387F26F" w14:textId="697287C7"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 xml:space="preserve">The risk assessment for the Total Petroleum Hydrocarbon (TPH) content in the soil reveals a significant cumulative risk value of 486,741.67, with the highest contributions arising from the </w:t>
      </w:r>
      <w:r>
        <w:rPr>
          <w:rFonts w:ascii="Times New Roman" w:hAnsi="Times New Roman" w:cs="Times New Roman"/>
          <w:sz w:val="24"/>
        </w:rPr>
        <w:lastRenderedPageBreak/>
        <w:t>heavier hydrocarbon fractions, particularly C</w:t>
      </w:r>
      <w:r>
        <w:rPr>
          <w:rFonts w:ascii="Times New Roman" w:hAnsi="Times New Roman" w:cs="Times New Roman"/>
          <w:sz w:val="24"/>
          <w:vertAlign w:val="subscript"/>
        </w:rPr>
        <w:t>25</w:t>
      </w:r>
      <w:r>
        <w:rPr>
          <w:rFonts w:ascii="Times New Roman" w:hAnsi="Times New Roman" w:cs="Times New Roman"/>
          <w:sz w:val="24"/>
        </w:rPr>
        <w:t>-C</w:t>
      </w:r>
      <w:r>
        <w:rPr>
          <w:rFonts w:ascii="Times New Roman" w:hAnsi="Times New Roman" w:cs="Times New Roman"/>
          <w:sz w:val="24"/>
          <w:vertAlign w:val="subscript"/>
        </w:rPr>
        <w:t>30</w:t>
      </w:r>
      <w:r>
        <w:rPr>
          <w:rFonts w:ascii="Times New Roman" w:hAnsi="Times New Roman" w:cs="Times New Roman"/>
          <w:sz w:val="24"/>
        </w:rPr>
        <w:t xml:space="preserve"> (128,000) and C</w:t>
      </w:r>
      <w:r>
        <w:rPr>
          <w:rFonts w:ascii="Times New Roman" w:hAnsi="Times New Roman" w:cs="Times New Roman"/>
          <w:sz w:val="24"/>
          <w:vertAlign w:val="subscript"/>
        </w:rPr>
        <w:t>21</w:t>
      </w:r>
      <w:r>
        <w:rPr>
          <w:rFonts w:ascii="Times New Roman" w:hAnsi="Times New Roman" w:cs="Times New Roman"/>
          <w:sz w:val="24"/>
        </w:rPr>
        <w:t>-C</w:t>
      </w:r>
      <w:r>
        <w:rPr>
          <w:rFonts w:ascii="Times New Roman" w:hAnsi="Times New Roman" w:cs="Times New Roman"/>
          <w:sz w:val="24"/>
          <w:vertAlign w:val="subscript"/>
        </w:rPr>
        <w:t>24</w:t>
      </w:r>
      <w:r>
        <w:rPr>
          <w:rFonts w:ascii="Times New Roman" w:hAnsi="Times New Roman" w:cs="Times New Roman"/>
          <w:sz w:val="24"/>
        </w:rPr>
        <w:t xml:space="preserve"> (118,000). These fractions, characterized by higher molecular weights and lower reference doses, are known to exhibit prolonged persistence in the environment, which amplifies their potential ecological and health risks. The findings highlight the need for targeted remediation strategies in areas contaminated by hydrocarbons, focusing on the fractions with the greatest risk contributions. The elevated risk values indicate that long-term exposure to such contaminants could pose significant health hazards to humans and ecosystems, especially in areas where petroleum-derived products a</w:t>
      </w:r>
      <w:r w:rsidR="004A60A8">
        <w:rPr>
          <w:rFonts w:ascii="Times New Roman" w:hAnsi="Times New Roman" w:cs="Times New Roman"/>
          <w:sz w:val="24"/>
        </w:rPr>
        <w:t xml:space="preserve">re heavily utilized or spilled. </w:t>
      </w:r>
      <w:r>
        <w:rPr>
          <w:rFonts w:ascii="Times New Roman" w:hAnsi="Times New Roman" w:cs="Times New Roman"/>
          <w:sz w:val="24"/>
        </w:rPr>
        <w:t xml:space="preserve">When compared to other studies, the observed TPH risk is consistent with findings in industrial and oil spill sites. </w:t>
      </w:r>
      <w:proofErr w:type="spellStart"/>
      <w:r w:rsidR="009F586C" w:rsidRPr="00447A31">
        <w:rPr>
          <w:rFonts w:ascii="Times New Roman" w:hAnsi="Times New Roman" w:cs="Times New Roman"/>
          <w:sz w:val="24"/>
          <w:szCs w:val="24"/>
          <w:highlight w:val="yellow"/>
        </w:rPr>
        <w:t>Ezeani</w:t>
      </w:r>
      <w:proofErr w:type="spellEnd"/>
      <w:r w:rsidRPr="00447A31">
        <w:rPr>
          <w:rFonts w:ascii="Times New Roman" w:hAnsi="Times New Roman" w:cs="Times New Roman"/>
          <w:sz w:val="24"/>
          <w:highlight w:val="yellow"/>
        </w:rPr>
        <w:t xml:space="preserve"> </w:t>
      </w:r>
      <w:r w:rsidR="00447A31" w:rsidRPr="00447A31">
        <w:rPr>
          <w:rFonts w:ascii="Times New Roman" w:hAnsi="Times New Roman" w:cs="Times New Roman"/>
          <w:sz w:val="24"/>
          <w:highlight w:val="yellow"/>
        </w:rPr>
        <w:t>et al., (2022</w:t>
      </w:r>
      <w:r w:rsidRPr="00447A31">
        <w:rPr>
          <w:rFonts w:ascii="Times New Roman" w:hAnsi="Times New Roman" w:cs="Times New Roman"/>
          <w:sz w:val="24"/>
          <w:highlight w:val="yellow"/>
        </w:rPr>
        <w:t>)</w:t>
      </w:r>
      <w:r>
        <w:rPr>
          <w:rFonts w:ascii="Times New Roman" w:hAnsi="Times New Roman" w:cs="Times New Roman"/>
          <w:sz w:val="24"/>
        </w:rPr>
        <w:t xml:space="preserve"> reported a total TPH risk of 350,000 in oil-contaminated soils in Niger Delta, Nigeria, emphasizing the dominance of heavier fractions (C</w:t>
      </w:r>
      <w:r w:rsidRPr="007E71CB">
        <w:rPr>
          <w:rFonts w:ascii="Times New Roman" w:hAnsi="Times New Roman" w:cs="Times New Roman"/>
          <w:sz w:val="24"/>
          <w:vertAlign w:val="subscript"/>
        </w:rPr>
        <w:t>21</w:t>
      </w:r>
      <w:r>
        <w:rPr>
          <w:rFonts w:ascii="Times New Roman" w:hAnsi="Times New Roman" w:cs="Times New Roman"/>
          <w:sz w:val="24"/>
        </w:rPr>
        <w:t>-C</w:t>
      </w:r>
      <w:r w:rsidRPr="007E71CB">
        <w:rPr>
          <w:rFonts w:ascii="Times New Roman" w:hAnsi="Times New Roman" w:cs="Times New Roman"/>
          <w:sz w:val="24"/>
          <w:vertAlign w:val="subscript"/>
        </w:rPr>
        <w:t>30</w:t>
      </w:r>
      <w:r>
        <w:rPr>
          <w:rFonts w:ascii="Times New Roman" w:hAnsi="Times New Roman" w:cs="Times New Roman"/>
          <w:sz w:val="24"/>
        </w:rPr>
        <w:t xml:space="preserve">) in contributing to risk. In contrast, </w:t>
      </w:r>
      <w:r w:rsidR="00447A31" w:rsidRPr="00B40AF5">
        <w:rPr>
          <w:rFonts w:ascii="Times New Roman" w:hAnsi="Times New Roman" w:cs="Times New Roman"/>
          <w:sz w:val="24"/>
          <w:highlight w:val="yellow"/>
        </w:rPr>
        <w:t>James and Douglas</w:t>
      </w:r>
      <w:r w:rsidR="006F73B4" w:rsidRPr="00B40AF5">
        <w:rPr>
          <w:rFonts w:ascii="Times New Roman" w:hAnsi="Times New Roman" w:cs="Times New Roman"/>
          <w:sz w:val="24"/>
          <w:highlight w:val="yellow"/>
        </w:rPr>
        <w:t xml:space="preserve"> (2023</w:t>
      </w:r>
      <w:r w:rsidRPr="00B40AF5">
        <w:rPr>
          <w:rFonts w:ascii="Times New Roman" w:hAnsi="Times New Roman" w:cs="Times New Roman"/>
          <w:sz w:val="24"/>
          <w:highlight w:val="yellow"/>
        </w:rPr>
        <w:t>)</w:t>
      </w:r>
      <w:r>
        <w:rPr>
          <w:rFonts w:ascii="Times New Roman" w:hAnsi="Times New Roman" w:cs="Times New Roman"/>
          <w:sz w:val="24"/>
        </w:rPr>
        <w:t xml:space="preserve"> observed a lower total risk of 150,000 in urban soils, reflecting the limited presence of heavy hydrocarbons in less industrialized environments. The higher TPH risk in this study aligns with findings from industrial and spill-prone regions, suggesting significant hydrocarbon contamination likely due to oil and petroleum handling practices. The high-risk values for the heavier fractions suggest bioaccumulation potential and possible adverse health effects, including carcinogenicity and toxicity, through exposure pathways such as direct contact, inhalation, and groundwater contamination. </w:t>
      </w:r>
    </w:p>
    <w:p w14:paraId="516C5E12" w14:textId="77777777" w:rsidR="00E04257" w:rsidRDefault="004A60A8" w:rsidP="005D1F7D">
      <w:pPr>
        <w:spacing w:line="360" w:lineRule="auto"/>
        <w:jc w:val="both"/>
        <w:rPr>
          <w:rFonts w:ascii="Times New Roman" w:hAnsi="Times New Roman" w:cs="Times New Roman"/>
          <w:b/>
          <w:sz w:val="24"/>
        </w:rPr>
      </w:pPr>
      <w:r>
        <w:rPr>
          <w:rFonts w:ascii="Times New Roman" w:hAnsi="Times New Roman" w:cs="Times New Roman"/>
          <w:b/>
          <w:sz w:val="24"/>
        </w:rPr>
        <w:t>3.6</w:t>
      </w:r>
      <w:r w:rsidR="00E04257">
        <w:rPr>
          <w:rFonts w:ascii="Times New Roman" w:hAnsi="Times New Roman" w:cs="Times New Roman"/>
          <w:b/>
          <w:sz w:val="24"/>
        </w:rPr>
        <w:t xml:space="preserve"> Risk assessment of TPH of produced water</w:t>
      </w:r>
    </w:p>
    <w:p w14:paraId="4561B8E6" w14:textId="77777777" w:rsidR="00E04257" w:rsidRDefault="004A60A8" w:rsidP="005D1F7D">
      <w:pPr>
        <w:spacing w:line="360" w:lineRule="auto"/>
        <w:jc w:val="both"/>
        <w:rPr>
          <w:rFonts w:ascii="Times New Roman" w:hAnsi="Times New Roman" w:cs="Times New Roman"/>
          <w:b/>
          <w:sz w:val="24"/>
        </w:rPr>
      </w:pPr>
      <w:r>
        <w:rPr>
          <w:rFonts w:ascii="Times New Roman" w:hAnsi="Times New Roman" w:cs="Times New Roman"/>
          <w:b/>
          <w:sz w:val="24"/>
        </w:rPr>
        <w:t>Table 9</w:t>
      </w:r>
      <w:r w:rsidR="00E04257">
        <w:rPr>
          <w:rFonts w:ascii="Times New Roman" w:hAnsi="Times New Roman" w:cs="Times New Roman"/>
          <w:b/>
          <w:sz w:val="24"/>
        </w:rPr>
        <w:t>: Risk asse</w:t>
      </w:r>
      <w:r w:rsidR="009D4C23">
        <w:rPr>
          <w:rFonts w:ascii="Times New Roman" w:hAnsi="Times New Roman" w:cs="Times New Roman"/>
          <w:b/>
          <w:sz w:val="24"/>
        </w:rPr>
        <w:t>ssment of TPH of</w:t>
      </w:r>
      <w:r w:rsidR="00E04257">
        <w:rPr>
          <w:rFonts w:ascii="Times New Roman" w:hAnsi="Times New Roman" w:cs="Times New Roman"/>
          <w:b/>
          <w:sz w:val="24"/>
        </w:rPr>
        <w:t xml:space="preserve"> water</w:t>
      </w:r>
    </w:p>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2239"/>
        <w:gridCol w:w="2173"/>
        <w:gridCol w:w="3091"/>
        <w:gridCol w:w="1857"/>
      </w:tblGrid>
      <w:tr w:rsidR="00E04257" w14:paraId="517C11AA" w14:textId="77777777" w:rsidTr="00E04257">
        <w:trPr>
          <w:tblHeade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0FF19A8"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Hydrocarbon Fraction</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5883485"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Concentration (mg/L)</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3553C123"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Reference Dose (</w:t>
            </w:r>
            <w:proofErr w:type="spellStart"/>
            <w:r>
              <w:rPr>
                <w:rFonts w:ascii="Times New Roman" w:hAnsi="Times New Roman" w:cs="Times New Roman"/>
                <w:b/>
                <w:bCs/>
                <w:sz w:val="24"/>
              </w:rPr>
              <w:t>RfD</w:t>
            </w:r>
            <w:proofErr w:type="spellEnd"/>
            <w:r>
              <w:rPr>
                <w:rFonts w:ascii="Times New Roman" w:hAnsi="Times New Roman" w:cs="Times New Roman"/>
                <w:b/>
                <w:bCs/>
                <w:sz w:val="24"/>
              </w:rPr>
              <w:t>, mg/kg/day)</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92527FD"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 xml:space="preserve">Risk Contribution </w:t>
            </w:r>
          </w:p>
        </w:tc>
      </w:tr>
      <w:tr w:rsidR="00E04257" w14:paraId="211886E6" w14:textId="77777777" w:rsidTr="00E0425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FBE9129"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10</w:t>
            </w:r>
            <w:r>
              <w:rPr>
                <w:rFonts w:ascii="Times New Roman" w:hAnsi="Times New Roman" w:cs="Times New Roman"/>
                <w:sz w:val="24"/>
              </w:rPr>
              <w:t>-C</w:t>
            </w:r>
            <w:r>
              <w:rPr>
                <w:rFonts w:ascii="Times New Roman" w:hAnsi="Times New Roman" w:cs="Times New Roman"/>
                <w:sz w:val="24"/>
                <w:vertAlign w:val="subscript"/>
              </w:rPr>
              <w:t>12</w:t>
            </w:r>
          </w:p>
        </w:tc>
        <w:tc>
          <w:tcPr>
            <w:tcW w:w="0" w:type="auto"/>
            <w:tcBorders>
              <w:top w:val="nil"/>
              <w:left w:val="nil"/>
              <w:bottom w:val="nil"/>
              <w:right w:val="nil"/>
            </w:tcBorders>
            <w:tcMar>
              <w:top w:w="15" w:type="dxa"/>
              <w:left w:w="15" w:type="dxa"/>
              <w:bottom w:w="15" w:type="dxa"/>
              <w:right w:w="15" w:type="dxa"/>
            </w:tcMar>
            <w:vAlign w:val="center"/>
            <w:hideMark/>
          </w:tcPr>
          <w:p w14:paraId="6CD382AC"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1.8</w:t>
            </w:r>
          </w:p>
        </w:tc>
        <w:tc>
          <w:tcPr>
            <w:tcW w:w="0" w:type="auto"/>
            <w:tcBorders>
              <w:top w:val="nil"/>
              <w:left w:val="nil"/>
              <w:bottom w:val="nil"/>
              <w:right w:val="nil"/>
            </w:tcBorders>
            <w:tcMar>
              <w:top w:w="15" w:type="dxa"/>
              <w:left w:w="15" w:type="dxa"/>
              <w:bottom w:w="15" w:type="dxa"/>
              <w:right w:w="15" w:type="dxa"/>
            </w:tcMar>
            <w:vAlign w:val="center"/>
            <w:hideMark/>
          </w:tcPr>
          <w:p w14:paraId="0948E3D8"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0.0008</w:t>
            </w:r>
          </w:p>
        </w:tc>
        <w:tc>
          <w:tcPr>
            <w:tcW w:w="0" w:type="auto"/>
            <w:tcBorders>
              <w:top w:val="nil"/>
              <w:left w:val="nil"/>
              <w:bottom w:val="nil"/>
              <w:right w:val="nil"/>
            </w:tcBorders>
            <w:tcMar>
              <w:top w:w="15" w:type="dxa"/>
              <w:left w:w="15" w:type="dxa"/>
              <w:bottom w:w="15" w:type="dxa"/>
              <w:right w:w="15" w:type="dxa"/>
            </w:tcMar>
            <w:vAlign w:val="center"/>
            <w:hideMark/>
          </w:tcPr>
          <w:p w14:paraId="4C59838D"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2,250</w:t>
            </w:r>
          </w:p>
        </w:tc>
      </w:tr>
      <w:tr w:rsidR="00E04257" w14:paraId="3FB9FCC2" w14:textId="77777777" w:rsidTr="00E0425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44FBF4C1"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13</w:t>
            </w:r>
            <w:r>
              <w:rPr>
                <w:rFonts w:ascii="Times New Roman" w:hAnsi="Times New Roman" w:cs="Times New Roman"/>
                <w:sz w:val="24"/>
              </w:rPr>
              <w:t>-C</w:t>
            </w:r>
            <w:r>
              <w:rPr>
                <w:rFonts w:ascii="Times New Roman" w:hAnsi="Times New Roman" w:cs="Times New Roman"/>
                <w:sz w:val="24"/>
                <w:vertAlign w:val="subscript"/>
              </w:rPr>
              <w:t>16</w:t>
            </w:r>
          </w:p>
        </w:tc>
        <w:tc>
          <w:tcPr>
            <w:tcW w:w="0" w:type="auto"/>
            <w:tcBorders>
              <w:top w:val="nil"/>
              <w:left w:val="nil"/>
              <w:bottom w:val="nil"/>
              <w:right w:val="nil"/>
            </w:tcBorders>
            <w:tcMar>
              <w:top w:w="15" w:type="dxa"/>
              <w:left w:w="15" w:type="dxa"/>
              <w:bottom w:w="15" w:type="dxa"/>
              <w:right w:w="15" w:type="dxa"/>
            </w:tcMar>
            <w:vAlign w:val="center"/>
            <w:hideMark/>
          </w:tcPr>
          <w:p w14:paraId="10E969BB"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4.5</w:t>
            </w:r>
          </w:p>
        </w:tc>
        <w:tc>
          <w:tcPr>
            <w:tcW w:w="0" w:type="auto"/>
            <w:tcBorders>
              <w:top w:val="nil"/>
              <w:left w:val="nil"/>
              <w:bottom w:val="nil"/>
              <w:right w:val="nil"/>
            </w:tcBorders>
            <w:tcMar>
              <w:top w:w="15" w:type="dxa"/>
              <w:left w:w="15" w:type="dxa"/>
              <w:bottom w:w="15" w:type="dxa"/>
              <w:right w:w="15" w:type="dxa"/>
            </w:tcMar>
            <w:vAlign w:val="center"/>
            <w:hideMark/>
          </w:tcPr>
          <w:p w14:paraId="6589E7B3"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0.0005</w:t>
            </w:r>
          </w:p>
        </w:tc>
        <w:tc>
          <w:tcPr>
            <w:tcW w:w="0" w:type="auto"/>
            <w:tcBorders>
              <w:top w:val="nil"/>
              <w:left w:val="nil"/>
              <w:bottom w:val="nil"/>
              <w:right w:val="nil"/>
            </w:tcBorders>
            <w:tcMar>
              <w:top w:w="15" w:type="dxa"/>
              <w:left w:w="15" w:type="dxa"/>
              <w:bottom w:w="15" w:type="dxa"/>
              <w:right w:w="15" w:type="dxa"/>
            </w:tcMar>
            <w:vAlign w:val="center"/>
            <w:hideMark/>
          </w:tcPr>
          <w:p w14:paraId="768AA3C7"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9,000</w:t>
            </w:r>
          </w:p>
        </w:tc>
      </w:tr>
      <w:tr w:rsidR="00E04257" w14:paraId="219A6D01" w14:textId="77777777" w:rsidTr="00E0425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D2274DE"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17</w:t>
            </w:r>
            <w:r>
              <w:rPr>
                <w:rFonts w:ascii="Times New Roman" w:hAnsi="Times New Roman" w:cs="Times New Roman"/>
                <w:sz w:val="24"/>
              </w:rPr>
              <w:t>-C</w:t>
            </w:r>
            <w:r>
              <w:rPr>
                <w:rFonts w:ascii="Times New Roman" w:hAnsi="Times New Roman" w:cs="Times New Roman"/>
                <w:sz w:val="24"/>
                <w:vertAlign w:val="subscript"/>
              </w:rPr>
              <w:t>20</w:t>
            </w:r>
          </w:p>
        </w:tc>
        <w:tc>
          <w:tcPr>
            <w:tcW w:w="0" w:type="auto"/>
            <w:tcBorders>
              <w:top w:val="nil"/>
              <w:left w:val="nil"/>
              <w:bottom w:val="nil"/>
              <w:right w:val="nil"/>
            </w:tcBorders>
            <w:tcMar>
              <w:top w:w="15" w:type="dxa"/>
              <w:left w:w="15" w:type="dxa"/>
              <w:bottom w:w="15" w:type="dxa"/>
              <w:right w:w="15" w:type="dxa"/>
            </w:tcMar>
            <w:vAlign w:val="center"/>
            <w:hideMark/>
          </w:tcPr>
          <w:p w14:paraId="0DEA530D"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3.9</w:t>
            </w:r>
          </w:p>
        </w:tc>
        <w:tc>
          <w:tcPr>
            <w:tcW w:w="0" w:type="auto"/>
            <w:tcBorders>
              <w:top w:val="nil"/>
              <w:left w:val="nil"/>
              <w:bottom w:val="nil"/>
              <w:right w:val="nil"/>
            </w:tcBorders>
            <w:tcMar>
              <w:top w:w="15" w:type="dxa"/>
              <w:left w:w="15" w:type="dxa"/>
              <w:bottom w:w="15" w:type="dxa"/>
              <w:right w:w="15" w:type="dxa"/>
            </w:tcMar>
            <w:vAlign w:val="center"/>
            <w:hideMark/>
          </w:tcPr>
          <w:p w14:paraId="7180CA80"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0.0003</w:t>
            </w:r>
          </w:p>
        </w:tc>
        <w:tc>
          <w:tcPr>
            <w:tcW w:w="0" w:type="auto"/>
            <w:tcBorders>
              <w:top w:val="nil"/>
              <w:left w:val="nil"/>
              <w:bottom w:val="nil"/>
              <w:right w:val="nil"/>
            </w:tcBorders>
            <w:tcMar>
              <w:top w:w="15" w:type="dxa"/>
              <w:left w:w="15" w:type="dxa"/>
              <w:bottom w:w="15" w:type="dxa"/>
              <w:right w:w="15" w:type="dxa"/>
            </w:tcMar>
            <w:vAlign w:val="center"/>
            <w:hideMark/>
          </w:tcPr>
          <w:p w14:paraId="74E573DA"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13,000</w:t>
            </w:r>
          </w:p>
        </w:tc>
      </w:tr>
      <w:tr w:rsidR="00E04257" w14:paraId="368CCB8A" w14:textId="77777777" w:rsidTr="00E0425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C548E1D"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21</w:t>
            </w:r>
            <w:r>
              <w:rPr>
                <w:rFonts w:ascii="Times New Roman" w:hAnsi="Times New Roman" w:cs="Times New Roman"/>
                <w:sz w:val="24"/>
              </w:rPr>
              <w:t>-C</w:t>
            </w:r>
            <w:r>
              <w:rPr>
                <w:rFonts w:ascii="Times New Roman" w:hAnsi="Times New Roman" w:cs="Times New Roman"/>
                <w:sz w:val="24"/>
                <w:vertAlign w:val="subscript"/>
              </w:rPr>
              <w:t>24</w:t>
            </w:r>
          </w:p>
        </w:tc>
        <w:tc>
          <w:tcPr>
            <w:tcW w:w="0" w:type="auto"/>
            <w:tcBorders>
              <w:top w:val="nil"/>
              <w:left w:val="nil"/>
              <w:bottom w:val="nil"/>
              <w:right w:val="nil"/>
            </w:tcBorders>
            <w:tcMar>
              <w:top w:w="15" w:type="dxa"/>
              <w:left w:w="15" w:type="dxa"/>
              <w:bottom w:w="15" w:type="dxa"/>
              <w:right w:w="15" w:type="dxa"/>
            </w:tcMar>
            <w:vAlign w:val="center"/>
            <w:hideMark/>
          </w:tcPr>
          <w:p w14:paraId="12DCC4B5"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2.5</w:t>
            </w:r>
          </w:p>
        </w:tc>
        <w:tc>
          <w:tcPr>
            <w:tcW w:w="0" w:type="auto"/>
            <w:tcBorders>
              <w:top w:val="nil"/>
              <w:left w:val="nil"/>
              <w:bottom w:val="nil"/>
              <w:right w:val="nil"/>
            </w:tcBorders>
            <w:tcMar>
              <w:top w:w="15" w:type="dxa"/>
              <w:left w:w="15" w:type="dxa"/>
              <w:bottom w:w="15" w:type="dxa"/>
              <w:right w:w="15" w:type="dxa"/>
            </w:tcMar>
            <w:vAlign w:val="center"/>
            <w:hideMark/>
          </w:tcPr>
          <w:p w14:paraId="3A7302E2"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0.0002</w:t>
            </w:r>
          </w:p>
        </w:tc>
        <w:tc>
          <w:tcPr>
            <w:tcW w:w="0" w:type="auto"/>
            <w:tcBorders>
              <w:top w:val="nil"/>
              <w:left w:val="nil"/>
              <w:bottom w:val="nil"/>
              <w:right w:val="nil"/>
            </w:tcBorders>
            <w:tcMar>
              <w:top w:w="15" w:type="dxa"/>
              <w:left w:w="15" w:type="dxa"/>
              <w:bottom w:w="15" w:type="dxa"/>
              <w:right w:w="15" w:type="dxa"/>
            </w:tcMar>
            <w:vAlign w:val="center"/>
            <w:hideMark/>
          </w:tcPr>
          <w:p w14:paraId="69427B9B"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12,500</w:t>
            </w:r>
          </w:p>
        </w:tc>
      </w:tr>
      <w:tr w:rsidR="00E04257" w14:paraId="338DCCC8" w14:textId="77777777" w:rsidTr="00E04257">
        <w:trP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2694BFE"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25</w:t>
            </w:r>
            <w:r>
              <w:rPr>
                <w:rFonts w:ascii="Times New Roman" w:hAnsi="Times New Roman" w:cs="Times New Roman"/>
                <w:sz w:val="24"/>
              </w:rPr>
              <w:t>-C</w:t>
            </w:r>
            <w:r>
              <w:rPr>
                <w:rFonts w:ascii="Times New Roman" w:hAnsi="Times New Roman" w:cs="Times New Roman"/>
                <w:sz w:val="24"/>
                <w:vertAlign w:val="subscript"/>
              </w:rPr>
              <w:t>30</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2C952777"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1.3</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7117D20D"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0.0001</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39E2240D"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13,000</w:t>
            </w:r>
          </w:p>
        </w:tc>
      </w:tr>
      <w:tr w:rsidR="00E04257" w14:paraId="51099B04" w14:textId="77777777" w:rsidTr="00E0425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1F5E820"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Total TPH Risk</w:t>
            </w:r>
          </w:p>
        </w:tc>
        <w:tc>
          <w:tcPr>
            <w:tcW w:w="0" w:type="auto"/>
            <w:tcBorders>
              <w:top w:val="nil"/>
              <w:left w:val="nil"/>
              <w:bottom w:val="nil"/>
              <w:right w:val="nil"/>
            </w:tcBorders>
            <w:tcMar>
              <w:top w:w="15" w:type="dxa"/>
              <w:left w:w="15" w:type="dxa"/>
              <w:bottom w:w="15" w:type="dxa"/>
              <w:right w:w="15" w:type="dxa"/>
            </w:tcMar>
            <w:vAlign w:val="center"/>
            <w:hideMark/>
          </w:tcPr>
          <w:p w14:paraId="31D6FACD"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w:t>
            </w:r>
          </w:p>
        </w:tc>
        <w:tc>
          <w:tcPr>
            <w:tcW w:w="0" w:type="auto"/>
            <w:tcBorders>
              <w:top w:val="nil"/>
              <w:left w:val="nil"/>
              <w:bottom w:val="nil"/>
              <w:right w:val="nil"/>
            </w:tcBorders>
            <w:tcMar>
              <w:top w:w="15" w:type="dxa"/>
              <w:left w:w="15" w:type="dxa"/>
              <w:bottom w:w="15" w:type="dxa"/>
              <w:right w:w="15" w:type="dxa"/>
            </w:tcMar>
            <w:vAlign w:val="center"/>
            <w:hideMark/>
          </w:tcPr>
          <w:p w14:paraId="1F6068E2"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w:t>
            </w:r>
          </w:p>
        </w:tc>
        <w:tc>
          <w:tcPr>
            <w:tcW w:w="0" w:type="auto"/>
            <w:tcBorders>
              <w:top w:val="nil"/>
              <w:left w:val="nil"/>
              <w:bottom w:val="nil"/>
              <w:right w:val="nil"/>
            </w:tcBorders>
            <w:tcMar>
              <w:top w:w="15" w:type="dxa"/>
              <w:left w:w="15" w:type="dxa"/>
              <w:bottom w:w="15" w:type="dxa"/>
              <w:right w:w="15" w:type="dxa"/>
            </w:tcMar>
            <w:vAlign w:val="center"/>
            <w:hideMark/>
          </w:tcPr>
          <w:p w14:paraId="50A47AD8"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49,750</w:t>
            </w:r>
          </w:p>
        </w:tc>
      </w:tr>
    </w:tbl>
    <w:p w14:paraId="788CCD87" w14:textId="77777777" w:rsidR="00E04257" w:rsidRDefault="00E04257" w:rsidP="005D1F7D">
      <w:pPr>
        <w:spacing w:line="360" w:lineRule="auto"/>
        <w:jc w:val="both"/>
        <w:rPr>
          <w:rFonts w:ascii="Times New Roman" w:hAnsi="Times New Roman" w:cs="Times New Roman"/>
          <w:sz w:val="24"/>
        </w:rPr>
      </w:pPr>
    </w:p>
    <w:p w14:paraId="4CB5B585" w14:textId="0CB0383C"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lastRenderedPageBreak/>
        <w:t>The risk assessment for Total Petroleum Hydrocarb</w:t>
      </w:r>
      <w:r w:rsidR="009D4C23">
        <w:rPr>
          <w:rFonts w:ascii="Times New Roman" w:hAnsi="Times New Roman" w:cs="Times New Roman"/>
          <w:sz w:val="24"/>
        </w:rPr>
        <w:t>on (TPH) content in the</w:t>
      </w:r>
      <w:r>
        <w:rPr>
          <w:rFonts w:ascii="Times New Roman" w:hAnsi="Times New Roman" w:cs="Times New Roman"/>
          <w:sz w:val="24"/>
        </w:rPr>
        <w:t xml:space="preserve"> water indicates a cumulative risk value of 49,750, significantly lower than the risks observed in soil samples. The contributions from different hydrocarbon fractions show that the heavier fractions, C</w:t>
      </w:r>
      <w:r>
        <w:rPr>
          <w:rFonts w:ascii="Times New Roman" w:hAnsi="Times New Roman" w:cs="Times New Roman"/>
          <w:sz w:val="24"/>
          <w:vertAlign w:val="subscript"/>
        </w:rPr>
        <w:t>25</w:t>
      </w:r>
      <w:r>
        <w:rPr>
          <w:rFonts w:ascii="Times New Roman" w:hAnsi="Times New Roman" w:cs="Times New Roman"/>
          <w:sz w:val="24"/>
        </w:rPr>
        <w:t>-C</w:t>
      </w:r>
      <w:r>
        <w:rPr>
          <w:rFonts w:ascii="Times New Roman" w:hAnsi="Times New Roman" w:cs="Times New Roman"/>
          <w:sz w:val="24"/>
          <w:vertAlign w:val="subscript"/>
        </w:rPr>
        <w:t>30</w:t>
      </w:r>
      <w:r>
        <w:rPr>
          <w:rFonts w:ascii="Times New Roman" w:hAnsi="Times New Roman" w:cs="Times New Roman"/>
          <w:sz w:val="24"/>
        </w:rPr>
        <w:t xml:space="preserve"> (13,000) and C</w:t>
      </w:r>
      <w:r w:rsidRPr="00B72F2F">
        <w:rPr>
          <w:rFonts w:ascii="Times New Roman" w:hAnsi="Times New Roman" w:cs="Times New Roman"/>
          <w:sz w:val="24"/>
          <w:vertAlign w:val="subscript"/>
        </w:rPr>
        <w:t>17</w:t>
      </w:r>
      <w:r>
        <w:rPr>
          <w:rFonts w:ascii="Times New Roman" w:hAnsi="Times New Roman" w:cs="Times New Roman"/>
          <w:sz w:val="24"/>
        </w:rPr>
        <w:t>-C</w:t>
      </w:r>
      <w:r w:rsidRPr="00B72F2F">
        <w:rPr>
          <w:rFonts w:ascii="Times New Roman" w:hAnsi="Times New Roman" w:cs="Times New Roman"/>
          <w:sz w:val="24"/>
          <w:vertAlign w:val="subscript"/>
        </w:rPr>
        <w:t>20</w:t>
      </w:r>
      <w:r>
        <w:rPr>
          <w:rFonts w:ascii="Times New Roman" w:hAnsi="Times New Roman" w:cs="Times New Roman"/>
          <w:sz w:val="24"/>
        </w:rPr>
        <w:t xml:space="preserve"> (13,000), are major contributors to the overall risk, while the lighter fractions, C</w:t>
      </w:r>
      <w:r>
        <w:rPr>
          <w:rFonts w:ascii="Times New Roman" w:hAnsi="Times New Roman" w:cs="Times New Roman"/>
          <w:sz w:val="24"/>
          <w:vertAlign w:val="subscript"/>
        </w:rPr>
        <w:t>10</w:t>
      </w:r>
      <w:r>
        <w:rPr>
          <w:rFonts w:ascii="Times New Roman" w:hAnsi="Times New Roman" w:cs="Times New Roman"/>
          <w:sz w:val="24"/>
        </w:rPr>
        <w:t>-C</w:t>
      </w:r>
      <w:r>
        <w:rPr>
          <w:rFonts w:ascii="Times New Roman" w:hAnsi="Times New Roman" w:cs="Times New Roman"/>
          <w:sz w:val="24"/>
          <w:vertAlign w:val="subscript"/>
        </w:rPr>
        <w:t>12</w:t>
      </w:r>
      <w:r>
        <w:rPr>
          <w:rFonts w:ascii="Times New Roman" w:hAnsi="Times New Roman" w:cs="Times New Roman"/>
          <w:sz w:val="24"/>
        </w:rPr>
        <w:t xml:space="preserve"> (2,250), contribute less significantly due to lower concentrations. Produced water, a by-product of oil and gas production, contains varying hydrocarbon fractions. The observed risk values emphasize the need to treat and manage produced water effectively before discharge or reuse to mitigate its environmental and health impacts. While the risk values in water are considerably lower than in soil, the potential for bioaccumulation and subsequent health effects through aquatic food chains cannot be ignored. When compared to similar studies, the observed TPH risk aligns with findings from regi</w:t>
      </w:r>
      <w:r w:rsidR="00B40AF5">
        <w:rPr>
          <w:rFonts w:ascii="Times New Roman" w:hAnsi="Times New Roman" w:cs="Times New Roman"/>
          <w:sz w:val="24"/>
        </w:rPr>
        <w:t>ons with oil and gas activities</w:t>
      </w:r>
      <w:r>
        <w:rPr>
          <w:rFonts w:ascii="Times New Roman" w:hAnsi="Times New Roman" w:cs="Times New Roman"/>
          <w:sz w:val="24"/>
        </w:rPr>
        <w:t xml:space="preserve">. </w:t>
      </w:r>
      <w:r w:rsidR="00B40AF5" w:rsidRPr="00B40AF5">
        <w:rPr>
          <w:rFonts w:ascii="Times New Roman" w:hAnsi="Times New Roman" w:cs="Times New Roman"/>
          <w:bCs/>
          <w:sz w:val="24"/>
          <w:szCs w:val="24"/>
          <w:highlight w:val="yellow"/>
          <w:shd w:val="clear" w:color="auto" w:fill="FFFFFF"/>
        </w:rPr>
        <w:t>Muhammad</w:t>
      </w:r>
      <w:r w:rsidRPr="00B40AF5">
        <w:rPr>
          <w:rFonts w:ascii="Times New Roman" w:hAnsi="Times New Roman" w:cs="Times New Roman"/>
          <w:sz w:val="24"/>
          <w:highlight w:val="yellow"/>
        </w:rPr>
        <w:t xml:space="preserve"> </w:t>
      </w:r>
      <w:r w:rsidR="00B40AF5" w:rsidRPr="00B40AF5">
        <w:rPr>
          <w:rFonts w:ascii="Times New Roman" w:hAnsi="Times New Roman" w:cs="Times New Roman"/>
          <w:sz w:val="24"/>
          <w:highlight w:val="yellow"/>
        </w:rPr>
        <w:t>(2023</w:t>
      </w:r>
      <w:r w:rsidRPr="00B40AF5">
        <w:rPr>
          <w:rFonts w:ascii="Times New Roman" w:hAnsi="Times New Roman" w:cs="Times New Roman"/>
          <w:sz w:val="24"/>
          <w:highlight w:val="yellow"/>
        </w:rPr>
        <w:t>)</w:t>
      </w:r>
      <w:r>
        <w:rPr>
          <w:rFonts w:ascii="Times New Roman" w:hAnsi="Times New Roman" w:cs="Times New Roman"/>
          <w:sz w:val="24"/>
        </w:rPr>
        <w:t xml:space="preserve"> found a TPH risk of 70,000 in industrial effluents, where heavier fractions accounted for over 60% of the total risk. The observed risk in this study is consistent with other findings, indicating that while produced water has relatively lower contamination levels than soil, it still poses significant ecological and human health risks.</w:t>
      </w:r>
    </w:p>
    <w:p w14:paraId="7201845B" w14:textId="77777777" w:rsidR="00E04257" w:rsidRDefault="009D4C23" w:rsidP="005D1F7D">
      <w:pPr>
        <w:spacing w:line="360" w:lineRule="auto"/>
        <w:jc w:val="both"/>
        <w:rPr>
          <w:rFonts w:ascii="Times New Roman" w:hAnsi="Times New Roman" w:cs="Times New Roman"/>
          <w:b/>
          <w:sz w:val="24"/>
        </w:rPr>
      </w:pPr>
      <w:r>
        <w:rPr>
          <w:rFonts w:ascii="Times New Roman" w:hAnsi="Times New Roman" w:cs="Times New Roman"/>
          <w:b/>
          <w:sz w:val="24"/>
        </w:rPr>
        <w:t>3.7</w:t>
      </w:r>
      <w:r w:rsidR="00E04257">
        <w:rPr>
          <w:rFonts w:ascii="Times New Roman" w:hAnsi="Times New Roman" w:cs="Times New Roman"/>
          <w:b/>
          <w:sz w:val="24"/>
        </w:rPr>
        <w:t xml:space="preserve"> Correlation analysis of physicochemical parameter</w:t>
      </w:r>
    </w:p>
    <w:p w14:paraId="3F3F9D7B" w14:textId="77777777" w:rsidR="00E04257" w:rsidRDefault="00E04257" w:rsidP="005D1F7D">
      <w:pPr>
        <w:spacing w:line="360" w:lineRule="auto"/>
        <w:jc w:val="both"/>
        <w:rPr>
          <w:rFonts w:ascii="Times New Roman" w:hAnsi="Times New Roman" w:cs="Times New Roman"/>
          <w:b/>
          <w:sz w:val="24"/>
        </w:rPr>
      </w:pPr>
      <w:r>
        <w:rPr>
          <w:rFonts w:ascii="Times New Roman" w:hAnsi="Times New Roman" w:cs="Times New Roman"/>
          <w:b/>
          <w:sz w:val="24"/>
        </w:rPr>
        <w:t>Tabl</w:t>
      </w:r>
      <w:r w:rsidR="009D4C23">
        <w:rPr>
          <w:rFonts w:ascii="Times New Roman" w:hAnsi="Times New Roman" w:cs="Times New Roman"/>
          <w:b/>
          <w:sz w:val="24"/>
        </w:rPr>
        <w:t>e 10</w:t>
      </w:r>
      <w:r>
        <w:rPr>
          <w:rFonts w:ascii="Times New Roman" w:hAnsi="Times New Roman" w:cs="Times New Roman"/>
          <w:b/>
          <w:sz w:val="24"/>
        </w:rPr>
        <w:t xml:space="preserve">: Correlation analysis of </w:t>
      </w:r>
      <w:proofErr w:type="spellStart"/>
      <w:r>
        <w:rPr>
          <w:rFonts w:ascii="Times New Roman" w:hAnsi="Times New Roman" w:cs="Times New Roman"/>
          <w:b/>
          <w:sz w:val="24"/>
        </w:rPr>
        <w:t>Nsisioken</w:t>
      </w:r>
      <w:proofErr w:type="spellEnd"/>
      <w:r>
        <w:rPr>
          <w:rFonts w:ascii="Times New Roman" w:hAnsi="Times New Roman" w:cs="Times New Roman"/>
          <w:b/>
          <w:sz w:val="24"/>
        </w:rPr>
        <w:t xml:space="preserve"> River</w:t>
      </w:r>
    </w:p>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1168"/>
        <w:gridCol w:w="800"/>
        <w:gridCol w:w="1036"/>
        <w:gridCol w:w="949"/>
        <w:gridCol w:w="1134"/>
        <w:gridCol w:w="1076"/>
      </w:tblGrid>
      <w:tr w:rsidR="00E04257" w14:paraId="5293D3FA" w14:textId="77777777" w:rsidTr="009D4C23">
        <w:trPr>
          <w:tblHeade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06894C6E" w14:textId="77777777" w:rsidR="00E04257" w:rsidRDefault="00E04257" w:rsidP="005D1F7D">
            <w:pPr>
              <w:spacing w:line="360" w:lineRule="auto"/>
              <w:jc w:val="center"/>
              <w:rPr>
                <w:rFonts w:ascii="Times New Roman" w:hAnsi="Times New Roman" w:cs="Times New Roman"/>
                <w:b/>
                <w:bCs/>
                <w:sz w:val="24"/>
              </w:rPr>
            </w:pPr>
            <w:r>
              <w:rPr>
                <w:rFonts w:ascii="Times New Roman" w:hAnsi="Times New Roman" w:cs="Times New Roman"/>
                <w:b/>
                <w:bCs/>
                <w:sz w:val="24"/>
              </w:rPr>
              <w:t>Parameter</w:t>
            </w:r>
          </w:p>
        </w:tc>
        <w:tc>
          <w:tcPr>
            <w:tcW w:w="770" w:type="dxa"/>
            <w:tcBorders>
              <w:top w:val="nil"/>
              <w:left w:val="nil"/>
              <w:bottom w:val="single" w:sz="4" w:space="0" w:color="auto"/>
              <w:right w:val="nil"/>
            </w:tcBorders>
            <w:tcMar>
              <w:top w:w="15" w:type="dxa"/>
              <w:left w:w="15" w:type="dxa"/>
              <w:bottom w:w="15" w:type="dxa"/>
              <w:right w:w="15" w:type="dxa"/>
            </w:tcMar>
            <w:vAlign w:val="center"/>
            <w:hideMark/>
          </w:tcPr>
          <w:p w14:paraId="5C45DC25" w14:textId="77777777" w:rsidR="00E04257" w:rsidRDefault="00E04257" w:rsidP="005D1F7D">
            <w:pPr>
              <w:spacing w:line="360" w:lineRule="auto"/>
              <w:jc w:val="center"/>
              <w:rPr>
                <w:rFonts w:ascii="Times New Roman" w:hAnsi="Times New Roman" w:cs="Times New Roman"/>
                <w:b/>
                <w:bCs/>
                <w:sz w:val="24"/>
              </w:rPr>
            </w:pPr>
            <w:r>
              <w:rPr>
                <w:rFonts w:ascii="Times New Roman" w:hAnsi="Times New Roman" w:cs="Times New Roman"/>
                <w:b/>
                <w:bCs/>
                <w:sz w:val="24"/>
              </w:rPr>
              <w:t>pH</w:t>
            </w:r>
          </w:p>
        </w:tc>
        <w:tc>
          <w:tcPr>
            <w:tcW w:w="1006" w:type="dxa"/>
            <w:tcBorders>
              <w:top w:val="nil"/>
              <w:left w:val="nil"/>
              <w:bottom w:val="single" w:sz="4" w:space="0" w:color="auto"/>
              <w:right w:val="nil"/>
            </w:tcBorders>
            <w:tcMar>
              <w:top w:w="15" w:type="dxa"/>
              <w:left w:w="15" w:type="dxa"/>
              <w:bottom w:w="15" w:type="dxa"/>
              <w:right w:w="15" w:type="dxa"/>
            </w:tcMar>
            <w:vAlign w:val="center"/>
            <w:hideMark/>
          </w:tcPr>
          <w:p w14:paraId="7F1B5C84" w14:textId="77777777" w:rsidR="00E04257" w:rsidRDefault="00E04257" w:rsidP="005D1F7D">
            <w:pPr>
              <w:spacing w:line="360" w:lineRule="auto"/>
              <w:jc w:val="center"/>
              <w:rPr>
                <w:rFonts w:ascii="Times New Roman" w:hAnsi="Times New Roman" w:cs="Times New Roman"/>
                <w:b/>
                <w:bCs/>
                <w:sz w:val="24"/>
              </w:rPr>
            </w:pPr>
            <w:r>
              <w:rPr>
                <w:rFonts w:ascii="Times New Roman" w:hAnsi="Times New Roman" w:cs="Times New Roman"/>
                <w:b/>
                <w:bCs/>
                <w:sz w:val="24"/>
              </w:rPr>
              <w:t>DO</w:t>
            </w:r>
          </w:p>
        </w:tc>
        <w:tc>
          <w:tcPr>
            <w:tcW w:w="919" w:type="dxa"/>
            <w:tcBorders>
              <w:top w:val="nil"/>
              <w:left w:val="nil"/>
              <w:bottom w:val="single" w:sz="4" w:space="0" w:color="auto"/>
              <w:right w:val="nil"/>
            </w:tcBorders>
            <w:tcMar>
              <w:top w:w="15" w:type="dxa"/>
              <w:left w:w="15" w:type="dxa"/>
              <w:bottom w:w="15" w:type="dxa"/>
              <w:right w:w="15" w:type="dxa"/>
            </w:tcMar>
            <w:vAlign w:val="center"/>
            <w:hideMark/>
          </w:tcPr>
          <w:p w14:paraId="57B9356E" w14:textId="77777777" w:rsidR="00E04257" w:rsidRDefault="00E04257" w:rsidP="005D1F7D">
            <w:pPr>
              <w:spacing w:line="360" w:lineRule="auto"/>
              <w:jc w:val="center"/>
              <w:rPr>
                <w:rFonts w:ascii="Times New Roman" w:hAnsi="Times New Roman" w:cs="Times New Roman"/>
                <w:b/>
                <w:bCs/>
                <w:sz w:val="24"/>
              </w:rPr>
            </w:pPr>
            <w:r>
              <w:rPr>
                <w:rFonts w:ascii="Times New Roman" w:hAnsi="Times New Roman" w:cs="Times New Roman"/>
                <w:b/>
                <w:bCs/>
                <w:sz w:val="24"/>
              </w:rPr>
              <w:t>COD</w:t>
            </w:r>
          </w:p>
        </w:tc>
        <w:tc>
          <w:tcPr>
            <w:tcW w:w="1104" w:type="dxa"/>
            <w:tcBorders>
              <w:top w:val="nil"/>
              <w:left w:val="nil"/>
              <w:bottom w:val="single" w:sz="4" w:space="0" w:color="auto"/>
              <w:right w:val="nil"/>
            </w:tcBorders>
            <w:tcMar>
              <w:top w:w="15" w:type="dxa"/>
              <w:left w:w="15" w:type="dxa"/>
              <w:bottom w:w="15" w:type="dxa"/>
              <w:right w:w="15" w:type="dxa"/>
            </w:tcMar>
            <w:vAlign w:val="center"/>
            <w:hideMark/>
          </w:tcPr>
          <w:p w14:paraId="77439200" w14:textId="77777777" w:rsidR="00E04257" w:rsidRDefault="00E04257" w:rsidP="005D1F7D">
            <w:pPr>
              <w:spacing w:line="360" w:lineRule="auto"/>
              <w:jc w:val="center"/>
              <w:rPr>
                <w:rFonts w:ascii="Times New Roman" w:hAnsi="Times New Roman" w:cs="Times New Roman"/>
                <w:b/>
                <w:bCs/>
                <w:sz w:val="24"/>
              </w:rPr>
            </w:pPr>
            <w:r>
              <w:rPr>
                <w:rFonts w:ascii="Times New Roman" w:hAnsi="Times New Roman" w:cs="Times New Roman"/>
                <w:b/>
                <w:bCs/>
                <w:sz w:val="24"/>
              </w:rPr>
              <w:t>TDS</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7645106B" w14:textId="77777777" w:rsidR="00E04257" w:rsidRDefault="00E04257" w:rsidP="005D1F7D">
            <w:pPr>
              <w:spacing w:line="360" w:lineRule="auto"/>
              <w:jc w:val="center"/>
              <w:rPr>
                <w:rFonts w:ascii="Times New Roman" w:hAnsi="Times New Roman" w:cs="Times New Roman"/>
                <w:b/>
                <w:bCs/>
                <w:sz w:val="24"/>
              </w:rPr>
            </w:pPr>
            <w:r>
              <w:rPr>
                <w:rFonts w:ascii="Times New Roman" w:hAnsi="Times New Roman" w:cs="Times New Roman"/>
                <w:b/>
                <w:bCs/>
                <w:sz w:val="24"/>
              </w:rPr>
              <w:t>Turbidity</w:t>
            </w:r>
          </w:p>
        </w:tc>
      </w:tr>
      <w:tr w:rsidR="00E04257" w14:paraId="5F78AA59" w14:textId="77777777" w:rsidTr="009D4C23">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C380872" w14:textId="77777777" w:rsidR="00E04257" w:rsidRDefault="00E04257" w:rsidP="005D1F7D">
            <w:pPr>
              <w:spacing w:line="360" w:lineRule="auto"/>
              <w:jc w:val="center"/>
              <w:rPr>
                <w:rFonts w:ascii="Times New Roman" w:hAnsi="Times New Roman" w:cs="Times New Roman"/>
                <w:sz w:val="24"/>
              </w:rPr>
            </w:pPr>
            <w:r>
              <w:rPr>
                <w:rStyle w:val="Strong"/>
                <w:sz w:val="24"/>
              </w:rPr>
              <w:t>pH</w:t>
            </w:r>
          </w:p>
        </w:tc>
        <w:tc>
          <w:tcPr>
            <w:tcW w:w="770" w:type="dxa"/>
            <w:tcBorders>
              <w:top w:val="nil"/>
              <w:left w:val="nil"/>
              <w:bottom w:val="nil"/>
              <w:right w:val="nil"/>
            </w:tcBorders>
            <w:tcMar>
              <w:top w:w="15" w:type="dxa"/>
              <w:left w:w="15" w:type="dxa"/>
              <w:bottom w:w="15" w:type="dxa"/>
              <w:right w:w="15" w:type="dxa"/>
            </w:tcMar>
            <w:vAlign w:val="center"/>
            <w:hideMark/>
          </w:tcPr>
          <w:p w14:paraId="5CA8C319"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1006" w:type="dxa"/>
            <w:tcBorders>
              <w:top w:val="nil"/>
              <w:left w:val="nil"/>
              <w:bottom w:val="nil"/>
              <w:right w:val="nil"/>
            </w:tcBorders>
            <w:tcMar>
              <w:top w:w="15" w:type="dxa"/>
              <w:left w:w="15" w:type="dxa"/>
              <w:bottom w:w="15" w:type="dxa"/>
              <w:right w:w="15" w:type="dxa"/>
            </w:tcMar>
            <w:vAlign w:val="center"/>
            <w:hideMark/>
          </w:tcPr>
          <w:p w14:paraId="51516D13"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0.49</w:t>
            </w:r>
          </w:p>
        </w:tc>
        <w:tc>
          <w:tcPr>
            <w:tcW w:w="919" w:type="dxa"/>
            <w:tcBorders>
              <w:top w:val="nil"/>
              <w:left w:val="nil"/>
              <w:bottom w:val="nil"/>
              <w:right w:val="nil"/>
            </w:tcBorders>
            <w:tcMar>
              <w:top w:w="15" w:type="dxa"/>
              <w:left w:w="15" w:type="dxa"/>
              <w:bottom w:w="15" w:type="dxa"/>
              <w:right w:w="15" w:type="dxa"/>
            </w:tcMar>
            <w:vAlign w:val="center"/>
            <w:hideMark/>
          </w:tcPr>
          <w:p w14:paraId="3BD24752"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-0.56</w:t>
            </w:r>
          </w:p>
        </w:tc>
        <w:tc>
          <w:tcPr>
            <w:tcW w:w="1104" w:type="dxa"/>
            <w:tcBorders>
              <w:top w:val="nil"/>
              <w:left w:val="nil"/>
              <w:bottom w:val="nil"/>
              <w:right w:val="nil"/>
            </w:tcBorders>
            <w:tcMar>
              <w:top w:w="15" w:type="dxa"/>
              <w:left w:w="15" w:type="dxa"/>
              <w:bottom w:w="15" w:type="dxa"/>
              <w:right w:w="15" w:type="dxa"/>
            </w:tcMar>
            <w:vAlign w:val="center"/>
            <w:hideMark/>
          </w:tcPr>
          <w:p w14:paraId="0D06F154"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0.64</w:t>
            </w:r>
          </w:p>
        </w:tc>
        <w:tc>
          <w:tcPr>
            <w:tcW w:w="0" w:type="auto"/>
            <w:tcBorders>
              <w:top w:val="nil"/>
              <w:left w:val="nil"/>
              <w:bottom w:val="nil"/>
              <w:right w:val="nil"/>
            </w:tcBorders>
            <w:tcMar>
              <w:top w:w="15" w:type="dxa"/>
              <w:left w:w="15" w:type="dxa"/>
              <w:bottom w:w="15" w:type="dxa"/>
              <w:right w:w="15" w:type="dxa"/>
            </w:tcMar>
            <w:vAlign w:val="center"/>
            <w:hideMark/>
          </w:tcPr>
          <w:p w14:paraId="5E64E381"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0.97</w:t>
            </w:r>
          </w:p>
        </w:tc>
      </w:tr>
      <w:tr w:rsidR="00E04257" w14:paraId="45C43267" w14:textId="77777777" w:rsidTr="009D4C23">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32BF40C" w14:textId="77777777" w:rsidR="00E04257" w:rsidRDefault="00E04257" w:rsidP="005D1F7D">
            <w:pPr>
              <w:spacing w:line="360" w:lineRule="auto"/>
              <w:jc w:val="center"/>
              <w:rPr>
                <w:rFonts w:ascii="Times New Roman" w:hAnsi="Times New Roman" w:cs="Times New Roman"/>
                <w:sz w:val="24"/>
              </w:rPr>
            </w:pPr>
            <w:r>
              <w:rPr>
                <w:rStyle w:val="Strong"/>
                <w:sz w:val="24"/>
              </w:rPr>
              <w:t>DO</w:t>
            </w:r>
          </w:p>
        </w:tc>
        <w:tc>
          <w:tcPr>
            <w:tcW w:w="770" w:type="dxa"/>
            <w:tcBorders>
              <w:top w:val="nil"/>
              <w:left w:val="nil"/>
              <w:bottom w:val="nil"/>
              <w:right w:val="nil"/>
            </w:tcBorders>
            <w:tcMar>
              <w:top w:w="15" w:type="dxa"/>
              <w:left w:w="15" w:type="dxa"/>
              <w:bottom w:w="15" w:type="dxa"/>
              <w:right w:w="15" w:type="dxa"/>
            </w:tcMar>
            <w:vAlign w:val="center"/>
            <w:hideMark/>
          </w:tcPr>
          <w:p w14:paraId="383E306D"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0.49</w:t>
            </w:r>
          </w:p>
        </w:tc>
        <w:tc>
          <w:tcPr>
            <w:tcW w:w="1006" w:type="dxa"/>
            <w:tcBorders>
              <w:top w:val="nil"/>
              <w:left w:val="nil"/>
              <w:bottom w:val="nil"/>
              <w:right w:val="nil"/>
            </w:tcBorders>
            <w:tcMar>
              <w:top w:w="15" w:type="dxa"/>
              <w:left w:w="15" w:type="dxa"/>
              <w:bottom w:w="15" w:type="dxa"/>
              <w:right w:w="15" w:type="dxa"/>
            </w:tcMar>
            <w:vAlign w:val="center"/>
            <w:hideMark/>
          </w:tcPr>
          <w:p w14:paraId="44D484B0"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919" w:type="dxa"/>
            <w:tcBorders>
              <w:top w:val="nil"/>
              <w:left w:val="nil"/>
              <w:bottom w:val="nil"/>
              <w:right w:val="nil"/>
            </w:tcBorders>
            <w:tcMar>
              <w:top w:w="15" w:type="dxa"/>
              <w:left w:w="15" w:type="dxa"/>
              <w:bottom w:w="15" w:type="dxa"/>
              <w:right w:w="15" w:type="dxa"/>
            </w:tcMar>
            <w:vAlign w:val="center"/>
            <w:hideMark/>
          </w:tcPr>
          <w:p w14:paraId="27F32B88"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-0.93</w:t>
            </w:r>
          </w:p>
        </w:tc>
        <w:tc>
          <w:tcPr>
            <w:tcW w:w="1104" w:type="dxa"/>
            <w:tcBorders>
              <w:top w:val="nil"/>
              <w:left w:val="nil"/>
              <w:bottom w:val="nil"/>
              <w:right w:val="nil"/>
            </w:tcBorders>
            <w:tcMar>
              <w:top w:w="15" w:type="dxa"/>
              <w:left w:w="15" w:type="dxa"/>
              <w:bottom w:w="15" w:type="dxa"/>
              <w:right w:w="15" w:type="dxa"/>
            </w:tcMar>
            <w:vAlign w:val="center"/>
            <w:hideMark/>
          </w:tcPr>
          <w:p w14:paraId="36D9C0D8"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0.71</w:t>
            </w:r>
          </w:p>
        </w:tc>
        <w:tc>
          <w:tcPr>
            <w:tcW w:w="0" w:type="auto"/>
            <w:tcBorders>
              <w:top w:val="nil"/>
              <w:left w:val="nil"/>
              <w:bottom w:val="nil"/>
              <w:right w:val="nil"/>
            </w:tcBorders>
            <w:tcMar>
              <w:top w:w="15" w:type="dxa"/>
              <w:left w:w="15" w:type="dxa"/>
              <w:bottom w:w="15" w:type="dxa"/>
              <w:right w:w="15" w:type="dxa"/>
            </w:tcMar>
            <w:vAlign w:val="center"/>
            <w:hideMark/>
          </w:tcPr>
          <w:p w14:paraId="5AC80066"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0.48</w:t>
            </w:r>
          </w:p>
        </w:tc>
      </w:tr>
      <w:tr w:rsidR="00E04257" w14:paraId="6AF88845" w14:textId="77777777" w:rsidTr="009D4C23">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2CE8219" w14:textId="77777777" w:rsidR="00E04257" w:rsidRDefault="00E04257" w:rsidP="005D1F7D">
            <w:pPr>
              <w:spacing w:line="360" w:lineRule="auto"/>
              <w:jc w:val="center"/>
              <w:rPr>
                <w:rFonts w:ascii="Times New Roman" w:hAnsi="Times New Roman" w:cs="Times New Roman"/>
                <w:sz w:val="24"/>
              </w:rPr>
            </w:pPr>
            <w:r>
              <w:rPr>
                <w:rStyle w:val="Strong"/>
                <w:sz w:val="24"/>
              </w:rPr>
              <w:t>COD</w:t>
            </w:r>
          </w:p>
        </w:tc>
        <w:tc>
          <w:tcPr>
            <w:tcW w:w="770" w:type="dxa"/>
            <w:tcBorders>
              <w:top w:val="nil"/>
              <w:left w:val="nil"/>
              <w:bottom w:val="nil"/>
              <w:right w:val="nil"/>
            </w:tcBorders>
            <w:tcMar>
              <w:top w:w="15" w:type="dxa"/>
              <w:left w:w="15" w:type="dxa"/>
              <w:bottom w:w="15" w:type="dxa"/>
              <w:right w:w="15" w:type="dxa"/>
            </w:tcMar>
            <w:vAlign w:val="center"/>
            <w:hideMark/>
          </w:tcPr>
          <w:p w14:paraId="1761A30B"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-0.56</w:t>
            </w:r>
          </w:p>
        </w:tc>
        <w:tc>
          <w:tcPr>
            <w:tcW w:w="1006" w:type="dxa"/>
            <w:tcBorders>
              <w:top w:val="nil"/>
              <w:left w:val="nil"/>
              <w:bottom w:val="nil"/>
              <w:right w:val="nil"/>
            </w:tcBorders>
            <w:tcMar>
              <w:top w:w="15" w:type="dxa"/>
              <w:left w:w="15" w:type="dxa"/>
              <w:bottom w:w="15" w:type="dxa"/>
              <w:right w:w="15" w:type="dxa"/>
            </w:tcMar>
            <w:vAlign w:val="center"/>
            <w:hideMark/>
          </w:tcPr>
          <w:p w14:paraId="17B8AC0C"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-0.93</w:t>
            </w:r>
          </w:p>
        </w:tc>
        <w:tc>
          <w:tcPr>
            <w:tcW w:w="919" w:type="dxa"/>
            <w:tcBorders>
              <w:top w:val="nil"/>
              <w:left w:val="nil"/>
              <w:bottom w:val="nil"/>
              <w:right w:val="nil"/>
            </w:tcBorders>
            <w:tcMar>
              <w:top w:w="15" w:type="dxa"/>
              <w:left w:w="15" w:type="dxa"/>
              <w:bottom w:w="15" w:type="dxa"/>
              <w:right w:w="15" w:type="dxa"/>
            </w:tcMar>
            <w:vAlign w:val="center"/>
            <w:hideMark/>
          </w:tcPr>
          <w:p w14:paraId="22AD140A"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1104" w:type="dxa"/>
            <w:tcBorders>
              <w:top w:val="nil"/>
              <w:left w:val="nil"/>
              <w:bottom w:val="nil"/>
              <w:right w:val="nil"/>
            </w:tcBorders>
            <w:tcMar>
              <w:top w:w="15" w:type="dxa"/>
              <w:left w:w="15" w:type="dxa"/>
              <w:bottom w:w="15" w:type="dxa"/>
              <w:right w:w="15" w:type="dxa"/>
            </w:tcMar>
            <w:vAlign w:val="center"/>
            <w:hideMark/>
          </w:tcPr>
          <w:p w14:paraId="64E688A4"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-0.81</w:t>
            </w:r>
          </w:p>
        </w:tc>
        <w:tc>
          <w:tcPr>
            <w:tcW w:w="0" w:type="auto"/>
            <w:tcBorders>
              <w:top w:val="nil"/>
              <w:left w:val="nil"/>
              <w:bottom w:val="nil"/>
              <w:right w:val="nil"/>
            </w:tcBorders>
            <w:tcMar>
              <w:top w:w="15" w:type="dxa"/>
              <w:left w:w="15" w:type="dxa"/>
              <w:bottom w:w="15" w:type="dxa"/>
              <w:right w:w="15" w:type="dxa"/>
            </w:tcMar>
            <w:vAlign w:val="center"/>
            <w:hideMark/>
          </w:tcPr>
          <w:p w14:paraId="7B14E094"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-0.61</w:t>
            </w:r>
          </w:p>
        </w:tc>
      </w:tr>
      <w:tr w:rsidR="00E04257" w14:paraId="02F707BC" w14:textId="77777777" w:rsidTr="009D4C23">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B90BEAB" w14:textId="77777777" w:rsidR="00E04257" w:rsidRDefault="00E04257" w:rsidP="005D1F7D">
            <w:pPr>
              <w:spacing w:line="360" w:lineRule="auto"/>
              <w:jc w:val="center"/>
              <w:rPr>
                <w:rFonts w:ascii="Times New Roman" w:hAnsi="Times New Roman" w:cs="Times New Roman"/>
                <w:sz w:val="24"/>
              </w:rPr>
            </w:pPr>
            <w:r>
              <w:rPr>
                <w:rStyle w:val="Strong"/>
                <w:sz w:val="24"/>
              </w:rPr>
              <w:t>TDS</w:t>
            </w:r>
          </w:p>
        </w:tc>
        <w:tc>
          <w:tcPr>
            <w:tcW w:w="770" w:type="dxa"/>
            <w:tcBorders>
              <w:top w:val="nil"/>
              <w:left w:val="nil"/>
              <w:bottom w:val="nil"/>
              <w:right w:val="nil"/>
            </w:tcBorders>
            <w:tcMar>
              <w:top w:w="15" w:type="dxa"/>
              <w:left w:w="15" w:type="dxa"/>
              <w:bottom w:w="15" w:type="dxa"/>
              <w:right w:w="15" w:type="dxa"/>
            </w:tcMar>
            <w:vAlign w:val="center"/>
            <w:hideMark/>
          </w:tcPr>
          <w:p w14:paraId="5AEF8CD9"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0.64</w:t>
            </w:r>
          </w:p>
        </w:tc>
        <w:tc>
          <w:tcPr>
            <w:tcW w:w="1006" w:type="dxa"/>
            <w:tcBorders>
              <w:top w:val="nil"/>
              <w:left w:val="nil"/>
              <w:bottom w:val="nil"/>
              <w:right w:val="nil"/>
            </w:tcBorders>
            <w:tcMar>
              <w:top w:w="15" w:type="dxa"/>
              <w:left w:w="15" w:type="dxa"/>
              <w:bottom w:w="15" w:type="dxa"/>
              <w:right w:w="15" w:type="dxa"/>
            </w:tcMar>
            <w:vAlign w:val="center"/>
            <w:hideMark/>
          </w:tcPr>
          <w:p w14:paraId="32FB3BCC"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0.71</w:t>
            </w:r>
          </w:p>
        </w:tc>
        <w:tc>
          <w:tcPr>
            <w:tcW w:w="919" w:type="dxa"/>
            <w:tcBorders>
              <w:top w:val="nil"/>
              <w:left w:val="nil"/>
              <w:bottom w:val="nil"/>
              <w:right w:val="nil"/>
            </w:tcBorders>
            <w:tcMar>
              <w:top w:w="15" w:type="dxa"/>
              <w:left w:w="15" w:type="dxa"/>
              <w:bottom w:w="15" w:type="dxa"/>
              <w:right w:w="15" w:type="dxa"/>
            </w:tcMar>
            <w:vAlign w:val="center"/>
            <w:hideMark/>
          </w:tcPr>
          <w:p w14:paraId="6B31C837"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-0.81</w:t>
            </w:r>
          </w:p>
        </w:tc>
        <w:tc>
          <w:tcPr>
            <w:tcW w:w="1104" w:type="dxa"/>
            <w:tcBorders>
              <w:top w:val="nil"/>
              <w:left w:val="nil"/>
              <w:bottom w:val="nil"/>
              <w:right w:val="nil"/>
            </w:tcBorders>
            <w:tcMar>
              <w:top w:w="15" w:type="dxa"/>
              <w:left w:w="15" w:type="dxa"/>
              <w:bottom w:w="15" w:type="dxa"/>
              <w:right w:w="15" w:type="dxa"/>
            </w:tcMar>
            <w:vAlign w:val="center"/>
            <w:hideMark/>
          </w:tcPr>
          <w:p w14:paraId="6FDACE47"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0" w:type="auto"/>
            <w:tcBorders>
              <w:top w:val="nil"/>
              <w:left w:val="nil"/>
              <w:bottom w:val="nil"/>
              <w:right w:val="nil"/>
            </w:tcBorders>
            <w:tcMar>
              <w:top w:w="15" w:type="dxa"/>
              <w:left w:w="15" w:type="dxa"/>
              <w:bottom w:w="15" w:type="dxa"/>
              <w:right w:w="15" w:type="dxa"/>
            </w:tcMar>
            <w:vAlign w:val="center"/>
            <w:hideMark/>
          </w:tcPr>
          <w:p w14:paraId="38287400"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0.64</w:t>
            </w:r>
          </w:p>
        </w:tc>
      </w:tr>
      <w:tr w:rsidR="00E04257" w14:paraId="554C1960" w14:textId="77777777" w:rsidTr="009D4C23">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9F061B4" w14:textId="77777777" w:rsidR="00E04257" w:rsidRDefault="00E04257" w:rsidP="005D1F7D">
            <w:pPr>
              <w:spacing w:line="360" w:lineRule="auto"/>
              <w:jc w:val="center"/>
              <w:rPr>
                <w:rFonts w:ascii="Times New Roman" w:hAnsi="Times New Roman" w:cs="Times New Roman"/>
                <w:sz w:val="24"/>
              </w:rPr>
            </w:pPr>
            <w:r>
              <w:rPr>
                <w:rStyle w:val="Strong"/>
                <w:sz w:val="24"/>
              </w:rPr>
              <w:t>Turbidity</w:t>
            </w:r>
          </w:p>
        </w:tc>
        <w:tc>
          <w:tcPr>
            <w:tcW w:w="770" w:type="dxa"/>
            <w:tcBorders>
              <w:top w:val="nil"/>
              <w:left w:val="nil"/>
              <w:bottom w:val="nil"/>
              <w:right w:val="nil"/>
            </w:tcBorders>
            <w:tcMar>
              <w:top w:w="15" w:type="dxa"/>
              <w:left w:w="15" w:type="dxa"/>
              <w:bottom w:w="15" w:type="dxa"/>
              <w:right w:w="15" w:type="dxa"/>
            </w:tcMar>
            <w:vAlign w:val="center"/>
            <w:hideMark/>
          </w:tcPr>
          <w:p w14:paraId="75E12F40"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0.97</w:t>
            </w:r>
          </w:p>
        </w:tc>
        <w:tc>
          <w:tcPr>
            <w:tcW w:w="1006" w:type="dxa"/>
            <w:tcBorders>
              <w:top w:val="nil"/>
              <w:left w:val="nil"/>
              <w:bottom w:val="nil"/>
              <w:right w:val="nil"/>
            </w:tcBorders>
            <w:tcMar>
              <w:top w:w="15" w:type="dxa"/>
              <w:left w:w="15" w:type="dxa"/>
              <w:bottom w:w="15" w:type="dxa"/>
              <w:right w:w="15" w:type="dxa"/>
            </w:tcMar>
            <w:vAlign w:val="center"/>
            <w:hideMark/>
          </w:tcPr>
          <w:p w14:paraId="5ADE9A91"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0.48</w:t>
            </w:r>
          </w:p>
        </w:tc>
        <w:tc>
          <w:tcPr>
            <w:tcW w:w="919" w:type="dxa"/>
            <w:tcBorders>
              <w:top w:val="nil"/>
              <w:left w:val="nil"/>
              <w:bottom w:val="nil"/>
              <w:right w:val="nil"/>
            </w:tcBorders>
            <w:tcMar>
              <w:top w:w="15" w:type="dxa"/>
              <w:left w:w="15" w:type="dxa"/>
              <w:bottom w:w="15" w:type="dxa"/>
              <w:right w:w="15" w:type="dxa"/>
            </w:tcMar>
            <w:vAlign w:val="center"/>
            <w:hideMark/>
          </w:tcPr>
          <w:p w14:paraId="28DC914E"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-0.61</w:t>
            </w:r>
          </w:p>
        </w:tc>
        <w:tc>
          <w:tcPr>
            <w:tcW w:w="1104" w:type="dxa"/>
            <w:tcBorders>
              <w:top w:val="nil"/>
              <w:left w:val="nil"/>
              <w:bottom w:val="nil"/>
              <w:right w:val="nil"/>
            </w:tcBorders>
            <w:tcMar>
              <w:top w:w="15" w:type="dxa"/>
              <w:left w:w="15" w:type="dxa"/>
              <w:bottom w:w="15" w:type="dxa"/>
              <w:right w:w="15" w:type="dxa"/>
            </w:tcMar>
            <w:vAlign w:val="center"/>
            <w:hideMark/>
          </w:tcPr>
          <w:p w14:paraId="30BF3501"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0.64</w:t>
            </w:r>
          </w:p>
        </w:tc>
        <w:tc>
          <w:tcPr>
            <w:tcW w:w="0" w:type="auto"/>
            <w:tcBorders>
              <w:top w:val="nil"/>
              <w:left w:val="nil"/>
              <w:bottom w:val="nil"/>
              <w:right w:val="nil"/>
            </w:tcBorders>
            <w:tcMar>
              <w:top w:w="15" w:type="dxa"/>
              <w:left w:w="15" w:type="dxa"/>
              <w:bottom w:w="15" w:type="dxa"/>
              <w:right w:w="15" w:type="dxa"/>
            </w:tcMar>
            <w:vAlign w:val="center"/>
            <w:hideMark/>
          </w:tcPr>
          <w:p w14:paraId="32612EC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1.00</w:t>
            </w:r>
          </w:p>
        </w:tc>
      </w:tr>
    </w:tbl>
    <w:p w14:paraId="63766199" w14:textId="77777777" w:rsidR="00E04257" w:rsidRDefault="00E04257" w:rsidP="005D1F7D">
      <w:pPr>
        <w:pStyle w:val="NormalWeb"/>
        <w:spacing w:line="360" w:lineRule="auto"/>
        <w:jc w:val="both"/>
      </w:pPr>
      <w:r>
        <w:t xml:space="preserve">The correlation analysis of physicochemical properties of </w:t>
      </w:r>
      <w:proofErr w:type="spellStart"/>
      <w:r>
        <w:t>Nsisioken</w:t>
      </w:r>
      <w:proofErr w:type="spellEnd"/>
      <w:r>
        <w:t xml:space="preserve"> River provides valuable insights into the interdependence of these parameters. </w:t>
      </w:r>
      <w:proofErr w:type="gramStart"/>
      <w:r>
        <w:t>pH</w:t>
      </w:r>
      <w:proofErr w:type="gramEnd"/>
      <w:r>
        <w:t xml:space="preserve"> exhibited a strong positive correlation with turbidity (r = 0.97), suggesting that variations in pH significantly affect the amount of </w:t>
      </w:r>
      <w:r>
        <w:lastRenderedPageBreak/>
        <w:t>suspended particles in the water. This might indicate that pH influences the solubility and aggregation of particles, a trend consistent with alkaline conditions promoting particle stabilization. The moderate positive correlation with TDS (r = 0.64) implies that higher pH levels may coincide with increased dissolved solids, possibly due to the dissolution of alkaline minerals. The moderate negative correlation with COD (r = -0.56) reflects a potential link between pH and organic pollution, where more acidic conditions mi</w:t>
      </w:r>
      <w:r w:rsidR="009D4C23">
        <w:t xml:space="preserve">ght favor higher organic loads. </w:t>
      </w:r>
      <w:r>
        <w:t>DO showed a strong negative correlation with COD (r = -0.93). This relationship is indicative of oxygen depletion caused by the breakdown of organic pollutants, confirming the role of COD as a key driver of hypoxic conditions. The moderate positive correlation with TDS (r = 0.71) highlights that higher dissolved solids could support better oxygen availability, possibly through reduced organic contamination. A weak positive correlation with turbidity (r = 0.48) indicates minimal dependence between oxygen levels and particle suspension.</w:t>
      </w:r>
      <w:r w:rsidR="009D4C23">
        <w:t xml:space="preserve"> </w:t>
      </w:r>
      <w:r>
        <w:t>COD had a strong negative correlation with DO (r = -0.93), reinforcing the established inverse relationship between organic pollution and oxygen levels. Its moderate negative correlation with TDS (r = -0.81) suggests that areas with high dissolved solids are less impacted by organic pollution. This could reflect dilution effects or the presence of non-organic dissolved matter. COD also exhibited a moderate negative correlation with turbidity (r = -0.61), possibly due to reduced visibility in areas of high organic pollution.</w:t>
      </w:r>
      <w:r w:rsidR="009D4C23">
        <w:t xml:space="preserve"> </w:t>
      </w:r>
      <w:r>
        <w:t>A moderate positive correlation (r = 0.64) between TDS and turbidity suggests that higher dissolved solids are associated with more suspended particles. This aligns with potential sedimentation or effluent discharge impacting both parameters. The strong inverse relationship between DO and COD underscores the significant effect of organic pollutants on oxygen dynamics in the river, consistent with findings from similar water bodies affected by industrial and domestic waste. The strong pH-turbidity relationship highlights the influence of pH on particle stability, which has implications for sediment control and water treatment. Moreover, the COD-TDS negative relationship suggests that different contamination sources (organic and inorganic) dominate in different areas, requiring tailored remediation strategies. These findings align with previous studies on river systems in Anambra State, where industrial discharges and domestic waste influenced water quality. Globally, similar trends have been reported in urban rivers, where organic and inorganic pollution co-occur but exhibit distinct spatial patterns.</w:t>
      </w:r>
    </w:p>
    <w:p w14:paraId="0D4B5B34" w14:textId="77777777" w:rsidR="00C81D19" w:rsidRDefault="00C81D19" w:rsidP="005D1F7D">
      <w:pPr>
        <w:spacing w:line="360" w:lineRule="auto"/>
        <w:rPr>
          <w:rFonts w:ascii="Times New Roman" w:hAnsi="Times New Roman" w:cs="Times New Roman"/>
          <w:b/>
          <w:sz w:val="24"/>
        </w:rPr>
      </w:pPr>
    </w:p>
    <w:p w14:paraId="4F8B0FBC" w14:textId="77777777" w:rsidR="008543CD" w:rsidRPr="00877D5C" w:rsidRDefault="009D4C23" w:rsidP="005D1F7D">
      <w:pPr>
        <w:spacing w:line="360" w:lineRule="auto"/>
        <w:rPr>
          <w:rFonts w:ascii="Times New Roman" w:hAnsi="Times New Roman" w:cs="Times New Roman"/>
          <w:b/>
          <w:sz w:val="24"/>
        </w:rPr>
      </w:pPr>
      <w:r>
        <w:rPr>
          <w:rFonts w:ascii="Times New Roman" w:hAnsi="Times New Roman" w:cs="Times New Roman"/>
          <w:b/>
          <w:sz w:val="24"/>
        </w:rPr>
        <w:lastRenderedPageBreak/>
        <w:t xml:space="preserve">4.0 </w:t>
      </w:r>
      <w:r w:rsidR="008543CD" w:rsidRPr="00877D5C">
        <w:rPr>
          <w:rFonts w:ascii="Times New Roman" w:hAnsi="Times New Roman" w:cs="Times New Roman"/>
          <w:b/>
          <w:sz w:val="24"/>
        </w:rPr>
        <w:t>CONCLUSION</w:t>
      </w:r>
    </w:p>
    <w:p w14:paraId="24E78161" w14:textId="5BF88769"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 xml:space="preserve">The comprehensive risk assessment of heavy metals and Total Petroleum Hydrocarbons (TPH) in soil and produced water samples from the study area reveals significant environmental and health concerns. The elevated concentrations of heavy metals and TPH in soil and produced water pose substantial risks to human health, particularly through ingestion and dermal exposure pathways. The high Hazard Quotient (HQ) and Carcinogenic Risk (CR) values for certain metals and TPH fractions </w:t>
      </w:r>
      <w:r w:rsidR="005C4EEF">
        <w:rPr>
          <w:rFonts w:ascii="Times New Roman" w:hAnsi="Times New Roman" w:cs="Times New Roman"/>
          <w:sz w:val="24"/>
        </w:rPr>
        <w:t>reveals</w:t>
      </w:r>
      <w:r>
        <w:rPr>
          <w:rFonts w:ascii="Times New Roman" w:hAnsi="Times New Roman" w:cs="Times New Roman"/>
          <w:sz w:val="24"/>
        </w:rPr>
        <w:t xml:space="preserve"> the need for immediate attention to mitigate these risks. The findings of this study have significant implications for environmental management and public health policy. The results highlight the importance of implementing effective treatment and management strategies for produced water, as well as remediation measures for contaminated soil. Regulatory agencies and stakeholders must prioritize environmental remediation and pollution prevention to protect human health and the environment. </w:t>
      </w:r>
      <w:r w:rsidR="00620950">
        <w:rPr>
          <w:rFonts w:ascii="Times New Roman" w:hAnsi="Times New Roman" w:cs="Times New Roman"/>
          <w:sz w:val="24"/>
        </w:rPr>
        <w:t>T</w:t>
      </w:r>
      <w:r>
        <w:rPr>
          <w:rFonts w:ascii="Times New Roman" w:hAnsi="Times New Roman" w:cs="Times New Roman"/>
          <w:sz w:val="24"/>
        </w:rPr>
        <w:t>his study emphasizes the need for increased awareness and education among local communities, policymakers, and industry stakeholders regarding the environmental and health risks associated with heavy metal and TPH contamination. By addressing these concerns, we can work towards creating a safer and more sustainable environment for future</w:t>
      </w:r>
      <w:r w:rsidR="00C87FB7">
        <w:rPr>
          <w:rFonts w:ascii="Times New Roman" w:hAnsi="Times New Roman" w:cs="Times New Roman"/>
          <w:sz w:val="24"/>
        </w:rPr>
        <w:t xml:space="preserve"> generations. </w:t>
      </w:r>
      <w:r>
        <w:rPr>
          <w:rFonts w:ascii="Times New Roman" w:hAnsi="Times New Roman" w:cs="Times New Roman"/>
          <w:sz w:val="24"/>
        </w:rPr>
        <w:t>The following recommendations were suggested: Implement</w:t>
      </w:r>
      <w:r w:rsidR="009C4EC2">
        <w:rPr>
          <w:rFonts w:ascii="Times New Roman" w:hAnsi="Times New Roman" w:cs="Times New Roman"/>
          <w:sz w:val="24"/>
        </w:rPr>
        <w:t>ing</w:t>
      </w:r>
      <w:r>
        <w:rPr>
          <w:rFonts w:ascii="Times New Roman" w:hAnsi="Times New Roman" w:cs="Times New Roman"/>
          <w:sz w:val="24"/>
        </w:rPr>
        <w:t xml:space="preserve"> effective treatment and management strategies to reduce he</w:t>
      </w:r>
      <w:r w:rsidR="009C4EC2">
        <w:rPr>
          <w:rFonts w:ascii="Times New Roman" w:hAnsi="Times New Roman" w:cs="Times New Roman"/>
          <w:sz w:val="24"/>
        </w:rPr>
        <w:t>avy metal and TPH contamination, d</w:t>
      </w:r>
      <w:r>
        <w:rPr>
          <w:rFonts w:ascii="Times New Roman" w:hAnsi="Times New Roman" w:cs="Times New Roman"/>
          <w:sz w:val="24"/>
        </w:rPr>
        <w:t>evelop and implement remediation measures for contaminated soil to mitigate</w:t>
      </w:r>
      <w:r w:rsidR="009C4EC2">
        <w:rPr>
          <w:rFonts w:ascii="Times New Roman" w:hAnsi="Times New Roman" w:cs="Times New Roman"/>
          <w:sz w:val="24"/>
        </w:rPr>
        <w:t xml:space="preserve"> environmental and health risks and c</w:t>
      </w:r>
      <w:r>
        <w:rPr>
          <w:rFonts w:ascii="Times New Roman" w:hAnsi="Times New Roman" w:cs="Times New Roman"/>
          <w:sz w:val="24"/>
        </w:rPr>
        <w:t>onduct regular monitoring and risk assessments to ensure the effectiveness of remediation measures and treatment strategies.</w:t>
      </w:r>
    </w:p>
    <w:p w14:paraId="432ABB69" w14:textId="77777777" w:rsidR="00BC6BE0" w:rsidRPr="00293795" w:rsidRDefault="00BC6BE0" w:rsidP="00BC6BE0">
      <w:pPr>
        <w:spacing w:line="360" w:lineRule="auto"/>
        <w:rPr>
          <w:rFonts w:ascii="Times New Roman" w:hAnsi="Times New Roman" w:cs="Times New Roman"/>
          <w:b/>
          <w:sz w:val="24"/>
        </w:rPr>
      </w:pPr>
      <w:r w:rsidRPr="00293795">
        <w:rPr>
          <w:rFonts w:ascii="Times New Roman" w:hAnsi="Times New Roman" w:cs="Times New Roman"/>
          <w:b/>
          <w:sz w:val="24"/>
        </w:rPr>
        <w:t>REFERENCES</w:t>
      </w:r>
    </w:p>
    <w:p w14:paraId="596493E5" w14:textId="77777777" w:rsidR="00BC6BE0" w:rsidRDefault="00BC6BE0" w:rsidP="00BC6BE0">
      <w:pPr>
        <w:spacing w:after="120" w:line="360" w:lineRule="auto"/>
        <w:ind w:left="900" w:hanging="900"/>
        <w:contextualSpacing/>
        <w:jc w:val="both"/>
        <w:rPr>
          <w:rFonts w:ascii="Times New Roman" w:hAnsi="Times New Roman" w:cs="Times New Roman"/>
          <w:sz w:val="24"/>
        </w:rPr>
      </w:pPr>
      <w:r w:rsidRPr="008A1B5D">
        <w:rPr>
          <w:rFonts w:ascii="Times New Roman" w:hAnsi="Times New Roman" w:cs="Times New Roman"/>
          <w:sz w:val="24"/>
          <w:highlight w:val="yellow"/>
        </w:rPr>
        <w:t xml:space="preserve">Adebayo, D. A., and </w:t>
      </w:r>
      <w:proofErr w:type="spellStart"/>
      <w:r w:rsidRPr="008A1B5D">
        <w:rPr>
          <w:rFonts w:ascii="Times New Roman" w:hAnsi="Times New Roman" w:cs="Times New Roman"/>
          <w:sz w:val="24"/>
          <w:highlight w:val="yellow"/>
        </w:rPr>
        <w:t>Olawale</w:t>
      </w:r>
      <w:proofErr w:type="spellEnd"/>
      <w:r w:rsidRPr="008A1B5D">
        <w:rPr>
          <w:rFonts w:ascii="Times New Roman" w:hAnsi="Times New Roman" w:cs="Times New Roman"/>
          <w:sz w:val="24"/>
          <w:highlight w:val="yellow"/>
        </w:rPr>
        <w:t xml:space="preserve">, A. A. (2019). Assessment of heavy metals contamination in water, sediment, and fish from the </w:t>
      </w:r>
      <w:proofErr w:type="spellStart"/>
      <w:r w:rsidRPr="008A1B5D">
        <w:rPr>
          <w:rFonts w:ascii="Times New Roman" w:hAnsi="Times New Roman" w:cs="Times New Roman"/>
          <w:sz w:val="24"/>
          <w:highlight w:val="yellow"/>
        </w:rPr>
        <w:t>Ogun</w:t>
      </w:r>
      <w:proofErr w:type="spellEnd"/>
      <w:r w:rsidRPr="008A1B5D">
        <w:rPr>
          <w:rFonts w:ascii="Times New Roman" w:hAnsi="Times New Roman" w:cs="Times New Roman"/>
          <w:sz w:val="24"/>
          <w:highlight w:val="yellow"/>
        </w:rPr>
        <w:t xml:space="preserve"> River, Nigeria. </w:t>
      </w:r>
      <w:r w:rsidRPr="008A1B5D">
        <w:rPr>
          <w:rFonts w:ascii="Times New Roman" w:hAnsi="Times New Roman" w:cs="Times New Roman"/>
          <w:i/>
          <w:sz w:val="24"/>
          <w:highlight w:val="yellow"/>
        </w:rPr>
        <w:t>Environmental Monitoring and Assessment,</w:t>
      </w:r>
      <w:r w:rsidRPr="008A1B5D">
        <w:rPr>
          <w:rFonts w:ascii="Times New Roman" w:hAnsi="Times New Roman" w:cs="Times New Roman"/>
          <w:sz w:val="24"/>
          <w:highlight w:val="yellow"/>
        </w:rPr>
        <w:t xml:space="preserve"> 190(2), 75-87. </w:t>
      </w:r>
      <w:hyperlink r:id="rId6" w:history="1">
        <w:r w:rsidRPr="008A1B5D">
          <w:rPr>
            <w:rStyle w:val="Hyperlink"/>
            <w:rFonts w:ascii="Times New Roman" w:hAnsi="Times New Roman" w:cs="Times New Roman"/>
            <w:sz w:val="24"/>
            <w:highlight w:val="yellow"/>
          </w:rPr>
          <w:t>https://doi.org/10.1007/s10661-018-6489-6</w:t>
        </w:r>
      </w:hyperlink>
      <w:r w:rsidRPr="008A1B5D">
        <w:rPr>
          <w:rFonts w:ascii="Times New Roman" w:hAnsi="Times New Roman" w:cs="Times New Roman"/>
          <w:sz w:val="24"/>
          <w:highlight w:val="yellow"/>
        </w:rPr>
        <w:t>.</w:t>
      </w:r>
    </w:p>
    <w:p w14:paraId="028A8F7D" w14:textId="77777777" w:rsidR="00BC6BE0" w:rsidRDefault="00BC6BE0" w:rsidP="00BC6BE0">
      <w:pPr>
        <w:spacing w:line="360" w:lineRule="auto"/>
        <w:ind w:left="993" w:hanging="993"/>
        <w:jc w:val="both"/>
        <w:rPr>
          <w:rFonts w:ascii="Times New Roman" w:hAnsi="Times New Roman" w:cs="Times New Roman"/>
          <w:sz w:val="24"/>
        </w:rPr>
      </w:pPr>
      <w:proofErr w:type="spellStart"/>
      <w:r w:rsidRPr="003C79FE">
        <w:rPr>
          <w:rFonts w:ascii="Times New Roman" w:hAnsi="Times New Roman" w:cs="Times New Roman"/>
          <w:sz w:val="24"/>
          <w:highlight w:val="yellow"/>
        </w:rPr>
        <w:t>Adewuyi</w:t>
      </w:r>
      <w:proofErr w:type="spellEnd"/>
      <w:r w:rsidRPr="003C79FE">
        <w:rPr>
          <w:rFonts w:ascii="Times New Roman" w:hAnsi="Times New Roman" w:cs="Times New Roman"/>
          <w:sz w:val="24"/>
          <w:highlight w:val="yellow"/>
        </w:rPr>
        <w:t xml:space="preserve">, G. O., </w:t>
      </w:r>
      <w:proofErr w:type="spellStart"/>
      <w:r w:rsidRPr="003C79FE">
        <w:rPr>
          <w:rFonts w:ascii="Times New Roman" w:hAnsi="Times New Roman" w:cs="Times New Roman"/>
          <w:sz w:val="24"/>
          <w:highlight w:val="yellow"/>
        </w:rPr>
        <w:t>Etchie</w:t>
      </w:r>
      <w:proofErr w:type="spellEnd"/>
      <w:r w:rsidRPr="003C79FE">
        <w:rPr>
          <w:rFonts w:ascii="Times New Roman" w:hAnsi="Times New Roman" w:cs="Times New Roman"/>
          <w:sz w:val="24"/>
          <w:highlight w:val="yellow"/>
        </w:rPr>
        <w:t xml:space="preserve">, A. T., &amp; </w:t>
      </w:r>
      <w:proofErr w:type="spellStart"/>
      <w:r w:rsidRPr="003C79FE">
        <w:rPr>
          <w:rFonts w:ascii="Times New Roman" w:hAnsi="Times New Roman" w:cs="Times New Roman"/>
          <w:sz w:val="24"/>
          <w:highlight w:val="yellow"/>
        </w:rPr>
        <w:t>Etchie</w:t>
      </w:r>
      <w:proofErr w:type="spellEnd"/>
      <w:r w:rsidRPr="003C79FE">
        <w:rPr>
          <w:rFonts w:ascii="Times New Roman" w:hAnsi="Times New Roman" w:cs="Times New Roman"/>
          <w:sz w:val="24"/>
          <w:highlight w:val="yellow"/>
        </w:rPr>
        <w:t xml:space="preserve">, T. O. (2012). Evaluation of total petroleum hydrocarbons (TPH) and some related heavy metals in soil and groundwater of </w:t>
      </w:r>
      <w:proofErr w:type="spellStart"/>
      <w:r w:rsidRPr="003C79FE">
        <w:rPr>
          <w:rFonts w:ascii="Times New Roman" w:hAnsi="Times New Roman" w:cs="Times New Roman"/>
          <w:sz w:val="24"/>
          <w:highlight w:val="yellow"/>
        </w:rPr>
        <w:t>Ubeji</w:t>
      </w:r>
      <w:proofErr w:type="spellEnd"/>
      <w:r w:rsidRPr="003C79FE">
        <w:rPr>
          <w:rFonts w:ascii="Times New Roman" w:hAnsi="Times New Roman" w:cs="Times New Roman"/>
          <w:sz w:val="24"/>
          <w:highlight w:val="yellow"/>
        </w:rPr>
        <w:t xml:space="preserve"> settlement, Warri Metropolis, Nigeria. </w:t>
      </w:r>
      <w:r w:rsidRPr="003C79FE">
        <w:rPr>
          <w:rFonts w:ascii="Times New Roman" w:hAnsi="Times New Roman" w:cs="Times New Roman"/>
          <w:i/>
          <w:iCs/>
          <w:sz w:val="24"/>
          <w:highlight w:val="yellow"/>
        </w:rPr>
        <w:t>Terrestrial and Aquatic Environmental Toxicology</w:t>
      </w:r>
      <w:r w:rsidRPr="003C79FE">
        <w:rPr>
          <w:rFonts w:ascii="Times New Roman" w:hAnsi="Times New Roman" w:cs="Times New Roman"/>
          <w:sz w:val="24"/>
          <w:highlight w:val="yellow"/>
        </w:rPr>
        <w:t>, </w:t>
      </w:r>
      <w:r w:rsidRPr="003C79FE">
        <w:rPr>
          <w:rFonts w:ascii="Times New Roman" w:hAnsi="Times New Roman" w:cs="Times New Roman"/>
          <w:i/>
          <w:iCs/>
          <w:sz w:val="24"/>
          <w:highlight w:val="yellow"/>
        </w:rPr>
        <w:t>6</w:t>
      </w:r>
      <w:r w:rsidRPr="003C79FE">
        <w:rPr>
          <w:rFonts w:ascii="Times New Roman" w:hAnsi="Times New Roman" w:cs="Times New Roman"/>
          <w:sz w:val="24"/>
          <w:highlight w:val="yellow"/>
        </w:rPr>
        <w:t>(1), 61-65.</w:t>
      </w:r>
    </w:p>
    <w:p w14:paraId="18AF52FA" w14:textId="77777777" w:rsidR="00BC6BE0" w:rsidRPr="00293795" w:rsidRDefault="00BC6BE0" w:rsidP="00BC6BE0">
      <w:pPr>
        <w:spacing w:after="120" w:line="360" w:lineRule="auto"/>
        <w:ind w:left="900" w:hanging="900"/>
        <w:contextualSpacing/>
        <w:jc w:val="both"/>
        <w:rPr>
          <w:rFonts w:ascii="Times New Roman" w:hAnsi="Times New Roman" w:cs="Times New Roman"/>
          <w:sz w:val="24"/>
        </w:rPr>
      </w:pPr>
      <w:proofErr w:type="spellStart"/>
      <w:r w:rsidRPr="003C79FE">
        <w:rPr>
          <w:rFonts w:ascii="Times New Roman" w:hAnsi="Times New Roman" w:cs="Times New Roman"/>
          <w:sz w:val="24"/>
          <w:highlight w:val="yellow"/>
        </w:rPr>
        <w:t>Afolabi</w:t>
      </w:r>
      <w:proofErr w:type="spellEnd"/>
      <w:r w:rsidRPr="003C79FE">
        <w:rPr>
          <w:rFonts w:ascii="Times New Roman" w:hAnsi="Times New Roman" w:cs="Times New Roman"/>
          <w:sz w:val="24"/>
          <w:highlight w:val="yellow"/>
        </w:rPr>
        <w:t xml:space="preserve">, O. O., &amp; </w:t>
      </w:r>
      <w:proofErr w:type="spellStart"/>
      <w:r w:rsidRPr="003C79FE">
        <w:rPr>
          <w:rFonts w:ascii="Times New Roman" w:hAnsi="Times New Roman" w:cs="Times New Roman"/>
          <w:sz w:val="24"/>
          <w:highlight w:val="yellow"/>
        </w:rPr>
        <w:t>Adesope</w:t>
      </w:r>
      <w:proofErr w:type="spellEnd"/>
      <w:r w:rsidRPr="003C79FE">
        <w:rPr>
          <w:rFonts w:ascii="Times New Roman" w:hAnsi="Times New Roman" w:cs="Times New Roman"/>
          <w:sz w:val="24"/>
          <w:highlight w:val="yellow"/>
        </w:rPr>
        <w:t xml:space="preserve">, O. M. (2022). </w:t>
      </w:r>
      <w:proofErr w:type="spellStart"/>
      <w:r w:rsidRPr="003C79FE">
        <w:rPr>
          <w:rFonts w:ascii="Times New Roman" w:hAnsi="Times New Roman" w:cs="Times New Roman"/>
          <w:sz w:val="24"/>
          <w:highlight w:val="yellow"/>
        </w:rPr>
        <w:t>Ecotoxicological</w:t>
      </w:r>
      <w:proofErr w:type="spellEnd"/>
      <w:r w:rsidRPr="003C79FE">
        <w:rPr>
          <w:rFonts w:ascii="Times New Roman" w:hAnsi="Times New Roman" w:cs="Times New Roman"/>
          <w:sz w:val="24"/>
          <w:highlight w:val="yellow"/>
        </w:rPr>
        <w:t xml:space="preserve"> risk assessment of heavy metals from remediated oil spill site in Niger Delta region, Nigeria. Environmental Chemistry and Ecotoxicology, 4, 186-193.</w:t>
      </w:r>
    </w:p>
    <w:p w14:paraId="190F0CE1" w14:textId="77777777" w:rsidR="00BC6BE0" w:rsidRPr="00293795" w:rsidRDefault="00BC6BE0" w:rsidP="00BC6BE0">
      <w:pPr>
        <w:spacing w:after="120" w:line="360" w:lineRule="auto"/>
        <w:ind w:left="900" w:hanging="900"/>
        <w:contextualSpacing/>
        <w:jc w:val="both"/>
        <w:rPr>
          <w:rFonts w:ascii="Times New Roman" w:hAnsi="Times New Roman" w:cs="Times New Roman"/>
          <w:bCs/>
          <w:sz w:val="24"/>
          <w:szCs w:val="24"/>
          <w:shd w:val="clear" w:color="auto" w:fill="FFFFFF"/>
        </w:rPr>
      </w:pPr>
      <w:r w:rsidRPr="003C79FE">
        <w:rPr>
          <w:rFonts w:ascii="Times New Roman" w:hAnsi="Times New Roman" w:cs="Times New Roman"/>
          <w:bCs/>
          <w:sz w:val="24"/>
          <w:szCs w:val="24"/>
          <w:highlight w:val="yellow"/>
          <w:shd w:val="clear" w:color="auto" w:fill="FFFFFF"/>
        </w:rPr>
        <w:lastRenderedPageBreak/>
        <w:t xml:space="preserve">Aja, O. E., </w:t>
      </w:r>
      <w:proofErr w:type="spellStart"/>
      <w:r w:rsidRPr="003C79FE">
        <w:rPr>
          <w:rFonts w:ascii="Times New Roman" w:hAnsi="Times New Roman" w:cs="Times New Roman"/>
          <w:bCs/>
          <w:sz w:val="24"/>
          <w:szCs w:val="24"/>
          <w:highlight w:val="yellow"/>
          <w:shd w:val="clear" w:color="auto" w:fill="FFFFFF"/>
        </w:rPr>
        <w:t>Obiageli</w:t>
      </w:r>
      <w:proofErr w:type="spellEnd"/>
      <w:r w:rsidRPr="003C79FE">
        <w:rPr>
          <w:rFonts w:ascii="Times New Roman" w:hAnsi="Times New Roman" w:cs="Times New Roman"/>
          <w:bCs/>
          <w:sz w:val="24"/>
          <w:szCs w:val="24"/>
          <w:highlight w:val="yellow"/>
          <w:shd w:val="clear" w:color="auto" w:fill="FFFFFF"/>
        </w:rPr>
        <w:t xml:space="preserve">, O. V., </w:t>
      </w:r>
      <w:proofErr w:type="spellStart"/>
      <w:r w:rsidRPr="003C79FE">
        <w:rPr>
          <w:rFonts w:ascii="Times New Roman" w:hAnsi="Times New Roman" w:cs="Times New Roman"/>
          <w:bCs/>
          <w:sz w:val="24"/>
          <w:szCs w:val="24"/>
          <w:highlight w:val="yellow"/>
          <w:shd w:val="clear" w:color="auto" w:fill="FFFFFF"/>
        </w:rPr>
        <w:t>Oragwu</w:t>
      </w:r>
      <w:proofErr w:type="spellEnd"/>
      <w:r w:rsidRPr="003C79FE">
        <w:rPr>
          <w:rFonts w:ascii="Times New Roman" w:hAnsi="Times New Roman" w:cs="Times New Roman"/>
          <w:bCs/>
          <w:sz w:val="24"/>
          <w:szCs w:val="24"/>
          <w:highlight w:val="yellow"/>
          <w:shd w:val="clear" w:color="auto" w:fill="FFFFFF"/>
        </w:rPr>
        <w:t xml:space="preserve">, I. P., </w:t>
      </w:r>
      <w:proofErr w:type="spellStart"/>
      <w:r w:rsidRPr="003C79FE">
        <w:rPr>
          <w:rFonts w:ascii="Times New Roman" w:hAnsi="Times New Roman" w:cs="Times New Roman"/>
          <w:bCs/>
          <w:sz w:val="24"/>
          <w:szCs w:val="24"/>
          <w:highlight w:val="yellow"/>
          <w:shd w:val="clear" w:color="auto" w:fill="FFFFFF"/>
        </w:rPr>
        <w:t>Princewill</w:t>
      </w:r>
      <w:proofErr w:type="spellEnd"/>
      <w:r w:rsidRPr="003C79FE">
        <w:rPr>
          <w:rFonts w:ascii="Times New Roman" w:hAnsi="Times New Roman" w:cs="Times New Roman"/>
          <w:bCs/>
          <w:sz w:val="24"/>
          <w:szCs w:val="24"/>
          <w:highlight w:val="yellow"/>
          <w:shd w:val="clear" w:color="auto" w:fill="FFFFFF"/>
        </w:rPr>
        <w:t xml:space="preserve">, O. A., and </w:t>
      </w:r>
      <w:proofErr w:type="spellStart"/>
      <w:r w:rsidRPr="003C79FE">
        <w:rPr>
          <w:rFonts w:ascii="Times New Roman" w:hAnsi="Times New Roman" w:cs="Times New Roman"/>
          <w:bCs/>
          <w:sz w:val="24"/>
          <w:szCs w:val="24"/>
          <w:highlight w:val="yellow"/>
          <w:shd w:val="clear" w:color="auto" w:fill="FFFFFF"/>
        </w:rPr>
        <w:t>Okwuego</w:t>
      </w:r>
      <w:proofErr w:type="spellEnd"/>
      <w:r w:rsidRPr="003C79FE">
        <w:rPr>
          <w:rFonts w:ascii="Times New Roman" w:hAnsi="Times New Roman" w:cs="Times New Roman"/>
          <w:bCs/>
          <w:sz w:val="24"/>
          <w:szCs w:val="24"/>
          <w:highlight w:val="yellow"/>
          <w:shd w:val="clear" w:color="auto" w:fill="FFFFFF"/>
        </w:rPr>
        <w:t xml:space="preserve">, P. O. (2025). Assessment of Heavy Metals and Polycyclic Aromatic Hydrocarbons in Soil and Water in Selected Mining Areas of </w:t>
      </w:r>
      <w:proofErr w:type="spellStart"/>
      <w:r w:rsidRPr="003C79FE">
        <w:rPr>
          <w:rFonts w:ascii="Times New Roman" w:hAnsi="Times New Roman" w:cs="Times New Roman"/>
          <w:bCs/>
          <w:sz w:val="24"/>
          <w:szCs w:val="24"/>
          <w:highlight w:val="yellow"/>
          <w:shd w:val="clear" w:color="auto" w:fill="FFFFFF"/>
        </w:rPr>
        <w:t>Ebonyi</w:t>
      </w:r>
      <w:proofErr w:type="spellEnd"/>
      <w:r w:rsidRPr="003C79FE">
        <w:rPr>
          <w:rFonts w:ascii="Times New Roman" w:hAnsi="Times New Roman" w:cs="Times New Roman"/>
          <w:bCs/>
          <w:sz w:val="24"/>
          <w:szCs w:val="24"/>
          <w:highlight w:val="yellow"/>
          <w:shd w:val="clear" w:color="auto" w:fill="FFFFFF"/>
        </w:rPr>
        <w:t xml:space="preserve"> State, Nigeria. </w:t>
      </w:r>
      <w:r w:rsidRPr="003C79FE">
        <w:rPr>
          <w:rFonts w:ascii="Times New Roman" w:hAnsi="Times New Roman" w:cs="Times New Roman"/>
          <w:bCs/>
          <w:i/>
          <w:sz w:val="24"/>
          <w:szCs w:val="24"/>
          <w:highlight w:val="yellow"/>
          <w:shd w:val="clear" w:color="auto" w:fill="FFFFFF"/>
        </w:rPr>
        <w:t>Journal of Global Ecology and Environment,</w:t>
      </w:r>
      <w:r w:rsidRPr="003C79FE">
        <w:rPr>
          <w:rFonts w:ascii="Times New Roman" w:hAnsi="Times New Roman" w:cs="Times New Roman"/>
          <w:bCs/>
          <w:sz w:val="24"/>
          <w:szCs w:val="24"/>
          <w:highlight w:val="yellow"/>
          <w:shd w:val="clear" w:color="auto" w:fill="FFFFFF"/>
        </w:rPr>
        <w:t xml:space="preserve"> 21(2), 12–27. https://doi.org/10.56557/jogee/2025/v21i29123.</w:t>
      </w:r>
    </w:p>
    <w:p w14:paraId="716DC5DD" w14:textId="77777777" w:rsidR="00BC6BE0" w:rsidRPr="00293795" w:rsidRDefault="00BC6BE0" w:rsidP="00BC6BE0">
      <w:pPr>
        <w:spacing w:after="120" w:line="360" w:lineRule="auto"/>
        <w:ind w:left="900" w:hanging="900"/>
        <w:contextualSpacing/>
        <w:jc w:val="both"/>
        <w:rPr>
          <w:rFonts w:ascii="Times New Roman" w:hAnsi="Times New Roman" w:cs="Times New Roman"/>
          <w:sz w:val="24"/>
        </w:rPr>
      </w:pPr>
      <w:proofErr w:type="spellStart"/>
      <w:r w:rsidRPr="003C79FE">
        <w:rPr>
          <w:rFonts w:ascii="Times New Roman" w:hAnsi="Times New Roman" w:cs="Times New Roman"/>
          <w:sz w:val="24"/>
          <w:highlight w:val="yellow"/>
        </w:rPr>
        <w:t>Almutairi</w:t>
      </w:r>
      <w:proofErr w:type="spellEnd"/>
      <w:r w:rsidRPr="003C79FE">
        <w:rPr>
          <w:rFonts w:ascii="Times New Roman" w:hAnsi="Times New Roman" w:cs="Times New Roman"/>
          <w:sz w:val="24"/>
          <w:highlight w:val="yellow"/>
        </w:rPr>
        <w:t>, M. S. (2022). Determination of total petroleum hydrocarbons (TPHs) in weathered oil contaminated soil. Environmental Engineering Research, 27(5).</w:t>
      </w:r>
    </w:p>
    <w:p w14:paraId="1B4C9CFC" w14:textId="77777777" w:rsidR="00BC6BE0" w:rsidRDefault="00BC6BE0" w:rsidP="00BC6BE0">
      <w:pPr>
        <w:spacing w:after="120" w:line="360" w:lineRule="auto"/>
        <w:ind w:left="900" w:hanging="900"/>
        <w:contextualSpacing/>
        <w:jc w:val="both"/>
        <w:rPr>
          <w:rFonts w:ascii="Times New Roman" w:hAnsi="Times New Roman" w:cs="Times New Roman"/>
          <w:sz w:val="24"/>
        </w:rPr>
      </w:pPr>
      <w:proofErr w:type="spellStart"/>
      <w:r w:rsidRPr="003C79FE">
        <w:rPr>
          <w:rFonts w:ascii="Times New Roman" w:hAnsi="Times New Roman" w:cs="Times New Roman"/>
          <w:sz w:val="24"/>
          <w:highlight w:val="yellow"/>
        </w:rPr>
        <w:t>Amadi</w:t>
      </w:r>
      <w:proofErr w:type="spellEnd"/>
      <w:r w:rsidRPr="003C79FE">
        <w:rPr>
          <w:rFonts w:ascii="Times New Roman" w:hAnsi="Times New Roman" w:cs="Times New Roman"/>
          <w:sz w:val="24"/>
          <w:highlight w:val="yellow"/>
        </w:rPr>
        <w:t>, C. E. (2014). The Niger delta: aspects of human health risk associated with the petroleum industry.</w:t>
      </w:r>
    </w:p>
    <w:p w14:paraId="652F2006" w14:textId="77777777" w:rsidR="00BC6BE0" w:rsidRDefault="00BC6BE0" w:rsidP="00BC6BE0">
      <w:pPr>
        <w:spacing w:line="360" w:lineRule="auto"/>
        <w:ind w:left="993" w:hanging="993"/>
        <w:jc w:val="both"/>
        <w:rPr>
          <w:rFonts w:ascii="Times New Roman" w:hAnsi="Times New Roman" w:cs="Times New Roman"/>
          <w:sz w:val="24"/>
        </w:rPr>
      </w:pPr>
      <w:proofErr w:type="spellStart"/>
      <w:r w:rsidRPr="008A1B5D">
        <w:rPr>
          <w:rFonts w:ascii="Times New Roman" w:hAnsi="Times New Roman" w:cs="Times New Roman"/>
          <w:sz w:val="24"/>
          <w:highlight w:val="yellow"/>
        </w:rPr>
        <w:t>Ankapong</w:t>
      </w:r>
      <w:proofErr w:type="spellEnd"/>
      <w:r w:rsidRPr="008A1B5D">
        <w:rPr>
          <w:rFonts w:ascii="Times New Roman" w:hAnsi="Times New Roman" w:cs="Times New Roman"/>
          <w:sz w:val="24"/>
          <w:highlight w:val="yellow"/>
        </w:rPr>
        <w:t xml:space="preserve">, E., Dodd, M., &amp; </w:t>
      </w:r>
      <w:proofErr w:type="spellStart"/>
      <w:r w:rsidRPr="008A1B5D">
        <w:rPr>
          <w:rFonts w:ascii="Times New Roman" w:hAnsi="Times New Roman" w:cs="Times New Roman"/>
          <w:sz w:val="24"/>
          <w:highlight w:val="yellow"/>
        </w:rPr>
        <w:t>Darko</w:t>
      </w:r>
      <w:proofErr w:type="spellEnd"/>
      <w:r w:rsidRPr="008A1B5D">
        <w:rPr>
          <w:rFonts w:ascii="Times New Roman" w:hAnsi="Times New Roman" w:cs="Times New Roman"/>
          <w:sz w:val="24"/>
          <w:highlight w:val="yellow"/>
        </w:rPr>
        <w:t>, G. (2025). Speciation, contamination, and risk assessment of potentially toxic elements in soils from mining and non-mining areas in Ghana. Environmental Geochemistry and Health, 47(6), 1-25.</w:t>
      </w:r>
    </w:p>
    <w:p w14:paraId="5BEC7406" w14:textId="77777777" w:rsidR="00BC6BE0" w:rsidRPr="00293795" w:rsidRDefault="00BC6BE0" w:rsidP="00BC6BE0">
      <w:pPr>
        <w:pStyle w:val="Default"/>
        <w:spacing w:after="200" w:line="360" w:lineRule="auto"/>
        <w:ind w:left="810" w:hanging="720"/>
        <w:contextualSpacing/>
        <w:jc w:val="both"/>
        <w:rPr>
          <w:color w:val="auto"/>
        </w:rPr>
      </w:pPr>
      <w:r w:rsidRPr="003C79FE">
        <w:rPr>
          <w:color w:val="auto"/>
          <w:highlight w:val="yellow"/>
        </w:rPr>
        <w:t xml:space="preserve">APHA.  (2017). Standard methods for the examination of water and wastewater, 23rd Edition, Washington, DC, </w:t>
      </w:r>
      <w:proofErr w:type="spellStart"/>
      <w:r w:rsidRPr="003C79FE">
        <w:rPr>
          <w:color w:val="auto"/>
          <w:highlight w:val="yellow"/>
        </w:rPr>
        <w:t>pp</w:t>
      </w:r>
      <w:proofErr w:type="spellEnd"/>
      <w:r w:rsidRPr="003C79FE">
        <w:rPr>
          <w:color w:val="auto"/>
          <w:highlight w:val="yellow"/>
        </w:rPr>
        <w:t xml:space="preserve"> 148- 176.</w:t>
      </w:r>
    </w:p>
    <w:p w14:paraId="192BEEF6" w14:textId="77777777" w:rsidR="00BC6BE0" w:rsidRPr="00293795" w:rsidRDefault="00BC6BE0" w:rsidP="00BC6BE0">
      <w:pPr>
        <w:spacing w:after="120" w:line="360" w:lineRule="auto"/>
        <w:ind w:left="900" w:hanging="900"/>
        <w:contextualSpacing/>
        <w:jc w:val="both"/>
        <w:rPr>
          <w:rFonts w:ascii="Times New Roman" w:hAnsi="Times New Roman" w:cs="Times New Roman"/>
          <w:sz w:val="24"/>
        </w:rPr>
      </w:pPr>
      <w:proofErr w:type="spellStart"/>
      <w:r w:rsidRPr="003C79FE">
        <w:rPr>
          <w:rFonts w:ascii="Times New Roman" w:hAnsi="Times New Roman" w:cs="Times New Roman"/>
          <w:sz w:val="24"/>
          <w:highlight w:val="yellow"/>
        </w:rPr>
        <w:t>Baessa</w:t>
      </w:r>
      <w:proofErr w:type="spellEnd"/>
      <w:r w:rsidRPr="003C79FE">
        <w:rPr>
          <w:rFonts w:ascii="Times New Roman" w:hAnsi="Times New Roman" w:cs="Times New Roman"/>
          <w:sz w:val="24"/>
          <w:highlight w:val="yellow"/>
        </w:rPr>
        <w:t xml:space="preserve">, M. P. M., Chang, H. K., </w:t>
      </w:r>
      <w:proofErr w:type="spellStart"/>
      <w:r w:rsidRPr="003C79FE">
        <w:rPr>
          <w:rFonts w:ascii="Times New Roman" w:hAnsi="Times New Roman" w:cs="Times New Roman"/>
          <w:sz w:val="24"/>
          <w:highlight w:val="yellow"/>
        </w:rPr>
        <w:t>Teramoto</w:t>
      </w:r>
      <w:proofErr w:type="spellEnd"/>
      <w:r w:rsidRPr="003C79FE">
        <w:rPr>
          <w:rFonts w:ascii="Times New Roman" w:hAnsi="Times New Roman" w:cs="Times New Roman"/>
          <w:sz w:val="24"/>
          <w:highlight w:val="yellow"/>
        </w:rPr>
        <w:t xml:space="preserve">, E. H., </w:t>
      </w:r>
      <w:proofErr w:type="spellStart"/>
      <w:r w:rsidRPr="003C79FE">
        <w:rPr>
          <w:rFonts w:ascii="Times New Roman" w:hAnsi="Times New Roman" w:cs="Times New Roman"/>
          <w:sz w:val="24"/>
          <w:highlight w:val="yellow"/>
        </w:rPr>
        <w:t>Panegassi</w:t>
      </w:r>
      <w:proofErr w:type="spellEnd"/>
      <w:r w:rsidRPr="003C79FE">
        <w:rPr>
          <w:rFonts w:ascii="Times New Roman" w:hAnsi="Times New Roman" w:cs="Times New Roman"/>
          <w:sz w:val="24"/>
          <w:highlight w:val="yellow"/>
        </w:rPr>
        <w:t xml:space="preserve">, B., </w:t>
      </w:r>
      <w:proofErr w:type="spellStart"/>
      <w:r w:rsidRPr="003C79FE">
        <w:rPr>
          <w:rFonts w:ascii="Times New Roman" w:hAnsi="Times New Roman" w:cs="Times New Roman"/>
          <w:sz w:val="24"/>
          <w:highlight w:val="yellow"/>
        </w:rPr>
        <w:t>Engelbrecht</w:t>
      </w:r>
      <w:proofErr w:type="spellEnd"/>
      <w:r w:rsidRPr="003C79FE">
        <w:rPr>
          <w:rFonts w:ascii="Times New Roman" w:hAnsi="Times New Roman" w:cs="Times New Roman"/>
          <w:sz w:val="24"/>
          <w:highlight w:val="yellow"/>
        </w:rPr>
        <w:t>, B. Z., &amp; Soriano, A. U. (2024). Integrating high-resolution investigation and soil TPH analysis for accurate estimation of LNAPL volume in the subsurface. Environmental Earth Sciences, 83(13), 415.</w:t>
      </w:r>
    </w:p>
    <w:p w14:paraId="457B129B" w14:textId="77777777" w:rsidR="00BC6BE0" w:rsidRPr="00293795" w:rsidRDefault="00BC6BE0" w:rsidP="00BC6BE0">
      <w:pPr>
        <w:spacing w:after="120" w:line="360" w:lineRule="auto"/>
        <w:ind w:left="900" w:hanging="900"/>
        <w:contextualSpacing/>
        <w:jc w:val="both"/>
        <w:rPr>
          <w:rFonts w:ascii="Times New Roman" w:hAnsi="Times New Roman" w:cs="Times New Roman"/>
          <w:sz w:val="24"/>
        </w:rPr>
      </w:pPr>
      <w:proofErr w:type="spellStart"/>
      <w:r w:rsidRPr="0044011E">
        <w:rPr>
          <w:rFonts w:ascii="Times New Roman" w:hAnsi="Times New Roman" w:cs="Times New Roman"/>
          <w:sz w:val="24"/>
          <w:highlight w:val="yellow"/>
        </w:rPr>
        <w:t>Cheraghi</w:t>
      </w:r>
      <w:proofErr w:type="spellEnd"/>
      <w:r w:rsidRPr="0044011E">
        <w:rPr>
          <w:rFonts w:ascii="Times New Roman" w:hAnsi="Times New Roman" w:cs="Times New Roman"/>
          <w:sz w:val="24"/>
          <w:highlight w:val="yellow"/>
        </w:rPr>
        <w:t xml:space="preserve">, M., SOBHAN, A. S., </w:t>
      </w:r>
      <w:proofErr w:type="spellStart"/>
      <w:r w:rsidRPr="0044011E">
        <w:rPr>
          <w:rFonts w:ascii="Times New Roman" w:hAnsi="Times New Roman" w:cs="Times New Roman"/>
          <w:sz w:val="24"/>
          <w:highlight w:val="yellow"/>
        </w:rPr>
        <w:t>Lorestani</w:t>
      </w:r>
      <w:proofErr w:type="spellEnd"/>
      <w:r w:rsidRPr="0044011E">
        <w:rPr>
          <w:rFonts w:ascii="Times New Roman" w:hAnsi="Times New Roman" w:cs="Times New Roman"/>
          <w:sz w:val="24"/>
          <w:highlight w:val="yellow"/>
        </w:rPr>
        <w:t xml:space="preserve">, B., </w:t>
      </w:r>
      <w:proofErr w:type="spellStart"/>
      <w:r w:rsidRPr="0044011E">
        <w:rPr>
          <w:rFonts w:ascii="Times New Roman" w:hAnsi="Times New Roman" w:cs="Times New Roman"/>
          <w:sz w:val="24"/>
          <w:highlight w:val="yellow"/>
        </w:rPr>
        <w:t>Merrikhpour</w:t>
      </w:r>
      <w:proofErr w:type="spellEnd"/>
      <w:r w:rsidRPr="0044011E">
        <w:rPr>
          <w:rFonts w:ascii="Times New Roman" w:hAnsi="Times New Roman" w:cs="Times New Roman"/>
          <w:sz w:val="24"/>
          <w:highlight w:val="yellow"/>
        </w:rPr>
        <w:t xml:space="preserve">, H., &amp; </w:t>
      </w:r>
      <w:proofErr w:type="spellStart"/>
      <w:r w:rsidRPr="0044011E">
        <w:rPr>
          <w:rFonts w:ascii="Times New Roman" w:hAnsi="Times New Roman" w:cs="Times New Roman"/>
          <w:sz w:val="24"/>
          <w:highlight w:val="yellow"/>
        </w:rPr>
        <w:t>ParviziMosaed</w:t>
      </w:r>
      <w:proofErr w:type="spellEnd"/>
      <w:r w:rsidRPr="0044011E">
        <w:rPr>
          <w:rFonts w:ascii="Times New Roman" w:hAnsi="Times New Roman" w:cs="Times New Roman"/>
          <w:sz w:val="24"/>
          <w:highlight w:val="yellow"/>
        </w:rPr>
        <w:t>, H. (2015). Biochemical and physical characterization of petroleum hydrocarbon contaminated soils in Tehran.</w:t>
      </w:r>
    </w:p>
    <w:p w14:paraId="1D85A9D7" w14:textId="77777777" w:rsidR="00BC6BE0" w:rsidRDefault="00BC6BE0" w:rsidP="00BC6BE0">
      <w:pPr>
        <w:spacing w:after="120" w:line="360" w:lineRule="auto"/>
        <w:ind w:left="900" w:hanging="900"/>
        <w:contextualSpacing/>
        <w:jc w:val="both"/>
        <w:rPr>
          <w:rFonts w:ascii="Times New Roman" w:hAnsi="Times New Roman" w:cs="Times New Roman"/>
          <w:sz w:val="24"/>
        </w:rPr>
      </w:pPr>
      <w:proofErr w:type="spellStart"/>
      <w:r w:rsidRPr="003C79FE">
        <w:rPr>
          <w:rFonts w:ascii="Times New Roman" w:hAnsi="Times New Roman" w:cs="Times New Roman"/>
          <w:sz w:val="24"/>
          <w:highlight w:val="yellow"/>
        </w:rPr>
        <w:t>Choong</w:t>
      </w:r>
      <w:proofErr w:type="spellEnd"/>
      <w:r w:rsidRPr="003C79FE">
        <w:rPr>
          <w:rFonts w:ascii="Times New Roman" w:hAnsi="Times New Roman" w:cs="Times New Roman"/>
          <w:sz w:val="24"/>
          <w:highlight w:val="yellow"/>
        </w:rPr>
        <w:t xml:space="preserve">, C. E., Wong, K. T., Yoon, S. Y., </w:t>
      </w:r>
      <w:proofErr w:type="spellStart"/>
      <w:r w:rsidRPr="003C79FE">
        <w:rPr>
          <w:rFonts w:ascii="Times New Roman" w:hAnsi="Times New Roman" w:cs="Times New Roman"/>
          <w:sz w:val="24"/>
          <w:highlight w:val="yellow"/>
        </w:rPr>
        <w:t>Abd</w:t>
      </w:r>
      <w:proofErr w:type="spellEnd"/>
      <w:r w:rsidRPr="003C79FE">
        <w:rPr>
          <w:rFonts w:ascii="Times New Roman" w:hAnsi="Times New Roman" w:cs="Times New Roman"/>
          <w:sz w:val="24"/>
          <w:highlight w:val="yellow"/>
        </w:rPr>
        <w:t xml:space="preserve"> Rahman, N., Yoon, Y., Choi, E. H., &amp; Jang, M. (2024). New strategy to optimize in-situ </w:t>
      </w:r>
      <w:proofErr w:type="spellStart"/>
      <w:r w:rsidRPr="003C79FE">
        <w:rPr>
          <w:rFonts w:ascii="Times New Roman" w:hAnsi="Times New Roman" w:cs="Times New Roman"/>
          <w:sz w:val="24"/>
          <w:highlight w:val="yellow"/>
        </w:rPr>
        <w:t>fenton</w:t>
      </w:r>
      <w:proofErr w:type="spellEnd"/>
      <w:r w:rsidRPr="003C79FE">
        <w:rPr>
          <w:rFonts w:ascii="Times New Roman" w:hAnsi="Times New Roman" w:cs="Times New Roman"/>
          <w:sz w:val="24"/>
          <w:highlight w:val="yellow"/>
        </w:rPr>
        <w:t xml:space="preserve"> oxidation for TPH contaminated soil remediation via artificial neural network approach. Chemosphere, 363, 142757.</w:t>
      </w:r>
    </w:p>
    <w:p w14:paraId="2BD1554E" w14:textId="77777777" w:rsidR="00BC6BE0" w:rsidRDefault="00BC6BE0" w:rsidP="00BC6BE0">
      <w:pPr>
        <w:autoSpaceDE w:val="0"/>
        <w:autoSpaceDN w:val="0"/>
        <w:adjustRightInd w:val="0"/>
        <w:spacing w:after="120" w:line="360" w:lineRule="auto"/>
        <w:ind w:left="810" w:hanging="810"/>
        <w:contextualSpacing/>
        <w:jc w:val="both"/>
        <w:rPr>
          <w:rFonts w:ascii="Times New Roman" w:hAnsi="Times New Roman" w:cs="Times New Roman"/>
          <w:sz w:val="24"/>
          <w:szCs w:val="24"/>
        </w:rPr>
      </w:pPr>
      <w:proofErr w:type="spellStart"/>
      <w:r w:rsidRPr="008A1B5D">
        <w:rPr>
          <w:rFonts w:ascii="Times New Roman" w:hAnsi="Times New Roman" w:cs="Times New Roman"/>
          <w:sz w:val="24"/>
          <w:szCs w:val="24"/>
          <w:highlight w:val="yellow"/>
        </w:rPr>
        <w:t>Ezeani</w:t>
      </w:r>
      <w:proofErr w:type="spellEnd"/>
      <w:r w:rsidRPr="008A1B5D">
        <w:rPr>
          <w:rFonts w:ascii="Times New Roman" w:hAnsi="Times New Roman" w:cs="Times New Roman"/>
          <w:sz w:val="24"/>
          <w:szCs w:val="24"/>
          <w:highlight w:val="yellow"/>
        </w:rPr>
        <w:t xml:space="preserve">, E. U., </w:t>
      </w:r>
      <w:proofErr w:type="spellStart"/>
      <w:r w:rsidRPr="008A1B5D">
        <w:rPr>
          <w:rFonts w:ascii="Times New Roman" w:hAnsi="Times New Roman" w:cs="Times New Roman"/>
          <w:sz w:val="24"/>
          <w:szCs w:val="24"/>
          <w:highlight w:val="yellow"/>
        </w:rPr>
        <w:t>Ngobiri</w:t>
      </w:r>
      <w:proofErr w:type="spellEnd"/>
      <w:r w:rsidRPr="008A1B5D">
        <w:rPr>
          <w:rFonts w:ascii="Times New Roman" w:hAnsi="Times New Roman" w:cs="Times New Roman"/>
          <w:sz w:val="24"/>
          <w:szCs w:val="24"/>
          <w:highlight w:val="yellow"/>
        </w:rPr>
        <w:t xml:space="preserve">, N. C., &amp; </w:t>
      </w:r>
      <w:proofErr w:type="spellStart"/>
      <w:r w:rsidRPr="008A1B5D">
        <w:rPr>
          <w:rFonts w:ascii="Times New Roman" w:hAnsi="Times New Roman" w:cs="Times New Roman"/>
          <w:sz w:val="24"/>
          <w:szCs w:val="24"/>
          <w:highlight w:val="yellow"/>
        </w:rPr>
        <w:t>Agbagwa</w:t>
      </w:r>
      <w:proofErr w:type="spellEnd"/>
      <w:r w:rsidRPr="008A1B5D">
        <w:rPr>
          <w:rFonts w:ascii="Times New Roman" w:hAnsi="Times New Roman" w:cs="Times New Roman"/>
          <w:sz w:val="24"/>
          <w:szCs w:val="24"/>
          <w:highlight w:val="yellow"/>
        </w:rPr>
        <w:t>, I. O. (2022). A Review of Techniques for the Determination of Total Petroleum Hydrocarbons in Soils. Asian Journal of Applied Chemistry Research, 11(2), 38-43.</w:t>
      </w:r>
    </w:p>
    <w:p w14:paraId="18C24DA8" w14:textId="77777777" w:rsidR="00BC6BE0" w:rsidRDefault="00BC6BE0" w:rsidP="00BC6BE0">
      <w:pPr>
        <w:spacing w:line="360" w:lineRule="auto"/>
        <w:ind w:left="993" w:hanging="993"/>
        <w:jc w:val="both"/>
        <w:rPr>
          <w:rFonts w:ascii="Times New Roman" w:hAnsi="Times New Roman" w:cs="Times New Roman"/>
          <w:sz w:val="24"/>
        </w:rPr>
      </w:pPr>
      <w:r w:rsidRPr="008A1B5D">
        <w:rPr>
          <w:rFonts w:ascii="Times New Roman" w:hAnsi="Times New Roman" w:cs="Times New Roman"/>
          <w:sz w:val="24"/>
          <w:highlight w:val="yellow"/>
        </w:rPr>
        <w:t xml:space="preserve">James, P., &amp; Douglas, I. (2023). Urban ecology: an introduction. </w:t>
      </w:r>
      <w:proofErr w:type="spellStart"/>
      <w:r w:rsidRPr="008A1B5D">
        <w:rPr>
          <w:rFonts w:ascii="Times New Roman" w:hAnsi="Times New Roman" w:cs="Times New Roman"/>
          <w:sz w:val="24"/>
          <w:highlight w:val="yellow"/>
        </w:rPr>
        <w:t>Routledge</w:t>
      </w:r>
      <w:proofErr w:type="spellEnd"/>
      <w:r w:rsidRPr="008A1B5D">
        <w:rPr>
          <w:rFonts w:ascii="Times New Roman" w:hAnsi="Times New Roman" w:cs="Times New Roman"/>
          <w:sz w:val="24"/>
          <w:highlight w:val="yellow"/>
        </w:rPr>
        <w:t>.</w:t>
      </w:r>
    </w:p>
    <w:p w14:paraId="7129E1F9" w14:textId="77777777" w:rsidR="00BC6BE0" w:rsidRPr="00293795" w:rsidRDefault="00BC6BE0" w:rsidP="00BC6BE0">
      <w:pPr>
        <w:autoSpaceDE w:val="0"/>
        <w:autoSpaceDN w:val="0"/>
        <w:adjustRightInd w:val="0"/>
        <w:spacing w:after="120" w:line="360" w:lineRule="auto"/>
        <w:ind w:left="810" w:hanging="810"/>
        <w:contextualSpacing/>
        <w:jc w:val="both"/>
        <w:rPr>
          <w:rFonts w:ascii="Times New Roman" w:hAnsi="Times New Roman" w:cs="Times New Roman"/>
          <w:sz w:val="24"/>
          <w:szCs w:val="24"/>
        </w:rPr>
      </w:pPr>
      <w:proofErr w:type="spellStart"/>
      <w:r w:rsidRPr="003C79FE">
        <w:rPr>
          <w:rFonts w:ascii="Times New Roman" w:hAnsi="Times New Roman" w:cs="Times New Roman"/>
          <w:sz w:val="24"/>
          <w:szCs w:val="24"/>
          <w:highlight w:val="yellow"/>
        </w:rPr>
        <w:t>Júnior</w:t>
      </w:r>
      <w:proofErr w:type="spellEnd"/>
      <w:r w:rsidRPr="003C79FE">
        <w:rPr>
          <w:rFonts w:ascii="Times New Roman" w:hAnsi="Times New Roman" w:cs="Times New Roman"/>
          <w:sz w:val="24"/>
          <w:szCs w:val="24"/>
          <w:highlight w:val="yellow"/>
        </w:rPr>
        <w:t xml:space="preserve">, I. P., dos Santos, J. M., </w:t>
      </w:r>
      <w:proofErr w:type="spellStart"/>
      <w:r w:rsidRPr="003C79FE">
        <w:rPr>
          <w:rFonts w:ascii="Times New Roman" w:hAnsi="Times New Roman" w:cs="Times New Roman"/>
          <w:sz w:val="24"/>
          <w:szCs w:val="24"/>
          <w:highlight w:val="yellow"/>
        </w:rPr>
        <w:t>Ataide</w:t>
      </w:r>
      <w:proofErr w:type="spellEnd"/>
      <w:r w:rsidRPr="003C79FE">
        <w:rPr>
          <w:rFonts w:ascii="Times New Roman" w:hAnsi="Times New Roman" w:cs="Times New Roman"/>
          <w:sz w:val="24"/>
          <w:szCs w:val="24"/>
          <w:highlight w:val="yellow"/>
        </w:rPr>
        <w:t>, C. H., &amp; Duarte, C. R. (2020). A novel method to determine total petroleum hydrocarbon (TPH) and water contents in reservoir drill cuttings. Journal of Petroleum Science and Engineering, 195, 107760.</w:t>
      </w:r>
    </w:p>
    <w:p w14:paraId="6ECEF348" w14:textId="77777777" w:rsidR="00BC6BE0" w:rsidRDefault="00BC6BE0" w:rsidP="00BC6BE0">
      <w:pPr>
        <w:spacing w:line="360" w:lineRule="auto"/>
        <w:ind w:left="993" w:hanging="993"/>
        <w:jc w:val="both"/>
        <w:rPr>
          <w:rFonts w:ascii="Times New Roman" w:hAnsi="Times New Roman" w:cs="Times New Roman"/>
          <w:sz w:val="24"/>
        </w:rPr>
      </w:pPr>
      <w:r w:rsidRPr="003C79FE">
        <w:rPr>
          <w:rFonts w:ascii="Times New Roman" w:hAnsi="Times New Roman" w:cs="Times New Roman"/>
          <w:sz w:val="24"/>
          <w:highlight w:val="yellow"/>
        </w:rPr>
        <w:lastRenderedPageBreak/>
        <w:t xml:space="preserve">Kumar, V., Sharma, A., Kumar, R., Bhardwaj, R., Kumar </w:t>
      </w:r>
      <w:proofErr w:type="spellStart"/>
      <w:r w:rsidRPr="003C79FE">
        <w:rPr>
          <w:rFonts w:ascii="Times New Roman" w:hAnsi="Times New Roman" w:cs="Times New Roman"/>
          <w:sz w:val="24"/>
          <w:highlight w:val="yellow"/>
        </w:rPr>
        <w:t>Thukral</w:t>
      </w:r>
      <w:proofErr w:type="spellEnd"/>
      <w:r w:rsidRPr="003C79FE">
        <w:rPr>
          <w:rFonts w:ascii="Times New Roman" w:hAnsi="Times New Roman" w:cs="Times New Roman"/>
          <w:sz w:val="24"/>
          <w:highlight w:val="yellow"/>
        </w:rPr>
        <w:t>, A., &amp; Rodrigo-Comino, J. (2020). Assessment of heavy-metal pollution in three different Indian water bodies by combination of multivariate analysis and water pollution indices. Human and ecological risk assessment: an international journal, 26(1), 1-16.</w:t>
      </w:r>
    </w:p>
    <w:p w14:paraId="14580BAB" w14:textId="77777777" w:rsidR="00BC6BE0" w:rsidRDefault="00BC6BE0" w:rsidP="00BC6BE0">
      <w:pPr>
        <w:spacing w:after="120" w:line="360" w:lineRule="auto"/>
        <w:ind w:left="900" w:hanging="900"/>
        <w:contextualSpacing/>
        <w:jc w:val="both"/>
        <w:rPr>
          <w:rFonts w:ascii="Times New Roman" w:hAnsi="Times New Roman" w:cs="Times New Roman"/>
          <w:bCs/>
          <w:sz w:val="24"/>
          <w:szCs w:val="24"/>
          <w:shd w:val="clear" w:color="auto" w:fill="FFFFFF"/>
        </w:rPr>
      </w:pPr>
      <w:r w:rsidRPr="008A1B5D">
        <w:rPr>
          <w:rFonts w:ascii="Times New Roman" w:hAnsi="Times New Roman" w:cs="Times New Roman"/>
          <w:bCs/>
          <w:sz w:val="24"/>
          <w:szCs w:val="24"/>
          <w:highlight w:val="yellow"/>
          <w:shd w:val="clear" w:color="auto" w:fill="FFFFFF"/>
        </w:rPr>
        <w:t>Muhammad, R. A. (2023). The impact of an oil spill on microbial communities (and their bioremediation potential); a Niger Delta case study (Doctoral dissertation, The University of Manchester).</w:t>
      </w:r>
    </w:p>
    <w:p w14:paraId="10C45200" w14:textId="77777777" w:rsidR="00BC6BE0" w:rsidRPr="00293795" w:rsidRDefault="00BC6BE0" w:rsidP="00BC6BE0">
      <w:pPr>
        <w:spacing w:after="120" w:line="360" w:lineRule="auto"/>
        <w:ind w:left="900" w:hanging="900"/>
        <w:contextualSpacing/>
        <w:jc w:val="both"/>
        <w:rPr>
          <w:rFonts w:ascii="Times New Roman" w:hAnsi="Times New Roman" w:cs="Times New Roman"/>
          <w:sz w:val="24"/>
        </w:rPr>
      </w:pPr>
      <w:proofErr w:type="spellStart"/>
      <w:r w:rsidRPr="003C79FE">
        <w:rPr>
          <w:rFonts w:ascii="Times New Roman" w:hAnsi="Times New Roman" w:cs="Times New Roman"/>
          <w:sz w:val="24"/>
          <w:highlight w:val="yellow"/>
        </w:rPr>
        <w:t>Nwaichi</w:t>
      </w:r>
      <w:proofErr w:type="spellEnd"/>
      <w:r w:rsidRPr="003C79FE">
        <w:rPr>
          <w:rFonts w:ascii="Times New Roman" w:hAnsi="Times New Roman" w:cs="Times New Roman"/>
          <w:sz w:val="24"/>
          <w:highlight w:val="yellow"/>
        </w:rPr>
        <w:t>, E. O. (2014). Environmental Impacts and Prospects of Petroleum Production: A Case Study of the Niger Delta. Advances in Environmental Research, 35, 173-188.</w:t>
      </w:r>
    </w:p>
    <w:p w14:paraId="568A8A4A" w14:textId="77777777" w:rsidR="00BC6BE0" w:rsidRPr="00293795" w:rsidRDefault="00BC6BE0" w:rsidP="00BC6BE0">
      <w:pPr>
        <w:spacing w:after="120" w:line="360" w:lineRule="auto"/>
        <w:ind w:left="900" w:hanging="900"/>
        <w:contextualSpacing/>
        <w:jc w:val="both"/>
        <w:rPr>
          <w:rFonts w:ascii="Times New Roman" w:hAnsi="Times New Roman" w:cs="Times New Roman"/>
          <w:bCs/>
          <w:sz w:val="24"/>
        </w:rPr>
      </w:pPr>
      <w:proofErr w:type="spellStart"/>
      <w:r w:rsidRPr="003C79FE">
        <w:rPr>
          <w:rFonts w:ascii="Times New Roman" w:hAnsi="Times New Roman" w:cs="Times New Roman"/>
          <w:bCs/>
          <w:sz w:val="24"/>
          <w:highlight w:val="yellow"/>
        </w:rPr>
        <w:t>Ogbuagu</w:t>
      </w:r>
      <w:proofErr w:type="spellEnd"/>
      <w:r w:rsidRPr="003C79FE">
        <w:rPr>
          <w:rFonts w:ascii="Times New Roman" w:hAnsi="Times New Roman" w:cs="Times New Roman"/>
          <w:bCs/>
          <w:sz w:val="24"/>
          <w:highlight w:val="yellow"/>
        </w:rPr>
        <w:t xml:space="preserve"> JO, </w:t>
      </w:r>
      <w:proofErr w:type="spellStart"/>
      <w:r w:rsidRPr="003C79FE">
        <w:rPr>
          <w:rFonts w:ascii="Times New Roman" w:hAnsi="Times New Roman" w:cs="Times New Roman"/>
          <w:bCs/>
          <w:sz w:val="24"/>
          <w:highlight w:val="yellow"/>
        </w:rPr>
        <w:t>Okeke</w:t>
      </w:r>
      <w:proofErr w:type="spellEnd"/>
      <w:r w:rsidRPr="003C79FE">
        <w:rPr>
          <w:rFonts w:ascii="Times New Roman" w:hAnsi="Times New Roman" w:cs="Times New Roman"/>
          <w:bCs/>
          <w:sz w:val="24"/>
          <w:highlight w:val="yellow"/>
        </w:rPr>
        <w:t xml:space="preserve"> AP, </w:t>
      </w:r>
      <w:proofErr w:type="spellStart"/>
      <w:r w:rsidRPr="003C79FE">
        <w:rPr>
          <w:rFonts w:ascii="Times New Roman" w:hAnsi="Times New Roman" w:cs="Times New Roman"/>
          <w:bCs/>
          <w:sz w:val="24"/>
          <w:highlight w:val="yellow"/>
        </w:rPr>
        <w:t>Ukpai</w:t>
      </w:r>
      <w:proofErr w:type="spellEnd"/>
      <w:r w:rsidRPr="003C79FE">
        <w:rPr>
          <w:rFonts w:ascii="Times New Roman" w:hAnsi="Times New Roman" w:cs="Times New Roman"/>
          <w:bCs/>
          <w:sz w:val="24"/>
          <w:highlight w:val="yellow"/>
        </w:rPr>
        <w:t xml:space="preserve"> UE, Obi EN. (2023). Ecological and Health Risk Assessment of Polychlorinated Biphenyls in Water and Sediments in </w:t>
      </w:r>
      <w:proofErr w:type="spellStart"/>
      <w:r w:rsidRPr="003C79FE">
        <w:rPr>
          <w:rFonts w:ascii="Times New Roman" w:hAnsi="Times New Roman" w:cs="Times New Roman"/>
          <w:bCs/>
          <w:sz w:val="24"/>
          <w:highlight w:val="yellow"/>
        </w:rPr>
        <w:t>Bodo</w:t>
      </w:r>
      <w:proofErr w:type="spellEnd"/>
      <w:r w:rsidRPr="003C79FE">
        <w:rPr>
          <w:rFonts w:ascii="Times New Roman" w:hAnsi="Times New Roman" w:cs="Times New Roman"/>
          <w:bCs/>
          <w:sz w:val="24"/>
          <w:highlight w:val="yellow"/>
        </w:rPr>
        <w:t xml:space="preserve"> Riverine Area, River State, Nigeria. </w:t>
      </w:r>
      <w:r w:rsidRPr="003C79FE">
        <w:rPr>
          <w:rFonts w:ascii="Times New Roman" w:hAnsi="Times New Roman" w:cs="Times New Roman"/>
          <w:bCs/>
          <w:i/>
          <w:sz w:val="24"/>
          <w:highlight w:val="yellow"/>
        </w:rPr>
        <w:t xml:space="preserve">J Mat </w:t>
      </w:r>
      <w:proofErr w:type="spellStart"/>
      <w:r w:rsidRPr="003C79FE">
        <w:rPr>
          <w:rFonts w:ascii="Times New Roman" w:hAnsi="Times New Roman" w:cs="Times New Roman"/>
          <w:bCs/>
          <w:i/>
          <w:sz w:val="24"/>
          <w:highlight w:val="yellow"/>
        </w:rPr>
        <w:t>Sci</w:t>
      </w:r>
      <w:proofErr w:type="spellEnd"/>
      <w:r w:rsidRPr="003C79FE">
        <w:rPr>
          <w:rFonts w:ascii="Times New Roman" w:hAnsi="Times New Roman" w:cs="Times New Roman"/>
          <w:bCs/>
          <w:i/>
          <w:sz w:val="24"/>
          <w:highlight w:val="yellow"/>
        </w:rPr>
        <w:t xml:space="preserve"> </w:t>
      </w:r>
      <w:proofErr w:type="spellStart"/>
      <w:r w:rsidRPr="003C79FE">
        <w:rPr>
          <w:rFonts w:ascii="Times New Roman" w:hAnsi="Times New Roman" w:cs="Times New Roman"/>
          <w:bCs/>
          <w:i/>
          <w:sz w:val="24"/>
          <w:highlight w:val="yellow"/>
        </w:rPr>
        <w:t>Eng</w:t>
      </w:r>
      <w:proofErr w:type="spellEnd"/>
      <w:r w:rsidRPr="003C79FE">
        <w:rPr>
          <w:rFonts w:ascii="Times New Roman" w:hAnsi="Times New Roman" w:cs="Times New Roman"/>
          <w:bCs/>
          <w:i/>
          <w:sz w:val="24"/>
          <w:highlight w:val="yellow"/>
        </w:rPr>
        <w:t xml:space="preserve"> Technol.</w:t>
      </w:r>
      <w:r w:rsidRPr="003C79FE">
        <w:rPr>
          <w:rFonts w:ascii="Times New Roman" w:hAnsi="Times New Roman" w:cs="Times New Roman"/>
          <w:bCs/>
          <w:sz w:val="24"/>
          <w:highlight w:val="yellow"/>
        </w:rPr>
        <w:t xml:space="preserve"> 1(3): 1-7. DOI: doi.org/10.61440/JMSET.2023.v1.13.</w:t>
      </w:r>
    </w:p>
    <w:p w14:paraId="1BE80CE1" w14:textId="77777777" w:rsidR="00BC6BE0" w:rsidRDefault="00BC6BE0" w:rsidP="00BC6BE0">
      <w:pPr>
        <w:spacing w:after="120" w:line="360" w:lineRule="auto"/>
        <w:ind w:left="900" w:hanging="900"/>
        <w:contextualSpacing/>
        <w:jc w:val="both"/>
        <w:rPr>
          <w:rFonts w:ascii="Times New Roman" w:hAnsi="Times New Roman" w:cs="Times New Roman"/>
          <w:bCs/>
          <w:sz w:val="24"/>
          <w:szCs w:val="24"/>
          <w:shd w:val="clear" w:color="auto" w:fill="FFFFFF"/>
        </w:rPr>
      </w:pPr>
      <w:proofErr w:type="spellStart"/>
      <w:r w:rsidRPr="003C79FE">
        <w:rPr>
          <w:rFonts w:ascii="Times New Roman" w:hAnsi="Times New Roman" w:cs="Times New Roman"/>
          <w:bCs/>
          <w:sz w:val="24"/>
          <w:szCs w:val="24"/>
          <w:highlight w:val="yellow"/>
          <w:shd w:val="clear" w:color="auto" w:fill="FFFFFF"/>
        </w:rPr>
        <w:t>Ogbuagu</w:t>
      </w:r>
      <w:proofErr w:type="spellEnd"/>
      <w:r w:rsidRPr="003C79FE">
        <w:rPr>
          <w:rFonts w:ascii="Times New Roman" w:hAnsi="Times New Roman" w:cs="Times New Roman"/>
          <w:bCs/>
          <w:sz w:val="24"/>
          <w:szCs w:val="24"/>
          <w:highlight w:val="yellow"/>
          <w:shd w:val="clear" w:color="auto" w:fill="FFFFFF"/>
        </w:rPr>
        <w:t xml:space="preserve">, J.O., </w:t>
      </w:r>
      <w:proofErr w:type="spellStart"/>
      <w:r w:rsidRPr="003C79FE">
        <w:rPr>
          <w:rFonts w:ascii="Times New Roman" w:hAnsi="Times New Roman" w:cs="Times New Roman"/>
          <w:bCs/>
          <w:sz w:val="24"/>
          <w:szCs w:val="24"/>
          <w:highlight w:val="yellow"/>
          <w:shd w:val="clear" w:color="auto" w:fill="FFFFFF"/>
        </w:rPr>
        <w:t>Ukpai</w:t>
      </w:r>
      <w:proofErr w:type="spellEnd"/>
      <w:r w:rsidRPr="003C79FE">
        <w:rPr>
          <w:rFonts w:ascii="Times New Roman" w:hAnsi="Times New Roman" w:cs="Times New Roman"/>
          <w:bCs/>
          <w:sz w:val="24"/>
          <w:szCs w:val="24"/>
          <w:highlight w:val="yellow"/>
          <w:shd w:val="clear" w:color="auto" w:fill="FFFFFF"/>
        </w:rPr>
        <w:t xml:space="preserve">, U.E., </w:t>
      </w:r>
      <w:proofErr w:type="spellStart"/>
      <w:r w:rsidRPr="003C79FE">
        <w:rPr>
          <w:rFonts w:ascii="Times New Roman" w:hAnsi="Times New Roman" w:cs="Times New Roman"/>
          <w:bCs/>
          <w:sz w:val="24"/>
          <w:szCs w:val="24"/>
          <w:highlight w:val="yellow"/>
          <w:shd w:val="clear" w:color="auto" w:fill="FFFFFF"/>
        </w:rPr>
        <w:t>Okeke</w:t>
      </w:r>
      <w:proofErr w:type="spellEnd"/>
      <w:r w:rsidRPr="003C79FE">
        <w:rPr>
          <w:rFonts w:ascii="Times New Roman" w:hAnsi="Times New Roman" w:cs="Times New Roman"/>
          <w:bCs/>
          <w:sz w:val="24"/>
          <w:szCs w:val="24"/>
          <w:highlight w:val="yellow"/>
          <w:shd w:val="clear" w:color="auto" w:fill="FFFFFF"/>
        </w:rPr>
        <w:t xml:space="preserve"> A.P and </w:t>
      </w:r>
      <w:proofErr w:type="spellStart"/>
      <w:r w:rsidRPr="003C79FE">
        <w:rPr>
          <w:rFonts w:ascii="Times New Roman" w:hAnsi="Times New Roman" w:cs="Times New Roman"/>
          <w:bCs/>
          <w:sz w:val="24"/>
          <w:szCs w:val="24"/>
          <w:highlight w:val="yellow"/>
          <w:shd w:val="clear" w:color="auto" w:fill="FFFFFF"/>
        </w:rPr>
        <w:t>Nweke</w:t>
      </w:r>
      <w:proofErr w:type="spellEnd"/>
      <w:r w:rsidRPr="003C79FE">
        <w:rPr>
          <w:rFonts w:ascii="Times New Roman" w:hAnsi="Times New Roman" w:cs="Times New Roman"/>
          <w:bCs/>
          <w:sz w:val="24"/>
          <w:szCs w:val="24"/>
          <w:highlight w:val="yellow"/>
          <w:shd w:val="clear" w:color="auto" w:fill="FFFFFF"/>
        </w:rPr>
        <w:t xml:space="preserve">, E.N. (2021). Occurrence and fate of Polychlorinated Biphenyls in water and sediments: A case study of </w:t>
      </w:r>
      <w:proofErr w:type="spellStart"/>
      <w:r w:rsidRPr="003C79FE">
        <w:rPr>
          <w:rFonts w:ascii="Times New Roman" w:hAnsi="Times New Roman" w:cs="Times New Roman"/>
          <w:bCs/>
          <w:sz w:val="24"/>
          <w:szCs w:val="24"/>
          <w:highlight w:val="yellow"/>
          <w:shd w:val="clear" w:color="auto" w:fill="FFFFFF"/>
        </w:rPr>
        <w:t>Bodo</w:t>
      </w:r>
      <w:proofErr w:type="spellEnd"/>
      <w:r w:rsidRPr="003C79FE">
        <w:rPr>
          <w:rFonts w:ascii="Times New Roman" w:hAnsi="Times New Roman" w:cs="Times New Roman"/>
          <w:bCs/>
          <w:sz w:val="24"/>
          <w:szCs w:val="24"/>
          <w:highlight w:val="yellow"/>
          <w:shd w:val="clear" w:color="auto" w:fill="FFFFFF"/>
        </w:rPr>
        <w:t xml:space="preserve"> River in </w:t>
      </w:r>
      <w:proofErr w:type="spellStart"/>
      <w:r w:rsidRPr="003C79FE">
        <w:rPr>
          <w:rFonts w:ascii="Times New Roman" w:hAnsi="Times New Roman" w:cs="Times New Roman"/>
          <w:bCs/>
          <w:sz w:val="24"/>
          <w:szCs w:val="24"/>
          <w:highlight w:val="yellow"/>
          <w:shd w:val="clear" w:color="auto" w:fill="FFFFFF"/>
        </w:rPr>
        <w:t>Ogoni</w:t>
      </w:r>
      <w:proofErr w:type="spellEnd"/>
      <w:r w:rsidRPr="003C79FE">
        <w:rPr>
          <w:rFonts w:ascii="Times New Roman" w:hAnsi="Times New Roman" w:cs="Times New Roman"/>
          <w:bCs/>
          <w:sz w:val="24"/>
          <w:szCs w:val="24"/>
          <w:highlight w:val="yellow"/>
          <w:shd w:val="clear" w:color="auto" w:fill="FFFFFF"/>
        </w:rPr>
        <w:t xml:space="preserve">, River State Nigeria. </w:t>
      </w:r>
      <w:r w:rsidRPr="003C79FE">
        <w:rPr>
          <w:rFonts w:ascii="Times New Roman" w:hAnsi="Times New Roman" w:cs="Times New Roman"/>
          <w:bCs/>
          <w:i/>
          <w:sz w:val="24"/>
          <w:szCs w:val="24"/>
          <w:highlight w:val="yellow"/>
          <w:shd w:val="clear" w:color="auto" w:fill="FFFFFF"/>
        </w:rPr>
        <w:t>Asian Journal of Applied Chemistry Research</w:t>
      </w:r>
      <w:r w:rsidRPr="003C79FE">
        <w:rPr>
          <w:rFonts w:ascii="Times New Roman" w:hAnsi="Times New Roman" w:cs="Times New Roman"/>
          <w:bCs/>
          <w:sz w:val="24"/>
          <w:szCs w:val="24"/>
          <w:highlight w:val="yellow"/>
          <w:shd w:val="clear" w:color="auto" w:fill="FFFFFF"/>
        </w:rPr>
        <w:t>. 10(3-4): 12-20.</w:t>
      </w:r>
    </w:p>
    <w:p w14:paraId="3042DEF8" w14:textId="77777777" w:rsidR="00BC6BE0" w:rsidRDefault="00BC6BE0" w:rsidP="00BC6BE0">
      <w:pPr>
        <w:spacing w:line="360" w:lineRule="auto"/>
        <w:ind w:left="993" w:hanging="993"/>
        <w:jc w:val="both"/>
        <w:rPr>
          <w:rFonts w:ascii="Times New Roman" w:hAnsi="Times New Roman" w:cs="Times New Roman"/>
          <w:sz w:val="24"/>
        </w:rPr>
      </w:pPr>
      <w:proofErr w:type="spellStart"/>
      <w:r w:rsidRPr="006C6D68">
        <w:rPr>
          <w:rFonts w:ascii="Times New Roman" w:hAnsi="Times New Roman" w:cs="Times New Roman"/>
          <w:sz w:val="24"/>
          <w:highlight w:val="yellow"/>
        </w:rPr>
        <w:t>Ojo</w:t>
      </w:r>
      <w:proofErr w:type="spellEnd"/>
      <w:r w:rsidRPr="006C6D68">
        <w:rPr>
          <w:rFonts w:ascii="Times New Roman" w:hAnsi="Times New Roman" w:cs="Times New Roman"/>
          <w:sz w:val="24"/>
          <w:highlight w:val="yellow"/>
        </w:rPr>
        <w:t xml:space="preserve">, M. O. (2024). Assessment of the Relationship </w:t>
      </w:r>
      <w:proofErr w:type="gramStart"/>
      <w:r w:rsidRPr="006C6D68">
        <w:rPr>
          <w:rFonts w:ascii="Times New Roman" w:hAnsi="Times New Roman" w:cs="Times New Roman"/>
          <w:sz w:val="24"/>
          <w:highlight w:val="yellow"/>
        </w:rPr>
        <w:t>Between</w:t>
      </w:r>
      <w:proofErr w:type="gramEnd"/>
      <w:r w:rsidRPr="006C6D68">
        <w:rPr>
          <w:rFonts w:ascii="Times New Roman" w:hAnsi="Times New Roman" w:cs="Times New Roman"/>
          <w:sz w:val="24"/>
          <w:highlight w:val="yellow"/>
        </w:rPr>
        <w:t xml:space="preserve"> Stream Velocity and Physicochemical Parameters of Surface Water: a Case Study of </w:t>
      </w:r>
      <w:proofErr w:type="spellStart"/>
      <w:r w:rsidRPr="006C6D68">
        <w:rPr>
          <w:rFonts w:ascii="Times New Roman" w:hAnsi="Times New Roman" w:cs="Times New Roman"/>
          <w:sz w:val="24"/>
          <w:highlight w:val="yellow"/>
        </w:rPr>
        <w:t>Opa</w:t>
      </w:r>
      <w:proofErr w:type="spellEnd"/>
      <w:r w:rsidRPr="006C6D68">
        <w:rPr>
          <w:rFonts w:ascii="Times New Roman" w:hAnsi="Times New Roman" w:cs="Times New Roman"/>
          <w:sz w:val="24"/>
          <w:highlight w:val="yellow"/>
        </w:rPr>
        <w:t xml:space="preserve"> Drainage Basin, </w:t>
      </w:r>
      <w:proofErr w:type="spellStart"/>
      <w:r w:rsidRPr="006C6D68">
        <w:rPr>
          <w:rFonts w:ascii="Times New Roman" w:hAnsi="Times New Roman" w:cs="Times New Roman"/>
          <w:sz w:val="24"/>
          <w:highlight w:val="yellow"/>
        </w:rPr>
        <w:t>Osun</w:t>
      </w:r>
      <w:proofErr w:type="spellEnd"/>
      <w:r w:rsidRPr="006C6D68">
        <w:rPr>
          <w:rFonts w:ascii="Times New Roman" w:hAnsi="Times New Roman" w:cs="Times New Roman"/>
          <w:sz w:val="24"/>
          <w:highlight w:val="yellow"/>
        </w:rPr>
        <w:t xml:space="preserve"> State, Southwestern Nigeria.</w:t>
      </w:r>
    </w:p>
    <w:p w14:paraId="107091A9" w14:textId="77777777" w:rsidR="00BC6BE0" w:rsidRDefault="00BC6BE0" w:rsidP="00BC6BE0">
      <w:pPr>
        <w:spacing w:after="120" w:line="360" w:lineRule="auto"/>
        <w:ind w:left="900" w:hanging="900"/>
        <w:contextualSpacing/>
        <w:jc w:val="both"/>
        <w:rPr>
          <w:rFonts w:ascii="Times New Roman" w:hAnsi="Times New Roman" w:cs="Times New Roman"/>
          <w:sz w:val="24"/>
        </w:rPr>
      </w:pPr>
      <w:proofErr w:type="spellStart"/>
      <w:r w:rsidRPr="006C6D68">
        <w:rPr>
          <w:rFonts w:ascii="Times New Roman" w:hAnsi="Times New Roman" w:cs="Times New Roman"/>
          <w:sz w:val="24"/>
          <w:highlight w:val="yellow"/>
        </w:rPr>
        <w:t>Pikovskii</w:t>
      </w:r>
      <w:proofErr w:type="spellEnd"/>
      <w:r w:rsidRPr="006C6D68">
        <w:rPr>
          <w:rFonts w:ascii="Times New Roman" w:hAnsi="Times New Roman" w:cs="Times New Roman"/>
          <w:sz w:val="24"/>
          <w:highlight w:val="yellow"/>
        </w:rPr>
        <w:t xml:space="preserve">, Y. I., </w:t>
      </w:r>
      <w:proofErr w:type="spellStart"/>
      <w:r w:rsidRPr="006C6D68">
        <w:rPr>
          <w:rFonts w:ascii="Times New Roman" w:hAnsi="Times New Roman" w:cs="Times New Roman"/>
          <w:sz w:val="24"/>
          <w:highlight w:val="yellow"/>
        </w:rPr>
        <w:t>Korotkov</w:t>
      </w:r>
      <w:proofErr w:type="spellEnd"/>
      <w:r w:rsidRPr="006C6D68">
        <w:rPr>
          <w:rFonts w:ascii="Times New Roman" w:hAnsi="Times New Roman" w:cs="Times New Roman"/>
          <w:sz w:val="24"/>
          <w:highlight w:val="yellow"/>
        </w:rPr>
        <w:t xml:space="preserve">, L. A., </w:t>
      </w:r>
      <w:proofErr w:type="spellStart"/>
      <w:r w:rsidRPr="006C6D68">
        <w:rPr>
          <w:rFonts w:ascii="Times New Roman" w:hAnsi="Times New Roman" w:cs="Times New Roman"/>
          <w:sz w:val="24"/>
          <w:highlight w:val="yellow"/>
        </w:rPr>
        <w:t>Smirnova</w:t>
      </w:r>
      <w:proofErr w:type="spellEnd"/>
      <w:r w:rsidRPr="006C6D68">
        <w:rPr>
          <w:rFonts w:ascii="Times New Roman" w:hAnsi="Times New Roman" w:cs="Times New Roman"/>
          <w:sz w:val="24"/>
          <w:highlight w:val="yellow"/>
        </w:rPr>
        <w:t>, M. A., &amp; Kovach, R. G. (2017). Laboratory analytical methods for the determination of the hydrocarbon status of soils (a review). Eurasian Soil Science, 50, 1125-1137.</w:t>
      </w:r>
    </w:p>
    <w:p w14:paraId="4990B166" w14:textId="77777777" w:rsidR="00BC6BE0" w:rsidRPr="00293795" w:rsidRDefault="00BC6BE0" w:rsidP="00BC6BE0">
      <w:pPr>
        <w:spacing w:after="120" w:line="360" w:lineRule="auto"/>
        <w:ind w:left="900" w:hanging="900"/>
        <w:contextualSpacing/>
        <w:jc w:val="both"/>
        <w:rPr>
          <w:rFonts w:ascii="Times New Roman" w:hAnsi="Times New Roman" w:cs="Times New Roman"/>
          <w:bCs/>
          <w:sz w:val="24"/>
          <w:szCs w:val="24"/>
          <w:shd w:val="clear" w:color="auto" w:fill="FFFFFF"/>
        </w:rPr>
      </w:pPr>
      <w:proofErr w:type="spellStart"/>
      <w:r w:rsidRPr="0044011E">
        <w:rPr>
          <w:rFonts w:ascii="Times New Roman" w:hAnsi="Times New Roman" w:cs="Times New Roman"/>
          <w:bCs/>
          <w:sz w:val="24"/>
          <w:szCs w:val="24"/>
          <w:highlight w:val="yellow"/>
          <w:shd w:val="clear" w:color="auto" w:fill="FFFFFF"/>
        </w:rPr>
        <w:t>Pinedo</w:t>
      </w:r>
      <w:proofErr w:type="spellEnd"/>
      <w:r w:rsidRPr="0044011E">
        <w:rPr>
          <w:rFonts w:ascii="Times New Roman" w:hAnsi="Times New Roman" w:cs="Times New Roman"/>
          <w:bCs/>
          <w:sz w:val="24"/>
          <w:szCs w:val="24"/>
          <w:highlight w:val="yellow"/>
          <w:shd w:val="clear" w:color="auto" w:fill="FFFFFF"/>
        </w:rPr>
        <w:t xml:space="preserve">, J., Ibáñez, R., </w:t>
      </w:r>
      <w:proofErr w:type="spellStart"/>
      <w:r w:rsidRPr="0044011E">
        <w:rPr>
          <w:rFonts w:ascii="Times New Roman" w:hAnsi="Times New Roman" w:cs="Times New Roman"/>
          <w:bCs/>
          <w:sz w:val="24"/>
          <w:szCs w:val="24"/>
          <w:highlight w:val="yellow"/>
          <w:shd w:val="clear" w:color="auto" w:fill="FFFFFF"/>
        </w:rPr>
        <w:t>Lijzen</w:t>
      </w:r>
      <w:proofErr w:type="spellEnd"/>
      <w:r w:rsidRPr="0044011E">
        <w:rPr>
          <w:rFonts w:ascii="Times New Roman" w:hAnsi="Times New Roman" w:cs="Times New Roman"/>
          <w:bCs/>
          <w:sz w:val="24"/>
          <w:szCs w:val="24"/>
          <w:highlight w:val="yellow"/>
          <w:shd w:val="clear" w:color="auto" w:fill="FFFFFF"/>
        </w:rPr>
        <w:t xml:space="preserve">, J. P., &amp; </w:t>
      </w:r>
      <w:proofErr w:type="spellStart"/>
      <w:r w:rsidRPr="0044011E">
        <w:rPr>
          <w:rFonts w:ascii="Times New Roman" w:hAnsi="Times New Roman" w:cs="Times New Roman"/>
          <w:bCs/>
          <w:sz w:val="24"/>
          <w:szCs w:val="24"/>
          <w:highlight w:val="yellow"/>
          <w:shd w:val="clear" w:color="auto" w:fill="FFFFFF"/>
        </w:rPr>
        <w:t>Irabien</w:t>
      </w:r>
      <w:proofErr w:type="spellEnd"/>
      <w:r w:rsidRPr="0044011E">
        <w:rPr>
          <w:rFonts w:ascii="Times New Roman" w:hAnsi="Times New Roman" w:cs="Times New Roman"/>
          <w:bCs/>
          <w:sz w:val="24"/>
          <w:szCs w:val="24"/>
          <w:highlight w:val="yellow"/>
          <w:shd w:val="clear" w:color="auto" w:fill="FFFFFF"/>
        </w:rPr>
        <w:t>, A. (2014). Human risk assessment of contaminated soils by oil products: total TPH content versus fraction approach. Human and Ecological Risk Assessment: An International Journal, 20(5), 1231-1248.</w:t>
      </w:r>
    </w:p>
    <w:p w14:paraId="4EF267F3" w14:textId="77777777" w:rsidR="00BC6BE0" w:rsidRDefault="00BC6BE0" w:rsidP="00BC6BE0">
      <w:pPr>
        <w:spacing w:line="360" w:lineRule="auto"/>
        <w:ind w:left="993" w:hanging="993"/>
        <w:jc w:val="both"/>
        <w:rPr>
          <w:rFonts w:ascii="Times New Roman" w:hAnsi="Times New Roman" w:cs="Times New Roman"/>
          <w:sz w:val="24"/>
        </w:rPr>
      </w:pPr>
      <w:r w:rsidRPr="003C79FE">
        <w:rPr>
          <w:rFonts w:ascii="Times New Roman" w:hAnsi="Times New Roman" w:cs="Times New Roman"/>
          <w:sz w:val="24"/>
          <w:highlight w:val="yellow"/>
        </w:rPr>
        <w:t xml:space="preserve">Sari, G. L., </w:t>
      </w:r>
      <w:proofErr w:type="spellStart"/>
      <w:r w:rsidRPr="003C79FE">
        <w:rPr>
          <w:rFonts w:ascii="Times New Roman" w:hAnsi="Times New Roman" w:cs="Times New Roman"/>
          <w:sz w:val="24"/>
          <w:highlight w:val="yellow"/>
        </w:rPr>
        <w:t>Trihadiningrum</w:t>
      </w:r>
      <w:proofErr w:type="spellEnd"/>
      <w:r w:rsidRPr="003C79FE">
        <w:rPr>
          <w:rFonts w:ascii="Times New Roman" w:hAnsi="Times New Roman" w:cs="Times New Roman"/>
          <w:sz w:val="24"/>
          <w:highlight w:val="yellow"/>
        </w:rPr>
        <w:t xml:space="preserve">, Y., </w:t>
      </w:r>
      <w:proofErr w:type="spellStart"/>
      <w:r w:rsidRPr="003C79FE">
        <w:rPr>
          <w:rFonts w:ascii="Times New Roman" w:hAnsi="Times New Roman" w:cs="Times New Roman"/>
          <w:sz w:val="24"/>
          <w:highlight w:val="yellow"/>
        </w:rPr>
        <w:t>Suci</w:t>
      </w:r>
      <w:proofErr w:type="spellEnd"/>
      <w:r w:rsidRPr="003C79FE">
        <w:rPr>
          <w:rFonts w:ascii="Times New Roman" w:hAnsi="Times New Roman" w:cs="Times New Roman"/>
          <w:sz w:val="24"/>
          <w:highlight w:val="yellow"/>
        </w:rPr>
        <w:t xml:space="preserve">, F. C., &amp; </w:t>
      </w:r>
      <w:proofErr w:type="spellStart"/>
      <w:r w:rsidRPr="003C79FE">
        <w:rPr>
          <w:rFonts w:ascii="Times New Roman" w:hAnsi="Times New Roman" w:cs="Times New Roman"/>
          <w:sz w:val="24"/>
          <w:highlight w:val="yellow"/>
        </w:rPr>
        <w:t>Fashanah</w:t>
      </w:r>
      <w:proofErr w:type="spellEnd"/>
      <w:r w:rsidRPr="003C79FE">
        <w:rPr>
          <w:rFonts w:ascii="Times New Roman" w:hAnsi="Times New Roman" w:cs="Times New Roman"/>
          <w:sz w:val="24"/>
          <w:highlight w:val="yellow"/>
        </w:rPr>
        <w:t xml:space="preserve"> </w:t>
      </w:r>
      <w:proofErr w:type="spellStart"/>
      <w:r w:rsidRPr="003C79FE">
        <w:rPr>
          <w:rFonts w:ascii="Times New Roman" w:hAnsi="Times New Roman" w:cs="Times New Roman"/>
          <w:sz w:val="24"/>
          <w:highlight w:val="yellow"/>
        </w:rPr>
        <w:t>Hadining</w:t>
      </w:r>
      <w:proofErr w:type="spellEnd"/>
      <w:r w:rsidRPr="003C79FE">
        <w:rPr>
          <w:rFonts w:ascii="Times New Roman" w:hAnsi="Times New Roman" w:cs="Times New Roman"/>
          <w:sz w:val="24"/>
          <w:highlight w:val="yellow"/>
        </w:rPr>
        <w:t xml:space="preserve">, A. (2018). Identification of total petroleum hydrocarbon and heavy metals levels in crude oil contaminated soil at </w:t>
      </w:r>
      <w:proofErr w:type="spellStart"/>
      <w:r w:rsidRPr="003C79FE">
        <w:rPr>
          <w:rFonts w:ascii="Times New Roman" w:hAnsi="Times New Roman" w:cs="Times New Roman"/>
          <w:sz w:val="24"/>
          <w:highlight w:val="yellow"/>
        </w:rPr>
        <w:t>Wonocolo</w:t>
      </w:r>
      <w:proofErr w:type="spellEnd"/>
      <w:r w:rsidRPr="003C79FE">
        <w:rPr>
          <w:rFonts w:ascii="Times New Roman" w:hAnsi="Times New Roman" w:cs="Times New Roman"/>
          <w:sz w:val="24"/>
          <w:highlight w:val="yellow"/>
        </w:rPr>
        <w:t xml:space="preserve"> public mining. Environ. Asia, 11, 109-117.</w:t>
      </w:r>
    </w:p>
    <w:p w14:paraId="448AC392" w14:textId="77777777" w:rsidR="00BC6BE0" w:rsidRDefault="00BC6BE0" w:rsidP="00BC6BE0">
      <w:pPr>
        <w:spacing w:line="360" w:lineRule="auto"/>
        <w:ind w:left="993" w:hanging="993"/>
        <w:jc w:val="both"/>
        <w:rPr>
          <w:rFonts w:ascii="Times New Roman" w:hAnsi="Times New Roman" w:cs="Times New Roman"/>
          <w:sz w:val="24"/>
        </w:rPr>
      </w:pPr>
      <w:proofErr w:type="spellStart"/>
      <w:r w:rsidRPr="006C6D68">
        <w:rPr>
          <w:rFonts w:ascii="Times New Roman" w:hAnsi="Times New Roman" w:cs="Times New Roman"/>
          <w:sz w:val="24"/>
          <w:highlight w:val="yellow"/>
        </w:rPr>
        <w:t>Tenebe</w:t>
      </w:r>
      <w:proofErr w:type="spellEnd"/>
      <w:r w:rsidRPr="006C6D68">
        <w:rPr>
          <w:rFonts w:ascii="Times New Roman" w:hAnsi="Times New Roman" w:cs="Times New Roman"/>
          <w:sz w:val="24"/>
          <w:highlight w:val="yellow"/>
        </w:rPr>
        <w:t xml:space="preserve">, I. T., </w:t>
      </w:r>
      <w:proofErr w:type="spellStart"/>
      <w:r w:rsidRPr="006C6D68">
        <w:rPr>
          <w:rFonts w:ascii="Times New Roman" w:hAnsi="Times New Roman" w:cs="Times New Roman"/>
          <w:sz w:val="24"/>
          <w:highlight w:val="yellow"/>
        </w:rPr>
        <w:t>Emenike</w:t>
      </w:r>
      <w:proofErr w:type="spellEnd"/>
      <w:r w:rsidRPr="006C6D68">
        <w:rPr>
          <w:rFonts w:ascii="Times New Roman" w:hAnsi="Times New Roman" w:cs="Times New Roman"/>
          <w:sz w:val="24"/>
          <w:highlight w:val="yellow"/>
        </w:rPr>
        <w:t xml:space="preserve">, P. C., </w:t>
      </w:r>
      <w:proofErr w:type="spellStart"/>
      <w:r w:rsidRPr="006C6D68">
        <w:rPr>
          <w:rFonts w:ascii="Times New Roman" w:hAnsi="Times New Roman" w:cs="Times New Roman"/>
          <w:sz w:val="24"/>
          <w:highlight w:val="yellow"/>
        </w:rPr>
        <w:t>Babatunde</w:t>
      </w:r>
      <w:proofErr w:type="spellEnd"/>
      <w:r w:rsidRPr="006C6D68">
        <w:rPr>
          <w:rFonts w:ascii="Times New Roman" w:hAnsi="Times New Roman" w:cs="Times New Roman"/>
          <w:sz w:val="24"/>
          <w:highlight w:val="yellow"/>
        </w:rPr>
        <w:t xml:space="preserve">, E. O., </w:t>
      </w:r>
      <w:proofErr w:type="spellStart"/>
      <w:r w:rsidRPr="006C6D68">
        <w:rPr>
          <w:rFonts w:ascii="Times New Roman" w:hAnsi="Times New Roman" w:cs="Times New Roman"/>
          <w:sz w:val="24"/>
          <w:highlight w:val="yellow"/>
        </w:rPr>
        <w:t>Neris</w:t>
      </w:r>
      <w:proofErr w:type="spellEnd"/>
      <w:r w:rsidRPr="006C6D68">
        <w:rPr>
          <w:rFonts w:ascii="Times New Roman" w:hAnsi="Times New Roman" w:cs="Times New Roman"/>
          <w:sz w:val="24"/>
          <w:highlight w:val="yellow"/>
        </w:rPr>
        <w:t>, J. B., Fred-</w:t>
      </w:r>
      <w:proofErr w:type="spellStart"/>
      <w:r w:rsidRPr="006C6D68">
        <w:rPr>
          <w:rFonts w:ascii="Times New Roman" w:hAnsi="Times New Roman" w:cs="Times New Roman"/>
          <w:sz w:val="24"/>
          <w:highlight w:val="yellow"/>
        </w:rPr>
        <w:t>Ahmadu</w:t>
      </w:r>
      <w:proofErr w:type="spellEnd"/>
      <w:r w:rsidRPr="006C6D68">
        <w:rPr>
          <w:rFonts w:ascii="Times New Roman" w:hAnsi="Times New Roman" w:cs="Times New Roman"/>
          <w:sz w:val="24"/>
          <w:highlight w:val="yellow"/>
        </w:rPr>
        <w:t xml:space="preserve">, O. H., </w:t>
      </w:r>
      <w:proofErr w:type="spellStart"/>
      <w:r w:rsidRPr="006C6D68">
        <w:rPr>
          <w:rFonts w:ascii="Times New Roman" w:hAnsi="Times New Roman" w:cs="Times New Roman"/>
          <w:sz w:val="24"/>
          <w:highlight w:val="yellow"/>
        </w:rPr>
        <w:t>Dede-Bamfo</w:t>
      </w:r>
      <w:proofErr w:type="spellEnd"/>
      <w:r w:rsidRPr="006C6D68">
        <w:rPr>
          <w:rFonts w:ascii="Times New Roman" w:hAnsi="Times New Roman" w:cs="Times New Roman"/>
          <w:sz w:val="24"/>
          <w:highlight w:val="yellow"/>
        </w:rPr>
        <w:t xml:space="preserve">, N., ... &amp; Benson, N. U. (2022). Assessing the state of rainwater for consumption in a </w:t>
      </w:r>
      <w:r w:rsidRPr="006C6D68">
        <w:rPr>
          <w:rFonts w:ascii="Times New Roman" w:hAnsi="Times New Roman" w:cs="Times New Roman"/>
          <w:sz w:val="24"/>
          <w:highlight w:val="yellow"/>
        </w:rPr>
        <w:lastRenderedPageBreak/>
        <w:t xml:space="preserve">community in dire need of clean water: human and health risk using </w:t>
      </w:r>
      <w:proofErr w:type="spellStart"/>
      <w:r w:rsidRPr="006C6D68">
        <w:rPr>
          <w:rFonts w:ascii="Times New Roman" w:hAnsi="Times New Roman" w:cs="Times New Roman"/>
          <w:sz w:val="24"/>
          <w:highlight w:val="yellow"/>
        </w:rPr>
        <w:t>HERisk</w:t>
      </w:r>
      <w:proofErr w:type="spellEnd"/>
      <w:r w:rsidRPr="006C6D68">
        <w:rPr>
          <w:rFonts w:ascii="Times New Roman" w:hAnsi="Times New Roman" w:cs="Times New Roman"/>
          <w:sz w:val="24"/>
          <w:highlight w:val="yellow"/>
        </w:rPr>
        <w:t>. Water Practice &amp; Technology, 17(10), 2005-2022.</w:t>
      </w:r>
      <w:r>
        <w:rPr>
          <w:rFonts w:ascii="Times New Roman" w:hAnsi="Times New Roman" w:cs="Times New Roman"/>
          <w:sz w:val="24"/>
        </w:rPr>
        <w:t xml:space="preserve"> </w:t>
      </w:r>
    </w:p>
    <w:p w14:paraId="1A7DA044" w14:textId="77777777" w:rsidR="00BC6BE0" w:rsidRPr="00293795" w:rsidRDefault="00BC6BE0" w:rsidP="00BC6BE0">
      <w:pPr>
        <w:autoSpaceDE w:val="0"/>
        <w:autoSpaceDN w:val="0"/>
        <w:adjustRightInd w:val="0"/>
        <w:spacing w:after="120" w:line="360" w:lineRule="auto"/>
        <w:ind w:left="810" w:hanging="810"/>
        <w:contextualSpacing/>
        <w:jc w:val="both"/>
        <w:rPr>
          <w:rFonts w:ascii="Times New Roman" w:hAnsi="Times New Roman" w:cs="Times New Roman"/>
          <w:sz w:val="24"/>
          <w:szCs w:val="24"/>
        </w:rPr>
      </w:pPr>
      <w:proofErr w:type="spellStart"/>
      <w:r w:rsidRPr="006C6D68">
        <w:rPr>
          <w:rFonts w:ascii="Times New Roman" w:hAnsi="Times New Roman" w:cs="Times New Roman"/>
          <w:sz w:val="24"/>
          <w:szCs w:val="24"/>
          <w:highlight w:val="yellow"/>
        </w:rPr>
        <w:t>Ugwu</w:t>
      </w:r>
      <w:proofErr w:type="spellEnd"/>
      <w:r w:rsidRPr="006C6D68">
        <w:rPr>
          <w:rFonts w:ascii="Times New Roman" w:hAnsi="Times New Roman" w:cs="Times New Roman"/>
          <w:sz w:val="24"/>
          <w:szCs w:val="24"/>
          <w:highlight w:val="yellow"/>
        </w:rPr>
        <w:t xml:space="preserve">, C. E., </w:t>
      </w:r>
      <w:proofErr w:type="spellStart"/>
      <w:r w:rsidRPr="006C6D68">
        <w:rPr>
          <w:rFonts w:ascii="Times New Roman" w:hAnsi="Times New Roman" w:cs="Times New Roman"/>
          <w:sz w:val="24"/>
          <w:szCs w:val="24"/>
          <w:highlight w:val="yellow"/>
        </w:rPr>
        <w:t>Igbokwe</w:t>
      </w:r>
      <w:proofErr w:type="spellEnd"/>
      <w:r w:rsidRPr="006C6D68">
        <w:rPr>
          <w:rFonts w:ascii="Times New Roman" w:hAnsi="Times New Roman" w:cs="Times New Roman"/>
          <w:sz w:val="24"/>
          <w:szCs w:val="24"/>
          <w:highlight w:val="yellow"/>
        </w:rPr>
        <w:t xml:space="preserve">, A. M., </w:t>
      </w:r>
      <w:proofErr w:type="spellStart"/>
      <w:r w:rsidRPr="006C6D68">
        <w:rPr>
          <w:rFonts w:ascii="Times New Roman" w:hAnsi="Times New Roman" w:cs="Times New Roman"/>
          <w:sz w:val="24"/>
          <w:szCs w:val="24"/>
          <w:highlight w:val="yellow"/>
        </w:rPr>
        <w:t>Suru</w:t>
      </w:r>
      <w:proofErr w:type="spellEnd"/>
      <w:r w:rsidRPr="006C6D68">
        <w:rPr>
          <w:rFonts w:ascii="Times New Roman" w:hAnsi="Times New Roman" w:cs="Times New Roman"/>
          <w:sz w:val="24"/>
          <w:szCs w:val="24"/>
          <w:highlight w:val="yellow"/>
        </w:rPr>
        <w:t xml:space="preserve">, S. M., Dike, C. C., </w:t>
      </w:r>
      <w:proofErr w:type="spellStart"/>
      <w:r w:rsidRPr="006C6D68">
        <w:rPr>
          <w:rFonts w:ascii="Times New Roman" w:hAnsi="Times New Roman" w:cs="Times New Roman"/>
          <w:sz w:val="24"/>
          <w:szCs w:val="24"/>
          <w:highlight w:val="yellow"/>
        </w:rPr>
        <w:t>Mbachu</w:t>
      </w:r>
      <w:proofErr w:type="spellEnd"/>
      <w:r w:rsidRPr="006C6D68">
        <w:rPr>
          <w:rFonts w:ascii="Times New Roman" w:hAnsi="Times New Roman" w:cs="Times New Roman"/>
          <w:sz w:val="24"/>
          <w:szCs w:val="24"/>
          <w:highlight w:val="yellow"/>
        </w:rPr>
        <w:t xml:space="preserve">, A. N., &amp; </w:t>
      </w:r>
      <w:proofErr w:type="spellStart"/>
      <w:r w:rsidRPr="006C6D68">
        <w:rPr>
          <w:rFonts w:ascii="Times New Roman" w:hAnsi="Times New Roman" w:cs="Times New Roman"/>
          <w:sz w:val="24"/>
          <w:szCs w:val="24"/>
          <w:highlight w:val="yellow"/>
        </w:rPr>
        <w:t>Maduka</w:t>
      </w:r>
      <w:proofErr w:type="spellEnd"/>
      <w:r w:rsidRPr="006C6D68">
        <w:rPr>
          <w:rFonts w:ascii="Times New Roman" w:hAnsi="Times New Roman" w:cs="Times New Roman"/>
          <w:sz w:val="24"/>
          <w:szCs w:val="24"/>
          <w:highlight w:val="yellow"/>
        </w:rPr>
        <w:t xml:space="preserve">, H. C. C. (2024). Evaluating the human health risks of heavy metal contamination in copper and steel factory effluents in </w:t>
      </w:r>
      <w:proofErr w:type="spellStart"/>
      <w:r w:rsidRPr="006C6D68">
        <w:rPr>
          <w:rFonts w:ascii="Times New Roman" w:hAnsi="Times New Roman" w:cs="Times New Roman"/>
          <w:sz w:val="24"/>
          <w:szCs w:val="24"/>
          <w:highlight w:val="yellow"/>
        </w:rPr>
        <w:t>Nnewi</w:t>
      </w:r>
      <w:proofErr w:type="spellEnd"/>
      <w:r w:rsidRPr="006C6D68">
        <w:rPr>
          <w:rFonts w:ascii="Times New Roman" w:hAnsi="Times New Roman" w:cs="Times New Roman"/>
          <w:sz w:val="24"/>
          <w:szCs w:val="24"/>
          <w:highlight w:val="yellow"/>
        </w:rPr>
        <w:t>, Anambra State, Nigeria. Toxicology Reports, 12, 614-621.</w:t>
      </w:r>
    </w:p>
    <w:p w14:paraId="607A1D94" w14:textId="77777777" w:rsidR="00BC6BE0" w:rsidRDefault="00BC6BE0" w:rsidP="00BC6BE0">
      <w:pPr>
        <w:spacing w:after="120" w:line="360" w:lineRule="auto"/>
        <w:ind w:left="900" w:hanging="900"/>
        <w:contextualSpacing/>
        <w:jc w:val="both"/>
        <w:rPr>
          <w:rFonts w:ascii="Times New Roman" w:hAnsi="Times New Roman" w:cs="Times New Roman"/>
          <w:sz w:val="24"/>
        </w:rPr>
      </w:pPr>
      <w:proofErr w:type="spellStart"/>
      <w:r w:rsidRPr="008A1B5D">
        <w:rPr>
          <w:rFonts w:ascii="Times New Roman" w:hAnsi="Times New Roman" w:cs="Times New Roman"/>
          <w:sz w:val="24"/>
          <w:highlight w:val="yellow"/>
        </w:rPr>
        <w:t>Ukalska-Jaruga</w:t>
      </w:r>
      <w:proofErr w:type="spellEnd"/>
      <w:r w:rsidRPr="008A1B5D">
        <w:rPr>
          <w:rFonts w:ascii="Times New Roman" w:hAnsi="Times New Roman" w:cs="Times New Roman"/>
          <w:sz w:val="24"/>
          <w:highlight w:val="yellow"/>
        </w:rPr>
        <w:t xml:space="preserve">, A., </w:t>
      </w:r>
      <w:proofErr w:type="spellStart"/>
      <w:r w:rsidRPr="008A1B5D">
        <w:rPr>
          <w:rFonts w:ascii="Times New Roman" w:hAnsi="Times New Roman" w:cs="Times New Roman"/>
          <w:sz w:val="24"/>
          <w:highlight w:val="yellow"/>
        </w:rPr>
        <w:t>Smreczak</w:t>
      </w:r>
      <w:proofErr w:type="spellEnd"/>
      <w:r w:rsidRPr="008A1B5D">
        <w:rPr>
          <w:rFonts w:ascii="Times New Roman" w:hAnsi="Times New Roman" w:cs="Times New Roman"/>
          <w:sz w:val="24"/>
          <w:highlight w:val="yellow"/>
        </w:rPr>
        <w:t xml:space="preserve">, B., &amp; </w:t>
      </w:r>
      <w:proofErr w:type="spellStart"/>
      <w:r w:rsidRPr="008A1B5D">
        <w:rPr>
          <w:rFonts w:ascii="Times New Roman" w:hAnsi="Times New Roman" w:cs="Times New Roman"/>
          <w:sz w:val="24"/>
          <w:highlight w:val="yellow"/>
        </w:rPr>
        <w:t>Klimkowicz-Pawlas</w:t>
      </w:r>
      <w:proofErr w:type="spellEnd"/>
      <w:r w:rsidRPr="008A1B5D">
        <w:rPr>
          <w:rFonts w:ascii="Times New Roman" w:hAnsi="Times New Roman" w:cs="Times New Roman"/>
          <w:sz w:val="24"/>
          <w:highlight w:val="yellow"/>
        </w:rPr>
        <w:t>, A. (2019). Soil organic matter composition as a factor affecting the accumulation of polycyclic aromatic hydrocarbons. Journal of Soils and Sediments, 19, 1890-1900.</w:t>
      </w:r>
    </w:p>
    <w:p w14:paraId="47CD9E8B" w14:textId="77777777" w:rsidR="00BC6BE0" w:rsidRPr="00293795" w:rsidRDefault="00BC6BE0" w:rsidP="00BC6BE0">
      <w:pPr>
        <w:spacing w:after="120" w:line="360" w:lineRule="auto"/>
        <w:ind w:left="900" w:hanging="900"/>
        <w:contextualSpacing/>
        <w:jc w:val="both"/>
        <w:rPr>
          <w:rFonts w:ascii="Times New Roman" w:hAnsi="Times New Roman" w:cs="Times New Roman"/>
          <w:sz w:val="24"/>
          <w:szCs w:val="24"/>
          <w:shd w:val="clear" w:color="auto" w:fill="FFFFFF"/>
        </w:rPr>
      </w:pPr>
      <w:r w:rsidRPr="006C6D68">
        <w:rPr>
          <w:rFonts w:ascii="Times New Roman" w:hAnsi="Times New Roman" w:cs="Times New Roman"/>
          <w:sz w:val="24"/>
          <w:szCs w:val="24"/>
          <w:highlight w:val="yellow"/>
          <w:shd w:val="clear" w:color="auto" w:fill="FFFFFF"/>
        </w:rPr>
        <w:t>United States Environmental Protection Agency (USEPA). (2012). Water quality criteria: Aquatic life ambient water quality criteria. Retrieved from https://www.epa.gov/wqc</w:t>
      </w:r>
    </w:p>
    <w:p w14:paraId="364803ED" w14:textId="77777777" w:rsidR="00BC6BE0" w:rsidRDefault="00BC6BE0" w:rsidP="00BC6BE0">
      <w:pPr>
        <w:autoSpaceDE w:val="0"/>
        <w:autoSpaceDN w:val="0"/>
        <w:adjustRightInd w:val="0"/>
        <w:spacing w:after="120" w:line="360" w:lineRule="auto"/>
        <w:ind w:left="810" w:hanging="810"/>
        <w:contextualSpacing/>
        <w:jc w:val="both"/>
        <w:rPr>
          <w:rFonts w:ascii="Times New Roman" w:hAnsi="Times New Roman" w:cs="Times New Roman"/>
          <w:sz w:val="24"/>
          <w:szCs w:val="24"/>
        </w:rPr>
      </w:pPr>
      <w:r w:rsidRPr="0044011E">
        <w:rPr>
          <w:rFonts w:ascii="Times New Roman" w:hAnsi="Times New Roman" w:cs="Times New Roman"/>
          <w:sz w:val="24"/>
          <w:szCs w:val="24"/>
          <w:highlight w:val="yellow"/>
        </w:rPr>
        <w:t>USEPA (United States Environmental Protection Agency). (2020). Regional Screening levels (RSLs) Table. Updated May 1, 2020; pp. 176. Accessed 23 November 2023, https://www. Epa.gov/risk/regional-screening-levels-</w:t>
      </w:r>
      <w:proofErr w:type="spellStart"/>
      <w:r w:rsidRPr="0044011E">
        <w:rPr>
          <w:rFonts w:ascii="Times New Roman" w:hAnsi="Times New Roman" w:cs="Times New Roman"/>
          <w:sz w:val="24"/>
          <w:szCs w:val="24"/>
          <w:highlight w:val="yellow"/>
        </w:rPr>
        <w:t>rsls</w:t>
      </w:r>
      <w:proofErr w:type="spellEnd"/>
      <w:r w:rsidRPr="0044011E">
        <w:rPr>
          <w:rFonts w:ascii="Times New Roman" w:hAnsi="Times New Roman" w:cs="Times New Roman"/>
          <w:sz w:val="24"/>
          <w:szCs w:val="24"/>
          <w:highlight w:val="yellow"/>
        </w:rPr>
        <w:t>-generic-tables.</w:t>
      </w:r>
    </w:p>
    <w:p w14:paraId="03CB753E" w14:textId="77777777" w:rsidR="00BC6BE0" w:rsidRPr="008A1B5D" w:rsidRDefault="00BC6BE0" w:rsidP="00BC6BE0">
      <w:pPr>
        <w:spacing w:after="120" w:line="360" w:lineRule="auto"/>
        <w:ind w:left="900" w:hanging="900"/>
        <w:contextualSpacing/>
        <w:jc w:val="both"/>
        <w:rPr>
          <w:rFonts w:ascii="Times New Roman" w:hAnsi="Times New Roman" w:cs="Times New Roman"/>
          <w:sz w:val="24"/>
          <w:szCs w:val="24"/>
          <w:shd w:val="clear" w:color="auto" w:fill="FFFFFF"/>
        </w:rPr>
      </w:pPr>
      <w:r w:rsidRPr="0044011E">
        <w:rPr>
          <w:rFonts w:ascii="Times New Roman" w:hAnsi="Times New Roman" w:cs="Times New Roman"/>
          <w:sz w:val="24"/>
          <w:szCs w:val="24"/>
          <w:highlight w:val="yellow"/>
          <w:shd w:val="clear" w:color="auto" w:fill="FFFFFF"/>
        </w:rPr>
        <w:t xml:space="preserve">Wang, Z., Yang, C., and </w:t>
      </w:r>
      <w:proofErr w:type="spellStart"/>
      <w:r w:rsidRPr="0044011E">
        <w:rPr>
          <w:rFonts w:ascii="Times New Roman" w:hAnsi="Times New Roman" w:cs="Times New Roman"/>
          <w:sz w:val="24"/>
          <w:szCs w:val="24"/>
          <w:highlight w:val="yellow"/>
          <w:shd w:val="clear" w:color="auto" w:fill="FFFFFF"/>
        </w:rPr>
        <w:t>Fingas</w:t>
      </w:r>
      <w:proofErr w:type="spellEnd"/>
      <w:r w:rsidRPr="0044011E">
        <w:rPr>
          <w:rFonts w:ascii="Times New Roman" w:hAnsi="Times New Roman" w:cs="Times New Roman"/>
          <w:sz w:val="24"/>
          <w:szCs w:val="24"/>
          <w:highlight w:val="yellow"/>
          <w:shd w:val="clear" w:color="auto" w:fill="FFFFFF"/>
        </w:rPr>
        <w:t>, M. (2015). Oil and petroleum product fingerprinting analysis by gas chromatographic techniques. In Comprehensive Analytical Chemistry (Vol. 66, pp. 399–441). Elsevier. https://doi.org/10.1016/B978-0-444-62615-6.00014-3.</w:t>
      </w:r>
    </w:p>
    <w:p w14:paraId="4145FB39" w14:textId="526B7BBE" w:rsidR="000C3432" w:rsidRDefault="00FA605B" w:rsidP="00FA605B">
      <w:pPr>
        <w:tabs>
          <w:tab w:val="left" w:pos="2805"/>
        </w:tabs>
        <w:spacing w:line="360" w:lineRule="auto"/>
        <w:jc w:val="both"/>
        <w:rPr>
          <w:rFonts w:ascii="Times New Roman" w:hAnsi="Times New Roman" w:cs="Times New Roman"/>
          <w:sz w:val="24"/>
        </w:rPr>
      </w:pPr>
      <w:r>
        <w:rPr>
          <w:rFonts w:ascii="Times New Roman" w:hAnsi="Times New Roman" w:cs="Times New Roman"/>
          <w:sz w:val="24"/>
        </w:rPr>
        <w:tab/>
      </w:r>
    </w:p>
    <w:p w14:paraId="23607874" w14:textId="77777777" w:rsidR="008543CD" w:rsidRDefault="008543CD" w:rsidP="005D1F7D">
      <w:pPr>
        <w:spacing w:line="360" w:lineRule="auto"/>
        <w:rPr>
          <w:rFonts w:ascii="Times New Roman" w:hAnsi="Times New Roman" w:cs="Times New Roman"/>
          <w:sz w:val="24"/>
        </w:rPr>
      </w:pPr>
    </w:p>
    <w:p w14:paraId="46F9BF60" w14:textId="77777777" w:rsidR="00877D5C" w:rsidRPr="002E2B03" w:rsidRDefault="00877D5C" w:rsidP="005D1F7D">
      <w:pPr>
        <w:spacing w:line="360" w:lineRule="auto"/>
        <w:rPr>
          <w:rFonts w:ascii="Times New Roman" w:hAnsi="Times New Roman" w:cs="Times New Roman"/>
          <w:sz w:val="24"/>
        </w:rPr>
      </w:pPr>
    </w:p>
    <w:sectPr w:rsidR="00877D5C" w:rsidRPr="002E2B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793D6" w14:textId="77777777" w:rsidR="0035569D" w:rsidRDefault="0035569D" w:rsidP="00A96584">
      <w:pPr>
        <w:spacing w:after="0" w:line="240" w:lineRule="auto"/>
      </w:pPr>
      <w:r>
        <w:separator/>
      </w:r>
    </w:p>
  </w:endnote>
  <w:endnote w:type="continuationSeparator" w:id="0">
    <w:p w14:paraId="34899EE0" w14:textId="77777777" w:rsidR="0035569D" w:rsidRDefault="0035569D" w:rsidP="00A9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D3E92" w14:textId="77777777" w:rsidR="00D362B4" w:rsidRDefault="00D362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250346"/>
      <w:docPartObj>
        <w:docPartGallery w:val="Page Numbers (Bottom of Page)"/>
        <w:docPartUnique/>
      </w:docPartObj>
    </w:sdtPr>
    <w:sdtEndPr>
      <w:rPr>
        <w:noProof/>
      </w:rPr>
    </w:sdtEndPr>
    <w:sdtContent>
      <w:p w14:paraId="6B3E6283" w14:textId="77777777" w:rsidR="00D362B4" w:rsidRDefault="00D362B4">
        <w:pPr>
          <w:pStyle w:val="Footer"/>
          <w:jc w:val="center"/>
        </w:pPr>
        <w:r>
          <w:fldChar w:fldCharType="begin"/>
        </w:r>
        <w:r>
          <w:instrText xml:space="preserve"> PAGE   \* MERGEFORMAT </w:instrText>
        </w:r>
        <w:r>
          <w:fldChar w:fldCharType="separate"/>
        </w:r>
        <w:r w:rsidR="00C81D19">
          <w:rPr>
            <w:noProof/>
          </w:rPr>
          <w:t>21</w:t>
        </w:r>
        <w:r>
          <w:rPr>
            <w:noProof/>
          </w:rPr>
          <w:fldChar w:fldCharType="end"/>
        </w:r>
      </w:p>
    </w:sdtContent>
  </w:sdt>
  <w:p w14:paraId="53563340" w14:textId="77777777" w:rsidR="00D362B4" w:rsidRDefault="00D362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7E466" w14:textId="77777777" w:rsidR="00D362B4" w:rsidRDefault="00D36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EA5D1" w14:textId="77777777" w:rsidR="0035569D" w:rsidRDefault="0035569D" w:rsidP="00A96584">
      <w:pPr>
        <w:spacing w:after="0" w:line="240" w:lineRule="auto"/>
      </w:pPr>
      <w:r>
        <w:separator/>
      </w:r>
    </w:p>
  </w:footnote>
  <w:footnote w:type="continuationSeparator" w:id="0">
    <w:p w14:paraId="420E94BE" w14:textId="77777777" w:rsidR="0035569D" w:rsidRDefault="0035569D" w:rsidP="00A96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16BF" w14:textId="0335A29C" w:rsidR="00D362B4" w:rsidRDefault="00D362B4">
    <w:pPr>
      <w:pStyle w:val="Header"/>
    </w:pPr>
    <w:r>
      <w:rPr>
        <w:noProof/>
      </w:rPr>
      <w:pict w14:anchorId="412D5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20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BFDE" w14:textId="15DD937B" w:rsidR="00D362B4" w:rsidRDefault="00D362B4">
    <w:pPr>
      <w:pStyle w:val="Header"/>
    </w:pPr>
    <w:r>
      <w:rPr>
        <w:noProof/>
      </w:rPr>
      <w:pict w14:anchorId="03F2D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20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94D17" w14:textId="2BCBA7AA" w:rsidR="00D362B4" w:rsidRDefault="00D362B4">
    <w:pPr>
      <w:pStyle w:val="Header"/>
    </w:pPr>
    <w:r>
      <w:rPr>
        <w:noProof/>
      </w:rPr>
      <w:pict w14:anchorId="059B2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20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61"/>
    <w:rsid w:val="00000BB9"/>
    <w:rsid w:val="00021D67"/>
    <w:rsid w:val="00022CA3"/>
    <w:rsid w:val="00031DB4"/>
    <w:rsid w:val="00036975"/>
    <w:rsid w:val="00070AEA"/>
    <w:rsid w:val="00072E06"/>
    <w:rsid w:val="000C2B49"/>
    <w:rsid w:val="000C3432"/>
    <w:rsid w:val="000E0467"/>
    <w:rsid w:val="000E41D3"/>
    <w:rsid w:val="00111952"/>
    <w:rsid w:val="00114E36"/>
    <w:rsid w:val="001368CE"/>
    <w:rsid w:val="00144928"/>
    <w:rsid w:val="00155AA1"/>
    <w:rsid w:val="00166DF7"/>
    <w:rsid w:val="001741DB"/>
    <w:rsid w:val="00183F25"/>
    <w:rsid w:val="00201886"/>
    <w:rsid w:val="00204681"/>
    <w:rsid w:val="00230AC6"/>
    <w:rsid w:val="002470CD"/>
    <w:rsid w:val="002522A4"/>
    <w:rsid w:val="0025630A"/>
    <w:rsid w:val="00265A45"/>
    <w:rsid w:val="00266715"/>
    <w:rsid w:val="00266CE8"/>
    <w:rsid w:val="002924E1"/>
    <w:rsid w:val="00293795"/>
    <w:rsid w:val="002E2B03"/>
    <w:rsid w:val="00321B90"/>
    <w:rsid w:val="003255C6"/>
    <w:rsid w:val="00342CD8"/>
    <w:rsid w:val="0034500D"/>
    <w:rsid w:val="0035569D"/>
    <w:rsid w:val="003F2F4E"/>
    <w:rsid w:val="00447A31"/>
    <w:rsid w:val="004600C5"/>
    <w:rsid w:val="00461284"/>
    <w:rsid w:val="004870DF"/>
    <w:rsid w:val="004A1BDC"/>
    <w:rsid w:val="004A56D1"/>
    <w:rsid w:val="004A60A8"/>
    <w:rsid w:val="004B73D9"/>
    <w:rsid w:val="004C7A59"/>
    <w:rsid w:val="004E59D0"/>
    <w:rsid w:val="004F094C"/>
    <w:rsid w:val="0050678F"/>
    <w:rsid w:val="00527D64"/>
    <w:rsid w:val="00530BC3"/>
    <w:rsid w:val="005747AD"/>
    <w:rsid w:val="00590100"/>
    <w:rsid w:val="00592A61"/>
    <w:rsid w:val="005A402E"/>
    <w:rsid w:val="005A7D9D"/>
    <w:rsid w:val="005C4EEF"/>
    <w:rsid w:val="005D10BB"/>
    <w:rsid w:val="005D1F7D"/>
    <w:rsid w:val="005D5A88"/>
    <w:rsid w:val="00620950"/>
    <w:rsid w:val="00633DB7"/>
    <w:rsid w:val="00633E47"/>
    <w:rsid w:val="00660FA8"/>
    <w:rsid w:val="006A71EC"/>
    <w:rsid w:val="006F73B4"/>
    <w:rsid w:val="00706E6D"/>
    <w:rsid w:val="00707D58"/>
    <w:rsid w:val="0071617B"/>
    <w:rsid w:val="00762B98"/>
    <w:rsid w:val="0076390E"/>
    <w:rsid w:val="007A49BC"/>
    <w:rsid w:val="007E71CB"/>
    <w:rsid w:val="008016F2"/>
    <w:rsid w:val="008543CD"/>
    <w:rsid w:val="00857E84"/>
    <w:rsid w:val="00877D5C"/>
    <w:rsid w:val="008D2FCB"/>
    <w:rsid w:val="008D621F"/>
    <w:rsid w:val="0090096C"/>
    <w:rsid w:val="009517E9"/>
    <w:rsid w:val="009561D5"/>
    <w:rsid w:val="00977B43"/>
    <w:rsid w:val="009C4EC2"/>
    <w:rsid w:val="009D0127"/>
    <w:rsid w:val="009D4C23"/>
    <w:rsid w:val="009F586C"/>
    <w:rsid w:val="00A02130"/>
    <w:rsid w:val="00A46281"/>
    <w:rsid w:val="00A52ACA"/>
    <w:rsid w:val="00A53F7A"/>
    <w:rsid w:val="00A755CF"/>
    <w:rsid w:val="00A96584"/>
    <w:rsid w:val="00B26841"/>
    <w:rsid w:val="00B40AF5"/>
    <w:rsid w:val="00B4713D"/>
    <w:rsid w:val="00B72F2F"/>
    <w:rsid w:val="00BC6BE0"/>
    <w:rsid w:val="00C21D8D"/>
    <w:rsid w:val="00C81D19"/>
    <w:rsid w:val="00C87FB7"/>
    <w:rsid w:val="00C957F5"/>
    <w:rsid w:val="00CA5EC9"/>
    <w:rsid w:val="00CC0D04"/>
    <w:rsid w:val="00CF1775"/>
    <w:rsid w:val="00D121CA"/>
    <w:rsid w:val="00D27A69"/>
    <w:rsid w:val="00D362B4"/>
    <w:rsid w:val="00D7415D"/>
    <w:rsid w:val="00D94315"/>
    <w:rsid w:val="00DC240F"/>
    <w:rsid w:val="00DD3016"/>
    <w:rsid w:val="00DE2BAB"/>
    <w:rsid w:val="00E04257"/>
    <w:rsid w:val="00E40184"/>
    <w:rsid w:val="00E61C5F"/>
    <w:rsid w:val="00E91A45"/>
    <w:rsid w:val="00F107DB"/>
    <w:rsid w:val="00F10ACC"/>
    <w:rsid w:val="00F26545"/>
    <w:rsid w:val="00F33885"/>
    <w:rsid w:val="00F61EEC"/>
    <w:rsid w:val="00F63EB6"/>
    <w:rsid w:val="00F7497C"/>
    <w:rsid w:val="00F96325"/>
    <w:rsid w:val="00FA1910"/>
    <w:rsid w:val="00FA605B"/>
    <w:rsid w:val="00FB0ABA"/>
    <w:rsid w:val="00FC4470"/>
    <w:rsid w:val="00FD023C"/>
    <w:rsid w:val="00FD2CCF"/>
    <w:rsid w:val="00FE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563491"/>
  <w15:chartTrackingRefBased/>
  <w15:docId w15:val="{CF208C00-32DB-4785-BD95-C2D564BD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84"/>
  </w:style>
  <w:style w:type="paragraph" w:styleId="Footer">
    <w:name w:val="footer"/>
    <w:basedOn w:val="Normal"/>
    <w:link w:val="FooterChar"/>
    <w:uiPriority w:val="99"/>
    <w:unhideWhenUsed/>
    <w:rsid w:val="00A96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84"/>
  </w:style>
  <w:style w:type="table" w:styleId="TableGrid">
    <w:name w:val="Table Grid"/>
    <w:basedOn w:val="TableNormal"/>
    <w:uiPriority w:val="59"/>
    <w:rsid w:val="00716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D621F"/>
    <w:rPr>
      <w:b/>
      <w:bCs/>
    </w:rPr>
  </w:style>
  <w:style w:type="paragraph" w:styleId="NormalWeb">
    <w:name w:val="Normal (Web)"/>
    <w:basedOn w:val="Normal"/>
    <w:uiPriority w:val="99"/>
    <w:unhideWhenUsed/>
    <w:rsid w:val="00E042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1F7D"/>
    <w:rPr>
      <w:color w:val="0563C1" w:themeColor="hyperlink"/>
      <w:u w:val="single"/>
    </w:rPr>
  </w:style>
  <w:style w:type="paragraph" w:customStyle="1" w:styleId="Default">
    <w:name w:val="Default"/>
    <w:rsid w:val="005D1F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762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17812">
      <w:bodyDiv w:val="1"/>
      <w:marLeft w:val="0"/>
      <w:marRight w:val="0"/>
      <w:marTop w:val="0"/>
      <w:marBottom w:val="0"/>
      <w:divBdr>
        <w:top w:val="none" w:sz="0" w:space="0" w:color="auto"/>
        <w:left w:val="none" w:sz="0" w:space="0" w:color="auto"/>
        <w:bottom w:val="none" w:sz="0" w:space="0" w:color="auto"/>
        <w:right w:val="none" w:sz="0" w:space="0" w:color="auto"/>
      </w:divBdr>
    </w:div>
    <w:div w:id="309136637">
      <w:bodyDiv w:val="1"/>
      <w:marLeft w:val="0"/>
      <w:marRight w:val="0"/>
      <w:marTop w:val="0"/>
      <w:marBottom w:val="0"/>
      <w:divBdr>
        <w:top w:val="none" w:sz="0" w:space="0" w:color="auto"/>
        <w:left w:val="none" w:sz="0" w:space="0" w:color="auto"/>
        <w:bottom w:val="none" w:sz="0" w:space="0" w:color="auto"/>
        <w:right w:val="none" w:sz="0" w:space="0" w:color="auto"/>
      </w:divBdr>
    </w:div>
    <w:div w:id="567151494">
      <w:bodyDiv w:val="1"/>
      <w:marLeft w:val="0"/>
      <w:marRight w:val="0"/>
      <w:marTop w:val="0"/>
      <w:marBottom w:val="0"/>
      <w:divBdr>
        <w:top w:val="none" w:sz="0" w:space="0" w:color="auto"/>
        <w:left w:val="none" w:sz="0" w:space="0" w:color="auto"/>
        <w:bottom w:val="none" w:sz="0" w:space="0" w:color="auto"/>
        <w:right w:val="none" w:sz="0" w:space="0" w:color="auto"/>
      </w:divBdr>
    </w:div>
    <w:div w:id="635721559">
      <w:bodyDiv w:val="1"/>
      <w:marLeft w:val="0"/>
      <w:marRight w:val="0"/>
      <w:marTop w:val="0"/>
      <w:marBottom w:val="0"/>
      <w:divBdr>
        <w:top w:val="none" w:sz="0" w:space="0" w:color="auto"/>
        <w:left w:val="none" w:sz="0" w:space="0" w:color="auto"/>
        <w:bottom w:val="none" w:sz="0" w:space="0" w:color="auto"/>
        <w:right w:val="none" w:sz="0" w:space="0" w:color="auto"/>
      </w:divBdr>
    </w:div>
    <w:div w:id="873343928">
      <w:bodyDiv w:val="1"/>
      <w:marLeft w:val="0"/>
      <w:marRight w:val="0"/>
      <w:marTop w:val="0"/>
      <w:marBottom w:val="0"/>
      <w:divBdr>
        <w:top w:val="none" w:sz="0" w:space="0" w:color="auto"/>
        <w:left w:val="none" w:sz="0" w:space="0" w:color="auto"/>
        <w:bottom w:val="none" w:sz="0" w:space="0" w:color="auto"/>
        <w:right w:val="none" w:sz="0" w:space="0" w:color="auto"/>
      </w:divBdr>
    </w:div>
    <w:div w:id="1123771776">
      <w:bodyDiv w:val="1"/>
      <w:marLeft w:val="0"/>
      <w:marRight w:val="0"/>
      <w:marTop w:val="0"/>
      <w:marBottom w:val="0"/>
      <w:divBdr>
        <w:top w:val="none" w:sz="0" w:space="0" w:color="auto"/>
        <w:left w:val="none" w:sz="0" w:space="0" w:color="auto"/>
        <w:bottom w:val="none" w:sz="0" w:space="0" w:color="auto"/>
        <w:right w:val="none" w:sz="0" w:space="0" w:color="auto"/>
      </w:divBdr>
    </w:div>
    <w:div w:id="1224754945">
      <w:bodyDiv w:val="1"/>
      <w:marLeft w:val="0"/>
      <w:marRight w:val="0"/>
      <w:marTop w:val="0"/>
      <w:marBottom w:val="0"/>
      <w:divBdr>
        <w:top w:val="none" w:sz="0" w:space="0" w:color="auto"/>
        <w:left w:val="none" w:sz="0" w:space="0" w:color="auto"/>
        <w:bottom w:val="none" w:sz="0" w:space="0" w:color="auto"/>
        <w:right w:val="none" w:sz="0" w:space="0" w:color="auto"/>
      </w:divBdr>
    </w:div>
    <w:div w:id="1367287981">
      <w:bodyDiv w:val="1"/>
      <w:marLeft w:val="0"/>
      <w:marRight w:val="0"/>
      <w:marTop w:val="0"/>
      <w:marBottom w:val="0"/>
      <w:divBdr>
        <w:top w:val="none" w:sz="0" w:space="0" w:color="auto"/>
        <w:left w:val="none" w:sz="0" w:space="0" w:color="auto"/>
        <w:bottom w:val="none" w:sz="0" w:space="0" w:color="auto"/>
        <w:right w:val="none" w:sz="0" w:space="0" w:color="auto"/>
      </w:divBdr>
    </w:div>
    <w:div w:id="1459761239">
      <w:bodyDiv w:val="1"/>
      <w:marLeft w:val="0"/>
      <w:marRight w:val="0"/>
      <w:marTop w:val="0"/>
      <w:marBottom w:val="0"/>
      <w:divBdr>
        <w:top w:val="none" w:sz="0" w:space="0" w:color="auto"/>
        <w:left w:val="none" w:sz="0" w:space="0" w:color="auto"/>
        <w:bottom w:val="none" w:sz="0" w:space="0" w:color="auto"/>
        <w:right w:val="none" w:sz="0" w:space="0" w:color="auto"/>
      </w:divBdr>
    </w:div>
    <w:div w:id="1593079589">
      <w:bodyDiv w:val="1"/>
      <w:marLeft w:val="0"/>
      <w:marRight w:val="0"/>
      <w:marTop w:val="0"/>
      <w:marBottom w:val="0"/>
      <w:divBdr>
        <w:top w:val="none" w:sz="0" w:space="0" w:color="auto"/>
        <w:left w:val="none" w:sz="0" w:space="0" w:color="auto"/>
        <w:bottom w:val="none" w:sz="0" w:space="0" w:color="auto"/>
        <w:right w:val="none" w:sz="0" w:space="0" w:color="auto"/>
      </w:divBdr>
    </w:div>
    <w:div w:id="1602950068">
      <w:bodyDiv w:val="1"/>
      <w:marLeft w:val="0"/>
      <w:marRight w:val="0"/>
      <w:marTop w:val="0"/>
      <w:marBottom w:val="0"/>
      <w:divBdr>
        <w:top w:val="none" w:sz="0" w:space="0" w:color="auto"/>
        <w:left w:val="none" w:sz="0" w:space="0" w:color="auto"/>
        <w:bottom w:val="none" w:sz="0" w:space="0" w:color="auto"/>
        <w:right w:val="none" w:sz="0" w:space="0" w:color="auto"/>
      </w:divBdr>
    </w:div>
    <w:div w:id="1741904021">
      <w:bodyDiv w:val="1"/>
      <w:marLeft w:val="0"/>
      <w:marRight w:val="0"/>
      <w:marTop w:val="0"/>
      <w:marBottom w:val="0"/>
      <w:divBdr>
        <w:top w:val="none" w:sz="0" w:space="0" w:color="auto"/>
        <w:left w:val="none" w:sz="0" w:space="0" w:color="auto"/>
        <w:bottom w:val="none" w:sz="0" w:space="0" w:color="auto"/>
        <w:right w:val="none" w:sz="0" w:space="0" w:color="auto"/>
      </w:divBdr>
    </w:div>
    <w:div w:id="186162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s10661-018-6489-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12411</TotalTime>
  <Pages>24</Pages>
  <Words>7436</Words>
  <Characters>42387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112</cp:revision>
  <dcterms:created xsi:type="dcterms:W3CDTF">2025-05-01T22:24:00Z</dcterms:created>
  <dcterms:modified xsi:type="dcterms:W3CDTF">2025-05-30T09:24:00Z</dcterms:modified>
</cp:coreProperties>
</file>