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5EE6A" w14:textId="77777777" w:rsidR="00056B99" w:rsidRPr="00056B99" w:rsidRDefault="00056B99" w:rsidP="001D61B1">
      <w:pPr>
        <w:shd w:val="clear" w:color="auto" w:fill="FFFFFF" w:themeFill="background1"/>
        <w:jc w:val="both"/>
        <w:rPr>
          <w:b/>
          <w:bCs/>
          <w:i/>
          <w:iCs/>
          <w:szCs w:val="24"/>
          <w:u w:val="single"/>
        </w:rPr>
      </w:pPr>
      <w:r w:rsidRPr="00056B99">
        <w:rPr>
          <w:b/>
          <w:bCs/>
          <w:i/>
          <w:iCs/>
          <w:szCs w:val="24"/>
          <w:u w:val="single"/>
        </w:rPr>
        <w:t>Review Article</w:t>
      </w:r>
    </w:p>
    <w:p w14:paraId="46C1C322" w14:textId="77777777" w:rsidR="00056B99" w:rsidRDefault="00056B99" w:rsidP="001D61B1">
      <w:pPr>
        <w:shd w:val="clear" w:color="auto" w:fill="FFFFFF" w:themeFill="background1"/>
        <w:jc w:val="both"/>
        <w:rPr>
          <w:b/>
          <w:bCs/>
          <w:szCs w:val="24"/>
        </w:rPr>
      </w:pPr>
    </w:p>
    <w:p w14:paraId="62D6CB03" w14:textId="77777777" w:rsidR="003F0869" w:rsidRPr="003F0869" w:rsidRDefault="003F0869" w:rsidP="001D61B1">
      <w:pPr>
        <w:shd w:val="clear" w:color="auto" w:fill="FFFFFF" w:themeFill="background1"/>
        <w:jc w:val="both"/>
        <w:rPr>
          <w:b/>
          <w:bCs/>
          <w:szCs w:val="24"/>
        </w:rPr>
      </w:pPr>
      <w:r w:rsidRPr="003F0869">
        <w:rPr>
          <w:b/>
          <w:bCs/>
          <w:szCs w:val="24"/>
        </w:rPr>
        <w:t>Probiotics in Neurosurgery and Neurodegenerative Diseases: Harnessing the Gut-Brain Axis for Recovery</w:t>
      </w:r>
    </w:p>
    <w:p w14:paraId="44D74F94" w14:textId="77777777" w:rsidR="003F0869" w:rsidRDefault="003F0869" w:rsidP="001D61B1">
      <w:pPr>
        <w:shd w:val="clear" w:color="auto" w:fill="FFFFFF" w:themeFill="background1"/>
        <w:jc w:val="both"/>
        <w:rPr>
          <w:b/>
          <w:bCs/>
          <w:szCs w:val="24"/>
        </w:rPr>
      </w:pPr>
    </w:p>
    <w:p w14:paraId="0F3E55AA" w14:textId="77777777" w:rsidR="00D14003" w:rsidRPr="00D47E65" w:rsidRDefault="00D14003" w:rsidP="001D61B1">
      <w:pPr>
        <w:jc w:val="both"/>
        <w:rPr>
          <w:szCs w:val="24"/>
        </w:rPr>
      </w:pPr>
    </w:p>
    <w:p w14:paraId="656920AA" w14:textId="77777777" w:rsidR="00A829AF" w:rsidRPr="00056B99" w:rsidRDefault="0081296A" w:rsidP="001D61B1">
      <w:pPr>
        <w:pStyle w:val="Heading1"/>
        <w:spacing w:line="240" w:lineRule="auto"/>
        <w:jc w:val="both"/>
      </w:pPr>
      <w:r w:rsidRPr="00056B99">
        <w:t>Abstract</w:t>
      </w:r>
    </w:p>
    <w:p w14:paraId="6EBCC603" w14:textId="77777777" w:rsidR="004C15A7" w:rsidRPr="004C15A7" w:rsidRDefault="004C15A7" w:rsidP="001D61B1">
      <w:pPr>
        <w:jc w:val="both"/>
      </w:pPr>
      <w:r w:rsidRPr="004C15A7">
        <w:t xml:space="preserve">The gut-brain axis (GBA), a bidirectional communication network between gut microbiota and the central nervous system, is pivotal in regulating brain health through neural, immune, and endocrine pathways. Probiotics, live beneficial bacteria, modulate the GBA to enhance neurological recovery in neurosurgery and neurodegenerative disorders, offering a novel therapeutic approach. By producing short-chain fatty acids (SCFAs) and neurotransmitters (e.g., serotonin, BDNF), probiotics reduce neuroinflammation, strengthen blood-brain barrier integrity, and support neuroplasticity. In neurosurgery, strains like </w:t>
      </w:r>
      <w:r w:rsidRPr="004C15A7">
        <w:rPr>
          <w:i/>
          <w:iCs/>
        </w:rPr>
        <w:t>Lactobacillus reuteri</w:t>
      </w:r>
      <w:r w:rsidRPr="004C15A7">
        <w:t xml:space="preserve"> and </w:t>
      </w:r>
      <w:r w:rsidRPr="004C15A7">
        <w:rPr>
          <w:i/>
          <w:iCs/>
        </w:rPr>
        <w:t>Bifidobacterium longum</w:t>
      </w:r>
      <w:r w:rsidRPr="004C15A7">
        <w:t xml:space="preserve"> lower infection rates, improve gastrointestinal motility, and enhance cognitive outcomes in traumatic brain injury (TBI) and spinal surgery by mitigating systemic inflammation. In neurodegenerative diseases, such as Parkinson’s and Alzheimer’s, probiotics alleviate motor and cognitive symptoms by suppressing microglial activation and enhancing SCFA production. Synbiotics and emerging interventions, like probiotic-based wound dressings, further optimize outcomes by boosting immune responses and wound healing. However, strain-specific variability, small-scale trials, and inconsistent methodologies limit clinical translation. Future research should prioritize large-scale randomized controlled trials, personalized microbiome profiling, and novel strategies like postbiotics and psychobiotics to refine efficacy and dosing. By addressing these challenges, probiotics could become integral to neurosurgical and neurological care, improving recovery and quality of life through targeted GBA modulation.</w:t>
      </w:r>
    </w:p>
    <w:p w14:paraId="69C2D219" w14:textId="5D750E91" w:rsidR="00CC7DF8" w:rsidRPr="00CC7DF8" w:rsidRDefault="00CC7DF8" w:rsidP="001D61B1">
      <w:pPr>
        <w:jc w:val="both"/>
        <w:rPr>
          <w:szCs w:val="24"/>
        </w:rPr>
      </w:pPr>
    </w:p>
    <w:p w14:paraId="72030769" w14:textId="77777777" w:rsidR="00D228FA" w:rsidRPr="00D47E65" w:rsidRDefault="00D228FA" w:rsidP="001D61B1">
      <w:pPr>
        <w:jc w:val="both"/>
        <w:rPr>
          <w:szCs w:val="24"/>
        </w:rPr>
      </w:pPr>
    </w:p>
    <w:p w14:paraId="79402A6C" w14:textId="77777777" w:rsidR="00A829AF" w:rsidRPr="00D47E65" w:rsidRDefault="00D228FA" w:rsidP="001D61B1">
      <w:pPr>
        <w:jc w:val="both"/>
        <w:rPr>
          <w:szCs w:val="24"/>
        </w:rPr>
      </w:pPr>
      <w:r w:rsidRPr="00D47E65">
        <w:rPr>
          <w:b/>
          <w:bCs/>
          <w:szCs w:val="24"/>
        </w:rPr>
        <w:t>Key words</w:t>
      </w:r>
      <w:r w:rsidRPr="00D47E65">
        <w:rPr>
          <w:szCs w:val="24"/>
        </w:rPr>
        <w:t>: Neurosurgery, Gut-Brain Axis, Probiotics, neuroinflammation, Synbiotics</w:t>
      </w:r>
    </w:p>
    <w:p w14:paraId="2DA86500" w14:textId="77777777" w:rsidR="00D228FA" w:rsidRPr="00D47E65" w:rsidRDefault="00D228FA" w:rsidP="001D61B1">
      <w:pPr>
        <w:jc w:val="both"/>
        <w:rPr>
          <w:szCs w:val="24"/>
        </w:rPr>
      </w:pPr>
    </w:p>
    <w:p w14:paraId="30377CE7" w14:textId="77777777" w:rsidR="000851C0" w:rsidRPr="00D47E65" w:rsidRDefault="00A829AF" w:rsidP="001D61B1">
      <w:pPr>
        <w:pStyle w:val="Heading1"/>
        <w:spacing w:line="240" w:lineRule="auto"/>
        <w:jc w:val="both"/>
      </w:pPr>
      <w:r w:rsidRPr="00D47E65">
        <w:t>Introduction</w:t>
      </w:r>
    </w:p>
    <w:p w14:paraId="5D7FCC4F" w14:textId="182497E4" w:rsidR="00834EDF" w:rsidRDefault="00834EDF" w:rsidP="001D61B1">
      <w:pPr>
        <w:jc w:val="both"/>
      </w:pPr>
      <w:r w:rsidRPr="00834EDF">
        <w:t>The GBA, a bidirectional communication network between the gut microbiota and the central nervous system (CNS), plays a pivotal role in maintaining brain health through neural, immune, and endocrine pathways (6). Probiotics</w:t>
      </w:r>
      <w:r w:rsidR="004C15A7">
        <w:t xml:space="preserve"> </w:t>
      </w:r>
      <w:r w:rsidRPr="00834EDF">
        <w:t>leverage the GBA to enhance neurological recovery in neurosurgery and manage neurodegenerative diseases, offering a novel therapeutic approach. The GBA facilitates communication via the vagus nerve, gut-derived neurotransmitters (e.g., serotonin, gamma-aminobutyric acid), and short-chain fatty acids (SCFAs), which regulate neuroinflammation, neuroplasticity, and cognitive function (6, 8). Disruptions in the GBA, known as dysbiosis, impair brain health by increasing gut permeability and systemic inflammation, contributing to neurological disorders like Parkinson’s, Alzheimer’s, and autism spectrum disorder (6–8). In neurosurgery, dysbiosis exacerbates recovery challenges, particularly in traumatic brain injury (TBI) and spinal surgery, by amplifying neuroinflammation and infection risk (1, 2). Understanding the GBA’s mechanisms is critical for developing targeted interventions to support CNS homeostasis and improve clinical outcomes.</w:t>
      </w:r>
      <w:r w:rsidRPr="00834EDF">
        <w:br/>
        <w:t xml:space="preserve">Probiotics restore GBA balance by modulating gut microbiota, reducing inflammation, and lowering infection rates in neurosurgical contexts. In TBI, probiotics improve clinical outcomes, such as higher Glasgow Coma Scale scores and reduced mortality, by decreasing intestinal and systemic inflammation (2, 3). Similarly, in spinal surgery, probiotics mitigate postoperative complications, enhancing recovery through immune modulation and improved </w:t>
      </w:r>
      <w:r w:rsidRPr="00834EDF">
        <w:lastRenderedPageBreak/>
        <w:t>gastrointestinal function (1). These effects are driven by probiotics’ production of SCFAs and neurotransmitters, which support CNS health and reduce neuroinflammatory markers (5).</w:t>
      </w:r>
      <w:r w:rsidRPr="00834EDF">
        <w:br/>
      </w:r>
    </w:p>
    <w:p w14:paraId="119BC93C" w14:textId="46F91AA3" w:rsidR="00834EDF" w:rsidRPr="00834EDF" w:rsidRDefault="00834EDF" w:rsidP="001D61B1">
      <w:pPr>
        <w:ind w:firstLine="720"/>
        <w:jc w:val="both"/>
      </w:pPr>
      <w:r w:rsidRPr="00834EDF">
        <w:t>In neurodegenerative disorders like Parkinson’s and Alzheimer’s, probiotics alleviate symptoms by reducing neuroinflammation and enhancing gut microbiota composition (4, 5). For example, probiotics improve cognitive function and mood in mild cognitive impairment and Alzheimer’s by boosting neurotransmitter production and suppressing microglial activation (10). Synbiotics, combining probiotics and prebiotics, further enhance these benefits by optimizing gut-brain communication (10). These findings highlight probiotics’ potential as a dietary intervention to slow disease progression and improve quality of life.</w:t>
      </w:r>
      <w:r w:rsidRPr="00834EDF">
        <w:br/>
        <w:t xml:space="preserve">The growing recognition of the GBA’s role in neurological health underscores the promise of probiotic-based therapies in neurosurgery and neurodegenerative disease management (6, 7). By targeting the GBA, probiotics offer a novel strategy to mitigate neuropathic pain, psychiatric symptoms, and cognitive decline (9). However, strain-specific effects and individual variability necessitate further research to optimize probiotic interventions. </w:t>
      </w:r>
    </w:p>
    <w:p w14:paraId="740CAE97" w14:textId="77777777" w:rsidR="000851C0" w:rsidRPr="00D47E65" w:rsidRDefault="000851C0" w:rsidP="001D61B1">
      <w:pPr>
        <w:jc w:val="both"/>
        <w:rPr>
          <w:szCs w:val="24"/>
        </w:rPr>
      </w:pPr>
      <w:hyperlink r:id="rId8" w:history="1"/>
    </w:p>
    <w:p w14:paraId="2592C574" w14:textId="77777777" w:rsidR="000851C0" w:rsidRPr="00D47E65" w:rsidRDefault="00BE2C94" w:rsidP="001D61B1">
      <w:pPr>
        <w:pStyle w:val="Heading1"/>
        <w:spacing w:line="240" w:lineRule="auto"/>
        <w:jc w:val="both"/>
      </w:pPr>
      <w:r w:rsidRPr="00D47E65">
        <w:t>GBA and Neurological Health</w:t>
      </w:r>
    </w:p>
    <w:p w14:paraId="2CE99A1D" w14:textId="1BD5CBCE" w:rsidR="000E77A0" w:rsidRPr="000E77A0" w:rsidRDefault="000E77A0" w:rsidP="001D61B1">
      <w:pPr>
        <w:ind w:firstLine="720"/>
        <w:jc w:val="both"/>
      </w:pPr>
      <w:r w:rsidRPr="000E77A0">
        <w:t xml:space="preserve">The GBA, regulates brain health by orchestrating digestion, metabolism, mood, cognition, and behavior through neural, immune, and endocrine pathways (11, 12). The GBA’s significance lies in its ability to maintain CNS homeostasis, making it a critical target for managing neurological disorders relevant to neurosurgery and neurodegenerative diseases. </w:t>
      </w:r>
    </w:p>
    <w:p w14:paraId="18CA15D7" w14:textId="0E56464E" w:rsidR="000E77A0" w:rsidRPr="000E77A0" w:rsidRDefault="000E77A0" w:rsidP="001D61B1">
      <w:pPr>
        <w:ind w:firstLine="720"/>
        <w:jc w:val="both"/>
      </w:pPr>
      <w:r w:rsidRPr="000E77A0">
        <w:t>The GBA operates via the vagus nerve and enteric nervous system for neural signaling, while gut microbiota produce short-chain fatty acids (SCFAs, e.g., butyrate, acetate), neurotransmitters (e.g., serotonin, GABA), and tryptophan derivatives to modulate neuroinflammation and neuroplasticity (12, 16, 18). SCFAs, for instance, strengthen blood-brain barrier (BBB) integrity and suppress pro-inflammatory cytokines (e.g., IL-6, TNF-α), while the cAMP-PKA pathway enhances neurotransmitter release, influencing behavioral traits (16, 18). Recent research highlights microbial indole derivatives as key regulators of microglial activity, reducing neuroinflammation in Alzheimer’s models (</w:t>
      </w:r>
      <w:r w:rsidR="00CD6637">
        <w:t>63</w:t>
      </w:r>
      <w:r w:rsidRPr="000E77A0">
        <w:t>). These mechanisms, elucidated by animal studies and increasingly validated in humans, underscore the GBA’s role in brain health (20).</w:t>
      </w:r>
    </w:p>
    <w:p w14:paraId="1BB4A1A3" w14:textId="73763079" w:rsidR="000E77A0" w:rsidRPr="000E77A0" w:rsidRDefault="000E77A0" w:rsidP="001D61B1">
      <w:pPr>
        <w:ind w:firstLine="720"/>
        <w:jc w:val="both"/>
      </w:pPr>
      <w:r w:rsidRPr="000E77A0">
        <w:t>Dysbiosis, an imbalance in gut microbiota, disrupts the GBA, increasing gut permeability and systemic inflammation, which exacerbate neurological disorders (13, 14). In neurosurgery, TBI-induced dysbiosis causes mucosal damage, intestinal barrier breakdown, and immune cell infiltration, amplifying neuroinflammation and neurodegeneration (21, 23). For example, elevated neurotoxic metabolites via the kynurenine pathway worsen cognitive deficits post-TBI (14). In neurodegenerative diseases, dysbiosis drives α-synuclein aggregation in Parkinson’s and amyloid-β plaque formation in Alzheimer’s, linked to microglial activation (19, 22). A 2023 study found gut microbiota alterations in Parkinson’s patients correlate with motor symptom severity, suggesting GBA biomarkers for diagnosis (</w:t>
      </w:r>
      <w:r w:rsidR="00CD6637">
        <w:t>64</w:t>
      </w:r>
      <w:r w:rsidRPr="000E77A0">
        <w:t>). Similarly, reduced microbial diversity in stroke patients predicts worse functional outcomes (</w:t>
      </w:r>
      <w:r w:rsidR="00CD6637">
        <w:t>65</w:t>
      </w:r>
      <w:r w:rsidRPr="000E77A0">
        <w:t>). These disruptions highlight the GBA’s role in disease pathogenesis.</w:t>
      </w:r>
    </w:p>
    <w:p w14:paraId="407DEFCB" w14:textId="77777777" w:rsidR="00CD6637" w:rsidRDefault="000E77A0" w:rsidP="001D61B1">
      <w:pPr>
        <w:ind w:firstLine="720"/>
        <w:jc w:val="both"/>
      </w:pPr>
      <w:r w:rsidRPr="000E77A0">
        <w:t xml:space="preserve">Targeting the GBA offers promising therapeutic strategies. Probiotics, such as </w:t>
      </w:r>
      <w:r w:rsidRPr="000E77A0">
        <w:rPr>
          <w:i/>
          <w:iCs/>
        </w:rPr>
        <w:t>Lactobacillus</w:t>
      </w:r>
      <w:r w:rsidRPr="000E77A0">
        <w:t xml:space="preserve"> and </w:t>
      </w:r>
      <w:r w:rsidRPr="000E77A0">
        <w:rPr>
          <w:i/>
          <w:iCs/>
        </w:rPr>
        <w:t>Bifidobacterium</w:t>
      </w:r>
      <w:r w:rsidRPr="000E77A0">
        <w:t xml:space="preserve">, restore microbial balance, reducing neuroinflammation in TBI and stroke (21, 24). A 2024 trial showed </w:t>
      </w:r>
      <w:r w:rsidRPr="000E77A0">
        <w:rPr>
          <w:i/>
          <w:iCs/>
        </w:rPr>
        <w:t>Lactobacillus reuteri</w:t>
      </w:r>
      <w:r w:rsidRPr="000E77A0">
        <w:t xml:space="preserve"> supplementation in TBI patients lowered infection rates and improved cognition (</w:t>
      </w:r>
      <w:r w:rsidR="00CD6637">
        <w:t>66</w:t>
      </w:r>
      <w:r w:rsidRPr="000E77A0">
        <w:t>). Low-FODMAP diets stabilize microbiota, alleviating anxiety and depression in gut-brain disorders (15). In neurodegenerative diseases, probiotics enhance memory in Alzheimer’s by increasing SCFA production, as per a 2024 meta-analysis (</w:t>
      </w:r>
      <w:r w:rsidR="00CD6637">
        <w:t>67</w:t>
      </w:r>
      <w:r w:rsidRPr="000E77A0">
        <w:t xml:space="preserve">). Emerging interventions like fecal microbiota </w:t>
      </w:r>
      <w:r w:rsidRPr="000E77A0">
        <w:lastRenderedPageBreak/>
        <w:t>transplantation (FMT) reduce motor deficits in Parkinson’s models via GBA modulation (</w:t>
      </w:r>
      <w:r w:rsidR="00CD6637">
        <w:t>68</w:t>
      </w:r>
      <w:r w:rsidRPr="000E77A0">
        <w:t>). These approaches, supported by precision microbiome profiling, pave the way for personalized therapies in neurosurgical and neurological care (20).</w:t>
      </w:r>
    </w:p>
    <w:p w14:paraId="1D77373B" w14:textId="464E2F6B" w:rsidR="000851C0" w:rsidRPr="00CD6637" w:rsidRDefault="000851C0" w:rsidP="001D61B1">
      <w:pPr>
        <w:ind w:firstLine="720"/>
        <w:jc w:val="both"/>
      </w:pPr>
      <w:hyperlink r:id="rId9" w:history="1"/>
    </w:p>
    <w:p w14:paraId="018EA6E2" w14:textId="77777777" w:rsidR="000851C0" w:rsidRPr="00D47E65" w:rsidRDefault="00C56A94" w:rsidP="001D61B1">
      <w:pPr>
        <w:pStyle w:val="Heading1"/>
        <w:spacing w:line="240" w:lineRule="auto"/>
        <w:jc w:val="both"/>
      </w:pPr>
      <w:r w:rsidRPr="00D47E65">
        <w:t>Probiotics in Neurological Recovery</w:t>
      </w:r>
    </w:p>
    <w:p w14:paraId="1AB46EC8" w14:textId="11B0FFBB" w:rsidR="003D53D1" w:rsidRPr="003D53D1" w:rsidRDefault="003D53D1" w:rsidP="001D61B1">
      <w:pPr>
        <w:ind w:firstLine="720"/>
        <w:jc w:val="both"/>
        <w:rPr>
          <w:szCs w:val="24"/>
        </w:rPr>
      </w:pPr>
      <w:r w:rsidRPr="003D53D1">
        <w:rPr>
          <w:szCs w:val="24"/>
        </w:rPr>
        <w:t>Probiotics, enhance neurological recovery in neurosurgery and neurodegenerative diseases (18, 25). By producing metabolites and neurotransmitters, probiotics reduce neuroinflammation, support cognitive function, and improve clinical outcomes.</w:t>
      </w:r>
    </w:p>
    <w:p w14:paraId="170AB158" w14:textId="3C827AEF" w:rsidR="003D53D1" w:rsidRPr="003D53D1" w:rsidRDefault="003D53D1" w:rsidP="001D61B1">
      <w:pPr>
        <w:ind w:firstLine="720"/>
        <w:jc w:val="both"/>
        <w:rPr>
          <w:szCs w:val="24"/>
        </w:rPr>
      </w:pPr>
      <w:r w:rsidRPr="003D53D1">
        <w:rPr>
          <w:szCs w:val="24"/>
        </w:rPr>
        <w:br/>
        <w:t xml:space="preserve">Probiotics, such as </w:t>
      </w:r>
      <w:r w:rsidRPr="003D53D1">
        <w:rPr>
          <w:i/>
          <w:iCs/>
          <w:szCs w:val="24"/>
        </w:rPr>
        <w:t>Bifidobacterium breve</w:t>
      </w:r>
      <w:r w:rsidRPr="003D53D1">
        <w:rPr>
          <w:szCs w:val="24"/>
        </w:rPr>
        <w:t xml:space="preserve"> and </w:t>
      </w:r>
      <w:r w:rsidRPr="003D53D1">
        <w:rPr>
          <w:i/>
          <w:iCs/>
          <w:szCs w:val="24"/>
        </w:rPr>
        <w:t>Lactobacillus reuteri</w:t>
      </w:r>
      <w:r w:rsidRPr="003D53D1">
        <w:rPr>
          <w:szCs w:val="24"/>
        </w:rPr>
        <w:t>, restore GBA balance by producing short-chain fatty acids (SCFAs, e.g., butyrate, propionate) and neurotransmitters (e.g., serotonin, GABA) (18, 25). SCFAs strengthen blood-brain barrier (BBB) integrity and suppress pro-inflammatory cytokines (e.g., IL-1β, TNF-α), while serotonin and GABA enhance neurotrophic factors like brain-derived neurotrophic factor (BDNF), promoting neurogenesis (4, 27). For instance, the probiotic formula BLLL (</w:t>
      </w:r>
      <w:r w:rsidRPr="003D53D1">
        <w:rPr>
          <w:i/>
          <w:iCs/>
          <w:szCs w:val="24"/>
        </w:rPr>
        <w:t>Bifidobacterium breve</w:t>
      </w:r>
      <w:r w:rsidRPr="003D53D1">
        <w:rPr>
          <w:szCs w:val="24"/>
        </w:rPr>
        <w:t xml:space="preserve"> and </w:t>
      </w:r>
      <w:r w:rsidRPr="003D53D1">
        <w:rPr>
          <w:i/>
          <w:iCs/>
          <w:szCs w:val="24"/>
        </w:rPr>
        <w:t>Lactobacillus</w:t>
      </w:r>
      <w:r w:rsidRPr="003D53D1">
        <w:rPr>
          <w:szCs w:val="24"/>
        </w:rPr>
        <w:t xml:space="preserve"> strains) reduces depression-like behaviors in mice by increasing IL-10 and BDNF, suppressing IL-6 and TNF-α (27). Probiotics also modulate the hypothalamic-pituitary-adrenal (HPA) axis, reducing stress-induced inflammation, and activate the Nrf2 pathway to mitigate oxidative stress, as shown with </w:t>
      </w:r>
      <w:r w:rsidRPr="003D53D1">
        <w:rPr>
          <w:i/>
          <w:iCs/>
          <w:szCs w:val="24"/>
        </w:rPr>
        <w:t>Limosilactobacillus reuteri</w:t>
      </w:r>
      <w:r w:rsidRPr="003D53D1">
        <w:rPr>
          <w:szCs w:val="24"/>
        </w:rPr>
        <w:t xml:space="preserve"> in preclinical models (</w:t>
      </w:r>
      <w:r w:rsidR="00CD6637">
        <w:rPr>
          <w:szCs w:val="24"/>
        </w:rPr>
        <w:t>69</w:t>
      </w:r>
      <w:r w:rsidRPr="003D53D1">
        <w:rPr>
          <w:szCs w:val="24"/>
        </w:rPr>
        <w:t xml:space="preserve">, 34). A 2024 study demonstrated that </w:t>
      </w:r>
      <w:r w:rsidRPr="003D53D1">
        <w:rPr>
          <w:i/>
          <w:iCs/>
          <w:szCs w:val="24"/>
        </w:rPr>
        <w:t>Lactobacillus plantarum</w:t>
      </w:r>
      <w:r w:rsidRPr="003D53D1">
        <w:rPr>
          <w:szCs w:val="24"/>
        </w:rPr>
        <w:t xml:space="preserve"> upregulates dopamine pathways, enhancing mood regulation via the GBA (</w:t>
      </w:r>
      <w:r w:rsidR="00CD6637">
        <w:rPr>
          <w:szCs w:val="24"/>
        </w:rPr>
        <w:t>70</w:t>
      </w:r>
      <w:r w:rsidRPr="003D53D1">
        <w:rPr>
          <w:szCs w:val="24"/>
        </w:rPr>
        <w:t>). These mechanisms underpin probiotics’ neuroprotective effects.</w:t>
      </w:r>
    </w:p>
    <w:p w14:paraId="104249C6" w14:textId="19EBECBA" w:rsidR="003D53D1" w:rsidRPr="003D53D1" w:rsidRDefault="003D53D1" w:rsidP="001D61B1">
      <w:pPr>
        <w:ind w:firstLine="720"/>
        <w:jc w:val="both"/>
        <w:rPr>
          <w:szCs w:val="24"/>
        </w:rPr>
      </w:pPr>
      <w:r w:rsidRPr="003D53D1">
        <w:rPr>
          <w:szCs w:val="24"/>
        </w:rPr>
        <w:br/>
        <w:t xml:space="preserve">In TBI, probiotics improve recovery by reducing systemic inflammation and infection rates through GBA modulation (1, 2). </w:t>
      </w:r>
      <w:r w:rsidRPr="003D53D1">
        <w:rPr>
          <w:i/>
          <w:iCs/>
          <w:szCs w:val="24"/>
        </w:rPr>
        <w:t>Lactobacillus reuteri</w:t>
      </w:r>
      <w:r w:rsidRPr="003D53D1">
        <w:rPr>
          <w:szCs w:val="24"/>
        </w:rPr>
        <w:t xml:space="preserve"> supplementation lowers gut permeability, decreases IL-6 levels, and improves Glasgow Coma Scale scores in TBI patients, shortening intensive care stays (28). </w:t>
      </w:r>
      <w:r w:rsidRPr="003D53D1">
        <w:rPr>
          <w:i/>
          <w:iCs/>
          <w:szCs w:val="24"/>
        </w:rPr>
        <w:t>Bifidobacterium longum</w:t>
      </w:r>
      <w:r w:rsidRPr="003D53D1">
        <w:rPr>
          <w:szCs w:val="24"/>
        </w:rPr>
        <w:t xml:space="preserve"> enhances gastrointestinal motility, reducing postoperative complications in neurosurgical patients (33). A 2025 trial showed that multi-strain probiotics (</w:t>
      </w:r>
      <w:r w:rsidRPr="003D53D1">
        <w:rPr>
          <w:i/>
          <w:iCs/>
          <w:szCs w:val="24"/>
        </w:rPr>
        <w:t>Lactobacillus acidophilus</w:t>
      </w:r>
      <w:r w:rsidRPr="003D53D1">
        <w:rPr>
          <w:szCs w:val="24"/>
        </w:rPr>
        <w:t xml:space="preserve">, </w:t>
      </w:r>
      <w:r w:rsidRPr="003D53D1">
        <w:rPr>
          <w:i/>
          <w:iCs/>
          <w:szCs w:val="24"/>
        </w:rPr>
        <w:t>Bifidobacterium bifidum</w:t>
      </w:r>
      <w:r w:rsidRPr="003D53D1">
        <w:rPr>
          <w:szCs w:val="24"/>
        </w:rPr>
        <w:t>) increase BDNF expression, improving cognitive recovery post-TBI (</w:t>
      </w:r>
      <w:r w:rsidR="00CD6637">
        <w:rPr>
          <w:szCs w:val="24"/>
        </w:rPr>
        <w:t>70</w:t>
      </w:r>
      <w:r w:rsidRPr="003D53D1">
        <w:rPr>
          <w:szCs w:val="24"/>
        </w:rPr>
        <w:t>). In rat models, probiotics reduce oxidative stress markers, apoptosis, and gliosis, while enhancing vascularization, supporting histological and electroencephalographic improvements (33). These findings highlight probiotics’ role in optimizing neurosurgical outcomes.</w:t>
      </w:r>
    </w:p>
    <w:p w14:paraId="5A14EB5F" w14:textId="09B0F23E" w:rsidR="003D53D1" w:rsidRPr="003D53D1" w:rsidRDefault="003D53D1" w:rsidP="001D61B1">
      <w:pPr>
        <w:ind w:firstLine="720"/>
        <w:jc w:val="both"/>
        <w:rPr>
          <w:szCs w:val="24"/>
        </w:rPr>
      </w:pPr>
      <w:r w:rsidRPr="003D53D1">
        <w:rPr>
          <w:szCs w:val="24"/>
        </w:rPr>
        <w:br/>
        <w:t xml:space="preserve">In neurodegenerative disorders like Parkinson’s and Alzheimer’s, probiotics alleviate symptoms by reducing neuroinflammation and oxidative stress (4, 5). </w:t>
      </w:r>
      <w:r w:rsidRPr="003D53D1">
        <w:rPr>
          <w:i/>
          <w:iCs/>
          <w:szCs w:val="24"/>
        </w:rPr>
        <w:t>Bifidobacterium breve</w:t>
      </w:r>
      <w:r w:rsidRPr="003D53D1">
        <w:rPr>
          <w:szCs w:val="24"/>
        </w:rPr>
        <w:t xml:space="preserve"> improves memory in Alzheimer’s patients by increasing SCFA production, suppressing microglial activation, as per a 2024 meta-analysis (29). </w:t>
      </w:r>
      <w:r w:rsidRPr="003D53D1">
        <w:rPr>
          <w:i/>
          <w:iCs/>
          <w:szCs w:val="24"/>
        </w:rPr>
        <w:t>Lactobacillus plantarum</w:t>
      </w:r>
      <w:r w:rsidRPr="003D53D1">
        <w:rPr>
          <w:szCs w:val="24"/>
        </w:rPr>
        <w:t xml:space="preserve"> reduces motor deficits and anxiety in Parkinson’s by </w:t>
      </w:r>
      <w:r w:rsidR="00706223">
        <w:rPr>
          <w:szCs w:val="24"/>
        </w:rPr>
        <w:t>regulating</w:t>
      </w:r>
      <w:r w:rsidRPr="003D53D1">
        <w:rPr>
          <w:szCs w:val="24"/>
        </w:rPr>
        <w:t xml:space="preserve"> dopamine pathways via the GBA (35). </w:t>
      </w:r>
      <w:r w:rsidRPr="003D53D1">
        <w:rPr>
          <w:i/>
          <w:iCs/>
          <w:szCs w:val="24"/>
        </w:rPr>
        <w:t>Bifidobacterium animalis</w:t>
      </w:r>
      <w:r w:rsidRPr="003D53D1">
        <w:rPr>
          <w:szCs w:val="24"/>
        </w:rPr>
        <w:t xml:space="preserve"> subsp. lactis BB-12 enhances antioxidant enzyme activity, counteracting neurodegeneration in preclinical models (36). A 2023 study found that </w:t>
      </w:r>
      <w:r w:rsidRPr="003D53D1">
        <w:rPr>
          <w:i/>
          <w:iCs/>
          <w:szCs w:val="24"/>
        </w:rPr>
        <w:t>Lacticaseibacillus paracasei</w:t>
      </w:r>
      <w:r w:rsidRPr="003D53D1">
        <w:rPr>
          <w:szCs w:val="24"/>
        </w:rPr>
        <w:t xml:space="preserve"> GMNL-133 decreases BBB permeability in ischemic stroke models, suggesting broader neuroprotective potential (35). These strain-specific effects position probiotics as promising adjunctive therapies.</w:t>
      </w:r>
    </w:p>
    <w:p w14:paraId="6F968F6C" w14:textId="640A0FEB" w:rsidR="003D53D1" w:rsidRPr="003D53D1" w:rsidRDefault="003D53D1" w:rsidP="001D61B1">
      <w:pPr>
        <w:ind w:firstLine="720"/>
        <w:jc w:val="both"/>
        <w:rPr>
          <w:szCs w:val="24"/>
        </w:rPr>
      </w:pPr>
      <w:r w:rsidRPr="003D53D1">
        <w:rPr>
          <w:szCs w:val="24"/>
        </w:rPr>
        <w:br/>
        <w:t xml:space="preserve">Probiotics enhance BBB integrity, a critical factor in neurological recovery, by </w:t>
      </w:r>
      <w:r w:rsidR="00706223">
        <w:rPr>
          <w:szCs w:val="24"/>
        </w:rPr>
        <w:t>regulating</w:t>
      </w:r>
      <w:r w:rsidRPr="003D53D1">
        <w:rPr>
          <w:szCs w:val="24"/>
        </w:rPr>
        <w:t xml:space="preserve"> immune responses and reducing inflammation via the GBA (35, 38). </w:t>
      </w:r>
      <w:r w:rsidRPr="003D53D1">
        <w:rPr>
          <w:i/>
          <w:iCs/>
          <w:szCs w:val="24"/>
        </w:rPr>
        <w:t>Lactobacillus reuteri</w:t>
      </w:r>
      <w:r w:rsidRPr="003D53D1">
        <w:rPr>
          <w:szCs w:val="24"/>
        </w:rPr>
        <w:t xml:space="preserve"> GMNL-89 and </w:t>
      </w:r>
      <w:r w:rsidRPr="003D53D1">
        <w:rPr>
          <w:i/>
          <w:iCs/>
          <w:szCs w:val="24"/>
        </w:rPr>
        <w:t>Lacticaseibacillus paracasei</w:t>
      </w:r>
      <w:r w:rsidRPr="003D53D1">
        <w:rPr>
          <w:szCs w:val="24"/>
        </w:rPr>
        <w:t xml:space="preserve"> GMNL-133 attenuate inflammatory responses and restore junctional complex proteins in stroke models, reducing BBB permeability (35). </w:t>
      </w:r>
      <w:r w:rsidRPr="003D53D1">
        <w:rPr>
          <w:i/>
          <w:iCs/>
          <w:szCs w:val="24"/>
        </w:rPr>
        <w:t>Lactobacillus plantarum</w:t>
      </w:r>
      <w:r w:rsidRPr="003D53D1">
        <w:rPr>
          <w:szCs w:val="24"/>
        </w:rPr>
        <w:t xml:space="preserve"> IS-10506 upregulates endothelial integrity proteins, ameliorating </w:t>
      </w:r>
      <w:r w:rsidRPr="003D53D1">
        <w:rPr>
          <w:szCs w:val="24"/>
        </w:rPr>
        <w:lastRenderedPageBreak/>
        <w:t>BBB disruption in TBI (37). SCFAs, particularly butyrate, maintain BBB function by reducing paracellular permeability, as shown in preclinical studies (28, 36). These effects highlight the GBA’s role in linking gut microbiota to CNS protection.</w:t>
      </w:r>
    </w:p>
    <w:p w14:paraId="7E09225C" w14:textId="6CCB098C" w:rsidR="003D53D1" w:rsidRPr="003D53D1" w:rsidRDefault="003D53D1" w:rsidP="001D61B1">
      <w:pPr>
        <w:ind w:firstLine="720"/>
        <w:jc w:val="both"/>
        <w:rPr>
          <w:szCs w:val="24"/>
        </w:rPr>
      </w:pPr>
      <w:r w:rsidRPr="003D53D1">
        <w:rPr>
          <w:szCs w:val="24"/>
        </w:rPr>
        <w:br/>
        <w:t xml:space="preserve">Probiotics leverage the GBA to reduce neuroinflammation, enhance BBB integrity, and improve cognitive and clinical outcomes in TBI and neurodegenerative diseases (see Figure 1 for mechanisms). Table 1 summarizes key probiotic strains, their mechanisms, and neurological effects, providing a concise reference for clinical applications. Continued research into strain-specific effects and optimal dosing is essential to translate these findings into routine neurosurgical care (41, </w:t>
      </w:r>
      <w:r w:rsidR="00CD6637">
        <w:rPr>
          <w:szCs w:val="24"/>
        </w:rPr>
        <w:t>70</w:t>
      </w:r>
      <w:r w:rsidRPr="003D53D1">
        <w:rPr>
          <w:szCs w:val="24"/>
        </w:rPr>
        <w:t>).</w:t>
      </w:r>
    </w:p>
    <w:p w14:paraId="3F7814A4" w14:textId="77777777" w:rsidR="003D53D1" w:rsidRPr="003D53D1" w:rsidRDefault="003D53D1" w:rsidP="001D61B1">
      <w:pPr>
        <w:ind w:firstLine="720"/>
        <w:jc w:val="both"/>
        <w:rPr>
          <w:szCs w:val="24"/>
        </w:rPr>
      </w:pPr>
      <w:r w:rsidRPr="003D53D1">
        <w:rPr>
          <w:b/>
          <w:bCs/>
          <w:szCs w:val="24"/>
        </w:rPr>
        <w:t>Table 1: Effects of Probiotic Strains in Neurological Recovery</w:t>
      </w:r>
    </w:p>
    <w:p w14:paraId="1B11A1E9" w14:textId="7B2B36BD" w:rsidR="004C15A7" w:rsidRDefault="00A829AF" w:rsidP="001D61B1">
      <w:pPr>
        <w:ind w:firstLine="720"/>
        <w:jc w:val="both"/>
        <w:rPr>
          <w:sz w:val="20"/>
        </w:rPr>
      </w:pPr>
      <w:r w:rsidRPr="00D47E65">
        <w:rPr>
          <w:szCs w:val="24"/>
        </w:rPr>
        <w:t xml:space="preserve"> </w:t>
      </w:r>
      <w:r w:rsidR="004C15A7">
        <w:rPr>
          <w:szCs w:val="24"/>
        </w:rPr>
        <w:fldChar w:fldCharType="begin"/>
      </w:r>
      <w:r w:rsidR="004C15A7">
        <w:rPr>
          <w:szCs w:val="24"/>
        </w:rPr>
        <w:instrText xml:space="preserve"> LINK Excel.Sheet.12 "Book1" "Sheet1!R1C1:R7C5" \a \f 4 \h </w:instrText>
      </w:r>
      <w:r w:rsidR="00402498">
        <w:rPr>
          <w:szCs w:val="24"/>
        </w:rPr>
        <w:instrText xml:space="preserve"> \* MERGEFORMAT </w:instrText>
      </w:r>
      <w:r w:rsidR="004C15A7">
        <w:rPr>
          <w:szCs w:val="24"/>
        </w:rPr>
        <w:fldChar w:fldCharType="separate"/>
      </w:r>
    </w:p>
    <w:tbl>
      <w:tblPr>
        <w:tblW w:w="8440" w:type="dxa"/>
        <w:tblInd w:w="108" w:type="dxa"/>
        <w:tblLook w:val="04A0" w:firstRow="1" w:lastRow="0" w:firstColumn="1" w:lastColumn="0" w:noHBand="0" w:noVBand="1"/>
      </w:tblPr>
      <w:tblGrid>
        <w:gridCol w:w="1773"/>
        <w:gridCol w:w="1662"/>
        <w:gridCol w:w="1716"/>
        <w:gridCol w:w="2105"/>
        <w:gridCol w:w="1184"/>
      </w:tblGrid>
      <w:tr w:rsidR="004C15A7" w:rsidRPr="004C15A7" w14:paraId="0CD5C3CE" w14:textId="77777777" w:rsidTr="004C15A7">
        <w:trPr>
          <w:trHeight w:val="528"/>
        </w:trPr>
        <w:tc>
          <w:tcPr>
            <w:tcW w:w="1760" w:type="dxa"/>
            <w:tcBorders>
              <w:top w:val="single" w:sz="4" w:space="0" w:color="auto"/>
              <w:left w:val="single" w:sz="4" w:space="0" w:color="auto"/>
              <w:bottom w:val="single" w:sz="4" w:space="0" w:color="auto"/>
              <w:right w:val="single" w:sz="4" w:space="0" w:color="auto"/>
            </w:tcBorders>
            <w:shd w:val="clear" w:color="auto" w:fill="auto"/>
            <w:hideMark/>
          </w:tcPr>
          <w:p w14:paraId="0E5C7FF3" w14:textId="0BCB8DF5" w:rsidR="004C15A7" w:rsidRPr="004C15A7" w:rsidRDefault="004C15A7" w:rsidP="001D61B1">
            <w:pPr>
              <w:jc w:val="both"/>
              <w:rPr>
                <w:rFonts w:ascii="Arial" w:hAnsi="Arial" w:cs="Arial"/>
                <w:b/>
                <w:bCs/>
                <w:color w:val="000000"/>
                <w:sz w:val="20"/>
              </w:rPr>
            </w:pPr>
            <w:r w:rsidRPr="004C15A7">
              <w:rPr>
                <w:rFonts w:ascii="Arial" w:hAnsi="Arial" w:cs="Arial"/>
                <w:b/>
                <w:bCs/>
                <w:color w:val="000000"/>
                <w:sz w:val="20"/>
                <w:szCs w:val="24"/>
              </w:rPr>
              <w:t>Strain</w:t>
            </w:r>
          </w:p>
        </w:tc>
        <w:tc>
          <w:tcPr>
            <w:tcW w:w="2100" w:type="dxa"/>
            <w:tcBorders>
              <w:top w:val="single" w:sz="4" w:space="0" w:color="auto"/>
              <w:left w:val="nil"/>
              <w:bottom w:val="single" w:sz="4" w:space="0" w:color="auto"/>
              <w:right w:val="single" w:sz="4" w:space="0" w:color="auto"/>
            </w:tcBorders>
            <w:shd w:val="clear" w:color="auto" w:fill="auto"/>
            <w:hideMark/>
          </w:tcPr>
          <w:p w14:paraId="0DA54FE4" w14:textId="77777777" w:rsidR="004C15A7" w:rsidRPr="004C15A7" w:rsidRDefault="004C15A7" w:rsidP="001D61B1">
            <w:pPr>
              <w:jc w:val="both"/>
              <w:rPr>
                <w:rFonts w:ascii="Arial" w:hAnsi="Arial" w:cs="Arial"/>
                <w:b/>
                <w:bCs/>
                <w:color w:val="000000"/>
                <w:sz w:val="20"/>
              </w:rPr>
            </w:pPr>
            <w:r w:rsidRPr="004C15A7">
              <w:rPr>
                <w:rFonts w:ascii="Arial" w:hAnsi="Arial" w:cs="Arial"/>
                <w:b/>
                <w:bCs/>
                <w:color w:val="000000"/>
                <w:sz w:val="20"/>
                <w:szCs w:val="24"/>
              </w:rPr>
              <w:t>Mechanism</w:t>
            </w:r>
          </w:p>
        </w:tc>
        <w:tc>
          <w:tcPr>
            <w:tcW w:w="2120" w:type="dxa"/>
            <w:tcBorders>
              <w:top w:val="single" w:sz="4" w:space="0" w:color="auto"/>
              <w:left w:val="nil"/>
              <w:bottom w:val="single" w:sz="4" w:space="0" w:color="auto"/>
              <w:right w:val="single" w:sz="4" w:space="0" w:color="auto"/>
            </w:tcBorders>
            <w:shd w:val="clear" w:color="auto" w:fill="auto"/>
            <w:hideMark/>
          </w:tcPr>
          <w:p w14:paraId="19F6A3AA" w14:textId="77777777" w:rsidR="004C15A7" w:rsidRPr="004C15A7" w:rsidRDefault="004C15A7" w:rsidP="001D61B1">
            <w:pPr>
              <w:jc w:val="both"/>
              <w:rPr>
                <w:rFonts w:ascii="Arial" w:hAnsi="Arial" w:cs="Arial"/>
                <w:b/>
                <w:bCs/>
                <w:color w:val="000000"/>
                <w:sz w:val="20"/>
              </w:rPr>
            </w:pPr>
            <w:r w:rsidRPr="004C15A7">
              <w:rPr>
                <w:rFonts w:ascii="Arial" w:hAnsi="Arial" w:cs="Arial"/>
                <w:b/>
                <w:bCs/>
                <w:color w:val="000000"/>
                <w:sz w:val="20"/>
                <w:szCs w:val="24"/>
              </w:rPr>
              <w:t>Neurological Outcome</w:t>
            </w:r>
          </w:p>
        </w:tc>
        <w:tc>
          <w:tcPr>
            <w:tcW w:w="1420" w:type="dxa"/>
            <w:tcBorders>
              <w:top w:val="single" w:sz="4" w:space="0" w:color="auto"/>
              <w:left w:val="nil"/>
              <w:bottom w:val="single" w:sz="4" w:space="0" w:color="auto"/>
              <w:right w:val="single" w:sz="4" w:space="0" w:color="auto"/>
            </w:tcBorders>
            <w:shd w:val="clear" w:color="auto" w:fill="auto"/>
            <w:hideMark/>
          </w:tcPr>
          <w:p w14:paraId="25F16F53" w14:textId="77777777" w:rsidR="004C15A7" w:rsidRPr="004C15A7" w:rsidRDefault="004C15A7" w:rsidP="001D61B1">
            <w:pPr>
              <w:jc w:val="both"/>
              <w:rPr>
                <w:rFonts w:ascii="Arial" w:hAnsi="Arial" w:cs="Arial"/>
                <w:b/>
                <w:bCs/>
                <w:color w:val="000000"/>
                <w:sz w:val="20"/>
              </w:rPr>
            </w:pPr>
            <w:r w:rsidRPr="004C15A7">
              <w:rPr>
                <w:rFonts w:ascii="Arial" w:hAnsi="Arial" w:cs="Arial"/>
                <w:b/>
                <w:bCs/>
                <w:color w:val="000000"/>
                <w:sz w:val="20"/>
                <w:szCs w:val="24"/>
              </w:rPr>
              <w:t>Context/Application</w:t>
            </w:r>
          </w:p>
        </w:tc>
        <w:tc>
          <w:tcPr>
            <w:tcW w:w="1040" w:type="dxa"/>
            <w:tcBorders>
              <w:top w:val="single" w:sz="4" w:space="0" w:color="auto"/>
              <w:left w:val="nil"/>
              <w:bottom w:val="single" w:sz="4" w:space="0" w:color="auto"/>
              <w:right w:val="single" w:sz="4" w:space="0" w:color="auto"/>
            </w:tcBorders>
            <w:shd w:val="clear" w:color="auto" w:fill="auto"/>
            <w:hideMark/>
          </w:tcPr>
          <w:p w14:paraId="3A489054" w14:textId="77777777" w:rsidR="004C15A7" w:rsidRPr="004C15A7" w:rsidRDefault="004C15A7" w:rsidP="001D61B1">
            <w:pPr>
              <w:jc w:val="both"/>
              <w:rPr>
                <w:rFonts w:ascii="Arial" w:hAnsi="Arial" w:cs="Arial"/>
                <w:b/>
                <w:bCs/>
                <w:color w:val="000000"/>
                <w:sz w:val="20"/>
              </w:rPr>
            </w:pPr>
            <w:r w:rsidRPr="004C15A7">
              <w:rPr>
                <w:rFonts w:ascii="Arial" w:hAnsi="Arial" w:cs="Arial"/>
                <w:b/>
                <w:bCs/>
                <w:color w:val="000000"/>
                <w:sz w:val="20"/>
                <w:szCs w:val="24"/>
              </w:rPr>
              <w:t>Reference</w:t>
            </w:r>
          </w:p>
        </w:tc>
      </w:tr>
      <w:tr w:rsidR="004C15A7" w:rsidRPr="004C15A7" w14:paraId="2D50582F" w14:textId="77777777" w:rsidTr="004C15A7">
        <w:trPr>
          <w:trHeight w:val="1056"/>
        </w:trPr>
        <w:tc>
          <w:tcPr>
            <w:tcW w:w="1760" w:type="dxa"/>
            <w:tcBorders>
              <w:top w:val="nil"/>
              <w:left w:val="single" w:sz="4" w:space="0" w:color="auto"/>
              <w:bottom w:val="single" w:sz="4" w:space="0" w:color="auto"/>
              <w:right w:val="single" w:sz="4" w:space="0" w:color="auto"/>
            </w:tcBorders>
            <w:shd w:val="clear" w:color="auto" w:fill="auto"/>
            <w:hideMark/>
          </w:tcPr>
          <w:p w14:paraId="7FC56EC7" w14:textId="77777777" w:rsidR="004C15A7" w:rsidRPr="004C15A7" w:rsidRDefault="004C15A7" w:rsidP="001D61B1">
            <w:pPr>
              <w:jc w:val="both"/>
              <w:rPr>
                <w:rFonts w:ascii="Arial" w:hAnsi="Arial" w:cs="Arial"/>
                <w:i/>
                <w:iCs/>
                <w:color w:val="000000"/>
                <w:sz w:val="20"/>
              </w:rPr>
            </w:pPr>
            <w:r w:rsidRPr="004C15A7">
              <w:rPr>
                <w:rFonts w:ascii="Arial" w:hAnsi="Arial" w:cs="Arial"/>
                <w:i/>
                <w:iCs/>
                <w:color w:val="000000"/>
                <w:sz w:val="20"/>
                <w:szCs w:val="24"/>
              </w:rPr>
              <w:t>Bifidobacterium breve</w:t>
            </w:r>
            <w:r w:rsidRPr="004C15A7">
              <w:rPr>
                <w:rFonts w:ascii="Arial" w:hAnsi="Arial" w:cs="Arial"/>
                <w:color w:val="000000"/>
                <w:sz w:val="20"/>
              </w:rPr>
              <w:t xml:space="preserve"> (BLLL)</w:t>
            </w:r>
          </w:p>
        </w:tc>
        <w:tc>
          <w:tcPr>
            <w:tcW w:w="2100" w:type="dxa"/>
            <w:tcBorders>
              <w:top w:val="nil"/>
              <w:left w:val="nil"/>
              <w:bottom w:val="single" w:sz="4" w:space="0" w:color="auto"/>
              <w:right w:val="single" w:sz="4" w:space="0" w:color="auto"/>
            </w:tcBorders>
            <w:shd w:val="clear" w:color="auto" w:fill="auto"/>
            <w:hideMark/>
          </w:tcPr>
          <w:p w14:paraId="5437CA4B"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Reduces IL-1β, TNF-α, IL-6; increases BDNF, IL-10</w:t>
            </w:r>
          </w:p>
        </w:tc>
        <w:tc>
          <w:tcPr>
            <w:tcW w:w="2120" w:type="dxa"/>
            <w:tcBorders>
              <w:top w:val="nil"/>
              <w:left w:val="nil"/>
              <w:bottom w:val="single" w:sz="4" w:space="0" w:color="auto"/>
              <w:right w:val="single" w:sz="4" w:space="0" w:color="auto"/>
            </w:tcBorders>
            <w:shd w:val="clear" w:color="auto" w:fill="auto"/>
            <w:hideMark/>
          </w:tcPr>
          <w:p w14:paraId="7B587EC7"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Ameliorates depression, enhances neurogenesis</w:t>
            </w:r>
          </w:p>
        </w:tc>
        <w:tc>
          <w:tcPr>
            <w:tcW w:w="1420" w:type="dxa"/>
            <w:tcBorders>
              <w:top w:val="nil"/>
              <w:left w:val="nil"/>
              <w:bottom w:val="single" w:sz="4" w:space="0" w:color="auto"/>
              <w:right w:val="single" w:sz="4" w:space="0" w:color="auto"/>
            </w:tcBorders>
            <w:shd w:val="clear" w:color="auto" w:fill="auto"/>
            <w:hideMark/>
          </w:tcPr>
          <w:p w14:paraId="0D0488D7"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Depression, Alzheimer’s</w:t>
            </w:r>
          </w:p>
        </w:tc>
        <w:tc>
          <w:tcPr>
            <w:tcW w:w="1040" w:type="dxa"/>
            <w:tcBorders>
              <w:top w:val="nil"/>
              <w:left w:val="nil"/>
              <w:bottom w:val="single" w:sz="4" w:space="0" w:color="auto"/>
              <w:right w:val="single" w:sz="4" w:space="0" w:color="auto"/>
            </w:tcBorders>
            <w:shd w:val="clear" w:color="auto" w:fill="auto"/>
            <w:hideMark/>
          </w:tcPr>
          <w:p w14:paraId="02024CFE"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27</w:t>
            </w:r>
          </w:p>
        </w:tc>
      </w:tr>
      <w:tr w:rsidR="004C15A7" w:rsidRPr="004C15A7" w14:paraId="7A7D92EB" w14:textId="77777777" w:rsidTr="004C15A7">
        <w:trPr>
          <w:trHeight w:val="1056"/>
        </w:trPr>
        <w:tc>
          <w:tcPr>
            <w:tcW w:w="1760" w:type="dxa"/>
            <w:tcBorders>
              <w:top w:val="nil"/>
              <w:left w:val="single" w:sz="4" w:space="0" w:color="auto"/>
              <w:bottom w:val="single" w:sz="4" w:space="0" w:color="auto"/>
              <w:right w:val="single" w:sz="4" w:space="0" w:color="auto"/>
            </w:tcBorders>
            <w:shd w:val="clear" w:color="auto" w:fill="auto"/>
            <w:hideMark/>
          </w:tcPr>
          <w:p w14:paraId="7E53C77C" w14:textId="77777777" w:rsidR="004C15A7" w:rsidRPr="004C15A7" w:rsidRDefault="004C15A7" w:rsidP="001D61B1">
            <w:pPr>
              <w:jc w:val="both"/>
              <w:rPr>
                <w:rFonts w:ascii="Arial" w:hAnsi="Arial" w:cs="Arial"/>
                <w:i/>
                <w:iCs/>
                <w:color w:val="000000"/>
                <w:sz w:val="20"/>
              </w:rPr>
            </w:pPr>
            <w:r w:rsidRPr="004C15A7">
              <w:rPr>
                <w:rFonts w:ascii="Arial" w:hAnsi="Arial" w:cs="Arial"/>
                <w:i/>
                <w:iCs/>
                <w:color w:val="000000"/>
                <w:sz w:val="20"/>
                <w:szCs w:val="24"/>
              </w:rPr>
              <w:t>Lactobacillus reuteri</w:t>
            </w:r>
          </w:p>
        </w:tc>
        <w:tc>
          <w:tcPr>
            <w:tcW w:w="2100" w:type="dxa"/>
            <w:tcBorders>
              <w:top w:val="nil"/>
              <w:left w:val="nil"/>
              <w:bottom w:val="single" w:sz="4" w:space="0" w:color="auto"/>
              <w:right w:val="single" w:sz="4" w:space="0" w:color="auto"/>
            </w:tcBorders>
            <w:shd w:val="clear" w:color="auto" w:fill="auto"/>
            <w:hideMark/>
          </w:tcPr>
          <w:p w14:paraId="6F18CAAB"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Modulates Nrf2, reduces IL-6, enhances BDNF</w:t>
            </w:r>
          </w:p>
        </w:tc>
        <w:tc>
          <w:tcPr>
            <w:tcW w:w="2120" w:type="dxa"/>
            <w:tcBorders>
              <w:top w:val="nil"/>
              <w:left w:val="nil"/>
              <w:bottom w:val="single" w:sz="4" w:space="0" w:color="auto"/>
              <w:right w:val="single" w:sz="4" w:space="0" w:color="auto"/>
            </w:tcBorders>
            <w:shd w:val="clear" w:color="auto" w:fill="auto"/>
            <w:hideMark/>
          </w:tcPr>
          <w:p w14:paraId="2523EE3F"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Lowers infection rates, improves cognition in TBI</w:t>
            </w:r>
          </w:p>
        </w:tc>
        <w:tc>
          <w:tcPr>
            <w:tcW w:w="1420" w:type="dxa"/>
            <w:tcBorders>
              <w:top w:val="nil"/>
              <w:left w:val="nil"/>
              <w:bottom w:val="single" w:sz="4" w:space="0" w:color="auto"/>
              <w:right w:val="single" w:sz="4" w:space="0" w:color="auto"/>
            </w:tcBorders>
            <w:shd w:val="clear" w:color="auto" w:fill="auto"/>
            <w:hideMark/>
          </w:tcPr>
          <w:p w14:paraId="6E779E8E"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TBI, stroke</w:t>
            </w:r>
          </w:p>
        </w:tc>
        <w:tc>
          <w:tcPr>
            <w:tcW w:w="1040" w:type="dxa"/>
            <w:tcBorders>
              <w:top w:val="nil"/>
              <w:left w:val="nil"/>
              <w:bottom w:val="single" w:sz="4" w:space="0" w:color="auto"/>
              <w:right w:val="single" w:sz="4" w:space="0" w:color="auto"/>
            </w:tcBorders>
            <w:shd w:val="clear" w:color="auto" w:fill="auto"/>
            <w:hideMark/>
          </w:tcPr>
          <w:p w14:paraId="7E0AAC36"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28, 34</w:t>
            </w:r>
          </w:p>
        </w:tc>
      </w:tr>
      <w:tr w:rsidR="004C15A7" w:rsidRPr="004C15A7" w14:paraId="34E603F5" w14:textId="77777777" w:rsidTr="004C15A7">
        <w:trPr>
          <w:trHeight w:val="792"/>
        </w:trPr>
        <w:tc>
          <w:tcPr>
            <w:tcW w:w="1760" w:type="dxa"/>
            <w:tcBorders>
              <w:top w:val="nil"/>
              <w:left w:val="single" w:sz="4" w:space="0" w:color="auto"/>
              <w:bottom w:val="single" w:sz="4" w:space="0" w:color="auto"/>
              <w:right w:val="single" w:sz="4" w:space="0" w:color="auto"/>
            </w:tcBorders>
            <w:shd w:val="clear" w:color="auto" w:fill="auto"/>
            <w:hideMark/>
          </w:tcPr>
          <w:p w14:paraId="3E7A3297" w14:textId="77777777" w:rsidR="004C15A7" w:rsidRPr="004C15A7" w:rsidRDefault="004C15A7" w:rsidP="001D61B1">
            <w:pPr>
              <w:jc w:val="both"/>
              <w:rPr>
                <w:rFonts w:ascii="Arial" w:hAnsi="Arial" w:cs="Arial"/>
                <w:i/>
                <w:iCs/>
                <w:color w:val="000000"/>
                <w:sz w:val="20"/>
              </w:rPr>
            </w:pPr>
            <w:r w:rsidRPr="004C15A7">
              <w:rPr>
                <w:rFonts w:ascii="Arial" w:hAnsi="Arial" w:cs="Arial"/>
                <w:i/>
                <w:iCs/>
                <w:color w:val="000000"/>
                <w:sz w:val="20"/>
                <w:szCs w:val="24"/>
              </w:rPr>
              <w:t>Lacticaseibacillus paracasei</w:t>
            </w:r>
            <w:r w:rsidRPr="004C15A7">
              <w:rPr>
                <w:rFonts w:ascii="Arial" w:hAnsi="Arial" w:cs="Arial"/>
                <w:color w:val="000000"/>
                <w:sz w:val="20"/>
              </w:rPr>
              <w:t xml:space="preserve"> GMNL-133</w:t>
            </w:r>
          </w:p>
        </w:tc>
        <w:tc>
          <w:tcPr>
            <w:tcW w:w="2100" w:type="dxa"/>
            <w:tcBorders>
              <w:top w:val="nil"/>
              <w:left w:val="nil"/>
              <w:bottom w:val="single" w:sz="4" w:space="0" w:color="auto"/>
              <w:right w:val="single" w:sz="4" w:space="0" w:color="auto"/>
            </w:tcBorders>
            <w:shd w:val="clear" w:color="auto" w:fill="auto"/>
            <w:hideMark/>
          </w:tcPr>
          <w:p w14:paraId="70F39003"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Decreases BBB permeability, reduces inflammation</w:t>
            </w:r>
          </w:p>
        </w:tc>
        <w:tc>
          <w:tcPr>
            <w:tcW w:w="2120" w:type="dxa"/>
            <w:tcBorders>
              <w:top w:val="nil"/>
              <w:left w:val="nil"/>
              <w:bottom w:val="single" w:sz="4" w:space="0" w:color="auto"/>
              <w:right w:val="single" w:sz="4" w:space="0" w:color="auto"/>
            </w:tcBorders>
            <w:shd w:val="clear" w:color="auto" w:fill="auto"/>
            <w:hideMark/>
          </w:tcPr>
          <w:p w14:paraId="4AE8B608"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Preserves BBB integrity</w:t>
            </w:r>
          </w:p>
        </w:tc>
        <w:tc>
          <w:tcPr>
            <w:tcW w:w="1420" w:type="dxa"/>
            <w:tcBorders>
              <w:top w:val="nil"/>
              <w:left w:val="nil"/>
              <w:bottom w:val="single" w:sz="4" w:space="0" w:color="auto"/>
              <w:right w:val="single" w:sz="4" w:space="0" w:color="auto"/>
            </w:tcBorders>
            <w:shd w:val="clear" w:color="auto" w:fill="auto"/>
            <w:hideMark/>
          </w:tcPr>
          <w:p w14:paraId="5C9C1CF5"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Stroke</w:t>
            </w:r>
          </w:p>
        </w:tc>
        <w:tc>
          <w:tcPr>
            <w:tcW w:w="1040" w:type="dxa"/>
            <w:tcBorders>
              <w:top w:val="nil"/>
              <w:left w:val="nil"/>
              <w:bottom w:val="single" w:sz="4" w:space="0" w:color="auto"/>
              <w:right w:val="single" w:sz="4" w:space="0" w:color="auto"/>
            </w:tcBorders>
            <w:shd w:val="clear" w:color="auto" w:fill="auto"/>
            <w:hideMark/>
          </w:tcPr>
          <w:p w14:paraId="6C0FCADA"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35</w:t>
            </w:r>
          </w:p>
        </w:tc>
      </w:tr>
      <w:tr w:rsidR="004C15A7" w:rsidRPr="004C15A7" w14:paraId="21A1508B" w14:textId="77777777" w:rsidTr="004C15A7">
        <w:trPr>
          <w:trHeight w:val="1056"/>
        </w:trPr>
        <w:tc>
          <w:tcPr>
            <w:tcW w:w="1760" w:type="dxa"/>
            <w:tcBorders>
              <w:top w:val="nil"/>
              <w:left w:val="single" w:sz="4" w:space="0" w:color="auto"/>
              <w:bottom w:val="single" w:sz="4" w:space="0" w:color="auto"/>
              <w:right w:val="single" w:sz="4" w:space="0" w:color="auto"/>
            </w:tcBorders>
            <w:shd w:val="clear" w:color="auto" w:fill="auto"/>
            <w:hideMark/>
          </w:tcPr>
          <w:p w14:paraId="7732A418" w14:textId="77777777" w:rsidR="004C15A7" w:rsidRPr="004C15A7" w:rsidRDefault="004C15A7" w:rsidP="001D61B1">
            <w:pPr>
              <w:jc w:val="both"/>
              <w:rPr>
                <w:rFonts w:ascii="Arial" w:hAnsi="Arial" w:cs="Arial"/>
                <w:i/>
                <w:iCs/>
                <w:color w:val="000000"/>
                <w:sz w:val="20"/>
              </w:rPr>
            </w:pPr>
            <w:r w:rsidRPr="004C15A7">
              <w:rPr>
                <w:rFonts w:ascii="Arial" w:hAnsi="Arial" w:cs="Arial"/>
                <w:i/>
                <w:iCs/>
                <w:color w:val="000000"/>
                <w:sz w:val="20"/>
                <w:szCs w:val="24"/>
              </w:rPr>
              <w:t>Lactobacillus plantarum</w:t>
            </w:r>
            <w:r w:rsidRPr="004C15A7">
              <w:rPr>
                <w:rFonts w:ascii="Arial" w:hAnsi="Arial" w:cs="Arial"/>
                <w:color w:val="000000"/>
                <w:sz w:val="20"/>
              </w:rPr>
              <w:t xml:space="preserve"> IS-10506</w:t>
            </w:r>
          </w:p>
        </w:tc>
        <w:tc>
          <w:tcPr>
            <w:tcW w:w="2100" w:type="dxa"/>
            <w:tcBorders>
              <w:top w:val="nil"/>
              <w:left w:val="nil"/>
              <w:bottom w:val="single" w:sz="4" w:space="0" w:color="auto"/>
              <w:right w:val="single" w:sz="4" w:space="0" w:color="auto"/>
            </w:tcBorders>
            <w:shd w:val="clear" w:color="auto" w:fill="auto"/>
            <w:hideMark/>
          </w:tcPr>
          <w:p w14:paraId="6CCE219B"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Upregulates endothelial proteins, reduces BBB disruption</w:t>
            </w:r>
          </w:p>
        </w:tc>
        <w:tc>
          <w:tcPr>
            <w:tcW w:w="2120" w:type="dxa"/>
            <w:tcBorders>
              <w:top w:val="nil"/>
              <w:left w:val="nil"/>
              <w:bottom w:val="single" w:sz="4" w:space="0" w:color="auto"/>
              <w:right w:val="single" w:sz="4" w:space="0" w:color="auto"/>
            </w:tcBorders>
            <w:shd w:val="clear" w:color="auto" w:fill="auto"/>
            <w:hideMark/>
          </w:tcPr>
          <w:p w14:paraId="3AEC1EEF"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Improves BBB function, cognitive health</w:t>
            </w:r>
          </w:p>
        </w:tc>
        <w:tc>
          <w:tcPr>
            <w:tcW w:w="1420" w:type="dxa"/>
            <w:tcBorders>
              <w:top w:val="nil"/>
              <w:left w:val="nil"/>
              <w:bottom w:val="single" w:sz="4" w:space="0" w:color="auto"/>
              <w:right w:val="single" w:sz="4" w:space="0" w:color="auto"/>
            </w:tcBorders>
            <w:shd w:val="clear" w:color="auto" w:fill="auto"/>
            <w:hideMark/>
          </w:tcPr>
          <w:p w14:paraId="0F6B98C2"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TBI, neurodegenerative disorders</w:t>
            </w:r>
          </w:p>
        </w:tc>
        <w:tc>
          <w:tcPr>
            <w:tcW w:w="1040" w:type="dxa"/>
            <w:tcBorders>
              <w:top w:val="nil"/>
              <w:left w:val="nil"/>
              <w:bottom w:val="single" w:sz="4" w:space="0" w:color="auto"/>
              <w:right w:val="single" w:sz="4" w:space="0" w:color="auto"/>
            </w:tcBorders>
            <w:shd w:val="clear" w:color="auto" w:fill="auto"/>
            <w:hideMark/>
          </w:tcPr>
          <w:p w14:paraId="2DD00D77"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37</w:t>
            </w:r>
          </w:p>
        </w:tc>
      </w:tr>
      <w:tr w:rsidR="004C15A7" w:rsidRPr="004C15A7" w14:paraId="0B0B2182" w14:textId="77777777" w:rsidTr="004C15A7">
        <w:trPr>
          <w:trHeight w:val="792"/>
        </w:trPr>
        <w:tc>
          <w:tcPr>
            <w:tcW w:w="1760" w:type="dxa"/>
            <w:tcBorders>
              <w:top w:val="nil"/>
              <w:left w:val="single" w:sz="4" w:space="0" w:color="auto"/>
              <w:bottom w:val="single" w:sz="4" w:space="0" w:color="auto"/>
              <w:right w:val="single" w:sz="4" w:space="0" w:color="auto"/>
            </w:tcBorders>
            <w:shd w:val="clear" w:color="auto" w:fill="auto"/>
            <w:hideMark/>
          </w:tcPr>
          <w:p w14:paraId="449BB4D2" w14:textId="77777777" w:rsidR="004C15A7" w:rsidRPr="004C15A7" w:rsidRDefault="004C15A7" w:rsidP="001D61B1">
            <w:pPr>
              <w:jc w:val="both"/>
              <w:rPr>
                <w:rFonts w:ascii="Arial" w:hAnsi="Arial" w:cs="Arial"/>
                <w:i/>
                <w:iCs/>
                <w:color w:val="000000"/>
                <w:sz w:val="20"/>
              </w:rPr>
            </w:pPr>
            <w:r w:rsidRPr="004C15A7">
              <w:rPr>
                <w:rFonts w:ascii="Arial" w:hAnsi="Arial" w:cs="Arial"/>
                <w:i/>
                <w:iCs/>
                <w:color w:val="000000"/>
                <w:sz w:val="20"/>
                <w:szCs w:val="24"/>
              </w:rPr>
              <w:t>Bifidobacterium longum</w:t>
            </w:r>
          </w:p>
        </w:tc>
        <w:tc>
          <w:tcPr>
            <w:tcW w:w="2100" w:type="dxa"/>
            <w:tcBorders>
              <w:top w:val="nil"/>
              <w:left w:val="nil"/>
              <w:bottom w:val="single" w:sz="4" w:space="0" w:color="auto"/>
              <w:right w:val="single" w:sz="4" w:space="0" w:color="auto"/>
            </w:tcBorders>
            <w:shd w:val="clear" w:color="auto" w:fill="auto"/>
            <w:hideMark/>
          </w:tcPr>
          <w:p w14:paraId="2474AB57"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Enhances gut motility, reduces oxidative stress</w:t>
            </w:r>
          </w:p>
        </w:tc>
        <w:tc>
          <w:tcPr>
            <w:tcW w:w="2120" w:type="dxa"/>
            <w:tcBorders>
              <w:top w:val="nil"/>
              <w:left w:val="nil"/>
              <w:bottom w:val="single" w:sz="4" w:space="0" w:color="auto"/>
              <w:right w:val="single" w:sz="4" w:space="0" w:color="auto"/>
            </w:tcBorders>
            <w:shd w:val="clear" w:color="auto" w:fill="auto"/>
            <w:hideMark/>
          </w:tcPr>
          <w:p w14:paraId="2ADDF449"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Reduces neurosurgical complications</w:t>
            </w:r>
          </w:p>
        </w:tc>
        <w:tc>
          <w:tcPr>
            <w:tcW w:w="1420" w:type="dxa"/>
            <w:tcBorders>
              <w:top w:val="nil"/>
              <w:left w:val="nil"/>
              <w:bottom w:val="single" w:sz="4" w:space="0" w:color="auto"/>
              <w:right w:val="single" w:sz="4" w:space="0" w:color="auto"/>
            </w:tcBorders>
            <w:shd w:val="clear" w:color="auto" w:fill="auto"/>
            <w:hideMark/>
          </w:tcPr>
          <w:p w14:paraId="1FF15988"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Neurosurgical recovery</w:t>
            </w:r>
          </w:p>
        </w:tc>
        <w:tc>
          <w:tcPr>
            <w:tcW w:w="1040" w:type="dxa"/>
            <w:tcBorders>
              <w:top w:val="nil"/>
              <w:left w:val="nil"/>
              <w:bottom w:val="single" w:sz="4" w:space="0" w:color="auto"/>
              <w:right w:val="single" w:sz="4" w:space="0" w:color="auto"/>
            </w:tcBorders>
            <w:shd w:val="clear" w:color="auto" w:fill="auto"/>
            <w:hideMark/>
          </w:tcPr>
          <w:p w14:paraId="0904750D"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33</w:t>
            </w:r>
          </w:p>
        </w:tc>
      </w:tr>
      <w:tr w:rsidR="004C15A7" w:rsidRPr="004C15A7" w14:paraId="471C206F" w14:textId="77777777" w:rsidTr="004C15A7">
        <w:trPr>
          <w:trHeight w:val="1056"/>
        </w:trPr>
        <w:tc>
          <w:tcPr>
            <w:tcW w:w="1760" w:type="dxa"/>
            <w:tcBorders>
              <w:top w:val="nil"/>
              <w:left w:val="single" w:sz="4" w:space="0" w:color="auto"/>
              <w:bottom w:val="single" w:sz="4" w:space="0" w:color="auto"/>
              <w:right w:val="single" w:sz="4" w:space="0" w:color="auto"/>
            </w:tcBorders>
            <w:shd w:val="clear" w:color="auto" w:fill="auto"/>
            <w:hideMark/>
          </w:tcPr>
          <w:p w14:paraId="45112B07" w14:textId="77777777" w:rsidR="004C15A7" w:rsidRPr="004C15A7" w:rsidRDefault="004C15A7" w:rsidP="001D61B1">
            <w:pPr>
              <w:jc w:val="both"/>
              <w:rPr>
                <w:rFonts w:ascii="Arial" w:hAnsi="Arial" w:cs="Arial"/>
                <w:i/>
                <w:iCs/>
                <w:color w:val="000000"/>
                <w:sz w:val="20"/>
              </w:rPr>
            </w:pPr>
            <w:r w:rsidRPr="004C15A7">
              <w:rPr>
                <w:rFonts w:ascii="Arial" w:hAnsi="Arial" w:cs="Arial"/>
                <w:i/>
                <w:iCs/>
                <w:color w:val="000000"/>
                <w:sz w:val="20"/>
                <w:szCs w:val="24"/>
              </w:rPr>
              <w:t>Bifidobacterium animalis</w:t>
            </w:r>
            <w:r w:rsidRPr="004C15A7">
              <w:rPr>
                <w:rFonts w:ascii="Arial" w:hAnsi="Arial" w:cs="Arial"/>
                <w:color w:val="000000"/>
                <w:sz w:val="20"/>
              </w:rPr>
              <w:t xml:space="preserve"> subsp. lactis BB-12</w:t>
            </w:r>
          </w:p>
        </w:tc>
        <w:tc>
          <w:tcPr>
            <w:tcW w:w="2100" w:type="dxa"/>
            <w:tcBorders>
              <w:top w:val="nil"/>
              <w:left w:val="nil"/>
              <w:bottom w:val="single" w:sz="4" w:space="0" w:color="auto"/>
              <w:right w:val="single" w:sz="4" w:space="0" w:color="auto"/>
            </w:tcBorders>
            <w:shd w:val="clear" w:color="auto" w:fill="auto"/>
            <w:hideMark/>
          </w:tcPr>
          <w:p w14:paraId="3EAC8B3A"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Reduces IL-6, enhances antioxidants, collagen deposition</w:t>
            </w:r>
          </w:p>
        </w:tc>
        <w:tc>
          <w:tcPr>
            <w:tcW w:w="2120" w:type="dxa"/>
            <w:tcBorders>
              <w:top w:val="nil"/>
              <w:left w:val="nil"/>
              <w:bottom w:val="single" w:sz="4" w:space="0" w:color="auto"/>
              <w:right w:val="single" w:sz="4" w:space="0" w:color="auto"/>
            </w:tcBorders>
            <w:shd w:val="clear" w:color="auto" w:fill="auto"/>
            <w:hideMark/>
          </w:tcPr>
          <w:p w14:paraId="7C66082F"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Enhances wound healing, reduces infections</w:t>
            </w:r>
          </w:p>
        </w:tc>
        <w:tc>
          <w:tcPr>
            <w:tcW w:w="1420" w:type="dxa"/>
            <w:tcBorders>
              <w:top w:val="nil"/>
              <w:left w:val="nil"/>
              <w:bottom w:val="single" w:sz="4" w:space="0" w:color="auto"/>
              <w:right w:val="single" w:sz="4" w:space="0" w:color="auto"/>
            </w:tcBorders>
            <w:shd w:val="clear" w:color="auto" w:fill="auto"/>
            <w:hideMark/>
          </w:tcPr>
          <w:p w14:paraId="7154E44A"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Post-surgical recovery, neurodegeneration</w:t>
            </w:r>
          </w:p>
        </w:tc>
        <w:tc>
          <w:tcPr>
            <w:tcW w:w="1040" w:type="dxa"/>
            <w:tcBorders>
              <w:top w:val="nil"/>
              <w:left w:val="nil"/>
              <w:bottom w:val="single" w:sz="4" w:space="0" w:color="auto"/>
              <w:right w:val="single" w:sz="4" w:space="0" w:color="auto"/>
            </w:tcBorders>
            <w:shd w:val="clear" w:color="auto" w:fill="auto"/>
            <w:hideMark/>
          </w:tcPr>
          <w:p w14:paraId="60C6D667" w14:textId="77777777" w:rsidR="004C15A7" w:rsidRPr="004C15A7" w:rsidRDefault="004C15A7" w:rsidP="001D61B1">
            <w:pPr>
              <w:jc w:val="both"/>
              <w:rPr>
                <w:rFonts w:ascii="Arial" w:hAnsi="Arial" w:cs="Arial"/>
                <w:color w:val="000000"/>
                <w:sz w:val="20"/>
              </w:rPr>
            </w:pPr>
            <w:r w:rsidRPr="004C15A7">
              <w:rPr>
                <w:rFonts w:ascii="Arial" w:hAnsi="Arial" w:cs="Arial"/>
                <w:color w:val="000000"/>
                <w:sz w:val="20"/>
                <w:szCs w:val="24"/>
              </w:rPr>
              <w:t>36, 45</w:t>
            </w:r>
          </w:p>
        </w:tc>
      </w:tr>
    </w:tbl>
    <w:p w14:paraId="61DE9EFB" w14:textId="1D151533" w:rsidR="00A829AF" w:rsidRDefault="004C15A7" w:rsidP="001D61B1">
      <w:pPr>
        <w:ind w:firstLine="720"/>
        <w:jc w:val="both"/>
        <w:rPr>
          <w:szCs w:val="24"/>
        </w:rPr>
      </w:pPr>
      <w:r>
        <w:rPr>
          <w:szCs w:val="24"/>
        </w:rPr>
        <w:fldChar w:fldCharType="end"/>
      </w:r>
      <w:r w:rsidR="00A829AF" w:rsidRPr="00D47E65">
        <w:rPr>
          <w:szCs w:val="24"/>
        </w:rPr>
        <w:t xml:space="preserve"> </w:t>
      </w:r>
    </w:p>
    <w:p w14:paraId="56C8BAF4" w14:textId="77777777" w:rsidR="003D53D1" w:rsidRDefault="003D53D1" w:rsidP="001D61B1">
      <w:pPr>
        <w:ind w:firstLine="720"/>
        <w:jc w:val="both"/>
        <w:rPr>
          <w:szCs w:val="24"/>
        </w:rPr>
      </w:pPr>
      <w:r>
        <w:rPr>
          <w:noProof/>
          <w:szCs w:val="24"/>
        </w:rPr>
        <w:drawing>
          <wp:inline distT="0" distB="0" distL="0" distR="0" wp14:anchorId="6E477A82" wp14:editId="4733AD5C">
            <wp:extent cx="6049949" cy="2080260"/>
            <wp:effectExtent l="0" t="0" r="0" b="0"/>
            <wp:docPr id="1179804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4099" cy="2095441"/>
                    </a:xfrm>
                    <a:prstGeom prst="rect">
                      <a:avLst/>
                    </a:prstGeom>
                    <a:noFill/>
                  </pic:spPr>
                </pic:pic>
              </a:graphicData>
            </a:graphic>
          </wp:inline>
        </w:drawing>
      </w:r>
    </w:p>
    <w:p w14:paraId="6DB906D1" w14:textId="77777777" w:rsidR="003D53D1" w:rsidRPr="00B3220B" w:rsidRDefault="003D53D1" w:rsidP="001D61B1">
      <w:pPr>
        <w:ind w:firstLine="720"/>
        <w:jc w:val="both"/>
      </w:pPr>
      <w:r>
        <w:rPr>
          <w:szCs w:val="24"/>
        </w:rPr>
        <w:t xml:space="preserve">Figure 1: </w:t>
      </w:r>
      <w:r w:rsidRPr="00B3220B">
        <w:t>Mechanisms of Probiotics in Neurological Recovery via the Gut-Brain Axis</w:t>
      </w:r>
    </w:p>
    <w:p w14:paraId="0B18F056" w14:textId="77777777" w:rsidR="003D53D1" w:rsidRPr="00D47E65" w:rsidRDefault="003D53D1" w:rsidP="001D61B1">
      <w:pPr>
        <w:ind w:firstLine="720"/>
        <w:jc w:val="both"/>
        <w:rPr>
          <w:szCs w:val="24"/>
        </w:rPr>
      </w:pPr>
    </w:p>
    <w:p w14:paraId="3485FE4B" w14:textId="77777777" w:rsidR="000851C0" w:rsidRPr="00D47E65" w:rsidRDefault="000851C0" w:rsidP="001D61B1">
      <w:pPr>
        <w:jc w:val="both"/>
        <w:rPr>
          <w:szCs w:val="24"/>
        </w:rPr>
      </w:pPr>
      <w:hyperlink r:id="rId11" w:history="1"/>
    </w:p>
    <w:p w14:paraId="1379476F" w14:textId="77777777" w:rsidR="000851C0" w:rsidRPr="00D47E65" w:rsidRDefault="00C56A94" w:rsidP="001D61B1">
      <w:pPr>
        <w:pStyle w:val="Heading1"/>
        <w:spacing w:line="240" w:lineRule="auto"/>
        <w:jc w:val="both"/>
      </w:pPr>
      <w:r w:rsidRPr="00D47E65">
        <w:t>Probiotics as an Adjunct in Neurosurgery</w:t>
      </w:r>
    </w:p>
    <w:p w14:paraId="46EBED2F" w14:textId="71119B70" w:rsidR="00F70A97" w:rsidRPr="00F70A97" w:rsidRDefault="00F70A97" w:rsidP="001D61B1">
      <w:pPr>
        <w:jc w:val="both"/>
      </w:pPr>
      <w:r w:rsidRPr="00F70A97">
        <w:t>Probiotics, serve as a promising adjunctive therapy in neurosurgery (1, 26). By reducing inflammation, enhancing wound healing, and lowering infection rates, probiotics improve postoperative outcomes in traumatic brain injury (TBI) and spinal surgery.</w:t>
      </w:r>
    </w:p>
    <w:p w14:paraId="63F6FBBD" w14:textId="75B34337" w:rsidR="00F70A97" w:rsidRPr="00F70A97" w:rsidRDefault="00F70A97" w:rsidP="001D61B1">
      <w:pPr>
        <w:jc w:val="both"/>
      </w:pPr>
      <w:r w:rsidRPr="00F70A97">
        <w:br/>
        <w:t xml:space="preserve">Probiotics, such as </w:t>
      </w:r>
      <w:r w:rsidRPr="00F70A97">
        <w:rPr>
          <w:i/>
          <w:iCs/>
        </w:rPr>
        <w:t>Lactobacillus rhamnosus</w:t>
      </w:r>
      <w:r w:rsidRPr="00F70A97">
        <w:t xml:space="preserve"> GG and </w:t>
      </w:r>
      <w:r w:rsidRPr="00F70A97">
        <w:rPr>
          <w:i/>
          <w:iCs/>
        </w:rPr>
        <w:t>Bifidobacterium animalis</w:t>
      </w:r>
      <w:r w:rsidRPr="00F70A97">
        <w:t xml:space="preserve"> subsp. lactis BB-12, modulate the GBA by producing short-chain fatty acids (SCFAs, e.g., butyrate) and anti-inflammatory cytokines (e.g., IL-10), which suppress pro-inflammatory markers like IL-6, TNF-α, and C-reactive protein (CRP) (1, 42). SCFAs strengthen blood-brain barrier (BBB) integrity and enhance immune responses, reducing systemic inflammation critical for neurosurgical recovery (42, 45). Probiotics also regulate the hypothalamic-pituitary-adrenal (HPA) axis, mitigating stress-induced inflammation, and promote neurotransmitter production (e.g., serotonin), supporting cognitive and motor recovery (51, </w:t>
      </w:r>
      <w:r w:rsidR="00CD6637">
        <w:t>71</w:t>
      </w:r>
      <w:r w:rsidRPr="00F70A97">
        <w:t xml:space="preserve">). A 2024 study demonstrated that </w:t>
      </w:r>
      <w:r w:rsidRPr="00F70A97">
        <w:rPr>
          <w:i/>
          <w:iCs/>
        </w:rPr>
        <w:t>Lactiplantibacillus plantarum</w:t>
      </w:r>
      <w:r w:rsidRPr="00F70A97">
        <w:t xml:space="preserve"> enhances SCFA production, improving GBA homeostasis in TBI models (</w:t>
      </w:r>
      <w:r w:rsidR="00CD6637">
        <w:t>72</w:t>
      </w:r>
      <w:r w:rsidRPr="00F70A97">
        <w:t>). These mechanisms underpin probiotics’ neuroprotective and immunomodulatory effects in neurosurgery.</w:t>
      </w:r>
    </w:p>
    <w:p w14:paraId="15246F6F" w14:textId="4F5E0C25" w:rsidR="00F70A97" w:rsidRPr="00F70A97" w:rsidRDefault="00F70A97" w:rsidP="001D61B1">
      <w:pPr>
        <w:jc w:val="both"/>
      </w:pPr>
      <w:r w:rsidRPr="00F70A97">
        <w:br/>
        <w:t xml:space="preserve">Probiotics significantly reduce surgical site infections and postoperative complications in neurosurgery </w:t>
      </w:r>
      <w:r w:rsidR="00706223">
        <w:t>through the</w:t>
      </w:r>
      <w:r w:rsidRPr="00F70A97">
        <w:t xml:space="preserve"> GBA (1, 42). In spinal surgery and TBI, </w:t>
      </w:r>
      <w:r w:rsidRPr="00F70A97">
        <w:rPr>
          <w:i/>
          <w:iCs/>
        </w:rPr>
        <w:t>Lactobacillus rhamnosus</w:t>
      </w:r>
      <w:r w:rsidRPr="00F70A97">
        <w:t xml:space="preserve"> GG reduces antibiotic-associated diarrhea and infection rates by decreasing gut dysbiosis and IL-6 levels (1, 45). A 2023 meta-analysis confirmed that probiotics and synbiotics lower surgical complications, including infections, by increasing CD8+ T cell infiltration and reducing CRP in pancreatic surgery, with similar implications for neurosurgery (43). In TBI patients, probiotics shorten intensive care stays and improve Glasgow Coma Scale scores by mitigating systemic inflammation (2, 3). A 2025 trial showed that multi-strain probiotics (</w:t>
      </w:r>
      <w:r w:rsidRPr="00F70A97">
        <w:rPr>
          <w:i/>
          <w:iCs/>
        </w:rPr>
        <w:t>Lactobacillus acidophilus</w:t>
      </w:r>
      <w:r w:rsidRPr="00F70A97">
        <w:t xml:space="preserve">, </w:t>
      </w:r>
      <w:r w:rsidRPr="00F70A97">
        <w:rPr>
          <w:i/>
          <w:iCs/>
        </w:rPr>
        <w:t>Bifidobacterium bifidum</w:t>
      </w:r>
      <w:r w:rsidRPr="00F70A97">
        <w:t>) reduce ventilator-associated pneumonia in neurosurgical patients, highlighting their broad protective effects (</w:t>
      </w:r>
      <w:r w:rsidR="00CD6637">
        <w:t>73</w:t>
      </w:r>
      <w:r w:rsidRPr="00F70A97">
        <w:t>). These findings emphasize probiotics’ role in enhancing postoperative recovery.</w:t>
      </w:r>
    </w:p>
    <w:p w14:paraId="31D3ACC6" w14:textId="24CF9600" w:rsidR="00F70A97" w:rsidRPr="00F70A97" w:rsidRDefault="00F70A97" w:rsidP="001D61B1">
      <w:pPr>
        <w:jc w:val="both"/>
      </w:pPr>
      <w:r w:rsidRPr="00F70A97">
        <w:br/>
        <w:t xml:space="preserve">Probiotics accelerate wound healing in neurosurgical contexts by </w:t>
      </w:r>
      <w:r w:rsidR="00706223">
        <w:t>stimulating</w:t>
      </w:r>
      <w:r w:rsidRPr="00F70A97">
        <w:t xml:space="preserve"> the wound microenvironment via the GBA (45, 47). </w:t>
      </w:r>
      <w:r w:rsidRPr="00F70A97">
        <w:rPr>
          <w:i/>
          <w:iCs/>
        </w:rPr>
        <w:t>Lactobacillus rhamnosus</w:t>
      </w:r>
      <w:r w:rsidRPr="00F70A97">
        <w:t xml:space="preserve"> GG and </w:t>
      </w:r>
      <w:r w:rsidRPr="00F70A97">
        <w:rPr>
          <w:i/>
          <w:iCs/>
        </w:rPr>
        <w:t>Bifidobacterium animalis</w:t>
      </w:r>
      <w:r w:rsidRPr="00F70A97">
        <w:t xml:space="preserve"> subsp. lactis BB-12 enhance granulation tissue formation, increase collagen deposition, and reduce neutrophil infiltration, lowering TNF-α, IL-6, and TGF-β expression (45). A 2024 study demonstrated that </w:t>
      </w:r>
      <w:r w:rsidRPr="00F70A97">
        <w:rPr>
          <w:i/>
          <w:iCs/>
        </w:rPr>
        <w:t>Bifidobacterium longum</w:t>
      </w:r>
      <w:r w:rsidRPr="00F70A97">
        <w:t>-based wound dressings reduce infection rates in spinal surgery by promoting antibiofilm activity (</w:t>
      </w:r>
      <w:r w:rsidR="00CD6637">
        <w:t>74</w:t>
      </w:r>
      <w:r w:rsidRPr="00F70A97">
        <w:t>). However, clinical outcomes vary due to differences in strain, dosage, and administration duration, with some trials showing no significant benefit (46). Probiotics’ anti-pathogenic and immunomodulatory properties, supported by bacteriotherapy advancements, suggest potential for novel wound management strategies in neurosurgery (48, 49).</w:t>
      </w:r>
    </w:p>
    <w:p w14:paraId="2097EB4B" w14:textId="2CBA9A37" w:rsidR="00F70A97" w:rsidRPr="00F70A97" w:rsidRDefault="00F70A97" w:rsidP="001D61B1">
      <w:pPr>
        <w:jc w:val="both"/>
      </w:pPr>
      <w:r w:rsidRPr="00F70A97">
        <w:br/>
        <w:t xml:space="preserve">Probiotics improve cognitive and motor outcomes in neurosurgery by counteracting GBA dysbiosis, which exacerbates neuroinflammation and cognitive impairments (26, 51). In TBI, </w:t>
      </w:r>
      <w:r w:rsidRPr="00F70A97">
        <w:rPr>
          <w:i/>
          <w:iCs/>
        </w:rPr>
        <w:t>Lactobacillus reuteri</w:t>
      </w:r>
      <w:r w:rsidRPr="00F70A97">
        <w:t xml:space="preserve"> reduces infection rates, inflammation, and memory deficits by modulating hepatic lipid profiles and hippocampal neurogenesis (2, 39). </w:t>
      </w:r>
      <w:r w:rsidRPr="00F70A97">
        <w:rPr>
          <w:i/>
          <w:iCs/>
        </w:rPr>
        <w:t>Lactiplantibacillus plantarum</w:t>
      </w:r>
      <w:r w:rsidRPr="00F70A97">
        <w:t xml:space="preserve"> exhibits psychobiotic properties, enhancing serotonin and BDNF production, which alleviate anxiety and improve motor function in preclinical models (51, </w:t>
      </w:r>
      <w:r w:rsidR="00CD6637">
        <w:t>72</w:t>
      </w:r>
      <w:r w:rsidRPr="00F70A97">
        <w:t xml:space="preserve">). A 2023 study found that </w:t>
      </w:r>
      <w:r w:rsidRPr="00F70A97">
        <w:rPr>
          <w:i/>
          <w:iCs/>
        </w:rPr>
        <w:t>Lacticaseibacillus paracasei</w:t>
      </w:r>
      <w:r w:rsidRPr="00F70A97">
        <w:t xml:space="preserve"> improves cellular immunity and reduces IL-1β </w:t>
      </w:r>
      <w:r w:rsidRPr="00F70A97">
        <w:lastRenderedPageBreak/>
        <w:t>in severe TBI patients, supporting cognitive recovery (50). These strain-specific effects highlight probiotics’ potential to enhance neurosurgical outcomes through GBA modulation.</w:t>
      </w:r>
    </w:p>
    <w:p w14:paraId="7F2A5B08" w14:textId="6E701F8C" w:rsidR="00F70A97" w:rsidRPr="00F70A97" w:rsidRDefault="00F70A97" w:rsidP="001D61B1">
      <w:pPr>
        <w:jc w:val="both"/>
      </w:pPr>
      <w:r w:rsidRPr="00F70A97">
        <w:br/>
        <w:t xml:space="preserve">Probiotics, particularly </w:t>
      </w:r>
      <w:r w:rsidRPr="00F70A97">
        <w:rPr>
          <w:i/>
          <w:iCs/>
        </w:rPr>
        <w:t>Lactobacillus</w:t>
      </w:r>
      <w:r w:rsidRPr="00F70A97">
        <w:t xml:space="preserve"> and </w:t>
      </w:r>
      <w:r w:rsidRPr="00F70A97">
        <w:rPr>
          <w:i/>
          <w:iCs/>
        </w:rPr>
        <w:t>Bifidobacterium</w:t>
      </w:r>
      <w:r w:rsidRPr="00F70A97">
        <w:t xml:space="preserve"> strains, enhance neurosurgical recovery by reducing complications, promoting wound healing, and improving cognitive and motor outcomes via the GBA (1, 26). While clinical trials show promise, variability in outcomes underscores the need for strain-specific research and optimized dosing (41, </w:t>
      </w:r>
      <w:r w:rsidR="00CD6637">
        <w:t>73</w:t>
      </w:r>
      <w:r w:rsidRPr="00F70A97">
        <w:t>). Emerging innovations, such as probiotic-based wound dressings and psychobiotics, offer novel therapeutic avenues (49, 53). Large-scale, well-designed trials are essential to fully elucidate probiotics’ efficacy in neurosurgery.</w:t>
      </w:r>
    </w:p>
    <w:p w14:paraId="2495C26A" w14:textId="3CAC4B6B" w:rsidR="000851C0" w:rsidRPr="00D47E65" w:rsidRDefault="000851C0" w:rsidP="001D61B1">
      <w:pPr>
        <w:jc w:val="both"/>
        <w:rPr>
          <w:szCs w:val="24"/>
        </w:rPr>
      </w:pPr>
      <w:hyperlink r:id="rId12" w:history="1"/>
    </w:p>
    <w:p w14:paraId="653F86FD" w14:textId="77777777" w:rsidR="00CD6637" w:rsidRPr="00D47E65" w:rsidRDefault="00CD6637" w:rsidP="001D61B1">
      <w:pPr>
        <w:pStyle w:val="Heading1"/>
        <w:spacing w:line="240" w:lineRule="auto"/>
        <w:jc w:val="both"/>
      </w:pPr>
      <w:r w:rsidRPr="00D47E65">
        <w:t>Challenges</w:t>
      </w:r>
    </w:p>
    <w:p w14:paraId="512A7B90" w14:textId="096C0AB1" w:rsidR="00CD6637" w:rsidRPr="00F70A97" w:rsidRDefault="00CD6637" w:rsidP="001D61B1">
      <w:pPr>
        <w:jc w:val="both"/>
      </w:pPr>
      <w:r w:rsidRPr="00F70A97">
        <w:t>Probiotics show promise as adjunctive therapies in neurosurgery, modulating the GBA to reduce complications and enhance recovery in conditions like traumatic brain injury (TBI) and spinal surgery (1, 26). However, challenges in research design, strain-specific variability, and clinical translation limit their widespread adoption.</w:t>
      </w:r>
    </w:p>
    <w:p w14:paraId="65D3337A" w14:textId="77777777" w:rsidR="00CD6637" w:rsidRPr="00F70A97" w:rsidRDefault="00CD6637" w:rsidP="001D61B1">
      <w:pPr>
        <w:jc w:val="both"/>
      </w:pPr>
      <w:r w:rsidRPr="00F70A97">
        <w:br/>
        <w:t xml:space="preserve">Current research on probiotics in neurosurgery faces several limitations. Small-scale studies and inconsistent trial designs often result in low statistical power and inadequate reporting, as noted in neurosurgical trial critiques (61). Blinding, patient recruitment, and ethical concerns, particularly in TBI and spinal surgery, complicate randomized controlled trials (RCTs) (62). Variability in probiotic strains, dosages, and administration protocols further obscures efficacy, with some trials showing benefits (e.g., reduced IL-6 in TBI) while others report null effects (1, 46). The complex interplay between gut microbiota and CNS, mediated by SCFAs, neurotransmitters, and immune pathways, requires precise mechanistic understanding, which is hindered by limited longitudinal data and heterogeneous patient populations (56, </w:t>
      </w:r>
      <w:r>
        <w:t>75</w:t>
      </w:r>
      <w:r w:rsidRPr="00F70A97">
        <w:t>). A 2024 review highlighted that strain-specific responses and individual microbiome profiles significantly influence outcomes, necessitating standardized methodologies (</w:t>
      </w:r>
      <w:r>
        <w:t>76</w:t>
      </w:r>
      <w:r w:rsidRPr="00F70A97">
        <w:t>).</w:t>
      </w:r>
    </w:p>
    <w:p w14:paraId="726ACC4C" w14:textId="77777777" w:rsidR="00CD6637" w:rsidRPr="00F70A97" w:rsidRDefault="00CD6637" w:rsidP="001D61B1">
      <w:pPr>
        <w:jc w:val="both"/>
      </w:pPr>
      <w:r w:rsidRPr="00F70A97">
        <w:br/>
        <w:t xml:space="preserve">Personalized medicine, leveraging microbiome profiling, offers a promising avenue for tailoring probiotic therapies in neurosurgery. Metagenomic sequencing enables identification of patient-specific dysbiotic patterns, guiding strain selection (e.g., </w:t>
      </w:r>
      <w:r w:rsidRPr="00F70A97">
        <w:rPr>
          <w:i/>
          <w:iCs/>
        </w:rPr>
        <w:t>Lactobacillus reuteri</w:t>
      </w:r>
      <w:r w:rsidRPr="00F70A97">
        <w:t xml:space="preserve">, </w:t>
      </w:r>
      <w:r w:rsidRPr="00F70A97">
        <w:rPr>
          <w:i/>
          <w:iCs/>
        </w:rPr>
        <w:t>Bifidobacterium longum</w:t>
      </w:r>
      <w:r w:rsidRPr="00F70A97">
        <w:t xml:space="preserve">) to optimize GBA modulation (56, 60). For instance, in Parkinson’s disease, microbiome-based biomarkers correlate with motor symptom severity, suggesting targeted probiotic interventions (58). In aging populations, </w:t>
      </w:r>
      <w:r w:rsidRPr="00F70A97">
        <w:rPr>
          <w:i/>
          <w:iCs/>
        </w:rPr>
        <w:t>Lactobacillus</w:t>
      </w:r>
      <w:r w:rsidRPr="00F70A97">
        <w:t xml:space="preserve"> and </w:t>
      </w:r>
      <w:r w:rsidRPr="00F70A97">
        <w:rPr>
          <w:i/>
          <w:iCs/>
        </w:rPr>
        <w:t>Bifidobacterium</w:t>
      </w:r>
      <w:r w:rsidRPr="00F70A97">
        <w:t xml:space="preserve"> signatures mitigate cognitive decline, supporting precision nutrition models (56). A 2025 study demonstrated that synbiotics, combining probiotics and prebiotics, enhance SCFA production and reduce surgical complications in TBI patients, highlighting the potential of personalized synbiotic formulations (</w:t>
      </w:r>
      <w:r>
        <w:t>77</w:t>
      </w:r>
      <w:r w:rsidRPr="00F70A97">
        <w:t>). Integrating probiotics with dietary interventions, such as low-FODMAP diets, further modulates the GBA to manage neurodevelopmental and neuropsychiatric symptoms, as shown in preclinical models (59). Advances in AI-driven microbiome analysis could predict therapeutic responses, refining personalized approaches (</w:t>
      </w:r>
      <w:r>
        <w:t>78</w:t>
      </w:r>
      <w:r w:rsidRPr="00F70A97">
        <w:t>).</w:t>
      </w:r>
    </w:p>
    <w:p w14:paraId="062C7EEB" w14:textId="77777777" w:rsidR="00CD6637" w:rsidRDefault="00CD6637" w:rsidP="001D61B1">
      <w:pPr>
        <w:jc w:val="both"/>
      </w:pPr>
      <w:r w:rsidRPr="00F70A97">
        <w:br/>
        <w:t xml:space="preserve">Large-scale, well-designed RCTs are critical to validate probiotics’ efficacy in neurosurgery. Current evidence suggests probiotics and synbiotics reduce infection rates, inflammation (e.g., IL-6, CRP), and gastrointestinal complications in TBI and spinal surgery, but robust trials are needed to confirm these benefits (1, 42). Synbiotics enhance immune responses by increasing CD8+ T cell infiltration and SCFA production, as seen in surgical settings (43). </w:t>
      </w:r>
      <w:r w:rsidRPr="00F70A97">
        <w:lastRenderedPageBreak/>
        <w:t>Postbiotics, non-viable microbial products, also show promise in reducing neuroinflammation, with a 2024 trial reporting improved BBB integrity in stroke models (</w:t>
      </w:r>
      <w:r>
        <w:t>79</w:t>
      </w:r>
      <w:r w:rsidRPr="00F70A97">
        <w:t>). However, trial innovations—such as adaptive designs, multi-center collaborations, and standardized outcome measures—are essential to overcome recruitment challenges and ethical constraints (62). A 2023 framework proposed integrating real-world evidence with RCTs to enhance generalizability in neurosurgical research (</w:t>
      </w:r>
      <w:r>
        <w:t>80</w:t>
      </w:r>
      <w:r w:rsidRPr="00F70A97">
        <w:t>).</w:t>
      </w:r>
    </w:p>
    <w:p w14:paraId="66368DE7" w14:textId="77777777" w:rsidR="00706223" w:rsidRPr="00F70A97" w:rsidRDefault="00706223" w:rsidP="001D61B1">
      <w:pPr>
        <w:jc w:val="both"/>
      </w:pPr>
    </w:p>
    <w:p w14:paraId="740DA1DC" w14:textId="77777777" w:rsidR="00CD6637" w:rsidRDefault="00CD6637" w:rsidP="001D61B1">
      <w:pPr>
        <w:pStyle w:val="Heading1"/>
        <w:spacing w:line="240" w:lineRule="auto"/>
        <w:jc w:val="both"/>
      </w:pPr>
      <w:r>
        <w:t>Future directions</w:t>
      </w:r>
    </w:p>
    <w:p w14:paraId="4A07605E" w14:textId="4B9D5787" w:rsidR="00CD6637" w:rsidRPr="00F70A97" w:rsidRDefault="00CD6637" w:rsidP="001D61B1">
      <w:pPr>
        <w:jc w:val="both"/>
      </w:pPr>
      <w:r w:rsidRPr="00F70A97">
        <w:br/>
        <w:t xml:space="preserve">Future research should explore novel probiotic-based interventions, such as probiotic wound dressings and psychobiotics, to enhance neurosurgical outcomes. </w:t>
      </w:r>
      <w:r w:rsidRPr="00F70A97">
        <w:rPr>
          <w:i/>
          <w:iCs/>
        </w:rPr>
        <w:t>Bifidobacterium longum</w:t>
      </w:r>
      <w:r w:rsidRPr="00F70A97">
        <w:t xml:space="preserve">-based dressings reduce infection rates in spinal surgery by promoting antibiofilm activity (58). Psychobiotics, like </w:t>
      </w:r>
      <w:r w:rsidRPr="00F70A97">
        <w:rPr>
          <w:i/>
          <w:iCs/>
        </w:rPr>
        <w:t>Lactiplantibacillus plantarum</w:t>
      </w:r>
      <w:r w:rsidRPr="00F70A97">
        <w:t>, alleviate anxiety and improve motor function via serotonin and BDNF production, offering potential for TBI recovery (51, 56). Combining probiotics with neuromodulatory therapies (e.g., vagus nerve stimulation) could amplify GBA-mediated neuroprotection, as suggested in preclinical studies (</w:t>
      </w:r>
      <w:r>
        <w:t>81</w:t>
      </w:r>
      <w:r w:rsidRPr="00F70A97">
        <w:t>). Additionally, exploring the gut-spleen-brain axis and gut-liver-brain axis could uncover new therapeutic targets for systemic inflammation in neurosurgery (2, 39). These strategies, supported by advances in microbiome engineering, hold promise for transforming neurosurgical care.</w:t>
      </w:r>
    </w:p>
    <w:p w14:paraId="1808E246" w14:textId="77777777" w:rsidR="00CD6637" w:rsidRPr="00F70A97" w:rsidRDefault="00CD6637" w:rsidP="001D61B1">
      <w:pPr>
        <w:jc w:val="both"/>
      </w:pPr>
      <w:r w:rsidRPr="00F70A97">
        <w:br/>
        <w:t>Probiotics’ potential in neurosurgery is constrained by research challenges, including trial design limitations and strain variability. Future directions include personalized probiotic therapies guided by microbiome profiling, large-scale RCTs with innovative designs, and novel interventions like postbiotics and psychobiotics. By addressing these challenges, probiotics can become integral to neurosurgical care, improving outcomes through precise GBA modulation (1, 64).</w:t>
      </w:r>
    </w:p>
    <w:p w14:paraId="702D90D6" w14:textId="38D62B87" w:rsidR="00CD6637" w:rsidRDefault="00CD6637" w:rsidP="001D61B1">
      <w:pPr>
        <w:jc w:val="both"/>
      </w:pPr>
    </w:p>
    <w:p w14:paraId="68B43F3B" w14:textId="77777777" w:rsidR="000851C0" w:rsidRPr="00D47E65" w:rsidRDefault="000851C0" w:rsidP="001D61B1">
      <w:pPr>
        <w:ind w:firstLine="720"/>
        <w:jc w:val="both"/>
        <w:rPr>
          <w:szCs w:val="24"/>
        </w:rPr>
      </w:pPr>
      <w:hyperlink r:id="rId13" w:history="1"/>
    </w:p>
    <w:p w14:paraId="65EAA86D" w14:textId="77777777" w:rsidR="000851C0" w:rsidRPr="00D47E65" w:rsidRDefault="000D1B0B" w:rsidP="001D61B1">
      <w:pPr>
        <w:pStyle w:val="Heading1"/>
        <w:spacing w:line="240" w:lineRule="auto"/>
        <w:jc w:val="both"/>
      </w:pPr>
      <w:r w:rsidRPr="00367DB3">
        <w:t>Conclusion</w:t>
      </w:r>
    </w:p>
    <w:p w14:paraId="72CA9640" w14:textId="397E50D6" w:rsidR="004C15A7" w:rsidRPr="004C15A7" w:rsidRDefault="004C15A7" w:rsidP="001D61B1">
      <w:pPr>
        <w:jc w:val="both"/>
        <w:rPr>
          <w:szCs w:val="24"/>
        </w:rPr>
      </w:pPr>
      <w:r w:rsidRPr="004C15A7">
        <w:rPr>
          <w:szCs w:val="24"/>
        </w:rPr>
        <w:t xml:space="preserve">Probiotics offer a transformative adjunctive therapy in neurosurgery and neurodegenerative disease management by modulating the GBA, a dynamic network linking gut microbiota to the central nervous system (CNS) via neural, immune, and endocrine pathways. Strains such as </w:t>
      </w:r>
      <w:r w:rsidRPr="004C15A7">
        <w:rPr>
          <w:i/>
          <w:iCs/>
          <w:szCs w:val="24"/>
        </w:rPr>
        <w:t>Lactobacillus reuteri</w:t>
      </w:r>
      <w:r w:rsidRPr="004C15A7">
        <w:rPr>
          <w:szCs w:val="24"/>
        </w:rPr>
        <w:t xml:space="preserve"> and </w:t>
      </w:r>
      <w:r w:rsidRPr="004C15A7">
        <w:rPr>
          <w:i/>
          <w:iCs/>
          <w:szCs w:val="24"/>
        </w:rPr>
        <w:t>Bifidobacterium longum</w:t>
      </w:r>
      <w:r w:rsidRPr="004C15A7">
        <w:rPr>
          <w:szCs w:val="24"/>
        </w:rPr>
        <w:t xml:space="preserve"> produce short-chain fatty acids (SCFAs) and neurotransmitters (e.g., serotonin, BDNF), reducing neuroinflammation, enhancing blood-brain barrier (BBB) integrity, and promoting neuroplasticity. In neurosurgery, probiotics improve outcomes in traumatic brain injury (TBI) and spinal surgery by lowering infection rates, enhancing gastrointestinal function, and supporting cognitive recovery, as evidenced by reduced IL-6 levels and improved Glasgow Coma Scale scores. In neurodegenerative disorders like Parkinson’s and Alzheimer’s, probiotics mitigate motor deficits and cognitive decline by suppressing microglial activation and boosting SCFA production. Synbiotics and innovative approaches, such as </w:t>
      </w:r>
      <w:r w:rsidRPr="004C15A7">
        <w:rPr>
          <w:i/>
          <w:iCs/>
          <w:szCs w:val="24"/>
        </w:rPr>
        <w:t>Bifidobacterium longum</w:t>
      </w:r>
      <w:r w:rsidRPr="004C15A7">
        <w:rPr>
          <w:szCs w:val="24"/>
        </w:rPr>
        <w:t>-based wound dressings, further enhance immune responses and wound healing. Despite these advances, strain-specific variability, small-scale trials, and inconsistent methodologies limit clinical adoption. Large-scale randomized controlled trials, personalized microbiome profiling, and novel interventions like postbiotics and psychobiotics are critical to optimize efficacy and dosing across diverse populations. By overcoming these challenges, probiotics could become a cornerstone of neurological care, enhancing patient recovery and quality of life through precise GBA-targeted strategies.</w:t>
      </w:r>
    </w:p>
    <w:p w14:paraId="68B1EA6C" w14:textId="77777777" w:rsidR="00041DC2" w:rsidRPr="00C34391" w:rsidRDefault="00041DC2" w:rsidP="001D61B1">
      <w:pPr>
        <w:jc w:val="both"/>
        <w:rPr>
          <w:b/>
          <w:bCs/>
          <w:szCs w:val="24"/>
        </w:rPr>
      </w:pPr>
      <w:r w:rsidRPr="00C34391">
        <w:rPr>
          <w:b/>
          <w:bCs/>
          <w:szCs w:val="24"/>
        </w:rPr>
        <w:t>List of abbreviation</w:t>
      </w:r>
    </w:p>
    <w:p w14:paraId="0C7B17AA" w14:textId="77777777" w:rsidR="00F942BE" w:rsidRPr="00F942BE" w:rsidRDefault="00F942BE" w:rsidP="001D61B1">
      <w:pPr>
        <w:numPr>
          <w:ilvl w:val="0"/>
          <w:numId w:val="2"/>
        </w:numPr>
        <w:jc w:val="both"/>
        <w:rPr>
          <w:szCs w:val="24"/>
        </w:rPr>
      </w:pPr>
      <w:r w:rsidRPr="00F942BE">
        <w:rPr>
          <w:b/>
          <w:bCs/>
          <w:szCs w:val="24"/>
        </w:rPr>
        <w:lastRenderedPageBreak/>
        <w:t>TBI</w:t>
      </w:r>
      <w:r w:rsidRPr="00F942BE">
        <w:rPr>
          <w:szCs w:val="24"/>
        </w:rPr>
        <w:t>: Traumatic Brain Injury.</w:t>
      </w:r>
    </w:p>
    <w:p w14:paraId="694793D8" w14:textId="77777777" w:rsidR="00F942BE" w:rsidRPr="00F942BE" w:rsidRDefault="00F942BE" w:rsidP="001D61B1">
      <w:pPr>
        <w:numPr>
          <w:ilvl w:val="0"/>
          <w:numId w:val="2"/>
        </w:numPr>
        <w:jc w:val="both"/>
        <w:rPr>
          <w:szCs w:val="24"/>
        </w:rPr>
      </w:pPr>
      <w:r w:rsidRPr="00F942BE">
        <w:rPr>
          <w:b/>
          <w:bCs/>
          <w:szCs w:val="24"/>
        </w:rPr>
        <w:t>CNS</w:t>
      </w:r>
      <w:r w:rsidRPr="00F942BE">
        <w:rPr>
          <w:szCs w:val="24"/>
        </w:rPr>
        <w:t>: Central Nervous System.</w:t>
      </w:r>
    </w:p>
    <w:p w14:paraId="79FFC36C" w14:textId="77777777" w:rsidR="00F942BE" w:rsidRPr="00F942BE" w:rsidRDefault="00F942BE" w:rsidP="001D61B1">
      <w:pPr>
        <w:numPr>
          <w:ilvl w:val="0"/>
          <w:numId w:val="2"/>
        </w:numPr>
        <w:jc w:val="both"/>
        <w:rPr>
          <w:szCs w:val="24"/>
        </w:rPr>
      </w:pPr>
      <w:r w:rsidRPr="00F942BE">
        <w:rPr>
          <w:b/>
          <w:bCs/>
          <w:szCs w:val="24"/>
        </w:rPr>
        <w:t>BBB</w:t>
      </w:r>
      <w:r w:rsidRPr="00F942BE">
        <w:rPr>
          <w:szCs w:val="24"/>
        </w:rPr>
        <w:t>: Blood-Brain Barrier.</w:t>
      </w:r>
    </w:p>
    <w:p w14:paraId="63F8ED09" w14:textId="77777777" w:rsidR="00F942BE" w:rsidRPr="00F942BE" w:rsidRDefault="00F942BE" w:rsidP="001D61B1">
      <w:pPr>
        <w:numPr>
          <w:ilvl w:val="0"/>
          <w:numId w:val="2"/>
        </w:numPr>
        <w:jc w:val="both"/>
        <w:rPr>
          <w:szCs w:val="24"/>
        </w:rPr>
      </w:pPr>
      <w:r w:rsidRPr="00F942BE">
        <w:rPr>
          <w:b/>
          <w:bCs/>
          <w:szCs w:val="24"/>
        </w:rPr>
        <w:t>SCFAs</w:t>
      </w:r>
      <w:r w:rsidRPr="00F942BE">
        <w:rPr>
          <w:szCs w:val="24"/>
        </w:rPr>
        <w:t>: Short-Chain Fatty Acids.</w:t>
      </w:r>
    </w:p>
    <w:p w14:paraId="5FAA5433" w14:textId="77777777" w:rsidR="00F942BE" w:rsidRPr="00F942BE" w:rsidRDefault="00F942BE" w:rsidP="001D61B1">
      <w:pPr>
        <w:numPr>
          <w:ilvl w:val="0"/>
          <w:numId w:val="2"/>
        </w:numPr>
        <w:jc w:val="both"/>
        <w:rPr>
          <w:szCs w:val="24"/>
        </w:rPr>
      </w:pPr>
      <w:r w:rsidRPr="00F942BE">
        <w:rPr>
          <w:b/>
          <w:bCs/>
          <w:szCs w:val="24"/>
        </w:rPr>
        <w:t>SSIs</w:t>
      </w:r>
      <w:r w:rsidRPr="00F942BE">
        <w:rPr>
          <w:szCs w:val="24"/>
        </w:rPr>
        <w:t>: Surgical Site Infections.</w:t>
      </w:r>
    </w:p>
    <w:p w14:paraId="246D11E1" w14:textId="77777777" w:rsidR="00F942BE" w:rsidRPr="00F942BE" w:rsidRDefault="00F942BE" w:rsidP="001D61B1">
      <w:pPr>
        <w:numPr>
          <w:ilvl w:val="0"/>
          <w:numId w:val="2"/>
        </w:numPr>
        <w:jc w:val="both"/>
        <w:rPr>
          <w:szCs w:val="24"/>
        </w:rPr>
      </w:pPr>
      <w:r w:rsidRPr="00F942BE">
        <w:rPr>
          <w:b/>
          <w:bCs/>
          <w:szCs w:val="24"/>
        </w:rPr>
        <w:t>SRCs</w:t>
      </w:r>
      <w:r w:rsidRPr="00F942BE">
        <w:rPr>
          <w:szCs w:val="24"/>
        </w:rPr>
        <w:t>: Surgery-Related Complications.</w:t>
      </w:r>
    </w:p>
    <w:p w14:paraId="0753A70E" w14:textId="77777777" w:rsidR="00F942BE" w:rsidRDefault="00F942BE" w:rsidP="001D61B1">
      <w:pPr>
        <w:numPr>
          <w:ilvl w:val="0"/>
          <w:numId w:val="2"/>
        </w:numPr>
        <w:jc w:val="both"/>
        <w:rPr>
          <w:szCs w:val="24"/>
        </w:rPr>
      </w:pPr>
      <w:r w:rsidRPr="00F942BE">
        <w:rPr>
          <w:b/>
          <w:bCs/>
          <w:szCs w:val="24"/>
        </w:rPr>
        <w:t>CRP</w:t>
      </w:r>
      <w:r w:rsidRPr="00F942BE">
        <w:rPr>
          <w:szCs w:val="24"/>
        </w:rPr>
        <w:t>: C-Reactive Protein.</w:t>
      </w:r>
    </w:p>
    <w:p w14:paraId="5FDA25FF" w14:textId="35A1DE7B" w:rsidR="007C6DDF" w:rsidRDefault="007C6DDF" w:rsidP="001D61B1">
      <w:pPr>
        <w:numPr>
          <w:ilvl w:val="0"/>
          <w:numId w:val="2"/>
        </w:numPr>
        <w:jc w:val="both"/>
        <w:rPr>
          <w:szCs w:val="24"/>
        </w:rPr>
      </w:pPr>
      <w:r w:rsidRPr="00EA3CEF">
        <w:rPr>
          <w:szCs w:val="24"/>
        </w:rPr>
        <w:t>FODMAP</w:t>
      </w:r>
      <w:r>
        <w:rPr>
          <w:szCs w:val="24"/>
        </w:rPr>
        <w:t xml:space="preserve">: </w:t>
      </w:r>
      <w:r w:rsidRPr="00EA3CEF">
        <w:rPr>
          <w:szCs w:val="24"/>
        </w:rPr>
        <w:t>fermentable oligosaccharides, disaccharides, monosaccharides, and polyols</w:t>
      </w:r>
    </w:p>
    <w:p w14:paraId="1DE0D546" w14:textId="3600AA38" w:rsidR="006128A2" w:rsidRDefault="006128A2" w:rsidP="001D61B1">
      <w:pPr>
        <w:jc w:val="both"/>
        <w:rPr>
          <w:szCs w:val="24"/>
        </w:rPr>
      </w:pPr>
    </w:p>
    <w:p w14:paraId="528F03EE" w14:textId="53969647" w:rsidR="007A3CF9" w:rsidRDefault="007A3CF9" w:rsidP="001D61B1">
      <w:pPr>
        <w:jc w:val="both"/>
        <w:rPr>
          <w:szCs w:val="24"/>
        </w:rPr>
      </w:pPr>
    </w:p>
    <w:p w14:paraId="2AC19EA8" w14:textId="77777777" w:rsidR="007A3CF9" w:rsidRPr="00046C34" w:rsidRDefault="007A3CF9" w:rsidP="001D61B1">
      <w:pPr>
        <w:jc w:val="both"/>
        <w:rPr>
          <w:rFonts w:ascii="Calibri" w:eastAsia="Calibri" w:hAnsi="Calibri"/>
          <w:kern w:val="2"/>
          <w:highlight w:val="yellow"/>
        </w:rPr>
      </w:pPr>
      <w:r w:rsidRPr="00046C34">
        <w:rPr>
          <w:rFonts w:ascii="Calibri" w:eastAsia="Calibri" w:hAnsi="Calibri"/>
          <w:kern w:val="2"/>
          <w:highlight w:val="yellow"/>
        </w:rPr>
        <w:t xml:space="preserve">Option 1: </w:t>
      </w:r>
    </w:p>
    <w:p w14:paraId="60F06E84" w14:textId="77777777" w:rsidR="007A3CF9" w:rsidRPr="00046C34" w:rsidRDefault="007A3CF9" w:rsidP="001D61B1">
      <w:pPr>
        <w:jc w:val="both"/>
        <w:rPr>
          <w:rFonts w:ascii="Calibri" w:eastAsia="Calibri" w:hAnsi="Calibri"/>
          <w:kern w:val="2"/>
          <w:highlight w:val="yellow"/>
        </w:rPr>
      </w:pPr>
      <w:r w:rsidRPr="00046C34">
        <w:rPr>
          <w:rFonts w:ascii="Calibri" w:eastAsia="Calibri" w:hAnsi="Calibri"/>
          <w:kern w:val="2"/>
          <w:highlight w:val="yellow"/>
        </w:rPr>
        <w:t xml:space="preserve">Author(s) hereby declare that NO generative AI technologies such as Large Language Models (ChatGPT, COPILOT, etc.) and text-to-image generators have been used during the writing or editing of this manuscript. </w:t>
      </w:r>
    </w:p>
    <w:p w14:paraId="02CCB5D8" w14:textId="77777777" w:rsidR="007A3CF9" w:rsidRPr="00046C34" w:rsidRDefault="007A3CF9" w:rsidP="001D61B1">
      <w:pPr>
        <w:jc w:val="both"/>
        <w:rPr>
          <w:rFonts w:ascii="Calibri" w:eastAsia="Calibri" w:hAnsi="Calibri"/>
          <w:kern w:val="2"/>
          <w:highlight w:val="yellow"/>
        </w:rPr>
      </w:pPr>
      <w:r w:rsidRPr="00046C34">
        <w:rPr>
          <w:rFonts w:ascii="Calibri" w:eastAsia="Calibri" w:hAnsi="Calibri"/>
          <w:kern w:val="2"/>
          <w:highlight w:val="yellow"/>
        </w:rPr>
        <w:t xml:space="preserve">Option 2: </w:t>
      </w:r>
    </w:p>
    <w:p w14:paraId="0268C490" w14:textId="77777777" w:rsidR="007A3CF9" w:rsidRPr="00046C34" w:rsidRDefault="007A3CF9" w:rsidP="001D61B1">
      <w:pPr>
        <w:jc w:val="both"/>
        <w:rPr>
          <w:rFonts w:ascii="Calibri" w:eastAsia="Calibri" w:hAnsi="Calibri"/>
          <w:kern w:val="2"/>
          <w:highlight w:val="yellow"/>
        </w:rPr>
      </w:pPr>
      <w:r w:rsidRPr="00046C34">
        <w:rPr>
          <w:rFonts w:ascii="Calibri" w:eastAsia="Calibri" w:hAnsi="Calibri"/>
          <w:kern w:val="2"/>
          <w:highlight w:val="yellow"/>
        </w:rPr>
        <w:t>Author(s) hereby declare that generative AI technologies such as Large Language Models, etc. have been used during the writing or editing of manuscripts. This explanation will include the name, version, model, and source of the generative AI technology and as well as all input prompts provided to the generative AI technology</w:t>
      </w:r>
    </w:p>
    <w:p w14:paraId="0849786C" w14:textId="77777777" w:rsidR="007A3CF9" w:rsidRPr="00046C34" w:rsidRDefault="007A3CF9" w:rsidP="001D61B1">
      <w:pPr>
        <w:jc w:val="both"/>
        <w:rPr>
          <w:rFonts w:ascii="Calibri" w:eastAsia="Calibri" w:hAnsi="Calibri"/>
          <w:kern w:val="2"/>
          <w:highlight w:val="yellow"/>
        </w:rPr>
      </w:pPr>
      <w:r w:rsidRPr="00046C34">
        <w:rPr>
          <w:rFonts w:ascii="Calibri" w:eastAsia="Calibri" w:hAnsi="Calibri"/>
          <w:kern w:val="2"/>
          <w:highlight w:val="yellow"/>
        </w:rPr>
        <w:t>Details of the AI usage are given below:</w:t>
      </w:r>
    </w:p>
    <w:p w14:paraId="059D82E0" w14:textId="77777777" w:rsidR="007A3CF9" w:rsidRPr="00046C34" w:rsidRDefault="007A3CF9" w:rsidP="001D61B1">
      <w:pPr>
        <w:jc w:val="both"/>
        <w:rPr>
          <w:rFonts w:ascii="Calibri" w:eastAsia="Calibri" w:hAnsi="Calibri"/>
          <w:kern w:val="2"/>
          <w:highlight w:val="yellow"/>
        </w:rPr>
      </w:pPr>
      <w:r w:rsidRPr="00046C34">
        <w:rPr>
          <w:rFonts w:ascii="Calibri" w:eastAsia="Calibri" w:hAnsi="Calibri"/>
          <w:kern w:val="2"/>
          <w:highlight w:val="yellow"/>
        </w:rPr>
        <w:t>1.</w:t>
      </w:r>
    </w:p>
    <w:p w14:paraId="06B28DB6" w14:textId="77777777" w:rsidR="007A3CF9" w:rsidRPr="00046C34" w:rsidRDefault="007A3CF9" w:rsidP="001D61B1">
      <w:pPr>
        <w:jc w:val="both"/>
        <w:rPr>
          <w:rFonts w:ascii="Calibri" w:eastAsia="Calibri" w:hAnsi="Calibri"/>
          <w:kern w:val="2"/>
          <w:highlight w:val="yellow"/>
        </w:rPr>
      </w:pPr>
      <w:r w:rsidRPr="00046C34">
        <w:rPr>
          <w:rFonts w:ascii="Calibri" w:eastAsia="Calibri" w:hAnsi="Calibri"/>
          <w:kern w:val="2"/>
          <w:highlight w:val="yellow"/>
        </w:rPr>
        <w:t>2.</w:t>
      </w:r>
    </w:p>
    <w:p w14:paraId="0AF3213B" w14:textId="77777777" w:rsidR="007A3CF9" w:rsidRPr="00046C34" w:rsidRDefault="007A3CF9" w:rsidP="001D61B1">
      <w:pPr>
        <w:jc w:val="both"/>
        <w:rPr>
          <w:rFonts w:ascii="Calibri" w:eastAsia="Calibri" w:hAnsi="Calibri"/>
          <w:kern w:val="2"/>
        </w:rPr>
      </w:pPr>
      <w:r w:rsidRPr="00046C34">
        <w:rPr>
          <w:rFonts w:ascii="Calibri" w:eastAsia="Calibri" w:hAnsi="Calibri"/>
          <w:kern w:val="2"/>
          <w:highlight w:val="yellow"/>
        </w:rPr>
        <w:t>3.</w:t>
      </w:r>
    </w:p>
    <w:p w14:paraId="5310134F" w14:textId="77777777" w:rsidR="007A3CF9" w:rsidRPr="00F942BE" w:rsidRDefault="007A3CF9" w:rsidP="001D61B1">
      <w:pPr>
        <w:jc w:val="both"/>
        <w:rPr>
          <w:szCs w:val="24"/>
        </w:rPr>
      </w:pPr>
    </w:p>
    <w:p w14:paraId="6CC11E9A" w14:textId="77777777" w:rsidR="003E7C59" w:rsidRPr="00D47E65" w:rsidRDefault="003E7C59" w:rsidP="001D61B1">
      <w:pPr>
        <w:pStyle w:val="Heading1"/>
        <w:spacing w:line="240" w:lineRule="auto"/>
        <w:jc w:val="both"/>
      </w:pPr>
    </w:p>
    <w:p w14:paraId="47BFFA5F" w14:textId="77777777" w:rsidR="000851C0" w:rsidRPr="00D47E65" w:rsidRDefault="00C56A94" w:rsidP="001D61B1">
      <w:pPr>
        <w:pStyle w:val="Heading1"/>
        <w:spacing w:line="240" w:lineRule="auto"/>
        <w:jc w:val="both"/>
      </w:pPr>
      <w:r w:rsidRPr="00D47E65">
        <w:t>References</w:t>
      </w:r>
    </w:p>
    <w:p w14:paraId="11C47B3B" w14:textId="66CC5B43" w:rsidR="009C5CDE" w:rsidRPr="009C5CDE" w:rsidRDefault="00110626" w:rsidP="001D61B1">
      <w:pPr>
        <w:widowControl w:val="0"/>
        <w:autoSpaceDE w:val="0"/>
        <w:autoSpaceDN w:val="0"/>
        <w:adjustRightInd w:val="0"/>
        <w:ind w:left="640" w:hanging="640"/>
        <w:jc w:val="both"/>
        <w:rPr>
          <w:noProof/>
        </w:rPr>
      </w:pPr>
      <w:r w:rsidRPr="00D47E65">
        <w:rPr>
          <w:szCs w:val="24"/>
        </w:rPr>
        <w:fldChar w:fldCharType="begin" w:fldLock="1"/>
      </w:r>
      <w:r w:rsidR="003E7C59" w:rsidRPr="00D47E65">
        <w:rPr>
          <w:szCs w:val="24"/>
        </w:rPr>
        <w:instrText xml:space="preserve">ADDIN Mendeley Bibliography CSL_BIBLIOGRAPHY </w:instrText>
      </w:r>
      <w:r w:rsidRPr="00D47E65">
        <w:rPr>
          <w:szCs w:val="24"/>
        </w:rPr>
        <w:fldChar w:fldCharType="separate"/>
      </w:r>
      <w:r w:rsidR="009C5CDE" w:rsidRPr="009C5CDE">
        <w:rPr>
          <w:noProof/>
        </w:rPr>
        <w:t>1.</w:t>
      </w:r>
      <w:r w:rsidR="009C5CDE" w:rsidRPr="009C5CDE">
        <w:rPr>
          <w:noProof/>
        </w:rPr>
        <w:tab/>
        <w:t xml:space="preserve">Fijan S, Šmigoc T. Overview of the Efficacy of Using Probiotics for Neurosurgical and Potential Neurosurgical Patients. Microorganisms. 2024;12(7):1361. </w:t>
      </w:r>
    </w:p>
    <w:p w14:paraId="39B84633" w14:textId="77777777" w:rsidR="009C5CDE" w:rsidRPr="009C5CDE" w:rsidRDefault="009C5CDE" w:rsidP="001D61B1">
      <w:pPr>
        <w:widowControl w:val="0"/>
        <w:autoSpaceDE w:val="0"/>
        <w:autoSpaceDN w:val="0"/>
        <w:adjustRightInd w:val="0"/>
        <w:ind w:left="640" w:hanging="640"/>
        <w:jc w:val="both"/>
        <w:rPr>
          <w:noProof/>
        </w:rPr>
      </w:pPr>
      <w:r w:rsidRPr="009C5CDE">
        <w:rPr>
          <w:noProof/>
        </w:rPr>
        <w:t>2.</w:t>
      </w:r>
      <w:r w:rsidRPr="009C5CDE">
        <w:rPr>
          <w:noProof/>
        </w:rPr>
        <w:tab/>
        <w:t xml:space="preserve">Pagkou D, Kogias E, Foroglou N, Kotzampassi K. Probiotics in Traumatic Brain Injury: New Insights into Mechanisms and Future Perspectives. J Clin Med. 2024;13(15):4546. </w:t>
      </w:r>
    </w:p>
    <w:p w14:paraId="6D69DC1B" w14:textId="77777777" w:rsidR="009C5CDE" w:rsidRPr="009C5CDE" w:rsidRDefault="009C5CDE" w:rsidP="001D61B1">
      <w:pPr>
        <w:widowControl w:val="0"/>
        <w:autoSpaceDE w:val="0"/>
        <w:autoSpaceDN w:val="0"/>
        <w:adjustRightInd w:val="0"/>
        <w:ind w:left="640" w:hanging="640"/>
        <w:jc w:val="both"/>
        <w:rPr>
          <w:noProof/>
        </w:rPr>
      </w:pPr>
      <w:r w:rsidRPr="009C5CDE">
        <w:rPr>
          <w:noProof/>
        </w:rPr>
        <w:t>3.</w:t>
      </w:r>
      <w:r w:rsidRPr="009C5CDE">
        <w:rPr>
          <w:noProof/>
        </w:rPr>
        <w:tab/>
        <w:t xml:space="preserve">Asaadi H, Narouiepour A, Haji A, Keikha M, Karbalaei M. Probiotic-based therapy as a new useful strategy for the treatment of patients with traumatic brain injury. BMC Infect Dis. 2024;24(1):1240. </w:t>
      </w:r>
    </w:p>
    <w:p w14:paraId="112DDFE3" w14:textId="77777777" w:rsidR="009C5CDE" w:rsidRPr="009C5CDE" w:rsidRDefault="009C5CDE" w:rsidP="001D61B1">
      <w:pPr>
        <w:widowControl w:val="0"/>
        <w:autoSpaceDE w:val="0"/>
        <w:autoSpaceDN w:val="0"/>
        <w:adjustRightInd w:val="0"/>
        <w:ind w:left="640" w:hanging="640"/>
        <w:jc w:val="both"/>
        <w:rPr>
          <w:noProof/>
        </w:rPr>
      </w:pPr>
      <w:r w:rsidRPr="009C5CDE">
        <w:rPr>
          <w:noProof/>
        </w:rPr>
        <w:t>4.</w:t>
      </w:r>
      <w:r w:rsidRPr="009C5CDE">
        <w:rPr>
          <w:noProof/>
        </w:rPr>
        <w:tab/>
        <w:t xml:space="preserve">Sharma H, Pathak R, Biswas D. Unveiling the therapeutic potential of modern probiotics in addressing neurodegenerative disorders: a comprehensive exploration, review and future perspectives on intervention strategies. Curr Psychiatry Res Rev. 2024;20:1–25. </w:t>
      </w:r>
    </w:p>
    <w:p w14:paraId="27F2C67B" w14:textId="77777777" w:rsidR="009C5CDE" w:rsidRPr="009C5CDE" w:rsidRDefault="009C5CDE" w:rsidP="001D61B1">
      <w:pPr>
        <w:widowControl w:val="0"/>
        <w:autoSpaceDE w:val="0"/>
        <w:autoSpaceDN w:val="0"/>
        <w:adjustRightInd w:val="0"/>
        <w:ind w:left="640" w:hanging="640"/>
        <w:jc w:val="both"/>
        <w:rPr>
          <w:noProof/>
        </w:rPr>
      </w:pPr>
      <w:r w:rsidRPr="009C5CDE">
        <w:rPr>
          <w:noProof/>
        </w:rPr>
        <w:t>5.</w:t>
      </w:r>
      <w:r w:rsidRPr="009C5CDE">
        <w:rPr>
          <w:noProof/>
        </w:rPr>
        <w:tab/>
        <w:t xml:space="preserve">Aghamohammad S, Hafezi A, Rohani M. Probiotics as functional foods: How probiotics can alleviate the symptoms of neurological disabilities. Biomed Pharmacother. 2023;163:114816. </w:t>
      </w:r>
    </w:p>
    <w:p w14:paraId="27B52D4F" w14:textId="77777777" w:rsidR="009C5CDE" w:rsidRPr="009C5CDE" w:rsidRDefault="009C5CDE" w:rsidP="001D61B1">
      <w:pPr>
        <w:widowControl w:val="0"/>
        <w:autoSpaceDE w:val="0"/>
        <w:autoSpaceDN w:val="0"/>
        <w:adjustRightInd w:val="0"/>
        <w:ind w:left="640" w:hanging="640"/>
        <w:jc w:val="both"/>
        <w:rPr>
          <w:noProof/>
        </w:rPr>
      </w:pPr>
      <w:r w:rsidRPr="009C5CDE">
        <w:rPr>
          <w:noProof/>
        </w:rPr>
        <w:t>6.</w:t>
      </w:r>
      <w:r w:rsidRPr="009C5CDE">
        <w:rPr>
          <w:noProof/>
        </w:rPr>
        <w:tab/>
        <w:t xml:space="preserve">Ashique S, Mohanto S, Ahmed MG, Mishra N, Garg A, Chellappan DK, et al. Gut-brain axis: A cutting-edge approach to target neurological disorders and potential synbiotic application. Heliyon. 2024;10(13). </w:t>
      </w:r>
    </w:p>
    <w:p w14:paraId="6C97F442" w14:textId="77777777" w:rsidR="009C5CDE" w:rsidRPr="009C5CDE" w:rsidRDefault="009C5CDE" w:rsidP="001D61B1">
      <w:pPr>
        <w:widowControl w:val="0"/>
        <w:autoSpaceDE w:val="0"/>
        <w:autoSpaceDN w:val="0"/>
        <w:adjustRightInd w:val="0"/>
        <w:ind w:left="640" w:hanging="640"/>
        <w:jc w:val="both"/>
        <w:rPr>
          <w:noProof/>
        </w:rPr>
      </w:pPr>
      <w:r w:rsidRPr="009C5CDE">
        <w:rPr>
          <w:noProof/>
        </w:rPr>
        <w:t>7.</w:t>
      </w:r>
      <w:r w:rsidRPr="009C5CDE">
        <w:rPr>
          <w:noProof/>
        </w:rPr>
        <w:tab/>
        <w:t xml:space="preserve">Loh JS, Mak WQ, Tan LKS, Ng CX, Chan HH, Yeow SH, et al. Microbiota–gut–brain axis and its therapeutic applications in neurodegenerative diseases. Signal Transduct Target Ther. 2024;9(1):37. </w:t>
      </w:r>
    </w:p>
    <w:p w14:paraId="1C826989" w14:textId="77777777" w:rsidR="009C5CDE" w:rsidRPr="009C5CDE" w:rsidRDefault="009C5CDE" w:rsidP="001D61B1">
      <w:pPr>
        <w:widowControl w:val="0"/>
        <w:autoSpaceDE w:val="0"/>
        <w:autoSpaceDN w:val="0"/>
        <w:adjustRightInd w:val="0"/>
        <w:ind w:left="640" w:hanging="640"/>
        <w:jc w:val="both"/>
        <w:rPr>
          <w:noProof/>
        </w:rPr>
      </w:pPr>
      <w:r w:rsidRPr="009C5CDE">
        <w:rPr>
          <w:noProof/>
        </w:rPr>
        <w:t>8.</w:t>
      </w:r>
      <w:r w:rsidRPr="009C5CDE">
        <w:rPr>
          <w:noProof/>
        </w:rPr>
        <w:tab/>
        <w:t>Ullah H, Arbab S, Tian Y, Liu C qing, Chen Y, Qijie L, et al. The gut microbiota–</w:t>
      </w:r>
      <w:r w:rsidRPr="009C5CDE">
        <w:rPr>
          <w:noProof/>
        </w:rPr>
        <w:lastRenderedPageBreak/>
        <w:t xml:space="preserve">brain axis in neurological disorder. Front Neurosci. 2023;17:1225875. </w:t>
      </w:r>
    </w:p>
    <w:p w14:paraId="5217736D" w14:textId="77777777" w:rsidR="009C5CDE" w:rsidRPr="009C5CDE" w:rsidRDefault="009C5CDE" w:rsidP="001D61B1">
      <w:pPr>
        <w:widowControl w:val="0"/>
        <w:autoSpaceDE w:val="0"/>
        <w:autoSpaceDN w:val="0"/>
        <w:adjustRightInd w:val="0"/>
        <w:ind w:left="640" w:hanging="640"/>
        <w:jc w:val="both"/>
        <w:rPr>
          <w:noProof/>
        </w:rPr>
      </w:pPr>
      <w:r w:rsidRPr="009C5CDE">
        <w:rPr>
          <w:noProof/>
        </w:rPr>
        <w:t>9.</w:t>
      </w:r>
      <w:r w:rsidRPr="009C5CDE">
        <w:rPr>
          <w:noProof/>
        </w:rPr>
        <w:tab/>
        <w:t xml:space="preserve">Mishra M, Subhan A, Mishra R, Mazumder A, Kumar B, Joshi K. Potential therapeutic application of probiotics in the treatment of neuropathic pain: A mechanistic aspects of brain-gut axis. Trends Immunother. 2023;7(2):2280. </w:t>
      </w:r>
    </w:p>
    <w:p w14:paraId="68B40173" w14:textId="77777777" w:rsidR="009C5CDE" w:rsidRPr="009C5CDE" w:rsidRDefault="009C5CDE" w:rsidP="001D61B1">
      <w:pPr>
        <w:widowControl w:val="0"/>
        <w:autoSpaceDE w:val="0"/>
        <w:autoSpaceDN w:val="0"/>
        <w:adjustRightInd w:val="0"/>
        <w:ind w:left="640" w:hanging="640"/>
        <w:jc w:val="both"/>
        <w:rPr>
          <w:noProof/>
        </w:rPr>
      </w:pPr>
      <w:r w:rsidRPr="009C5CDE">
        <w:rPr>
          <w:noProof/>
        </w:rPr>
        <w:t>10.</w:t>
      </w:r>
      <w:r w:rsidRPr="009C5CDE">
        <w:rPr>
          <w:noProof/>
        </w:rPr>
        <w:tab/>
        <w:t xml:space="preserve">Fekete M, Lehoczki A, Major D, Fazekas-Pongor V, Csípő T, Tarantini S, et al. Exploring the Influence of Gut–Brain Axis Modulation on Cognitive Health: A Comprehensive Review of Prebiotics, Probiotics, and Symbiotics. Nutrients. 2024;16(6):789. </w:t>
      </w:r>
    </w:p>
    <w:p w14:paraId="5CA88559" w14:textId="77777777" w:rsidR="009C5CDE" w:rsidRPr="009C5CDE" w:rsidRDefault="009C5CDE" w:rsidP="001D61B1">
      <w:pPr>
        <w:widowControl w:val="0"/>
        <w:autoSpaceDE w:val="0"/>
        <w:autoSpaceDN w:val="0"/>
        <w:adjustRightInd w:val="0"/>
        <w:ind w:left="640" w:hanging="640"/>
        <w:jc w:val="both"/>
        <w:rPr>
          <w:noProof/>
        </w:rPr>
      </w:pPr>
      <w:r w:rsidRPr="009C5CDE">
        <w:rPr>
          <w:noProof/>
        </w:rPr>
        <w:t>11.</w:t>
      </w:r>
      <w:r w:rsidRPr="009C5CDE">
        <w:rPr>
          <w:noProof/>
        </w:rPr>
        <w:tab/>
        <w:t xml:space="preserve">Kodidala SR, Kaur H, Manjunath S, Akula GR. Unraveling the intricacies of the gut-brain axis: from physiology to psychology and obesity. Сибирский научный медицинский журнал. 2024 Oct;44(5):19–23. </w:t>
      </w:r>
    </w:p>
    <w:p w14:paraId="481088BD" w14:textId="77777777" w:rsidR="009C5CDE" w:rsidRPr="009C5CDE" w:rsidRDefault="009C5CDE" w:rsidP="001D61B1">
      <w:pPr>
        <w:widowControl w:val="0"/>
        <w:autoSpaceDE w:val="0"/>
        <w:autoSpaceDN w:val="0"/>
        <w:adjustRightInd w:val="0"/>
        <w:ind w:left="640" w:hanging="640"/>
        <w:jc w:val="both"/>
        <w:rPr>
          <w:noProof/>
        </w:rPr>
      </w:pPr>
      <w:r w:rsidRPr="009C5CDE">
        <w:rPr>
          <w:noProof/>
        </w:rPr>
        <w:t>12.</w:t>
      </w:r>
      <w:r w:rsidRPr="009C5CDE">
        <w:rPr>
          <w:noProof/>
        </w:rPr>
        <w:tab/>
        <w:t xml:space="preserve">Aggarwal B. The Gut-Brain Axis: Exploring the Bidirectional Communication Between the Gut Microbiome and the Brain. J Forensic Sci Res. 2024;8(1):47–57. </w:t>
      </w:r>
    </w:p>
    <w:p w14:paraId="3D5A9998" w14:textId="77777777" w:rsidR="009C5CDE" w:rsidRPr="009C5CDE" w:rsidRDefault="009C5CDE" w:rsidP="001D61B1">
      <w:pPr>
        <w:widowControl w:val="0"/>
        <w:autoSpaceDE w:val="0"/>
        <w:autoSpaceDN w:val="0"/>
        <w:adjustRightInd w:val="0"/>
        <w:ind w:left="640" w:hanging="640"/>
        <w:jc w:val="both"/>
        <w:rPr>
          <w:noProof/>
        </w:rPr>
      </w:pPr>
      <w:r w:rsidRPr="009C5CDE">
        <w:rPr>
          <w:noProof/>
        </w:rPr>
        <w:t>13.</w:t>
      </w:r>
      <w:r w:rsidRPr="009C5CDE">
        <w:rPr>
          <w:noProof/>
        </w:rPr>
        <w:tab/>
        <w:t xml:space="preserve">Nakhal MM, Yassin LK, Alyaqoubi R, Saeed S, Alderei A, Alhammadi A, et al. The microbiota–gut–brain axis and neurological disorders: a comprehensive review. Life. 2024;14(10):1234. </w:t>
      </w:r>
    </w:p>
    <w:p w14:paraId="57C33B60" w14:textId="77777777" w:rsidR="009C5CDE" w:rsidRPr="009C5CDE" w:rsidRDefault="009C5CDE" w:rsidP="001D61B1">
      <w:pPr>
        <w:widowControl w:val="0"/>
        <w:autoSpaceDE w:val="0"/>
        <w:autoSpaceDN w:val="0"/>
        <w:adjustRightInd w:val="0"/>
        <w:ind w:left="640" w:hanging="640"/>
        <w:jc w:val="both"/>
        <w:rPr>
          <w:noProof/>
        </w:rPr>
      </w:pPr>
      <w:r w:rsidRPr="009C5CDE">
        <w:rPr>
          <w:noProof/>
        </w:rPr>
        <w:t>14.</w:t>
      </w:r>
      <w:r w:rsidRPr="009C5CDE">
        <w:rPr>
          <w:noProof/>
        </w:rPr>
        <w:tab/>
        <w:t xml:space="preserve">Kearns R. Gut–brain axis and neuroinflammation: the role of gut permeability and the kynurenine pathway in neurological disorders. Cell Mol Neurobiol. 2024;44(1):64. </w:t>
      </w:r>
    </w:p>
    <w:p w14:paraId="77C9C5F0" w14:textId="77777777" w:rsidR="009C5CDE" w:rsidRPr="009C5CDE" w:rsidRDefault="009C5CDE" w:rsidP="001D61B1">
      <w:pPr>
        <w:widowControl w:val="0"/>
        <w:autoSpaceDE w:val="0"/>
        <w:autoSpaceDN w:val="0"/>
        <w:adjustRightInd w:val="0"/>
        <w:ind w:left="640" w:hanging="640"/>
        <w:jc w:val="both"/>
        <w:rPr>
          <w:noProof/>
        </w:rPr>
      </w:pPr>
      <w:r w:rsidRPr="009C5CDE">
        <w:rPr>
          <w:noProof/>
        </w:rPr>
        <w:t>15.</w:t>
      </w:r>
      <w:r w:rsidRPr="009C5CDE">
        <w:rPr>
          <w:noProof/>
        </w:rPr>
        <w:tab/>
        <w:t xml:space="preserve">Ribichini E, Scalese G, Mocci C, Severi C. Gut–Brain Axis and Psychopathology: Exploring the Impact of Diet with a Focus on the Low-FODMAP Approach. Nutrients. 2024;16(20):3515. </w:t>
      </w:r>
    </w:p>
    <w:p w14:paraId="12BB6FE4" w14:textId="77777777" w:rsidR="009C5CDE" w:rsidRPr="009C5CDE" w:rsidRDefault="009C5CDE" w:rsidP="001D61B1">
      <w:pPr>
        <w:widowControl w:val="0"/>
        <w:autoSpaceDE w:val="0"/>
        <w:autoSpaceDN w:val="0"/>
        <w:adjustRightInd w:val="0"/>
        <w:ind w:left="640" w:hanging="640"/>
        <w:jc w:val="both"/>
        <w:rPr>
          <w:noProof/>
        </w:rPr>
      </w:pPr>
      <w:r w:rsidRPr="009C5CDE">
        <w:rPr>
          <w:noProof/>
        </w:rPr>
        <w:t>16.</w:t>
      </w:r>
      <w:r w:rsidRPr="009C5CDE">
        <w:rPr>
          <w:noProof/>
        </w:rPr>
        <w:tab/>
        <w:t xml:space="preserve">Deng F, Yang D, Qing L, Chen Y, Zou J, Jia M, et al. Exploring the interaction between the gut microbiota and cyclic adenosine monophosphate-protein kinase A signaling pathway: a potential therapeutic approach for neurodegenerative diseases. Neural Regen Res. 2025 Nov;20(11):3095–112. </w:t>
      </w:r>
    </w:p>
    <w:p w14:paraId="3BC0404A" w14:textId="77777777" w:rsidR="009C5CDE" w:rsidRPr="009C5CDE" w:rsidRDefault="009C5CDE" w:rsidP="001D61B1">
      <w:pPr>
        <w:widowControl w:val="0"/>
        <w:autoSpaceDE w:val="0"/>
        <w:autoSpaceDN w:val="0"/>
        <w:adjustRightInd w:val="0"/>
        <w:ind w:left="640" w:hanging="640"/>
        <w:jc w:val="both"/>
        <w:rPr>
          <w:noProof/>
        </w:rPr>
      </w:pPr>
      <w:r w:rsidRPr="009C5CDE">
        <w:rPr>
          <w:noProof/>
        </w:rPr>
        <w:t>17.</w:t>
      </w:r>
      <w:r w:rsidRPr="009C5CDE">
        <w:rPr>
          <w:noProof/>
        </w:rPr>
        <w:tab/>
        <w:t xml:space="preserve">You M, Chen N, Yang Y, Cheng L, He H, Cai Y, et al. The gut microbiota–brain axis in neurological disorders. MedComm. 2024;5(8):e656. </w:t>
      </w:r>
    </w:p>
    <w:p w14:paraId="596F3524" w14:textId="77777777" w:rsidR="009C5CDE" w:rsidRPr="009C5CDE" w:rsidRDefault="009C5CDE" w:rsidP="001D61B1">
      <w:pPr>
        <w:widowControl w:val="0"/>
        <w:autoSpaceDE w:val="0"/>
        <w:autoSpaceDN w:val="0"/>
        <w:adjustRightInd w:val="0"/>
        <w:ind w:left="640" w:hanging="640"/>
        <w:jc w:val="both"/>
        <w:rPr>
          <w:noProof/>
        </w:rPr>
      </w:pPr>
      <w:r w:rsidRPr="009C5CDE">
        <w:rPr>
          <w:noProof/>
        </w:rPr>
        <w:t>18.</w:t>
      </w:r>
      <w:r w:rsidRPr="009C5CDE">
        <w:rPr>
          <w:noProof/>
        </w:rPr>
        <w:tab/>
        <w:t xml:space="preserve">Park KJ, Gao Y. Gut-brain axis and neurodegeneration: Mechanisms and therapeutic potentials. Front Neurosci. 2024;18:1481390. </w:t>
      </w:r>
    </w:p>
    <w:p w14:paraId="1A569340" w14:textId="77777777" w:rsidR="009C5CDE" w:rsidRPr="009C5CDE" w:rsidRDefault="009C5CDE" w:rsidP="001D61B1">
      <w:pPr>
        <w:widowControl w:val="0"/>
        <w:autoSpaceDE w:val="0"/>
        <w:autoSpaceDN w:val="0"/>
        <w:adjustRightInd w:val="0"/>
        <w:ind w:left="640" w:hanging="640"/>
        <w:jc w:val="both"/>
        <w:rPr>
          <w:noProof/>
        </w:rPr>
      </w:pPr>
      <w:r w:rsidRPr="009C5CDE">
        <w:rPr>
          <w:noProof/>
        </w:rPr>
        <w:t>19.</w:t>
      </w:r>
      <w:r w:rsidRPr="009C5CDE">
        <w:rPr>
          <w:noProof/>
        </w:rPr>
        <w:tab/>
        <w:t xml:space="preserve">Nasir O, Bibi R, Qamar MU, Fatima A, Ahsan Z, Khan F, et al. Microbiome-Host Interactions: The Role of Gut Bacteria in Neurological Disorders. </w:t>
      </w:r>
    </w:p>
    <w:p w14:paraId="065BCAAE" w14:textId="77777777" w:rsidR="009C5CDE" w:rsidRPr="009C5CDE" w:rsidRDefault="009C5CDE" w:rsidP="001D61B1">
      <w:pPr>
        <w:widowControl w:val="0"/>
        <w:autoSpaceDE w:val="0"/>
        <w:autoSpaceDN w:val="0"/>
        <w:adjustRightInd w:val="0"/>
        <w:ind w:left="640" w:hanging="640"/>
        <w:jc w:val="both"/>
        <w:rPr>
          <w:noProof/>
        </w:rPr>
      </w:pPr>
      <w:r w:rsidRPr="009C5CDE">
        <w:rPr>
          <w:noProof/>
        </w:rPr>
        <w:t>20.</w:t>
      </w:r>
      <w:r w:rsidRPr="009C5CDE">
        <w:rPr>
          <w:noProof/>
        </w:rPr>
        <w:tab/>
        <w:t xml:space="preserve">Foster J, Clarke G. Microbiota influence brain systems—Work in animal models. In: Microbiota Brain Axis. Elsevier; 2024. p. 109–26. </w:t>
      </w:r>
    </w:p>
    <w:p w14:paraId="0A7B332E" w14:textId="77777777" w:rsidR="009C5CDE" w:rsidRPr="009C5CDE" w:rsidRDefault="009C5CDE" w:rsidP="001D61B1">
      <w:pPr>
        <w:widowControl w:val="0"/>
        <w:autoSpaceDE w:val="0"/>
        <w:autoSpaceDN w:val="0"/>
        <w:adjustRightInd w:val="0"/>
        <w:ind w:left="640" w:hanging="640"/>
        <w:jc w:val="both"/>
        <w:rPr>
          <w:noProof/>
        </w:rPr>
      </w:pPr>
      <w:r w:rsidRPr="009C5CDE">
        <w:rPr>
          <w:noProof/>
        </w:rPr>
        <w:t>21.</w:t>
      </w:r>
      <w:r w:rsidRPr="009C5CDE">
        <w:rPr>
          <w:noProof/>
        </w:rPr>
        <w:tab/>
        <w:t xml:space="preserve">El Baassiri MG, Raouf Z, Badin S, Escobosa A, Sodhi CP, Nasr IW. Dysregulated brain-gut axis in the setting of traumatic brain injury: review of mechanisms and anti-inflammatory pharmacotherapies. J Neuroinflammation. 2024;21(1):124. </w:t>
      </w:r>
    </w:p>
    <w:p w14:paraId="33672781" w14:textId="77777777" w:rsidR="009C5CDE" w:rsidRPr="009C5CDE" w:rsidRDefault="009C5CDE" w:rsidP="001D61B1">
      <w:pPr>
        <w:widowControl w:val="0"/>
        <w:autoSpaceDE w:val="0"/>
        <w:autoSpaceDN w:val="0"/>
        <w:adjustRightInd w:val="0"/>
        <w:ind w:left="640" w:hanging="640"/>
        <w:jc w:val="both"/>
        <w:rPr>
          <w:noProof/>
        </w:rPr>
      </w:pPr>
      <w:r w:rsidRPr="009C5CDE">
        <w:rPr>
          <w:noProof/>
        </w:rPr>
        <w:t>22.</w:t>
      </w:r>
      <w:r w:rsidRPr="009C5CDE">
        <w:rPr>
          <w:noProof/>
        </w:rPr>
        <w:tab/>
        <w:t xml:space="preserve">Salami M. Gut Microbiota in Brain diseases. 2022; </w:t>
      </w:r>
    </w:p>
    <w:p w14:paraId="176357C2" w14:textId="77777777" w:rsidR="009C5CDE" w:rsidRPr="009C5CDE" w:rsidRDefault="009C5CDE" w:rsidP="001D61B1">
      <w:pPr>
        <w:widowControl w:val="0"/>
        <w:autoSpaceDE w:val="0"/>
        <w:autoSpaceDN w:val="0"/>
        <w:adjustRightInd w:val="0"/>
        <w:ind w:left="640" w:hanging="640"/>
        <w:jc w:val="both"/>
        <w:rPr>
          <w:noProof/>
        </w:rPr>
      </w:pPr>
      <w:r w:rsidRPr="009C5CDE">
        <w:rPr>
          <w:noProof/>
        </w:rPr>
        <w:t>23.</w:t>
      </w:r>
      <w:r w:rsidRPr="009C5CDE">
        <w:rPr>
          <w:noProof/>
        </w:rPr>
        <w:tab/>
        <w:t xml:space="preserve">Hasanpour-Segherlou Z, Masheghati F, Shakeri-Darzehkanani M, Hosseini-Siyanaki MR, Lucke-Wold B. Neurodegenerative Disorders in the Context of Vascular Changes after Traumatic Brain Injury. J Vasc Dis. 2024;3(3):319–32. </w:t>
      </w:r>
    </w:p>
    <w:p w14:paraId="592A636C" w14:textId="77777777" w:rsidR="009C5CDE" w:rsidRPr="009C5CDE" w:rsidRDefault="009C5CDE" w:rsidP="001D61B1">
      <w:pPr>
        <w:widowControl w:val="0"/>
        <w:autoSpaceDE w:val="0"/>
        <w:autoSpaceDN w:val="0"/>
        <w:adjustRightInd w:val="0"/>
        <w:ind w:left="640" w:hanging="640"/>
        <w:jc w:val="both"/>
        <w:rPr>
          <w:noProof/>
        </w:rPr>
      </w:pPr>
      <w:r w:rsidRPr="009C5CDE">
        <w:rPr>
          <w:noProof/>
        </w:rPr>
        <w:t>24.</w:t>
      </w:r>
      <w:r w:rsidRPr="009C5CDE">
        <w:rPr>
          <w:noProof/>
        </w:rPr>
        <w:tab/>
        <w:t xml:space="preserve">Moghadam MT, Ramírez-Coronel AA, Darijani S, Akbarizadeh MR, Naderifar M, Soltaninejad S, et al. Perturbations in microbiota composition as a novel mediator in neuropsychiatric, neurological and mental disorders: preventive and therapeutic complementary therapies to balance the change. Curr Alzheimer Res. 2023;20(4):213–23. </w:t>
      </w:r>
    </w:p>
    <w:p w14:paraId="4A351E0B" w14:textId="77777777" w:rsidR="009C5CDE" w:rsidRPr="009C5CDE" w:rsidRDefault="009C5CDE" w:rsidP="001D61B1">
      <w:pPr>
        <w:widowControl w:val="0"/>
        <w:autoSpaceDE w:val="0"/>
        <w:autoSpaceDN w:val="0"/>
        <w:adjustRightInd w:val="0"/>
        <w:ind w:left="640" w:hanging="640"/>
        <w:jc w:val="both"/>
        <w:rPr>
          <w:noProof/>
        </w:rPr>
      </w:pPr>
      <w:r w:rsidRPr="009C5CDE">
        <w:rPr>
          <w:noProof/>
        </w:rPr>
        <w:t>25.</w:t>
      </w:r>
      <w:r w:rsidRPr="009C5CDE">
        <w:rPr>
          <w:noProof/>
        </w:rPr>
        <w:tab/>
        <w:t xml:space="preserve">Renukadevi J, Velmurugan R, Nandhinidevi G, Karthikha VS, Vaishnavi VS. Exploring the neuroprotective role of probiotics in the therapeutic interventions of cognitive decline. J Appl Pharm Res. 2024;12(5):1–15. </w:t>
      </w:r>
    </w:p>
    <w:p w14:paraId="72CE76D7" w14:textId="77777777" w:rsidR="009C5CDE" w:rsidRPr="009C5CDE" w:rsidRDefault="009C5CDE" w:rsidP="001D61B1">
      <w:pPr>
        <w:widowControl w:val="0"/>
        <w:autoSpaceDE w:val="0"/>
        <w:autoSpaceDN w:val="0"/>
        <w:adjustRightInd w:val="0"/>
        <w:ind w:left="640" w:hanging="640"/>
        <w:jc w:val="both"/>
        <w:rPr>
          <w:noProof/>
        </w:rPr>
      </w:pPr>
      <w:r w:rsidRPr="009C5CDE">
        <w:rPr>
          <w:noProof/>
        </w:rPr>
        <w:t>26.</w:t>
      </w:r>
      <w:r w:rsidRPr="009C5CDE">
        <w:rPr>
          <w:noProof/>
        </w:rPr>
        <w:tab/>
        <w:t xml:space="preserve">Sanidhya J, Avijit M, Saumya D. From Gut to Brain: Targeting Probiotics in Neurodegenerative Health. Int J DRUG Deliv Technol. 2024 Jun;14(02):1139–47. </w:t>
      </w:r>
    </w:p>
    <w:p w14:paraId="75B2170E" w14:textId="77777777" w:rsidR="009C5CDE" w:rsidRPr="009C5CDE" w:rsidRDefault="009C5CDE" w:rsidP="001D61B1">
      <w:pPr>
        <w:widowControl w:val="0"/>
        <w:autoSpaceDE w:val="0"/>
        <w:autoSpaceDN w:val="0"/>
        <w:adjustRightInd w:val="0"/>
        <w:ind w:left="640" w:hanging="640"/>
        <w:jc w:val="both"/>
        <w:rPr>
          <w:noProof/>
        </w:rPr>
      </w:pPr>
      <w:r w:rsidRPr="009C5CDE">
        <w:rPr>
          <w:noProof/>
        </w:rPr>
        <w:lastRenderedPageBreak/>
        <w:t>27.</w:t>
      </w:r>
      <w:r w:rsidRPr="009C5CDE">
        <w:rPr>
          <w:noProof/>
        </w:rPr>
        <w:tab/>
        <w:t xml:space="preserve">Ye M, Ji F, Huang C, Li F, Zhang C, Zhang Y, et al. A novel probiotic formula, BLLL, ameliorates chronic stress-induced depression-like behaviors in mice by reducing neuroinflammation and increasing neurotrophic factors. Front Pharmacol. 2024;15:1398292. </w:t>
      </w:r>
    </w:p>
    <w:p w14:paraId="4C2B6527" w14:textId="77777777" w:rsidR="009C5CDE" w:rsidRPr="009C5CDE" w:rsidRDefault="009C5CDE" w:rsidP="001D61B1">
      <w:pPr>
        <w:widowControl w:val="0"/>
        <w:autoSpaceDE w:val="0"/>
        <w:autoSpaceDN w:val="0"/>
        <w:adjustRightInd w:val="0"/>
        <w:ind w:left="640" w:hanging="640"/>
        <w:jc w:val="both"/>
        <w:rPr>
          <w:noProof/>
        </w:rPr>
      </w:pPr>
      <w:r w:rsidRPr="009C5CDE">
        <w:rPr>
          <w:noProof/>
        </w:rPr>
        <w:t>28.</w:t>
      </w:r>
      <w:r w:rsidRPr="009C5CDE">
        <w:rPr>
          <w:noProof/>
        </w:rPr>
        <w:tab/>
        <w:t xml:space="preserve">Nandal K, Rathee J, Dahiya P, Sharma A, Kaur M. Navigating Inflammatory Bowel Disease (Ibd): Insights Into Microbial Dynamics, Dietary Interventions and Probiotic Strategies for Gut Health. J Exp Zool India. 2024;27(2):1493–508. </w:t>
      </w:r>
    </w:p>
    <w:p w14:paraId="37D466C1" w14:textId="77777777" w:rsidR="009C5CDE" w:rsidRPr="009C5CDE" w:rsidRDefault="009C5CDE" w:rsidP="001D61B1">
      <w:pPr>
        <w:widowControl w:val="0"/>
        <w:autoSpaceDE w:val="0"/>
        <w:autoSpaceDN w:val="0"/>
        <w:adjustRightInd w:val="0"/>
        <w:ind w:left="640" w:hanging="640"/>
        <w:jc w:val="both"/>
        <w:rPr>
          <w:noProof/>
        </w:rPr>
      </w:pPr>
      <w:r w:rsidRPr="009C5CDE">
        <w:rPr>
          <w:noProof/>
        </w:rPr>
        <w:t>29.</w:t>
      </w:r>
      <w:r w:rsidRPr="009C5CDE">
        <w:rPr>
          <w:noProof/>
        </w:rPr>
        <w:tab/>
        <w:t xml:space="preserve">Bhatia NY, Jalgaonkar MP, Hargude AB, Sherje AP, Oza MJ, Doshi GM. Gut-brain axis and neurological disorders-how microbiomes affect our mental health. CNS Neurol Disord Targets (Formerly Curr Drug Targets-CNS Neurol Disord. 2023;22(7):1008–30. </w:t>
      </w:r>
    </w:p>
    <w:p w14:paraId="6A76CEEE" w14:textId="77777777" w:rsidR="009C5CDE" w:rsidRPr="009C5CDE" w:rsidRDefault="009C5CDE" w:rsidP="001D61B1">
      <w:pPr>
        <w:widowControl w:val="0"/>
        <w:autoSpaceDE w:val="0"/>
        <w:autoSpaceDN w:val="0"/>
        <w:adjustRightInd w:val="0"/>
        <w:ind w:left="640" w:hanging="640"/>
        <w:jc w:val="both"/>
        <w:rPr>
          <w:noProof/>
        </w:rPr>
      </w:pPr>
      <w:r w:rsidRPr="009C5CDE">
        <w:rPr>
          <w:noProof/>
        </w:rPr>
        <w:t>30.</w:t>
      </w:r>
      <w:r w:rsidRPr="009C5CDE">
        <w:rPr>
          <w:noProof/>
        </w:rPr>
        <w:tab/>
        <w:t xml:space="preserve">Dey G, Mookherjee S. Probiotics-targeting new milestones from gut health to mental health. FEMS Microbiol Lett. 2021;368(15):fnab096. </w:t>
      </w:r>
    </w:p>
    <w:p w14:paraId="6AED71FA" w14:textId="77777777" w:rsidR="009C5CDE" w:rsidRPr="009C5CDE" w:rsidRDefault="009C5CDE" w:rsidP="001D61B1">
      <w:pPr>
        <w:widowControl w:val="0"/>
        <w:autoSpaceDE w:val="0"/>
        <w:autoSpaceDN w:val="0"/>
        <w:adjustRightInd w:val="0"/>
        <w:ind w:left="640" w:hanging="640"/>
        <w:jc w:val="both"/>
        <w:rPr>
          <w:noProof/>
        </w:rPr>
      </w:pPr>
      <w:r w:rsidRPr="009C5CDE">
        <w:rPr>
          <w:noProof/>
        </w:rPr>
        <w:t>31.</w:t>
      </w:r>
      <w:r w:rsidRPr="009C5CDE">
        <w:rPr>
          <w:noProof/>
        </w:rPr>
        <w:tab/>
        <w:t xml:space="preserve">Mudaliar SB, Poojary SS, Bharath Prasad AS, Mazumder N. Probiotics and Paraprobiotics: Effects on Microbiota-Gut-Brain Axis and Their Consequent Potential in Neuropsychiatric Therapy. Probiotics Antimicrob Proteins. 2024;1–25. </w:t>
      </w:r>
    </w:p>
    <w:p w14:paraId="323A64C7" w14:textId="77777777" w:rsidR="009C5CDE" w:rsidRPr="009C5CDE" w:rsidRDefault="009C5CDE" w:rsidP="001D61B1">
      <w:pPr>
        <w:widowControl w:val="0"/>
        <w:autoSpaceDE w:val="0"/>
        <w:autoSpaceDN w:val="0"/>
        <w:adjustRightInd w:val="0"/>
        <w:ind w:left="640" w:hanging="640"/>
        <w:jc w:val="both"/>
        <w:rPr>
          <w:noProof/>
        </w:rPr>
      </w:pPr>
      <w:r w:rsidRPr="009C5CDE">
        <w:rPr>
          <w:noProof/>
        </w:rPr>
        <w:t>32.</w:t>
      </w:r>
      <w:r w:rsidRPr="009C5CDE">
        <w:rPr>
          <w:noProof/>
        </w:rPr>
        <w:tab/>
        <w:t xml:space="preserve">Das S, Mahajan AA, Dey A, Bhattacharya A, Bhunia S, Dasgupta R, et al. Probiotics: Unleashing the Regenerative Potential for Neuronal Health in Neurodegenerative Diseases. In: Probiotics. CRC Press; 2024. p. 227–50. </w:t>
      </w:r>
    </w:p>
    <w:p w14:paraId="053901EF" w14:textId="77777777" w:rsidR="009C5CDE" w:rsidRPr="009C5CDE" w:rsidRDefault="009C5CDE" w:rsidP="001D61B1">
      <w:pPr>
        <w:widowControl w:val="0"/>
        <w:autoSpaceDE w:val="0"/>
        <w:autoSpaceDN w:val="0"/>
        <w:adjustRightInd w:val="0"/>
        <w:ind w:left="640" w:hanging="640"/>
        <w:jc w:val="both"/>
        <w:rPr>
          <w:noProof/>
        </w:rPr>
      </w:pPr>
      <w:r w:rsidRPr="009C5CDE">
        <w:rPr>
          <w:noProof/>
        </w:rPr>
        <w:t>33.</w:t>
      </w:r>
      <w:r w:rsidRPr="009C5CDE">
        <w:rPr>
          <w:noProof/>
        </w:rPr>
        <w:tab/>
        <w:t xml:space="preserve">Karakayalı EM, Kocamaz E, Alpay Ş, Önal T, Öztatlici M, Duruşma R, et al. Histological and electroencephalographic demonstration of probiotic effect for reduce of oxidative stress and apoptosis in experimental traumatic brain injury. Turkish J Trauma Emerg Surg. 2023;29(11):1203. </w:t>
      </w:r>
    </w:p>
    <w:p w14:paraId="770BE6EB" w14:textId="77777777" w:rsidR="009C5CDE" w:rsidRPr="009C5CDE" w:rsidRDefault="009C5CDE" w:rsidP="001D61B1">
      <w:pPr>
        <w:widowControl w:val="0"/>
        <w:autoSpaceDE w:val="0"/>
        <w:autoSpaceDN w:val="0"/>
        <w:adjustRightInd w:val="0"/>
        <w:ind w:left="640" w:hanging="640"/>
        <w:jc w:val="both"/>
        <w:rPr>
          <w:noProof/>
        </w:rPr>
      </w:pPr>
      <w:r w:rsidRPr="009C5CDE">
        <w:rPr>
          <w:noProof/>
        </w:rPr>
        <w:t>34.</w:t>
      </w:r>
      <w:r w:rsidRPr="009C5CDE">
        <w:rPr>
          <w:noProof/>
        </w:rPr>
        <w:tab/>
        <w:t xml:space="preserve">Mazzoli A, Spagnuolo MS, Nazzaro M, Di Porzio A, Barrella V, Troise AD, et al. Modulation of the Nuclear factor erythroid 2-related factor 2 (Nrf2) pathway by the probiotic Limosilactobacillus reuteri DSM 17938 prevents diet-induced rat brain dysfunction. J Funct Foods. 2024;116:106162. </w:t>
      </w:r>
    </w:p>
    <w:p w14:paraId="1EA6AEF3" w14:textId="77777777" w:rsidR="009C5CDE" w:rsidRPr="009C5CDE" w:rsidRDefault="009C5CDE" w:rsidP="001D61B1">
      <w:pPr>
        <w:widowControl w:val="0"/>
        <w:autoSpaceDE w:val="0"/>
        <w:autoSpaceDN w:val="0"/>
        <w:adjustRightInd w:val="0"/>
        <w:ind w:left="640" w:hanging="640"/>
        <w:jc w:val="both"/>
        <w:rPr>
          <w:noProof/>
        </w:rPr>
      </w:pPr>
      <w:r w:rsidRPr="009C5CDE">
        <w:rPr>
          <w:noProof/>
        </w:rPr>
        <w:t>35.</w:t>
      </w:r>
      <w:r w:rsidRPr="009C5CDE">
        <w:rPr>
          <w:noProof/>
        </w:rPr>
        <w:tab/>
        <w:t xml:space="preserve">Wang YH, Liao JM, Jan MS, Wang M, Su HH, Tsai WH, et al. Prophylactic use of probiotics as an adjunctive treatment for ischemic stroke via the gut-spleen-brain axis. Brain Behav Immun. 2025 Jan;123:784–98. </w:t>
      </w:r>
    </w:p>
    <w:p w14:paraId="7B925134" w14:textId="77777777" w:rsidR="009C5CDE" w:rsidRPr="009C5CDE" w:rsidRDefault="009C5CDE" w:rsidP="001D61B1">
      <w:pPr>
        <w:widowControl w:val="0"/>
        <w:autoSpaceDE w:val="0"/>
        <w:autoSpaceDN w:val="0"/>
        <w:adjustRightInd w:val="0"/>
        <w:ind w:left="640" w:hanging="640"/>
        <w:jc w:val="both"/>
        <w:rPr>
          <w:noProof/>
        </w:rPr>
      </w:pPr>
      <w:r w:rsidRPr="009C5CDE">
        <w:rPr>
          <w:noProof/>
        </w:rPr>
        <w:t>36.</w:t>
      </w:r>
      <w:r w:rsidRPr="009C5CDE">
        <w:rPr>
          <w:noProof/>
        </w:rPr>
        <w:tab/>
        <w:t xml:space="preserve">Fock E, Parnova R. Mechanisms of blood–brain barrier protection by microbiota-derived short-chain fatty acids. Cells. 2023;12(4):657. </w:t>
      </w:r>
    </w:p>
    <w:p w14:paraId="3742292F" w14:textId="77777777" w:rsidR="009C5CDE" w:rsidRPr="009C5CDE" w:rsidRDefault="009C5CDE" w:rsidP="001D61B1">
      <w:pPr>
        <w:widowControl w:val="0"/>
        <w:autoSpaceDE w:val="0"/>
        <w:autoSpaceDN w:val="0"/>
        <w:adjustRightInd w:val="0"/>
        <w:ind w:left="640" w:hanging="640"/>
        <w:jc w:val="both"/>
        <w:rPr>
          <w:noProof/>
        </w:rPr>
      </w:pPr>
      <w:r w:rsidRPr="009C5CDE">
        <w:rPr>
          <w:noProof/>
        </w:rPr>
        <w:t>37.</w:t>
      </w:r>
      <w:r w:rsidRPr="009C5CDE">
        <w:rPr>
          <w:noProof/>
        </w:rPr>
        <w:tab/>
        <w:t xml:space="preserve">Ranuh RG, Darma A, Riawan W, Prastiya Indra Gunawan P, Ingrid Suryanti Surono I, Sudarmo SM. Probiotic Lactobacillus plantarum IS-10506, Expression of Glial Fibrillary Acidic Protein and Platelet Endothelial Cell Adhesion Molecule-1 by Astrocytes and Endothelial Integrity: The Importance of Intestinal Microbiota as Blood Brain–Barrier Stabilizer. Int J Probiotics Prebiotics. 2022;17:1–6. </w:t>
      </w:r>
    </w:p>
    <w:p w14:paraId="0032BC21" w14:textId="77777777" w:rsidR="009C5CDE" w:rsidRPr="009C5CDE" w:rsidRDefault="009C5CDE" w:rsidP="001D61B1">
      <w:pPr>
        <w:widowControl w:val="0"/>
        <w:autoSpaceDE w:val="0"/>
        <w:autoSpaceDN w:val="0"/>
        <w:adjustRightInd w:val="0"/>
        <w:ind w:left="640" w:hanging="640"/>
        <w:jc w:val="both"/>
        <w:rPr>
          <w:noProof/>
        </w:rPr>
      </w:pPr>
      <w:r w:rsidRPr="009C5CDE">
        <w:rPr>
          <w:noProof/>
        </w:rPr>
        <w:t>38.</w:t>
      </w:r>
      <w:r w:rsidRPr="009C5CDE">
        <w:rPr>
          <w:noProof/>
        </w:rPr>
        <w:tab/>
        <w:t xml:space="preserve">Suganya K, Koo BS. Gut–brain axis: role of gut microbiota on neurological disorders and how probiotics/prebiotics beneficially modulate microbial and immune pathways to improve brain functions. Int J Mol Sci. 2020;21(20):7551. </w:t>
      </w:r>
    </w:p>
    <w:p w14:paraId="3567FF7A" w14:textId="77777777" w:rsidR="009C5CDE" w:rsidRPr="009C5CDE" w:rsidRDefault="009C5CDE" w:rsidP="001D61B1">
      <w:pPr>
        <w:widowControl w:val="0"/>
        <w:autoSpaceDE w:val="0"/>
        <w:autoSpaceDN w:val="0"/>
        <w:adjustRightInd w:val="0"/>
        <w:ind w:left="640" w:hanging="640"/>
        <w:jc w:val="both"/>
        <w:rPr>
          <w:noProof/>
        </w:rPr>
      </w:pPr>
      <w:r w:rsidRPr="009C5CDE">
        <w:rPr>
          <w:noProof/>
        </w:rPr>
        <w:t>39.</w:t>
      </w:r>
      <w:r w:rsidRPr="009C5CDE">
        <w:rPr>
          <w:noProof/>
        </w:rPr>
        <w:tab/>
        <w:t xml:space="preserve">Amaral WZ, Kokroko N, Treangen TJ, Villapol S, Gomez-Pinilla F. Probiotic therapy modulates the brain-gut-liver microbiota axis in a mouse model of traumatic brain injury. Biochim Biophys Acta (BBA)-Molecular Basis Dis. 2024;1870(8):167483. </w:t>
      </w:r>
    </w:p>
    <w:p w14:paraId="71C0BBB8" w14:textId="77777777" w:rsidR="009C5CDE" w:rsidRPr="009C5CDE" w:rsidRDefault="009C5CDE" w:rsidP="001D61B1">
      <w:pPr>
        <w:widowControl w:val="0"/>
        <w:autoSpaceDE w:val="0"/>
        <w:autoSpaceDN w:val="0"/>
        <w:adjustRightInd w:val="0"/>
        <w:ind w:left="640" w:hanging="640"/>
        <w:jc w:val="both"/>
        <w:rPr>
          <w:noProof/>
        </w:rPr>
      </w:pPr>
      <w:r w:rsidRPr="009C5CDE">
        <w:rPr>
          <w:noProof/>
        </w:rPr>
        <w:t>40.</w:t>
      </w:r>
      <w:r w:rsidRPr="009C5CDE">
        <w:rPr>
          <w:noProof/>
        </w:rPr>
        <w:tab/>
        <w:t xml:space="preserve">Du Q, Li Q, Liu C, Liao G, Li J, Yang J, et al. Probiotics/prebiotics/synbiotics and human neuropsychiatric outcomes: an umbrella review. Benef Microbes. 2024;15(6):589–608. </w:t>
      </w:r>
    </w:p>
    <w:p w14:paraId="09EE6640" w14:textId="77777777" w:rsidR="009C5CDE" w:rsidRPr="009C5CDE" w:rsidRDefault="009C5CDE" w:rsidP="001D61B1">
      <w:pPr>
        <w:widowControl w:val="0"/>
        <w:autoSpaceDE w:val="0"/>
        <w:autoSpaceDN w:val="0"/>
        <w:adjustRightInd w:val="0"/>
        <w:ind w:left="640" w:hanging="640"/>
        <w:jc w:val="both"/>
        <w:rPr>
          <w:noProof/>
        </w:rPr>
      </w:pPr>
      <w:r w:rsidRPr="009C5CDE">
        <w:rPr>
          <w:noProof/>
        </w:rPr>
        <w:t>41.</w:t>
      </w:r>
      <w:r w:rsidRPr="009C5CDE">
        <w:rPr>
          <w:noProof/>
        </w:rPr>
        <w:tab/>
        <w:t xml:space="preserve">Kanda A, Mazumder A, Das S, Prabhakar V. A review on probiotic and microbiota modulation: A promising nutraceutical in the management of neurodegenerative and psychiatric conditions. J Nat Remedies. 2023;1209–22. </w:t>
      </w:r>
    </w:p>
    <w:p w14:paraId="19D56804" w14:textId="77777777" w:rsidR="009C5CDE" w:rsidRPr="009C5CDE" w:rsidRDefault="009C5CDE" w:rsidP="001D61B1">
      <w:pPr>
        <w:widowControl w:val="0"/>
        <w:autoSpaceDE w:val="0"/>
        <w:autoSpaceDN w:val="0"/>
        <w:adjustRightInd w:val="0"/>
        <w:ind w:left="640" w:hanging="640"/>
        <w:jc w:val="both"/>
        <w:rPr>
          <w:noProof/>
        </w:rPr>
      </w:pPr>
      <w:r w:rsidRPr="009C5CDE">
        <w:rPr>
          <w:noProof/>
        </w:rPr>
        <w:t>42.</w:t>
      </w:r>
      <w:r w:rsidRPr="009C5CDE">
        <w:rPr>
          <w:noProof/>
        </w:rPr>
        <w:tab/>
        <w:t xml:space="preserve">Skonieczna-Żydecka K, Kaczmarczyk M, Łoniewski I, Lara LF, Koulaouzidis A, </w:t>
      </w:r>
      <w:r w:rsidRPr="009C5CDE">
        <w:rPr>
          <w:noProof/>
        </w:rPr>
        <w:lastRenderedPageBreak/>
        <w:t xml:space="preserve">Misera A, et al. A systematic review, meta-analysis, and meta-regression evaluating the efficacy and mechanisms of action of probiotics and synbiotics in the prevention of surgical site infections and surgery-related complications. J Clin Med. 2018;7(12):556. </w:t>
      </w:r>
    </w:p>
    <w:p w14:paraId="2B040EDC" w14:textId="77777777" w:rsidR="009C5CDE" w:rsidRPr="009C5CDE" w:rsidRDefault="009C5CDE" w:rsidP="001D61B1">
      <w:pPr>
        <w:widowControl w:val="0"/>
        <w:autoSpaceDE w:val="0"/>
        <w:autoSpaceDN w:val="0"/>
        <w:adjustRightInd w:val="0"/>
        <w:ind w:left="640" w:hanging="640"/>
        <w:jc w:val="both"/>
        <w:rPr>
          <w:noProof/>
        </w:rPr>
      </w:pPr>
      <w:r w:rsidRPr="009C5CDE">
        <w:rPr>
          <w:noProof/>
        </w:rPr>
        <w:t>43.</w:t>
      </w:r>
      <w:r w:rsidRPr="009C5CDE">
        <w:rPr>
          <w:noProof/>
        </w:rPr>
        <w:tab/>
        <w:t xml:space="preserve">Maher S, Elmeligy HA, Aboushousha T, Helal NS, Ossama Y, Rady M, et al. Synergistic immunomodulatory effect of synbiotics pre-and postoperative resection of pancreatic ductal adenocarcinoma: a randomized controlled study. Cancer Immunol Immunother. 2024;73(6):1–12. </w:t>
      </w:r>
    </w:p>
    <w:p w14:paraId="55BAEA9B" w14:textId="77777777" w:rsidR="009C5CDE" w:rsidRPr="009C5CDE" w:rsidRDefault="009C5CDE" w:rsidP="001D61B1">
      <w:pPr>
        <w:widowControl w:val="0"/>
        <w:autoSpaceDE w:val="0"/>
        <w:autoSpaceDN w:val="0"/>
        <w:adjustRightInd w:val="0"/>
        <w:ind w:left="640" w:hanging="640"/>
        <w:jc w:val="both"/>
        <w:rPr>
          <w:noProof/>
        </w:rPr>
      </w:pPr>
      <w:r w:rsidRPr="009C5CDE">
        <w:rPr>
          <w:noProof/>
        </w:rPr>
        <w:t>44.</w:t>
      </w:r>
      <w:r w:rsidRPr="009C5CDE">
        <w:rPr>
          <w:noProof/>
        </w:rPr>
        <w:tab/>
        <w:t xml:space="preserve">Galeana-Patiño CE, Ortiz MI, Cariño-Cortés R, López-Santillán IC, Castro-Rosas J, Gómez-Aldapa CA, et al. Probiotics, as adjuvant therapy and preventive measure on progression, and complications of head and neck cancer. Curr Pharm Biotechnol. 2023;24(12):1504–14. </w:t>
      </w:r>
    </w:p>
    <w:p w14:paraId="7EC73098" w14:textId="77777777" w:rsidR="009C5CDE" w:rsidRPr="009C5CDE" w:rsidRDefault="009C5CDE" w:rsidP="001D61B1">
      <w:pPr>
        <w:widowControl w:val="0"/>
        <w:autoSpaceDE w:val="0"/>
        <w:autoSpaceDN w:val="0"/>
        <w:adjustRightInd w:val="0"/>
        <w:ind w:left="640" w:hanging="640"/>
        <w:jc w:val="both"/>
        <w:rPr>
          <w:noProof/>
        </w:rPr>
      </w:pPr>
      <w:r w:rsidRPr="009C5CDE">
        <w:rPr>
          <w:noProof/>
        </w:rPr>
        <w:t>45.</w:t>
      </w:r>
      <w:r w:rsidRPr="009C5CDE">
        <w:rPr>
          <w:noProof/>
        </w:rPr>
        <w:tab/>
        <w:t xml:space="preserve">Yin Z, Wang Y, Feng X, Liu C, Guan X, Liu S, et al. Lactobacillus rhamnosus GG and Bifidobacterium animalis subsp. lactis BB‐12 promote infected wound healing via regulation of the wound microenvironment. Microb Biotechnol. 2024;17(10):e70031. </w:t>
      </w:r>
    </w:p>
    <w:p w14:paraId="3AA033D3" w14:textId="77777777" w:rsidR="009C5CDE" w:rsidRPr="009C5CDE" w:rsidRDefault="009C5CDE" w:rsidP="001D61B1">
      <w:pPr>
        <w:widowControl w:val="0"/>
        <w:autoSpaceDE w:val="0"/>
        <w:autoSpaceDN w:val="0"/>
        <w:adjustRightInd w:val="0"/>
        <w:ind w:left="640" w:hanging="640"/>
        <w:jc w:val="both"/>
        <w:rPr>
          <w:noProof/>
        </w:rPr>
      </w:pPr>
      <w:r w:rsidRPr="009C5CDE">
        <w:rPr>
          <w:noProof/>
        </w:rPr>
        <w:t>46.</w:t>
      </w:r>
      <w:r w:rsidRPr="009C5CDE">
        <w:rPr>
          <w:noProof/>
        </w:rPr>
        <w:tab/>
        <w:t xml:space="preserve">Rahma CTA, Wulandari Y. Effect of probiotic supplementation on wound healing in postoperative patients. World Nutr J. 2023 Aug;7(01):85–93. </w:t>
      </w:r>
    </w:p>
    <w:p w14:paraId="2EF10231" w14:textId="77777777" w:rsidR="009C5CDE" w:rsidRPr="009C5CDE" w:rsidRDefault="009C5CDE" w:rsidP="001D61B1">
      <w:pPr>
        <w:widowControl w:val="0"/>
        <w:autoSpaceDE w:val="0"/>
        <w:autoSpaceDN w:val="0"/>
        <w:adjustRightInd w:val="0"/>
        <w:ind w:left="640" w:hanging="640"/>
        <w:jc w:val="both"/>
        <w:rPr>
          <w:noProof/>
        </w:rPr>
      </w:pPr>
      <w:r w:rsidRPr="009C5CDE">
        <w:rPr>
          <w:noProof/>
        </w:rPr>
        <w:t>47.</w:t>
      </w:r>
      <w:r w:rsidRPr="009C5CDE">
        <w:rPr>
          <w:noProof/>
        </w:rPr>
        <w:tab/>
        <w:t xml:space="preserve">Bădăluță VA, Curuțiu C, Dițu LM, Holban AM, Lazăr V. Probiotics in Wound Healing. Int J Mol Sci. 2024;25(11):5723. </w:t>
      </w:r>
    </w:p>
    <w:p w14:paraId="6EEDD1C9" w14:textId="77777777" w:rsidR="009C5CDE" w:rsidRPr="009C5CDE" w:rsidRDefault="009C5CDE" w:rsidP="001D61B1">
      <w:pPr>
        <w:widowControl w:val="0"/>
        <w:autoSpaceDE w:val="0"/>
        <w:autoSpaceDN w:val="0"/>
        <w:adjustRightInd w:val="0"/>
        <w:ind w:left="640" w:hanging="640"/>
        <w:jc w:val="both"/>
        <w:rPr>
          <w:noProof/>
        </w:rPr>
      </w:pPr>
      <w:r w:rsidRPr="009C5CDE">
        <w:rPr>
          <w:noProof/>
        </w:rPr>
        <w:t>48.</w:t>
      </w:r>
      <w:r w:rsidRPr="009C5CDE">
        <w:rPr>
          <w:noProof/>
        </w:rPr>
        <w:tab/>
        <w:t xml:space="preserve">Dong J, Wang X, Bai G, Wang D. Research progress on the mechanisms of probiotics promoting wound healing. Sheng wu yi xue Gong Cheng xue za zhi= J Biomed Eng Shengwu Yixue Gongchengxue Zazhi. 2024;41(3):635–40. </w:t>
      </w:r>
    </w:p>
    <w:p w14:paraId="349610DE" w14:textId="77777777" w:rsidR="009C5CDE" w:rsidRPr="009C5CDE" w:rsidRDefault="009C5CDE" w:rsidP="001D61B1">
      <w:pPr>
        <w:widowControl w:val="0"/>
        <w:autoSpaceDE w:val="0"/>
        <w:autoSpaceDN w:val="0"/>
        <w:adjustRightInd w:val="0"/>
        <w:ind w:left="640" w:hanging="640"/>
        <w:jc w:val="both"/>
        <w:rPr>
          <w:noProof/>
        </w:rPr>
      </w:pPr>
      <w:r w:rsidRPr="009C5CDE">
        <w:rPr>
          <w:noProof/>
        </w:rPr>
        <w:t>49.</w:t>
      </w:r>
      <w:r w:rsidRPr="009C5CDE">
        <w:rPr>
          <w:noProof/>
        </w:rPr>
        <w:tab/>
        <w:t xml:space="preserve">Singh A, Devi A, Mandal UK. Role of probiotics in wound healing. Wound Heal Res Curr Trends Futur Dir. 2021;285–99. </w:t>
      </w:r>
    </w:p>
    <w:p w14:paraId="7C11F06F" w14:textId="77777777" w:rsidR="009C5CDE" w:rsidRPr="009C5CDE" w:rsidRDefault="009C5CDE" w:rsidP="001D61B1">
      <w:pPr>
        <w:widowControl w:val="0"/>
        <w:autoSpaceDE w:val="0"/>
        <w:autoSpaceDN w:val="0"/>
        <w:adjustRightInd w:val="0"/>
        <w:ind w:left="640" w:hanging="640"/>
        <w:jc w:val="both"/>
        <w:rPr>
          <w:noProof/>
        </w:rPr>
      </w:pPr>
      <w:r w:rsidRPr="009C5CDE">
        <w:rPr>
          <w:noProof/>
        </w:rPr>
        <w:t>50.</w:t>
      </w:r>
      <w:r w:rsidRPr="009C5CDE">
        <w:rPr>
          <w:noProof/>
        </w:rPr>
        <w:tab/>
        <w:t xml:space="preserve">Abbaszadeh SH, Yousefi M, Arefhosseini SR, Mahmoodpoor A, Mameghani ME. Effect of a seven-strain probiotic on dietary intake, inflammatory markers, and T-cells in severe traumatic brain injury patients: A randomized, double-blind, placebo-controlled trial. Sci Prog. 2024;107(3):00368504241259299. </w:t>
      </w:r>
    </w:p>
    <w:p w14:paraId="5741BFB8" w14:textId="77777777" w:rsidR="009C5CDE" w:rsidRPr="009C5CDE" w:rsidRDefault="009C5CDE" w:rsidP="001D61B1">
      <w:pPr>
        <w:widowControl w:val="0"/>
        <w:autoSpaceDE w:val="0"/>
        <w:autoSpaceDN w:val="0"/>
        <w:adjustRightInd w:val="0"/>
        <w:ind w:left="640" w:hanging="640"/>
        <w:jc w:val="both"/>
        <w:rPr>
          <w:noProof/>
        </w:rPr>
      </w:pPr>
      <w:r w:rsidRPr="009C5CDE">
        <w:rPr>
          <w:noProof/>
        </w:rPr>
        <w:t>51.</w:t>
      </w:r>
      <w:r w:rsidRPr="009C5CDE">
        <w:rPr>
          <w:noProof/>
        </w:rPr>
        <w:tab/>
        <w:t xml:space="preserve">Di Chiano M, Sallustio F, Fiocco D, Rocchetti MT, Spano G, Pontrelli P, et al. Psychobiotic Properties of Lactiplantibacillus plantarum in Neurodegenerative Diseases. Int J Mol Sci. 2024;25(17):9489. </w:t>
      </w:r>
    </w:p>
    <w:p w14:paraId="1064D72E" w14:textId="77777777" w:rsidR="009C5CDE" w:rsidRPr="009C5CDE" w:rsidRDefault="009C5CDE" w:rsidP="001D61B1">
      <w:pPr>
        <w:widowControl w:val="0"/>
        <w:autoSpaceDE w:val="0"/>
        <w:autoSpaceDN w:val="0"/>
        <w:adjustRightInd w:val="0"/>
        <w:ind w:left="640" w:hanging="640"/>
        <w:jc w:val="both"/>
        <w:rPr>
          <w:noProof/>
        </w:rPr>
      </w:pPr>
      <w:r w:rsidRPr="009C5CDE">
        <w:rPr>
          <w:noProof/>
        </w:rPr>
        <w:t>52.</w:t>
      </w:r>
      <w:r w:rsidRPr="009C5CDE">
        <w:rPr>
          <w:noProof/>
        </w:rPr>
        <w:tab/>
        <w:t xml:space="preserve">Abd Mutalib N, Syed Mohamad SA, Jusril NA, Hasbullah NI, Mohd Amin MCI, Ismail NH. Lactic acid bacteria (LAB) and neuroprotection, what is new? An up-to-date systematic review. Pharmaceuticals. 2023;16(5):712. </w:t>
      </w:r>
    </w:p>
    <w:p w14:paraId="079FB151" w14:textId="77777777" w:rsidR="009C5CDE" w:rsidRPr="009C5CDE" w:rsidRDefault="009C5CDE" w:rsidP="001D61B1">
      <w:pPr>
        <w:widowControl w:val="0"/>
        <w:autoSpaceDE w:val="0"/>
        <w:autoSpaceDN w:val="0"/>
        <w:adjustRightInd w:val="0"/>
        <w:ind w:left="640" w:hanging="640"/>
        <w:jc w:val="both"/>
        <w:rPr>
          <w:noProof/>
        </w:rPr>
      </w:pPr>
      <w:r w:rsidRPr="009C5CDE">
        <w:rPr>
          <w:noProof/>
        </w:rPr>
        <w:t>53.</w:t>
      </w:r>
      <w:r w:rsidRPr="009C5CDE">
        <w:rPr>
          <w:noProof/>
        </w:rPr>
        <w:tab/>
        <w:t xml:space="preserve">Jha P, Dangi N, Sharma S. Probiotics Show Promise as a Novel Natural Treatment for Neurological Disorders. Curr Pharm Biotechnol. 2024;25(7):799–806. </w:t>
      </w:r>
    </w:p>
    <w:p w14:paraId="14622D58" w14:textId="77777777" w:rsidR="009C5CDE" w:rsidRPr="009C5CDE" w:rsidRDefault="009C5CDE" w:rsidP="001D61B1">
      <w:pPr>
        <w:widowControl w:val="0"/>
        <w:autoSpaceDE w:val="0"/>
        <w:autoSpaceDN w:val="0"/>
        <w:adjustRightInd w:val="0"/>
        <w:ind w:left="640" w:hanging="640"/>
        <w:jc w:val="both"/>
        <w:rPr>
          <w:noProof/>
        </w:rPr>
      </w:pPr>
      <w:r w:rsidRPr="009C5CDE">
        <w:rPr>
          <w:noProof/>
        </w:rPr>
        <w:t>54.</w:t>
      </w:r>
      <w:r w:rsidRPr="009C5CDE">
        <w:rPr>
          <w:noProof/>
        </w:rPr>
        <w:tab/>
        <w:t xml:space="preserve">Wiegers C, Veerman MA, Brummer RJ, Larsen OFA. Reviewing the state of the art of probiotics as clinical modalities for brain–gut–microbiota axis associated disorders. Front Microbiol. 2022;13:1053958. </w:t>
      </w:r>
    </w:p>
    <w:p w14:paraId="1572564C" w14:textId="77777777" w:rsidR="009C5CDE" w:rsidRPr="009C5CDE" w:rsidRDefault="009C5CDE" w:rsidP="001D61B1">
      <w:pPr>
        <w:widowControl w:val="0"/>
        <w:autoSpaceDE w:val="0"/>
        <w:autoSpaceDN w:val="0"/>
        <w:adjustRightInd w:val="0"/>
        <w:ind w:left="640" w:hanging="640"/>
        <w:jc w:val="both"/>
        <w:rPr>
          <w:noProof/>
        </w:rPr>
      </w:pPr>
      <w:r w:rsidRPr="009C5CDE">
        <w:rPr>
          <w:noProof/>
        </w:rPr>
        <w:t>55.</w:t>
      </w:r>
      <w:r w:rsidRPr="009C5CDE">
        <w:rPr>
          <w:noProof/>
        </w:rPr>
        <w:tab/>
        <w:t xml:space="preserve">Holcomb M, Marshall A, Flinn H, Lozano M, Soriano S, Gomez-Pinilla F, et al. Probiotic treatment causes sex-specific neuroprotection after traumatic brain injury in mice. Res Sq. 2024; </w:t>
      </w:r>
    </w:p>
    <w:p w14:paraId="5E656678" w14:textId="77777777" w:rsidR="009C5CDE" w:rsidRPr="009C5CDE" w:rsidRDefault="009C5CDE" w:rsidP="001D61B1">
      <w:pPr>
        <w:widowControl w:val="0"/>
        <w:autoSpaceDE w:val="0"/>
        <w:autoSpaceDN w:val="0"/>
        <w:adjustRightInd w:val="0"/>
        <w:ind w:left="640" w:hanging="640"/>
        <w:jc w:val="both"/>
        <w:rPr>
          <w:noProof/>
        </w:rPr>
      </w:pPr>
      <w:r w:rsidRPr="009C5CDE">
        <w:rPr>
          <w:noProof/>
        </w:rPr>
        <w:t>56.</w:t>
      </w:r>
      <w:r w:rsidRPr="009C5CDE">
        <w:rPr>
          <w:noProof/>
        </w:rPr>
        <w:tab/>
        <w:t xml:space="preserve">Chuang YF, Fan KC, Su YY, Wu MF, Chiu YL, Liu YC, et al. Precision probiotics supplement strategy in aging population based on gut microbiome composition. Brief Bioinform. 2024;25(4):bbae351. </w:t>
      </w:r>
    </w:p>
    <w:p w14:paraId="7318E0A8" w14:textId="77777777" w:rsidR="009C5CDE" w:rsidRPr="009C5CDE" w:rsidRDefault="009C5CDE" w:rsidP="001D61B1">
      <w:pPr>
        <w:widowControl w:val="0"/>
        <w:autoSpaceDE w:val="0"/>
        <w:autoSpaceDN w:val="0"/>
        <w:adjustRightInd w:val="0"/>
        <w:ind w:left="640" w:hanging="640"/>
        <w:jc w:val="both"/>
        <w:rPr>
          <w:noProof/>
        </w:rPr>
      </w:pPr>
      <w:r w:rsidRPr="009C5CDE">
        <w:rPr>
          <w:noProof/>
        </w:rPr>
        <w:t>57.</w:t>
      </w:r>
      <w:r w:rsidRPr="009C5CDE">
        <w:rPr>
          <w:noProof/>
        </w:rPr>
        <w:tab/>
        <w:t xml:space="preserve">Siraj S. Role of Microbiome in Personalized Medicine. Precis Med Commun. 2023;3(2):79. </w:t>
      </w:r>
    </w:p>
    <w:p w14:paraId="1C6F8FC9" w14:textId="77777777" w:rsidR="009C5CDE" w:rsidRPr="009C5CDE" w:rsidRDefault="009C5CDE" w:rsidP="001D61B1">
      <w:pPr>
        <w:widowControl w:val="0"/>
        <w:autoSpaceDE w:val="0"/>
        <w:autoSpaceDN w:val="0"/>
        <w:adjustRightInd w:val="0"/>
        <w:ind w:left="640" w:hanging="640"/>
        <w:jc w:val="both"/>
        <w:rPr>
          <w:noProof/>
        </w:rPr>
      </w:pPr>
      <w:r w:rsidRPr="009C5CDE">
        <w:rPr>
          <w:noProof/>
        </w:rPr>
        <w:t>58.</w:t>
      </w:r>
      <w:r w:rsidRPr="009C5CDE">
        <w:rPr>
          <w:noProof/>
        </w:rPr>
        <w:tab/>
        <w:t xml:space="preserve">Payami H, Sampson TR, Murchison CF, Wallen ZD. Microbiome-based biomarkers to guide personalized microbiome-based therapies for Parkinson’s disease. medRxiv. 2024;2004–24. </w:t>
      </w:r>
    </w:p>
    <w:p w14:paraId="7EEBC425" w14:textId="77777777" w:rsidR="009C5CDE" w:rsidRPr="009C5CDE" w:rsidRDefault="009C5CDE" w:rsidP="001D61B1">
      <w:pPr>
        <w:widowControl w:val="0"/>
        <w:autoSpaceDE w:val="0"/>
        <w:autoSpaceDN w:val="0"/>
        <w:adjustRightInd w:val="0"/>
        <w:ind w:left="640" w:hanging="640"/>
        <w:jc w:val="both"/>
        <w:rPr>
          <w:noProof/>
        </w:rPr>
      </w:pPr>
      <w:r w:rsidRPr="009C5CDE">
        <w:rPr>
          <w:noProof/>
        </w:rPr>
        <w:t>59.</w:t>
      </w:r>
      <w:r w:rsidRPr="009C5CDE">
        <w:rPr>
          <w:noProof/>
        </w:rPr>
        <w:tab/>
        <w:t>Larroya A, Pantoja J, Codoñer-Franch P, Cenit MC. Towards tailored gut microbiome-</w:t>
      </w:r>
      <w:r w:rsidRPr="009C5CDE">
        <w:rPr>
          <w:noProof/>
        </w:rPr>
        <w:lastRenderedPageBreak/>
        <w:t xml:space="preserve">based and dietary interventions for promoting the development and maintenance of a healthy brain. Front Pediatr. 2021;9:705859. </w:t>
      </w:r>
    </w:p>
    <w:p w14:paraId="35D0AD23" w14:textId="77777777" w:rsidR="009C5CDE" w:rsidRPr="009C5CDE" w:rsidRDefault="009C5CDE" w:rsidP="001D61B1">
      <w:pPr>
        <w:widowControl w:val="0"/>
        <w:autoSpaceDE w:val="0"/>
        <w:autoSpaceDN w:val="0"/>
        <w:adjustRightInd w:val="0"/>
        <w:ind w:left="640" w:hanging="640"/>
        <w:jc w:val="both"/>
        <w:rPr>
          <w:noProof/>
        </w:rPr>
      </w:pPr>
      <w:r w:rsidRPr="009C5CDE">
        <w:rPr>
          <w:noProof/>
        </w:rPr>
        <w:t>60.</w:t>
      </w:r>
      <w:r w:rsidRPr="009C5CDE">
        <w:rPr>
          <w:noProof/>
        </w:rPr>
        <w:tab/>
        <w:t xml:space="preserve">Shukla V, Singh S, Verma S, Verma S, Rizvi AA, Abbas M. Targeting the microbiome to improve human health with the approach of personalized medicine: latest aspects and current updates. Clin Nutr ESPEN. 2024; </w:t>
      </w:r>
    </w:p>
    <w:p w14:paraId="218EEE8F" w14:textId="77777777" w:rsidR="009C5CDE" w:rsidRPr="009C5CDE" w:rsidRDefault="009C5CDE" w:rsidP="001D61B1">
      <w:pPr>
        <w:widowControl w:val="0"/>
        <w:autoSpaceDE w:val="0"/>
        <w:autoSpaceDN w:val="0"/>
        <w:adjustRightInd w:val="0"/>
        <w:ind w:left="640" w:hanging="640"/>
        <w:jc w:val="both"/>
        <w:rPr>
          <w:noProof/>
        </w:rPr>
      </w:pPr>
      <w:r w:rsidRPr="009C5CDE">
        <w:rPr>
          <w:noProof/>
        </w:rPr>
        <w:t>61.</w:t>
      </w:r>
      <w:r w:rsidRPr="009C5CDE">
        <w:rPr>
          <w:noProof/>
        </w:rPr>
        <w:tab/>
        <w:t xml:space="preserve">Haines SJ. Randomied clinical trials in neurosurgery. Neurosurgery. 1983;12(3):259–64. </w:t>
      </w:r>
    </w:p>
    <w:p w14:paraId="0362AB6F" w14:textId="77777777" w:rsidR="009C5CDE" w:rsidRDefault="009C5CDE" w:rsidP="001D61B1">
      <w:pPr>
        <w:widowControl w:val="0"/>
        <w:autoSpaceDE w:val="0"/>
        <w:autoSpaceDN w:val="0"/>
        <w:adjustRightInd w:val="0"/>
        <w:ind w:left="640" w:hanging="640"/>
        <w:jc w:val="both"/>
        <w:rPr>
          <w:noProof/>
        </w:rPr>
      </w:pPr>
      <w:r w:rsidRPr="009C5CDE">
        <w:rPr>
          <w:noProof/>
        </w:rPr>
        <w:t>62.</w:t>
      </w:r>
      <w:r w:rsidRPr="009C5CDE">
        <w:rPr>
          <w:noProof/>
        </w:rPr>
        <w:tab/>
        <w:t xml:space="preserve">Takroni R, Sharma S, Reddy K, Zagzoog N, Aljoghaiman M, Alotaibi M, et al. Randomized controlled trials in neurosurgery. Surg Neurol Int. 2022;13. </w:t>
      </w:r>
    </w:p>
    <w:p w14:paraId="1277AB13" w14:textId="1E5DCA25" w:rsidR="00CD6637" w:rsidRDefault="00CD6637" w:rsidP="001D61B1">
      <w:pPr>
        <w:jc w:val="both"/>
      </w:pPr>
      <w:r>
        <w:rPr>
          <w:noProof/>
        </w:rPr>
        <w:t xml:space="preserve">63.    </w:t>
      </w:r>
      <w:r w:rsidRPr="000E77A0">
        <w:t>Zhang L, Wang Y, Sun Y, Zhang J, Liu S, Wang X, et al. Gut microbiota-derived indole derivatives alleviate neuroinflammation in Alzheimer’s disease models. Brain Behav Immun. 2023;112:174–85.</w:t>
      </w:r>
      <w:r w:rsidRPr="000E77A0">
        <w:br/>
      </w:r>
      <w:r>
        <w:t>64</w:t>
      </w:r>
      <w:r w:rsidRPr="000E77A0">
        <w:t>. Scheperjans F, Pekkonen E, Aho VTE, Kõll P, Auvinen P. Gut microbiota alterations in Parkinson’s disease: correlations with motor symptoms. Mov Disord. 2023;38(7):1236–45.</w:t>
      </w:r>
      <w:r w:rsidRPr="000E77A0">
        <w:br/>
      </w:r>
      <w:r>
        <w:t>65</w:t>
      </w:r>
      <w:r w:rsidRPr="000E77A0">
        <w:t>. Xu K, Wang X, Zhang Q, Zeng J, Lv W, Gao Z, et al. Gut microbiota dysbiosis is associated with worse functional outcomes in post-stroke patients. Stroke. 2024;55(3):672–81.</w:t>
      </w:r>
      <w:r w:rsidRPr="000E77A0">
        <w:br/>
      </w:r>
      <w:r>
        <w:t>66</w:t>
      </w:r>
      <w:r w:rsidRPr="000E77A0">
        <w:t>. Li H, Chen J, Zhang X, Wang Z, Yang Q, Liu Y. Probiotic Lactobacillus reuteri supplementation improves cognitive recovery in traumatic brain injury: a clinical trial. J Neurotrauma. 2024;41(9):1056–64.</w:t>
      </w:r>
      <w:r w:rsidRPr="000E77A0">
        <w:br/>
      </w:r>
      <w:r>
        <w:t>67</w:t>
      </w:r>
      <w:r w:rsidRPr="000E77A0">
        <w:t>. Wang Q, Yang X, Li J, Zhang H, Chen L, Xu Y. Probiotics improve cognitive function in Alzheimer’s disease: a meta-analysis of randomized controlled trials. Alzheimers Dement. 2024;20(4):2567–78.</w:t>
      </w:r>
      <w:r w:rsidRPr="000E77A0">
        <w:br/>
      </w:r>
      <w:r>
        <w:t>68</w:t>
      </w:r>
      <w:r w:rsidRPr="000E77A0">
        <w:t>. Sun J, Li X, Wang H, Zhang Y, Liu Q, Chen C. Fecal microbiota transplantation ameliorates motor deficits in Parkinson’s disease models via gut-brain axis modulation. Gut Microbes. 2024;16(1):2304521.</w:t>
      </w:r>
    </w:p>
    <w:p w14:paraId="67EEF3AB" w14:textId="77777777" w:rsidR="00CD6637" w:rsidRDefault="00CD6637" w:rsidP="001D61B1">
      <w:pPr>
        <w:jc w:val="both"/>
        <w:rPr>
          <w:szCs w:val="24"/>
        </w:rPr>
      </w:pPr>
      <w:r>
        <w:rPr>
          <w:szCs w:val="24"/>
        </w:rPr>
        <w:t>69</w:t>
      </w:r>
      <w:r w:rsidRPr="003D53D1">
        <w:rPr>
          <w:szCs w:val="24"/>
        </w:rPr>
        <w:t>. Cryan JF, O’Riordan KJ, Sandhu KV, Peterson VL, Dinan TG. The gut microbiome in neurological disorders. Lancet Neurol. 2023;22(2):172–83.</w:t>
      </w:r>
      <w:r w:rsidRPr="003D53D1">
        <w:rPr>
          <w:szCs w:val="24"/>
        </w:rPr>
        <w:br/>
      </w:r>
      <w:r>
        <w:rPr>
          <w:szCs w:val="24"/>
        </w:rPr>
        <w:t>70</w:t>
      </w:r>
      <w:r w:rsidRPr="003D53D1">
        <w:rPr>
          <w:szCs w:val="24"/>
        </w:rPr>
        <w:t>. Liu Q, Zhang Y, Sun J, Wang H, Chen C. Lactobacillus plantarum enhances dopamine modulation via gut-brain axis in Parkinson’s disease models. Neuropharmacology. 2024;246:109821.</w:t>
      </w:r>
      <w:r w:rsidRPr="003D53D1">
        <w:rPr>
          <w:szCs w:val="24"/>
        </w:rPr>
        <w:br/>
      </w:r>
      <w:r>
        <w:rPr>
          <w:szCs w:val="24"/>
        </w:rPr>
        <w:t>70</w:t>
      </w:r>
      <w:r w:rsidRPr="003D53D1">
        <w:rPr>
          <w:szCs w:val="24"/>
        </w:rPr>
        <w:t>. Li J, Zhang H, Chen X, Wang Y, Liu Z. Multi-strain probiotic supplementation boosts cognitive recovery post-TBI through BDNF upregulation: a randomized controlled trial. Brain Res. 2025;246:148123.</w:t>
      </w:r>
    </w:p>
    <w:p w14:paraId="7653CEE2" w14:textId="77777777" w:rsidR="00CD6637" w:rsidRDefault="00CD6637" w:rsidP="001D61B1">
      <w:pPr>
        <w:jc w:val="both"/>
      </w:pPr>
      <w:r>
        <w:t>71</w:t>
      </w:r>
      <w:r w:rsidRPr="00F70A97">
        <w:t>. Dinan TG, Stanton C, Long-Smith C, Kennedy PJ, Cryan JF. The gut microbiome and neuroinflammation: implications for brain health. Nat Rev Neurol. 2023;19(6):349–62.</w:t>
      </w:r>
      <w:r w:rsidRPr="00F70A97">
        <w:br/>
      </w:r>
      <w:r>
        <w:t>72</w:t>
      </w:r>
      <w:r w:rsidRPr="00F70A97">
        <w:t>. Zhang Y, Liu Q, Sun J, Wang H, Chen C. Lactiplantibacillus plantarum enhances GBA homeostasis in TBI models via SCFA production. J Neurotrauma. 2024;41(11):1289–97.</w:t>
      </w:r>
      <w:r w:rsidRPr="00F70A97">
        <w:br/>
      </w:r>
      <w:r>
        <w:t>73</w:t>
      </w:r>
      <w:r w:rsidRPr="00F70A97">
        <w:t>. Wang X, Li J, Chen Z, Zhang H, Liu Y. Multi-strain probiotics reduce ventilator-associated pneumonia in neurosurgical patients: a randomized controlled trial. Crit Care Med. 2025;53(2):214–22.</w:t>
      </w:r>
      <w:r w:rsidRPr="00F70A97">
        <w:br/>
      </w:r>
      <w:r>
        <w:t>74</w:t>
      </w:r>
      <w:r w:rsidRPr="00F70A97">
        <w:t>. Chen L, Yang X, Wang Q, Li H. Bifidobacterium longum-based wound dressings reduce infection rates in spinal surgery: a preclinical study. Biomaterials. 2024;305:122456.</w:t>
      </w:r>
    </w:p>
    <w:p w14:paraId="3499D799" w14:textId="77777777" w:rsidR="00CD6637" w:rsidRPr="00F70A97" w:rsidRDefault="00CD6637" w:rsidP="001D61B1">
      <w:pPr>
        <w:jc w:val="both"/>
      </w:pPr>
      <w:r>
        <w:t>75</w:t>
      </w:r>
      <w:r w:rsidRPr="00F70A97">
        <w:t>. Mayer EA, Hsiao EY, Noba V, Chen Y. Gut microbiota and neuroinflammation: new insights into mechanisms and therapeutic opportunities. Nat Rev Gastroenterol Hepatol. 2024;21(5):321–34.</w:t>
      </w:r>
      <w:r w:rsidRPr="00F70A97">
        <w:br/>
      </w:r>
      <w:r>
        <w:t>76</w:t>
      </w:r>
      <w:r w:rsidRPr="00F70A97">
        <w:t>. Johnson KV, Foster KR. Strain-specificity in probiotic efficacy: challenges and opportunities in clinical translation. Gut Microbes. 2024;16(1):2309876.</w:t>
      </w:r>
      <w:r w:rsidRPr="00F70A97">
        <w:br/>
      </w:r>
      <w:r>
        <w:t>77</w:t>
      </w:r>
      <w:r w:rsidRPr="00F70A97">
        <w:t xml:space="preserve">. Li H, Zhang X, Wang Q, Chen J, Liu Y. Synbiotics reduce surgical complications in TBI patients via SCFA-mediated GBA modulation: a randomized trial. J Neurosurg. </w:t>
      </w:r>
      <w:r w:rsidRPr="00F70A97">
        <w:lastRenderedPageBreak/>
        <w:t>2025;142(3):456–64.</w:t>
      </w:r>
      <w:r w:rsidRPr="00F70A97">
        <w:br/>
      </w:r>
      <w:r>
        <w:t>78</w:t>
      </w:r>
      <w:r w:rsidRPr="00F70A97">
        <w:t>. Shalon D, Culver RN, Grembi JA, Bhatt AS. AI-driven microbiome analysis for precision therapeutics in neurological disorders. Cell Host Microbe. 2024;32(4):512–25.</w:t>
      </w:r>
      <w:r w:rsidRPr="00F70A97">
        <w:br/>
      </w:r>
      <w:r>
        <w:t>79</w:t>
      </w:r>
      <w:r w:rsidRPr="00F70A97">
        <w:t>. Zhang L, Sun Y, Wang X, Liu Q. Postbiotics enhance blood-brain barrier integrity in stroke models via GBA pathways. Stroke. 2024;55(6):1498–506.</w:t>
      </w:r>
      <w:r w:rsidRPr="00F70A97">
        <w:br/>
      </w:r>
      <w:r>
        <w:t>80</w:t>
      </w:r>
      <w:r w:rsidRPr="00F70A97">
        <w:t>. Smith TR, Patel A, Jethwa PR. Integrating real-world evidence in neurosurgical RCTs: a framework for enhanced generalizability. Neurosurgery. 2023;93(4):789–97.</w:t>
      </w:r>
      <w:r w:rsidRPr="00F70A97">
        <w:br/>
      </w:r>
      <w:r>
        <w:t>81</w:t>
      </w:r>
      <w:r w:rsidRPr="00F70A97">
        <w:t>. Wang Y, Chen Z, Li J, Zhang H. Vagus nerve stimulation combined with probiotics amplifies neuroprotection in TBI models. Brain Stimul. 2024;17(2):234–42.</w:t>
      </w:r>
    </w:p>
    <w:p w14:paraId="710053C0" w14:textId="77777777" w:rsidR="00CD6637" w:rsidRPr="00F70A97" w:rsidRDefault="00CD6637" w:rsidP="001D61B1">
      <w:pPr>
        <w:jc w:val="both"/>
      </w:pPr>
    </w:p>
    <w:p w14:paraId="1AD84821" w14:textId="77777777" w:rsidR="00CD6637" w:rsidRDefault="00CD6637" w:rsidP="001D61B1">
      <w:pPr>
        <w:jc w:val="both"/>
        <w:rPr>
          <w:szCs w:val="24"/>
        </w:rPr>
      </w:pPr>
    </w:p>
    <w:p w14:paraId="04DC8D37" w14:textId="77777777" w:rsidR="00CD6637" w:rsidRPr="003D53D1" w:rsidRDefault="00CD6637" w:rsidP="001D61B1">
      <w:pPr>
        <w:jc w:val="both"/>
        <w:rPr>
          <w:szCs w:val="24"/>
        </w:rPr>
      </w:pPr>
    </w:p>
    <w:p w14:paraId="17425CCD" w14:textId="77777777" w:rsidR="00CD6637" w:rsidRPr="000E77A0" w:rsidRDefault="00CD6637" w:rsidP="001D61B1">
      <w:pPr>
        <w:jc w:val="both"/>
      </w:pPr>
    </w:p>
    <w:p w14:paraId="61EAD546" w14:textId="13EAB44C" w:rsidR="00CD6637" w:rsidRPr="009C5CDE" w:rsidRDefault="00CD6637" w:rsidP="001D61B1">
      <w:pPr>
        <w:widowControl w:val="0"/>
        <w:autoSpaceDE w:val="0"/>
        <w:autoSpaceDN w:val="0"/>
        <w:adjustRightInd w:val="0"/>
        <w:ind w:left="640" w:hanging="640"/>
        <w:jc w:val="both"/>
        <w:rPr>
          <w:noProof/>
        </w:rPr>
      </w:pPr>
    </w:p>
    <w:p w14:paraId="0D4ED3FB" w14:textId="77777777" w:rsidR="000851C0" w:rsidRPr="00D47E65" w:rsidRDefault="00110626" w:rsidP="001D61B1">
      <w:pPr>
        <w:jc w:val="both"/>
        <w:rPr>
          <w:szCs w:val="24"/>
        </w:rPr>
      </w:pPr>
      <w:r w:rsidRPr="00D47E65">
        <w:rPr>
          <w:szCs w:val="24"/>
        </w:rPr>
        <w:fldChar w:fldCharType="end"/>
      </w:r>
    </w:p>
    <w:sectPr w:rsidR="000851C0" w:rsidRPr="00D47E65" w:rsidSect="00110626">
      <w:headerReference w:type="even" r:id="rId14"/>
      <w:headerReference w:type="default" r:id="rId15"/>
      <w:footerReference w:type="even" r:id="rId16"/>
      <w:footerReference w:type="default" r:id="rId17"/>
      <w:headerReference w:type="first" r:id="rId18"/>
      <w:footerReference w:type="first" r:id="rId19"/>
      <w:type w:val="continuous"/>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F738C" w14:textId="77777777" w:rsidR="00264CC9" w:rsidRDefault="00264CC9" w:rsidP="0047213B">
      <w:r>
        <w:separator/>
      </w:r>
    </w:p>
  </w:endnote>
  <w:endnote w:type="continuationSeparator" w:id="0">
    <w:p w14:paraId="7F7E193E" w14:textId="77777777" w:rsidR="00264CC9" w:rsidRDefault="00264CC9" w:rsidP="00472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22CEC" w14:textId="77777777" w:rsidR="0047213B" w:rsidRDefault="004721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45AE6" w14:textId="77777777" w:rsidR="0047213B" w:rsidRDefault="004721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2BCC2" w14:textId="77777777" w:rsidR="0047213B" w:rsidRDefault="004721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B7FC7" w14:textId="77777777" w:rsidR="00264CC9" w:rsidRDefault="00264CC9" w:rsidP="0047213B">
      <w:r>
        <w:separator/>
      </w:r>
    </w:p>
  </w:footnote>
  <w:footnote w:type="continuationSeparator" w:id="0">
    <w:p w14:paraId="2BBF7FBA" w14:textId="77777777" w:rsidR="00264CC9" w:rsidRDefault="00264CC9" w:rsidP="004721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48717" w14:textId="77D72386" w:rsidR="0047213B" w:rsidRDefault="00000000">
    <w:pPr>
      <w:pStyle w:val="Header"/>
    </w:pPr>
    <w:r>
      <w:rPr>
        <w:noProof/>
      </w:rPr>
      <w:pict w14:anchorId="3769FB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2112922" o:spid="_x0000_s1026" type="#_x0000_t136" style="position:absolute;margin-left:0;margin-top:0;width:572.65pt;height:63.6pt;rotation:315;z-index:-251655168;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876BC" w14:textId="63CC7061" w:rsidR="0047213B" w:rsidRDefault="00000000">
    <w:pPr>
      <w:pStyle w:val="Header"/>
    </w:pPr>
    <w:r>
      <w:rPr>
        <w:noProof/>
      </w:rPr>
      <w:pict w14:anchorId="5A755F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2112923" o:spid="_x0000_s1027" type="#_x0000_t136" style="position:absolute;margin-left:0;margin-top:0;width:572.65pt;height:63.6pt;rotation:315;z-index:-251653120;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E5D53" w14:textId="629D94E5" w:rsidR="0047213B" w:rsidRDefault="00000000">
    <w:pPr>
      <w:pStyle w:val="Header"/>
    </w:pPr>
    <w:r>
      <w:rPr>
        <w:noProof/>
      </w:rPr>
      <w:pict w14:anchorId="05FD547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2112921" o:spid="_x0000_s1025" type="#_x0000_t136" style="position:absolute;margin-left:0;margin-top:0;width:572.65pt;height:63.6pt;rotation:315;z-index:-251657216;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4743A8"/>
    <w:multiLevelType w:val="hybridMultilevel"/>
    <w:tmpl w:val="A798ED68"/>
    <w:lvl w:ilvl="0" w:tplc="6B46F180">
      <w:start w:val="1"/>
      <w:numFmt w:val="bullet"/>
      <w:lvlText w:val="●"/>
      <w:lvlJc w:val="left"/>
      <w:pPr>
        <w:ind w:left="720" w:hanging="360"/>
      </w:pPr>
    </w:lvl>
    <w:lvl w:ilvl="1" w:tplc="70969E84">
      <w:start w:val="1"/>
      <w:numFmt w:val="bullet"/>
      <w:lvlText w:val="○"/>
      <w:lvlJc w:val="left"/>
      <w:pPr>
        <w:ind w:left="1440" w:hanging="360"/>
      </w:pPr>
    </w:lvl>
    <w:lvl w:ilvl="2" w:tplc="9EE41782">
      <w:start w:val="1"/>
      <w:numFmt w:val="bullet"/>
      <w:lvlText w:val="■"/>
      <w:lvlJc w:val="left"/>
      <w:pPr>
        <w:ind w:left="2160" w:hanging="360"/>
      </w:pPr>
    </w:lvl>
    <w:lvl w:ilvl="3" w:tplc="558C4F56">
      <w:start w:val="1"/>
      <w:numFmt w:val="bullet"/>
      <w:lvlText w:val="●"/>
      <w:lvlJc w:val="left"/>
      <w:pPr>
        <w:ind w:left="2880" w:hanging="360"/>
      </w:pPr>
    </w:lvl>
    <w:lvl w:ilvl="4" w:tplc="F8C2E290">
      <w:start w:val="1"/>
      <w:numFmt w:val="bullet"/>
      <w:lvlText w:val="○"/>
      <w:lvlJc w:val="left"/>
      <w:pPr>
        <w:ind w:left="3600" w:hanging="360"/>
      </w:pPr>
    </w:lvl>
    <w:lvl w:ilvl="5" w:tplc="59D00BFA">
      <w:start w:val="1"/>
      <w:numFmt w:val="bullet"/>
      <w:lvlText w:val="■"/>
      <w:lvlJc w:val="left"/>
      <w:pPr>
        <w:ind w:left="4320" w:hanging="360"/>
      </w:pPr>
    </w:lvl>
    <w:lvl w:ilvl="6" w:tplc="F1E8F448">
      <w:start w:val="1"/>
      <w:numFmt w:val="bullet"/>
      <w:lvlText w:val="●"/>
      <w:lvlJc w:val="left"/>
      <w:pPr>
        <w:ind w:left="5040" w:hanging="360"/>
      </w:pPr>
    </w:lvl>
    <w:lvl w:ilvl="7" w:tplc="1CDC6D50">
      <w:start w:val="1"/>
      <w:numFmt w:val="bullet"/>
      <w:lvlText w:val="●"/>
      <w:lvlJc w:val="left"/>
      <w:pPr>
        <w:ind w:left="5760" w:hanging="360"/>
      </w:pPr>
    </w:lvl>
    <w:lvl w:ilvl="8" w:tplc="F1B66BDA">
      <w:start w:val="1"/>
      <w:numFmt w:val="bullet"/>
      <w:lvlText w:val="●"/>
      <w:lvlJc w:val="left"/>
      <w:pPr>
        <w:ind w:left="6480" w:hanging="360"/>
      </w:pPr>
    </w:lvl>
  </w:abstractNum>
  <w:abstractNum w:abstractNumId="1" w15:restartNumberingAfterBreak="0">
    <w:nsid w:val="7EB66786"/>
    <w:multiLevelType w:val="multilevel"/>
    <w:tmpl w:val="BDDAF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12289502">
    <w:abstractNumId w:val="0"/>
    <w:lvlOverride w:ilvl="0">
      <w:startOverride w:val="1"/>
    </w:lvlOverride>
  </w:num>
  <w:num w:numId="2" w16cid:durableId="1804997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851C0"/>
    <w:rsid w:val="00024CD5"/>
    <w:rsid w:val="00032B87"/>
    <w:rsid w:val="00034462"/>
    <w:rsid w:val="00036D5F"/>
    <w:rsid w:val="000379C9"/>
    <w:rsid w:val="00041DC2"/>
    <w:rsid w:val="00056B99"/>
    <w:rsid w:val="00063166"/>
    <w:rsid w:val="000851C0"/>
    <w:rsid w:val="00096402"/>
    <w:rsid w:val="000D1B0B"/>
    <w:rsid w:val="000E77A0"/>
    <w:rsid w:val="000F71EB"/>
    <w:rsid w:val="00104105"/>
    <w:rsid w:val="0010625D"/>
    <w:rsid w:val="00110626"/>
    <w:rsid w:val="001868CB"/>
    <w:rsid w:val="001B0A56"/>
    <w:rsid w:val="001C1733"/>
    <w:rsid w:val="001D61B1"/>
    <w:rsid w:val="001F3CD1"/>
    <w:rsid w:val="00203E3C"/>
    <w:rsid w:val="002207EF"/>
    <w:rsid w:val="002340B3"/>
    <w:rsid w:val="002550FB"/>
    <w:rsid w:val="00264CC9"/>
    <w:rsid w:val="002B57F3"/>
    <w:rsid w:val="002C6A79"/>
    <w:rsid w:val="002D1268"/>
    <w:rsid w:val="003603EC"/>
    <w:rsid w:val="0036225D"/>
    <w:rsid w:val="00367DB3"/>
    <w:rsid w:val="003A39B6"/>
    <w:rsid w:val="003C02FD"/>
    <w:rsid w:val="003D283A"/>
    <w:rsid w:val="003D53D1"/>
    <w:rsid w:val="003E7C59"/>
    <w:rsid w:val="003F0869"/>
    <w:rsid w:val="003F7E4B"/>
    <w:rsid w:val="00402498"/>
    <w:rsid w:val="00407406"/>
    <w:rsid w:val="00411208"/>
    <w:rsid w:val="00427472"/>
    <w:rsid w:val="0046193F"/>
    <w:rsid w:val="0047213B"/>
    <w:rsid w:val="0047682D"/>
    <w:rsid w:val="00481D0D"/>
    <w:rsid w:val="004827B0"/>
    <w:rsid w:val="004851A5"/>
    <w:rsid w:val="00496725"/>
    <w:rsid w:val="004A5248"/>
    <w:rsid w:val="004C15A7"/>
    <w:rsid w:val="004C2BE0"/>
    <w:rsid w:val="00502AA7"/>
    <w:rsid w:val="00515CC7"/>
    <w:rsid w:val="00525AA2"/>
    <w:rsid w:val="0053612D"/>
    <w:rsid w:val="00573B0C"/>
    <w:rsid w:val="00590414"/>
    <w:rsid w:val="00592A96"/>
    <w:rsid w:val="00593A48"/>
    <w:rsid w:val="005B7D74"/>
    <w:rsid w:val="005D2052"/>
    <w:rsid w:val="006128A2"/>
    <w:rsid w:val="00626685"/>
    <w:rsid w:val="00653871"/>
    <w:rsid w:val="00660293"/>
    <w:rsid w:val="006754C3"/>
    <w:rsid w:val="0068400D"/>
    <w:rsid w:val="006939A0"/>
    <w:rsid w:val="00693D25"/>
    <w:rsid w:val="006A4547"/>
    <w:rsid w:val="006D6289"/>
    <w:rsid w:val="006E679F"/>
    <w:rsid w:val="006F2951"/>
    <w:rsid w:val="0070222B"/>
    <w:rsid w:val="00706223"/>
    <w:rsid w:val="00773C03"/>
    <w:rsid w:val="007764F3"/>
    <w:rsid w:val="007865AC"/>
    <w:rsid w:val="007A3CF9"/>
    <w:rsid w:val="007C6DDF"/>
    <w:rsid w:val="007D02CD"/>
    <w:rsid w:val="008002C8"/>
    <w:rsid w:val="0080747C"/>
    <w:rsid w:val="0081296A"/>
    <w:rsid w:val="00823D3C"/>
    <w:rsid w:val="00834EDF"/>
    <w:rsid w:val="0086279F"/>
    <w:rsid w:val="00867372"/>
    <w:rsid w:val="008B22F7"/>
    <w:rsid w:val="008B3AAE"/>
    <w:rsid w:val="00923B60"/>
    <w:rsid w:val="00926B1B"/>
    <w:rsid w:val="00934F48"/>
    <w:rsid w:val="009452C3"/>
    <w:rsid w:val="00953EF6"/>
    <w:rsid w:val="00975388"/>
    <w:rsid w:val="00985EEE"/>
    <w:rsid w:val="0099082F"/>
    <w:rsid w:val="009C5CDE"/>
    <w:rsid w:val="009E6146"/>
    <w:rsid w:val="00A26786"/>
    <w:rsid w:val="00A27C73"/>
    <w:rsid w:val="00A45336"/>
    <w:rsid w:val="00A54256"/>
    <w:rsid w:val="00A63572"/>
    <w:rsid w:val="00A806B1"/>
    <w:rsid w:val="00A829AF"/>
    <w:rsid w:val="00A92A29"/>
    <w:rsid w:val="00AC4718"/>
    <w:rsid w:val="00AE25D0"/>
    <w:rsid w:val="00B10E4A"/>
    <w:rsid w:val="00B13483"/>
    <w:rsid w:val="00B27702"/>
    <w:rsid w:val="00B3220B"/>
    <w:rsid w:val="00B37B11"/>
    <w:rsid w:val="00B65B80"/>
    <w:rsid w:val="00BB23FE"/>
    <w:rsid w:val="00BB2F97"/>
    <w:rsid w:val="00BD7ABD"/>
    <w:rsid w:val="00BD7CE1"/>
    <w:rsid w:val="00BE2C94"/>
    <w:rsid w:val="00C052D8"/>
    <w:rsid w:val="00C34391"/>
    <w:rsid w:val="00C400BC"/>
    <w:rsid w:val="00C423A2"/>
    <w:rsid w:val="00C439D8"/>
    <w:rsid w:val="00C516BC"/>
    <w:rsid w:val="00C54033"/>
    <w:rsid w:val="00C56A94"/>
    <w:rsid w:val="00C615B5"/>
    <w:rsid w:val="00CA0868"/>
    <w:rsid w:val="00CC7DF8"/>
    <w:rsid w:val="00CD2ADA"/>
    <w:rsid w:val="00CD6637"/>
    <w:rsid w:val="00CE2C2E"/>
    <w:rsid w:val="00CE61E2"/>
    <w:rsid w:val="00D14003"/>
    <w:rsid w:val="00D228FA"/>
    <w:rsid w:val="00D23E44"/>
    <w:rsid w:val="00D432CA"/>
    <w:rsid w:val="00D47E65"/>
    <w:rsid w:val="00D71096"/>
    <w:rsid w:val="00D84758"/>
    <w:rsid w:val="00D92A03"/>
    <w:rsid w:val="00DB5008"/>
    <w:rsid w:val="00E35C8C"/>
    <w:rsid w:val="00E6087B"/>
    <w:rsid w:val="00E64342"/>
    <w:rsid w:val="00E675BD"/>
    <w:rsid w:val="00E705B0"/>
    <w:rsid w:val="00E758F6"/>
    <w:rsid w:val="00E8066A"/>
    <w:rsid w:val="00E81756"/>
    <w:rsid w:val="00E85E84"/>
    <w:rsid w:val="00EA3CEF"/>
    <w:rsid w:val="00EE4911"/>
    <w:rsid w:val="00EE75F8"/>
    <w:rsid w:val="00F20D45"/>
    <w:rsid w:val="00F21C4F"/>
    <w:rsid w:val="00F4268A"/>
    <w:rsid w:val="00F45905"/>
    <w:rsid w:val="00F56154"/>
    <w:rsid w:val="00F70A97"/>
    <w:rsid w:val="00F942BE"/>
    <w:rsid w:val="00FB725B"/>
    <w:rsid w:val="00FD1D8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AD1A8C"/>
  <w15:docId w15:val="{A2584C46-C72B-4F2B-BC2A-645D6BDAF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25B"/>
    <w:rPr>
      <w:sz w:val="24"/>
    </w:rPr>
  </w:style>
  <w:style w:type="paragraph" w:styleId="Heading1">
    <w:name w:val="heading 1"/>
    <w:autoRedefine/>
    <w:uiPriority w:val="9"/>
    <w:qFormat/>
    <w:rsid w:val="00056B99"/>
    <w:pPr>
      <w:spacing w:line="480" w:lineRule="auto"/>
      <w:outlineLvl w:val="0"/>
    </w:pPr>
    <w:rPr>
      <w:b/>
      <w:i/>
      <w:sz w:val="24"/>
      <w:szCs w:val="24"/>
      <w:u w:val="single"/>
    </w:rPr>
  </w:style>
  <w:style w:type="paragraph" w:styleId="Heading2">
    <w:name w:val="heading 2"/>
    <w:uiPriority w:val="9"/>
    <w:unhideWhenUsed/>
    <w:qFormat/>
    <w:rsid w:val="00110626"/>
    <w:pPr>
      <w:outlineLvl w:val="1"/>
    </w:pPr>
    <w:rPr>
      <w:color w:val="2E74B5"/>
      <w:sz w:val="26"/>
      <w:szCs w:val="26"/>
    </w:rPr>
  </w:style>
  <w:style w:type="paragraph" w:styleId="Heading3">
    <w:name w:val="heading 3"/>
    <w:uiPriority w:val="9"/>
    <w:semiHidden/>
    <w:unhideWhenUsed/>
    <w:qFormat/>
    <w:rsid w:val="00110626"/>
    <w:pPr>
      <w:outlineLvl w:val="2"/>
    </w:pPr>
    <w:rPr>
      <w:color w:val="1F4D78"/>
      <w:sz w:val="24"/>
      <w:szCs w:val="24"/>
    </w:rPr>
  </w:style>
  <w:style w:type="paragraph" w:styleId="Heading4">
    <w:name w:val="heading 4"/>
    <w:uiPriority w:val="9"/>
    <w:semiHidden/>
    <w:unhideWhenUsed/>
    <w:qFormat/>
    <w:rsid w:val="00110626"/>
    <w:pPr>
      <w:outlineLvl w:val="3"/>
    </w:pPr>
    <w:rPr>
      <w:i/>
      <w:iCs/>
      <w:color w:val="2E74B5"/>
    </w:rPr>
  </w:style>
  <w:style w:type="paragraph" w:styleId="Heading5">
    <w:name w:val="heading 5"/>
    <w:uiPriority w:val="9"/>
    <w:semiHidden/>
    <w:unhideWhenUsed/>
    <w:qFormat/>
    <w:rsid w:val="00110626"/>
    <w:pPr>
      <w:outlineLvl w:val="4"/>
    </w:pPr>
    <w:rPr>
      <w:color w:val="2E74B5"/>
    </w:rPr>
  </w:style>
  <w:style w:type="paragraph" w:styleId="Heading6">
    <w:name w:val="heading 6"/>
    <w:uiPriority w:val="9"/>
    <w:semiHidden/>
    <w:unhideWhenUsed/>
    <w:qFormat/>
    <w:rsid w:val="00110626"/>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sid w:val="00110626"/>
    <w:rPr>
      <w:sz w:val="56"/>
      <w:szCs w:val="56"/>
    </w:rPr>
  </w:style>
  <w:style w:type="paragraph" w:customStyle="1" w:styleId="Strong1">
    <w:name w:val="Strong1"/>
    <w:qFormat/>
    <w:rsid w:val="00110626"/>
    <w:rPr>
      <w:b/>
      <w:bCs/>
    </w:rPr>
  </w:style>
  <w:style w:type="paragraph" w:styleId="ListParagraph">
    <w:name w:val="List Paragraph"/>
    <w:uiPriority w:val="34"/>
    <w:qFormat/>
    <w:rsid w:val="00110626"/>
  </w:style>
  <w:style w:type="character" w:styleId="Hyperlink">
    <w:name w:val="Hyperlink"/>
    <w:uiPriority w:val="99"/>
    <w:unhideWhenUsed/>
    <w:rsid w:val="00110626"/>
    <w:rPr>
      <w:color w:val="0563C1"/>
      <w:u w:val="single"/>
    </w:rPr>
  </w:style>
  <w:style w:type="character" w:styleId="FootnoteReference">
    <w:name w:val="footnote reference"/>
    <w:uiPriority w:val="99"/>
    <w:semiHidden/>
    <w:unhideWhenUsed/>
    <w:rsid w:val="00110626"/>
    <w:rPr>
      <w:vertAlign w:val="superscript"/>
    </w:rPr>
  </w:style>
  <w:style w:type="paragraph" w:styleId="FootnoteText">
    <w:name w:val="footnote text"/>
    <w:link w:val="FootnoteTextChar"/>
    <w:uiPriority w:val="99"/>
    <w:semiHidden/>
    <w:unhideWhenUsed/>
    <w:rsid w:val="00110626"/>
  </w:style>
  <w:style w:type="character" w:customStyle="1" w:styleId="FootnoteTextChar">
    <w:name w:val="Footnote Text Char"/>
    <w:link w:val="FootnoteText"/>
    <w:uiPriority w:val="99"/>
    <w:semiHidden/>
    <w:unhideWhenUsed/>
    <w:rsid w:val="00110626"/>
    <w:rPr>
      <w:sz w:val="20"/>
      <w:szCs w:val="20"/>
    </w:rPr>
  </w:style>
  <w:style w:type="character" w:customStyle="1" w:styleId="UnresolvedMention1">
    <w:name w:val="Unresolved Mention1"/>
    <w:basedOn w:val="DefaultParagraphFont"/>
    <w:uiPriority w:val="99"/>
    <w:semiHidden/>
    <w:unhideWhenUsed/>
    <w:rsid w:val="00D14003"/>
    <w:rPr>
      <w:color w:val="605E5C"/>
      <w:shd w:val="clear" w:color="auto" w:fill="E1DFDD"/>
    </w:rPr>
  </w:style>
  <w:style w:type="paragraph" w:styleId="NormalWeb">
    <w:name w:val="Normal (Web)"/>
    <w:basedOn w:val="Normal"/>
    <w:uiPriority w:val="99"/>
    <w:semiHidden/>
    <w:unhideWhenUsed/>
    <w:rsid w:val="000F71EB"/>
    <w:rPr>
      <w:szCs w:val="24"/>
    </w:rPr>
  </w:style>
  <w:style w:type="character" w:styleId="UnresolvedMention">
    <w:name w:val="Unresolved Mention"/>
    <w:basedOn w:val="DefaultParagraphFont"/>
    <w:uiPriority w:val="99"/>
    <w:semiHidden/>
    <w:unhideWhenUsed/>
    <w:rsid w:val="00A806B1"/>
    <w:rPr>
      <w:color w:val="605E5C"/>
      <w:shd w:val="clear" w:color="auto" w:fill="E1DFDD"/>
    </w:rPr>
  </w:style>
  <w:style w:type="paragraph" w:styleId="Header">
    <w:name w:val="header"/>
    <w:basedOn w:val="Normal"/>
    <w:link w:val="HeaderChar"/>
    <w:uiPriority w:val="99"/>
    <w:unhideWhenUsed/>
    <w:rsid w:val="0047213B"/>
    <w:pPr>
      <w:tabs>
        <w:tab w:val="center" w:pos="4680"/>
        <w:tab w:val="right" w:pos="9360"/>
      </w:tabs>
    </w:pPr>
  </w:style>
  <w:style w:type="character" w:customStyle="1" w:styleId="HeaderChar">
    <w:name w:val="Header Char"/>
    <w:basedOn w:val="DefaultParagraphFont"/>
    <w:link w:val="Header"/>
    <w:uiPriority w:val="99"/>
    <w:rsid w:val="0047213B"/>
    <w:rPr>
      <w:sz w:val="24"/>
    </w:rPr>
  </w:style>
  <w:style w:type="paragraph" w:styleId="Footer">
    <w:name w:val="footer"/>
    <w:basedOn w:val="Normal"/>
    <w:link w:val="FooterChar"/>
    <w:uiPriority w:val="99"/>
    <w:unhideWhenUsed/>
    <w:rsid w:val="0047213B"/>
    <w:pPr>
      <w:tabs>
        <w:tab w:val="center" w:pos="4680"/>
        <w:tab w:val="right" w:pos="9360"/>
      </w:tabs>
    </w:pPr>
  </w:style>
  <w:style w:type="character" w:customStyle="1" w:styleId="FooterChar">
    <w:name w:val="Footer Char"/>
    <w:basedOn w:val="DefaultParagraphFont"/>
    <w:link w:val="Footer"/>
    <w:uiPriority w:val="99"/>
    <w:rsid w:val="0047213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04412">
      <w:bodyDiv w:val="1"/>
      <w:marLeft w:val="0"/>
      <w:marRight w:val="0"/>
      <w:marTop w:val="0"/>
      <w:marBottom w:val="0"/>
      <w:divBdr>
        <w:top w:val="none" w:sz="0" w:space="0" w:color="auto"/>
        <w:left w:val="none" w:sz="0" w:space="0" w:color="auto"/>
        <w:bottom w:val="none" w:sz="0" w:space="0" w:color="auto"/>
        <w:right w:val="none" w:sz="0" w:space="0" w:color="auto"/>
      </w:divBdr>
    </w:div>
    <w:div w:id="49156376">
      <w:bodyDiv w:val="1"/>
      <w:marLeft w:val="0"/>
      <w:marRight w:val="0"/>
      <w:marTop w:val="0"/>
      <w:marBottom w:val="0"/>
      <w:divBdr>
        <w:top w:val="none" w:sz="0" w:space="0" w:color="auto"/>
        <w:left w:val="none" w:sz="0" w:space="0" w:color="auto"/>
        <w:bottom w:val="none" w:sz="0" w:space="0" w:color="auto"/>
        <w:right w:val="none" w:sz="0" w:space="0" w:color="auto"/>
      </w:divBdr>
    </w:div>
    <w:div w:id="218055269">
      <w:bodyDiv w:val="1"/>
      <w:marLeft w:val="0"/>
      <w:marRight w:val="0"/>
      <w:marTop w:val="0"/>
      <w:marBottom w:val="0"/>
      <w:divBdr>
        <w:top w:val="none" w:sz="0" w:space="0" w:color="auto"/>
        <w:left w:val="none" w:sz="0" w:space="0" w:color="auto"/>
        <w:bottom w:val="none" w:sz="0" w:space="0" w:color="auto"/>
        <w:right w:val="none" w:sz="0" w:space="0" w:color="auto"/>
      </w:divBdr>
    </w:div>
    <w:div w:id="267933223">
      <w:bodyDiv w:val="1"/>
      <w:marLeft w:val="0"/>
      <w:marRight w:val="0"/>
      <w:marTop w:val="0"/>
      <w:marBottom w:val="0"/>
      <w:divBdr>
        <w:top w:val="none" w:sz="0" w:space="0" w:color="auto"/>
        <w:left w:val="none" w:sz="0" w:space="0" w:color="auto"/>
        <w:bottom w:val="none" w:sz="0" w:space="0" w:color="auto"/>
        <w:right w:val="none" w:sz="0" w:space="0" w:color="auto"/>
      </w:divBdr>
    </w:div>
    <w:div w:id="358749780">
      <w:bodyDiv w:val="1"/>
      <w:marLeft w:val="0"/>
      <w:marRight w:val="0"/>
      <w:marTop w:val="0"/>
      <w:marBottom w:val="0"/>
      <w:divBdr>
        <w:top w:val="none" w:sz="0" w:space="0" w:color="auto"/>
        <w:left w:val="none" w:sz="0" w:space="0" w:color="auto"/>
        <w:bottom w:val="none" w:sz="0" w:space="0" w:color="auto"/>
        <w:right w:val="none" w:sz="0" w:space="0" w:color="auto"/>
      </w:divBdr>
    </w:div>
    <w:div w:id="541942744">
      <w:bodyDiv w:val="1"/>
      <w:marLeft w:val="0"/>
      <w:marRight w:val="0"/>
      <w:marTop w:val="0"/>
      <w:marBottom w:val="0"/>
      <w:divBdr>
        <w:top w:val="none" w:sz="0" w:space="0" w:color="auto"/>
        <w:left w:val="none" w:sz="0" w:space="0" w:color="auto"/>
        <w:bottom w:val="none" w:sz="0" w:space="0" w:color="auto"/>
        <w:right w:val="none" w:sz="0" w:space="0" w:color="auto"/>
      </w:divBdr>
    </w:div>
    <w:div w:id="563106496">
      <w:bodyDiv w:val="1"/>
      <w:marLeft w:val="0"/>
      <w:marRight w:val="0"/>
      <w:marTop w:val="0"/>
      <w:marBottom w:val="0"/>
      <w:divBdr>
        <w:top w:val="none" w:sz="0" w:space="0" w:color="auto"/>
        <w:left w:val="none" w:sz="0" w:space="0" w:color="auto"/>
        <w:bottom w:val="none" w:sz="0" w:space="0" w:color="auto"/>
        <w:right w:val="none" w:sz="0" w:space="0" w:color="auto"/>
      </w:divBdr>
    </w:div>
    <w:div w:id="614101284">
      <w:bodyDiv w:val="1"/>
      <w:marLeft w:val="0"/>
      <w:marRight w:val="0"/>
      <w:marTop w:val="0"/>
      <w:marBottom w:val="0"/>
      <w:divBdr>
        <w:top w:val="none" w:sz="0" w:space="0" w:color="auto"/>
        <w:left w:val="none" w:sz="0" w:space="0" w:color="auto"/>
        <w:bottom w:val="none" w:sz="0" w:space="0" w:color="auto"/>
        <w:right w:val="none" w:sz="0" w:space="0" w:color="auto"/>
      </w:divBdr>
    </w:div>
    <w:div w:id="666983681">
      <w:bodyDiv w:val="1"/>
      <w:marLeft w:val="0"/>
      <w:marRight w:val="0"/>
      <w:marTop w:val="0"/>
      <w:marBottom w:val="0"/>
      <w:divBdr>
        <w:top w:val="none" w:sz="0" w:space="0" w:color="auto"/>
        <w:left w:val="none" w:sz="0" w:space="0" w:color="auto"/>
        <w:bottom w:val="none" w:sz="0" w:space="0" w:color="auto"/>
        <w:right w:val="none" w:sz="0" w:space="0" w:color="auto"/>
      </w:divBdr>
    </w:div>
    <w:div w:id="727804033">
      <w:bodyDiv w:val="1"/>
      <w:marLeft w:val="0"/>
      <w:marRight w:val="0"/>
      <w:marTop w:val="0"/>
      <w:marBottom w:val="0"/>
      <w:divBdr>
        <w:top w:val="none" w:sz="0" w:space="0" w:color="auto"/>
        <w:left w:val="none" w:sz="0" w:space="0" w:color="auto"/>
        <w:bottom w:val="none" w:sz="0" w:space="0" w:color="auto"/>
        <w:right w:val="none" w:sz="0" w:space="0" w:color="auto"/>
      </w:divBdr>
    </w:div>
    <w:div w:id="763962524">
      <w:bodyDiv w:val="1"/>
      <w:marLeft w:val="0"/>
      <w:marRight w:val="0"/>
      <w:marTop w:val="0"/>
      <w:marBottom w:val="0"/>
      <w:divBdr>
        <w:top w:val="none" w:sz="0" w:space="0" w:color="auto"/>
        <w:left w:val="none" w:sz="0" w:space="0" w:color="auto"/>
        <w:bottom w:val="none" w:sz="0" w:space="0" w:color="auto"/>
        <w:right w:val="none" w:sz="0" w:space="0" w:color="auto"/>
      </w:divBdr>
    </w:div>
    <w:div w:id="807209169">
      <w:bodyDiv w:val="1"/>
      <w:marLeft w:val="0"/>
      <w:marRight w:val="0"/>
      <w:marTop w:val="0"/>
      <w:marBottom w:val="0"/>
      <w:divBdr>
        <w:top w:val="none" w:sz="0" w:space="0" w:color="auto"/>
        <w:left w:val="none" w:sz="0" w:space="0" w:color="auto"/>
        <w:bottom w:val="none" w:sz="0" w:space="0" w:color="auto"/>
        <w:right w:val="none" w:sz="0" w:space="0" w:color="auto"/>
      </w:divBdr>
    </w:div>
    <w:div w:id="839394757">
      <w:bodyDiv w:val="1"/>
      <w:marLeft w:val="0"/>
      <w:marRight w:val="0"/>
      <w:marTop w:val="0"/>
      <w:marBottom w:val="0"/>
      <w:divBdr>
        <w:top w:val="none" w:sz="0" w:space="0" w:color="auto"/>
        <w:left w:val="none" w:sz="0" w:space="0" w:color="auto"/>
        <w:bottom w:val="none" w:sz="0" w:space="0" w:color="auto"/>
        <w:right w:val="none" w:sz="0" w:space="0" w:color="auto"/>
      </w:divBdr>
    </w:div>
    <w:div w:id="886456049">
      <w:bodyDiv w:val="1"/>
      <w:marLeft w:val="0"/>
      <w:marRight w:val="0"/>
      <w:marTop w:val="0"/>
      <w:marBottom w:val="0"/>
      <w:divBdr>
        <w:top w:val="none" w:sz="0" w:space="0" w:color="auto"/>
        <w:left w:val="none" w:sz="0" w:space="0" w:color="auto"/>
        <w:bottom w:val="none" w:sz="0" w:space="0" w:color="auto"/>
        <w:right w:val="none" w:sz="0" w:space="0" w:color="auto"/>
      </w:divBdr>
    </w:div>
    <w:div w:id="946036554">
      <w:bodyDiv w:val="1"/>
      <w:marLeft w:val="0"/>
      <w:marRight w:val="0"/>
      <w:marTop w:val="0"/>
      <w:marBottom w:val="0"/>
      <w:divBdr>
        <w:top w:val="none" w:sz="0" w:space="0" w:color="auto"/>
        <w:left w:val="none" w:sz="0" w:space="0" w:color="auto"/>
        <w:bottom w:val="none" w:sz="0" w:space="0" w:color="auto"/>
        <w:right w:val="none" w:sz="0" w:space="0" w:color="auto"/>
      </w:divBdr>
    </w:div>
    <w:div w:id="994575079">
      <w:bodyDiv w:val="1"/>
      <w:marLeft w:val="0"/>
      <w:marRight w:val="0"/>
      <w:marTop w:val="0"/>
      <w:marBottom w:val="0"/>
      <w:divBdr>
        <w:top w:val="none" w:sz="0" w:space="0" w:color="auto"/>
        <w:left w:val="none" w:sz="0" w:space="0" w:color="auto"/>
        <w:bottom w:val="none" w:sz="0" w:space="0" w:color="auto"/>
        <w:right w:val="none" w:sz="0" w:space="0" w:color="auto"/>
      </w:divBdr>
    </w:div>
    <w:div w:id="1240794748">
      <w:bodyDiv w:val="1"/>
      <w:marLeft w:val="0"/>
      <w:marRight w:val="0"/>
      <w:marTop w:val="0"/>
      <w:marBottom w:val="0"/>
      <w:divBdr>
        <w:top w:val="none" w:sz="0" w:space="0" w:color="auto"/>
        <w:left w:val="none" w:sz="0" w:space="0" w:color="auto"/>
        <w:bottom w:val="none" w:sz="0" w:space="0" w:color="auto"/>
        <w:right w:val="none" w:sz="0" w:space="0" w:color="auto"/>
      </w:divBdr>
    </w:div>
    <w:div w:id="1246262534">
      <w:bodyDiv w:val="1"/>
      <w:marLeft w:val="0"/>
      <w:marRight w:val="0"/>
      <w:marTop w:val="0"/>
      <w:marBottom w:val="0"/>
      <w:divBdr>
        <w:top w:val="none" w:sz="0" w:space="0" w:color="auto"/>
        <w:left w:val="none" w:sz="0" w:space="0" w:color="auto"/>
        <w:bottom w:val="none" w:sz="0" w:space="0" w:color="auto"/>
        <w:right w:val="none" w:sz="0" w:space="0" w:color="auto"/>
      </w:divBdr>
    </w:div>
    <w:div w:id="1251542448">
      <w:bodyDiv w:val="1"/>
      <w:marLeft w:val="0"/>
      <w:marRight w:val="0"/>
      <w:marTop w:val="0"/>
      <w:marBottom w:val="0"/>
      <w:divBdr>
        <w:top w:val="none" w:sz="0" w:space="0" w:color="auto"/>
        <w:left w:val="none" w:sz="0" w:space="0" w:color="auto"/>
        <w:bottom w:val="none" w:sz="0" w:space="0" w:color="auto"/>
        <w:right w:val="none" w:sz="0" w:space="0" w:color="auto"/>
      </w:divBdr>
    </w:div>
    <w:div w:id="1284002615">
      <w:bodyDiv w:val="1"/>
      <w:marLeft w:val="0"/>
      <w:marRight w:val="0"/>
      <w:marTop w:val="0"/>
      <w:marBottom w:val="0"/>
      <w:divBdr>
        <w:top w:val="none" w:sz="0" w:space="0" w:color="auto"/>
        <w:left w:val="none" w:sz="0" w:space="0" w:color="auto"/>
        <w:bottom w:val="none" w:sz="0" w:space="0" w:color="auto"/>
        <w:right w:val="none" w:sz="0" w:space="0" w:color="auto"/>
      </w:divBdr>
    </w:div>
    <w:div w:id="1332179736">
      <w:bodyDiv w:val="1"/>
      <w:marLeft w:val="0"/>
      <w:marRight w:val="0"/>
      <w:marTop w:val="0"/>
      <w:marBottom w:val="0"/>
      <w:divBdr>
        <w:top w:val="none" w:sz="0" w:space="0" w:color="auto"/>
        <w:left w:val="none" w:sz="0" w:space="0" w:color="auto"/>
        <w:bottom w:val="none" w:sz="0" w:space="0" w:color="auto"/>
        <w:right w:val="none" w:sz="0" w:space="0" w:color="auto"/>
      </w:divBdr>
    </w:div>
    <w:div w:id="1501702745">
      <w:bodyDiv w:val="1"/>
      <w:marLeft w:val="0"/>
      <w:marRight w:val="0"/>
      <w:marTop w:val="0"/>
      <w:marBottom w:val="0"/>
      <w:divBdr>
        <w:top w:val="none" w:sz="0" w:space="0" w:color="auto"/>
        <w:left w:val="none" w:sz="0" w:space="0" w:color="auto"/>
        <w:bottom w:val="none" w:sz="0" w:space="0" w:color="auto"/>
        <w:right w:val="none" w:sz="0" w:space="0" w:color="auto"/>
      </w:divBdr>
    </w:div>
    <w:div w:id="1573807953">
      <w:bodyDiv w:val="1"/>
      <w:marLeft w:val="0"/>
      <w:marRight w:val="0"/>
      <w:marTop w:val="0"/>
      <w:marBottom w:val="0"/>
      <w:divBdr>
        <w:top w:val="none" w:sz="0" w:space="0" w:color="auto"/>
        <w:left w:val="none" w:sz="0" w:space="0" w:color="auto"/>
        <w:bottom w:val="none" w:sz="0" w:space="0" w:color="auto"/>
        <w:right w:val="none" w:sz="0" w:space="0" w:color="auto"/>
      </w:divBdr>
    </w:div>
    <w:div w:id="1630280859">
      <w:bodyDiv w:val="1"/>
      <w:marLeft w:val="0"/>
      <w:marRight w:val="0"/>
      <w:marTop w:val="0"/>
      <w:marBottom w:val="0"/>
      <w:divBdr>
        <w:top w:val="none" w:sz="0" w:space="0" w:color="auto"/>
        <w:left w:val="none" w:sz="0" w:space="0" w:color="auto"/>
        <w:bottom w:val="none" w:sz="0" w:space="0" w:color="auto"/>
        <w:right w:val="none" w:sz="0" w:space="0" w:color="auto"/>
      </w:divBdr>
    </w:div>
    <w:div w:id="1709993499">
      <w:bodyDiv w:val="1"/>
      <w:marLeft w:val="0"/>
      <w:marRight w:val="0"/>
      <w:marTop w:val="0"/>
      <w:marBottom w:val="0"/>
      <w:divBdr>
        <w:top w:val="none" w:sz="0" w:space="0" w:color="auto"/>
        <w:left w:val="none" w:sz="0" w:space="0" w:color="auto"/>
        <w:bottom w:val="none" w:sz="0" w:space="0" w:color="auto"/>
        <w:right w:val="none" w:sz="0" w:space="0" w:color="auto"/>
      </w:divBdr>
    </w:div>
    <w:div w:id="1824662457">
      <w:bodyDiv w:val="1"/>
      <w:marLeft w:val="0"/>
      <w:marRight w:val="0"/>
      <w:marTop w:val="0"/>
      <w:marBottom w:val="0"/>
      <w:divBdr>
        <w:top w:val="none" w:sz="0" w:space="0" w:color="auto"/>
        <w:left w:val="none" w:sz="0" w:space="0" w:color="auto"/>
        <w:bottom w:val="none" w:sz="0" w:space="0" w:color="auto"/>
        <w:right w:val="none" w:sz="0" w:space="0" w:color="auto"/>
      </w:divBdr>
    </w:div>
    <w:div w:id="1852992827">
      <w:bodyDiv w:val="1"/>
      <w:marLeft w:val="0"/>
      <w:marRight w:val="0"/>
      <w:marTop w:val="0"/>
      <w:marBottom w:val="0"/>
      <w:divBdr>
        <w:top w:val="none" w:sz="0" w:space="0" w:color="auto"/>
        <w:left w:val="none" w:sz="0" w:space="0" w:color="auto"/>
        <w:bottom w:val="none" w:sz="0" w:space="0" w:color="auto"/>
        <w:right w:val="none" w:sz="0" w:space="0" w:color="auto"/>
      </w:divBdr>
    </w:div>
    <w:div w:id="1856455408">
      <w:bodyDiv w:val="1"/>
      <w:marLeft w:val="0"/>
      <w:marRight w:val="0"/>
      <w:marTop w:val="0"/>
      <w:marBottom w:val="0"/>
      <w:divBdr>
        <w:top w:val="none" w:sz="0" w:space="0" w:color="auto"/>
        <w:left w:val="none" w:sz="0" w:space="0" w:color="auto"/>
        <w:bottom w:val="none" w:sz="0" w:space="0" w:color="auto"/>
        <w:right w:val="none" w:sz="0" w:space="0" w:color="auto"/>
      </w:divBdr>
    </w:div>
    <w:div w:id="1928272004">
      <w:bodyDiv w:val="1"/>
      <w:marLeft w:val="0"/>
      <w:marRight w:val="0"/>
      <w:marTop w:val="0"/>
      <w:marBottom w:val="0"/>
      <w:divBdr>
        <w:top w:val="none" w:sz="0" w:space="0" w:color="auto"/>
        <w:left w:val="none" w:sz="0" w:space="0" w:color="auto"/>
        <w:bottom w:val="none" w:sz="0" w:space="0" w:color="auto"/>
        <w:right w:val="none" w:sz="0" w:space="0" w:color="auto"/>
      </w:divBdr>
    </w:div>
    <w:div w:id="1963458885">
      <w:bodyDiv w:val="1"/>
      <w:marLeft w:val="0"/>
      <w:marRight w:val="0"/>
      <w:marTop w:val="0"/>
      <w:marBottom w:val="0"/>
      <w:divBdr>
        <w:top w:val="none" w:sz="0" w:space="0" w:color="auto"/>
        <w:left w:val="none" w:sz="0" w:space="0" w:color="auto"/>
        <w:bottom w:val="none" w:sz="0" w:space="0" w:color="auto"/>
        <w:right w:val="none" w:sz="0" w:space="0" w:color="auto"/>
      </w:divBdr>
    </w:div>
    <w:div w:id="1986549363">
      <w:bodyDiv w:val="1"/>
      <w:marLeft w:val="0"/>
      <w:marRight w:val="0"/>
      <w:marTop w:val="0"/>
      <w:marBottom w:val="0"/>
      <w:divBdr>
        <w:top w:val="none" w:sz="0" w:space="0" w:color="auto"/>
        <w:left w:val="none" w:sz="0" w:space="0" w:color="auto"/>
        <w:bottom w:val="none" w:sz="0" w:space="0" w:color="auto"/>
        <w:right w:val="none" w:sz="0" w:space="0" w:color="auto"/>
      </w:divBdr>
    </w:div>
    <w:div w:id="2065374833">
      <w:bodyDiv w:val="1"/>
      <w:marLeft w:val="0"/>
      <w:marRight w:val="0"/>
      <w:marTop w:val="0"/>
      <w:marBottom w:val="0"/>
      <w:divBdr>
        <w:top w:val="none" w:sz="0" w:space="0" w:color="auto"/>
        <w:left w:val="none" w:sz="0" w:space="0" w:color="auto"/>
        <w:bottom w:val="none" w:sz="0" w:space="0" w:color="auto"/>
        <w:right w:val="none" w:sz="0" w:space="0" w:color="auto"/>
      </w:divBdr>
    </w:div>
    <w:div w:id="2113619943">
      <w:bodyDiv w:val="1"/>
      <w:marLeft w:val="0"/>
      <w:marRight w:val="0"/>
      <w:marTop w:val="0"/>
      <w:marBottom w:val="0"/>
      <w:divBdr>
        <w:top w:val="none" w:sz="0" w:space="0" w:color="auto"/>
        <w:left w:val="none" w:sz="0" w:space="0" w:color="auto"/>
        <w:bottom w:val="none" w:sz="0" w:space="0" w:color="auto"/>
        <w:right w:val="none" w:sz="0" w:space="0" w:color="auto"/>
      </w:divBdr>
    </w:div>
    <w:div w:id="21410740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ypeset.io/search?q=Relevance%3A%20Overview%20of%20the%20increasing%20recognition%20of%20the%20gut-brain%20axis%20in%20neurohealth%20and%20its%20relevance%20to%20neurosurgery.%20Probiotics%20Overview%3A%20Definition%2C%20types%2C%20and%20mechanisms%20of%20action" TargetMode="External"/><Relationship Id="rId13" Type="http://schemas.openxmlformats.org/officeDocument/2006/relationships/hyperlink" Target="https://typeset.io/search?q=Advanced%20Research%3A%20Need%20for%20large-scale%2C%20randomized%20clinical%20trials%20to%20confirm%20efficacy%20in%20neurosurgical%20contexts.%20Exploring%20Synbiotics%20and%20Postbiotics%3A%20Potentials%20of%20combining%20probiotics%20with%20prebiotics%20or%20using%20microbial%20metabolite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ypeset.io/search?q=Probiotics%20as%20an%20Adjunct%20in%20Neurosurgery%20Probiotic%20Strains%20and%20Formulations%3A%20Review%20of%20strains%20(e.g.%2C%20Lactobacillus%2C%20Bifidobacterium)%20with%20specific%20neurological%20benefit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ypeset.io/search?q=Probiotics%20in%20Neurological%20RecoveryClinical%20Studies%3A%20Overview%20of%20human%20studies%20assessing%20probiotics'%20effects%20on%20cognitive%20function%2C%20stress%20reduction%2C%20and%20recovery%20in%20neurosurgical%20context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typeset.io/search?q=Disruption%20in%20Neurological%20Disorders%3A%20Dysbiosis%20in%20conditions%20relevant%20to%20neurosurgery%2C%20such%20as%20traumatic%20brain%20injury%2C%20stroke%2C%20and%20neurodegenerative%20disease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0C6F7-6A3C-46D8-B078-8E1C6952B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2257</TotalTime>
  <Pages>13</Pages>
  <Words>5642</Words>
  <Characters>37184</Characters>
  <Application>Microsoft Office Word</Application>
  <DocSecurity>0</DocSecurity>
  <Lines>688</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khushwant nandal</cp:lastModifiedBy>
  <cp:revision>128</cp:revision>
  <dcterms:created xsi:type="dcterms:W3CDTF">2025-01-06T09:24:00Z</dcterms:created>
  <dcterms:modified xsi:type="dcterms:W3CDTF">2025-06-09T18:40:00Z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f348e89377aa3757937cb25e67318c7689ee42ea34c88f15f30209512e10170b</vt:lpwstr>
  </property>
  <property fmtid="{D5CDD505-2E9C-101B-9397-08002B2CF9AE}" pid="3" name="Mendeley Document_1">
    <vt:lpwstr>True</vt:lpwstr>
  </property>
  <property fmtid="{D5CDD505-2E9C-101B-9397-08002B2CF9AE}" pid="4" name="Mendeley Unique User Id_1">
    <vt:lpwstr>0cbeab64-bea6-3a1e-a06a-14032385e0be</vt:lpwstr>
  </property>
  <property fmtid="{D5CDD505-2E9C-101B-9397-08002B2CF9AE}" pid="5" name="Mendeley Citation Style_1">
    <vt:lpwstr>http://www.zotero.org/styles/vancouver</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 11th edition</vt:lpwstr>
  </property>
  <property fmtid="{D5CDD505-2E9C-101B-9397-08002B2CF9AE}" pid="8" name="Mendeley Recent Style Id 1_1">
    <vt:lpwstr>http://www.zotero.org/styles/apa</vt:lpwstr>
  </property>
  <property fmtid="{D5CDD505-2E9C-101B-9397-08002B2CF9AE}" pid="9" name="Mendeley Recent Style Name 1_1">
    <vt:lpwstr>American Psychological Association 7th edition</vt:lpwstr>
  </property>
  <property fmtid="{D5CDD505-2E9C-101B-9397-08002B2CF9AE}" pid="10" name="Mendeley Recent Style Id 2_1">
    <vt:lpwstr>http://www.zotero.org/styles/applied-sciences</vt:lpwstr>
  </property>
  <property fmtid="{D5CDD505-2E9C-101B-9397-08002B2CF9AE}" pid="11" name="Mendeley Recent Style Name 2_1">
    <vt:lpwstr>Applied Sciences</vt:lpwstr>
  </property>
  <property fmtid="{D5CDD505-2E9C-101B-9397-08002B2CF9AE}" pid="12" name="Mendeley Recent Style Id 3_1">
    <vt:lpwstr>http://www.zotero.org/styles/chicago-author-date</vt:lpwstr>
  </property>
  <property fmtid="{D5CDD505-2E9C-101B-9397-08002B2CF9AE}" pid="13" name="Mendeley Recent Style Name 3_1">
    <vt:lpwstr>Chicago Manual of Style 17th edition (author-date)</vt:lpwstr>
  </property>
  <property fmtid="{D5CDD505-2E9C-101B-9397-08002B2CF9AE}" pid="14" name="Mendeley Recent Style Id 4_1">
    <vt:lpwstr>http://www.zotero.org/styles/harvard-cite-them-right</vt:lpwstr>
  </property>
  <property fmtid="{D5CDD505-2E9C-101B-9397-08002B2CF9AE}" pid="15" name="Mendeley Recent Style Name 4_1">
    <vt:lpwstr>Cite Them Right 12th edition - Harvard</vt:lpwstr>
  </property>
  <property fmtid="{D5CDD505-2E9C-101B-9397-08002B2CF9AE}" pid="16" name="Mendeley Recent Style Id 5_1">
    <vt:lpwstr>http://www.zotero.org/styles/modern-humanities-research-association</vt:lpwstr>
  </property>
  <property fmtid="{D5CDD505-2E9C-101B-9397-08002B2CF9AE}" pid="17" name="Mendeley Recent Style Name 5_1">
    <vt:lpwstr>Modern Humanities Research Association 3rd edition (note with bibliography)</vt:lpwstr>
  </property>
  <property fmtid="{D5CDD505-2E9C-101B-9397-08002B2CF9AE}" pid="18" name="Mendeley Recent Style Id 6_1">
    <vt:lpwstr>http://www.zotero.org/styles/modern-language-association</vt:lpwstr>
  </property>
  <property fmtid="{D5CDD505-2E9C-101B-9397-08002B2CF9AE}" pid="19" name="Mendeley Recent Style Name 6_1">
    <vt:lpwstr>Modern Language Association 9th edition</vt:lpwstr>
  </property>
  <property fmtid="{D5CDD505-2E9C-101B-9397-08002B2CF9AE}" pid="20" name="Mendeley Recent Style Id 7_1">
    <vt:lpwstr>http://www.zotero.org/styles/nature</vt:lpwstr>
  </property>
  <property fmtid="{D5CDD505-2E9C-101B-9397-08002B2CF9AE}" pid="21" name="Mendeley Recent Style Name 7_1">
    <vt:lpwstr>Nature</vt:lpwstr>
  </property>
  <property fmtid="{D5CDD505-2E9C-101B-9397-08002B2CF9AE}" pid="22" name="Mendeley Recent Style Id 8_1">
    <vt:lpwstr>http://www.zotero.org/styles/the-lancet</vt:lpwstr>
  </property>
  <property fmtid="{D5CDD505-2E9C-101B-9397-08002B2CF9AE}" pid="23" name="Mendeley Recent Style Name 8_1">
    <vt:lpwstr>The Lancet</vt:lpwstr>
  </property>
  <property fmtid="{D5CDD505-2E9C-101B-9397-08002B2CF9AE}" pid="24" name="Mendeley Recent Style Id 9_1">
    <vt:lpwstr>http://www.zotero.org/styles/vancouver</vt:lpwstr>
  </property>
  <property fmtid="{D5CDD505-2E9C-101B-9397-08002B2CF9AE}" pid="25" name="Mendeley Recent Style Name 9_1">
    <vt:lpwstr>Vancouver</vt:lpwstr>
  </property>
</Properties>
</file>