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9B2C0" w14:textId="213173EC" w:rsidR="005219C9" w:rsidRDefault="00E80665" w:rsidP="001449B3">
      <w:pPr>
        <w:spacing w:after="0" w:line="480" w:lineRule="auto"/>
        <w:jc w:val="center"/>
        <w:rPr>
          <w:rFonts w:ascii="Times New Roman" w:hAnsi="Times New Roman" w:cs="Times New Roman"/>
          <w:b/>
          <w:iCs/>
          <w:sz w:val="28"/>
          <w:szCs w:val="28"/>
        </w:rPr>
      </w:pPr>
      <w:r w:rsidRPr="00C35184">
        <w:rPr>
          <w:rFonts w:ascii="Times New Roman" w:hAnsi="Times New Roman" w:cs="Times New Roman"/>
          <w:b/>
          <w:sz w:val="28"/>
          <w:szCs w:val="28"/>
        </w:rPr>
        <w:t xml:space="preserve">Water Quality Index </w:t>
      </w:r>
      <w:r w:rsidRPr="00C35184">
        <w:rPr>
          <w:rFonts w:ascii="Times New Roman" w:hAnsi="Times New Roman" w:cs="Times New Roman"/>
          <w:b/>
          <w:bCs/>
          <w:sz w:val="28"/>
          <w:szCs w:val="28"/>
        </w:rPr>
        <w:t xml:space="preserve">of </w:t>
      </w:r>
      <w:r w:rsidR="007549A2" w:rsidRPr="007549A2">
        <w:rPr>
          <w:rFonts w:ascii="Times New Roman" w:hAnsi="Times New Roman" w:cs="Times New Roman"/>
          <w:b/>
          <w:bCs/>
          <w:sz w:val="28"/>
          <w:szCs w:val="28"/>
          <w:highlight w:val="red"/>
        </w:rPr>
        <w:t>Selected</w:t>
      </w:r>
      <w:r w:rsidR="007549A2">
        <w:rPr>
          <w:rFonts w:ascii="Times New Roman" w:hAnsi="Times New Roman" w:cs="Times New Roman"/>
          <w:b/>
          <w:bCs/>
          <w:sz w:val="28"/>
          <w:szCs w:val="28"/>
        </w:rPr>
        <w:t xml:space="preserve"> </w:t>
      </w:r>
      <w:r w:rsidRPr="00C35184">
        <w:rPr>
          <w:rFonts w:ascii="Times New Roman" w:hAnsi="Times New Roman" w:cs="Times New Roman"/>
          <w:b/>
          <w:bCs/>
          <w:sz w:val="28"/>
          <w:szCs w:val="28"/>
        </w:rPr>
        <w:t xml:space="preserve">Borehole Water </w:t>
      </w:r>
      <w:r w:rsidRPr="00C35184">
        <w:rPr>
          <w:rFonts w:ascii="Times New Roman" w:hAnsi="Times New Roman" w:cs="Times New Roman"/>
          <w:b/>
          <w:iCs/>
          <w:sz w:val="28"/>
          <w:szCs w:val="28"/>
        </w:rPr>
        <w:t>along Pipeline Routes in Parts of Obio/Akpor Local Government Area</w:t>
      </w:r>
      <w:r w:rsidR="00C35184">
        <w:rPr>
          <w:rFonts w:ascii="Times New Roman" w:hAnsi="Times New Roman" w:cs="Times New Roman"/>
          <w:b/>
          <w:iCs/>
          <w:sz w:val="28"/>
          <w:szCs w:val="28"/>
        </w:rPr>
        <w:t>, Rivers State Nigeria</w:t>
      </w:r>
    </w:p>
    <w:p w14:paraId="0D915313" w14:textId="77777777" w:rsidR="00363E20" w:rsidRPr="00C35184" w:rsidRDefault="00363E20" w:rsidP="001449B3">
      <w:pPr>
        <w:spacing w:after="0" w:line="480" w:lineRule="auto"/>
        <w:jc w:val="center"/>
        <w:rPr>
          <w:rFonts w:ascii="Times New Roman" w:hAnsi="Times New Roman" w:cs="Times New Roman"/>
          <w:b/>
          <w:bCs/>
          <w:sz w:val="28"/>
          <w:szCs w:val="28"/>
        </w:rPr>
      </w:pPr>
    </w:p>
    <w:p w14:paraId="05868428" w14:textId="77777777" w:rsidR="00C35184" w:rsidRDefault="00C35184" w:rsidP="001449B3">
      <w:pPr>
        <w:spacing w:after="0" w:line="480" w:lineRule="auto"/>
        <w:rPr>
          <w:rFonts w:ascii="Times New Roman" w:hAnsi="Times New Roman" w:cs="Times New Roman"/>
          <w:b/>
          <w:bCs/>
          <w:sz w:val="24"/>
          <w:szCs w:val="24"/>
        </w:rPr>
      </w:pPr>
    </w:p>
    <w:p w14:paraId="2127A27A" w14:textId="58A0548B" w:rsidR="001B5C4B" w:rsidRPr="00C35184" w:rsidRDefault="00C35184" w:rsidP="001449B3">
      <w:pPr>
        <w:spacing w:after="0" w:line="480" w:lineRule="auto"/>
        <w:rPr>
          <w:rFonts w:ascii="Times New Roman" w:hAnsi="Times New Roman" w:cs="Times New Roman"/>
          <w:b/>
          <w:bCs/>
          <w:sz w:val="24"/>
          <w:szCs w:val="24"/>
        </w:rPr>
      </w:pPr>
      <w:r w:rsidRPr="00C35184">
        <w:rPr>
          <w:rFonts w:ascii="Times New Roman" w:hAnsi="Times New Roman" w:cs="Times New Roman"/>
          <w:b/>
          <w:bCs/>
          <w:sz w:val="24"/>
          <w:szCs w:val="24"/>
        </w:rPr>
        <w:t>ABSTRACT</w:t>
      </w:r>
    </w:p>
    <w:p w14:paraId="3AA81961" w14:textId="227E7C83" w:rsidR="006660CB" w:rsidRPr="00C35184" w:rsidRDefault="006660CB" w:rsidP="006660CB">
      <w:pPr>
        <w:spacing w:after="0" w:line="240" w:lineRule="auto"/>
        <w:jc w:val="both"/>
        <w:rPr>
          <w:rFonts w:ascii="Times New Roman" w:hAnsi="Times New Roman" w:cs="Times New Roman"/>
          <w:bCs/>
          <w:color w:val="000000"/>
          <w:sz w:val="24"/>
          <w:szCs w:val="24"/>
        </w:rPr>
      </w:pPr>
      <w:r w:rsidRPr="00C35184">
        <w:rPr>
          <w:rFonts w:ascii="Times New Roman" w:hAnsi="Times New Roman" w:cs="Times New Roman"/>
          <w:sz w:val="24"/>
          <w:szCs w:val="24"/>
          <w:lang w:eastAsia="en-GB"/>
        </w:rPr>
        <w:t xml:space="preserve">Water is the principal component in the earth which supports the life of all living and groundwater is a very important source of water which must be managed in sufficient quantity and quality contributes to maintaining health. The study examined </w:t>
      </w:r>
      <w:r w:rsidRPr="00C35184">
        <w:rPr>
          <w:rFonts w:ascii="Times New Roman" w:hAnsi="Times New Roman" w:cs="Times New Roman"/>
          <w:bCs/>
          <w:sz w:val="24"/>
          <w:szCs w:val="24"/>
        </w:rPr>
        <w:t xml:space="preserve"> </w:t>
      </w:r>
      <w:r w:rsidRPr="00C35184">
        <w:rPr>
          <w:rFonts w:ascii="Times New Roman" w:hAnsi="Times New Roman" w:cs="Times New Roman"/>
          <w:sz w:val="24"/>
          <w:szCs w:val="24"/>
        </w:rPr>
        <w:t xml:space="preserve">water quality index </w:t>
      </w:r>
      <w:r w:rsidRPr="00C35184">
        <w:rPr>
          <w:rFonts w:ascii="Times New Roman" w:hAnsi="Times New Roman" w:cs="Times New Roman"/>
          <w:bCs/>
          <w:sz w:val="24"/>
          <w:szCs w:val="24"/>
        </w:rPr>
        <w:t xml:space="preserve">of </w:t>
      </w:r>
      <w:r w:rsidRPr="001E6DF8">
        <w:rPr>
          <w:rFonts w:ascii="Times New Roman" w:hAnsi="Times New Roman" w:cs="Times New Roman"/>
          <w:bCs/>
          <w:sz w:val="24"/>
          <w:szCs w:val="24"/>
          <w:highlight w:val="red"/>
        </w:rPr>
        <w:t>selected</w:t>
      </w:r>
      <w:r w:rsidRPr="00C35184">
        <w:rPr>
          <w:rFonts w:ascii="Times New Roman" w:hAnsi="Times New Roman" w:cs="Times New Roman"/>
          <w:bCs/>
          <w:sz w:val="24"/>
          <w:szCs w:val="24"/>
        </w:rPr>
        <w:t xml:space="preserve"> borehole water </w:t>
      </w:r>
      <w:r w:rsidRPr="00C35184">
        <w:rPr>
          <w:rFonts w:ascii="Times New Roman" w:hAnsi="Times New Roman" w:cs="Times New Roman"/>
          <w:iCs/>
          <w:sz w:val="24"/>
          <w:szCs w:val="24"/>
        </w:rPr>
        <w:t xml:space="preserve">along pipeline routes in parts of </w:t>
      </w:r>
      <w:proofErr w:type="spellStart"/>
      <w:r w:rsidRPr="00C35184">
        <w:rPr>
          <w:rFonts w:ascii="Times New Roman" w:hAnsi="Times New Roman" w:cs="Times New Roman"/>
          <w:iCs/>
          <w:sz w:val="24"/>
          <w:szCs w:val="24"/>
        </w:rPr>
        <w:t>obio</w:t>
      </w:r>
      <w:proofErr w:type="spellEnd"/>
      <w:r w:rsidRPr="00C35184">
        <w:rPr>
          <w:rFonts w:ascii="Times New Roman" w:hAnsi="Times New Roman" w:cs="Times New Roman"/>
          <w:iCs/>
          <w:sz w:val="24"/>
          <w:szCs w:val="24"/>
        </w:rPr>
        <w:t>/</w:t>
      </w:r>
      <w:proofErr w:type="spellStart"/>
      <w:r w:rsidRPr="00C35184">
        <w:rPr>
          <w:rFonts w:ascii="Times New Roman" w:hAnsi="Times New Roman" w:cs="Times New Roman"/>
          <w:iCs/>
          <w:sz w:val="24"/>
          <w:szCs w:val="24"/>
        </w:rPr>
        <w:t>akpor</w:t>
      </w:r>
      <w:proofErr w:type="spellEnd"/>
      <w:r w:rsidRPr="00C35184">
        <w:rPr>
          <w:rFonts w:ascii="Times New Roman" w:hAnsi="Times New Roman" w:cs="Times New Roman"/>
          <w:iCs/>
          <w:sz w:val="24"/>
          <w:szCs w:val="24"/>
        </w:rPr>
        <w:t xml:space="preserve"> local government area , Rivers State Nigeria. </w:t>
      </w:r>
      <w:r w:rsidRPr="00C35184">
        <w:rPr>
          <w:rFonts w:ascii="Times New Roman" w:hAnsi="Times New Roman" w:cs="Times New Roman"/>
          <w:bCs/>
          <w:color w:val="000000"/>
          <w:sz w:val="24"/>
          <w:szCs w:val="24"/>
        </w:rPr>
        <w:t>Water samples (15) were sourced from communities (</w:t>
      </w:r>
      <w:proofErr w:type="spellStart"/>
      <w:r w:rsidRPr="00C35184">
        <w:rPr>
          <w:rFonts w:ascii="Times New Roman" w:hAnsi="Times New Roman" w:cs="Times New Roman"/>
          <w:color w:val="212121"/>
          <w:sz w:val="24"/>
          <w:szCs w:val="24"/>
        </w:rPr>
        <w:t>Rumuoke</w:t>
      </w:r>
      <w:proofErr w:type="spellEnd"/>
      <w:r w:rsidRPr="00C35184">
        <w:rPr>
          <w:rFonts w:ascii="Times New Roman" w:hAnsi="Times New Roman" w:cs="Times New Roman"/>
          <w:color w:val="212121"/>
          <w:sz w:val="24"/>
          <w:szCs w:val="24"/>
        </w:rPr>
        <w:t xml:space="preserve">, </w:t>
      </w:r>
      <w:proofErr w:type="spellStart"/>
      <w:r w:rsidRPr="00C35184">
        <w:rPr>
          <w:rFonts w:ascii="Times New Roman" w:hAnsi="Times New Roman" w:cs="Times New Roman"/>
          <w:bCs/>
          <w:sz w:val="24"/>
          <w:szCs w:val="24"/>
        </w:rPr>
        <w:t>Rumukania</w:t>
      </w:r>
      <w:proofErr w:type="spellEnd"/>
      <w:r w:rsidRPr="00C35184">
        <w:rPr>
          <w:rFonts w:ascii="Times New Roman" w:hAnsi="Times New Roman" w:cs="Times New Roman"/>
          <w:bCs/>
          <w:sz w:val="24"/>
          <w:szCs w:val="24"/>
        </w:rPr>
        <w:t xml:space="preserve"> and </w:t>
      </w:r>
      <w:proofErr w:type="spellStart"/>
      <w:r w:rsidRPr="00C35184">
        <w:rPr>
          <w:rFonts w:ascii="Times New Roman" w:hAnsi="Times New Roman" w:cs="Times New Roman"/>
          <w:bCs/>
          <w:sz w:val="24"/>
          <w:szCs w:val="24"/>
        </w:rPr>
        <w:t>Egbelu</w:t>
      </w:r>
      <w:proofErr w:type="spellEnd"/>
      <w:r w:rsidRPr="00C35184">
        <w:rPr>
          <w:rFonts w:ascii="Times New Roman" w:hAnsi="Times New Roman" w:cs="Times New Roman"/>
          <w:bCs/>
          <w:sz w:val="24"/>
          <w:szCs w:val="24"/>
        </w:rPr>
        <w:t>) where decommissioned pipelined pass through</w:t>
      </w:r>
      <w:r w:rsidRPr="00C35184">
        <w:rPr>
          <w:rFonts w:ascii="Times New Roman" w:hAnsi="Times New Roman" w:cs="Times New Roman"/>
          <w:bCs/>
          <w:color w:val="000000"/>
          <w:sz w:val="24"/>
          <w:szCs w:val="24"/>
        </w:rPr>
        <w:t xml:space="preserve"> and analysed for </w:t>
      </w:r>
      <w:r w:rsidRPr="00C35184">
        <w:rPr>
          <w:rFonts w:ascii="Times New Roman" w:hAnsi="Times New Roman" w:cs="Times New Roman"/>
          <w:bCs/>
          <w:sz w:val="24"/>
          <w:szCs w:val="24"/>
        </w:rPr>
        <w:t xml:space="preserve">physicochemical and heavy concentration </w:t>
      </w:r>
      <w:r w:rsidRPr="00C35184">
        <w:rPr>
          <w:rFonts w:ascii="Times New Roman" w:eastAsia="MinionPro-Regular" w:hAnsi="Times New Roman" w:cs="Times New Roman"/>
          <w:sz w:val="24"/>
          <w:szCs w:val="24"/>
        </w:rPr>
        <w:t xml:space="preserve">following the standard methods of the American Public Health Organization (APHA) and the American Society for Testing and Materials (ASTM).  The findings revealed that </w:t>
      </w:r>
      <w:r w:rsidRPr="00C35184">
        <w:rPr>
          <w:rFonts w:ascii="Times New Roman" w:hAnsi="Times New Roman" w:cs="Times New Roman"/>
          <w:bCs/>
          <w:color w:val="000000"/>
          <w:sz w:val="24"/>
          <w:szCs w:val="24"/>
        </w:rPr>
        <w:t>t</w:t>
      </w:r>
      <w:r w:rsidRPr="00C35184">
        <w:rPr>
          <w:rFonts w:ascii="Times New Roman" w:hAnsi="Times New Roman" w:cs="Times New Roman"/>
          <w:color w:val="000000"/>
          <w:sz w:val="24"/>
          <w:szCs w:val="24"/>
        </w:rPr>
        <w:t>he pH mean concentration was 5.34 across the study area and a</w:t>
      </w:r>
      <w:r w:rsidRPr="00C35184">
        <w:rPr>
          <w:rFonts w:ascii="Times New Roman" w:hAnsi="Times New Roman" w:cs="Times New Roman"/>
          <w:sz w:val="24"/>
          <w:szCs w:val="24"/>
        </w:rPr>
        <w:t>ll concentrations reported are within the WHO and NSDWQ allowable limits.</w:t>
      </w:r>
      <w:r w:rsidRPr="00C35184">
        <w:rPr>
          <w:rFonts w:ascii="Times New Roman" w:hAnsi="Times New Roman" w:cs="Times New Roman"/>
          <w:bCs/>
          <w:color w:val="000000"/>
          <w:sz w:val="24"/>
          <w:szCs w:val="24"/>
        </w:rPr>
        <w:t xml:space="preserve"> The mean concentration of electrical conductivity</w:t>
      </w:r>
      <w:r w:rsidRPr="00C35184">
        <w:rPr>
          <w:rFonts w:ascii="Times New Roman" w:hAnsi="Times New Roman" w:cs="Times New Roman"/>
          <w:color w:val="000000"/>
          <w:sz w:val="24"/>
          <w:szCs w:val="24"/>
        </w:rPr>
        <w:t xml:space="preserve"> (107.51 </w:t>
      </w:r>
      <w:r w:rsidRPr="00C35184">
        <w:rPr>
          <w:rFonts w:ascii="Times New Roman" w:hAnsi="Times New Roman" w:cs="Times New Roman"/>
          <w:sz w:val="24"/>
          <w:szCs w:val="24"/>
        </w:rPr>
        <w:t xml:space="preserve">µS/cm), </w:t>
      </w:r>
      <w:r w:rsidRPr="00C35184">
        <w:rPr>
          <w:rFonts w:ascii="Times New Roman" w:hAnsi="Times New Roman" w:cs="Times New Roman"/>
          <w:color w:val="000000"/>
          <w:sz w:val="24"/>
          <w:szCs w:val="24"/>
        </w:rPr>
        <w:t xml:space="preserve">TDS (69.73 </w:t>
      </w:r>
      <w:r w:rsidRPr="00C35184">
        <w:rPr>
          <w:rFonts w:ascii="Times New Roman" w:hAnsi="Times New Roman" w:cs="Times New Roman"/>
          <w:sz w:val="24"/>
          <w:szCs w:val="24"/>
        </w:rPr>
        <w:t>mg/l)</w:t>
      </w:r>
      <w:r w:rsidRPr="00C35184">
        <w:rPr>
          <w:rFonts w:ascii="Times New Roman" w:hAnsi="Times New Roman" w:cs="Times New Roman"/>
          <w:bCs/>
          <w:color w:val="000000"/>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NO</m:t>
            </m:r>
          </m:e>
          <m:sub>
            <m:r>
              <w:rPr>
                <w:rFonts w:ascii="Cambria Math" w:hAnsi="Cambria Math" w:cs="Times New Roman"/>
                <w:sz w:val="24"/>
                <w:szCs w:val="24"/>
              </w:rPr>
              <m:t>3</m:t>
            </m:r>
          </m:sub>
          <m:sup>
            <m:r>
              <w:rPr>
                <w:rFonts w:ascii="Cambria Math" w:hAnsi="Cambria Math" w:cs="Times New Roman"/>
                <w:sz w:val="24"/>
                <w:szCs w:val="24"/>
              </w:rPr>
              <m:t>-</m:t>
            </m:r>
          </m:sup>
        </m:sSubSup>
      </m:oMath>
      <w:r w:rsidRPr="00C35184">
        <w:rPr>
          <w:rFonts w:ascii="Times New Roman" w:hAnsi="Times New Roman" w:cs="Times New Roman"/>
          <w:color w:val="000000"/>
          <w:sz w:val="24"/>
          <w:szCs w:val="24"/>
        </w:rPr>
        <w:t xml:space="preserve"> (0.02 </w:t>
      </w:r>
      <w:r w:rsidRPr="00C35184">
        <w:rPr>
          <w:rFonts w:ascii="Times New Roman" w:hAnsi="Times New Roman" w:cs="Times New Roman"/>
          <w:sz w:val="24"/>
          <w:szCs w:val="24"/>
        </w:rPr>
        <w:t xml:space="preserve">mg/l) and </w:t>
      </w:r>
      <m:oMath>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Cl</m:t>
            </m:r>
          </m:e>
          <m:sup>
            <m:r>
              <w:rPr>
                <w:rFonts w:ascii="Cambria Math" w:hAnsi="Cambria Math" w:cs="Times New Roman"/>
                <w:color w:val="000000"/>
                <w:sz w:val="24"/>
                <w:szCs w:val="24"/>
              </w:rPr>
              <m:t>-</m:t>
            </m:r>
          </m:sup>
        </m:sSup>
      </m:oMath>
      <w:r w:rsidRPr="00C35184">
        <w:rPr>
          <w:rFonts w:ascii="Times New Roman" w:hAnsi="Times New Roman" w:cs="Times New Roman"/>
          <w:color w:val="000000"/>
          <w:sz w:val="24"/>
          <w:szCs w:val="24"/>
        </w:rPr>
        <w:t xml:space="preserve"> (4.52 </w:t>
      </w:r>
      <w:r w:rsidRPr="00C35184">
        <w:rPr>
          <w:rFonts w:ascii="Times New Roman" w:hAnsi="Times New Roman" w:cs="Times New Roman"/>
          <w:sz w:val="24"/>
          <w:szCs w:val="24"/>
        </w:rPr>
        <w:t>mg/l) reported are within the WHO and NSDWQ allowable limits.</w:t>
      </w:r>
      <w:r w:rsidRPr="00C35184">
        <w:rPr>
          <w:rFonts w:ascii="Times New Roman" w:hAnsi="Times New Roman" w:cs="Times New Roman"/>
          <w:bCs/>
          <w:sz w:val="24"/>
          <w:szCs w:val="24"/>
        </w:rPr>
        <w:t xml:space="preserve"> </w:t>
      </w:r>
      <w:r w:rsidRPr="00C35184">
        <w:rPr>
          <w:rFonts w:ascii="Times New Roman" w:hAnsi="Times New Roman" w:cs="Times New Roman"/>
          <w:color w:val="000000"/>
          <w:sz w:val="24"/>
          <w:szCs w:val="24"/>
          <w:lang w:eastAsia="en-GB"/>
        </w:rPr>
        <w:t>The groundwater sample WQI was 21.61 and can be classified</w:t>
      </w:r>
      <w:r w:rsidRPr="00C35184">
        <w:rPr>
          <w:rFonts w:ascii="Times New Roman" w:hAnsi="Times New Roman" w:cs="Times New Roman"/>
          <w:color w:val="000000"/>
          <w:sz w:val="24"/>
          <w:szCs w:val="24"/>
        </w:rPr>
        <w:t xml:space="preserve"> “Excellent Water”. </w:t>
      </w:r>
      <w:r w:rsidRPr="00C35184">
        <w:rPr>
          <w:rFonts w:ascii="Times New Roman" w:hAnsi="Times New Roman" w:cs="Times New Roman"/>
          <w:bCs/>
          <w:color w:val="000000"/>
          <w:sz w:val="24"/>
          <w:szCs w:val="24"/>
        </w:rPr>
        <w:t>It was concluded that the decommissioned pipelines had no direct impact on the quality of the groundwater.</w:t>
      </w:r>
    </w:p>
    <w:p w14:paraId="697B6E40" w14:textId="3F418416" w:rsidR="006660CB" w:rsidRPr="00C35184" w:rsidRDefault="006660CB" w:rsidP="006660CB">
      <w:pPr>
        <w:spacing w:after="0" w:line="240" w:lineRule="auto"/>
        <w:jc w:val="both"/>
        <w:rPr>
          <w:rFonts w:ascii="Times New Roman" w:hAnsi="Times New Roman" w:cs="Times New Roman"/>
          <w:bCs/>
          <w:sz w:val="24"/>
          <w:szCs w:val="24"/>
        </w:rPr>
      </w:pPr>
    </w:p>
    <w:p w14:paraId="55A6979B" w14:textId="404F6148" w:rsidR="006660CB" w:rsidRPr="00C35184" w:rsidRDefault="006660CB" w:rsidP="006660CB">
      <w:pPr>
        <w:spacing w:after="0" w:line="240" w:lineRule="auto"/>
        <w:jc w:val="both"/>
        <w:rPr>
          <w:rFonts w:ascii="Times New Roman" w:hAnsi="Times New Roman" w:cs="Times New Roman"/>
          <w:bCs/>
          <w:sz w:val="24"/>
          <w:szCs w:val="24"/>
        </w:rPr>
      </w:pPr>
      <w:r w:rsidRPr="00C35184">
        <w:rPr>
          <w:rFonts w:ascii="Times New Roman" w:hAnsi="Times New Roman" w:cs="Times New Roman"/>
          <w:b/>
          <w:sz w:val="24"/>
          <w:szCs w:val="24"/>
        </w:rPr>
        <w:t>Keywords:</w:t>
      </w:r>
      <w:r w:rsidRPr="00C35184">
        <w:rPr>
          <w:rFonts w:ascii="Times New Roman" w:hAnsi="Times New Roman" w:cs="Times New Roman"/>
          <w:bCs/>
          <w:sz w:val="24"/>
          <w:szCs w:val="24"/>
        </w:rPr>
        <w:t xml:space="preserve"> Water Quality Index (WQI), Groundwater, Drinking Water, Water Quality, Rivers State.</w:t>
      </w:r>
    </w:p>
    <w:p w14:paraId="4053CAE4" w14:textId="77777777" w:rsidR="006660CB" w:rsidRPr="00C35184" w:rsidRDefault="006660CB" w:rsidP="006660CB">
      <w:pPr>
        <w:spacing w:after="0" w:line="240" w:lineRule="auto"/>
        <w:jc w:val="both"/>
        <w:rPr>
          <w:rFonts w:ascii="Times New Roman" w:hAnsi="Times New Roman" w:cs="Times New Roman"/>
          <w:bCs/>
          <w:sz w:val="24"/>
          <w:szCs w:val="24"/>
        </w:rPr>
      </w:pPr>
    </w:p>
    <w:p w14:paraId="4D316291" w14:textId="77777777" w:rsidR="00F50201" w:rsidRPr="00C35184" w:rsidRDefault="00F50201" w:rsidP="001449B3">
      <w:pPr>
        <w:spacing w:after="0" w:line="480" w:lineRule="auto"/>
        <w:rPr>
          <w:rFonts w:ascii="Times New Roman" w:hAnsi="Times New Roman" w:cs="Times New Roman"/>
          <w:b/>
          <w:bCs/>
          <w:sz w:val="24"/>
          <w:szCs w:val="24"/>
        </w:rPr>
      </w:pPr>
    </w:p>
    <w:p w14:paraId="466F5F25" w14:textId="77777777" w:rsidR="00F50201" w:rsidRPr="00C35184" w:rsidRDefault="00F50201" w:rsidP="001449B3">
      <w:pPr>
        <w:spacing w:after="0" w:line="480" w:lineRule="auto"/>
        <w:rPr>
          <w:rFonts w:ascii="Times New Roman" w:hAnsi="Times New Roman" w:cs="Times New Roman"/>
          <w:b/>
          <w:bCs/>
          <w:sz w:val="24"/>
          <w:szCs w:val="24"/>
        </w:rPr>
      </w:pPr>
    </w:p>
    <w:p w14:paraId="12AC6B97" w14:textId="77777777" w:rsidR="00F50201" w:rsidRPr="00C35184" w:rsidRDefault="00F50201" w:rsidP="001449B3">
      <w:pPr>
        <w:spacing w:after="0" w:line="480" w:lineRule="auto"/>
        <w:rPr>
          <w:rFonts w:ascii="Times New Roman" w:hAnsi="Times New Roman" w:cs="Times New Roman"/>
          <w:b/>
          <w:bCs/>
          <w:sz w:val="24"/>
          <w:szCs w:val="24"/>
        </w:rPr>
      </w:pPr>
    </w:p>
    <w:p w14:paraId="014438D8" w14:textId="77777777" w:rsidR="00F50201" w:rsidRPr="00C35184" w:rsidRDefault="00F50201" w:rsidP="001449B3">
      <w:pPr>
        <w:spacing w:after="0" w:line="480" w:lineRule="auto"/>
        <w:rPr>
          <w:rFonts w:ascii="Times New Roman" w:hAnsi="Times New Roman" w:cs="Times New Roman"/>
          <w:b/>
          <w:bCs/>
          <w:sz w:val="24"/>
          <w:szCs w:val="24"/>
        </w:rPr>
      </w:pPr>
    </w:p>
    <w:p w14:paraId="4FCD3146" w14:textId="77777777" w:rsidR="00F50201" w:rsidRPr="00C35184" w:rsidRDefault="00F50201" w:rsidP="001449B3">
      <w:pPr>
        <w:spacing w:after="0" w:line="480" w:lineRule="auto"/>
        <w:rPr>
          <w:rFonts w:ascii="Times New Roman" w:hAnsi="Times New Roman" w:cs="Times New Roman"/>
          <w:b/>
          <w:bCs/>
          <w:sz w:val="24"/>
          <w:szCs w:val="24"/>
        </w:rPr>
      </w:pPr>
    </w:p>
    <w:p w14:paraId="20F3281D" w14:textId="77777777" w:rsidR="00F50201" w:rsidRPr="00C35184" w:rsidRDefault="00F50201" w:rsidP="001449B3">
      <w:pPr>
        <w:spacing w:after="0" w:line="480" w:lineRule="auto"/>
        <w:rPr>
          <w:rFonts w:ascii="Times New Roman" w:hAnsi="Times New Roman" w:cs="Times New Roman"/>
          <w:b/>
          <w:bCs/>
          <w:sz w:val="24"/>
          <w:szCs w:val="24"/>
        </w:rPr>
      </w:pPr>
    </w:p>
    <w:p w14:paraId="3710DF61" w14:textId="77777777" w:rsidR="00F50201" w:rsidRPr="00C35184" w:rsidRDefault="00F50201" w:rsidP="001449B3">
      <w:pPr>
        <w:spacing w:after="0" w:line="480" w:lineRule="auto"/>
        <w:rPr>
          <w:rFonts w:ascii="Times New Roman" w:hAnsi="Times New Roman" w:cs="Times New Roman"/>
          <w:b/>
          <w:bCs/>
          <w:sz w:val="24"/>
          <w:szCs w:val="24"/>
        </w:rPr>
      </w:pPr>
    </w:p>
    <w:p w14:paraId="145DB88C" w14:textId="77777777" w:rsidR="00F50201" w:rsidRPr="00C35184" w:rsidRDefault="00F50201" w:rsidP="001449B3">
      <w:pPr>
        <w:spacing w:after="0" w:line="480" w:lineRule="auto"/>
        <w:rPr>
          <w:rFonts w:ascii="Times New Roman" w:hAnsi="Times New Roman" w:cs="Times New Roman"/>
          <w:b/>
          <w:bCs/>
          <w:sz w:val="24"/>
          <w:szCs w:val="24"/>
        </w:rPr>
      </w:pPr>
    </w:p>
    <w:p w14:paraId="42332449" w14:textId="1A684CDE" w:rsidR="005219C9" w:rsidRPr="00C35184" w:rsidRDefault="00C35184" w:rsidP="00F50201">
      <w:pPr>
        <w:pStyle w:val="ListParagraph"/>
        <w:numPr>
          <w:ilvl w:val="0"/>
          <w:numId w:val="2"/>
        </w:numPr>
        <w:spacing w:after="0" w:line="480" w:lineRule="auto"/>
        <w:rPr>
          <w:rFonts w:ascii="Times New Roman" w:hAnsi="Times New Roman"/>
          <w:b/>
          <w:bCs/>
          <w:sz w:val="24"/>
          <w:szCs w:val="24"/>
        </w:rPr>
      </w:pPr>
      <w:r w:rsidRPr="00C35184">
        <w:rPr>
          <w:rFonts w:ascii="Times New Roman" w:hAnsi="Times New Roman"/>
          <w:b/>
          <w:bCs/>
          <w:sz w:val="24"/>
          <w:szCs w:val="24"/>
        </w:rPr>
        <w:t>INTRODUCTION</w:t>
      </w:r>
    </w:p>
    <w:p w14:paraId="7ACB35F0" w14:textId="7E95AD5B" w:rsidR="00F7244C" w:rsidRPr="00C35184" w:rsidRDefault="00F7244C" w:rsidP="001449B3">
      <w:pPr>
        <w:spacing w:after="0" w:line="480" w:lineRule="auto"/>
        <w:jc w:val="both"/>
        <w:rPr>
          <w:rFonts w:ascii="Times New Roman" w:hAnsi="Times New Roman" w:cs="Times New Roman"/>
          <w:sz w:val="24"/>
          <w:szCs w:val="24"/>
          <w:lang w:eastAsia="en-GB"/>
        </w:rPr>
      </w:pPr>
      <w:r w:rsidRPr="00C35184">
        <w:rPr>
          <w:rFonts w:ascii="Times New Roman" w:hAnsi="Times New Roman" w:cs="Times New Roman"/>
          <w:sz w:val="24"/>
          <w:szCs w:val="24"/>
          <w:lang w:eastAsia="en-GB"/>
        </w:rPr>
        <w:t xml:space="preserve">Water is essential for life and for all economic activities. It is used for domestic, industrial and agricultural purposes. Having sufficient water in sufficient quantity and quality contributes to </w:t>
      </w:r>
      <w:r w:rsidRPr="00C35184">
        <w:rPr>
          <w:rFonts w:ascii="Times New Roman" w:hAnsi="Times New Roman" w:cs="Times New Roman"/>
          <w:sz w:val="24"/>
          <w:szCs w:val="24"/>
          <w:lang w:eastAsia="en-GB"/>
        </w:rPr>
        <w:lastRenderedPageBreak/>
        <w:t>maintaining health. The availability of water of good quality is essential to prevent diseases and to improve the quality of life. The use of water increased due to increasing in human population and activities (Al-sudani, 2018). Groundwater is one of the important components in development of any area. It is the major potable, agricultural and industrial source of water. In 2003, it was estimated that groundwater holds nearly 50% of the drinking water supply, 40% of the demand for industrial water, and 20% of the water used for irrigation (Al-sudani, 2019).</w:t>
      </w:r>
    </w:p>
    <w:p w14:paraId="4D8FDABA" w14:textId="77777777" w:rsidR="00B82451" w:rsidRPr="00C35184" w:rsidRDefault="00283958" w:rsidP="001449B3">
      <w:pPr>
        <w:autoSpaceDE w:val="0"/>
        <w:autoSpaceDN w:val="0"/>
        <w:adjustRightInd w:val="0"/>
        <w:spacing w:after="0" w:line="480" w:lineRule="auto"/>
        <w:jc w:val="both"/>
        <w:rPr>
          <w:rFonts w:ascii="Times New Roman" w:hAnsi="Times New Roman" w:cs="Times New Roman"/>
          <w:sz w:val="24"/>
          <w:szCs w:val="24"/>
          <w:lang w:eastAsia="en-GB"/>
        </w:rPr>
      </w:pPr>
      <w:r w:rsidRPr="00C35184">
        <w:rPr>
          <w:rFonts w:ascii="Times New Roman" w:hAnsi="Times New Roman" w:cs="Times New Roman"/>
          <w:sz w:val="24"/>
          <w:szCs w:val="24"/>
          <w:lang w:eastAsia="en-GB"/>
        </w:rPr>
        <w:t xml:space="preserve">Assessment of groundwater quality is critical for resource planning and environmental management (Mohamed </w:t>
      </w:r>
      <w:r w:rsidRPr="00C35184">
        <w:rPr>
          <w:rFonts w:ascii="Times New Roman" w:hAnsi="Times New Roman" w:cs="Times New Roman"/>
          <w:i/>
          <w:iCs/>
          <w:sz w:val="24"/>
          <w:szCs w:val="24"/>
          <w:lang w:eastAsia="en-GB"/>
        </w:rPr>
        <w:t>et al</w:t>
      </w:r>
      <w:r w:rsidRPr="00C35184">
        <w:rPr>
          <w:rFonts w:ascii="Times New Roman" w:hAnsi="Times New Roman" w:cs="Times New Roman"/>
          <w:sz w:val="24"/>
          <w:szCs w:val="24"/>
          <w:lang w:eastAsia="en-GB"/>
        </w:rPr>
        <w:t xml:space="preserve">., 2019). Since water quality status can be described by a number of physical, chemical, and biological parameters, large amounts of data make assessment and comparison significantly difficult (Mester et al., 2020). The most important benefit of </w:t>
      </w:r>
      <w:bookmarkStart w:id="0" w:name="_Hlk176183766"/>
      <w:r w:rsidRPr="00C35184">
        <w:rPr>
          <w:rFonts w:ascii="Times New Roman" w:hAnsi="Times New Roman" w:cs="Times New Roman"/>
          <w:sz w:val="24"/>
          <w:szCs w:val="24"/>
          <w:lang w:eastAsia="en-GB"/>
        </w:rPr>
        <w:t xml:space="preserve">water quality indices (WQI) </w:t>
      </w:r>
      <w:bookmarkEnd w:id="0"/>
      <w:r w:rsidRPr="00C35184">
        <w:rPr>
          <w:rFonts w:ascii="Times New Roman" w:hAnsi="Times New Roman" w:cs="Times New Roman"/>
          <w:sz w:val="24"/>
          <w:szCs w:val="24"/>
          <w:lang w:eastAsia="en-GB"/>
        </w:rPr>
        <w:t xml:space="preserve">is to provide a simplified approach for the assessment of water quality by greatly minimizing the data volume and simplifying the expression of water quality status (Al-Omran </w:t>
      </w:r>
      <w:r w:rsidRPr="00C35184">
        <w:rPr>
          <w:rFonts w:ascii="Times New Roman" w:hAnsi="Times New Roman" w:cs="Times New Roman"/>
          <w:i/>
          <w:sz w:val="24"/>
          <w:szCs w:val="24"/>
          <w:lang w:eastAsia="en-GB"/>
        </w:rPr>
        <w:t>et al</w:t>
      </w:r>
      <w:r w:rsidRPr="00C35184">
        <w:rPr>
          <w:rFonts w:ascii="Times New Roman" w:hAnsi="Times New Roman" w:cs="Times New Roman"/>
          <w:sz w:val="24"/>
          <w:szCs w:val="24"/>
          <w:lang w:eastAsia="en-GB"/>
        </w:rPr>
        <w:t xml:space="preserve">., 2018; Mester </w:t>
      </w:r>
      <w:r w:rsidRPr="00C35184">
        <w:rPr>
          <w:rFonts w:ascii="Times New Roman" w:hAnsi="Times New Roman" w:cs="Times New Roman"/>
          <w:i/>
          <w:sz w:val="24"/>
          <w:szCs w:val="24"/>
          <w:lang w:eastAsia="en-GB"/>
        </w:rPr>
        <w:t>et al</w:t>
      </w:r>
      <w:r w:rsidRPr="00C35184">
        <w:rPr>
          <w:rFonts w:ascii="Times New Roman" w:hAnsi="Times New Roman" w:cs="Times New Roman"/>
          <w:sz w:val="24"/>
          <w:szCs w:val="24"/>
          <w:lang w:eastAsia="en-GB"/>
        </w:rPr>
        <w:t xml:space="preserve">., 2020). Thus, the use of these indices in ecosystem monitoring programs makes it possible to inform the general public and decision-makers about the state of the environment (Tiwari et al. 2016; </w:t>
      </w:r>
      <w:proofErr w:type="spellStart"/>
      <w:r w:rsidRPr="00C35184">
        <w:rPr>
          <w:rFonts w:ascii="Times New Roman" w:hAnsi="Times New Roman" w:cs="Times New Roman"/>
          <w:sz w:val="24"/>
          <w:szCs w:val="24"/>
          <w:lang w:eastAsia="en-GB"/>
        </w:rPr>
        <w:t>Venkatramanan</w:t>
      </w:r>
      <w:proofErr w:type="spellEnd"/>
      <w:r w:rsidRPr="00C35184">
        <w:rPr>
          <w:rFonts w:ascii="Times New Roman" w:hAnsi="Times New Roman" w:cs="Times New Roman"/>
          <w:sz w:val="24"/>
          <w:szCs w:val="24"/>
          <w:lang w:eastAsia="en-GB"/>
        </w:rPr>
        <w:t xml:space="preserve"> et al. 2017; Bilgin, 2018; Wu et al. 2020; Mester </w:t>
      </w:r>
      <w:r w:rsidRPr="00C35184">
        <w:rPr>
          <w:rFonts w:ascii="Times New Roman" w:hAnsi="Times New Roman" w:cs="Times New Roman"/>
          <w:i/>
          <w:sz w:val="24"/>
          <w:szCs w:val="24"/>
          <w:lang w:eastAsia="en-GB"/>
        </w:rPr>
        <w:t>et al</w:t>
      </w:r>
      <w:r w:rsidRPr="00C35184">
        <w:rPr>
          <w:rFonts w:ascii="Times New Roman" w:hAnsi="Times New Roman" w:cs="Times New Roman"/>
          <w:sz w:val="24"/>
          <w:szCs w:val="24"/>
          <w:lang w:eastAsia="en-GB"/>
        </w:rPr>
        <w:t xml:space="preserve">., 2020). This approach can also help to provide a benchmark for evaluating the successes and failures of management strategies in improving water quality, and it will also indicate what actions should be modified (Mester </w:t>
      </w:r>
      <w:r w:rsidRPr="00C35184">
        <w:rPr>
          <w:rFonts w:ascii="Times New Roman" w:hAnsi="Times New Roman" w:cs="Times New Roman"/>
          <w:i/>
          <w:sz w:val="24"/>
          <w:szCs w:val="24"/>
          <w:lang w:eastAsia="en-GB"/>
        </w:rPr>
        <w:t>et al</w:t>
      </w:r>
      <w:r w:rsidRPr="00C35184">
        <w:rPr>
          <w:rFonts w:ascii="Times New Roman" w:hAnsi="Times New Roman" w:cs="Times New Roman"/>
          <w:sz w:val="24"/>
          <w:szCs w:val="24"/>
          <w:lang w:eastAsia="en-GB"/>
        </w:rPr>
        <w:t>., 2020).</w:t>
      </w:r>
    </w:p>
    <w:p w14:paraId="76B7A72F" w14:textId="6030DCB4" w:rsidR="00B82451" w:rsidRPr="00C35184" w:rsidRDefault="00B82451" w:rsidP="001449B3">
      <w:pPr>
        <w:autoSpaceDE w:val="0"/>
        <w:autoSpaceDN w:val="0"/>
        <w:adjustRightInd w:val="0"/>
        <w:spacing w:after="0" w:line="480" w:lineRule="auto"/>
        <w:jc w:val="both"/>
        <w:rPr>
          <w:rFonts w:ascii="Times New Roman" w:hAnsi="Times New Roman" w:cs="Times New Roman"/>
          <w:sz w:val="24"/>
          <w:szCs w:val="24"/>
          <w:lang w:eastAsia="en-GB"/>
        </w:rPr>
      </w:pPr>
      <w:r w:rsidRPr="00C35184">
        <w:rPr>
          <w:rFonts w:ascii="Times New Roman" w:hAnsi="Times New Roman" w:cs="Times New Roman"/>
          <w:sz w:val="24"/>
          <w:szCs w:val="24"/>
          <w:lang w:eastAsia="en-GB"/>
        </w:rPr>
        <w:t>Water is the principal component in the earth which supports the life of all living. Groundwater is a very important source of water, specifically in the semi-arid and arid region. It supports all types of uses (drinking, irrigation, and industrial) (</w:t>
      </w:r>
      <w:proofErr w:type="spellStart"/>
      <w:r w:rsidRPr="00C35184">
        <w:rPr>
          <w:rFonts w:ascii="Times New Roman" w:hAnsi="Times New Roman" w:cs="Times New Roman"/>
          <w:sz w:val="24"/>
          <w:szCs w:val="24"/>
          <w:lang w:eastAsia="en-GB"/>
        </w:rPr>
        <w:t>Hamzaoui-Azaza</w:t>
      </w:r>
      <w:proofErr w:type="spellEnd"/>
      <w:r w:rsidRPr="00C35184">
        <w:rPr>
          <w:rFonts w:ascii="Times New Roman" w:hAnsi="Times New Roman" w:cs="Times New Roman"/>
          <w:sz w:val="24"/>
          <w:szCs w:val="24"/>
          <w:lang w:eastAsia="en-GB"/>
        </w:rPr>
        <w:t xml:space="preserve"> et al. 2020; </w:t>
      </w:r>
      <w:proofErr w:type="spellStart"/>
      <w:r w:rsidRPr="00C35184">
        <w:rPr>
          <w:rFonts w:ascii="Times New Roman" w:hAnsi="Times New Roman" w:cs="Times New Roman"/>
          <w:sz w:val="24"/>
          <w:szCs w:val="24"/>
          <w:lang w:eastAsia="en-GB"/>
        </w:rPr>
        <w:t>Aouiti</w:t>
      </w:r>
      <w:proofErr w:type="spellEnd"/>
      <w:r w:rsidRPr="00C35184">
        <w:rPr>
          <w:rFonts w:ascii="Times New Roman" w:hAnsi="Times New Roman" w:cs="Times New Roman"/>
          <w:sz w:val="24"/>
          <w:szCs w:val="24"/>
          <w:lang w:eastAsia="en-GB"/>
        </w:rPr>
        <w:t xml:space="preserve"> et al., 2021). However, groundwater is threatened by severe problems caused by natural/anthropogenic factors, such as the extensive agricultural activities, the marine intrusion, the population growth, and the industrial development (</w:t>
      </w:r>
      <w:proofErr w:type="spellStart"/>
      <w:r w:rsidRPr="00C35184">
        <w:rPr>
          <w:rFonts w:ascii="Times New Roman" w:hAnsi="Times New Roman" w:cs="Times New Roman"/>
          <w:sz w:val="24"/>
          <w:szCs w:val="24"/>
          <w:lang w:eastAsia="en-GB"/>
        </w:rPr>
        <w:t>Zammouri</w:t>
      </w:r>
      <w:proofErr w:type="spellEnd"/>
      <w:r w:rsidRPr="00C35184">
        <w:rPr>
          <w:rFonts w:ascii="Times New Roman" w:hAnsi="Times New Roman" w:cs="Times New Roman"/>
          <w:sz w:val="24"/>
          <w:szCs w:val="24"/>
          <w:lang w:eastAsia="en-GB"/>
        </w:rPr>
        <w:t xml:space="preserve"> et al. 2013; </w:t>
      </w:r>
      <w:proofErr w:type="spellStart"/>
      <w:r w:rsidRPr="00C35184">
        <w:rPr>
          <w:rFonts w:ascii="Times New Roman" w:hAnsi="Times New Roman" w:cs="Times New Roman"/>
          <w:sz w:val="24"/>
          <w:szCs w:val="24"/>
          <w:lang w:eastAsia="en-GB"/>
        </w:rPr>
        <w:t>Aouiti</w:t>
      </w:r>
      <w:proofErr w:type="spellEnd"/>
      <w:r w:rsidRPr="00C35184">
        <w:rPr>
          <w:rFonts w:ascii="Times New Roman" w:hAnsi="Times New Roman" w:cs="Times New Roman"/>
          <w:sz w:val="24"/>
          <w:szCs w:val="24"/>
          <w:lang w:eastAsia="en-GB"/>
        </w:rPr>
        <w:t xml:space="preserve"> et al., 2021). This factor engendered a degradation in the quality and the quantity and the quantity of </w:t>
      </w:r>
      <w:r w:rsidRPr="00C35184">
        <w:rPr>
          <w:rFonts w:ascii="Times New Roman" w:hAnsi="Times New Roman" w:cs="Times New Roman"/>
          <w:sz w:val="24"/>
          <w:szCs w:val="24"/>
          <w:lang w:eastAsia="en-GB"/>
        </w:rPr>
        <w:lastRenderedPageBreak/>
        <w:t xml:space="preserve">groundwater in many countries: for example, Ameur et al. (2016) found that the water quality, in the northeast Tunisia, is at poor level due to the nitrate pollution that originate from the excessive use of nitrate-rich fertilizers. </w:t>
      </w:r>
      <w:proofErr w:type="spellStart"/>
      <w:r w:rsidRPr="00C35184">
        <w:rPr>
          <w:rFonts w:ascii="Times New Roman" w:hAnsi="Times New Roman" w:cs="Times New Roman"/>
          <w:sz w:val="24"/>
          <w:szCs w:val="24"/>
          <w:lang w:eastAsia="en-GB"/>
        </w:rPr>
        <w:t>Adimalla</w:t>
      </w:r>
      <w:proofErr w:type="spellEnd"/>
      <w:r w:rsidRPr="00C35184">
        <w:rPr>
          <w:rFonts w:ascii="Times New Roman" w:hAnsi="Times New Roman" w:cs="Times New Roman"/>
          <w:sz w:val="24"/>
          <w:szCs w:val="24"/>
          <w:lang w:eastAsia="en-GB"/>
        </w:rPr>
        <w:t xml:space="preserve"> (2019) conducted a study on the effect of the rapidly urban activities (South India) on water quality and the human health risk related to the nitrate and the fluoride pollution.</w:t>
      </w:r>
    </w:p>
    <w:p w14:paraId="4C56895F" w14:textId="0820BF94" w:rsidR="00CF7761" w:rsidRPr="00C35184" w:rsidRDefault="00CF7761" w:rsidP="001449B3">
      <w:pPr>
        <w:pStyle w:val="Default"/>
        <w:spacing w:line="480" w:lineRule="auto"/>
        <w:jc w:val="both"/>
        <w:rPr>
          <w:rFonts w:ascii="Times New Roman" w:hAnsi="Times New Roman" w:cs="Times New Roman"/>
          <w:color w:val="auto"/>
        </w:rPr>
      </w:pPr>
      <w:r w:rsidRPr="00C35184">
        <w:rPr>
          <w:rFonts w:ascii="Times New Roman" w:hAnsi="Times New Roman" w:cs="Times New Roman"/>
          <w:color w:val="auto"/>
        </w:rPr>
        <w:t>Several criterial are considered when carrying out groundwater quality assessment. Assessment can be carried using different methodologies (</w:t>
      </w:r>
      <w:r w:rsidRPr="00C35184">
        <w:rPr>
          <w:rFonts w:ascii="Times New Roman" w:hAnsi="Times New Roman" w:cs="Times New Roman"/>
          <w:lang w:eastAsia="en-GB"/>
        </w:rPr>
        <w:t>Satyajit</w:t>
      </w:r>
      <w:r w:rsidRPr="00C35184">
        <w:rPr>
          <w:rFonts w:ascii="Times New Roman" w:hAnsi="Times New Roman" w:cs="Times New Roman"/>
          <w:color w:val="auto"/>
          <w:lang w:eastAsia="en-GB"/>
        </w:rPr>
        <w:t xml:space="preserve">, et al., 2020; </w:t>
      </w:r>
      <w:proofErr w:type="spellStart"/>
      <w:r w:rsidRPr="00C35184">
        <w:rPr>
          <w:rFonts w:ascii="Times New Roman" w:hAnsi="Times New Roman" w:cs="Times New Roman"/>
          <w:color w:val="auto"/>
          <w:lang w:eastAsia="en-GB"/>
        </w:rPr>
        <w:t>Megahed</w:t>
      </w:r>
      <w:proofErr w:type="spellEnd"/>
      <w:r w:rsidRPr="00C35184">
        <w:rPr>
          <w:rFonts w:ascii="Times New Roman" w:hAnsi="Times New Roman" w:cs="Times New Roman"/>
          <w:color w:val="auto"/>
        </w:rPr>
        <w:t xml:space="preserve">, 2020; </w:t>
      </w:r>
      <w:proofErr w:type="spellStart"/>
      <w:r w:rsidRPr="00C35184">
        <w:rPr>
          <w:rFonts w:ascii="Times New Roman" w:hAnsi="Times New Roman" w:cs="Times New Roman"/>
          <w:color w:val="auto"/>
          <w:lang w:eastAsia="en-GB"/>
        </w:rPr>
        <w:t>Knopek</w:t>
      </w:r>
      <w:proofErr w:type="spellEnd"/>
      <w:r w:rsidRPr="00C35184">
        <w:rPr>
          <w:rFonts w:ascii="Times New Roman" w:hAnsi="Times New Roman" w:cs="Times New Roman"/>
          <w:color w:val="auto"/>
          <w:lang w:eastAsia="en-GB"/>
        </w:rPr>
        <w:t xml:space="preserve"> &amp; </w:t>
      </w:r>
      <w:proofErr w:type="spellStart"/>
      <w:r w:rsidRPr="00C35184">
        <w:rPr>
          <w:rFonts w:ascii="Times New Roman" w:hAnsi="Times New Roman" w:cs="Times New Roman"/>
          <w:color w:val="auto"/>
          <w:lang w:eastAsia="en-GB"/>
        </w:rPr>
        <w:t>Dabrowska</w:t>
      </w:r>
      <w:proofErr w:type="spellEnd"/>
      <w:r w:rsidRPr="00C35184">
        <w:rPr>
          <w:rFonts w:ascii="Times New Roman" w:hAnsi="Times New Roman" w:cs="Times New Roman"/>
          <w:color w:val="auto"/>
          <w:lang w:eastAsia="en-GB"/>
        </w:rPr>
        <w:t>, 2021</w:t>
      </w:r>
      <w:r w:rsidR="000368AD" w:rsidRPr="00C35184">
        <w:rPr>
          <w:rFonts w:ascii="Times New Roman" w:hAnsi="Times New Roman" w:cs="Times New Roman"/>
          <w:color w:val="auto"/>
          <w:lang w:eastAsia="en-GB"/>
        </w:rPr>
        <w:t>; Afolabi et al., 2023</w:t>
      </w:r>
      <w:r w:rsidRPr="00C35184">
        <w:rPr>
          <w:rFonts w:ascii="Times New Roman" w:hAnsi="Times New Roman" w:cs="Times New Roman"/>
          <w:color w:val="auto"/>
          <w:lang w:eastAsia="en-GB"/>
        </w:rPr>
        <w:t>)</w:t>
      </w:r>
      <w:r w:rsidR="000368AD" w:rsidRPr="00C35184">
        <w:rPr>
          <w:rFonts w:ascii="Times New Roman" w:hAnsi="Times New Roman" w:cs="Times New Roman"/>
          <w:color w:val="auto"/>
          <w:lang w:eastAsia="en-GB"/>
        </w:rPr>
        <w:t xml:space="preserve"> and </w:t>
      </w:r>
      <w:r w:rsidRPr="00C35184">
        <w:rPr>
          <w:rFonts w:ascii="Times New Roman" w:hAnsi="Times New Roman" w:cs="Times New Roman"/>
          <w:color w:val="auto"/>
        </w:rPr>
        <w:t>based on specific parameter focus (Lofti et al., 2020</w:t>
      </w:r>
      <w:r w:rsidR="000368AD" w:rsidRPr="00C35184">
        <w:rPr>
          <w:rFonts w:ascii="Times New Roman" w:hAnsi="Times New Roman" w:cs="Times New Roman"/>
          <w:color w:val="auto"/>
          <w:lang w:eastAsia="en-GB"/>
        </w:rPr>
        <w:t xml:space="preserve">, </w:t>
      </w:r>
      <w:r w:rsidRPr="00C35184">
        <w:rPr>
          <w:rFonts w:ascii="Times New Roman" w:hAnsi="Times New Roman" w:cs="Times New Roman"/>
          <w:color w:val="auto"/>
        </w:rPr>
        <w:t xml:space="preserve">Ibe et al., 2020; </w:t>
      </w:r>
      <w:proofErr w:type="spellStart"/>
      <w:r w:rsidR="00653C2C" w:rsidRPr="00C35184">
        <w:rPr>
          <w:rStyle w:val="A6"/>
          <w:rFonts w:ascii="Times New Roman" w:hAnsi="Times New Roman" w:cs="Times New Roman"/>
          <w:b w:val="0"/>
          <w:color w:val="auto"/>
          <w:sz w:val="24"/>
          <w:szCs w:val="24"/>
        </w:rPr>
        <w:t>Ogbaran</w:t>
      </w:r>
      <w:proofErr w:type="spellEnd"/>
      <w:r w:rsidR="00653C2C" w:rsidRPr="00C35184">
        <w:rPr>
          <w:rStyle w:val="A6"/>
          <w:rFonts w:ascii="Times New Roman" w:hAnsi="Times New Roman" w:cs="Times New Roman"/>
          <w:b w:val="0"/>
          <w:color w:val="auto"/>
          <w:sz w:val="24"/>
          <w:szCs w:val="24"/>
        </w:rPr>
        <w:t xml:space="preserve"> &amp; </w:t>
      </w:r>
      <w:proofErr w:type="spellStart"/>
      <w:r w:rsidR="00653C2C" w:rsidRPr="00C35184">
        <w:rPr>
          <w:rStyle w:val="A6"/>
          <w:rFonts w:ascii="Times New Roman" w:hAnsi="Times New Roman" w:cs="Times New Roman"/>
          <w:b w:val="0"/>
          <w:color w:val="auto"/>
          <w:sz w:val="24"/>
          <w:szCs w:val="24"/>
        </w:rPr>
        <w:t>Uguru</w:t>
      </w:r>
      <w:proofErr w:type="spellEnd"/>
      <w:r w:rsidR="00653C2C" w:rsidRPr="00C35184">
        <w:rPr>
          <w:rStyle w:val="A6"/>
          <w:rFonts w:ascii="Times New Roman" w:hAnsi="Times New Roman" w:cs="Times New Roman"/>
          <w:b w:val="0"/>
          <w:color w:val="auto"/>
          <w:sz w:val="24"/>
          <w:szCs w:val="24"/>
        </w:rPr>
        <w:t xml:space="preserve">, 2021; </w:t>
      </w:r>
      <w:r w:rsidRPr="00C35184">
        <w:rPr>
          <w:rFonts w:ascii="Times New Roman" w:hAnsi="Times New Roman" w:cs="Times New Roman"/>
          <w:color w:val="auto"/>
        </w:rPr>
        <w:t>Saleh et al., 2022)</w:t>
      </w:r>
      <w:r w:rsidR="00653C2C" w:rsidRPr="00C35184">
        <w:rPr>
          <w:rFonts w:ascii="Times New Roman" w:hAnsi="Times New Roman" w:cs="Times New Roman"/>
          <w:color w:val="auto"/>
        </w:rPr>
        <w:t>.</w:t>
      </w:r>
      <w:r w:rsidR="00390253" w:rsidRPr="00C35184">
        <w:rPr>
          <w:rFonts w:ascii="Times New Roman" w:hAnsi="Times New Roman" w:cs="Times New Roman"/>
          <w:color w:val="auto"/>
        </w:rPr>
        <w:t xml:space="preserve"> </w:t>
      </w:r>
      <w:r w:rsidRPr="00C35184">
        <w:rPr>
          <w:rFonts w:ascii="Times New Roman" w:hAnsi="Times New Roman" w:cs="Times New Roman"/>
          <w:color w:val="auto"/>
        </w:rPr>
        <w:t xml:space="preserve">However, the study focused on assessment of groundwater quality </w:t>
      </w:r>
      <w:r w:rsidR="00390078" w:rsidRPr="00C35184">
        <w:rPr>
          <w:rFonts w:ascii="Times New Roman" w:hAnsi="Times New Roman" w:cs="Times New Roman"/>
          <w:iCs/>
        </w:rPr>
        <w:t xml:space="preserve">along </w:t>
      </w:r>
      <w:r w:rsidR="00E556F4" w:rsidRPr="00E556F4">
        <w:rPr>
          <w:rFonts w:ascii="Times New Roman" w:hAnsi="Times New Roman" w:cs="Times New Roman"/>
          <w:iCs/>
          <w:highlight w:val="green"/>
        </w:rPr>
        <w:t>decommissioned</w:t>
      </w:r>
      <w:r w:rsidR="00E556F4">
        <w:rPr>
          <w:rFonts w:ascii="Times New Roman" w:hAnsi="Times New Roman" w:cs="Times New Roman"/>
          <w:iCs/>
        </w:rPr>
        <w:t xml:space="preserve"> </w:t>
      </w:r>
      <w:r w:rsidR="00390078" w:rsidRPr="00C35184">
        <w:rPr>
          <w:rFonts w:ascii="Times New Roman" w:hAnsi="Times New Roman" w:cs="Times New Roman"/>
          <w:iCs/>
        </w:rPr>
        <w:t xml:space="preserve">pipeline routes </w:t>
      </w:r>
      <w:r w:rsidRPr="00C35184">
        <w:rPr>
          <w:rFonts w:ascii="Times New Roman" w:hAnsi="Times New Roman" w:cs="Times New Roman"/>
          <w:color w:val="auto"/>
        </w:rPr>
        <w:t xml:space="preserve">using various </w:t>
      </w:r>
      <w:r w:rsidRPr="00C35184">
        <w:rPr>
          <w:rFonts w:ascii="Times New Roman" w:hAnsi="Times New Roman" w:cs="Times New Roman"/>
          <w:color w:val="auto"/>
          <w:lang w:val="en-US"/>
        </w:rPr>
        <w:t>water pollution indices s</w:t>
      </w:r>
      <w:r w:rsidR="00390253" w:rsidRPr="00C35184">
        <w:rPr>
          <w:rFonts w:ascii="Times New Roman" w:hAnsi="Times New Roman" w:cs="Times New Roman"/>
          <w:color w:val="auto"/>
          <w:lang w:val="en-US"/>
        </w:rPr>
        <w:t xml:space="preserve">pecifically </w:t>
      </w:r>
      <w:r w:rsidRPr="00C35184">
        <w:rPr>
          <w:rFonts w:ascii="Times New Roman" w:hAnsi="Times New Roman" w:cs="Times New Roman"/>
          <w:color w:val="auto"/>
          <w:lang w:eastAsia="en-GB"/>
        </w:rPr>
        <w:t>water quality index (WQI)</w:t>
      </w:r>
      <w:r w:rsidR="00390253" w:rsidRPr="00C35184">
        <w:rPr>
          <w:rFonts w:ascii="Times New Roman" w:hAnsi="Times New Roman" w:cs="Times New Roman"/>
          <w:color w:val="auto"/>
          <w:lang w:eastAsia="en-GB"/>
        </w:rPr>
        <w:t>.</w:t>
      </w:r>
      <w:r w:rsidR="00E556F4">
        <w:rPr>
          <w:rFonts w:ascii="Times New Roman" w:hAnsi="Times New Roman" w:cs="Times New Roman"/>
          <w:color w:val="auto"/>
        </w:rPr>
        <w:t xml:space="preserve"> </w:t>
      </w:r>
      <w:r w:rsidRPr="00C35184">
        <w:rPr>
          <w:rFonts w:ascii="Times New Roman" w:hAnsi="Times New Roman" w:cs="Times New Roman"/>
          <w:color w:val="auto"/>
        </w:rPr>
        <w:t xml:space="preserve">The outcome of the study can provide future reference for groundwater quality studies in the study area and beyond, and create the needed awareness about environmental implication of </w:t>
      </w:r>
      <w:r w:rsidR="00390253" w:rsidRPr="00C35184">
        <w:rPr>
          <w:rFonts w:ascii="Times New Roman" w:hAnsi="Times New Roman" w:cs="Times New Roman"/>
          <w:color w:val="auto"/>
        </w:rPr>
        <w:t>human activities influence on groundwater sustainability</w:t>
      </w:r>
      <w:r w:rsidRPr="00C35184">
        <w:rPr>
          <w:rFonts w:ascii="Times New Roman" w:hAnsi="Times New Roman" w:cs="Times New Roman"/>
          <w:color w:val="auto"/>
        </w:rPr>
        <w:t>.</w:t>
      </w:r>
    </w:p>
    <w:p w14:paraId="7059FDA5" w14:textId="19E741B4" w:rsidR="00390253" w:rsidRPr="00C35184" w:rsidRDefault="00C35184" w:rsidP="00C35184">
      <w:pPr>
        <w:pStyle w:val="ListParagraph"/>
        <w:numPr>
          <w:ilvl w:val="0"/>
          <w:numId w:val="2"/>
        </w:numPr>
        <w:autoSpaceDE w:val="0"/>
        <w:autoSpaceDN w:val="0"/>
        <w:adjustRightInd w:val="0"/>
        <w:spacing w:after="0" w:line="480" w:lineRule="auto"/>
        <w:jc w:val="both"/>
        <w:rPr>
          <w:rFonts w:ascii="Times New Roman" w:hAnsi="Times New Roman"/>
          <w:b/>
          <w:sz w:val="24"/>
          <w:szCs w:val="24"/>
          <w:lang w:eastAsia="en-GB"/>
        </w:rPr>
      </w:pPr>
      <w:r w:rsidRPr="00C35184">
        <w:rPr>
          <w:rFonts w:ascii="Times New Roman" w:hAnsi="Times New Roman"/>
          <w:b/>
          <w:sz w:val="24"/>
          <w:szCs w:val="24"/>
          <w:lang w:eastAsia="en-GB"/>
        </w:rPr>
        <w:t>MATERIAL AND METHODS</w:t>
      </w:r>
    </w:p>
    <w:p w14:paraId="476488D8" w14:textId="77777777" w:rsidR="00390253" w:rsidRPr="00C35184" w:rsidRDefault="00390253" w:rsidP="001449B3">
      <w:pPr>
        <w:spacing w:after="0" w:line="480" w:lineRule="auto"/>
        <w:jc w:val="both"/>
        <w:rPr>
          <w:rFonts w:ascii="Times New Roman" w:hAnsi="Times New Roman" w:cs="Times New Roman"/>
          <w:sz w:val="24"/>
          <w:szCs w:val="24"/>
          <w:lang w:eastAsia="en-GB"/>
        </w:rPr>
      </w:pPr>
      <w:r w:rsidRPr="00C35184">
        <w:rPr>
          <w:rFonts w:ascii="Times New Roman" w:hAnsi="Times New Roman" w:cs="Times New Roman"/>
          <w:sz w:val="24"/>
          <w:szCs w:val="24"/>
          <w:lang w:eastAsia="en-GB"/>
        </w:rPr>
        <w:t>Study Area</w:t>
      </w:r>
    </w:p>
    <w:p w14:paraId="76E2A181" w14:textId="7CE10C28" w:rsidR="00390253" w:rsidRPr="00E556F4" w:rsidRDefault="00390253" w:rsidP="001449B3">
      <w:pPr>
        <w:spacing w:after="0" w:line="480" w:lineRule="auto"/>
        <w:jc w:val="both"/>
        <w:rPr>
          <w:rFonts w:ascii="Times New Roman" w:hAnsi="Times New Roman" w:cs="Times New Roman"/>
          <w:sz w:val="24"/>
          <w:szCs w:val="24"/>
        </w:rPr>
      </w:pPr>
      <w:r w:rsidRPr="00C35184">
        <w:rPr>
          <w:rFonts w:ascii="Times New Roman" w:hAnsi="Times New Roman" w:cs="Times New Roman"/>
          <w:sz w:val="24"/>
          <w:szCs w:val="24"/>
        </w:rPr>
        <w:t xml:space="preserve">The study was carried out in </w:t>
      </w:r>
      <w:proofErr w:type="spellStart"/>
      <w:r w:rsidRPr="00C35184">
        <w:rPr>
          <w:rFonts w:ascii="Times New Roman" w:hAnsi="Times New Roman" w:cs="Times New Roman"/>
          <w:sz w:val="24"/>
          <w:szCs w:val="24"/>
        </w:rPr>
        <w:t>Rumuoke</w:t>
      </w:r>
      <w:proofErr w:type="spellEnd"/>
      <w:r w:rsidRPr="00C35184">
        <w:rPr>
          <w:rFonts w:ascii="Times New Roman" w:hAnsi="Times New Roman" w:cs="Times New Roman"/>
          <w:sz w:val="24"/>
          <w:szCs w:val="24"/>
        </w:rPr>
        <w:t xml:space="preserve">, </w:t>
      </w:r>
      <w:proofErr w:type="spellStart"/>
      <w:r w:rsidRPr="00C35184">
        <w:rPr>
          <w:rFonts w:ascii="Times New Roman" w:hAnsi="Times New Roman" w:cs="Times New Roman"/>
          <w:bCs/>
          <w:sz w:val="24"/>
          <w:szCs w:val="24"/>
        </w:rPr>
        <w:t>Rumukania</w:t>
      </w:r>
      <w:proofErr w:type="spellEnd"/>
      <w:r w:rsidRPr="00C35184">
        <w:rPr>
          <w:rFonts w:ascii="Times New Roman" w:hAnsi="Times New Roman" w:cs="Times New Roman"/>
          <w:bCs/>
          <w:sz w:val="24"/>
          <w:szCs w:val="24"/>
        </w:rPr>
        <w:t xml:space="preserve"> and </w:t>
      </w:r>
      <w:proofErr w:type="spellStart"/>
      <w:r w:rsidRPr="00C35184">
        <w:rPr>
          <w:rFonts w:ascii="Times New Roman" w:hAnsi="Times New Roman" w:cs="Times New Roman"/>
          <w:bCs/>
          <w:sz w:val="24"/>
          <w:szCs w:val="24"/>
        </w:rPr>
        <w:t>Egbelu</w:t>
      </w:r>
      <w:proofErr w:type="spellEnd"/>
      <w:r w:rsidRPr="00C35184">
        <w:rPr>
          <w:rFonts w:ascii="Times New Roman" w:hAnsi="Times New Roman" w:cs="Times New Roman"/>
          <w:bCs/>
          <w:sz w:val="24"/>
          <w:szCs w:val="24"/>
        </w:rPr>
        <w:t xml:space="preserve"> communities</w:t>
      </w:r>
      <w:r w:rsidRPr="00C35184">
        <w:rPr>
          <w:rFonts w:ascii="Times New Roman" w:hAnsi="Times New Roman" w:cs="Times New Roman"/>
          <w:sz w:val="24"/>
          <w:szCs w:val="24"/>
        </w:rPr>
        <w:t xml:space="preserve"> in Obio/Akpor LGA. Obio/Akpor LGA is one of the 23 local governments of Rivers state, found in the south southern part of Nigeria, otherwise called the Niger Delta Region of Nigeria, located approximately between latitude 4º 45” N through 4º 56” N and longitude 6º 52” E through 7º 6” E (Figure 1). </w:t>
      </w:r>
      <w:r w:rsidRPr="00C35184">
        <w:rPr>
          <w:rFonts w:ascii="Times New Roman" w:hAnsi="Times New Roman" w:cs="Times New Roman"/>
          <w:color w:val="212121"/>
          <w:sz w:val="24"/>
          <w:szCs w:val="24"/>
        </w:rPr>
        <w:t xml:space="preserve">Consequent on rapid urbanization and the rising industrial and commercial growth of the city of Port Harcourt, more goods and services are being made available, thus the springing up of fuelling stations, to meet up with the demand of the growing population arises. </w:t>
      </w:r>
      <w:r w:rsidRPr="00C35184">
        <w:rPr>
          <w:rFonts w:ascii="Times New Roman" w:hAnsi="Times New Roman" w:cs="Times New Roman"/>
          <w:sz w:val="24"/>
          <w:szCs w:val="24"/>
        </w:rPr>
        <w:t xml:space="preserve"> Reconnaissance survey was carried out</w:t>
      </w:r>
      <w:r w:rsidRPr="00C35184">
        <w:rPr>
          <w:rFonts w:ascii="Times New Roman" w:hAnsi="Times New Roman" w:cs="Times New Roman"/>
          <w:sz w:val="24"/>
          <w:szCs w:val="24"/>
          <w:lang w:val="en-US"/>
        </w:rPr>
        <w:t xml:space="preserve"> on the 30</w:t>
      </w:r>
      <w:r w:rsidRPr="00C35184">
        <w:rPr>
          <w:rFonts w:ascii="Times New Roman" w:hAnsi="Times New Roman" w:cs="Times New Roman"/>
          <w:sz w:val="24"/>
          <w:szCs w:val="24"/>
          <w:vertAlign w:val="superscript"/>
          <w:lang w:val="en-US"/>
        </w:rPr>
        <w:t>th</w:t>
      </w:r>
      <w:r w:rsidRPr="00C35184">
        <w:rPr>
          <w:rFonts w:ascii="Times New Roman" w:hAnsi="Times New Roman" w:cs="Times New Roman"/>
          <w:sz w:val="24"/>
          <w:szCs w:val="24"/>
          <w:lang w:val="en-US"/>
        </w:rPr>
        <w:t xml:space="preserve"> November, 2024</w:t>
      </w:r>
      <w:r w:rsidRPr="00C35184">
        <w:rPr>
          <w:rFonts w:ascii="Times New Roman" w:hAnsi="Times New Roman" w:cs="Times New Roman"/>
          <w:sz w:val="24"/>
          <w:szCs w:val="24"/>
        </w:rPr>
        <w:t xml:space="preserve"> to help familiarize with the study area. GARMIN E</w:t>
      </w:r>
      <w:r w:rsidRPr="00C35184">
        <w:rPr>
          <w:rFonts w:ascii="Times New Roman" w:hAnsi="Times New Roman" w:cs="Times New Roman"/>
          <w:sz w:val="24"/>
          <w:szCs w:val="24"/>
          <w:lang w:val="en-US"/>
        </w:rPr>
        <w:t>x</w:t>
      </w:r>
      <w:r w:rsidRPr="00C35184">
        <w:rPr>
          <w:rFonts w:ascii="Times New Roman" w:hAnsi="Times New Roman" w:cs="Times New Roman"/>
          <w:sz w:val="24"/>
          <w:szCs w:val="24"/>
        </w:rPr>
        <w:t>t</w:t>
      </w:r>
      <w:proofErr w:type="spellStart"/>
      <w:r w:rsidRPr="00C35184">
        <w:rPr>
          <w:rFonts w:ascii="Times New Roman" w:hAnsi="Times New Roman" w:cs="Times New Roman"/>
          <w:sz w:val="24"/>
          <w:szCs w:val="24"/>
          <w:lang w:val="en-US"/>
        </w:rPr>
        <w:t>ech</w:t>
      </w:r>
      <w:proofErr w:type="spellEnd"/>
      <w:r w:rsidRPr="00C35184">
        <w:rPr>
          <w:rFonts w:ascii="Times New Roman" w:hAnsi="Times New Roman" w:cs="Times New Roman"/>
          <w:sz w:val="24"/>
          <w:szCs w:val="24"/>
          <w:lang w:val="en-US"/>
        </w:rPr>
        <w:t xml:space="preserve"> 76</w:t>
      </w:r>
      <w:r w:rsidRPr="00C35184">
        <w:rPr>
          <w:rFonts w:ascii="Times New Roman" w:hAnsi="Times New Roman" w:cs="Times New Roman"/>
          <w:sz w:val="24"/>
          <w:szCs w:val="24"/>
        </w:rPr>
        <w:t xml:space="preserve"> held Global Positioning System (GPS) was  deployed </w:t>
      </w:r>
      <w:r w:rsidRPr="00C35184">
        <w:rPr>
          <w:rFonts w:ascii="Times New Roman" w:hAnsi="Times New Roman" w:cs="Times New Roman"/>
          <w:sz w:val="24"/>
          <w:szCs w:val="24"/>
        </w:rPr>
        <w:lastRenderedPageBreak/>
        <w:t>during the reconnaissance survey to obtain the coordinates of the sampling points in the study</w:t>
      </w:r>
      <w:r w:rsidR="00E556F4">
        <w:rPr>
          <w:rFonts w:ascii="Times New Roman" w:hAnsi="Times New Roman" w:cs="Times New Roman"/>
          <w:sz w:val="24"/>
          <w:szCs w:val="24"/>
        </w:rPr>
        <w:t xml:space="preserve">. </w:t>
      </w:r>
      <w:r w:rsidR="00E556F4" w:rsidRPr="00E556F4">
        <w:rPr>
          <w:rFonts w:ascii="Times New Roman" w:hAnsi="Times New Roman" w:cs="Times New Roman"/>
          <w:sz w:val="24"/>
          <w:szCs w:val="24"/>
          <w:highlight w:val="green"/>
        </w:rPr>
        <w:t>The study area was selected due to the presence of decommissioned pipelines</w:t>
      </w:r>
      <w:r w:rsidR="00E556F4">
        <w:rPr>
          <w:rFonts w:ascii="Times New Roman" w:hAnsi="Times New Roman" w:cs="Times New Roman"/>
          <w:sz w:val="24"/>
          <w:szCs w:val="24"/>
          <w:highlight w:val="green"/>
        </w:rPr>
        <w:t xml:space="preserve"> within the  </w:t>
      </w:r>
      <w:r w:rsidR="00E556F4" w:rsidRPr="00E556F4">
        <w:rPr>
          <w:rFonts w:ascii="Times New Roman" w:hAnsi="Times New Roman" w:cs="Times New Roman"/>
          <w:sz w:val="24"/>
          <w:szCs w:val="24"/>
          <w:highlight w:val="green"/>
        </w:rPr>
        <w:t>residential area.</w:t>
      </w:r>
      <w:r w:rsidR="00E556F4">
        <w:rPr>
          <w:rFonts w:ascii="Times New Roman" w:hAnsi="Times New Roman" w:cs="Times New Roman"/>
          <w:sz w:val="24"/>
          <w:szCs w:val="24"/>
        </w:rPr>
        <w:t xml:space="preserve"> </w:t>
      </w:r>
      <w:r w:rsidR="00E556F4" w:rsidRPr="00E556F4">
        <w:rPr>
          <w:rFonts w:ascii="Times New Roman" w:hAnsi="Times New Roman" w:cs="Times New Roman"/>
          <w:highlight w:val="green"/>
        </w:rPr>
        <w:t>The focus on the decommissioned pipeline was to determine the potential influence on the nearby water quality</w:t>
      </w:r>
      <w:r w:rsidR="00E556F4">
        <w:rPr>
          <w:rFonts w:ascii="Times New Roman" w:hAnsi="Times New Roman" w:cs="Times New Roman"/>
        </w:rPr>
        <w:t>.</w:t>
      </w:r>
      <w:r w:rsidR="00E556F4">
        <w:rPr>
          <w:rFonts w:ascii="Times New Roman" w:hAnsi="Times New Roman" w:cs="Times New Roman"/>
          <w:sz w:val="24"/>
          <w:szCs w:val="24"/>
        </w:rPr>
        <w:t xml:space="preserve"> </w:t>
      </w:r>
    </w:p>
    <w:p w14:paraId="651D74A5" w14:textId="77777777" w:rsidR="00C11A1D" w:rsidRPr="00C35184" w:rsidRDefault="00C11A1D" w:rsidP="001449B3">
      <w:pPr>
        <w:spacing w:after="0" w:line="480" w:lineRule="auto"/>
        <w:jc w:val="both"/>
        <w:rPr>
          <w:rFonts w:ascii="Times New Roman" w:hAnsi="Times New Roman" w:cs="Times New Roman"/>
          <w:bCs/>
          <w:sz w:val="24"/>
          <w:szCs w:val="24"/>
        </w:rPr>
      </w:pPr>
    </w:p>
    <w:p w14:paraId="6F5AC64D" w14:textId="2AB1B6F6" w:rsidR="00390253" w:rsidRPr="00C35184" w:rsidRDefault="00C35184" w:rsidP="001449B3">
      <w:pPr>
        <w:spacing w:after="0" w:line="480" w:lineRule="auto"/>
        <w:jc w:val="both"/>
        <w:rPr>
          <w:rFonts w:ascii="Times New Roman" w:hAnsi="Times New Roman" w:cs="Times New Roman"/>
          <w:sz w:val="24"/>
          <w:szCs w:val="24"/>
          <w:lang w:eastAsia="en-GB"/>
        </w:rPr>
      </w:pPr>
      <w:r>
        <w:rPr>
          <w:rFonts w:ascii="Times New Roman" w:hAnsi="Times New Roman" w:cs="Times New Roman"/>
          <w:bCs/>
          <w:sz w:val="24"/>
          <w:szCs w:val="24"/>
        </w:rPr>
        <w:t xml:space="preserve">2.1 </w:t>
      </w:r>
      <w:r w:rsidR="00390253" w:rsidRPr="00C35184">
        <w:rPr>
          <w:rFonts w:ascii="Times New Roman" w:hAnsi="Times New Roman" w:cs="Times New Roman"/>
          <w:bCs/>
          <w:sz w:val="24"/>
          <w:szCs w:val="24"/>
        </w:rPr>
        <w:t>Data (Sampling) Collection and Procedure</w:t>
      </w:r>
    </w:p>
    <w:p w14:paraId="08765C4E" w14:textId="77777777" w:rsidR="00390253" w:rsidRPr="00C35184" w:rsidRDefault="00390253" w:rsidP="001449B3">
      <w:pPr>
        <w:spacing w:after="0" w:line="480" w:lineRule="auto"/>
        <w:jc w:val="both"/>
        <w:rPr>
          <w:rFonts w:ascii="Times New Roman" w:hAnsi="Times New Roman" w:cs="Times New Roman"/>
          <w:bCs/>
          <w:i/>
          <w:sz w:val="24"/>
          <w:szCs w:val="24"/>
        </w:rPr>
      </w:pPr>
      <w:r w:rsidRPr="00C35184">
        <w:rPr>
          <w:rFonts w:ascii="Times New Roman" w:hAnsi="Times New Roman" w:cs="Times New Roman"/>
          <w:bCs/>
          <w:i/>
          <w:sz w:val="24"/>
          <w:szCs w:val="24"/>
        </w:rPr>
        <w:t>Sampling Points/Sites</w:t>
      </w:r>
    </w:p>
    <w:p w14:paraId="3FBFD834" w14:textId="77777777" w:rsidR="00390253" w:rsidRPr="00C35184" w:rsidRDefault="00390253" w:rsidP="001449B3">
      <w:pPr>
        <w:spacing w:after="0" w:line="480" w:lineRule="auto"/>
        <w:jc w:val="both"/>
        <w:rPr>
          <w:rFonts w:ascii="Times New Roman" w:hAnsi="Times New Roman" w:cs="Times New Roman"/>
          <w:bCs/>
          <w:sz w:val="24"/>
          <w:szCs w:val="24"/>
        </w:rPr>
      </w:pPr>
      <w:r w:rsidRPr="00C35184">
        <w:rPr>
          <w:rFonts w:ascii="Times New Roman" w:hAnsi="Times New Roman" w:cs="Times New Roman"/>
          <w:bCs/>
          <w:sz w:val="24"/>
          <w:szCs w:val="24"/>
        </w:rPr>
        <w:t>The water samples for the study was collected from boreholes</w:t>
      </w:r>
      <w:r w:rsidRPr="00C35184">
        <w:rPr>
          <w:rFonts w:ascii="Times New Roman" w:hAnsi="Times New Roman" w:cs="Times New Roman"/>
          <w:bCs/>
          <w:sz w:val="24"/>
          <w:szCs w:val="24"/>
          <w:lang w:val="en-US"/>
        </w:rPr>
        <w:t>;</w:t>
      </w:r>
      <w:r w:rsidRPr="00C35184">
        <w:rPr>
          <w:rFonts w:ascii="Times New Roman" w:hAnsi="Times New Roman" w:cs="Times New Roman"/>
          <w:bCs/>
          <w:sz w:val="24"/>
          <w:szCs w:val="24"/>
        </w:rPr>
        <w:t xml:space="preserve">  groundwater sources around the study area [</w:t>
      </w:r>
      <w:proofErr w:type="spellStart"/>
      <w:r w:rsidRPr="00C35184">
        <w:rPr>
          <w:rFonts w:ascii="Times New Roman" w:hAnsi="Times New Roman" w:cs="Times New Roman"/>
          <w:bCs/>
          <w:sz w:val="24"/>
          <w:szCs w:val="24"/>
        </w:rPr>
        <w:t>Rumuoke</w:t>
      </w:r>
      <w:proofErr w:type="spellEnd"/>
      <w:r w:rsidRPr="00C35184">
        <w:rPr>
          <w:rFonts w:ascii="Times New Roman" w:hAnsi="Times New Roman" w:cs="Times New Roman"/>
          <w:bCs/>
          <w:sz w:val="24"/>
          <w:szCs w:val="24"/>
        </w:rPr>
        <w:t xml:space="preserve">, </w:t>
      </w:r>
      <w:proofErr w:type="spellStart"/>
      <w:r w:rsidRPr="00C35184">
        <w:rPr>
          <w:rFonts w:ascii="Times New Roman" w:hAnsi="Times New Roman" w:cs="Times New Roman"/>
          <w:bCs/>
          <w:sz w:val="24"/>
          <w:szCs w:val="24"/>
        </w:rPr>
        <w:t>Rumukania</w:t>
      </w:r>
      <w:proofErr w:type="spellEnd"/>
      <w:r w:rsidRPr="00C35184">
        <w:rPr>
          <w:rFonts w:ascii="Times New Roman" w:hAnsi="Times New Roman" w:cs="Times New Roman"/>
          <w:bCs/>
          <w:sz w:val="24"/>
          <w:szCs w:val="24"/>
        </w:rPr>
        <w:t xml:space="preserve"> and </w:t>
      </w:r>
      <w:proofErr w:type="spellStart"/>
      <w:r w:rsidRPr="00C35184">
        <w:rPr>
          <w:rFonts w:ascii="Times New Roman" w:hAnsi="Times New Roman" w:cs="Times New Roman"/>
          <w:bCs/>
          <w:sz w:val="24"/>
          <w:szCs w:val="24"/>
        </w:rPr>
        <w:t>Egbelu</w:t>
      </w:r>
      <w:proofErr w:type="spellEnd"/>
      <w:r w:rsidRPr="00C35184">
        <w:rPr>
          <w:rFonts w:ascii="Times New Roman" w:hAnsi="Times New Roman" w:cs="Times New Roman"/>
          <w:bCs/>
          <w:sz w:val="24"/>
          <w:szCs w:val="24"/>
        </w:rPr>
        <w:t xml:space="preserve"> communities all within Obio/Akpo local government area of Rivers State.], Specifically, water samples were collected from sixteen [16] boreholes during the in December 21</w:t>
      </w:r>
      <w:r w:rsidRPr="00C35184">
        <w:rPr>
          <w:rFonts w:ascii="Times New Roman" w:hAnsi="Times New Roman" w:cs="Times New Roman"/>
          <w:bCs/>
          <w:sz w:val="24"/>
          <w:szCs w:val="24"/>
          <w:vertAlign w:val="superscript"/>
        </w:rPr>
        <w:t>st</w:t>
      </w:r>
      <w:r w:rsidRPr="00C35184">
        <w:rPr>
          <w:rFonts w:ascii="Times New Roman" w:hAnsi="Times New Roman" w:cs="Times New Roman"/>
          <w:bCs/>
          <w:sz w:val="24"/>
          <w:szCs w:val="24"/>
        </w:rPr>
        <w:t xml:space="preserve"> 2024) and was  tested for various physicochemical, and heavy metals parameters. To prevent confusion and mix up of the water sample, each sample  </w:t>
      </w:r>
      <w:r w:rsidRPr="00C35184">
        <w:rPr>
          <w:rFonts w:ascii="Times New Roman" w:hAnsi="Times New Roman" w:cs="Times New Roman"/>
          <w:bCs/>
          <w:sz w:val="24"/>
          <w:szCs w:val="24"/>
          <w:lang w:val="en-US"/>
        </w:rPr>
        <w:t>was</w:t>
      </w:r>
      <w:r w:rsidRPr="00C35184">
        <w:rPr>
          <w:rFonts w:ascii="Times New Roman" w:hAnsi="Times New Roman" w:cs="Times New Roman"/>
          <w:bCs/>
          <w:sz w:val="24"/>
          <w:szCs w:val="24"/>
        </w:rPr>
        <w:t xml:space="preserve"> tagged accordingly with the generic name and symbols.</w:t>
      </w:r>
    </w:p>
    <w:p w14:paraId="3DD621C0" w14:textId="77777777" w:rsidR="00390253" w:rsidRPr="00C35184" w:rsidRDefault="00390253" w:rsidP="001449B3">
      <w:pPr>
        <w:autoSpaceDE w:val="0"/>
        <w:autoSpaceDN w:val="0"/>
        <w:adjustRightInd w:val="0"/>
        <w:spacing w:after="0" w:line="480" w:lineRule="auto"/>
        <w:jc w:val="both"/>
        <w:rPr>
          <w:rFonts w:ascii="Times New Roman" w:hAnsi="Times New Roman" w:cs="Times New Roman"/>
          <w:b/>
          <w:bCs/>
          <w:i/>
          <w:sz w:val="24"/>
          <w:szCs w:val="24"/>
        </w:rPr>
      </w:pPr>
      <w:r w:rsidRPr="00C35184">
        <w:rPr>
          <w:rFonts w:ascii="Times New Roman" w:hAnsi="Times New Roman" w:cs="Times New Roman"/>
          <w:b/>
          <w:bCs/>
          <w:i/>
          <w:noProof/>
          <w:sz w:val="24"/>
          <w:szCs w:val="24"/>
        </w:rPr>
        <w:drawing>
          <wp:inline distT="0" distB="0" distL="0" distR="0" wp14:anchorId="6A8A2C5F" wp14:editId="51D5381D">
            <wp:extent cx="5353050" cy="3638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 pipelin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53050" cy="3638550"/>
                    </a:xfrm>
                    <a:prstGeom prst="rect">
                      <a:avLst/>
                    </a:prstGeom>
                  </pic:spPr>
                </pic:pic>
              </a:graphicData>
            </a:graphic>
          </wp:inline>
        </w:drawing>
      </w:r>
    </w:p>
    <w:p w14:paraId="5AD99AF0" w14:textId="77777777" w:rsidR="00390253" w:rsidRPr="00C35184" w:rsidRDefault="00390253" w:rsidP="001449B3">
      <w:pPr>
        <w:autoSpaceDE w:val="0"/>
        <w:autoSpaceDN w:val="0"/>
        <w:adjustRightInd w:val="0"/>
        <w:spacing w:after="0" w:line="480" w:lineRule="auto"/>
        <w:jc w:val="both"/>
        <w:rPr>
          <w:rFonts w:ascii="Times New Roman" w:hAnsi="Times New Roman" w:cs="Times New Roman"/>
          <w:b/>
          <w:bCs/>
          <w:sz w:val="24"/>
          <w:szCs w:val="24"/>
        </w:rPr>
      </w:pPr>
      <w:r w:rsidRPr="00C35184">
        <w:rPr>
          <w:rFonts w:ascii="Times New Roman" w:hAnsi="Times New Roman" w:cs="Times New Roman"/>
          <w:b/>
          <w:bCs/>
          <w:sz w:val="24"/>
          <w:szCs w:val="24"/>
        </w:rPr>
        <w:t>Figure 1: Overview of the Study Area and Sampling Points</w:t>
      </w:r>
    </w:p>
    <w:p w14:paraId="6919E15F" w14:textId="77777777" w:rsidR="00390253" w:rsidRPr="00C35184" w:rsidRDefault="00390253" w:rsidP="001449B3">
      <w:pPr>
        <w:autoSpaceDE w:val="0"/>
        <w:autoSpaceDN w:val="0"/>
        <w:adjustRightInd w:val="0"/>
        <w:spacing w:after="0" w:line="480" w:lineRule="auto"/>
        <w:jc w:val="both"/>
        <w:rPr>
          <w:rFonts w:ascii="Times New Roman" w:hAnsi="Times New Roman" w:cs="Times New Roman"/>
          <w:bCs/>
          <w:i/>
          <w:sz w:val="24"/>
          <w:szCs w:val="24"/>
        </w:rPr>
      </w:pPr>
      <w:r w:rsidRPr="00C35184">
        <w:rPr>
          <w:rFonts w:ascii="Times New Roman" w:hAnsi="Times New Roman" w:cs="Times New Roman"/>
          <w:bCs/>
          <w:i/>
          <w:sz w:val="24"/>
          <w:szCs w:val="24"/>
        </w:rPr>
        <w:lastRenderedPageBreak/>
        <w:t>Sample Collection Procedure</w:t>
      </w:r>
    </w:p>
    <w:p w14:paraId="20E7E0D7" w14:textId="77777777" w:rsidR="00390253" w:rsidRPr="00C35184" w:rsidRDefault="00390253" w:rsidP="001449B3">
      <w:pPr>
        <w:spacing w:after="0" w:line="480" w:lineRule="auto"/>
        <w:jc w:val="both"/>
        <w:rPr>
          <w:rFonts w:ascii="Times New Roman" w:hAnsi="Times New Roman" w:cs="Times New Roman"/>
          <w:bCs/>
          <w:sz w:val="24"/>
          <w:szCs w:val="24"/>
        </w:rPr>
      </w:pPr>
      <w:r w:rsidRPr="00C35184">
        <w:rPr>
          <w:rFonts w:ascii="Times New Roman" w:hAnsi="Times New Roman" w:cs="Times New Roman"/>
          <w:bCs/>
          <w:sz w:val="24"/>
          <w:szCs w:val="24"/>
        </w:rPr>
        <w:t xml:space="preserve">With the aid of </w:t>
      </w:r>
      <w:proofErr w:type="spellStart"/>
      <w:r w:rsidRPr="00C35184">
        <w:rPr>
          <w:rFonts w:ascii="Times New Roman" w:hAnsi="Times New Roman" w:cs="Times New Roman"/>
          <w:bCs/>
          <w:sz w:val="24"/>
          <w:szCs w:val="24"/>
        </w:rPr>
        <w:t>labeled</w:t>
      </w:r>
      <w:proofErr w:type="spellEnd"/>
      <w:r w:rsidRPr="00C35184">
        <w:rPr>
          <w:rFonts w:ascii="Times New Roman" w:hAnsi="Times New Roman" w:cs="Times New Roman"/>
          <w:bCs/>
          <w:sz w:val="24"/>
          <w:szCs w:val="24"/>
        </w:rPr>
        <w:t xml:space="preserve"> lucid bottle, water samples were collected  from various designated water source. Prior to the water collection, the lucid bottles were cleaned with 70% sterilizer in order prevent impurities and other form of contamination. Afterwards, the water samples were collected from each designated point and the bottles were be fill to the prim. Thereafter, the filled bottles were be immediately placed in the ice-parked cooling medium to arrest continuous microbial activities and preserve the water before been taken to the laboratory for analysis.</w:t>
      </w:r>
    </w:p>
    <w:p w14:paraId="7AA95E16" w14:textId="77777777" w:rsidR="00390253" w:rsidRPr="00C35184" w:rsidRDefault="00390253" w:rsidP="001449B3">
      <w:pPr>
        <w:autoSpaceDE w:val="0"/>
        <w:autoSpaceDN w:val="0"/>
        <w:adjustRightInd w:val="0"/>
        <w:spacing w:after="0" w:line="480" w:lineRule="auto"/>
        <w:jc w:val="both"/>
        <w:rPr>
          <w:rFonts w:ascii="Times New Roman" w:hAnsi="Times New Roman" w:cs="Times New Roman"/>
          <w:i/>
          <w:sz w:val="24"/>
          <w:szCs w:val="24"/>
          <w:lang w:val="en-US"/>
        </w:rPr>
      </w:pPr>
      <w:bookmarkStart w:id="1" w:name="_Hlk182936311"/>
      <w:r w:rsidRPr="00C35184">
        <w:rPr>
          <w:rFonts w:ascii="Times New Roman" w:hAnsi="Times New Roman" w:cs="Times New Roman"/>
          <w:i/>
          <w:sz w:val="24"/>
          <w:szCs w:val="24"/>
          <w:lang w:val="en-US"/>
        </w:rPr>
        <w:t>Data Analysis</w:t>
      </w:r>
    </w:p>
    <w:p w14:paraId="7EBF8AC8" w14:textId="6F5DF7D9" w:rsidR="007549A2" w:rsidRPr="00C35184" w:rsidRDefault="00C11A1D" w:rsidP="001449B3">
      <w:pPr>
        <w:spacing w:after="0" w:line="480" w:lineRule="auto"/>
        <w:jc w:val="both"/>
        <w:rPr>
          <w:rFonts w:ascii="Times New Roman" w:hAnsi="Times New Roman" w:cs="Times New Roman"/>
          <w:sz w:val="24"/>
          <w:szCs w:val="24"/>
        </w:rPr>
      </w:pPr>
      <w:bookmarkStart w:id="2" w:name="_Hlk182248284"/>
      <w:r w:rsidRPr="00C35184">
        <w:rPr>
          <w:rFonts w:ascii="Times New Roman" w:hAnsi="Times New Roman" w:cs="Times New Roman"/>
          <w:sz w:val="24"/>
          <w:szCs w:val="24"/>
        </w:rPr>
        <w:t xml:space="preserve">The concentration of groundwater quality parameters </w:t>
      </w:r>
      <w:r w:rsidR="00390253" w:rsidRPr="00C35184">
        <w:rPr>
          <w:rFonts w:ascii="Times New Roman" w:eastAsia="MinionPro-Regular" w:hAnsi="Times New Roman" w:cs="Times New Roman"/>
          <w:sz w:val="24"/>
          <w:szCs w:val="24"/>
        </w:rPr>
        <w:t>(</w:t>
      </w:r>
      <w:r w:rsidRPr="00C35184">
        <w:rPr>
          <w:rFonts w:ascii="Times New Roman" w:eastAsia="MinionPro-Regular" w:hAnsi="Times New Roman" w:cs="Times New Roman"/>
          <w:sz w:val="24"/>
          <w:szCs w:val="24"/>
        </w:rPr>
        <w:t>pH</w:t>
      </w:r>
      <w:r w:rsidR="00390253" w:rsidRPr="00C35184">
        <w:rPr>
          <w:rFonts w:ascii="Times New Roman" w:eastAsia="MinionPro-Regular" w:hAnsi="Times New Roman" w:cs="Times New Roman"/>
          <w:sz w:val="24"/>
          <w:szCs w:val="24"/>
        </w:rPr>
        <w:t>, Temperature,</w:t>
      </w:r>
      <w:r w:rsidR="00390253" w:rsidRPr="00C35184">
        <w:rPr>
          <w:rFonts w:ascii="Times New Roman" w:hAnsi="Times New Roman" w:cs="Times New Roman"/>
          <w:sz w:val="24"/>
          <w:szCs w:val="24"/>
        </w:rPr>
        <w:t xml:space="preserve"> </w:t>
      </w:r>
      <w:r w:rsidR="00390253" w:rsidRPr="00C35184">
        <w:rPr>
          <w:rFonts w:ascii="Times New Roman" w:eastAsia="MinionPro-Regular" w:hAnsi="Times New Roman" w:cs="Times New Roman"/>
          <w:sz w:val="24"/>
          <w:szCs w:val="24"/>
        </w:rPr>
        <w:t xml:space="preserve">Turbidity, </w:t>
      </w:r>
      <w:r w:rsidR="00390253" w:rsidRPr="00C35184">
        <w:rPr>
          <w:rFonts w:ascii="Times New Roman" w:eastAsia="Times New Roman" w:hAnsi="Times New Roman" w:cs="Times New Roman"/>
          <w:sz w:val="24"/>
          <w:szCs w:val="24"/>
          <w:lang w:eastAsia="en-GB"/>
        </w:rPr>
        <w:t>Total Dissolved Solid</w:t>
      </w:r>
      <w:r w:rsidR="00390253" w:rsidRPr="00C35184">
        <w:rPr>
          <w:rFonts w:ascii="Times New Roman" w:eastAsia="MinionPro-Regular" w:hAnsi="Times New Roman" w:cs="Times New Roman"/>
          <w:sz w:val="24"/>
          <w:szCs w:val="24"/>
        </w:rPr>
        <w:t xml:space="preserve"> (TDS), </w:t>
      </w:r>
      <w:r w:rsidR="00390253" w:rsidRPr="00C35184">
        <w:rPr>
          <w:rFonts w:ascii="Times New Roman" w:eastAsia="Times New Roman" w:hAnsi="Times New Roman" w:cs="Times New Roman"/>
          <w:sz w:val="24"/>
          <w:szCs w:val="24"/>
          <w:lang w:eastAsia="en-GB"/>
        </w:rPr>
        <w:t xml:space="preserve">Electricity Conductivity (EC), </w:t>
      </w:r>
      <w:r w:rsidR="00390253" w:rsidRPr="00C35184">
        <w:rPr>
          <w:rFonts w:ascii="Times New Roman" w:hAnsi="Times New Roman" w:cs="Times New Roman"/>
          <w:sz w:val="24"/>
          <w:szCs w:val="24"/>
        </w:rPr>
        <w:t xml:space="preserve"> </w:t>
      </w:r>
      <w:r w:rsidR="00390253" w:rsidRPr="00C35184">
        <w:rPr>
          <w:rFonts w:ascii="Times New Roman" w:eastAsia="Times New Roman" w:hAnsi="Times New Roman" w:cs="Times New Roman"/>
          <w:sz w:val="24"/>
          <w:szCs w:val="24"/>
          <w:lang w:eastAsia="en-GB"/>
        </w:rPr>
        <w:t>Chloride, Salinity, Dissolved Oxygen, Sodium, Calcium, Magnesium, Sulphate, Nitrat</w:t>
      </w:r>
      <w:bookmarkStart w:id="3" w:name="_Hlk182936519"/>
      <w:bookmarkEnd w:id="1"/>
      <w:r w:rsidR="00390253" w:rsidRPr="00C35184">
        <w:rPr>
          <w:rFonts w:ascii="Times New Roman" w:eastAsia="Times New Roman" w:hAnsi="Times New Roman" w:cs="Times New Roman"/>
          <w:sz w:val="24"/>
          <w:szCs w:val="24"/>
          <w:lang w:eastAsia="en-GB"/>
        </w:rPr>
        <w:t>e</w:t>
      </w:r>
      <w:r w:rsidRPr="00C35184">
        <w:rPr>
          <w:rFonts w:ascii="Times New Roman" w:eastAsia="Times New Roman" w:hAnsi="Times New Roman" w:cs="Times New Roman"/>
          <w:sz w:val="24"/>
          <w:szCs w:val="24"/>
          <w:lang w:eastAsia="en-GB"/>
        </w:rPr>
        <w:t xml:space="preserve"> </w:t>
      </w:r>
      <w:r w:rsidR="00390253" w:rsidRPr="00C35184">
        <w:rPr>
          <w:rFonts w:ascii="Times New Roman" w:eastAsia="Times New Roman" w:hAnsi="Times New Roman" w:cs="Times New Roman"/>
          <w:sz w:val="24"/>
          <w:szCs w:val="24"/>
          <w:lang w:eastAsia="en-GB"/>
        </w:rPr>
        <w:t xml:space="preserve">and </w:t>
      </w:r>
      <w:r w:rsidR="00390253" w:rsidRPr="00C35184">
        <w:rPr>
          <w:rFonts w:ascii="Times New Roman" w:hAnsi="Times New Roman" w:cs="Times New Roman"/>
          <w:sz w:val="24"/>
          <w:szCs w:val="24"/>
        </w:rPr>
        <w:t>Copper (Cu)</w:t>
      </w:r>
      <w:r w:rsidRPr="00C35184">
        <w:rPr>
          <w:rFonts w:ascii="Times New Roman" w:hAnsi="Times New Roman" w:cs="Times New Roman"/>
          <w:sz w:val="24"/>
          <w:szCs w:val="24"/>
        </w:rPr>
        <w:t xml:space="preserve"> </w:t>
      </w:r>
      <w:r w:rsidR="00390253" w:rsidRPr="00C35184">
        <w:rPr>
          <w:rFonts w:ascii="Times New Roman" w:hAnsi="Times New Roman" w:cs="Times New Roman"/>
          <w:sz w:val="24"/>
          <w:szCs w:val="24"/>
        </w:rPr>
        <w:t>were analysed.</w:t>
      </w:r>
      <w:r w:rsidR="00390253" w:rsidRPr="00C35184">
        <w:rPr>
          <w:rFonts w:ascii="Times New Roman" w:eastAsia="Times New Roman" w:hAnsi="Times New Roman" w:cs="Times New Roman"/>
          <w:sz w:val="24"/>
          <w:szCs w:val="24"/>
          <w:lang w:eastAsia="en-GB"/>
        </w:rPr>
        <w:t xml:space="preserve"> </w:t>
      </w:r>
      <w:r w:rsidR="00390253" w:rsidRPr="00C35184">
        <w:rPr>
          <w:rFonts w:ascii="Times New Roman" w:eastAsia="MinionPro-Regular" w:hAnsi="Times New Roman" w:cs="Times New Roman"/>
          <w:sz w:val="24"/>
          <w:szCs w:val="24"/>
        </w:rPr>
        <w:t xml:space="preserve">All physicochemical parameters were </w:t>
      </w:r>
      <w:proofErr w:type="spellStart"/>
      <w:r w:rsidR="00390253" w:rsidRPr="00C35184">
        <w:rPr>
          <w:rFonts w:ascii="Times New Roman" w:eastAsia="MinionPro-Regular" w:hAnsi="Times New Roman" w:cs="Times New Roman"/>
          <w:sz w:val="24"/>
          <w:szCs w:val="24"/>
        </w:rPr>
        <w:t>analyzed</w:t>
      </w:r>
      <w:proofErr w:type="spellEnd"/>
      <w:r w:rsidR="00390253" w:rsidRPr="00C35184">
        <w:rPr>
          <w:rFonts w:ascii="Times New Roman" w:eastAsia="MinionPro-Regular" w:hAnsi="Times New Roman" w:cs="Times New Roman"/>
          <w:sz w:val="24"/>
          <w:szCs w:val="24"/>
        </w:rPr>
        <w:t xml:space="preserve"> by </w:t>
      </w:r>
      <w:bookmarkStart w:id="4" w:name="_Hlk198758429"/>
      <w:r w:rsidR="00390253" w:rsidRPr="00C35184">
        <w:rPr>
          <w:rFonts w:ascii="Times New Roman" w:eastAsia="MinionPro-Regular" w:hAnsi="Times New Roman" w:cs="Times New Roman"/>
          <w:sz w:val="24"/>
          <w:szCs w:val="24"/>
        </w:rPr>
        <w:t>following the standard methods of the American Public Health Organization (APHA) and the American Society for Testing and Materials (ASTM)</w:t>
      </w:r>
      <w:bookmarkEnd w:id="4"/>
      <w:r w:rsidR="00390253" w:rsidRPr="00C35184">
        <w:rPr>
          <w:rFonts w:ascii="Times New Roman" w:eastAsia="MinionPro-Regular" w:hAnsi="Times New Roman" w:cs="Times New Roman"/>
          <w:sz w:val="24"/>
          <w:szCs w:val="24"/>
        </w:rPr>
        <w:t xml:space="preserve">, </w:t>
      </w:r>
      <w:bookmarkEnd w:id="2"/>
      <w:r w:rsidR="00390253" w:rsidRPr="00C35184">
        <w:rPr>
          <w:rFonts w:ascii="Times New Roman" w:eastAsia="MinionPro-Regular" w:hAnsi="Times New Roman" w:cs="Times New Roman"/>
          <w:sz w:val="24"/>
          <w:szCs w:val="24"/>
        </w:rPr>
        <w:t xml:space="preserve">similar to those described by Khalid et al. (2018) and Latif et al. (2024). </w:t>
      </w:r>
      <w:bookmarkStart w:id="5" w:name="_Hlk182936653"/>
      <w:bookmarkEnd w:id="3"/>
      <w:r w:rsidR="00390253" w:rsidRPr="00C35184">
        <w:rPr>
          <w:rFonts w:ascii="Times New Roman" w:hAnsi="Times New Roman" w:cs="Times New Roman"/>
          <w:sz w:val="24"/>
          <w:szCs w:val="24"/>
        </w:rPr>
        <w:t>The acidified water sample</w:t>
      </w:r>
      <w:r w:rsidR="00390253" w:rsidRPr="00C35184">
        <w:rPr>
          <w:rFonts w:ascii="Times New Roman" w:hAnsi="Times New Roman" w:cs="Times New Roman"/>
          <w:sz w:val="24"/>
          <w:szCs w:val="24"/>
          <w:lang w:val="en-US"/>
        </w:rPr>
        <w:t>s</w:t>
      </w:r>
      <w:r w:rsidR="00390253" w:rsidRPr="00C35184">
        <w:rPr>
          <w:rFonts w:ascii="Times New Roman" w:hAnsi="Times New Roman" w:cs="Times New Roman"/>
          <w:sz w:val="24"/>
          <w:szCs w:val="24"/>
        </w:rPr>
        <w:t xml:space="preserve"> w</w:t>
      </w:r>
      <w:r w:rsidR="00390253" w:rsidRPr="00C35184">
        <w:rPr>
          <w:rFonts w:ascii="Times New Roman" w:hAnsi="Times New Roman" w:cs="Times New Roman"/>
          <w:sz w:val="24"/>
          <w:szCs w:val="24"/>
          <w:lang w:val="en-US"/>
        </w:rPr>
        <w:t>ere</w:t>
      </w:r>
      <w:r w:rsidR="00390253" w:rsidRPr="00C35184">
        <w:rPr>
          <w:rFonts w:ascii="Times New Roman" w:hAnsi="Times New Roman" w:cs="Times New Roman"/>
          <w:sz w:val="24"/>
          <w:szCs w:val="24"/>
        </w:rPr>
        <w:t xml:space="preserve"> filtered using Whatman ashless filter paper and thereafter analysed with Atomic Absorption Spectrophotometer (Shimadzu AA-6650) using standard method (ASTM D1971/4691) to determine the level of </w:t>
      </w:r>
      <w:r w:rsidR="00390253" w:rsidRPr="007549A2">
        <w:rPr>
          <w:rFonts w:ascii="Times New Roman" w:hAnsi="Times New Roman" w:cs="Times New Roman"/>
          <w:sz w:val="24"/>
          <w:szCs w:val="24"/>
          <w:highlight w:val="red"/>
        </w:rPr>
        <w:t>heavy metals</w:t>
      </w:r>
      <w:r w:rsidR="00390253" w:rsidRPr="00C35184">
        <w:rPr>
          <w:rFonts w:ascii="Times New Roman" w:hAnsi="Times New Roman" w:cs="Times New Roman"/>
          <w:sz w:val="24"/>
          <w:szCs w:val="24"/>
        </w:rPr>
        <w:t xml:space="preserve"> </w:t>
      </w:r>
      <w:r w:rsidR="005A54F0">
        <w:rPr>
          <w:rFonts w:ascii="Times New Roman" w:hAnsi="Times New Roman" w:cs="Times New Roman"/>
          <w:sz w:val="24"/>
          <w:szCs w:val="24"/>
          <w:highlight w:val="green"/>
        </w:rPr>
        <w:t>C</w:t>
      </w:r>
      <w:r w:rsidR="007549A2" w:rsidRPr="007549A2">
        <w:rPr>
          <w:rFonts w:ascii="Times New Roman" w:hAnsi="Times New Roman" w:cs="Times New Roman"/>
          <w:sz w:val="24"/>
          <w:szCs w:val="24"/>
          <w:highlight w:val="green"/>
        </w:rPr>
        <w:t>opper</w:t>
      </w:r>
      <w:r w:rsidR="007549A2">
        <w:rPr>
          <w:rFonts w:ascii="Times New Roman" w:hAnsi="Times New Roman" w:cs="Times New Roman"/>
          <w:sz w:val="24"/>
          <w:szCs w:val="24"/>
        </w:rPr>
        <w:t xml:space="preserve"> </w:t>
      </w:r>
      <w:r w:rsidR="00390253" w:rsidRPr="00C35184">
        <w:rPr>
          <w:rFonts w:ascii="Times New Roman" w:hAnsi="Times New Roman" w:cs="Times New Roman"/>
          <w:sz w:val="24"/>
          <w:szCs w:val="24"/>
        </w:rPr>
        <w:t>in the sample (Afolabi et al., 2022).</w:t>
      </w:r>
      <w:r w:rsidR="002B4744">
        <w:rPr>
          <w:rFonts w:ascii="Times New Roman" w:hAnsi="Times New Roman" w:cs="Times New Roman"/>
          <w:sz w:val="24"/>
          <w:szCs w:val="24"/>
        </w:rPr>
        <w:t xml:space="preserve"> </w:t>
      </w:r>
      <w:r w:rsidR="002B4744" w:rsidRPr="008312D4">
        <w:rPr>
          <w:rFonts w:ascii="Times New Roman" w:hAnsi="Times New Roman" w:cs="Times New Roman"/>
          <w:sz w:val="24"/>
          <w:szCs w:val="24"/>
          <w:highlight w:val="green"/>
        </w:rPr>
        <w:t>All findin</w:t>
      </w:r>
      <w:r w:rsidR="008312D4" w:rsidRPr="008312D4">
        <w:rPr>
          <w:rFonts w:ascii="Times New Roman" w:hAnsi="Times New Roman" w:cs="Times New Roman"/>
          <w:sz w:val="24"/>
          <w:szCs w:val="24"/>
          <w:highlight w:val="green"/>
        </w:rPr>
        <w:t>gs were presented using tables and histogram while the mean value of sample points provided.</w:t>
      </w:r>
    </w:p>
    <w:bookmarkEnd w:id="5"/>
    <w:p w14:paraId="74E5D828" w14:textId="34366193" w:rsidR="000D6E9F" w:rsidRPr="00C35184" w:rsidRDefault="001449B3" w:rsidP="001449B3">
      <w:pPr>
        <w:spacing w:after="0" w:line="480" w:lineRule="auto"/>
        <w:jc w:val="both"/>
        <w:rPr>
          <w:rFonts w:ascii="Times New Roman" w:hAnsi="Times New Roman" w:cs="Times New Roman"/>
          <w:bCs/>
          <w:i/>
          <w:sz w:val="24"/>
          <w:szCs w:val="24"/>
        </w:rPr>
      </w:pPr>
      <w:r w:rsidRPr="00C35184">
        <w:rPr>
          <w:rFonts w:ascii="Times New Roman" w:hAnsi="Times New Roman" w:cs="Times New Roman"/>
          <w:bCs/>
          <w:i/>
          <w:sz w:val="24"/>
          <w:szCs w:val="24"/>
        </w:rPr>
        <w:t>Water Quality Index (WQI)</w:t>
      </w:r>
    </w:p>
    <w:p w14:paraId="04C26143" w14:textId="30604493" w:rsidR="001449B3" w:rsidRPr="00C35184" w:rsidRDefault="001449B3" w:rsidP="001449B3">
      <w:pPr>
        <w:autoSpaceDE w:val="0"/>
        <w:autoSpaceDN w:val="0"/>
        <w:adjustRightInd w:val="0"/>
        <w:spacing w:after="0" w:line="480" w:lineRule="auto"/>
        <w:jc w:val="both"/>
        <w:rPr>
          <w:rFonts w:ascii="Times New Roman" w:hAnsi="Times New Roman" w:cs="Times New Roman"/>
          <w:sz w:val="24"/>
          <w:szCs w:val="24"/>
        </w:rPr>
      </w:pPr>
      <w:r w:rsidRPr="00C35184">
        <w:rPr>
          <w:rFonts w:ascii="Times New Roman" w:hAnsi="Times New Roman" w:cs="Times New Roman"/>
          <w:sz w:val="24"/>
          <w:szCs w:val="24"/>
          <w:lang w:val="en-US"/>
        </w:rPr>
        <w:t>In this study, weights (</w:t>
      </w:r>
      <w:proofErr w:type="spellStart"/>
      <w:r w:rsidRPr="00C35184">
        <w:rPr>
          <w:rFonts w:ascii="Times New Roman" w:hAnsi="Times New Roman" w:cs="Times New Roman"/>
          <w:sz w:val="24"/>
          <w:szCs w:val="24"/>
          <w:lang w:val="en-US"/>
        </w:rPr>
        <w:t>wi</w:t>
      </w:r>
      <w:proofErr w:type="spellEnd"/>
      <w:r w:rsidRPr="00C35184">
        <w:rPr>
          <w:rFonts w:ascii="Times New Roman" w:hAnsi="Times New Roman" w:cs="Times New Roman"/>
          <w:sz w:val="24"/>
          <w:szCs w:val="24"/>
          <w:lang w:val="en-US"/>
        </w:rPr>
        <w:t>) w</w:t>
      </w:r>
      <w:r w:rsidR="001E6DF8">
        <w:rPr>
          <w:rFonts w:ascii="Times New Roman" w:hAnsi="Times New Roman" w:cs="Times New Roman"/>
          <w:sz w:val="24"/>
          <w:szCs w:val="24"/>
          <w:lang w:val="en-US"/>
        </w:rPr>
        <w:t>ere</w:t>
      </w:r>
      <w:r w:rsidRPr="00C35184">
        <w:rPr>
          <w:rFonts w:ascii="Times New Roman" w:hAnsi="Times New Roman" w:cs="Times New Roman"/>
          <w:sz w:val="24"/>
          <w:szCs w:val="24"/>
          <w:lang w:val="en-US"/>
        </w:rPr>
        <w:t xml:space="preserve"> assigned to water quality indicators based on the health consequences of those parameters for drinkable water (</w:t>
      </w:r>
      <w:proofErr w:type="spellStart"/>
      <w:r w:rsidRPr="00C35184">
        <w:rPr>
          <w:rFonts w:ascii="Times New Roman" w:hAnsi="Times New Roman" w:cs="Times New Roman"/>
          <w:sz w:val="24"/>
          <w:szCs w:val="24"/>
          <w:lang w:val="en-US"/>
        </w:rPr>
        <w:t>Chegbeleh</w:t>
      </w:r>
      <w:proofErr w:type="spellEnd"/>
      <w:r w:rsidRPr="00C35184">
        <w:rPr>
          <w:rFonts w:ascii="Times New Roman" w:hAnsi="Times New Roman" w:cs="Times New Roman"/>
          <w:sz w:val="24"/>
          <w:szCs w:val="24"/>
          <w:lang w:val="en-US"/>
        </w:rPr>
        <w:t xml:space="preserve"> et al., 2020). WQI is taken into consideration for human consumption. Weight values (</w:t>
      </w:r>
      <w:proofErr w:type="spellStart"/>
      <w:r w:rsidRPr="00C35184">
        <w:rPr>
          <w:rFonts w:ascii="Times New Roman" w:hAnsi="Times New Roman" w:cs="Times New Roman"/>
          <w:sz w:val="24"/>
          <w:szCs w:val="24"/>
          <w:lang w:val="en-US"/>
        </w:rPr>
        <w:t>wi</w:t>
      </w:r>
      <w:proofErr w:type="spellEnd"/>
      <w:r w:rsidRPr="00C35184">
        <w:rPr>
          <w:rFonts w:ascii="Times New Roman" w:hAnsi="Times New Roman" w:cs="Times New Roman"/>
          <w:sz w:val="24"/>
          <w:szCs w:val="24"/>
          <w:lang w:val="en-US"/>
        </w:rPr>
        <w:t xml:space="preserve"> = 1–5) for the parameters w</w:t>
      </w:r>
      <w:r w:rsidR="001E6DF8">
        <w:rPr>
          <w:rFonts w:ascii="Times New Roman" w:hAnsi="Times New Roman" w:cs="Times New Roman"/>
          <w:sz w:val="24"/>
          <w:szCs w:val="24"/>
          <w:lang w:val="en-US"/>
        </w:rPr>
        <w:t>ere</w:t>
      </w:r>
      <w:r w:rsidRPr="00C35184">
        <w:rPr>
          <w:rFonts w:ascii="Times New Roman" w:hAnsi="Times New Roman" w:cs="Times New Roman"/>
          <w:sz w:val="24"/>
          <w:szCs w:val="24"/>
          <w:lang w:val="en-US"/>
        </w:rPr>
        <w:t xml:space="preserve"> adopted based on similar studies (Ibe et al., 2020; </w:t>
      </w:r>
      <w:proofErr w:type="spellStart"/>
      <w:r w:rsidRPr="00C35184">
        <w:rPr>
          <w:rFonts w:ascii="Times New Roman" w:hAnsi="Times New Roman" w:cs="Times New Roman"/>
          <w:sz w:val="24"/>
          <w:szCs w:val="24"/>
          <w:lang w:val="en-US"/>
        </w:rPr>
        <w:t>Peterside</w:t>
      </w:r>
      <w:proofErr w:type="spellEnd"/>
      <w:r w:rsidRPr="00C35184">
        <w:rPr>
          <w:rFonts w:ascii="Times New Roman" w:hAnsi="Times New Roman" w:cs="Times New Roman"/>
          <w:sz w:val="24"/>
          <w:szCs w:val="24"/>
          <w:lang w:val="en-US"/>
        </w:rPr>
        <w:t xml:space="preserve"> et al., 2022), and </w:t>
      </w:r>
      <w:r w:rsidR="001E6DF8">
        <w:rPr>
          <w:rFonts w:ascii="Times New Roman" w:hAnsi="Times New Roman" w:cs="Times New Roman"/>
          <w:sz w:val="24"/>
          <w:szCs w:val="24"/>
          <w:lang w:val="en-US"/>
        </w:rPr>
        <w:t>Cu</w:t>
      </w:r>
      <w:r w:rsidRPr="00C35184">
        <w:rPr>
          <w:rFonts w:ascii="Times New Roman" w:hAnsi="Times New Roman" w:cs="Times New Roman"/>
          <w:sz w:val="24"/>
          <w:szCs w:val="24"/>
          <w:lang w:val="en-US"/>
        </w:rPr>
        <w:t xml:space="preserve"> w</w:t>
      </w:r>
      <w:r w:rsidR="001E6DF8">
        <w:rPr>
          <w:rFonts w:ascii="Times New Roman" w:hAnsi="Times New Roman" w:cs="Times New Roman"/>
          <w:sz w:val="24"/>
          <w:szCs w:val="24"/>
          <w:lang w:val="en-US"/>
        </w:rPr>
        <w:t>as</w:t>
      </w:r>
      <w:r w:rsidRPr="00C35184">
        <w:rPr>
          <w:rFonts w:ascii="Times New Roman" w:hAnsi="Times New Roman" w:cs="Times New Roman"/>
          <w:sz w:val="24"/>
          <w:szCs w:val="24"/>
          <w:lang w:val="en-US"/>
        </w:rPr>
        <w:t xml:space="preserve"> assigned </w:t>
      </w:r>
      <w:r w:rsidRPr="00C35184">
        <w:rPr>
          <w:rFonts w:ascii="Times New Roman" w:hAnsi="Times New Roman" w:cs="Times New Roman"/>
          <w:sz w:val="24"/>
          <w:szCs w:val="24"/>
          <w:lang w:val="en-US"/>
        </w:rPr>
        <w:lastRenderedPageBreak/>
        <w:t>weight values of 5 becaus</w:t>
      </w:r>
      <w:r w:rsidR="001E6DF8">
        <w:rPr>
          <w:rFonts w:ascii="Times New Roman" w:hAnsi="Times New Roman" w:cs="Times New Roman"/>
          <w:sz w:val="24"/>
          <w:szCs w:val="24"/>
          <w:lang w:val="en-US"/>
        </w:rPr>
        <w:t>e it is an</w:t>
      </w:r>
      <w:r w:rsidRPr="00C35184">
        <w:rPr>
          <w:rFonts w:ascii="Times New Roman" w:hAnsi="Times New Roman" w:cs="Times New Roman"/>
          <w:sz w:val="24"/>
          <w:szCs w:val="24"/>
          <w:lang w:val="en-US"/>
        </w:rPr>
        <w:t xml:space="preserve"> </w:t>
      </w:r>
      <w:bookmarkStart w:id="6" w:name="_GoBack"/>
      <w:bookmarkEnd w:id="6"/>
      <w:r w:rsidR="001E6DF8" w:rsidRPr="00C35184">
        <w:rPr>
          <w:rFonts w:ascii="Times New Roman" w:hAnsi="Times New Roman" w:cs="Times New Roman"/>
          <w:sz w:val="24"/>
          <w:szCs w:val="24"/>
          <w:lang w:val="en-US"/>
        </w:rPr>
        <w:t>essential factor</w:t>
      </w:r>
      <w:r w:rsidRPr="00C35184">
        <w:rPr>
          <w:rFonts w:ascii="Times New Roman" w:hAnsi="Times New Roman" w:cs="Times New Roman"/>
          <w:sz w:val="24"/>
          <w:szCs w:val="24"/>
          <w:lang w:val="en-US"/>
        </w:rPr>
        <w:t xml:space="preserve"> that affect groundwater quality and thought to be health-associated. In addition, WQI entails calculating the subindex (SI) (equation (3)), water quality index (WQI) (equation (4)), and relative weights (Wi) (equation (1)) and the quality rating scale (qi) (equations (2).</w:t>
      </w:r>
    </w:p>
    <w:p w14:paraId="6E05E920" w14:textId="10A93FE4" w:rsidR="001449B3" w:rsidRPr="00C35184" w:rsidRDefault="0077650F" w:rsidP="001449B3">
      <w:pPr>
        <w:autoSpaceDE w:val="0"/>
        <w:autoSpaceDN w:val="0"/>
        <w:adjustRightInd w:val="0"/>
        <w:spacing w:after="0" w:line="480" w:lineRule="auto"/>
        <w:jc w:val="center"/>
        <w:rPr>
          <w:rFonts w:ascii="Times New Roman" w:hAnsi="Times New Roman" w:cs="Times New Roman"/>
          <w:sz w:val="24"/>
          <w:szCs w:val="24"/>
          <w:lang w:val="en-US"/>
        </w:rPr>
      </w:pPr>
      <m:oMathPara>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num>
            <m:den>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e>
              </m:nary>
            </m:den>
          </m:f>
          <m:r>
            <w:rPr>
              <w:rFonts w:ascii="Cambria Math" w:hAnsi="Cambria Math" w:cs="Times New Roman"/>
              <w:sz w:val="24"/>
              <w:szCs w:val="24"/>
            </w:rPr>
            <m:t xml:space="preserve">                                      (Eq.  1)</m:t>
          </m:r>
        </m:oMath>
      </m:oMathPara>
    </w:p>
    <w:p w14:paraId="26E21B37" w14:textId="72E32FAF" w:rsidR="001449B3" w:rsidRPr="00C35184" w:rsidRDefault="0077650F" w:rsidP="001449B3">
      <w:pPr>
        <w:pStyle w:val="Default"/>
        <w:spacing w:line="480" w:lineRule="auto"/>
        <w:ind w:left="36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i</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i</m:t>
                  </m:r>
                </m:sub>
              </m:sSub>
            </m:num>
            <m:den>
              <m:r>
                <w:rPr>
                  <w:rFonts w:ascii="Cambria Math" w:hAnsi="Cambria Math" w:cs="Times New Roman"/>
                </w:rPr>
                <m:t>Si</m:t>
              </m:r>
            </m:den>
          </m:f>
          <m:r>
            <w:rPr>
              <w:rFonts w:ascii="Cambria Math" w:hAnsi="Cambria Math" w:cs="Times New Roman"/>
            </w:rPr>
            <m:t xml:space="preserve"> x 100                                     (Eq. 2)</m:t>
          </m:r>
        </m:oMath>
      </m:oMathPara>
    </w:p>
    <w:p w14:paraId="4B3AE16D" w14:textId="794F50FF" w:rsidR="001449B3" w:rsidRPr="00C35184" w:rsidRDefault="001449B3" w:rsidP="001449B3">
      <w:pPr>
        <w:spacing w:line="480" w:lineRule="auto"/>
        <w:jc w:val="center"/>
        <w:rPr>
          <w:rFonts w:ascii="Times New Roman" w:hAnsi="Times New Roman" w:cs="Times New Roman"/>
          <w:sz w:val="24"/>
          <w:szCs w:val="24"/>
        </w:rPr>
      </w:pPr>
      <m:oMathPara>
        <m:oMath>
          <m:r>
            <w:rPr>
              <w:rFonts w:ascii="Cambria Math" w:hAnsi="Cambria Math" w:cs="Times New Roman"/>
              <w:sz w:val="24"/>
              <w:szCs w:val="24"/>
            </w:rPr>
            <m:t>SI=Wi x qi                                        (Eq. 3)</m:t>
          </m:r>
        </m:oMath>
      </m:oMathPara>
    </w:p>
    <w:p w14:paraId="7C473F19" w14:textId="23BF348A" w:rsidR="001449B3" w:rsidRPr="00C35184" w:rsidRDefault="001449B3" w:rsidP="001449B3">
      <w:pPr>
        <w:spacing w:line="480" w:lineRule="auto"/>
        <w:jc w:val="center"/>
        <w:rPr>
          <w:rFonts w:ascii="Times New Roman" w:hAnsi="Times New Roman" w:cs="Times New Roman"/>
          <w:sz w:val="24"/>
          <w:szCs w:val="24"/>
        </w:rPr>
      </w:pPr>
      <m:oMathPara>
        <m:oMath>
          <m:r>
            <w:rPr>
              <w:rFonts w:ascii="Cambria Math" w:hAnsi="Cambria Math" w:cs="Times New Roman"/>
              <w:sz w:val="24"/>
              <w:szCs w:val="24"/>
            </w:rPr>
            <m:t xml:space="preserve">WQI=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n</m:t>
              </m:r>
            </m:sup>
            <m:e>
              <m:r>
                <w:rPr>
                  <w:rFonts w:ascii="Cambria Math" w:hAnsi="Cambria Math" w:cs="Times New Roman"/>
                  <w:sz w:val="24"/>
                  <w:szCs w:val="24"/>
                </w:rPr>
                <m:t>SI</m:t>
              </m:r>
            </m:e>
          </m:nary>
          <m:r>
            <w:rPr>
              <w:rFonts w:ascii="Cambria Math" w:hAnsi="Cambria Math" w:cs="Times New Roman"/>
              <w:sz w:val="24"/>
              <w:szCs w:val="24"/>
            </w:rPr>
            <m:t xml:space="preserve">                                  (Eq. 4)</m:t>
          </m:r>
        </m:oMath>
      </m:oMathPara>
    </w:p>
    <w:p w14:paraId="544CAB93" w14:textId="36AAF091" w:rsidR="001449B3" w:rsidRPr="00C35184" w:rsidRDefault="001449B3" w:rsidP="001449B3">
      <w:pPr>
        <w:spacing w:after="0" w:line="480" w:lineRule="auto"/>
        <w:jc w:val="both"/>
        <w:rPr>
          <w:rFonts w:ascii="Times New Roman" w:hAnsi="Times New Roman" w:cs="Times New Roman"/>
          <w:sz w:val="24"/>
          <w:szCs w:val="24"/>
        </w:rPr>
      </w:pPr>
      <w:r w:rsidRPr="00C35184">
        <w:rPr>
          <w:rFonts w:ascii="Times New Roman" w:hAnsi="Times New Roman" w:cs="Times New Roman"/>
          <w:sz w:val="24"/>
          <w:szCs w:val="24"/>
        </w:rPr>
        <w:t xml:space="preserve">Where </w:t>
      </w:r>
      <w:proofErr w:type="spellStart"/>
      <w:r w:rsidRPr="00C35184">
        <w:rPr>
          <w:rFonts w:ascii="Times New Roman" w:hAnsi="Times New Roman" w:cs="Times New Roman"/>
          <w:sz w:val="24"/>
          <w:szCs w:val="24"/>
        </w:rPr>
        <w:t>wi</w:t>
      </w:r>
      <w:proofErr w:type="spellEnd"/>
      <w:r w:rsidRPr="00C35184">
        <w:rPr>
          <w:rFonts w:ascii="Times New Roman" w:hAnsi="Times New Roman" w:cs="Times New Roman"/>
          <w:sz w:val="24"/>
          <w:szCs w:val="24"/>
        </w:rPr>
        <w:t xml:space="preserve">= weight values for parameters, Ci = Concentration of parameters and Si = Standard value of Parameters, </w:t>
      </w:r>
      <w:r w:rsidRPr="00C35184">
        <w:rPr>
          <w:rFonts w:ascii="Times New Roman" w:hAnsi="Times New Roman" w:cs="Times New Roman"/>
          <w:sz w:val="24"/>
          <w:szCs w:val="24"/>
          <w:lang w:val="en-US"/>
        </w:rPr>
        <w:t>qi = Quality rating scale.</w:t>
      </w:r>
      <w:r w:rsidRPr="00C35184">
        <w:rPr>
          <w:rFonts w:ascii="Times New Roman" w:hAnsi="Times New Roman" w:cs="Times New Roman"/>
          <w:sz w:val="24"/>
          <w:szCs w:val="24"/>
        </w:rPr>
        <w:t xml:space="preserve"> The standard value of WHO for parameters was adopted for the study (Afolabi </w:t>
      </w:r>
      <w:r w:rsidRPr="00C35184">
        <w:rPr>
          <w:rFonts w:ascii="Times New Roman" w:hAnsi="Times New Roman" w:cs="Times New Roman"/>
          <w:i/>
          <w:iCs/>
          <w:sz w:val="24"/>
          <w:szCs w:val="24"/>
        </w:rPr>
        <w:t>et al</w:t>
      </w:r>
      <w:r w:rsidRPr="00C35184">
        <w:rPr>
          <w:rFonts w:ascii="Times New Roman" w:hAnsi="Times New Roman" w:cs="Times New Roman"/>
          <w:sz w:val="24"/>
          <w:szCs w:val="24"/>
        </w:rPr>
        <w:t>., 2022). The estimated WQIs were categorized based on Sahu and Sikdar (2008) categorization where &lt;50: Excellent water, 50-100: Good water, 100-200: Poor water, 200-300: Very poor water, and &gt;300: Water unsuitable for drinking.</w:t>
      </w:r>
    </w:p>
    <w:p w14:paraId="56DBC9E9" w14:textId="4763F543" w:rsidR="007C0C0B" w:rsidRPr="00C35184" w:rsidRDefault="00C35184" w:rsidP="00C35184">
      <w:pPr>
        <w:pStyle w:val="ListParagraph"/>
        <w:numPr>
          <w:ilvl w:val="0"/>
          <w:numId w:val="2"/>
        </w:numPr>
        <w:spacing w:after="0" w:line="480" w:lineRule="auto"/>
        <w:jc w:val="both"/>
        <w:rPr>
          <w:rFonts w:ascii="Times New Roman" w:hAnsi="Times New Roman"/>
          <w:b/>
          <w:bCs/>
          <w:sz w:val="24"/>
          <w:szCs w:val="24"/>
        </w:rPr>
      </w:pPr>
      <w:r w:rsidRPr="00C35184">
        <w:rPr>
          <w:rFonts w:ascii="Times New Roman" w:hAnsi="Times New Roman"/>
          <w:b/>
          <w:bCs/>
          <w:sz w:val="24"/>
          <w:szCs w:val="24"/>
        </w:rPr>
        <w:t>RESULT</w:t>
      </w:r>
      <w:r>
        <w:rPr>
          <w:rFonts w:ascii="Times New Roman" w:hAnsi="Times New Roman"/>
          <w:b/>
          <w:bCs/>
          <w:sz w:val="24"/>
          <w:szCs w:val="24"/>
        </w:rPr>
        <w:t>S</w:t>
      </w:r>
      <w:r w:rsidRPr="00C35184">
        <w:rPr>
          <w:rFonts w:ascii="Times New Roman" w:hAnsi="Times New Roman"/>
          <w:b/>
          <w:bCs/>
          <w:sz w:val="24"/>
          <w:szCs w:val="24"/>
        </w:rPr>
        <w:t xml:space="preserve"> AND DISCUSSION </w:t>
      </w:r>
    </w:p>
    <w:p w14:paraId="4EF0C37F" w14:textId="38D46CC4" w:rsidR="00F1798E" w:rsidRPr="00C35184" w:rsidRDefault="008916F9" w:rsidP="00F1798E">
      <w:pPr>
        <w:spacing w:after="0" w:line="480" w:lineRule="auto"/>
        <w:jc w:val="both"/>
        <w:rPr>
          <w:rFonts w:ascii="Times New Roman" w:hAnsi="Times New Roman" w:cs="Times New Roman"/>
          <w:color w:val="000000"/>
          <w:sz w:val="24"/>
          <w:szCs w:val="24"/>
        </w:rPr>
        <w:sectPr w:rsidR="00F1798E" w:rsidRPr="00C35184" w:rsidSect="00FE5BB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r w:rsidRPr="00C35184">
        <w:rPr>
          <w:rFonts w:ascii="Times New Roman" w:hAnsi="Times New Roman" w:cs="Times New Roman"/>
          <w:sz w:val="24"/>
          <w:szCs w:val="24"/>
        </w:rPr>
        <w:t>The concentration of groundwater quality parameters used for analysing WQI was collected from boreholes (BH 1-15)  and the outcome was presented in Table 1.</w:t>
      </w:r>
      <w:bookmarkStart w:id="7" w:name="_Hlk174566649"/>
      <w:r w:rsidRPr="00C35184">
        <w:rPr>
          <w:rFonts w:ascii="Times New Roman" w:hAnsi="Times New Roman" w:cs="Times New Roman"/>
          <w:sz w:val="24"/>
          <w:szCs w:val="24"/>
        </w:rPr>
        <w:t xml:space="preserve"> </w:t>
      </w:r>
      <w:r w:rsidRPr="00C35184">
        <w:rPr>
          <w:rFonts w:ascii="Times New Roman" w:hAnsi="Times New Roman" w:cs="Times New Roman"/>
          <w:color w:val="000000"/>
          <w:sz w:val="24"/>
          <w:szCs w:val="24"/>
        </w:rPr>
        <w:t>The pH mean concentration across the sampled points was 5.34 across the study area</w:t>
      </w:r>
      <w:bookmarkEnd w:id="7"/>
      <w:r w:rsidRPr="00C35184">
        <w:rPr>
          <w:rFonts w:ascii="Times New Roman" w:hAnsi="Times New Roman" w:cs="Times New Roman"/>
          <w:color w:val="000000"/>
          <w:sz w:val="24"/>
          <w:szCs w:val="24"/>
        </w:rPr>
        <w:t xml:space="preserve"> and </w:t>
      </w:r>
      <w:r w:rsidRPr="00C35184">
        <w:rPr>
          <w:rFonts w:ascii="Times New Roman" w:hAnsi="Times New Roman" w:cs="Times New Roman"/>
          <w:bCs/>
          <w:sz w:val="24"/>
          <w:szCs w:val="24"/>
          <w:lang w:eastAsia="en-GB"/>
        </w:rPr>
        <w:t>the reported concentrations were within those reported by</w:t>
      </w:r>
      <w:r w:rsidRPr="00C35184">
        <w:rPr>
          <w:rFonts w:ascii="Times New Roman" w:hAnsi="Times New Roman" w:cs="Times New Roman"/>
          <w:bCs/>
          <w:sz w:val="24"/>
          <w:szCs w:val="24"/>
        </w:rPr>
        <w:t xml:space="preserve"> </w:t>
      </w:r>
      <w:proofErr w:type="spellStart"/>
      <w:r w:rsidRPr="00C35184">
        <w:rPr>
          <w:rFonts w:ascii="Times New Roman" w:hAnsi="Times New Roman" w:cs="Times New Roman"/>
          <w:sz w:val="24"/>
          <w:szCs w:val="24"/>
        </w:rPr>
        <w:t>Addisie</w:t>
      </w:r>
      <w:proofErr w:type="spellEnd"/>
      <w:r w:rsidRPr="00C35184">
        <w:rPr>
          <w:rFonts w:ascii="Times New Roman" w:hAnsi="Times New Roman" w:cs="Times New Roman"/>
          <w:sz w:val="24"/>
          <w:szCs w:val="24"/>
        </w:rPr>
        <w:t xml:space="preserve"> (2022)</w:t>
      </w:r>
      <w:r w:rsidRPr="00C35184">
        <w:rPr>
          <w:rFonts w:ascii="Times New Roman" w:hAnsi="Times New Roman" w:cs="Times New Roman"/>
          <w:bCs/>
          <w:sz w:val="24"/>
          <w:szCs w:val="24"/>
        </w:rPr>
        <w:t xml:space="preserve"> at 6.5 to 7.45. </w:t>
      </w:r>
      <w:r w:rsidR="00F1798E" w:rsidRPr="00C35184">
        <w:rPr>
          <w:rFonts w:ascii="Times New Roman" w:hAnsi="Times New Roman" w:cs="Times New Roman"/>
          <w:color w:val="000000"/>
          <w:sz w:val="24"/>
          <w:szCs w:val="24"/>
        </w:rPr>
        <w:t xml:space="preserve">The temperature mean concentration across the sampled points was </w:t>
      </w:r>
      <w:r w:rsidR="00F1798E" w:rsidRPr="00C35184">
        <w:rPr>
          <w:rFonts w:ascii="Times New Roman" w:hAnsi="Times New Roman" w:cs="Times New Roman"/>
          <w:sz w:val="24"/>
          <w:szCs w:val="24"/>
        </w:rPr>
        <w:t>28.4 °C</w:t>
      </w:r>
      <w:r w:rsidR="00F1798E" w:rsidRPr="00C35184">
        <w:rPr>
          <w:rFonts w:ascii="Times New Roman" w:hAnsi="Times New Roman" w:cs="Times New Roman"/>
          <w:color w:val="000000"/>
          <w:sz w:val="24"/>
          <w:szCs w:val="24"/>
        </w:rPr>
        <w:t xml:space="preserve">. </w:t>
      </w:r>
      <w:r w:rsidR="00F1798E" w:rsidRPr="00C35184">
        <w:rPr>
          <w:rFonts w:ascii="Times New Roman" w:hAnsi="Times New Roman" w:cs="Times New Roman"/>
          <w:sz w:val="24"/>
          <w:szCs w:val="24"/>
        </w:rPr>
        <w:t xml:space="preserve">Temperature in this study was found within permissible limit of WHO (30 °C). </w:t>
      </w:r>
      <w:r w:rsidR="00F1798E" w:rsidRPr="00C35184">
        <w:rPr>
          <w:rFonts w:ascii="Times New Roman" w:hAnsi="Times New Roman" w:cs="Times New Roman"/>
          <w:color w:val="000000"/>
          <w:sz w:val="24"/>
          <w:szCs w:val="24"/>
        </w:rPr>
        <w:t xml:space="preserve">The salinity mean concentration across the sampled points was 0.01 was similar to those reported by </w:t>
      </w:r>
      <w:bookmarkStart w:id="8" w:name="_Hlk196072958"/>
      <w:r w:rsidR="00F1798E" w:rsidRPr="00C35184">
        <w:rPr>
          <w:rFonts w:ascii="Times New Roman" w:hAnsi="Times New Roman" w:cs="Times New Roman"/>
          <w:color w:val="000000"/>
          <w:sz w:val="24"/>
          <w:szCs w:val="24"/>
        </w:rPr>
        <w:t>Emmanuel et al. (2024)</w:t>
      </w:r>
      <w:bookmarkEnd w:id="8"/>
      <w:r w:rsidR="00F1798E" w:rsidRPr="00C35184">
        <w:rPr>
          <w:rFonts w:ascii="Times New Roman" w:hAnsi="Times New Roman" w:cs="Times New Roman"/>
          <w:color w:val="000000"/>
          <w:sz w:val="24"/>
          <w:szCs w:val="24"/>
        </w:rPr>
        <w:t xml:space="preserve">. The EC mean concentration across the sampled points was 107.51 </w:t>
      </w:r>
      <w:r w:rsidR="00F1798E" w:rsidRPr="00C35184">
        <w:rPr>
          <w:rFonts w:ascii="Times New Roman" w:hAnsi="Times New Roman" w:cs="Times New Roman"/>
          <w:sz w:val="24"/>
          <w:szCs w:val="24"/>
        </w:rPr>
        <w:t>µS/cm</w:t>
      </w:r>
      <w:r w:rsidR="00F1798E" w:rsidRPr="00C35184">
        <w:rPr>
          <w:rFonts w:ascii="Times New Roman" w:hAnsi="Times New Roman" w:cs="Times New Roman"/>
          <w:color w:val="000000"/>
          <w:sz w:val="24"/>
          <w:szCs w:val="24"/>
        </w:rPr>
        <w:t xml:space="preserve">. </w:t>
      </w:r>
      <w:r w:rsidR="00F1798E" w:rsidRPr="00C35184">
        <w:rPr>
          <w:rFonts w:ascii="Times New Roman" w:hAnsi="Times New Roman" w:cs="Times New Roman"/>
          <w:sz w:val="24"/>
          <w:szCs w:val="24"/>
        </w:rPr>
        <w:t xml:space="preserve">All concentrations reported are within the WHO (2018) and NSDWQ </w:t>
      </w:r>
    </w:p>
    <w:p w14:paraId="68BB6393" w14:textId="77777777" w:rsidR="00F1798E" w:rsidRPr="00C35184" w:rsidRDefault="00F1798E" w:rsidP="00F1798E">
      <w:pPr>
        <w:spacing w:after="0" w:line="240" w:lineRule="auto"/>
        <w:jc w:val="both"/>
        <w:rPr>
          <w:rFonts w:ascii="Times New Roman" w:hAnsi="Times New Roman" w:cs="Times New Roman"/>
          <w:sz w:val="24"/>
          <w:szCs w:val="24"/>
        </w:rPr>
      </w:pPr>
      <w:r w:rsidRPr="00C35184">
        <w:rPr>
          <w:rFonts w:ascii="Times New Roman" w:hAnsi="Times New Roman" w:cs="Times New Roman"/>
          <w:sz w:val="24"/>
          <w:szCs w:val="24"/>
        </w:rPr>
        <w:lastRenderedPageBreak/>
        <w:t xml:space="preserve">Table 1: Physiochemical </w:t>
      </w:r>
      <w:r w:rsidRPr="00C35184">
        <w:rPr>
          <w:rFonts w:ascii="Times New Roman" w:hAnsi="Times New Roman" w:cs="Times New Roman"/>
          <w:bCs/>
          <w:sz w:val="24"/>
          <w:szCs w:val="24"/>
        </w:rPr>
        <w:t>Concentration of Groundwater Quality</w:t>
      </w: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1127"/>
        <w:gridCol w:w="667"/>
        <w:gridCol w:w="668"/>
        <w:gridCol w:w="691"/>
        <w:gridCol w:w="668"/>
        <w:gridCol w:w="668"/>
        <w:gridCol w:w="668"/>
        <w:gridCol w:w="671"/>
        <w:gridCol w:w="668"/>
        <w:gridCol w:w="668"/>
        <w:gridCol w:w="668"/>
        <w:gridCol w:w="671"/>
        <w:gridCol w:w="668"/>
        <w:gridCol w:w="668"/>
        <w:gridCol w:w="668"/>
        <w:gridCol w:w="673"/>
        <w:gridCol w:w="673"/>
        <w:gridCol w:w="657"/>
        <w:gridCol w:w="626"/>
        <w:gridCol w:w="822"/>
      </w:tblGrid>
      <w:tr w:rsidR="00F1798E" w:rsidRPr="00C35184" w14:paraId="4EF9FB82" w14:textId="77777777" w:rsidTr="00363E20">
        <w:trPr>
          <w:trHeight w:val="182"/>
        </w:trPr>
        <w:tc>
          <w:tcPr>
            <w:tcW w:w="422" w:type="pct"/>
            <w:tcBorders>
              <w:bottom w:val="single" w:sz="4" w:space="0" w:color="auto"/>
            </w:tcBorders>
            <w:vAlign w:val="center"/>
          </w:tcPr>
          <w:p w14:paraId="77E7DC82" w14:textId="77777777" w:rsidR="00F1798E" w:rsidRPr="00C35184" w:rsidRDefault="00F1798E" w:rsidP="00403501">
            <w:pPr>
              <w:spacing w:after="0" w:line="360" w:lineRule="auto"/>
              <w:jc w:val="center"/>
              <w:rPr>
                <w:rFonts w:ascii="Times New Roman" w:hAnsi="Times New Roman" w:cs="Times New Roman"/>
                <w:b/>
                <w:sz w:val="24"/>
                <w:szCs w:val="24"/>
              </w:rPr>
            </w:pPr>
            <w:bookmarkStart w:id="9" w:name="_Hlk189495017"/>
          </w:p>
        </w:tc>
        <w:tc>
          <w:tcPr>
            <w:tcW w:w="238" w:type="pct"/>
            <w:tcBorders>
              <w:bottom w:val="single" w:sz="4" w:space="0" w:color="auto"/>
            </w:tcBorders>
            <w:vAlign w:val="center"/>
          </w:tcPr>
          <w:p w14:paraId="15036CD4" w14:textId="77777777" w:rsidR="00F1798E" w:rsidRPr="00C35184" w:rsidRDefault="00F1798E" w:rsidP="00403501">
            <w:pPr>
              <w:spacing w:after="0" w:line="360" w:lineRule="auto"/>
              <w:jc w:val="center"/>
              <w:rPr>
                <w:rFonts w:ascii="Times New Roman" w:hAnsi="Times New Roman" w:cs="Times New Roman"/>
                <w:b/>
                <w:sz w:val="24"/>
                <w:szCs w:val="24"/>
              </w:rPr>
            </w:pPr>
            <w:r w:rsidRPr="00C35184">
              <w:rPr>
                <w:rFonts w:ascii="Times New Roman" w:hAnsi="Times New Roman" w:cs="Times New Roman"/>
                <w:b/>
                <w:sz w:val="24"/>
                <w:szCs w:val="24"/>
              </w:rPr>
              <w:t>BH1</w:t>
            </w:r>
          </w:p>
        </w:tc>
        <w:tc>
          <w:tcPr>
            <w:tcW w:w="238" w:type="pct"/>
            <w:tcBorders>
              <w:bottom w:val="single" w:sz="4" w:space="0" w:color="auto"/>
            </w:tcBorders>
            <w:vAlign w:val="center"/>
          </w:tcPr>
          <w:p w14:paraId="3F72AF66" w14:textId="77777777" w:rsidR="00F1798E" w:rsidRPr="00C35184" w:rsidRDefault="00F1798E" w:rsidP="00403501">
            <w:pPr>
              <w:spacing w:after="0" w:line="360" w:lineRule="auto"/>
              <w:jc w:val="center"/>
              <w:rPr>
                <w:rFonts w:ascii="Times New Roman" w:hAnsi="Times New Roman" w:cs="Times New Roman"/>
                <w:b/>
                <w:sz w:val="24"/>
                <w:szCs w:val="24"/>
              </w:rPr>
            </w:pPr>
            <w:r w:rsidRPr="00C35184">
              <w:rPr>
                <w:rFonts w:ascii="Times New Roman" w:hAnsi="Times New Roman" w:cs="Times New Roman"/>
                <w:b/>
                <w:sz w:val="24"/>
                <w:szCs w:val="24"/>
              </w:rPr>
              <w:t>BH2</w:t>
            </w:r>
          </w:p>
        </w:tc>
        <w:tc>
          <w:tcPr>
            <w:tcW w:w="247" w:type="pct"/>
            <w:tcBorders>
              <w:bottom w:val="single" w:sz="4" w:space="0" w:color="auto"/>
            </w:tcBorders>
            <w:vAlign w:val="center"/>
          </w:tcPr>
          <w:p w14:paraId="2DBFA03E" w14:textId="77777777" w:rsidR="00F1798E" w:rsidRPr="00C35184" w:rsidRDefault="00F1798E" w:rsidP="00403501">
            <w:pPr>
              <w:spacing w:after="0" w:line="360" w:lineRule="auto"/>
              <w:jc w:val="center"/>
              <w:rPr>
                <w:rFonts w:ascii="Times New Roman" w:hAnsi="Times New Roman" w:cs="Times New Roman"/>
                <w:b/>
                <w:sz w:val="24"/>
                <w:szCs w:val="24"/>
              </w:rPr>
            </w:pPr>
            <w:r w:rsidRPr="00C35184">
              <w:rPr>
                <w:rFonts w:ascii="Times New Roman" w:hAnsi="Times New Roman" w:cs="Times New Roman"/>
                <w:b/>
                <w:sz w:val="24"/>
                <w:szCs w:val="24"/>
              </w:rPr>
              <w:t>BH3</w:t>
            </w:r>
          </w:p>
        </w:tc>
        <w:tc>
          <w:tcPr>
            <w:tcW w:w="238" w:type="pct"/>
            <w:tcBorders>
              <w:bottom w:val="single" w:sz="4" w:space="0" w:color="auto"/>
            </w:tcBorders>
            <w:vAlign w:val="center"/>
          </w:tcPr>
          <w:p w14:paraId="2B73293D" w14:textId="77777777" w:rsidR="00F1798E" w:rsidRPr="00C35184" w:rsidRDefault="00F1798E" w:rsidP="00403501">
            <w:pPr>
              <w:spacing w:after="0" w:line="360" w:lineRule="auto"/>
              <w:jc w:val="center"/>
              <w:rPr>
                <w:rFonts w:ascii="Times New Roman" w:hAnsi="Times New Roman" w:cs="Times New Roman"/>
                <w:b/>
                <w:sz w:val="24"/>
                <w:szCs w:val="24"/>
              </w:rPr>
            </w:pPr>
            <w:r w:rsidRPr="00C35184">
              <w:rPr>
                <w:rFonts w:ascii="Times New Roman" w:hAnsi="Times New Roman" w:cs="Times New Roman"/>
                <w:b/>
                <w:sz w:val="24"/>
                <w:szCs w:val="24"/>
              </w:rPr>
              <w:t>BH4</w:t>
            </w:r>
          </w:p>
        </w:tc>
        <w:tc>
          <w:tcPr>
            <w:tcW w:w="238" w:type="pct"/>
            <w:tcBorders>
              <w:bottom w:val="single" w:sz="4" w:space="0" w:color="auto"/>
            </w:tcBorders>
            <w:vAlign w:val="center"/>
          </w:tcPr>
          <w:p w14:paraId="7C01E445" w14:textId="77777777" w:rsidR="00F1798E" w:rsidRPr="00C35184" w:rsidRDefault="00F1798E" w:rsidP="00403501">
            <w:pPr>
              <w:spacing w:after="0" w:line="360" w:lineRule="auto"/>
              <w:jc w:val="center"/>
              <w:rPr>
                <w:rFonts w:ascii="Times New Roman" w:hAnsi="Times New Roman" w:cs="Times New Roman"/>
                <w:b/>
                <w:sz w:val="24"/>
                <w:szCs w:val="24"/>
              </w:rPr>
            </w:pPr>
            <w:r w:rsidRPr="00C35184">
              <w:rPr>
                <w:rFonts w:ascii="Times New Roman" w:hAnsi="Times New Roman" w:cs="Times New Roman"/>
                <w:b/>
                <w:sz w:val="24"/>
                <w:szCs w:val="24"/>
              </w:rPr>
              <w:t>BH5</w:t>
            </w:r>
          </w:p>
        </w:tc>
        <w:tc>
          <w:tcPr>
            <w:tcW w:w="238" w:type="pct"/>
            <w:tcBorders>
              <w:bottom w:val="single" w:sz="4" w:space="0" w:color="auto"/>
            </w:tcBorders>
            <w:vAlign w:val="center"/>
          </w:tcPr>
          <w:p w14:paraId="6F9F2679" w14:textId="77777777" w:rsidR="00F1798E" w:rsidRPr="00C35184" w:rsidRDefault="00F1798E" w:rsidP="00403501">
            <w:pPr>
              <w:spacing w:after="0" w:line="360" w:lineRule="auto"/>
              <w:jc w:val="center"/>
              <w:rPr>
                <w:rFonts w:ascii="Times New Roman" w:hAnsi="Times New Roman" w:cs="Times New Roman"/>
                <w:b/>
                <w:sz w:val="24"/>
                <w:szCs w:val="24"/>
              </w:rPr>
            </w:pPr>
            <w:r w:rsidRPr="00C35184">
              <w:rPr>
                <w:rFonts w:ascii="Times New Roman" w:hAnsi="Times New Roman" w:cs="Times New Roman"/>
                <w:b/>
                <w:sz w:val="24"/>
                <w:szCs w:val="24"/>
              </w:rPr>
              <w:t>BH6</w:t>
            </w:r>
          </w:p>
        </w:tc>
        <w:tc>
          <w:tcPr>
            <w:tcW w:w="239" w:type="pct"/>
            <w:tcBorders>
              <w:bottom w:val="single" w:sz="4" w:space="0" w:color="auto"/>
            </w:tcBorders>
            <w:vAlign w:val="center"/>
          </w:tcPr>
          <w:p w14:paraId="4793D017" w14:textId="77777777" w:rsidR="00F1798E" w:rsidRPr="00C35184" w:rsidRDefault="00F1798E" w:rsidP="00403501">
            <w:pPr>
              <w:spacing w:after="0" w:line="360" w:lineRule="auto"/>
              <w:jc w:val="center"/>
              <w:rPr>
                <w:rFonts w:ascii="Times New Roman" w:hAnsi="Times New Roman" w:cs="Times New Roman"/>
                <w:b/>
                <w:sz w:val="24"/>
                <w:szCs w:val="24"/>
              </w:rPr>
            </w:pPr>
            <w:r w:rsidRPr="00C35184">
              <w:rPr>
                <w:rFonts w:ascii="Times New Roman" w:hAnsi="Times New Roman" w:cs="Times New Roman"/>
                <w:b/>
                <w:sz w:val="24"/>
                <w:szCs w:val="24"/>
              </w:rPr>
              <w:t>BH7</w:t>
            </w:r>
          </w:p>
        </w:tc>
        <w:tc>
          <w:tcPr>
            <w:tcW w:w="238" w:type="pct"/>
            <w:tcBorders>
              <w:bottom w:val="single" w:sz="4" w:space="0" w:color="auto"/>
            </w:tcBorders>
            <w:vAlign w:val="center"/>
          </w:tcPr>
          <w:p w14:paraId="0CA2DDFF" w14:textId="77777777" w:rsidR="00F1798E" w:rsidRPr="00C35184" w:rsidRDefault="00F1798E" w:rsidP="00403501">
            <w:pPr>
              <w:spacing w:after="0" w:line="360" w:lineRule="auto"/>
              <w:jc w:val="center"/>
              <w:rPr>
                <w:rFonts w:ascii="Times New Roman" w:hAnsi="Times New Roman" w:cs="Times New Roman"/>
                <w:b/>
                <w:sz w:val="24"/>
                <w:szCs w:val="24"/>
              </w:rPr>
            </w:pPr>
            <w:r w:rsidRPr="00C35184">
              <w:rPr>
                <w:rFonts w:ascii="Times New Roman" w:hAnsi="Times New Roman" w:cs="Times New Roman"/>
                <w:b/>
                <w:sz w:val="24"/>
                <w:szCs w:val="24"/>
              </w:rPr>
              <w:t>BH8</w:t>
            </w:r>
          </w:p>
        </w:tc>
        <w:tc>
          <w:tcPr>
            <w:tcW w:w="238" w:type="pct"/>
            <w:tcBorders>
              <w:bottom w:val="single" w:sz="4" w:space="0" w:color="auto"/>
            </w:tcBorders>
            <w:vAlign w:val="center"/>
          </w:tcPr>
          <w:p w14:paraId="5F2B38BB" w14:textId="77777777" w:rsidR="00F1798E" w:rsidRPr="00C35184" w:rsidRDefault="00F1798E" w:rsidP="00403501">
            <w:pPr>
              <w:spacing w:after="0" w:line="360" w:lineRule="auto"/>
              <w:jc w:val="center"/>
              <w:rPr>
                <w:rFonts w:ascii="Times New Roman" w:hAnsi="Times New Roman" w:cs="Times New Roman"/>
                <w:b/>
                <w:sz w:val="24"/>
                <w:szCs w:val="24"/>
              </w:rPr>
            </w:pPr>
            <w:r w:rsidRPr="00C35184">
              <w:rPr>
                <w:rFonts w:ascii="Times New Roman" w:hAnsi="Times New Roman" w:cs="Times New Roman"/>
                <w:b/>
                <w:sz w:val="24"/>
                <w:szCs w:val="24"/>
              </w:rPr>
              <w:t>BH9</w:t>
            </w:r>
          </w:p>
        </w:tc>
        <w:tc>
          <w:tcPr>
            <w:tcW w:w="238" w:type="pct"/>
            <w:tcBorders>
              <w:bottom w:val="single" w:sz="4" w:space="0" w:color="auto"/>
            </w:tcBorders>
            <w:vAlign w:val="center"/>
          </w:tcPr>
          <w:p w14:paraId="182C4783" w14:textId="77777777" w:rsidR="00F1798E" w:rsidRPr="00C35184" w:rsidRDefault="00F1798E" w:rsidP="00403501">
            <w:pPr>
              <w:spacing w:after="0" w:line="360" w:lineRule="auto"/>
              <w:jc w:val="center"/>
              <w:rPr>
                <w:rFonts w:ascii="Times New Roman" w:hAnsi="Times New Roman" w:cs="Times New Roman"/>
                <w:b/>
                <w:sz w:val="24"/>
                <w:szCs w:val="24"/>
              </w:rPr>
            </w:pPr>
            <w:r w:rsidRPr="00C35184">
              <w:rPr>
                <w:rFonts w:ascii="Times New Roman" w:hAnsi="Times New Roman" w:cs="Times New Roman"/>
                <w:b/>
                <w:sz w:val="24"/>
                <w:szCs w:val="24"/>
              </w:rPr>
              <w:t>BH10</w:t>
            </w:r>
          </w:p>
        </w:tc>
        <w:tc>
          <w:tcPr>
            <w:tcW w:w="239" w:type="pct"/>
            <w:tcBorders>
              <w:bottom w:val="single" w:sz="4" w:space="0" w:color="auto"/>
            </w:tcBorders>
            <w:vAlign w:val="center"/>
          </w:tcPr>
          <w:p w14:paraId="75C01D71" w14:textId="77777777" w:rsidR="00F1798E" w:rsidRPr="00C35184" w:rsidRDefault="00F1798E" w:rsidP="00403501">
            <w:pPr>
              <w:spacing w:after="0" w:line="360" w:lineRule="auto"/>
              <w:jc w:val="center"/>
              <w:rPr>
                <w:rFonts w:ascii="Times New Roman" w:hAnsi="Times New Roman" w:cs="Times New Roman"/>
                <w:b/>
                <w:sz w:val="24"/>
                <w:szCs w:val="24"/>
              </w:rPr>
            </w:pPr>
            <w:r w:rsidRPr="00C35184">
              <w:rPr>
                <w:rFonts w:ascii="Times New Roman" w:hAnsi="Times New Roman" w:cs="Times New Roman"/>
                <w:b/>
                <w:sz w:val="24"/>
                <w:szCs w:val="24"/>
              </w:rPr>
              <w:t>BH11</w:t>
            </w:r>
          </w:p>
        </w:tc>
        <w:tc>
          <w:tcPr>
            <w:tcW w:w="238" w:type="pct"/>
            <w:tcBorders>
              <w:bottom w:val="single" w:sz="4" w:space="0" w:color="auto"/>
            </w:tcBorders>
            <w:vAlign w:val="center"/>
          </w:tcPr>
          <w:p w14:paraId="6636625F" w14:textId="77777777" w:rsidR="00F1798E" w:rsidRPr="00C35184" w:rsidRDefault="00F1798E" w:rsidP="00403501">
            <w:pPr>
              <w:spacing w:after="0" w:line="360" w:lineRule="auto"/>
              <w:jc w:val="center"/>
              <w:rPr>
                <w:rFonts w:ascii="Times New Roman" w:hAnsi="Times New Roman" w:cs="Times New Roman"/>
                <w:b/>
                <w:sz w:val="24"/>
                <w:szCs w:val="24"/>
              </w:rPr>
            </w:pPr>
            <w:r w:rsidRPr="00C35184">
              <w:rPr>
                <w:rFonts w:ascii="Times New Roman" w:hAnsi="Times New Roman" w:cs="Times New Roman"/>
                <w:b/>
                <w:sz w:val="24"/>
                <w:szCs w:val="24"/>
              </w:rPr>
              <w:t>B12</w:t>
            </w:r>
          </w:p>
        </w:tc>
        <w:tc>
          <w:tcPr>
            <w:tcW w:w="238" w:type="pct"/>
            <w:tcBorders>
              <w:bottom w:val="single" w:sz="4" w:space="0" w:color="auto"/>
            </w:tcBorders>
            <w:vAlign w:val="center"/>
          </w:tcPr>
          <w:p w14:paraId="4F68CD1F" w14:textId="77777777" w:rsidR="00F1798E" w:rsidRPr="00C35184" w:rsidRDefault="00F1798E" w:rsidP="00403501">
            <w:pPr>
              <w:spacing w:after="0" w:line="360" w:lineRule="auto"/>
              <w:jc w:val="center"/>
              <w:rPr>
                <w:rFonts w:ascii="Times New Roman" w:hAnsi="Times New Roman" w:cs="Times New Roman"/>
                <w:b/>
                <w:sz w:val="24"/>
                <w:szCs w:val="24"/>
              </w:rPr>
            </w:pPr>
            <w:r w:rsidRPr="00C35184">
              <w:rPr>
                <w:rFonts w:ascii="Times New Roman" w:hAnsi="Times New Roman" w:cs="Times New Roman"/>
                <w:b/>
                <w:sz w:val="24"/>
                <w:szCs w:val="24"/>
              </w:rPr>
              <w:t>BH13</w:t>
            </w:r>
          </w:p>
        </w:tc>
        <w:tc>
          <w:tcPr>
            <w:tcW w:w="238" w:type="pct"/>
            <w:tcBorders>
              <w:bottom w:val="single" w:sz="4" w:space="0" w:color="auto"/>
            </w:tcBorders>
            <w:vAlign w:val="center"/>
          </w:tcPr>
          <w:p w14:paraId="02920CB6" w14:textId="77777777" w:rsidR="00F1798E" w:rsidRPr="00C35184" w:rsidRDefault="00F1798E" w:rsidP="00403501">
            <w:pPr>
              <w:spacing w:after="0" w:line="360" w:lineRule="auto"/>
              <w:jc w:val="center"/>
              <w:rPr>
                <w:rFonts w:ascii="Times New Roman" w:hAnsi="Times New Roman" w:cs="Times New Roman"/>
                <w:b/>
                <w:sz w:val="24"/>
                <w:szCs w:val="24"/>
              </w:rPr>
            </w:pPr>
            <w:r w:rsidRPr="00C35184">
              <w:rPr>
                <w:rFonts w:ascii="Times New Roman" w:hAnsi="Times New Roman" w:cs="Times New Roman"/>
                <w:b/>
                <w:sz w:val="24"/>
                <w:szCs w:val="24"/>
              </w:rPr>
              <w:t>BH14</w:t>
            </w:r>
          </w:p>
        </w:tc>
        <w:tc>
          <w:tcPr>
            <w:tcW w:w="240" w:type="pct"/>
            <w:tcBorders>
              <w:bottom w:val="single" w:sz="4" w:space="0" w:color="auto"/>
            </w:tcBorders>
            <w:vAlign w:val="center"/>
          </w:tcPr>
          <w:p w14:paraId="37FE4B8E" w14:textId="77777777" w:rsidR="00F1798E" w:rsidRPr="00C35184" w:rsidRDefault="00F1798E" w:rsidP="00403501">
            <w:pPr>
              <w:spacing w:after="0" w:line="360" w:lineRule="auto"/>
              <w:jc w:val="center"/>
              <w:rPr>
                <w:rFonts w:ascii="Times New Roman" w:hAnsi="Times New Roman" w:cs="Times New Roman"/>
                <w:b/>
                <w:sz w:val="24"/>
                <w:szCs w:val="24"/>
              </w:rPr>
            </w:pPr>
            <w:r w:rsidRPr="00C35184">
              <w:rPr>
                <w:rFonts w:ascii="Times New Roman" w:hAnsi="Times New Roman" w:cs="Times New Roman"/>
                <w:b/>
                <w:sz w:val="24"/>
                <w:szCs w:val="24"/>
              </w:rPr>
              <w:t>BH15</w:t>
            </w:r>
          </w:p>
        </w:tc>
        <w:tc>
          <w:tcPr>
            <w:tcW w:w="240" w:type="pct"/>
            <w:tcBorders>
              <w:bottom w:val="single" w:sz="4" w:space="0" w:color="auto"/>
            </w:tcBorders>
            <w:vAlign w:val="center"/>
          </w:tcPr>
          <w:p w14:paraId="31A54B39" w14:textId="77777777" w:rsidR="00F1798E" w:rsidRPr="00C35184" w:rsidRDefault="00F1798E" w:rsidP="00403501">
            <w:pPr>
              <w:spacing w:after="0" w:line="360" w:lineRule="auto"/>
              <w:jc w:val="center"/>
              <w:rPr>
                <w:rFonts w:ascii="Times New Roman" w:hAnsi="Times New Roman" w:cs="Times New Roman"/>
                <w:b/>
                <w:sz w:val="24"/>
                <w:szCs w:val="24"/>
              </w:rPr>
            </w:pPr>
            <w:r w:rsidRPr="00C35184">
              <w:rPr>
                <w:rFonts w:ascii="Times New Roman" w:hAnsi="Times New Roman" w:cs="Times New Roman"/>
                <w:b/>
                <w:sz w:val="24"/>
                <w:szCs w:val="24"/>
              </w:rPr>
              <w:t>CON</w:t>
            </w:r>
          </w:p>
        </w:tc>
        <w:tc>
          <w:tcPr>
            <w:tcW w:w="234" w:type="pct"/>
            <w:tcBorders>
              <w:bottom w:val="single" w:sz="4" w:space="0" w:color="auto"/>
            </w:tcBorders>
            <w:vAlign w:val="center"/>
          </w:tcPr>
          <w:p w14:paraId="2D43A2E0" w14:textId="77777777" w:rsidR="00F1798E" w:rsidRPr="00C35184" w:rsidRDefault="00F1798E" w:rsidP="00403501">
            <w:pPr>
              <w:spacing w:after="0" w:line="360" w:lineRule="auto"/>
              <w:jc w:val="center"/>
              <w:rPr>
                <w:rFonts w:ascii="Times New Roman" w:hAnsi="Times New Roman" w:cs="Times New Roman"/>
                <w:b/>
                <w:sz w:val="24"/>
                <w:szCs w:val="24"/>
              </w:rPr>
            </w:pPr>
            <w:r w:rsidRPr="00C35184">
              <w:rPr>
                <w:rFonts w:ascii="Times New Roman" w:hAnsi="Times New Roman" w:cs="Times New Roman"/>
                <w:b/>
                <w:sz w:val="24"/>
                <w:szCs w:val="24"/>
              </w:rPr>
              <w:t>Mean</w:t>
            </w:r>
          </w:p>
        </w:tc>
        <w:tc>
          <w:tcPr>
            <w:tcW w:w="221" w:type="pct"/>
            <w:tcBorders>
              <w:bottom w:val="single" w:sz="4" w:space="0" w:color="auto"/>
            </w:tcBorders>
            <w:vAlign w:val="center"/>
          </w:tcPr>
          <w:p w14:paraId="16CC24B3" w14:textId="77777777" w:rsidR="00F1798E" w:rsidRPr="00C35184" w:rsidRDefault="00F1798E" w:rsidP="00403501">
            <w:pPr>
              <w:spacing w:after="0" w:line="360" w:lineRule="auto"/>
              <w:jc w:val="center"/>
              <w:rPr>
                <w:rFonts w:ascii="Times New Roman" w:hAnsi="Times New Roman" w:cs="Times New Roman"/>
                <w:b/>
                <w:sz w:val="24"/>
                <w:szCs w:val="24"/>
              </w:rPr>
            </w:pPr>
            <w:r w:rsidRPr="00C35184">
              <w:rPr>
                <w:rFonts w:ascii="Times New Roman" w:hAnsi="Times New Roman" w:cs="Times New Roman"/>
                <w:b/>
                <w:sz w:val="24"/>
                <w:szCs w:val="24"/>
              </w:rPr>
              <w:t>WHO</w:t>
            </w:r>
          </w:p>
        </w:tc>
        <w:tc>
          <w:tcPr>
            <w:tcW w:w="300" w:type="pct"/>
            <w:tcBorders>
              <w:bottom w:val="single" w:sz="4" w:space="0" w:color="auto"/>
            </w:tcBorders>
            <w:vAlign w:val="center"/>
          </w:tcPr>
          <w:p w14:paraId="30A898C8" w14:textId="77777777" w:rsidR="00F1798E" w:rsidRPr="00C35184" w:rsidRDefault="00F1798E" w:rsidP="00403501">
            <w:pPr>
              <w:spacing w:after="0" w:line="360" w:lineRule="auto"/>
              <w:jc w:val="center"/>
              <w:rPr>
                <w:rFonts w:ascii="Times New Roman" w:hAnsi="Times New Roman" w:cs="Times New Roman"/>
                <w:b/>
                <w:sz w:val="24"/>
                <w:szCs w:val="24"/>
              </w:rPr>
            </w:pPr>
            <w:r w:rsidRPr="00C35184">
              <w:rPr>
                <w:rFonts w:ascii="Times New Roman" w:hAnsi="Times New Roman" w:cs="Times New Roman"/>
                <w:b/>
                <w:sz w:val="24"/>
                <w:szCs w:val="24"/>
              </w:rPr>
              <w:t>NSDWQ</w:t>
            </w:r>
          </w:p>
        </w:tc>
      </w:tr>
      <w:tr w:rsidR="00F1798E" w:rsidRPr="00C35184" w14:paraId="1F3CEF45" w14:textId="77777777" w:rsidTr="00363E20">
        <w:trPr>
          <w:trHeight w:val="141"/>
        </w:trPr>
        <w:tc>
          <w:tcPr>
            <w:tcW w:w="422" w:type="pct"/>
            <w:tcBorders>
              <w:bottom w:val="nil"/>
            </w:tcBorders>
            <w:vAlign w:val="center"/>
          </w:tcPr>
          <w:p w14:paraId="4050FF87"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pH</w:t>
            </w:r>
          </w:p>
        </w:tc>
        <w:tc>
          <w:tcPr>
            <w:tcW w:w="238" w:type="pct"/>
            <w:tcBorders>
              <w:bottom w:val="nil"/>
            </w:tcBorders>
            <w:vAlign w:val="center"/>
          </w:tcPr>
          <w:p w14:paraId="7E67B794"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6.57</w:t>
            </w:r>
          </w:p>
        </w:tc>
        <w:tc>
          <w:tcPr>
            <w:tcW w:w="238" w:type="pct"/>
            <w:tcBorders>
              <w:bottom w:val="nil"/>
            </w:tcBorders>
            <w:vAlign w:val="center"/>
          </w:tcPr>
          <w:p w14:paraId="6BFAAB4A"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5.49</w:t>
            </w:r>
          </w:p>
        </w:tc>
        <w:tc>
          <w:tcPr>
            <w:tcW w:w="247" w:type="pct"/>
            <w:tcBorders>
              <w:bottom w:val="nil"/>
            </w:tcBorders>
            <w:vAlign w:val="center"/>
          </w:tcPr>
          <w:p w14:paraId="0A8A1FE9"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5.34</w:t>
            </w:r>
          </w:p>
        </w:tc>
        <w:tc>
          <w:tcPr>
            <w:tcW w:w="238" w:type="pct"/>
            <w:tcBorders>
              <w:bottom w:val="nil"/>
            </w:tcBorders>
            <w:vAlign w:val="center"/>
          </w:tcPr>
          <w:p w14:paraId="6FF6E204"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5.71</w:t>
            </w:r>
          </w:p>
        </w:tc>
        <w:tc>
          <w:tcPr>
            <w:tcW w:w="238" w:type="pct"/>
            <w:tcBorders>
              <w:bottom w:val="nil"/>
            </w:tcBorders>
            <w:vAlign w:val="center"/>
          </w:tcPr>
          <w:p w14:paraId="6D49B261"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4.95</w:t>
            </w:r>
          </w:p>
        </w:tc>
        <w:tc>
          <w:tcPr>
            <w:tcW w:w="238" w:type="pct"/>
            <w:tcBorders>
              <w:bottom w:val="nil"/>
            </w:tcBorders>
            <w:vAlign w:val="center"/>
          </w:tcPr>
          <w:p w14:paraId="3F4D280D"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5.29</w:t>
            </w:r>
          </w:p>
        </w:tc>
        <w:tc>
          <w:tcPr>
            <w:tcW w:w="239" w:type="pct"/>
            <w:tcBorders>
              <w:bottom w:val="nil"/>
            </w:tcBorders>
            <w:vAlign w:val="center"/>
          </w:tcPr>
          <w:p w14:paraId="0E065B75"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6.41</w:t>
            </w:r>
          </w:p>
        </w:tc>
        <w:tc>
          <w:tcPr>
            <w:tcW w:w="238" w:type="pct"/>
            <w:tcBorders>
              <w:bottom w:val="nil"/>
            </w:tcBorders>
            <w:vAlign w:val="center"/>
          </w:tcPr>
          <w:p w14:paraId="24EF5E17"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5.09</w:t>
            </w:r>
          </w:p>
        </w:tc>
        <w:tc>
          <w:tcPr>
            <w:tcW w:w="238" w:type="pct"/>
            <w:tcBorders>
              <w:bottom w:val="nil"/>
            </w:tcBorders>
            <w:vAlign w:val="center"/>
          </w:tcPr>
          <w:p w14:paraId="0DF94FE1"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5.00</w:t>
            </w:r>
          </w:p>
        </w:tc>
        <w:tc>
          <w:tcPr>
            <w:tcW w:w="238" w:type="pct"/>
            <w:tcBorders>
              <w:bottom w:val="nil"/>
            </w:tcBorders>
            <w:vAlign w:val="center"/>
          </w:tcPr>
          <w:p w14:paraId="307A3512"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5.69</w:t>
            </w:r>
          </w:p>
        </w:tc>
        <w:tc>
          <w:tcPr>
            <w:tcW w:w="239" w:type="pct"/>
            <w:tcBorders>
              <w:bottom w:val="nil"/>
            </w:tcBorders>
            <w:vAlign w:val="center"/>
          </w:tcPr>
          <w:p w14:paraId="5B52AE35"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4.92</w:t>
            </w:r>
          </w:p>
        </w:tc>
        <w:tc>
          <w:tcPr>
            <w:tcW w:w="238" w:type="pct"/>
            <w:tcBorders>
              <w:bottom w:val="nil"/>
            </w:tcBorders>
            <w:vAlign w:val="center"/>
          </w:tcPr>
          <w:p w14:paraId="0DF209B7"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4.23</w:t>
            </w:r>
          </w:p>
        </w:tc>
        <w:tc>
          <w:tcPr>
            <w:tcW w:w="238" w:type="pct"/>
            <w:tcBorders>
              <w:bottom w:val="nil"/>
            </w:tcBorders>
            <w:vAlign w:val="center"/>
          </w:tcPr>
          <w:p w14:paraId="196B5885"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6.62</w:t>
            </w:r>
          </w:p>
        </w:tc>
        <w:tc>
          <w:tcPr>
            <w:tcW w:w="238" w:type="pct"/>
            <w:tcBorders>
              <w:bottom w:val="nil"/>
            </w:tcBorders>
            <w:vAlign w:val="center"/>
          </w:tcPr>
          <w:p w14:paraId="462FB225"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4.53</w:t>
            </w:r>
          </w:p>
        </w:tc>
        <w:tc>
          <w:tcPr>
            <w:tcW w:w="240" w:type="pct"/>
            <w:tcBorders>
              <w:bottom w:val="nil"/>
            </w:tcBorders>
            <w:vAlign w:val="center"/>
          </w:tcPr>
          <w:p w14:paraId="2ED20863"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4.31</w:t>
            </w:r>
          </w:p>
        </w:tc>
        <w:tc>
          <w:tcPr>
            <w:tcW w:w="240" w:type="pct"/>
            <w:tcBorders>
              <w:bottom w:val="nil"/>
            </w:tcBorders>
            <w:vAlign w:val="center"/>
          </w:tcPr>
          <w:p w14:paraId="4A989ABA"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7.88</w:t>
            </w:r>
          </w:p>
        </w:tc>
        <w:tc>
          <w:tcPr>
            <w:tcW w:w="234" w:type="pct"/>
            <w:tcBorders>
              <w:bottom w:val="nil"/>
            </w:tcBorders>
            <w:vAlign w:val="center"/>
          </w:tcPr>
          <w:p w14:paraId="5B74A676"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5.34</w:t>
            </w:r>
          </w:p>
        </w:tc>
        <w:tc>
          <w:tcPr>
            <w:tcW w:w="221" w:type="pct"/>
            <w:tcBorders>
              <w:bottom w:val="nil"/>
            </w:tcBorders>
            <w:vAlign w:val="center"/>
          </w:tcPr>
          <w:p w14:paraId="2522F55B"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6.5 - 8.5</w:t>
            </w:r>
          </w:p>
        </w:tc>
        <w:tc>
          <w:tcPr>
            <w:tcW w:w="300" w:type="pct"/>
            <w:tcBorders>
              <w:bottom w:val="nil"/>
            </w:tcBorders>
            <w:vAlign w:val="center"/>
          </w:tcPr>
          <w:p w14:paraId="492B5A88"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6.5 - 8.5</w:t>
            </w:r>
          </w:p>
        </w:tc>
      </w:tr>
      <w:tr w:rsidR="00F1798E" w:rsidRPr="00C35184" w14:paraId="56F35FEE" w14:textId="77777777" w:rsidTr="00363E20">
        <w:trPr>
          <w:trHeight w:val="97"/>
        </w:trPr>
        <w:tc>
          <w:tcPr>
            <w:tcW w:w="422" w:type="pct"/>
            <w:tcBorders>
              <w:top w:val="nil"/>
              <w:bottom w:val="nil"/>
            </w:tcBorders>
            <w:vAlign w:val="center"/>
          </w:tcPr>
          <w:p w14:paraId="7FB3F810"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Temp ºC</w:t>
            </w:r>
          </w:p>
        </w:tc>
        <w:tc>
          <w:tcPr>
            <w:tcW w:w="238" w:type="pct"/>
            <w:tcBorders>
              <w:top w:val="nil"/>
              <w:bottom w:val="nil"/>
            </w:tcBorders>
            <w:vAlign w:val="center"/>
          </w:tcPr>
          <w:p w14:paraId="36408163"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27.8</w:t>
            </w:r>
          </w:p>
        </w:tc>
        <w:tc>
          <w:tcPr>
            <w:tcW w:w="238" w:type="pct"/>
            <w:tcBorders>
              <w:top w:val="nil"/>
              <w:bottom w:val="nil"/>
            </w:tcBorders>
            <w:vAlign w:val="center"/>
          </w:tcPr>
          <w:p w14:paraId="63B08B4E"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27.9</w:t>
            </w:r>
          </w:p>
        </w:tc>
        <w:tc>
          <w:tcPr>
            <w:tcW w:w="247" w:type="pct"/>
            <w:tcBorders>
              <w:top w:val="nil"/>
              <w:bottom w:val="nil"/>
            </w:tcBorders>
            <w:vAlign w:val="center"/>
          </w:tcPr>
          <w:p w14:paraId="06DD0F19"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27.0</w:t>
            </w:r>
          </w:p>
        </w:tc>
        <w:tc>
          <w:tcPr>
            <w:tcW w:w="238" w:type="pct"/>
            <w:tcBorders>
              <w:top w:val="nil"/>
              <w:bottom w:val="nil"/>
            </w:tcBorders>
            <w:vAlign w:val="center"/>
          </w:tcPr>
          <w:p w14:paraId="6998EACD"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27.2</w:t>
            </w:r>
          </w:p>
        </w:tc>
        <w:tc>
          <w:tcPr>
            <w:tcW w:w="238" w:type="pct"/>
            <w:tcBorders>
              <w:top w:val="nil"/>
              <w:bottom w:val="nil"/>
            </w:tcBorders>
            <w:vAlign w:val="center"/>
          </w:tcPr>
          <w:p w14:paraId="2A74A792"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27.7</w:t>
            </w:r>
          </w:p>
        </w:tc>
        <w:tc>
          <w:tcPr>
            <w:tcW w:w="238" w:type="pct"/>
            <w:tcBorders>
              <w:top w:val="nil"/>
              <w:bottom w:val="nil"/>
            </w:tcBorders>
            <w:vAlign w:val="center"/>
          </w:tcPr>
          <w:p w14:paraId="584D517F"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24.4</w:t>
            </w:r>
          </w:p>
        </w:tc>
        <w:tc>
          <w:tcPr>
            <w:tcW w:w="239" w:type="pct"/>
            <w:tcBorders>
              <w:top w:val="nil"/>
              <w:bottom w:val="nil"/>
            </w:tcBorders>
            <w:vAlign w:val="center"/>
          </w:tcPr>
          <w:p w14:paraId="293C5D97"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28.4</w:t>
            </w:r>
          </w:p>
        </w:tc>
        <w:tc>
          <w:tcPr>
            <w:tcW w:w="238" w:type="pct"/>
            <w:tcBorders>
              <w:top w:val="nil"/>
              <w:bottom w:val="nil"/>
            </w:tcBorders>
            <w:vAlign w:val="center"/>
          </w:tcPr>
          <w:p w14:paraId="0BDF2547"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33.8</w:t>
            </w:r>
          </w:p>
        </w:tc>
        <w:tc>
          <w:tcPr>
            <w:tcW w:w="238" w:type="pct"/>
            <w:tcBorders>
              <w:top w:val="nil"/>
              <w:bottom w:val="nil"/>
            </w:tcBorders>
            <w:vAlign w:val="center"/>
          </w:tcPr>
          <w:p w14:paraId="0AA5C9D9"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30.0</w:t>
            </w:r>
          </w:p>
        </w:tc>
        <w:tc>
          <w:tcPr>
            <w:tcW w:w="238" w:type="pct"/>
            <w:tcBorders>
              <w:top w:val="nil"/>
              <w:bottom w:val="nil"/>
            </w:tcBorders>
            <w:vAlign w:val="center"/>
          </w:tcPr>
          <w:p w14:paraId="153D2E06"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30.1</w:t>
            </w:r>
          </w:p>
        </w:tc>
        <w:tc>
          <w:tcPr>
            <w:tcW w:w="239" w:type="pct"/>
            <w:tcBorders>
              <w:top w:val="nil"/>
              <w:bottom w:val="nil"/>
            </w:tcBorders>
            <w:vAlign w:val="center"/>
          </w:tcPr>
          <w:p w14:paraId="671B6BC0"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30.3</w:t>
            </w:r>
          </w:p>
        </w:tc>
        <w:tc>
          <w:tcPr>
            <w:tcW w:w="238" w:type="pct"/>
            <w:tcBorders>
              <w:top w:val="nil"/>
              <w:bottom w:val="nil"/>
            </w:tcBorders>
            <w:vAlign w:val="center"/>
          </w:tcPr>
          <w:p w14:paraId="2201A135"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29.9</w:t>
            </w:r>
          </w:p>
        </w:tc>
        <w:tc>
          <w:tcPr>
            <w:tcW w:w="238" w:type="pct"/>
            <w:tcBorders>
              <w:top w:val="nil"/>
              <w:bottom w:val="nil"/>
            </w:tcBorders>
            <w:vAlign w:val="center"/>
          </w:tcPr>
          <w:p w14:paraId="33923CC8"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30.2</w:t>
            </w:r>
          </w:p>
        </w:tc>
        <w:tc>
          <w:tcPr>
            <w:tcW w:w="238" w:type="pct"/>
            <w:tcBorders>
              <w:top w:val="nil"/>
              <w:bottom w:val="nil"/>
            </w:tcBorders>
            <w:vAlign w:val="center"/>
          </w:tcPr>
          <w:p w14:paraId="0C3285EC"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30.0</w:t>
            </w:r>
          </w:p>
        </w:tc>
        <w:tc>
          <w:tcPr>
            <w:tcW w:w="240" w:type="pct"/>
            <w:tcBorders>
              <w:top w:val="nil"/>
              <w:bottom w:val="nil"/>
            </w:tcBorders>
            <w:vAlign w:val="center"/>
          </w:tcPr>
          <w:p w14:paraId="09486A3B"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21.2</w:t>
            </w:r>
          </w:p>
        </w:tc>
        <w:tc>
          <w:tcPr>
            <w:tcW w:w="240" w:type="pct"/>
            <w:tcBorders>
              <w:top w:val="nil"/>
              <w:bottom w:val="nil"/>
            </w:tcBorders>
            <w:vAlign w:val="center"/>
          </w:tcPr>
          <w:p w14:paraId="3A201574"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29.9</w:t>
            </w:r>
          </w:p>
        </w:tc>
        <w:tc>
          <w:tcPr>
            <w:tcW w:w="234" w:type="pct"/>
            <w:tcBorders>
              <w:top w:val="nil"/>
              <w:bottom w:val="nil"/>
            </w:tcBorders>
            <w:vAlign w:val="center"/>
          </w:tcPr>
          <w:p w14:paraId="7BE3C992"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28.39</w:t>
            </w:r>
          </w:p>
        </w:tc>
        <w:tc>
          <w:tcPr>
            <w:tcW w:w="221" w:type="pct"/>
            <w:tcBorders>
              <w:top w:val="nil"/>
              <w:bottom w:val="nil"/>
            </w:tcBorders>
            <w:vAlign w:val="center"/>
          </w:tcPr>
          <w:p w14:paraId="6CB8DC59"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Amb.</w:t>
            </w:r>
          </w:p>
        </w:tc>
        <w:tc>
          <w:tcPr>
            <w:tcW w:w="300" w:type="pct"/>
            <w:tcBorders>
              <w:top w:val="nil"/>
              <w:bottom w:val="nil"/>
            </w:tcBorders>
            <w:vAlign w:val="center"/>
          </w:tcPr>
          <w:p w14:paraId="0AEA3B58"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Amb.</w:t>
            </w:r>
          </w:p>
        </w:tc>
      </w:tr>
      <w:tr w:rsidR="00F1798E" w:rsidRPr="00C35184" w14:paraId="1770A8F7" w14:textId="77777777" w:rsidTr="00363E20">
        <w:trPr>
          <w:trHeight w:val="403"/>
        </w:trPr>
        <w:tc>
          <w:tcPr>
            <w:tcW w:w="422" w:type="pct"/>
            <w:tcBorders>
              <w:top w:val="nil"/>
              <w:bottom w:val="nil"/>
            </w:tcBorders>
            <w:vAlign w:val="center"/>
          </w:tcPr>
          <w:p w14:paraId="424FA8A3"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Salinity</w:t>
            </w:r>
          </w:p>
        </w:tc>
        <w:tc>
          <w:tcPr>
            <w:tcW w:w="238" w:type="pct"/>
            <w:tcBorders>
              <w:top w:val="nil"/>
              <w:bottom w:val="nil"/>
            </w:tcBorders>
            <w:vAlign w:val="center"/>
          </w:tcPr>
          <w:p w14:paraId="05054578"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0.01</w:t>
            </w:r>
          </w:p>
        </w:tc>
        <w:tc>
          <w:tcPr>
            <w:tcW w:w="238" w:type="pct"/>
            <w:tcBorders>
              <w:top w:val="nil"/>
              <w:bottom w:val="nil"/>
            </w:tcBorders>
            <w:vAlign w:val="center"/>
          </w:tcPr>
          <w:p w14:paraId="3646AE50"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0.01</w:t>
            </w:r>
          </w:p>
        </w:tc>
        <w:tc>
          <w:tcPr>
            <w:tcW w:w="247" w:type="pct"/>
            <w:tcBorders>
              <w:top w:val="nil"/>
              <w:bottom w:val="nil"/>
            </w:tcBorders>
            <w:vAlign w:val="center"/>
          </w:tcPr>
          <w:p w14:paraId="509A02DC"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0.01</w:t>
            </w:r>
          </w:p>
        </w:tc>
        <w:tc>
          <w:tcPr>
            <w:tcW w:w="238" w:type="pct"/>
            <w:tcBorders>
              <w:top w:val="nil"/>
              <w:bottom w:val="nil"/>
            </w:tcBorders>
            <w:vAlign w:val="center"/>
          </w:tcPr>
          <w:p w14:paraId="3F6C9CEB"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0.01</w:t>
            </w:r>
          </w:p>
        </w:tc>
        <w:tc>
          <w:tcPr>
            <w:tcW w:w="238" w:type="pct"/>
            <w:tcBorders>
              <w:top w:val="nil"/>
              <w:bottom w:val="nil"/>
            </w:tcBorders>
            <w:vAlign w:val="center"/>
          </w:tcPr>
          <w:p w14:paraId="44CCCBE5"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0.01</w:t>
            </w:r>
          </w:p>
        </w:tc>
        <w:tc>
          <w:tcPr>
            <w:tcW w:w="238" w:type="pct"/>
            <w:tcBorders>
              <w:top w:val="nil"/>
              <w:bottom w:val="nil"/>
            </w:tcBorders>
            <w:vAlign w:val="center"/>
          </w:tcPr>
          <w:p w14:paraId="7FB6F8F0"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0.02</w:t>
            </w:r>
          </w:p>
        </w:tc>
        <w:tc>
          <w:tcPr>
            <w:tcW w:w="239" w:type="pct"/>
            <w:tcBorders>
              <w:top w:val="nil"/>
              <w:bottom w:val="nil"/>
            </w:tcBorders>
            <w:vAlign w:val="center"/>
          </w:tcPr>
          <w:p w14:paraId="29790CD8"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0.01</w:t>
            </w:r>
          </w:p>
        </w:tc>
        <w:tc>
          <w:tcPr>
            <w:tcW w:w="238" w:type="pct"/>
            <w:tcBorders>
              <w:top w:val="nil"/>
              <w:bottom w:val="nil"/>
            </w:tcBorders>
            <w:vAlign w:val="center"/>
          </w:tcPr>
          <w:p w14:paraId="23EE8579"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&lt;0.01</w:t>
            </w:r>
          </w:p>
        </w:tc>
        <w:tc>
          <w:tcPr>
            <w:tcW w:w="238" w:type="pct"/>
            <w:tcBorders>
              <w:top w:val="nil"/>
              <w:bottom w:val="nil"/>
            </w:tcBorders>
            <w:vAlign w:val="center"/>
          </w:tcPr>
          <w:p w14:paraId="108345FB"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0.01</w:t>
            </w:r>
          </w:p>
        </w:tc>
        <w:tc>
          <w:tcPr>
            <w:tcW w:w="238" w:type="pct"/>
            <w:tcBorders>
              <w:top w:val="nil"/>
              <w:bottom w:val="nil"/>
            </w:tcBorders>
            <w:vAlign w:val="center"/>
          </w:tcPr>
          <w:p w14:paraId="17206B8D"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0.01</w:t>
            </w:r>
          </w:p>
        </w:tc>
        <w:tc>
          <w:tcPr>
            <w:tcW w:w="239" w:type="pct"/>
            <w:tcBorders>
              <w:top w:val="nil"/>
              <w:bottom w:val="nil"/>
            </w:tcBorders>
            <w:vAlign w:val="center"/>
          </w:tcPr>
          <w:p w14:paraId="51CAD0FF"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0.01</w:t>
            </w:r>
          </w:p>
        </w:tc>
        <w:tc>
          <w:tcPr>
            <w:tcW w:w="238" w:type="pct"/>
            <w:tcBorders>
              <w:top w:val="nil"/>
              <w:bottom w:val="nil"/>
            </w:tcBorders>
            <w:vAlign w:val="center"/>
          </w:tcPr>
          <w:p w14:paraId="6CC09921"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w:t>
            </w:r>
          </w:p>
        </w:tc>
        <w:tc>
          <w:tcPr>
            <w:tcW w:w="238" w:type="pct"/>
            <w:tcBorders>
              <w:top w:val="nil"/>
              <w:bottom w:val="nil"/>
            </w:tcBorders>
            <w:vAlign w:val="center"/>
          </w:tcPr>
          <w:p w14:paraId="33BF86AB"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0.01</w:t>
            </w:r>
          </w:p>
        </w:tc>
        <w:tc>
          <w:tcPr>
            <w:tcW w:w="238" w:type="pct"/>
            <w:tcBorders>
              <w:top w:val="nil"/>
              <w:bottom w:val="nil"/>
            </w:tcBorders>
            <w:vAlign w:val="center"/>
          </w:tcPr>
          <w:p w14:paraId="559E1560"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0.01</w:t>
            </w:r>
          </w:p>
        </w:tc>
        <w:tc>
          <w:tcPr>
            <w:tcW w:w="240" w:type="pct"/>
            <w:tcBorders>
              <w:top w:val="nil"/>
              <w:bottom w:val="nil"/>
            </w:tcBorders>
            <w:vAlign w:val="center"/>
          </w:tcPr>
          <w:p w14:paraId="2CA6FA1D"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0.02</w:t>
            </w:r>
          </w:p>
        </w:tc>
        <w:tc>
          <w:tcPr>
            <w:tcW w:w="240" w:type="pct"/>
            <w:tcBorders>
              <w:top w:val="nil"/>
              <w:bottom w:val="nil"/>
            </w:tcBorders>
            <w:vAlign w:val="center"/>
          </w:tcPr>
          <w:p w14:paraId="1CD5F624"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w:t>
            </w:r>
          </w:p>
        </w:tc>
        <w:tc>
          <w:tcPr>
            <w:tcW w:w="234" w:type="pct"/>
            <w:tcBorders>
              <w:top w:val="nil"/>
              <w:bottom w:val="nil"/>
            </w:tcBorders>
            <w:vAlign w:val="center"/>
          </w:tcPr>
          <w:p w14:paraId="5750811E"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0.01</w:t>
            </w:r>
          </w:p>
        </w:tc>
        <w:tc>
          <w:tcPr>
            <w:tcW w:w="221" w:type="pct"/>
            <w:tcBorders>
              <w:top w:val="nil"/>
              <w:bottom w:val="nil"/>
            </w:tcBorders>
            <w:vAlign w:val="center"/>
          </w:tcPr>
          <w:p w14:paraId="46764506"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NS</w:t>
            </w:r>
          </w:p>
        </w:tc>
        <w:tc>
          <w:tcPr>
            <w:tcW w:w="300" w:type="pct"/>
            <w:tcBorders>
              <w:top w:val="nil"/>
              <w:bottom w:val="nil"/>
            </w:tcBorders>
            <w:vAlign w:val="center"/>
          </w:tcPr>
          <w:p w14:paraId="4242CAF3"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NS</w:t>
            </w:r>
          </w:p>
        </w:tc>
      </w:tr>
      <w:tr w:rsidR="00F1798E" w:rsidRPr="00C35184" w14:paraId="5682DE48" w14:textId="77777777" w:rsidTr="00363E20">
        <w:trPr>
          <w:trHeight w:val="403"/>
        </w:trPr>
        <w:tc>
          <w:tcPr>
            <w:tcW w:w="422" w:type="pct"/>
            <w:tcBorders>
              <w:top w:val="nil"/>
              <w:bottom w:val="nil"/>
            </w:tcBorders>
            <w:vAlign w:val="center"/>
          </w:tcPr>
          <w:p w14:paraId="580ED9A8"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EC (µS/cm)</w:t>
            </w:r>
          </w:p>
        </w:tc>
        <w:tc>
          <w:tcPr>
            <w:tcW w:w="238" w:type="pct"/>
            <w:tcBorders>
              <w:top w:val="nil"/>
              <w:bottom w:val="nil"/>
            </w:tcBorders>
            <w:vAlign w:val="center"/>
          </w:tcPr>
          <w:p w14:paraId="4CC0D846"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166.2</w:t>
            </w:r>
          </w:p>
        </w:tc>
        <w:tc>
          <w:tcPr>
            <w:tcW w:w="238" w:type="pct"/>
            <w:tcBorders>
              <w:top w:val="nil"/>
              <w:bottom w:val="nil"/>
            </w:tcBorders>
            <w:vAlign w:val="center"/>
          </w:tcPr>
          <w:p w14:paraId="1D35D1E5"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156.9</w:t>
            </w:r>
          </w:p>
        </w:tc>
        <w:tc>
          <w:tcPr>
            <w:tcW w:w="247" w:type="pct"/>
            <w:tcBorders>
              <w:top w:val="nil"/>
              <w:bottom w:val="nil"/>
            </w:tcBorders>
            <w:vAlign w:val="center"/>
          </w:tcPr>
          <w:p w14:paraId="34C1F736"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123.1</w:t>
            </w:r>
          </w:p>
        </w:tc>
        <w:tc>
          <w:tcPr>
            <w:tcW w:w="238" w:type="pct"/>
            <w:tcBorders>
              <w:top w:val="nil"/>
              <w:bottom w:val="nil"/>
            </w:tcBorders>
            <w:vAlign w:val="center"/>
          </w:tcPr>
          <w:p w14:paraId="1035B53A"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126.2</w:t>
            </w:r>
          </w:p>
        </w:tc>
        <w:tc>
          <w:tcPr>
            <w:tcW w:w="238" w:type="pct"/>
            <w:tcBorders>
              <w:top w:val="nil"/>
              <w:bottom w:val="nil"/>
            </w:tcBorders>
            <w:vAlign w:val="center"/>
          </w:tcPr>
          <w:p w14:paraId="7776270B"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101.9</w:t>
            </w:r>
          </w:p>
        </w:tc>
        <w:tc>
          <w:tcPr>
            <w:tcW w:w="238" w:type="pct"/>
            <w:tcBorders>
              <w:top w:val="nil"/>
              <w:bottom w:val="nil"/>
            </w:tcBorders>
            <w:vAlign w:val="center"/>
          </w:tcPr>
          <w:p w14:paraId="0AC4BAF3"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132.7</w:t>
            </w:r>
          </w:p>
        </w:tc>
        <w:tc>
          <w:tcPr>
            <w:tcW w:w="239" w:type="pct"/>
            <w:tcBorders>
              <w:top w:val="nil"/>
              <w:bottom w:val="nil"/>
            </w:tcBorders>
            <w:vAlign w:val="center"/>
          </w:tcPr>
          <w:p w14:paraId="3844A9C2"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77.71</w:t>
            </w:r>
          </w:p>
        </w:tc>
        <w:tc>
          <w:tcPr>
            <w:tcW w:w="238" w:type="pct"/>
            <w:tcBorders>
              <w:top w:val="nil"/>
              <w:bottom w:val="nil"/>
            </w:tcBorders>
            <w:vAlign w:val="center"/>
          </w:tcPr>
          <w:p w14:paraId="3D315B22"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99.20</w:t>
            </w:r>
          </w:p>
        </w:tc>
        <w:tc>
          <w:tcPr>
            <w:tcW w:w="238" w:type="pct"/>
            <w:tcBorders>
              <w:top w:val="nil"/>
              <w:bottom w:val="nil"/>
            </w:tcBorders>
            <w:vAlign w:val="center"/>
          </w:tcPr>
          <w:p w14:paraId="2981F128"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15.67</w:t>
            </w:r>
          </w:p>
        </w:tc>
        <w:tc>
          <w:tcPr>
            <w:tcW w:w="238" w:type="pct"/>
            <w:tcBorders>
              <w:top w:val="nil"/>
              <w:bottom w:val="nil"/>
            </w:tcBorders>
            <w:vAlign w:val="center"/>
          </w:tcPr>
          <w:p w14:paraId="790D6225"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16.73</w:t>
            </w:r>
          </w:p>
        </w:tc>
        <w:tc>
          <w:tcPr>
            <w:tcW w:w="239" w:type="pct"/>
            <w:tcBorders>
              <w:top w:val="nil"/>
              <w:bottom w:val="nil"/>
            </w:tcBorders>
            <w:vAlign w:val="center"/>
          </w:tcPr>
          <w:p w14:paraId="117B24BF"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33.89</w:t>
            </w:r>
          </w:p>
        </w:tc>
        <w:tc>
          <w:tcPr>
            <w:tcW w:w="238" w:type="pct"/>
            <w:tcBorders>
              <w:top w:val="nil"/>
              <w:bottom w:val="nil"/>
            </w:tcBorders>
            <w:vAlign w:val="center"/>
          </w:tcPr>
          <w:p w14:paraId="3C3D7E3E"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428.5</w:t>
            </w:r>
          </w:p>
        </w:tc>
        <w:tc>
          <w:tcPr>
            <w:tcW w:w="238" w:type="pct"/>
            <w:tcBorders>
              <w:top w:val="nil"/>
              <w:bottom w:val="nil"/>
            </w:tcBorders>
            <w:vAlign w:val="center"/>
          </w:tcPr>
          <w:p w14:paraId="1E20D59C"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37</w:t>
            </w:r>
          </w:p>
        </w:tc>
        <w:tc>
          <w:tcPr>
            <w:tcW w:w="238" w:type="pct"/>
            <w:tcBorders>
              <w:top w:val="nil"/>
              <w:bottom w:val="nil"/>
            </w:tcBorders>
            <w:vAlign w:val="center"/>
          </w:tcPr>
          <w:p w14:paraId="6CAF8747"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57.47</w:t>
            </w:r>
          </w:p>
        </w:tc>
        <w:tc>
          <w:tcPr>
            <w:tcW w:w="240" w:type="pct"/>
            <w:tcBorders>
              <w:top w:val="nil"/>
              <w:bottom w:val="nil"/>
            </w:tcBorders>
            <w:vAlign w:val="center"/>
          </w:tcPr>
          <w:p w14:paraId="24E5A52F"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39.53</w:t>
            </w:r>
          </w:p>
        </w:tc>
        <w:tc>
          <w:tcPr>
            <w:tcW w:w="240" w:type="pct"/>
            <w:tcBorders>
              <w:top w:val="nil"/>
              <w:bottom w:val="nil"/>
            </w:tcBorders>
            <w:vAlign w:val="center"/>
          </w:tcPr>
          <w:p w14:paraId="18FEAF41"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82.95</w:t>
            </w:r>
          </w:p>
        </w:tc>
        <w:tc>
          <w:tcPr>
            <w:tcW w:w="234" w:type="pct"/>
            <w:tcBorders>
              <w:top w:val="nil"/>
              <w:bottom w:val="nil"/>
            </w:tcBorders>
            <w:vAlign w:val="center"/>
          </w:tcPr>
          <w:p w14:paraId="7D960669"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107.51</w:t>
            </w:r>
          </w:p>
        </w:tc>
        <w:tc>
          <w:tcPr>
            <w:tcW w:w="221" w:type="pct"/>
            <w:tcBorders>
              <w:top w:val="nil"/>
              <w:bottom w:val="nil"/>
            </w:tcBorders>
            <w:vAlign w:val="center"/>
          </w:tcPr>
          <w:p w14:paraId="7F80D404"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1000</w:t>
            </w:r>
          </w:p>
        </w:tc>
        <w:tc>
          <w:tcPr>
            <w:tcW w:w="300" w:type="pct"/>
            <w:tcBorders>
              <w:top w:val="nil"/>
              <w:bottom w:val="nil"/>
            </w:tcBorders>
            <w:vAlign w:val="center"/>
          </w:tcPr>
          <w:p w14:paraId="0C52909F"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1000</w:t>
            </w:r>
          </w:p>
        </w:tc>
      </w:tr>
      <w:tr w:rsidR="00F1798E" w:rsidRPr="00C35184" w14:paraId="6792C7E3" w14:textId="77777777" w:rsidTr="00363E20">
        <w:trPr>
          <w:trHeight w:val="403"/>
        </w:trPr>
        <w:tc>
          <w:tcPr>
            <w:tcW w:w="422" w:type="pct"/>
            <w:tcBorders>
              <w:top w:val="nil"/>
              <w:bottom w:val="nil"/>
            </w:tcBorders>
            <w:vAlign w:val="center"/>
          </w:tcPr>
          <w:p w14:paraId="759644AC"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TDS</w:t>
            </w:r>
          </w:p>
        </w:tc>
        <w:tc>
          <w:tcPr>
            <w:tcW w:w="238" w:type="pct"/>
            <w:tcBorders>
              <w:top w:val="nil"/>
              <w:bottom w:val="nil"/>
            </w:tcBorders>
            <w:vAlign w:val="center"/>
          </w:tcPr>
          <w:p w14:paraId="20D5767E"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105.0</w:t>
            </w:r>
          </w:p>
        </w:tc>
        <w:tc>
          <w:tcPr>
            <w:tcW w:w="238" w:type="pct"/>
            <w:tcBorders>
              <w:top w:val="nil"/>
              <w:bottom w:val="nil"/>
            </w:tcBorders>
            <w:vAlign w:val="center"/>
          </w:tcPr>
          <w:p w14:paraId="382F8AED"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98.74</w:t>
            </w:r>
          </w:p>
        </w:tc>
        <w:tc>
          <w:tcPr>
            <w:tcW w:w="247" w:type="pct"/>
            <w:tcBorders>
              <w:top w:val="nil"/>
              <w:bottom w:val="nil"/>
            </w:tcBorders>
            <w:vAlign w:val="center"/>
          </w:tcPr>
          <w:p w14:paraId="12F1870F"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79.25</w:t>
            </w:r>
          </w:p>
        </w:tc>
        <w:tc>
          <w:tcPr>
            <w:tcW w:w="238" w:type="pct"/>
            <w:tcBorders>
              <w:top w:val="nil"/>
              <w:bottom w:val="nil"/>
            </w:tcBorders>
            <w:vAlign w:val="center"/>
          </w:tcPr>
          <w:p w14:paraId="56D6FF93"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79.47</w:t>
            </w:r>
          </w:p>
        </w:tc>
        <w:tc>
          <w:tcPr>
            <w:tcW w:w="238" w:type="pct"/>
            <w:tcBorders>
              <w:top w:val="nil"/>
              <w:bottom w:val="nil"/>
            </w:tcBorders>
            <w:vAlign w:val="center"/>
          </w:tcPr>
          <w:p w14:paraId="11177BED"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64.06</w:t>
            </w:r>
          </w:p>
        </w:tc>
        <w:tc>
          <w:tcPr>
            <w:tcW w:w="238" w:type="pct"/>
            <w:tcBorders>
              <w:top w:val="nil"/>
              <w:bottom w:val="nil"/>
            </w:tcBorders>
            <w:vAlign w:val="center"/>
          </w:tcPr>
          <w:p w14:paraId="4CF9FE8D"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83.12</w:t>
            </w:r>
          </w:p>
        </w:tc>
        <w:tc>
          <w:tcPr>
            <w:tcW w:w="239" w:type="pct"/>
            <w:tcBorders>
              <w:top w:val="nil"/>
              <w:bottom w:val="nil"/>
            </w:tcBorders>
            <w:vAlign w:val="center"/>
          </w:tcPr>
          <w:p w14:paraId="2DA73DB1"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49.9</w:t>
            </w:r>
          </w:p>
        </w:tc>
        <w:tc>
          <w:tcPr>
            <w:tcW w:w="238" w:type="pct"/>
            <w:tcBorders>
              <w:top w:val="nil"/>
              <w:bottom w:val="nil"/>
            </w:tcBorders>
            <w:vAlign w:val="center"/>
          </w:tcPr>
          <w:p w14:paraId="03F67A4F"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57.99</w:t>
            </w:r>
          </w:p>
        </w:tc>
        <w:tc>
          <w:tcPr>
            <w:tcW w:w="238" w:type="pct"/>
            <w:tcBorders>
              <w:top w:val="nil"/>
              <w:bottom w:val="nil"/>
            </w:tcBorders>
            <w:vAlign w:val="center"/>
          </w:tcPr>
          <w:p w14:paraId="21BED55C"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8.71</w:t>
            </w:r>
          </w:p>
        </w:tc>
        <w:tc>
          <w:tcPr>
            <w:tcW w:w="238" w:type="pct"/>
            <w:tcBorders>
              <w:top w:val="nil"/>
              <w:bottom w:val="nil"/>
            </w:tcBorders>
            <w:vAlign w:val="center"/>
          </w:tcPr>
          <w:p w14:paraId="310BE7CA"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10.33</w:t>
            </w:r>
          </w:p>
        </w:tc>
        <w:tc>
          <w:tcPr>
            <w:tcW w:w="239" w:type="pct"/>
            <w:tcBorders>
              <w:top w:val="nil"/>
              <w:bottom w:val="nil"/>
            </w:tcBorders>
            <w:vAlign w:val="center"/>
          </w:tcPr>
          <w:p w14:paraId="30C80128"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21.18</w:t>
            </w:r>
          </w:p>
        </w:tc>
        <w:tc>
          <w:tcPr>
            <w:tcW w:w="238" w:type="pct"/>
            <w:tcBorders>
              <w:top w:val="nil"/>
              <w:bottom w:val="nil"/>
            </w:tcBorders>
            <w:vAlign w:val="center"/>
          </w:tcPr>
          <w:p w14:paraId="03E12E08"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281.0</w:t>
            </w:r>
          </w:p>
        </w:tc>
        <w:tc>
          <w:tcPr>
            <w:tcW w:w="238" w:type="pct"/>
            <w:tcBorders>
              <w:top w:val="nil"/>
              <w:bottom w:val="nil"/>
            </w:tcBorders>
            <w:vAlign w:val="center"/>
          </w:tcPr>
          <w:p w14:paraId="70AF9BDB"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45.29</w:t>
            </w:r>
          </w:p>
        </w:tc>
        <w:tc>
          <w:tcPr>
            <w:tcW w:w="238" w:type="pct"/>
            <w:tcBorders>
              <w:top w:val="nil"/>
              <w:bottom w:val="nil"/>
            </w:tcBorders>
            <w:vAlign w:val="center"/>
          </w:tcPr>
          <w:p w14:paraId="1BFB0E2E"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36.5</w:t>
            </w:r>
          </w:p>
        </w:tc>
        <w:tc>
          <w:tcPr>
            <w:tcW w:w="240" w:type="pct"/>
            <w:tcBorders>
              <w:top w:val="nil"/>
              <w:bottom w:val="nil"/>
            </w:tcBorders>
            <w:vAlign w:val="center"/>
          </w:tcPr>
          <w:p w14:paraId="095BCAAA"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25.38</w:t>
            </w:r>
          </w:p>
        </w:tc>
        <w:tc>
          <w:tcPr>
            <w:tcW w:w="240" w:type="pct"/>
            <w:tcBorders>
              <w:top w:val="nil"/>
              <w:bottom w:val="nil"/>
            </w:tcBorders>
            <w:vAlign w:val="center"/>
          </w:tcPr>
          <w:p w14:paraId="217A87F8"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82.92</w:t>
            </w:r>
          </w:p>
        </w:tc>
        <w:tc>
          <w:tcPr>
            <w:tcW w:w="234" w:type="pct"/>
            <w:tcBorders>
              <w:top w:val="nil"/>
              <w:bottom w:val="nil"/>
            </w:tcBorders>
            <w:vAlign w:val="center"/>
          </w:tcPr>
          <w:p w14:paraId="74BEEF03"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69.73</w:t>
            </w:r>
          </w:p>
        </w:tc>
        <w:tc>
          <w:tcPr>
            <w:tcW w:w="221" w:type="pct"/>
            <w:tcBorders>
              <w:top w:val="nil"/>
              <w:bottom w:val="nil"/>
            </w:tcBorders>
            <w:vAlign w:val="center"/>
          </w:tcPr>
          <w:p w14:paraId="5BE42F96"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1500</w:t>
            </w:r>
          </w:p>
        </w:tc>
        <w:tc>
          <w:tcPr>
            <w:tcW w:w="300" w:type="pct"/>
            <w:tcBorders>
              <w:top w:val="nil"/>
              <w:bottom w:val="nil"/>
            </w:tcBorders>
            <w:vAlign w:val="center"/>
          </w:tcPr>
          <w:p w14:paraId="5C02841A"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500</w:t>
            </w:r>
          </w:p>
        </w:tc>
      </w:tr>
      <w:tr w:rsidR="00F1798E" w:rsidRPr="00C35184" w14:paraId="4B8093F0" w14:textId="77777777" w:rsidTr="00363E20">
        <w:trPr>
          <w:trHeight w:val="168"/>
        </w:trPr>
        <w:tc>
          <w:tcPr>
            <w:tcW w:w="422" w:type="pct"/>
            <w:tcBorders>
              <w:top w:val="nil"/>
              <w:bottom w:val="nil"/>
            </w:tcBorders>
            <w:vAlign w:val="center"/>
          </w:tcPr>
          <w:p w14:paraId="791838DD"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DO</w:t>
            </w:r>
          </w:p>
        </w:tc>
        <w:tc>
          <w:tcPr>
            <w:tcW w:w="238" w:type="pct"/>
            <w:tcBorders>
              <w:top w:val="nil"/>
              <w:bottom w:val="nil"/>
            </w:tcBorders>
            <w:vAlign w:val="center"/>
          </w:tcPr>
          <w:p w14:paraId="314A797C"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5.61</w:t>
            </w:r>
          </w:p>
        </w:tc>
        <w:tc>
          <w:tcPr>
            <w:tcW w:w="238" w:type="pct"/>
            <w:tcBorders>
              <w:top w:val="nil"/>
              <w:bottom w:val="nil"/>
            </w:tcBorders>
            <w:vAlign w:val="center"/>
          </w:tcPr>
          <w:p w14:paraId="112365FD"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6.12</w:t>
            </w:r>
          </w:p>
        </w:tc>
        <w:tc>
          <w:tcPr>
            <w:tcW w:w="247" w:type="pct"/>
            <w:tcBorders>
              <w:top w:val="nil"/>
              <w:bottom w:val="nil"/>
            </w:tcBorders>
            <w:vAlign w:val="center"/>
          </w:tcPr>
          <w:p w14:paraId="160C4985"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5.1</w:t>
            </w:r>
          </w:p>
        </w:tc>
        <w:tc>
          <w:tcPr>
            <w:tcW w:w="238" w:type="pct"/>
            <w:tcBorders>
              <w:top w:val="nil"/>
              <w:bottom w:val="nil"/>
            </w:tcBorders>
            <w:vAlign w:val="center"/>
          </w:tcPr>
          <w:p w14:paraId="706D260A"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4.72</w:t>
            </w:r>
          </w:p>
        </w:tc>
        <w:tc>
          <w:tcPr>
            <w:tcW w:w="238" w:type="pct"/>
            <w:tcBorders>
              <w:top w:val="nil"/>
              <w:bottom w:val="nil"/>
            </w:tcBorders>
            <w:vAlign w:val="center"/>
          </w:tcPr>
          <w:p w14:paraId="26594CB7"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5.4</w:t>
            </w:r>
          </w:p>
        </w:tc>
        <w:tc>
          <w:tcPr>
            <w:tcW w:w="238" w:type="pct"/>
            <w:tcBorders>
              <w:top w:val="nil"/>
              <w:bottom w:val="nil"/>
            </w:tcBorders>
            <w:vAlign w:val="center"/>
          </w:tcPr>
          <w:p w14:paraId="4AE0BE5B"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5.2</w:t>
            </w:r>
          </w:p>
        </w:tc>
        <w:tc>
          <w:tcPr>
            <w:tcW w:w="239" w:type="pct"/>
            <w:tcBorders>
              <w:top w:val="nil"/>
              <w:bottom w:val="nil"/>
            </w:tcBorders>
            <w:vAlign w:val="center"/>
          </w:tcPr>
          <w:p w14:paraId="2AF3738A"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5.10</w:t>
            </w:r>
          </w:p>
        </w:tc>
        <w:tc>
          <w:tcPr>
            <w:tcW w:w="238" w:type="pct"/>
            <w:tcBorders>
              <w:top w:val="nil"/>
              <w:bottom w:val="nil"/>
            </w:tcBorders>
            <w:vAlign w:val="center"/>
          </w:tcPr>
          <w:p w14:paraId="58A43DBD"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4.7</w:t>
            </w:r>
          </w:p>
        </w:tc>
        <w:tc>
          <w:tcPr>
            <w:tcW w:w="238" w:type="pct"/>
            <w:tcBorders>
              <w:top w:val="nil"/>
              <w:bottom w:val="nil"/>
            </w:tcBorders>
            <w:vAlign w:val="center"/>
          </w:tcPr>
          <w:p w14:paraId="2FE155E0"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6.62</w:t>
            </w:r>
          </w:p>
        </w:tc>
        <w:tc>
          <w:tcPr>
            <w:tcW w:w="238" w:type="pct"/>
            <w:tcBorders>
              <w:top w:val="nil"/>
              <w:bottom w:val="nil"/>
            </w:tcBorders>
            <w:vAlign w:val="center"/>
          </w:tcPr>
          <w:p w14:paraId="72A84086"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4.99</w:t>
            </w:r>
          </w:p>
        </w:tc>
        <w:tc>
          <w:tcPr>
            <w:tcW w:w="239" w:type="pct"/>
            <w:tcBorders>
              <w:top w:val="nil"/>
              <w:bottom w:val="nil"/>
            </w:tcBorders>
            <w:vAlign w:val="center"/>
          </w:tcPr>
          <w:p w14:paraId="3BC03FD4"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4.78</w:t>
            </w:r>
          </w:p>
        </w:tc>
        <w:tc>
          <w:tcPr>
            <w:tcW w:w="238" w:type="pct"/>
            <w:tcBorders>
              <w:top w:val="nil"/>
              <w:bottom w:val="nil"/>
            </w:tcBorders>
            <w:vAlign w:val="center"/>
          </w:tcPr>
          <w:p w14:paraId="595D7843"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5.10</w:t>
            </w:r>
          </w:p>
        </w:tc>
        <w:tc>
          <w:tcPr>
            <w:tcW w:w="238" w:type="pct"/>
            <w:tcBorders>
              <w:top w:val="nil"/>
              <w:bottom w:val="nil"/>
            </w:tcBorders>
            <w:vAlign w:val="center"/>
          </w:tcPr>
          <w:p w14:paraId="71DB90C8"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4.71</w:t>
            </w:r>
          </w:p>
        </w:tc>
        <w:tc>
          <w:tcPr>
            <w:tcW w:w="238" w:type="pct"/>
            <w:tcBorders>
              <w:top w:val="nil"/>
              <w:bottom w:val="nil"/>
            </w:tcBorders>
            <w:vAlign w:val="center"/>
          </w:tcPr>
          <w:p w14:paraId="0F4E3ED2"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5.0</w:t>
            </w:r>
          </w:p>
        </w:tc>
        <w:tc>
          <w:tcPr>
            <w:tcW w:w="240" w:type="pct"/>
            <w:tcBorders>
              <w:top w:val="nil"/>
              <w:bottom w:val="nil"/>
            </w:tcBorders>
            <w:vAlign w:val="center"/>
          </w:tcPr>
          <w:p w14:paraId="47CCC300"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6.7</w:t>
            </w:r>
          </w:p>
        </w:tc>
        <w:tc>
          <w:tcPr>
            <w:tcW w:w="240" w:type="pct"/>
            <w:tcBorders>
              <w:top w:val="nil"/>
              <w:bottom w:val="nil"/>
            </w:tcBorders>
            <w:vAlign w:val="center"/>
          </w:tcPr>
          <w:p w14:paraId="1561A022"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5.46</w:t>
            </w:r>
          </w:p>
        </w:tc>
        <w:tc>
          <w:tcPr>
            <w:tcW w:w="234" w:type="pct"/>
            <w:tcBorders>
              <w:top w:val="nil"/>
              <w:bottom w:val="nil"/>
            </w:tcBorders>
            <w:vAlign w:val="center"/>
          </w:tcPr>
          <w:p w14:paraId="5D48F69E"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5.32</w:t>
            </w:r>
          </w:p>
        </w:tc>
        <w:tc>
          <w:tcPr>
            <w:tcW w:w="221" w:type="pct"/>
            <w:tcBorders>
              <w:top w:val="nil"/>
              <w:bottom w:val="nil"/>
            </w:tcBorders>
            <w:vAlign w:val="center"/>
          </w:tcPr>
          <w:p w14:paraId="5329E310"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5.0</w:t>
            </w:r>
          </w:p>
        </w:tc>
        <w:tc>
          <w:tcPr>
            <w:tcW w:w="300" w:type="pct"/>
            <w:tcBorders>
              <w:top w:val="nil"/>
              <w:bottom w:val="nil"/>
            </w:tcBorders>
            <w:vAlign w:val="center"/>
          </w:tcPr>
          <w:p w14:paraId="08F8CA96"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&gt; 4</w:t>
            </w:r>
          </w:p>
        </w:tc>
      </w:tr>
      <w:tr w:rsidR="00F1798E" w:rsidRPr="00C35184" w14:paraId="3B220D32" w14:textId="77777777" w:rsidTr="00363E20">
        <w:trPr>
          <w:trHeight w:val="403"/>
        </w:trPr>
        <w:tc>
          <w:tcPr>
            <w:tcW w:w="422" w:type="pct"/>
            <w:tcBorders>
              <w:top w:val="nil"/>
              <w:bottom w:val="nil"/>
            </w:tcBorders>
            <w:vAlign w:val="center"/>
          </w:tcPr>
          <w:p w14:paraId="1EB847EA"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Nitrate</w:t>
            </w:r>
          </w:p>
        </w:tc>
        <w:tc>
          <w:tcPr>
            <w:tcW w:w="238" w:type="pct"/>
            <w:tcBorders>
              <w:top w:val="nil"/>
              <w:bottom w:val="nil"/>
            </w:tcBorders>
            <w:vAlign w:val="center"/>
          </w:tcPr>
          <w:p w14:paraId="1EAB9ACD"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0.037</w:t>
            </w:r>
          </w:p>
        </w:tc>
        <w:tc>
          <w:tcPr>
            <w:tcW w:w="238" w:type="pct"/>
            <w:tcBorders>
              <w:top w:val="nil"/>
              <w:bottom w:val="nil"/>
            </w:tcBorders>
            <w:vAlign w:val="center"/>
          </w:tcPr>
          <w:p w14:paraId="385E6631"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0.041</w:t>
            </w:r>
          </w:p>
        </w:tc>
        <w:tc>
          <w:tcPr>
            <w:tcW w:w="247" w:type="pct"/>
            <w:tcBorders>
              <w:top w:val="nil"/>
              <w:bottom w:val="nil"/>
            </w:tcBorders>
            <w:vAlign w:val="center"/>
          </w:tcPr>
          <w:p w14:paraId="188336BA"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0.031</w:t>
            </w:r>
          </w:p>
        </w:tc>
        <w:tc>
          <w:tcPr>
            <w:tcW w:w="238" w:type="pct"/>
            <w:tcBorders>
              <w:top w:val="nil"/>
              <w:bottom w:val="nil"/>
            </w:tcBorders>
            <w:vAlign w:val="center"/>
          </w:tcPr>
          <w:p w14:paraId="7CD737A3"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0.023</w:t>
            </w:r>
          </w:p>
        </w:tc>
        <w:tc>
          <w:tcPr>
            <w:tcW w:w="238" w:type="pct"/>
            <w:tcBorders>
              <w:top w:val="nil"/>
              <w:bottom w:val="nil"/>
            </w:tcBorders>
            <w:vAlign w:val="center"/>
          </w:tcPr>
          <w:p w14:paraId="677E5FA6"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0.02</w:t>
            </w:r>
          </w:p>
        </w:tc>
        <w:tc>
          <w:tcPr>
            <w:tcW w:w="238" w:type="pct"/>
            <w:tcBorders>
              <w:top w:val="nil"/>
              <w:bottom w:val="nil"/>
            </w:tcBorders>
            <w:vAlign w:val="center"/>
          </w:tcPr>
          <w:p w14:paraId="762851D2"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0.029</w:t>
            </w:r>
          </w:p>
        </w:tc>
        <w:tc>
          <w:tcPr>
            <w:tcW w:w="239" w:type="pct"/>
            <w:tcBorders>
              <w:top w:val="nil"/>
              <w:bottom w:val="nil"/>
            </w:tcBorders>
            <w:vAlign w:val="center"/>
          </w:tcPr>
          <w:p w14:paraId="03D7E26C"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0.017</w:t>
            </w:r>
          </w:p>
        </w:tc>
        <w:tc>
          <w:tcPr>
            <w:tcW w:w="238" w:type="pct"/>
            <w:tcBorders>
              <w:top w:val="nil"/>
              <w:bottom w:val="nil"/>
            </w:tcBorders>
            <w:vAlign w:val="center"/>
          </w:tcPr>
          <w:p w14:paraId="0C1609E7"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0.018</w:t>
            </w:r>
          </w:p>
        </w:tc>
        <w:tc>
          <w:tcPr>
            <w:tcW w:w="238" w:type="pct"/>
            <w:tcBorders>
              <w:top w:val="nil"/>
              <w:bottom w:val="nil"/>
            </w:tcBorders>
            <w:vAlign w:val="center"/>
          </w:tcPr>
          <w:p w14:paraId="44868D07"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&lt;0.001</w:t>
            </w:r>
          </w:p>
        </w:tc>
        <w:tc>
          <w:tcPr>
            <w:tcW w:w="238" w:type="pct"/>
            <w:tcBorders>
              <w:top w:val="nil"/>
              <w:bottom w:val="nil"/>
            </w:tcBorders>
            <w:vAlign w:val="center"/>
          </w:tcPr>
          <w:p w14:paraId="78DD2287"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&lt;0.001</w:t>
            </w:r>
          </w:p>
        </w:tc>
        <w:tc>
          <w:tcPr>
            <w:tcW w:w="239" w:type="pct"/>
            <w:tcBorders>
              <w:top w:val="nil"/>
              <w:bottom w:val="nil"/>
            </w:tcBorders>
            <w:vAlign w:val="center"/>
          </w:tcPr>
          <w:p w14:paraId="56827ED7"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&lt;0.001</w:t>
            </w:r>
          </w:p>
        </w:tc>
        <w:tc>
          <w:tcPr>
            <w:tcW w:w="238" w:type="pct"/>
            <w:tcBorders>
              <w:top w:val="nil"/>
              <w:bottom w:val="nil"/>
            </w:tcBorders>
            <w:vAlign w:val="center"/>
          </w:tcPr>
          <w:p w14:paraId="6748EA3A"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&lt;0.001</w:t>
            </w:r>
          </w:p>
        </w:tc>
        <w:tc>
          <w:tcPr>
            <w:tcW w:w="238" w:type="pct"/>
            <w:tcBorders>
              <w:top w:val="nil"/>
              <w:bottom w:val="nil"/>
            </w:tcBorders>
            <w:vAlign w:val="center"/>
          </w:tcPr>
          <w:p w14:paraId="734E9107"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&lt;0.001</w:t>
            </w:r>
          </w:p>
        </w:tc>
        <w:tc>
          <w:tcPr>
            <w:tcW w:w="238" w:type="pct"/>
            <w:tcBorders>
              <w:top w:val="nil"/>
              <w:bottom w:val="nil"/>
            </w:tcBorders>
            <w:vAlign w:val="center"/>
          </w:tcPr>
          <w:p w14:paraId="281EB135"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&lt;0.001</w:t>
            </w:r>
          </w:p>
        </w:tc>
        <w:tc>
          <w:tcPr>
            <w:tcW w:w="240" w:type="pct"/>
            <w:tcBorders>
              <w:top w:val="nil"/>
              <w:bottom w:val="nil"/>
            </w:tcBorders>
            <w:vAlign w:val="center"/>
          </w:tcPr>
          <w:p w14:paraId="3C80F4E1"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0.012</w:t>
            </w:r>
          </w:p>
        </w:tc>
        <w:tc>
          <w:tcPr>
            <w:tcW w:w="240" w:type="pct"/>
            <w:tcBorders>
              <w:top w:val="nil"/>
              <w:bottom w:val="nil"/>
            </w:tcBorders>
            <w:vAlign w:val="center"/>
          </w:tcPr>
          <w:p w14:paraId="3A3F1F2D"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&lt;0.001</w:t>
            </w:r>
          </w:p>
        </w:tc>
        <w:tc>
          <w:tcPr>
            <w:tcW w:w="234" w:type="pct"/>
            <w:tcBorders>
              <w:top w:val="nil"/>
              <w:bottom w:val="nil"/>
            </w:tcBorders>
            <w:vAlign w:val="center"/>
          </w:tcPr>
          <w:p w14:paraId="229BC71C"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0.02</w:t>
            </w:r>
          </w:p>
        </w:tc>
        <w:tc>
          <w:tcPr>
            <w:tcW w:w="221" w:type="pct"/>
            <w:tcBorders>
              <w:top w:val="nil"/>
              <w:bottom w:val="nil"/>
            </w:tcBorders>
            <w:vAlign w:val="center"/>
          </w:tcPr>
          <w:p w14:paraId="4D3234C5"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50</w:t>
            </w:r>
          </w:p>
        </w:tc>
        <w:tc>
          <w:tcPr>
            <w:tcW w:w="300" w:type="pct"/>
            <w:tcBorders>
              <w:top w:val="nil"/>
              <w:bottom w:val="nil"/>
            </w:tcBorders>
            <w:vAlign w:val="center"/>
          </w:tcPr>
          <w:p w14:paraId="1A1F3ADE"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50</w:t>
            </w:r>
          </w:p>
        </w:tc>
      </w:tr>
      <w:tr w:rsidR="00F1798E" w:rsidRPr="00C35184" w14:paraId="6C83950E" w14:textId="77777777" w:rsidTr="00363E20">
        <w:trPr>
          <w:trHeight w:val="403"/>
        </w:trPr>
        <w:tc>
          <w:tcPr>
            <w:tcW w:w="422" w:type="pct"/>
            <w:tcBorders>
              <w:top w:val="nil"/>
              <w:bottom w:val="nil"/>
            </w:tcBorders>
            <w:vAlign w:val="center"/>
          </w:tcPr>
          <w:p w14:paraId="3AD14F95"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Chloride</w:t>
            </w:r>
          </w:p>
        </w:tc>
        <w:tc>
          <w:tcPr>
            <w:tcW w:w="238" w:type="pct"/>
            <w:tcBorders>
              <w:top w:val="nil"/>
              <w:bottom w:val="nil"/>
            </w:tcBorders>
            <w:vAlign w:val="center"/>
          </w:tcPr>
          <w:p w14:paraId="0AE6D369"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7.99</w:t>
            </w:r>
          </w:p>
        </w:tc>
        <w:tc>
          <w:tcPr>
            <w:tcW w:w="238" w:type="pct"/>
            <w:tcBorders>
              <w:top w:val="nil"/>
              <w:bottom w:val="nil"/>
            </w:tcBorders>
            <w:vAlign w:val="center"/>
          </w:tcPr>
          <w:p w14:paraId="5449132C"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7.99</w:t>
            </w:r>
          </w:p>
        </w:tc>
        <w:tc>
          <w:tcPr>
            <w:tcW w:w="247" w:type="pct"/>
            <w:tcBorders>
              <w:top w:val="nil"/>
              <w:bottom w:val="nil"/>
            </w:tcBorders>
            <w:vAlign w:val="center"/>
          </w:tcPr>
          <w:p w14:paraId="12716963"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5.99</w:t>
            </w:r>
          </w:p>
        </w:tc>
        <w:tc>
          <w:tcPr>
            <w:tcW w:w="238" w:type="pct"/>
            <w:tcBorders>
              <w:top w:val="nil"/>
              <w:bottom w:val="nil"/>
            </w:tcBorders>
            <w:vAlign w:val="center"/>
          </w:tcPr>
          <w:p w14:paraId="23E4ABBF"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6.99</w:t>
            </w:r>
          </w:p>
        </w:tc>
        <w:tc>
          <w:tcPr>
            <w:tcW w:w="238" w:type="pct"/>
            <w:tcBorders>
              <w:top w:val="nil"/>
              <w:bottom w:val="nil"/>
            </w:tcBorders>
            <w:vAlign w:val="center"/>
          </w:tcPr>
          <w:p w14:paraId="169D7B62"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4.99</w:t>
            </w:r>
          </w:p>
        </w:tc>
        <w:tc>
          <w:tcPr>
            <w:tcW w:w="238" w:type="pct"/>
            <w:tcBorders>
              <w:top w:val="nil"/>
              <w:bottom w:val="nil"/>
            </w:tcBorders>
            <w:vAlign w:val="center"/>
          </w:tcPr>
          <w:p w14:paraId="32930C89"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7.99</w:t>
            </w:r>
          </w:p>
        </w:tc>
        <w:tc>
          <w:tcPr>
            <w:tcW w:w="239" w:type="pct"/>
            <w:tcBorders>
              <w:top w:val="nil"/>
              <w:bottom w:val="nil"/>
            </w:tcBorders>
            <w:vAlign w:val="center"/>
          </w:tcPr>
          <w:p w14:paraId="4E54A482"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3.99</w:t>
            </w:r>
          </w:p>
        </w:tc>
        <w:tc>
          <w:tcPr>
            <w:tcW w:w="238" w:type="pct"/>
            <w:tcBorders>
              <w:top w:val="nil"/>
              <w:bottom w:val="nil"/>
            </w:tcBorders>
            <w:vAlign w:val="center"/>
          </w:tcPr>
          <w:p w14:paraId="2037E6AC"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3.99</w:t>
            </w:r>
          </w:p>
        </w:tc>
        <w:tc>
          <w:tcPr>
            <w:tcW w:w="238" w:type="pct"/>
            <w:tcBorders>
              <w:top w:val="nil"/>
              <w:bottom w:val="nil"/>
            </w:tcBorders>
            <w:vAlign w:val="center"/>
          </w:tcPr>
          <w:p w14:paraId="1B9906FD"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0.99</w:t>
            </w:r>
          </w:p>
        </w:tc>
        <w:tc>
          <w:tcPr>
            <w:tcW w:w="238" w:type="pct"/>
            <w:tcBorders>
              <w:top w:val="nil"/>
              <w:bottom w:val="nil"/>
            </w:tcBorders>
            <w:vAlign w:val="center"/>
          </w:tcPr>
          <w:p w14:paraId="58ADDBB8"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1.99</w:t>
            </w:r>
          </w:p>
        </w:tc>
        <w:tc>
          <w:tcPr>
            <w:tcW w:w="239" w:type="pct"/>
            <w:tcBorders>
              <w:top w:val="nil"/>
              <w:bottom w:val="nil"/>
            </w:tcBorders>
            <w:vAlign w:val="center"/>
          </w:tcPr>
          <w:p w14:paraId="20D30A72"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1.99</w:t>
            </w:r>
          </w:p>
        </w:tc>
        <w:tc>
          <w:tcPr>
            <w:tcW w:w="238" w:type="pct"/>
            <w:tcBorders>
              <w:top w:val="nil"/>
              <w:bottom w:val="nil"/>
            </w:tcBorders>
            <w:vAlign w:val="center"/>
          </w:tcPr>
          <w:p w14:paraId="5B4480C4"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2.99</w:t>
            </w:r>
          </w:p>
        </w:tc>
        <w:tc>
          <w:tcPr>
            <w:tcW w:w="238" w:type="pct"/>
            <w:tcBorders>
              <w:top w:val="nil"/>
              <w:bottom w:val="nil"/>
            </w:tcBorders>
            <w:vAlign w:val="center"/>
          </w:tcPr>
          <w:p w14:paraId="6E0CD8BC"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2.99</w:t>
            </w:r>
          </w:p>
        </w:tc>
        <w:tc>
          <w:tcPr>
            <w:tcW w:w="238" w:type="pct"/>
            <w:tcBorders>
              <w:top w:val="nil"/>
              <w:bottom w:val="nil"/>
            </w:tcBorders>
            <w:vAlign w:val="center"/>
          </w:tcPr>
          <w:p w14:paraId="7DE395F6"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2.99</w:t>
            </w:r>
          </w:p>
        </w:tc>
        <w:tc>
          <w:tcPr>
            <w:tcW w:w="240" w:type="pct"/>
            <w:tcBorders>
              <w:top w:val="nil"/>
              <w:bottom w:val="nil"/>
            </w:tcBorders>
            <w:vAlign w:val="center"/>
          </w:tcPr>
          <w:p w14:paraId="1EFCED57"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3.99</w:t>
            </w:r>
          </w:p>
        </w:tc>
        <w:tc>
          <w:tcPr>
            <w:tcW w:w="240" w:type="pct"/>
            <w:tcBorders>
              <w:top w:val="nil"/>
              <w:bottom w:val="nil"/>
            </w:tcBorders>
            <w:vAlign w:val="center"/>
          </w:tcPr>
          <w:p w14:paraId="6829D687"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2.99</w:t>
            </w:r>
          </w:p>
        </w:tc>
        <w:tc>
          <w:tcPr>
            <w:tcW w:w="234" w:type="pct"/>
            <w:tcBorders>
              <w:top w:val="nil"/>
              <w:bottom w:val="nil"/>
            </w:tcBorders>
            <w:vAlign w:val="center"/>
          </w:tcPr>
          <w:p w14:paraId="2817F487"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4.52</w:t>
            </w:r>
          </w:p>
        </w:tc>
        <w:tc>
          <w:tcPr>
            <w:tcW w:w="221" w:type="pct"/>
            <w:tcBorders>
              <w:top w:val="nil"/>
              <w:bottom w:val="nil"/>
            </w:tcBorders>
            <w:vAlign w:val="center"/>
          </w:tcPr>
          <w:p w14:paraId="3A0C9FB5"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600</w:t>
            </w:r>
          </w:p>
        </w:tc>
        <w:tc>
          <w:tcPr>
            <w:tcW w:w="300" w:type="pct"/>
            <w:tcBorders>
              <w:top w:val="nil"/>
              <w:bottom w:val="nil"/>
            </w:tcBorders>
            <w:vAlign w:val="center"/>
          </w:tcPr>
          <w:p w14:paraId="1157B33B"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100</w:t>
            </w:r>
          </w:p>
        </w:tc>
      </w:tr>
      <w:tr w:rsidR="00F1798E" w:rsidRPr="00C35184" w14:paraId="57CD1DA3" w14:textId="77777777" w:rsidTr="00363E20">
        <w:trPr>
          <w:trHeight w:val="403"/>
        </w:trPr>
        <w:tc>
          <w:tcPr>
            <w:tcW w:w="422" w:type="pct"/>
            <w:tcBorders>
              <w:top w:val="nil"/>
              <w:bottom w:val="nil"/>
            </w:tcBorders>
            <w:vAlign w:val="center"/>
          </w:tcPr>
          <w:p w14:paraId="0EFA23E3"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Sulphate</w:t>
            </w:r>
          </w:p>
        </w:tc>
        <w:tc>
          <w:tcPr>
            <w:tcW w:w="238" w:type="pct"/>
            <w:tcBorders>
              <w:top w:val="nil"/>
              <w:bottom w:val="nil"/>
            </w:tcBorders>
            <w:vAlign w:val="center"/>
          </w:tcPr>
          <w:p w14:paraId="2D3F8139"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0.049</w:t>
            </w:r>
          </w:p>
        </w:tc>
        <w:tc>
          <w:tcPr>
            <w:tcW w:w="238" w:type="pct"/>
            <w:tcBorders>
              <w:top w:val="nil"/>
              <w:bottom w:val="nil"/>
            </w:tcBorders>
            <w:vAlign w:val="center"/>
          </w:tcPr>
          <w:p w14:paraId="784D45AA"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0.053</w:t>
            </w:r>
          </w:p>
        </w:tc>
        <w:tc>
          <w:tcPr>
            <w:tcW w:w="247" w:type="pct"/>
            <w:tcBorders>
              <w:top w:val="nil"/>
              <w:bottom w:val="nil"/>
            </w:tcBorders>
            <w:vAlign w:val="center"/>
          </w:tcPr>
          <w:p w14:paraId="4776826B"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0.047</w:t>
            </w:r>
          </w:p>
        </w:tc>
        <w:tc>
          <w:tcPr>
            <w:tcW w:w="238" w:type="pct"/>
            <w:tcBorders>
              <w:top w:val="nil"/>
              <w:bottom w:val="nil"/>
            </w:tcBorders>
            <w:vAlign w:val="center"/>
          </w:tcPr>
          <w:p w14:paraId="28761FDC"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0.042</w:t>
            </w:r>
          </w:p>
        </w:tc>
        <w:tc>
          <w:tcPr>
            <w:tcW w:w="238" w:type="pct"/>
            <w:tcBorders>
              <w:top w:val="nil"/>
              <w:bottom w:val="nil"/>
            </w:tcBorders>
            <w:vAlign w:val="center"/>
          </w:tcPr>
          <w:p w14:paraId="56B0FE5B"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0.037</w:t>
            </w:r>
          </w:p>
        </w:tc>
        <w:tc>
          <w:tcPr>
            <w:tcW w:w="238" w:type="pct"/>
            <w:tcBorders>
              <w:top w:val="nil"/>
              <w:bottom w:val="nil"/>
            </w:tcBorders>
            <w:vAlign w:val="center"/>
          </w:tcPr>
          <w:p w14:paraId="5F1AD52E"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0.042</w:t>
            </w:r>
          </w:p>
        </w:tc>
        <w:tc>
          <w:tcPr>
            <w:tcW w:w="239" w:type="pct"/>
            <w:tcBorders>
              <w:top w:val="nil"/>
              <w:bottom w:val="nil"/>
            </w:tcBorders>
            <w:vAlign w:val="center"/>
          </w:tcPr>
          <w:p w14:paraId="237123AC"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0.033</w:t>
            </w:r>
          </w:p>
        </w:tc>
        <w:tc>
          <w:tcPr>
            <w:tcW w:w="238" w:type="pct"/>
            <w:tcBorders>
              <w:top w:val="nil"/>
              <w:bottom w:val="nil"/>
            </w:tcBorders>
            <w:vAlign w:val="center"/>
          </w:tcPr>
          <w:p w14:paraId="46724EC8"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0.036</w:t>
            </w:r>
          </w:p>
        </w:tc>
        <w:tc>
          <w:tcPr>
            <w:tcW w:w="238" w:type="pct"/>
            <w:tcBorders>
              <w:top w:val="nil"/>
              <w:bottom w:val="nil"/>
            </w:tcBorders>
            <w:vAlign w:val="center"/>
          </w:tcPr>
          <w:p w14:paraId="2A452B92"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0.002</w:t>
            </w:r>
          </w:p>
        </w:tc>
        <w:tc>
          <w:tcPr>
            <w:tcW w:w="238" w:type="pct"/>
            <w:tcBorders>
              <w:top w:val="nil"/>
              <w:bottom w:val="nil"/>
            </w:tcBorders>
            <w:vAlign w:val="center"/>
          </w:tcPr>
          <w:p w14:paraId="3AA53C82"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0.013</w:t>
            </w:r>
          </w:p>
        </w:tc>
        <w:tc>
          <w:tcPr>
            <w:tcW w:w="239" w:type="pct"/>
            <w:tcBorders>
              <w:top w:val="nil"/>
              <w:bottom w:val="nil"/>
            </w:tcBorders>
            <w:vAlign w:val="center"/>
          </w:tcPr>
          <w:p w14:paraId="700F111A"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0.016</w:t>
            </w:r>
          </w:p>
        </w:tc>
        <w:tc>
          <w:tcPr>
            <w:tcW w:w="238" w:type="pct"/>
            <w:tcBorders>
              <w:top w:val="nil"/>
              <w:bottom w:val="nil"/>
            </w:tcBorders>
            <w:vAlign w:val="center"/>
          </w:tcPr>
          <w:p w14:paraId="0D101666"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0.018</w:t>
            </w:r>
          </w:p>
        </w:tc>
        <w:tc>
          <w:tcPr>
            <w:tcW w:w="238" w:type="pct"/>
            <w:tcBorders>
              <w:top w:val="nil"/>
              <w:bottom w:val="nil"/>
            </w:tcBorders>
            <w:vAlign w:val="center"/>
          </w:tcPr>
          <w:p w14:paraId="3D37F596"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0.026</w:t>
            </w:r>
          </w:p>
        </w:tc>
        <w:tc>
          <w:tcPr>
            <w:tcW w:w="238" w:type="pct"/>
            <w:tcBorders>
              <w:top w:val="nil"/>
              <w:bottom w:val="nil"/>
            </w:tcBorders>
            <w:vAlign w:val="center"/>
          </w:tcPr>
          <w:p w14:paraId="26D54D9E"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0.022</w:t>
            </w:r>
          </w:p>
        </w:tc>
        <w:tc>
          <w:tcPr>
            <w:tcW w:w="240" w:type="pct"/>
            <w:tcBorders>
              <w:top w:val="nil"/>
              <w:bottom w:val="nil"/>
            </w:tcBorders>
            <w:vAlign w:val="center"/>
          </w:tcPr>
          <w:p w14:paraId="600F5CDF"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0.035</w:t>
            </w:r>
          </w:p>
        </w:tc>
        <w:tc>
          <w:tcPr>
            <w:tcW w:w="240" w:type="pct"/>
            <w:tcBorders>
              <w:top w:val="nil"/>
              <w:bottom w:val="nil"/>
            </w:tcBorders>
            <w:vAlign w:val="center"/>
          </w:tcPr>
          <w:p w14:paraId="486AB2E0"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0.014</w:t>
            </w:r>
          </w:p>
        </w:tc>
        <w:tc>
          <w:tcPr>
            <w:tcW w:w="234" w:type="pct"/>
            <w:tcBorders>
              <w:top w:val="nil"/>
              <w:bottom w:val="nil"/>
            </w:tcBorders>
            <w:vAlign w:val="center"/>
          </w:tcPr>
          <w:p w14:paraId="405D0960"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0.03</w:t>
            </w:r>
          </w:p>
        </w:tc>
        <w:tc>
          <w:tcPr>
            <w:tcW w:w="221" w:type="pct"/>
            <w:tcBorders>
              <w:top w:val="nil"/>
              <w:bottom w:val="nil"/>
            </w:tcBorders>
            <w:vAlign w:val="center"/>
          </w:tcPr>
          <w:p w14:paraId="4C3D8516"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400</w:t>
            </w:r>
          </w:p>
        </w:tc>
        <w:tc>
          <w:tcPr>
            <w:tcW w:w="300" w:type="pct"/>
            <w:tcBorders>
              <w:top w:val="nil"/>
              <w:bottom w:val="nil"/>
            </w:tcBorders>
            <w:vAlign w:val="center"/>
          </w:tcPr>
          <w:p w14:paraId="6F277555"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100</w:t>
            </w:r>
          </w:p>
        </w:tc>
      </w:tr>
      <w:tr w:rsidR="00F1798E" w:rsidRPr="00C35184" w14:paraId="393756EA" w14:textId="77777777" w:rsidTr="00363E20">
        <w:trPr>
          <w:trHeight w:val="403"/>
        </w:trPr>
        <w:tc>
          <w:tcPr>
            <w:tcW w:w="422" w:type="pct"/>
            <w:tcBorders>
              <w:top w:val="nil"/>
              <w:bottom w:val="nil"/>
            </w:tcBorders>
            <w:vAlign w:val="center"/>
          </w:tcPr>
          <w:p w14:paraId="72F6D572"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Phosphate</w:t>
            </w:r>
          </w:p>
        </w:tc>
        <w:tc>
          <w:tcPr>
            <w:tcW w:w="238" w:type="pct"/>
            <w:tcBorders>
              <w:top w:val="nil"/>
              <w:bottom w:val="nil"/>
            </w:tcBorders>
            <w:vAlign w:val="center"/>
          </w:tcPr>
          <w:p w14:paraId="02677173"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&lt;0.001</w:t>
            </w:r>
          </w:p>
        </w:tc>
        <w:tc>
          <w:tcPr>
            <w:tcW w:w="238" w:type="pct"/>
            <w:tcBorders>
              <w:top w:val="nil"/>
              <w:bottom w:val="nil"/>
            </w:tcBorders>
            <w:vAlign w:val="center"/>
          </w:tcPr>
          <w:p w14:paraId="55780625"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&lt;0.001</w:t>
            </w:r>
          </w:p>
        </w:tc>
        <w:tc>
          <w:tcPr>
            <w:tcW w:w="247" w:type="pct"/>
            <w:tcBorders>
              <w:top w:val="nil"/>
              <w:bottom w:val="nil"/>
            </w:tcBorders>
            <w:vAlign w:val="center"/>
          </w:tcPr>
          <w:p w14:paraId="78908A37"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&lt;0.001</w:t>
            </w:r>
          </w:p>
        </w:tc>
        <w:tc>
          <w:tcPr>
            <w:tcW w:w="238" w:type="pct"/>
            <w:tcBorders>
              <w:top w:val="nil"/>
              <w:bottom w:val="nil"/>
            </w:tcBorders>
            <w:vAlign w:val="center"/>
          </w:tcPr>
          <w:p w14:paraId="5C13497A"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&lt;0.001</w:t>
            </w:r>
          </w:p>
        </w:tc>
        <w:tc>
          <w:tcPr>
            <w:tcW w:w="238" w:type="pct"/>
            <w:tcBorders>
              <w:top w:val="nil"/>
              <w:bottom w:val="nil"/>
            </w:tcBorders>
            <w:vAlign w:val="center"/>
          </w:tcPr>
          <w:p w14:paraId="6AF6C3EE"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&lt;0.001</w:t>
            </w:r>
          </w:p>
        </w:tc>
        <w:tc>
          <w:tcPr>
            <w:tcW w:w="238" w:type="pct"/>
            <w:tcBorders>
              <w:top w:val="nil"/>
              <w:bottom w:val="nil"/>
            </w:tcBorders>
            <w:vAlign w:val="center"/>
          </w:tcPr>
          <w:p w14:paraId="17C76FE8"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&lt;0.001</w:t>
            </w:r>
          </w:p>
        </w:tc>
        <w:tc>
          <w:tcPr>
            <w:tcW w:w="239" w:type="pct"/>
            <w:tcBorders>
              <w:top w:val="nil"/>
              <w:bottom w:val="nil"/>
            </w:tcBorders>
            <w:vAlign w:val="center"/>
          </w:tcPr>
          <w:p w14:paraId="591CE73B"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&lt;0.001</w:t>
            </w:r>
          </w:p>
        </w:tc>
        <w:tc>
          <w:tcPr>
            <w:tcW w:w="238" w:type="pct"/>
            <w:tcBorders>
              <w:top w:val="nil"/>
              <w:bottom w:val="nil"/>
            </w:tcBorders>
            <w:vAlign w:val="center"/>
          </w:tcPr>
          <w:p w14:paraId="44DF9501"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&lt;0.001</w:t>
            </w:r>
          </w:p>
        </w:tc>
        <w:tc>
          <w:tcPr>
            <w:tcW w:w="238" w:type="pct"/>
            <w:tcBorders>
              <w:top w:val="nil"/>
              <w:bottom w:val="nil"/>
            </w:tcBorders>
            <w:vAlign w:val="center"/>
          </w:tcPr>
          <w:p w14:paraId="506427A5"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&lt;0.001</w:t>
            </w:r>
          </w:p>
        </w:tc>
        <w:tc>
          <w:tcPr>
            <w:tcW w:w="238" w:type="pct"/>
            <w:tcBorders>
              <w:top w:val="nil"/>
              <w:bottom w:val="nil"/>
            </w:tcBorders>
            <w:vAlign w:val="center"/>
          </w:tcPr>
          <w:p w14:paraId="2D51CE71"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&lt;0.001</w:t>
            </w:r>
          </w:p>
        </w:tc>
        <w:tc>
          <w:tcPr>
            <w:tcW w:w="239" w:type="pct"/>
            <w:tcBorders>
              <w:top w:val="nil"/>
              <w:bottom w:val="nil"/>
            </w:tcBorders>
            <w:vAlign w:val="center"/>
          </w:tcPr>
          <w:p w14:paraId="3669954D"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&lt;0.001</w:t>
            </w:r>
          </w:p>
        </w:tc>
        <w:tc>
          <w:tcPr>
            <w:tcW w:w="238" w:type="pct"/>
            <w:tcBorders>
              <w:top w:val="nil"/>
              <w:bottom w:val="nil"/>
            </w:tcBorders>
            <w:vAlign w:val="center"/>
          </w:tcPr>
          <w:p w14:paraId="0B91730F"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&lt;0.001</w:t>
            </w:r>
          </w:p>
        </w:tc>
        <w:tc>
          <w:tcPr>
            <w:tcW w:w="238" w:type="pct"/>
            <w:tcBorders>
              <w:top w:val="nil"/>
              <w:bottom w:val="nil"/>
            </w:tcBorders>
            <w:vAlign w:val="center"/>
          </w:tcPr>
          <w:p w14:paraId="65F7AFE2"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&lt;0.001</w:t>
            </w:r>
          </w:p>
        </w:tc>
        <w:tc>
          <w:tcPr>
            <w:tcW w:w="238" w:type="pct"/>
            <w:tcBorders>
              <w:top w:val="nil"/>
              <w:bottom w:val="nil"/>
            </w:tcBorders>
            <w:vAlign w:val="center"/>
          </w:tcPr>
          <w:p w14:paraId="6A235C19"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&lt;0.001</w:t>
            </w:r>
          </w:p>
        </w:tc>
        <w:tc>
          <w:tcPr>
            <w:tcW w:w="240" w:type="pct"/>
            <w:tcBorders>
              <w:top w:val="nil"/>
              <w:bottom w:val="nil"/>
            </w:tcBorders>
            <w:vAlign w:val="center"/>
          </w:tcPr>
          <w:p w14:paraId="6991139B"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&lt;0.001</w:t>
            </w:r>
          </w:p>
        </w:tc>
        <w:tc>
          <w:tcPr>
            <w:tcW w:w="240" w:type="pct"/>
            <w:tcBorders>
              <w:top w:val="nil"/>
              <w:bottom w:val="nil"/>
            </w:tcBorders>
            <w:vAlign w:val="center"/>
          </w:tcPr>
          <w:p w14:paraId="7DAA0A0E"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&lt;0.001</w:t>
            </w:r>
          </w:p>
        </w:tc>
        <w:tc>
          <w:tcPr>
            <w:tcW w:w="234" w:type="pct"/>
            <w:tcBorders>
              <w:top w:val="nil"/>
              <w:bottom w:val="nil"/>
            </w:tcBorders>
            <w:vAlign w:val="center"/>
          </w:tcPr>
          <w:p w14:paraId="7F50B8BD"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w:t>
            </w:r>
          </w:p>
        </w:tc>
        <w:tc>
          <w:tcPr>
            <w:tcW w:w="221" w:type="pct"/>
            <w:tcBorders>
              <w:top w:val="nil"/>
              <w:bottom w:val="nil"/>
            </w:tcBorders>
            <w:vAlign w:val="center"/>
          </w:tcPr>
          <w:p w14:paraId="56CC1C07"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5</w:t>
            </w:r>
          </w:p>
        </w:tc>
        <w:tc>
          <w:tcPr>
            <w:tcW w:w="300" w:type="pct"/>
            <w:tcBorders>
              <w:top w:val="nil"/>
              <w:bottom w:val="nil"/>
            </w:tcBorders>
            <w:vAlign w:val="center"/>
          </w:tcPr>
          <w:p w14:paraId="6F5C0BA3" w14:textId="77777777" w:rsidR="00F1798E" w:rsidRPr="00C35184" w:rsidRDefault="00F1798E" w:rsidP="00403501">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5</w:t>
            </w:r>
          </w:p>
        </w:tc>
      </w:tr>
      <w:tr w:rsidR="00F1798E" w:rsidRPr="00C35184" w14:paraId="557DF9CF" w14:textId="77777777" w:rsidTr="00363E20">
        <w:trPr>
          <w:trHeight w:val="403"/>
        </w:trPr>
        <w:tc>
          <w:tcPr>
            <w:tcW w:w="422" w:type="pct"/>
            <w:tcBorders>
              <w:top w:val="nil"/>
              <w:bottom w:val="nil"/>
            </w:tcBorders>
            <w:vAlign w:val="center"/>
          </w:tcPr>
          <w:p w14:paraId="6E99077E" w14:textId="77777777" w:rsidR="00F1798E" w:rsidRPr="00C35184" w:rsidRDefault="00F1798E" w:rsidP="00403501">
            <w:pPr>
              <w:pStyle w:val="TableParagraph"/>
              <w:spacing w:before="118" w:line="360" w:lineRule="auto"/>
              <w:ind w:left="23"/>
              <w:rPr>
                <w:rFonts w:ascii="Times New Roman" w:hAnsi="Times New Roman" w:cs="Times New Roman"/>
                <w:sz w:val="24"/>
                <w:szCs w:val="24"/>
              </w:rPr>
            </w:pPr>
            <w:r w:rsidRPr="00C35184">
              <w:rPr>
                <w:rFonts w:ascii="Times New Roman" w:hAnsi="Times New Roman" w:cs="Times New Roman"/>
                <w:spacing w:val="-2"/>
                <w:w w:val="120"/>
                <w:sz w:val="24"/>
                <w:szCs w:val="24"/>
              </w:rPr>
              <w:lastRenderedPageBreak/>
              <w:t>Sodium</w:t>
            </w:r>
          </w:p>
        </w:tc>
        <w:tc>
          <w:tcPr>
            <w:tcW w:w="238" w:type="pct"/>
            <w:tcBorders>
              <w:top w:val="nil"/>
              <w:bottom w:val="nil"/>
            </w:tcBorders>
            <w:vAlign w:val="center"/>
          </w:tcPr>
          <w:p w14:paraId="7FC16C26" w14:textId="77777777" w:rsidR="00F1798E" w:rsidRPr="00C35184" w:rsidRDefault="00F1798E" w:rsidP="00403501">
            <w:pPr>
              <w:pStyle w:val="TableParagraph"/>
              <w:spacing w:before="63" w:line="360" w:lineRule="auto"/>
              <w:ind w:left="11" w:right="3"/>
              <w:rPr>
                <w:rFonts w:ascii="Times New Roman" w:hAnsi="Times New Roman" w:cs="Times New Roman"/>
                <w:sz w:val="24"/>
                <w:szCs w:val="24"/>
              </w:rPr>
            </w:pPr>
            <w:r w:rsidRPr="00C35184">
              <w:rPr>
                <w:rFonts w:ascii="Times New Roman" w:hAnsi="Times New Roman" w:cs="Times New Roman"/>
                <w:spacing w:val="-2"/>
                <w:w w:val="105"/>
                <w:sz w:val="24"/>
                <w:szCs w:val="24"/>
              </w:rPr>
              <w:t>0.088</w:t>
            </w:r>
          </w:p>
        </w:tc>
        <w:tc>
          <w:tcPr>
            <w:tcW w:w="238" w:type="pct"/>
            <w:tcBorders>
              <w:top w:val="nil"/>
              <w:bottom w:val="nil"/>
            </w:tcBorders>
            <w:vAlign w:val="center"/>
          </w:tcPr>
          <w:p w14:paraId="3A5EE5EA" w14:textId="77777777" w:rsidR="00F1798E" w:rsidRPr="00C35184" w:rsidRDefault="00F1798E" w:rsidP="00403501">
            <w:pPr>
              <w:pStyle w:val="TableParagraph"/>
              <w:spacing w:before="63" w:line="360" w:lineRule="auto"/>
              <w:ind w:left="11" w:right="1"/>
              <w:rPr>
                <w:rFonts w:ascii="Times New Roman" w:hAnsi="Times New Roman" w:cs="Times New Roman"/>
                <w:sz w:val="24"/>
                <w:szCs w:val="24"/>
              </w:rPr>
            </w:pPr>
            <w:r w:rsidRPr="00C35184">
              <w:rPr>
                <w:rFonts w:ascii="Times New Roman" w:hAnsi="Times New Roman" w:cs="Times New Roman"/>
                <w:spacing w:val="-2"/>
                <w:w w:val="105"/>
                <w:sz w:val="24"/>
                <w:szCs w:val="24"/>
              </w:rPr>
              <w:t>0.121</w:t>
            </w:r>
          </w:p>
        </w:tc>
        <w:tc>
          <w:tcPr>
            <w:tcW w:w="247" w:type="pct"/>
            <w:tcBorders>
              <w:top w:val="nil"/>
              <w:bottom w:val="nil"/>
            </w:tcBorders>
            <w:vAlign w:val="center"/>
          </w:tcPr>
          <w:p w14:paraId="65A72270" w14:textId="77777777" w:rsidR="00F1798E" w:rsidRPr="00C35184" w:rsidRDefault="00F1798E" w:rsidP="00403501">
            <w:pPr>
              <w:pStyle w:val="TableParagraph"/>
              <w:spacing w:before="63" w:line="360" w:lineRule="auto"/>
              <w:ind w:left="11" w:right="1"/>
              <w:rPr>
                <w:rFonts w:ascii="Times New Roman" w:hAnsi="Times New Roman" w:cs="Times New Roman"/>
                <w:sz w:val="24"/>
                <w:szCs w:val="24"/>
              </w:rPr>
            </w:pPr>
            <w:r w:rsidRPr="00C35184">
              <w:rPr>
                <w:rFonts w:ascii="Times New Roman" w:hAnsi="Times New Roman" w:cs="Times New Roman"/>
                <w:spacing w:val="-2"/>
                <w:w w:val="105"/>
                <w:sz w:val="24"/>
                <w:szCs w:val="24"/>
              </w:rPr>
              <w:t>0.062</w:t>
            </w:r>
          </w:p>
        </w:tc>
        <w:tc>
          <w:tcPr>
            <w:tcW w:w="238" w:type="pct"/>
            <w:tcBorders>
              <w:top w:val="nil"/>
              <w:bottom w:val="nil"/>
            </w:tcBorders>
            <w:vAlign w:val="center"/>
          </w:tcPr>
          <w:p w14:paraId="57E11A1F" w14:textId="77777777" w:rsidR="00F1798E" w:rsidRPr="00C35184" w:rsidRDefault="00F1798E" w:rsidP="00403501">
            <w:pPr>
              <w:pStyle w:val="TableParagraph"/>
              <w:spacing w:before="63" w:line="360" w:lineRule="auto"/>
              <w:ind w:left="11" w:right="2"/>
              <w:rPr>
                <w:rFonts w:ascii="Times New Roman" w:hAnsi="Times New Roman" w:cs="Times New Roman"/>
                <w:sz w:val="24"/>
                <w:szCs w:val="24"/>
              </w:rPr>
            </w:pPr>
            <w:r w:rsidRPr="00C35184">
              <w:rPr>
                <w:rFonts w:ascii="Times New Roman" w:hAnsi="Times New Roman" w:cs="Times New Roman"/>
                <w:spacing w:val="-2"/>
                <w:w w:val="105"/>
                <w:sz w:val="24"/>
                <w:szCs w:val="24"/>
              </w:rPr>
              <w:t>0.079</w:t>
            </w:r>
          </w:p>
        </w:tc>
        <w:tc>
          <w:tcPr>
            <w:tcW w:w="238" w:type="pct"/>
            <w:tcBorders>
              <w:top w:val="nil"/>
              <w:bottom w:val="nil"/>
            </w:tcBorders>
            <w:vAlign w:val="center"/>
          </w:tcPr>
          <w:p w14:paraId="71B405A1" w14:textId="77777777" w:rsidR="00F1798E" w:rsidRPr="00C35184" w:rsidRDefault="00F1798E" w:rsidP="00403501">
            <w:pPr>
              <w:pStyle w:val="TableParagraph"/>
              <w:spacing w:before="63" w:line="360" w:lineRule="auto"/>
              <w:ind w:left="10" w:right="6"/>
              <w:rPr>
                <w:rFonts w:ascii="Times New Roman" w:hAnsi="Times New Roman" w:cs="Times New Roman"/>
                <w:spacing w:val="-10"/>
                <w:w w:val="120"/>
                <w:sz w:val="24"/>
                <w:szCs w:val="24"/>
              </w:rPr>
            </w:pPr>
            <w:r w:rsidRPr="00C35184">
              <w:rPr>
                <w:rFonts w:ascii="Times New Roman" w:hAnsi="Times New Roman" w:cs="Times New Roman"/>
                <w:spacing w:val="-2"/>
                <w:sz w:val="24"/>
                <w:szCs w:val="24"/>
              </w:rPr>
              <w:t>0.063</w:t>
            </w:r>
          </w:p>
        </w:tc>
        <w:tc>
          <w:tcPr>
            <w:tcW w:w="238" w:type="pct"/>
            <w:tcBorders>
              <w:top w:val="nil"/>
              <w:bottom w:val="nil"/>
            </w:tcBorders>
            <w:vAlign w:val="center"/>
          </w:tcPr>
          <w:p w14:paraId="2248E0AF" w14:textId="77777777" w:rsidR="00F1798E" w:rsidRPr="00C35184" w:rsidRDefault="00F1798E" w:rsidP="00403501">
            <w:pPr>
              <w:pStyle w:val="TableParagraph"/>
              <w:spacing w:before="63" w:line="360" w:lineRule="auto"/>
              <w:ind w:left="10" w:right="6"/>
              <w:rPr>
                <w:rFonts w:ascii="Times New Roman" w:hAnsi="Times New Roman" w:cs="Times New Roman"/>
                <w:spacing w:val="-10"/>
                <w:w w:val="120"/>
                <w:sz w:val="24"/>
                <w:szCs w:val="24"/>
              </w:rPr>
            </w:pPr>
            <w:r w:rsidRPr="00C35184">
              <w:rPr>
                <w:rFonts w:ascii="Times New Roman" w:hAnsi="Times New Roman" w:cs="Times New Roman"/>
                <w:spacing w:val="-2"/>
                <w:sz w:val="24"/>
                <w:szCs w:val="24"/>
              </w:rPr>
              <w:t>0.104</w:t>
            </w:r>
          </w:p>
        </w:tc>
        <w:tc>
          <w:tcPr>
            <w:tcW w:w="239" w:type="pct"/>
            <w:tcBorders>
              <w:top w:val="nil"/>
              <w:bottom w:val="nil"/>
            </w:tcBorders>
            <w:vAlign w:val="center"/>
          </w:tcPr>
          <w:p w14:paraId="60E06254" w14:textId="77777777" w:rsidR="00F1798E" w:rsidRPr="00C35184" w:rsidRDefault="00F1798E" w:rsidP="00403501">
            <w:pPr>
              <w:pStyle w:val="TableParagraph"/>
              <w:spacing w:before="63" w:line="360" w:lineRule="auto"/>
              <w:ind w:left="10" w:right="6"/>
              <w:rPr>
                <w:rFonts w:ascii="Times New Roman" w:hAnsi="Times New Roman" w:cs="Times New Roman"/>
                <w:spacing w:val="-10"/>
                <w:w w:val="120"/>
                <w:sz w:val="24"/>
                <w:szCs w:val="24"/>
              </w:rPr>
            </w:pPr>
            <w:r w:rsidRPr="00C35184">
              <w:rPr>
                <w:rFonts w:ascii="Times New Roman" w:hAnsi="Times New Roman" w:cs="Times New Roman"/>
                <w:spacing w:val="-2"/>
                <w:sz w:val="24"/>
                <w:szCs w:val="24"/>
              </w:rPr>
              <w:t>0.069</w:t>
            </w:r>
          </w:p>
        </w:tc>
        <w:tc>
          <w:tcPr>
            <w:tcW w:w="238" w:type="pct"/>
            <w:tcBorders>
              <w:top w:val="nil"/>
              <w:bottom w:val="nil"/>
            </w:tcBorders>
            <w:vAlign w:val="center"/>
          </w:tcPr>
          <w:p w14:paraId="1B2918AB" w14:textId="77777777" w:rsidR="00F1798E" w:rsidRPr="00C35184" w:rsidRDefault="00F1798E" w:rsidP="00403501">
            <w:pPr>
              <w:pStyle w:val="TableParagraph"/>
              <w:spacing w:before="63" w:line="360" w:lineRule="auto"/>
              <w:ind w:left="10" w:right="6"/>
              <w:rPr>
                <w:rFonts w:ascii="Times New Roman" w:hAnsi="Times New Roman" w:cs="Times New Roman"/>
                <w:spacing w:val="-10"/>
                <w:w w:val="120"/>
                <w:sz w:val="24"/>
                <w:szCs w:val="24"/>
              </w:rPr>
            </w:pPr>
            <w:r w:rsidRPr="00C35184">
              <w:rPr>
                <w:rFonts w:ascii="Times New Roman" w:hAnsi="Times New Roman" w:cs="Times New Roman"/>
                <w:spacing w:val="-2"/>
                <w:sz w:val="24"/>
                <w:szCs w:val="24"/>
              </w:rPr>
              <w:t>0.084</w:t>
            </w:r>
          </w:p>
        </w:tc>
        <w:tc>
          <w:tcPr>
            <w:tcW w:w="238" w:type="pct"/>
            <w:tcBorders>
              <w:top w:val="nil"/>
              <w:bottom w:val="nil"/>
            </w:tcBorders>
            <w:vAlign w:val="center"/>
          </w:tcPr>
          <w:p w14:paraId="12A41E08" w14:textId="77777777" w:rsidR="00F1798E" w:rsidRPr="00C35184" w:rsidRDefault="00F1798E" w:rsidP="00403501">
            <w:pPr>
              <w:pStyle w:val="TableParagraph"/>
              <w:spacing w:before="63" w:line="360" w:lineRule="auto"/>
              <w:ind w:left="10" w:right="6"/>
              <w:rPr>
                <w:rFonts w:ascii="Times New Roman" w:hAnsi="Times New Roman" w:cs="Times New Roman"/>
                <w:spacing w:val="-10"/>
                <w:w w:val="120"/>
                <w:sz w:val="24"/>
                <w:szCs w:val="24"/>
              </w:rPr>
            </w:pPr>
            <w:r w:rsidRPr="00C35184">
              <w:rPr>
                <w:rFonts w:ascii="Times New Roman" w:hAnsi="Times New Roman" w:cs="Times New Roman"/>
                <w:spacing w:val="-2"/>
                <w:sz w:val="24"/>
                <w:szCs w:val="24"/>
              </w:rPr>
              <w:t>0.009</w:t>
            </w:r>
          </w:p>
        </w:tc>
        <w:tc>
          <w:tcPr>
            <w:tcW w:w="238" w:type="pct"/>
            <w:tcBorders>
              <w:top w:val="nil"/>
              <w:bottom w:val="nil"/>
            </w:tcBorders>
            <w:vAlign w:val="center"/>
          </w:tcPr>
          <w:p w14:paraId="3D20DE71" w14:textId="77777777" w:rsidR="00F1798E" w:rsidRPr="00C35184" w:rsidRDefault="00F1798E" w:rsidP="00403501">
            <w:pPr>
              <w:pStyle w:val="TableParagraph"/>
              <w:spacing w:before="63" w:line="360" w:lineRule="auto"/>
              <w:ind w:left="10" w:right="6"/>
              <w:rPr>
                <w:rFonts w:ascii="Times New Roman" w:hAnsi="Times New Roman" w:cs="Times New Roman"/>
                <w:spacing w:val="-10"/>
                <w:w w:val="120"/>
                <w:sz w:val="24"/>
                <w:szCs w:val="24"/>
              </w:rPr>
            </w:pPr>
            <w:r w:rsidRPr="00C35184">
              <w:rPr>
                <w:rFonts w:ascii="Times New Roman" w:hAnsi="Times New Roman" w:cs="Times New Roman"/>
                <w:spacing w:val="-2"/>
                <w:sz w:val="24"/>
                <w:szCs w:val="24"/>
              </w:rPr>
              <w:t>0.073</w:t>
            </w:r>
          </w:p>
        </w:tc>
        <w:tc>
          <w:tcPr>
            <w:tcW w:w="239" w:type="pct"/>
            <w:tcBorders>
              <w:top w:val="nil"/>
              <w:bottom w:val="nil"/>
            </w:tcBorders>
            <w:vAlign w:val="center"/>
          </w:tcPr>
          <w:p w14:paraId="31025E1B" w14:textId="77777777" w:rsidR="00F1798E" w:rsidRPr="00C35184" w:rsidRDefault="00F1798E" w:rsidP="00403501">
            <w:pPr>
              <w:pStyle w:val="TableParagraph"/>
              <w:spacing w:before="63" w:line="360" w:lineRule="auto"/>
              <w:ind w:left="10" w:right="6"/>
              <w:rPr>
                <w:rFonts w:ascii="Times New Roman" w:hAnsi="Times New Roman" w:cs="Times New Roman"/>
                <w:spacing w:val="-10"/>
                <w:w w:val="120"/>
                <w:sz w:val="24"/>
                <w:szCs w:val="24"/>
              </w:rPr>
            </w:pPr>
            <w:r w:rsidRPr="00C35184">
              <w:rPr>
                <w:rFonts w:ascii="Times New Roman" w:hAnsi="Times New Roman" w:cs="Times New Roman"/>
                <w:spacing w:val="-2"/>
                <w:sz w:val="24"/>
                <w:szCs w:val="24"/>
              </w:rPr>
              <w:t>0.052</w:t>
            </w:r>
          </w:p>
        </w:tc>
        <w:tc>
          <w:tcPr>
            <w:tcW w:w="238" w:type="pct"/>
            <w:tcBorders>
              <w:top w:val="nil"/>
              <w:bottom w:val="nil"/>
            </w:tcBorders>
            <w:vAlign w:val="center"/>
          </w:tcPr>
          <w:p w14:paraId="42E10F78" w14:textId="77777777" w:rsidR="00F1798E" w:rsidRPr="00C35184" w:rsidRDefault="00F1798E" w:rsidP="00403501">
            <w:pPr>
              <w:pStyle w:val="TableParagraph"/>
              <w:spacing w:before="63" w:line="360" w:lineRule="auto"/>
              <w:ind w:left="10" w:right="6"/>
              <w:rPr>
                <w:rFonts w:ascii="Times New Roman" w:hAnsi="Times New Roman" w:cs="Times New Roman"/>
                <w:spacing w:val="-10"/>
                <w:w w:val="120"/>
                <w:sz w:val="24"/>
                <w:szCs w:val="24"/>
              </w:rPr>
            </w:pPr>
            <w:r w:rsidRPr="00C35184">
              <w:rPr>
                <w:rFonts w:ascii="Times New Roman" w:hAnsi="Times New Roman" w:cs="Times New Roman"/>
                <w:spacing w:val="-2"/>
                <w:sz w:val="24"/>
                <w:szCs w:val="24"/>
              </w:rPr>
              <w:t>0.072</w:t>
            </w:r>
          </w:p>
        </w:tc>
        <w:tc>
          <w:tcPr>
            <w:tcW w:w="238" w:type="pct"/>
            <w:tcBorders>
              <w:top w:val="nil"/>
              <w:bottom w:val="nil"/>
            </w:tcBorders>
            <w:vAlign w:val="center"/>
          </w:tcPr>
          <w:p w14:paraId="4F1B4A61" w14:textId="77777777" w:rsidR="00F1798E" w:rsidRPr="00C35184" w:rsidRDefault="00F1798E" w:rsidP="00403501">
            <w:pPr>
              <w:pStyle w:val="TableParagraph"/>
              <w:spacing w:before="63" w:line="360" w:lineRule="auto"/>
              <w:ind w:left="10" w:right="6"/>
              <w:rPr>
                <w:rFonts w:ascii="Times New Roman" w:hAnsi="Times New Roman" w:cs="Times New Roman"/>
                <w:sz w:val="24"/>
                <w:szCs w:val="24"/>
              </w:rPr>
            </w:pPr>
            <w:r w:rsidRPr="00C35184">
              <w:rPr>
                <w:rFonts w:ascii="Times New Roman" w:hAnsi="Times New Roman" w:cs="Times New Roman"/>
                <w:spacing w:val="-2"/>
                <w:sz w:val="24"/>
                <w:szCs w:val="24"/>
              </w:rPr>
              <w:t>0.044</w:t>
            </w:r>
          </w:p>
        </w:tc>
        <w:tc>
          <w:tcPr>
            <w:tcW w:w="238" w:type="pct"/>
            <w:tcBorders>
              <w:top w:val="nil"/>
              <w:bottom w:val="nil"/>
            </w:tcBorders>
            <w:vAlign w:val="center"/>
          </w:tcPr>
          <w:p w14:paraId="650158A2" w14:textId="77777777" w:rsidR="00F1798E" w:rsidRPr="00C35184" w:rsidRDefault="00F1798E" w:rsidP="00403501">
            <w:pPr>
              <w:pStyle w:val="TableParagraph"/>
              <w:spacing w:before="63" w:line="360" w:lineRule="auto"/>
              <w:ind w:left="11" w:right="8"/>
              <w:rPr>
                <w:rFonts w:ascii="Times New Roman" w:hAnsi="Times New Roman" w:cs="Times New Roman"/>
                <w:sz w:val="24"/>
                <w:szCs w:val="24"/>
              </w:rPr>
            </w:pPr>
            <w:r w:rsidRPr="00C35184">
              <w:rPr>
                <w:rFonts w:ascii="Times New Roman" w:hAnsi="Times New Roman" w:cs="Times New Roman"/>
                <w:spacing w:val="-2"/>
                <w:sz w:val="24"/>
                <w:szCs w:val="24"/>
              </w:rPr>
              <w:t>0.061</w:t>
            </w:r>
          </w:p>
        </w:tc>
        <w:tc>
          <w:tcPr>
            <w:tcW w:w="240" w:type="pct"/>
            <w:tcBorders>
              <w:top w:val="nil"/>
              <w:bottom w:val="nil"/>
            </w:tcBorders>
            <w:vAlign w:val="center"/>
          </w:tcPr>
          <w:p w14:paraId="7FB2202E" w14:textId="77777777" w:rsidR="00F1798E" w:rsidRPr="00C35184" w:rsidRDefault="00F1798E" w:rsidP="00403501">
            <w:pPr>
              <w:pStyle w:val="TableParagraph"/>
              <w:spacing w:before="63" w:line="360" w:lineRule="auto"/>
              <w:ind w:left="11" w:right="8"/>
              <w:rPr>
                <w:rFonts w:ascii="Times New Roman" w:hAnsi="Times New Roman" w:cs="Times New Roman"/>
                <w:sz w:val="24"/>
                <w:szCs w:val="24"/>
              </w:rPr>
            </w:pPr>
            <w:r w:rsidRPr="00C35184">
              <w:rPr>
                <w:rFonts w:ascii="Times New Roman" w:hAnsi="Times New Roman" w:cs="Times New Roman"/>
                <w:spacing w:val="-2"/>
                <w:sz w:val="24"/>
                <w:szCs w:val="24"/>
              </w:rPr>
              <w:t>0.044</w:t>
            </w:r>
          </w:p>
        </w:tc>
        <w:tc>
          <w:tcPr>
            <w:tcW w:w="240" w:type="pct"/>
            <w:tcBorders>
              <w:top w:val="nil"/>
              <w:bottom w:val="nil"/>
            </w:tcBorders>
            <w:vAlign w:val="center"/>
          </w:tcPr>
          <w:p w14:paraId="6F89830A" w14:textId="77777777" w:rsidR="00F1798E" w:rsidRPr="00C35184" w:rsidRDefault="00F1798E" w:rsidP="00403501">
            <w:pPr>
              <w:pStyle w:val="TableParagraph"/>
              <w:spacing w:before="63" w:line="360" w:lineRule="auto"/>
              <w:ind w:left="11" w:right="8"/>
              <w:rPr>
                <w:rFonts w:ascii="Times New Roman" w:hAnsi="Times New Roman" w:cs="Times New Roman"/>
                <w:sz w:val="24"/>
                <w:szCs w:val="24"/>
              </w:rPr>
            </w:pPr>
            <w:r w:rsidRPr="00C35184">
              <w:rPr>
                <w:rFonts w:ascii="Times New Roman" w:hAnsi="Times New Roman" w:cs="Times New Roman"/>
                <w:spacing w:val="-2"/>
                <w:sz w:val="24"/>
                <w:szCs w:val="24"/>
              </w:rPr>
              <w:t>0.052</w:t>
            </w:r>
          </w:p>
        </w:tc>
        <w:tc>
          <w:tcPr>
            <w:tcW w:w="234" w:type="pct"/>
            <w:tcBorders>
              <w:top w:val="nil"/>
              <w:bottom w:val="nil"/>
            </w:tcBorders>
            <w:vAlign w:val="center"/>
          </w:tcPr>
          <w:p w14:paraId="0974FA11" w14:textId="77777777" w:rsidR="00F1798E" w:rsidRPr="00C35184" w:rsidRDefault="00F1798E" w:rsidP="00403501">
            <w:pPr>
              <w:pStyle w:val="TableParagraph"/>
              <w:spacing w:before="63" w:line="360" w:lineRule="auto"/>
              <w:ind w:left="11" w:right="8"/>
              <w:rPr>
                <w:rFonts w:ascii="Times New Roman" w:hAnsi="Times New Roman" w:cs="Times New Roman"/>
                <w:spacing w:val="-10"/>
                <w:w w:val="120"/>
                <w:sz w:val="24"/>
                <w:szCs w:val="24"/>
              </w:rPr>
            </w:pPr>
            <w:r w:rsidRPr="00C35184">
              <w:rPr>
                <w:rFonts w:ascii="Times New Roman" w:hAnsi="Times New Roman" w:cs="Times New Roman"/>
                <w:spacing w:val="-10"/>
                <w:w w:val="120"/>
                <w:sz w:val="24"/>
                <w:szCs w:val="24"/>
              </w:rPr>
              <w:t>0.07</w:t>
            </w:r>
          </w:p>
        </w:tc>
        <w:tc>
          <w:tcPr>
            <w:tcW w:w="221" w:type="pct"/>
            <w:tcBorders>
              <w:top w:val="nil"/>
              <w:bottom w:val="nil"/>
            </w:tcBorders>
            <w:vAlign w:val="center"/>
          </w:tcPr>
          <w:p w14:paraId="67AA1326" w14:textId="77777777" w:rsidR="00F1798E" w:rsidRPr="00C35184" w:rsidRDefault="00F1798E" w:rsidP="00403501">
            <w:pPr>
              <w:pStyle w:val="TableParagraph"/>
              <w:spacing w:before="63" w:line="360" w:lineRule="auto"/>
              <w:ind w:left="11" w:right="8"/>
              <w:rPr>
                <w:rFonts w:ascii="Times New Roman" w:hAnsi="Times New Roman" w:cs="Times New Roman"/>
                <w:spacing w:val="-2"/>
                <w:sz w:val="24"/>
                <w:szCs w:val="24"/>
              </w:rPr>
            </w:pPr>
            <w:r w:rsidRPr="00C35184">
              <w:rPr>
                <w:rFonts w:ascii="Times New Roman" w:hAnsi="Times New Roman" w:cs="Times New Roman"/>
                <w:spacing w:val="-10"/>
                <w:w w:val="120"/>
                <w:sz w:val="24"/>
                <w:szCs w:val="24"/>
              </w:rPr>
              <w:t>-</w:t>
            </w:r>
          </w:p>
        </w:tc>
        <w:tc>
          <w:tcPr>
            <w:tcW w:w="300" w:type="pct"/>
            <w:tcBorders>
              <w:top w:val="nil"/>
              <w:bottom w:val="nil"/>
            </w:tcBorders>
            <w:vAlign w:val="center"/>
          </w:tcPr>
          <w:p w14:paraId="02AD82C2" w14:textId="77777777" w:rsidR="00F1798E" w:rsidRPr="00C35184" w:rsidRDefault="00F1798E" w:rsidP="00403501">
            <w:pPr>
              <w:pStyle w:val="TableParagraph"/>
              <w:spacing w:before="63" w:line="360" w:lineRule="auto"/>
              <w:ind w:left="11" w:right="8"/>
              <w:rPr>
                <w:rFonts w:ascii="Times New Roman" w:hAnsi="Times New Roman" w:cs="Times New Roman"/>
                <w:spacing w:val="-2"/>
                <w:sz w:val="24"/>
                <w:szCs w:val="24"/>
              </w:rPr>
            </w:pPr>
            <w:r w:rsidRPr="00C35184">
              <w:rPr>
                <w:rFonts w:ascii="Times New Roman" w:hAnsi="Times New Roman" w:cs="Times New Roman"/>
                <w:spacing w:val="-10"/>
                <w:w w:val="120"/>
                <w:sz w:val="24"/>
                <w:szCs w:val="24"/>
              </w:rPr>
              <w:t>-</w:t>
            </w:r>
          </w:p>
        </w:tc>
      </w:tr>
      <w:tr w:rsidR="00F1798E" w:rsidRPr="00C35184" w14:paraId="1CA08792" w14:textId="77777777" w:rsidTr="00363E20">
        <w:trPr>
          <w:trHeight w:val="97"/>
        </w:trPr>
        <w:tc>
          <w:tcPr>
            <w:tcW w:w="422" w:type="pct"/>
            <w:tcBorders>
              <w:top w:val="nil"/>
              <w:bottom w:val="nil"/>
            </w:tcBorders>
            <w:vAlign w:val="center"/>
          </w:tcPr>
          <w:p w14:paraId="5CE54FEB" w14:textId="77777777" w:rsidR="00F1798E" w:rsidRPr="00C35184" w:rsidRDefault="00F1798E" w:rsidP="00403501">
            <w:pPr>
              <w:pStyle w:val="TableParagraph"/>
              <w:spacing w:before="118" w:line="360" w:lineRule="auto"/>
              <w:ind w:left="23"/>
              <w:rPr>
                <w:rFonts w:ascii="Times New Roman" w:hAnsi="Times New Roman" w:cs="Times New Roman"/>
                <w:sz w:val="24"/>
                <w:szCs w:val="24"/>
              </w:rPr>
            </w:pPr>
            <w:r w:rsidRPr="00C35184">
              <w:rPr>
                <w:rFonts w:ascii="Times New Roman" w:hAnsi="Times New Roman" w:cs="Times New Roman"/>
                <w:spacing w:val="-2"/>
                <w:w w:val="120"/>
                <w:sz w:val="24"/>
                <w:szCs w:val="24"/>
              </w:rPr>
              <w:t>Calcium</w:t>
            </w:r>
          </w:p>
        </w:tc>
        <w:tc>
          <w:tcPr>
            <w:tcW w:w="238" w:type="pct"/>
            <w:tcBorders>
              <w:top w:val="nil"/>
              <w:bottom w:val="nil"/>
            </w:tcBorders>
            <w:vAlign w:val="center"/>
          </w:tcPr>
          <w:p w14:paraId="6437D36B" w14:textId="77777777" w:rsidR="00F1798E" w:rsidRPr="00C35184" w:rsidRDefault="00F1798E" w:rsidP="00403501">
            <w:pPr>
              <w:pStyle w:val="TableParagraph"/>
              <w:spacing w:before="63" w:line="360" w:lineRule="auto"/>
              <w:ind w:left="11" w:right="3"/>
              <w:rPr>
                <w:rFonts w:ascii="Times New Roman" w:hAnsi="Times New Roman" w:cs="Times New Roman"/>
                <w:sz w:val="24"/>
                <w:szCs w:val="24"/>
              </w:rPr>
            </w:pPr>
            <w:r w:rsidRPr="00C35184">
              <w:rPr>
                <w:rFonts w:ascii="Times New Roman" w:hAnsi="Times New Roman" w:cs="Times New Roman"/>
                <w:spacing w:val="-2"/>
                <w:w w:val="105"/>
                <w:sz w:val="24"/>
                <w:szCs w:val="24"/>
              </w:rPr>
              <w:t>0.221</w:t>
            </w:r>
          </w:p>
        </w:tc>
        <w:tc>
          <w:tcPr>
            <w:tcW w:w="238" w:type="pct"/>
            <w:tcBorders>
              <w:top w:val="nil"/>
              <w:bottom w:val="nil"/>
            </w:tcBorders>
            <w:vAlign w:val="center"/>
          </w:tcPr>
          <w:p w14:paraId="4CB6A309" w14:textId="77777777" w:rsidR="00F1798E" w:rsidRPr="00C35184" w:rsidRDefault="00F1798E" w:rsidP="00403501">
            <w:pPr>
              <w:pStyle w:val="TableParagraph"/>
              <w:spacing w:before="63" w:line="360" w:lineRule="auto"/>
              <w:ind w:left="11" w:right="1"/>
              <w:rPr>
                <w:rFonts w:ascii="Times New Roman" w:hAnsi="Times New Roman" w:cs="Times New Roman"/>
                <w:sz w:val="24"/>
                <w:szCs w:val="24"/>
              </w:rPr>
            </w:pPr>
            <w:r w:rsidRPr="00C35184">
              <w:rPr>
                <w:rFonts w:ascii="Times New Roman" w:hAnsi="Times New Roman" w:cs="Times New Roman"/>
                <w:spacing w:val="-2"/>
                <w:w w:val="105"/>
                <w:sz w:val="24"/>
                <w:szCs w:val="24"/>
              </w:rPr>
              <w:t>0.285</w:t>
            </w:r>
          </w:p>
        </w:tc>
        <w:tc>
          <w:tcPr>
            <w:tcW w:w="247" w:type="pct"/>
            <w:tcBorders>
              <w:top w:val="nil"/>
              <w:bottom w:val="nil"/>
            </w:tcBorders>
            <w:vAlign w:val="center"/>
          </w:tcPr>
          <w:p w14:paraId="15997114" w14:textId="77777777" w:rsidR="00F1798E" w:rsidRPr="00C35184" w:rsidRDefault="00F1798E" w:rsidP="00403501">
            <w:pPr>
              <w:pStyle w:val="TableParagraph"/>
              <w:spacing w:before="63" w:line="360" w:lineRule="auto"/>
              <w:ind w:left="11" w:right="1"/>
              <w:rPr>
                <w:rFonts w:ascii="Times New Roman" w:hAnsi="Times New Roman" w:cs="Times New Roman"/>
                <w:sz w:val="24"/>
                <w:szCs w:val="24"/>
              </w:rPr>
            </w:pPr>
            <w:r w:rsidRPr="00C35184">
              <w:rPr>
                <w:rFonts w:ascii="Times New Roman" w:hAnsi="Times New Roman" w:cs="Times New Roman"/>
                <w:spacing w:val="-2"/>
                <w:w w:val="105"/>
                <w:sz w:val="24"/>
                <w:szCs w:val="24"/>
              </w:rPr>
              <w:t>0.211</w:t>
            </w:r>
          </w:p>
        </w:tc>
        <w:tc>
          <w:tcPr>
            <w:tcW w:w="238" w:type="pct"/>
            <w:tcBorders>
              <w:top w:val="nil"/>
              <w:bottom w:val="nil"/>
            </w:tcBorders>
            <w:vAlign w:val="center"/>
          </w:tcPr>
          <w:p w14:paraId="3A93D9D1" w14:textId="77777777" w:rsidR="00F1798E" w:rsidRPr="00C35184" w:rsidRDefault="00F1798E" w:rsidP="00403501">
            <w:pPr>
              <w:pStyle w:val="TableParagraph"/>
              <w:spacing w:before="63" w:line="360" w:lineRule="auto"/>
              <w:ind w:left="11" w:right="2"/>
              <w:rPr>
                <w:rFonts w:ascii="Times New Roman" w:hAnsi="Times New Roman" w:cs="Times New Roman"/>
                <w:sz w:val="24"/>
                <w:szCs w:val="24"/>
              </w:rPr>
            </w:pPr>
            <w:r w:rsidRPr="00C35184">
              <w:rPr>
                <w:rFonts w:ascii="Times New Roman" w:hAnsi="Times New Roman" w:cs="Times New Roman"/>
                <w:spacing w:val="-2"/>
                <w:w w:val="105"/>
                <w:sz w:val="24"/>
                <w:szCs w:val="24"/>
              </w:rPr>
              <w:t>0.279</w:t>
            </w:r>
          </w:p>
        </w:tc>
        <w:tc>
          <w:tcPr>
            <w:tcW w:w="238" w:type="pct"/>
            <w:tcBorders>
              <w:top w:val="nil"/>
              <w:bottom w:val="nil"/>
            </w:tcBorders>
            <w:vAlign w:val="center"/>
          </w:tcPr>
          <w:p w14:paraId="551800B0" w14:textId="77777777" w:rsidR="00F1798E" w:rsidRPr="00C35184" w:rsidRDefault="00F1798E" w:rsidP="00403501">
            <w:pPr>
              <w:pStyle w:val="TableParagraph"/>
              <w:spacing w:before="63" w:line="360" w:lineRule="auto"/>
              <w:ind w:left="10" w:right="7"/>
              <w:rPr>
                <w:rFonts w:ascii="Times New Roman" w:hAnsi="Times New Roman" w:cs="Times New Roman"/>
                <w:spacing w:val="-5"/>
                <w:w w:val="120"/>
                <w:sz w:val="24"/>
                <w:szCs w:val="24"/>
              </w:rPr>
            </w:pPr>
            <w:r w:rsidRPr="00C35184">
              <w:rPr>
                <w:rFonts w:ascii="Times New Roman" w:hAnsi="Times New Roman" w:cs="Times New Roman"/>
                <w:spacing w:val="-2"/>
                <w:sz w:val="24"/>
                <w:szCs w:val="24"/>
              </w:rPr>
              <w:t>0.187</w:t>
            </w:r>
          </w:p>
        </w:tc>
        <w:tc>
          <w:tcPr>
            <w:tcW w:w="238" w:type="pct"/>
            <w:tcBorders>
              <w:top w:val="nil"/>
              <w:bottom w:val="nil"/>
            </w:tcBorders>
            <w:vAlign w:val="center"/>
          </w:tcPr>
          <w:p w14:paraId="14DF5102" w14:textId="77777777" w:rsidR="00F1798E" w:rsidRPr="00C35184" w:rsidRDefault="00F1798E" w:rsidP="00403501">
            <w:pPr>
              <w:pStyle w:val="TableParagraph"/>
              <w:spacing w:before="63" w:line="360" w:lineRule="auto"/>
              <w:ind w:left="10" w:right="7"/>
              <w:rPr>
                <w:rFonts w:ascii="Times New Roman" w:hAnsi="Times New Roman" w:cs="Times New Roman"/>
                <w:spacing w:val="-5"/>
                <w:w w:val="120"/>
                <w:sz w:val="24"/>
                <w:szCs w:val="24"/>
              </w:rPr>
            </w:pPr>
            <w:r w:rsidRPr="00C35184">
              <w:rPr>
                <w:rFonts w:ascii="Times New Roman" w:hAnsi="Times New Roman" w:cs="Times New Roman"/>
                <w:spacing w:val="-2"/>
                <w:sz w:val="24"/>
                <w:szCs w:val="24"/>
              </w:rPr>
              <w:t>0.192</w:t>
            </w:r>
          </w:p>
        </w:tc>
        <w:tc>
          <w:tcPr>
            <w:tcW w:w="239" w:type="pct"/>
            <w:tcBorders>
              <w:top w:val="nil"/>
              <w:bottom w:val="nil"/>
            </w:tcBorders>
            <w:vAlign w:val="center"/>
          </w:tcPr>
          <w:p w14:paraId="563370DF" w14:textId="77777777" w:rsidR="00F1798E" w:rsidRPr="00C35184" w:rsidRDefault="00F1798E" w:rsidP="00403501">
            <w:pPr>
              <w:pStyle w:val="TableParagraph"/>
              <w:spacing w:before="63" w:line="360" w:lineRule="auto"/>
              <w:ind w:left="10" w:right="7"/>
              <w:rPr>
                <w:rFonts w:ascii="Times New Roman" w:hAnsi="Times New Roman" w:cs="Times New Roman"/>
                <w:spacing w:val="-5"/>
                <w:w w:val="120"/>
                <w:sz w:val="24"/>
                <w:szCs w:val="24"/>
              </w:rPr>
            </w:pPr>
            <w:r w:rsidRPr="00C35184">
              <w:rPr>
                <w:rFonts w:ascii="Times New Roman" w:hAnsi="Times New Roman" w:cs="Times New Roman"/>
                <w:spacing w:val="-2"/>
                <w:sz w:val="24"/>
                <w:szCs w:val="24"/>
              </w:rPr>
              <w:t>0.203</w:t>
            </w:r>
          </w:p>
        </w:tc>
        <w:tc>
          <w:tcPr>
            <w:tcW w:w="238" w:type="pct"/>
            <w:tcBorders>
              <w:top w:val="nil"/>
              <w:bottom w:val="nil"/>
            </w:tcBorders>
            <w:vAlign w:val="center"/>
          </w:tcPr>
          <w:p w14:paraId="0E7E0F3B" w14:textId="77777777" w:rsidR="00F1798E" w:rsidRPr="00C35184" w:rsidRDefault="00F1798E" w:rsidP="00403501">
            <w:pPr>
              <w:pStyle w:val="TableParagraph"/>
              <w:spacing w:before="63" w:line="360" w:lineRule="auto"/>
              <w:ind w:left="10" w:right="7"/>
              <w:rPr>
                <w:rFonts w:ascii="Times New Roman" w:hAnsi="Times New Roman" w:cs="Times New Roman"/>
                <w:spacing w:val="-5"/>
                <w:w w:val="120"/>
                <w:sz w:val="24"/>
                <w:szCs w:val="24"/>
              </w:rPr>
            </w:pPr>
            <w:r w:rsidRPr="00C35184">
              <w:rPr>
                <w:rFonts w:ascii="Times New Roman" w:hAnsi="Times New Roman" w:cs="Times New Roman"/>
                <w:spacing w:val="-2"/>
                <w:sz w:val="24"/>
                <w:szCs w:val="24"/>
              </w:rPr>
              <w:t>0.211</w:t>
            </w:r>
          </w:p>
        </w:tc>
        <w:tc>
          <w:tcPr>
            <w:tcW w:w="238" w:type="pct"/>
            <w:tcBorders>
              <w:top w:val="nil"/>
              <w:bottom w:val="nil"/>
            </w:tcBorders>
            <w:vAlign w:val="center"/>
          </w:tcPr>
          <w:p w14:paraId="151AF359" w14:textId="77777777" w:rsidR="00F1798E" w:rsidRPr="00C35184" w:rsidRDefault="00F1798E" w:rsidP="00403501">
            <w:pPr>
              <w:pStyle w:val="TableParagraph"/>
              <w:spacing w:before="63" w:line="360" w:lineRule="auto"/>
              <w:ind w:left="10" w:right="7"/>
              <w:rPr>
                <w:rFonts w:ascii="Times New Roman" w:hAnsi="Times New Roman" w:cs="Times New Roman"/>
                <w:spacing w:val="-5"/>
                <w:w w:val="120"/>
                <w:sz w:val="24"/>
                <w:szCs w:val="24"/>
              </w:rPr>
            </w:pPr>
            <w:r w:rsidRPr="00C35184">
              <w:rPr>
                <w:rFonts w:ascii="Times New Roman" w:hAnsi="Times New Roman" w:cs="Times New Roman"/>
                <w:spacing w:val="-2"/>
                <w:sz w:val="24"/>
                <w:szCs w:val="24"/>
              </w:rPr>
              <w:t>0.048</w:t>
            </w:r>
          </w:p>
        </w:tc>
        <w:tc>
          <w:tcPr>
            <w:tcW w:w="238" w:type="pct"/>
            <w:tcBorders>
              <w:top w:val="nil"/>
              <w:bottom w:val="nil"/>
            </w:tcBorders>
            <w:vAlign w:val="center"/>
          </w:tcPr>
          <w:p w14:paraId="45F6578D" w14:textId="77777777" w:rsidR="00F1798E" w:rsidRPr="00C35184" w:rsidRDefault="00F1798E" w:rsidP="00403501">
            <w:pPr>
              <w:pStyle w:val="TableParagraph"/>
              <w:spacing w:before="63" w:line="360" w:lineRule="auto"/>
              <w:ind w:left="10" w:right="7"/>
              <w:rPr>
                <w:rFonts w:ascii="Times New Roman" w:hAnsi="Times New Roman" w:cs="Times New Roman"/>
                <w:spacing w:val="-5"/>
                <w:w w:val="120"/>
                <w:sz w:val="24"/>
                <w:szCs w:val="24"/>
              </w:rPr>
            </w:pPr>
            <w:r w:rsidRPr="00C35184">
              <w:rPr>
                <w:rFonts w:ascii="Times New Roman" w:hAnsi="Times New Roman" w:cs="Times New Roman"/>
                <w:spacing w:val="-2"/>
                <w:sz w:val="24"/>
                <w:szCs w:val="24"/>
              </w:rPr>
              <w:t>0.076</w:t>
            </w:r>
          </w:p>
        </w:tc>
        <w:tc>
          <w:tcPr>
            <w:tcW w:w="239" w:type="pct"/>
            <w:tcBorders>
              <w:top w:val="nil"/>
              <w:bottom w:val="nil"/>
            </w:tcBorders>
            <w:vAlign w:val="center"/>
          </w:tcPr>
          <w:p w14:paraId="16899B3C" w14:textId="77777777" w:rsidR="00F1798E" w:rsidRPr="00C35184" w:rsidRDefault="00F1798E" w:rsidP="00403501">
            <w:pPr>
              <w:pStyle w:val="TableParagraph"/>
              <w:spacing w:before="63" w:line="360" w:lineRule="auto"/>
              <w:ind w:left="10" w:right="7"/>
              <w:rPr>
                <w:rFonts w:ascii="Times New Roman" w:hAnsi="Times New Roman" w:cs="Times New Roman"/>
                <w:spacing w:val="-5"/>
                <w:w w:val="120"/>
                <w:sz w:val="24"/>
                <w:szCs w:val="24"/>
              </w:rPr>
            </w:pPr>
            <w:r w:rsidRPr="00C35184">
              <w:rPr>
                <w:rFonts w:ascii="Times New Roman" w:hAnsi="Times New Roman" w:cs="Times New Roman"/>
                <w:spacing w:val="-2"/>
                <w:sz w:val="24"/>
                <w:szCs w:val="24"/>
              </w:rPr>
              <w:t>0.061</w:t>
            </w:r>
          </w:p>
        </w:tc>
        <w:tc>
          <w:tcPr>
            <w:tcW w:w="238" w:type="pct"/>
            <w:tcBorders>
              <w:top w:val="nil"/>
              <w:bottom w:val="nil"/>
            </w:tcBorders>
            <w:vAlign w:val="center"/>
          </w:tcPr>
          <w:p w14:paraId="38150C90" w14:textId="77777777" w:rsidR="00F1798E" w:rsidRPr="00C35184" w:rsidRDefault="00F1798E" w:rsidP="00403501">
            <w:pPr>
              <w:pStyle w:val="TableParagraph"/>
              <w:spacing w:before="63" w:line="360" w:lineRule="auto"/>
              <w:ind w:left="10" w:right="7"/>
              <w:rPr>
                <w:rFonts w:ascii="Times New Roman" w:hAnsi="Times New Roman" w:cs="Times New Roman"/>
                <w:spacing w:val="-5"/>
                <w:w w:val="120"/>
                <w:sz w:val="24"/>
                <w:szCs w:val="24"/>
              </w:rPr>
            </w:pPr>
            <w:r w:rsidRPr="00C35184">
              <w:rPr>
                <w:rFonts w:ascii="Times New Roman" w:hAnsi="Times New Roman" w:cs="Times New Roman"/>
                <w:spacing w:val="-2"/>
                <w:sz w:val="24"/>
                <w:szCs w:val="24"/>
              </w:rPr>
              <w:t>0.052</w:t>
            </w:r>
          </w:p>
        </w:tc>
        <w:tc>
          <w:tcPr>
            <w:tcW w:w="238" w:type="pct"/>
            <w:tcBorders>
              <w:top w:val="nil"/>
              <w:bottom w:val="nil"/>
            </w:tcBorders>
            <w:vAlign w:val="center"/>
          </w:tcPr>
          <w:p w14:paraId="1A8FB9E5" w14:textId="77777777" w:rsidR="00F1798E" w:rsidRPr="00C35184" w:rsidRDefault="00F1798E" w:rsidP="00403501">
            <w:pPr>
              <w:pStyle w:val="TableParagraph"/>
              <w:spacing w:before="63" w:line="360" w:lineRule="auto"/>
              <w:ind w:left="10" w:right="7"/>
              <w:rPr>
                <w:rFonts w:ascii="Times New Roman" w:hAnsi="Times New Roman" w:cs="Times New Roman"/>
                <w:sz w:val="24"/>
                <w:szCs w:val="24"/>
              </w:rPr>
            </w:pPr>
            <w:r w:rsidRPr="00C35184">
              <w:rPr>
                <w:rFonts w:ascii="Times New Roman" w:hAnsi="Times New Roman" w:cs="Times New Roman"/>
                <w:spacing w:val="-2"/>
                <w:sz w:val="24"/>
                <w:szCs w:val="24"/>
              </w:rPr>
              <w:t>0.061</w:t>
            </w:r>
          </w:p>
        </w:tc>
        <w:tc>
          <w:tcPr>
            <w:tcW w:w="238" w:type="pct"/>
            <w:tcBorders>
              <w:top w:val="nil"/>
              <w:bottom w:val="nil"/>
            </w:tcBorders>
            <w:vAlign w:val="center"/>
          </w:tcPr>
          <w:p w14:paraId="16DB47E8" w14:textId="77777777" w:rsidR="00F1798E" w:rsidRPr="00C35184" w:rsidRDefault="00F1798E" w:rsidP="00403501">
            <w:pPr>
              <w:pStyle w:val="TableParagraph"/>
              <w:spacing w:before="63" w:line="360" w:lineRule="auto"/>
              <w:ind w:left="11" w:right="8"/>
              <w:rPr>
                <w:rFonts w:ascii="Times New Roman" w:hAnsi="Times New Roman" w:cs="Times New Roman"/>
                <w:sz w:val="24"/>
                <w:szCs w:val="24"/>
              </w:rPr>
            </w:pPr>
            <w:r w:rsidRPr="00C35184">
              <w:rPr>
                <w:rFonts w:ascii="Times New Roman" w:hAnsi="Times New Roman" w:cs="Times New Roman"/>
                <w:spacing w:val="-2"/>
                <w:sz w:val="24"/>
                <w:szCs w:val="24"/>
              </w:rPr>
              <w:t>0.082</w:t>
            </w:r>
          </w:p>
        </w:tc>
        <w:tc>
          <w:tcPr>
            <w:tcW w:w="240" w:type="pct"/>
            <w:tcBorders>
              <w:top w:val="nil"/>
              <w:bottom w:val="nil"/>
            </w:tcBorders>
            <w:vAlign w:val="center"/>
          </w:tcPr>
          <w:p w14:paraId="75624E38" w14:textId="77777777" w:rsidR="00F1798E" w:rsidRPr="00C35184" w:rsidRDefault="00F1798E" w:rsidP="00403501">
            <w:pPr>
              <w:pStyle w:val="TableParagraph"/>
              <w:spacing w:before="63" w:line="360" w:lineRule="auto"/>
              <w:ind w:left="11" w:right="8"/>
              <w:rPr>
                <w:rFonts w:ascii="Times New Roman" w:hAnsi="Times New Roman" w:cs="Times New Roman"/>
                <w:sz w:val="24"/>
                <w:szCs w:val="24"/>
              </w:rPr>
            </w:pPr>
            <w:r w:rsidRPr="00C35184">
              <w:rPr>
                <w:rFonts w:ascii="Times New Roman" w:hAnsi="Times New Roman" w:cs="Times New Roman"/>
                <w:spacing w:val="-2"/>
                <w:sz w:val="24"/>
                <w:szCs w:val="24"/>
              </w:rPr>
              <w:t>0.077</w:t>
            </w:r>
          </w:p>
        </w:tc>
        <w:tc>
          <w:tcPr>
            <w:tcW w:w="240" w:type="pct"/>
            <w:tcBorders>
              <w:top w:val="nil"/>
              <w:bottom w:val="nil"/>
            </w:tcBorders>
            <w:vAlign w:val="center"/>
          </w:tcPr>
          <w:p w14:paraId="575FAA5C" w14:textId="77777777" w:rsidR="00F1798E" w:rsidRPr="00C35184" w:rsidRDefault="00F1798E" w:rsidP="00403501">
            <w:pPr>
              <w:pStyle w:val="TableParagraph"/>
              <w:spacing w:before="63" w:line="360" w:lineRule="auto"/>
              <w:ind w:left="11" w:right="8"/>
              <w:rPr>
                <w:rFonts w:ascii="Times New Roman" w:hAnsi="Times New Roman" w:cs="Times New Roman"/>
                <w:sz w:val="24"/>
                <w:szCs w:val="24"/>
              </w:rPr>
            </w:pPr>
            <w:r w:rsidRPr="00C35184">
              <w:rPr>
                <w:rFonts w:ascii="Times New Roman" w:hAnsi="Times New Roman" w:cs="Times New Roman"/>
                <w:spacing w:val="-2"/>
                <w:sz w:val="24"/>
                <w:szCs w:val="24"/>
              </w:rPr>
              <w:t>0.081</w:t>
            </w:r>
          </w:p>
        </w:tc>
        <w:tc>
          <w:tcPr>
            <w:tcW w:w="234" w:type="pct"/>
            <w:tcBorders>
              <w:top w:val="nil"/>
              <w:bottom w:val="nil"/>
            </w:tcBorders>
            <w:vAlign w:val="center"/>
          </w:tcPr>
          <w:p w14:paraId="0C177A8B" w14:textId="77777777" w:rsidR="00F1798E" w:rsidRPr="00C35184" w:rsidRDefault="00F1798E" w:rsidP="00403501">
            <w:pPr>
              <w:pStyle w:val="TableParagraph"/>
              <w:spacing w:before="63" w:line="360" w:lineRule="auto"/>
              <w:ind w:left="11" w:right="8"/>
              <w:rPr>
                <w:rFonts w:ascii="Times New Roman" w:hAnsi="Times New Roman" w:cs="Times New Roman"/>
                <w:spacing w:val="-5"/>
                <w:w w:val="120"/>
                <w:sz w:val="24"/>
                <w:szCs w:val="24"/>
              </w:rPr>
            </w:pPr>
            <w:r w:rsidRPr="00C35184">
              <w:rPr>
                <w:rFonts w:ascii="Times New Roman" w:hAnsi="Times New Roman" w:cs="Times New Roman"/>
                <w:spacing w:val="-5"/>
                <w:w w:val="120"/>
                <w:sz w:val="24"/>
                <w:szCs w:val="24"/>
              </w:rPr>
              <w:t>0.15</w:t>
            </w:r>
          </w:p>
        </w:tc>
        <w:tc>
          <w:tcPr>
            <w:tcW w:w="221" w:type="pct"/>
            <w:tcBorders>
              <w:top w:val="nil"/>
              <w:bottom w:val="nil"/>
            </w:tcBorders>
            <w:vAlign w:val="center"/>
          </w:tcPr>
          <w:p w14:paraId="7BC4E848" w14:textId="77777777" w:rsidR="00F1798E" w:rsidRPr="00C35184" w:rsidRDefault="00F1798E" w:rsidP="00403501">
            <w:pPr>
              <w:pStyle w:val="TableParagraph"/>
              <w:spacing w:before="63" w:line="360" w:lineRule="auto"/>
              <w:ind w:left="11" w:right="8"/>
              <w:rPr>
                <w:rFonts w:ascii="Times New Roman" w:hAnsi="Times New Roman" w:cs="Times New Roman"/>
                <w:spacing w:val="-2"/>
                <w:sz w:val="24"/>
                <w:szCs w:val="24"/>
              </w:rPr>
            </w:pPr>
            <w:r w:rsidRPr="00C35184">
              <w:rPr>
                <w:rFonts w:ascii="Times New Roman" w:hAnsi="Times New Roman" w:cs="Times New Roman"/>
                <w:spacing w:val="-5"/>
                <w:w w:val="120"/>
                <w:sz w:val="24"/>
                <w:szCs w:val="24"/>
              </w:rPr>
              <w:t>100</w:t>
            </w:r>
          </w:p>
        </w:tc>
        <w:tc>
          <w:tcPr>
            <w:tcW w:w="300" w:type="pct"/>
            <w:tcBorders>
              <w:top w:val="nil"/>
              <w:bottom w:val="nil"/>
            </w:tcBorders>
            <w:vAlign w:val="center"/>
          </w:tcPr>
          <w:p w14:paraId="4C0FFE6D" w14:textId="77777777" w:rsidR="00F1798E" w:rsidRPr="00C35184" w:rsidRDefault="00F1798E" w:rsidP="00403501">
            <w:pPr>
              <w:pStyle w:val="TableParagraph"/>
              <w:spacing w:before="63" w:line="360" w:lineRule="auto"/>
              <w:ind w:left="11" w:right="8"/>
              <w:rPr>
                <w:rFonts w:ascii="Times New Roman" w:hAnsi="Times New Roman" w:cs="Times New Roman"/>
                <w:spacing w:val="-2"/>
                <w:sz w:val="24"/>
                <w:szCs w:val="24"/>
              </w:rPr>
            </w:pPr>
            <w:r w:rsidRPr="00C35184">
              <w:rPr>
                <w:rFonts w:ascii="Times New Roman" w:hAnsi="Times New Roman" w:cs="Times New Roman"/>
                <w:spacing w:val="-10"/>
                <w:w w:val="120"/>
                <w:sz w:val="24"/>
                <w:szCs w:val="24"/>
              </w:rPr>
              <w:t>-</w:t>
            </w:r>
          </w:p>
        </w:tc>
      </w:tr>
      <w:tr w:rsidR="000B3A82" w:rsidRPr="00C35184" w14:paraId="51255489" w14:textId="77777777" w:rsidTr="00363E20">
        <w:trPr>
          <w:trHeight w:val="97"/>
        </w:trPr>
        <w:tc>
          <w:tcPr>
            <w:tcW w:w="422" w:type="pct"/>
            <w:tcBorders>
              <w:top w:val="nil"/>
              <w:bottom w:val="nil"/>
            </w:tcBorders>
            <w:vAlign w:val="center"/>
          </w:tcPr>
          <w:p w14:paraId="557DBC10" w14:textId="77777777" w:rsidR="00F1798E" w:rsidRPr="00C35184" w:rsidRDefault="00F1798E" w:rsidP="00403501">
            <w:pPr>
              <w:pStyle w:val="TableParagraph"/>
              <w:spacing w:before="118" w:line="360" w:lineRule="auto"/>
              <w:ind w:left="23"/>
              <w:rPr>
                <w:rFonts w:ascii="Times New Roman" w:hAnsi="Times New Roman" w:cs="Times New Roman"/>
                <w:sz w:val="24"/>
                <w:szCs w:val="24"/>
              </w:rPr>
            </w:pPr>
            <w:r w:rsidRPr="00C35184">
              <w:rPr>
                <w:rFonts w:ascii="Times New Roman" w:hAnsi="Times New Roman" w:cs="Times New Roman"/>
                <w:spacing w:val="-2"/>
                <w:w w:val="120"/>
                <w:sz w:val="24"/>
                <w:szCs w:val="24"/>
              </w:rPr>
              <w:t>Magnesium</w:t>
            </w:r>
          </w:p>
        </w:tc>
        <w:tc>
          <w:tcPr>
            <w:tcW w:w="238" w:type="pct"/>
            <w:tcBorders>
              <w:top w:val="nil"/>
              <w:bottom w:val="nil"/>
            </w:tcBorders>
            <w:vAlign w:val="center"/>
          </w:tcPr>
          <w:p w14:paraId="53A48B5A" w14:textId="77777777" w:rsidR="00F1798E" w:rsidRPr="00C35184" w:rsidRDefault="00F1798E" w:rsidP="00403501">
            <w:pPr>
              <w:pStyle w:val="TableParagraph"/>
              <w:spacing w:before="63" w:line="360" w:lineRule="auto"/>
              <w:ind w:left="11" w:right="2"/>
              <w:rPr>
                <w:rFonts w:ascii="Times New Roman" w:hAnsi="Times New Roman" w:cs="Times New Roman"/>
                <w:sz w:val="24"/>
                <w:szCs w:val="24"/>
              </w:rPr>
            </w:pPr>
            <w:r w:rsidRPr="00C35184">
              <w:rPr>
                <w:rFonts w:ascii="Times New Roman" w:hAnsi="Times New Roman" w:cs="Times New Roman"/>
                <w:spacing w:val="-2"/>
                <w:w w:val="105"/>
                <w:sz w:val="24"/>
                <w:szCs w:val="24"/>
              </w:rPr>
              <w:t>0.013</w:t>
            </w:r>
          </w:p>
        </w:tc>
        <w:tc>
          <w:tcPr>
            <w:tcW w:w="238" w:type="pct"/>
            <w:tcBorders>
              <w:top w:val="nil"/>
              <w:bottom w:val="nil"/>
            </w:tcBorders>
            <w:vAlign w:val="center"/>
          </w:tcPr>
          <w:p w14:paraId="6A82D7DB" w14:textId="77777777" w:rsidR="00F1798E" w:rsidRPr="00C35184" w:rsidRDefault="00F1798E" w:rsidP="00403501">
            <w:pPr>
              <w:pStyle w:val="TableParagraph"/>
              <w:spacing w:before="63" w:line="360" w:lineRule="auto"/>
              <w:ind w:left="11" w:right="1"/>
              <w:rPr>
                <w:rFonts w:ascii="Times New Roman" w:hAnsi="Times New Roman" w:cs="Times New Roman"/>
                <w:sz w:val="24"/>
                <w:szCs w:val="24"/>
              </w:rPr>
            </w:pPr>
            <w:r w:rsidRPr="00C35184">
              <w:rPr>
                <w:rFonts w:ascii="Times New Roman" w:hAnsi="Times New Roman" w:cs="Times New Roman"/>
                <w:spacing w:val="-2"/>
                <w:w w:val="105"/>
                <w:sz w:val="24"/>
                <w:szCs w:val="24"/>
              </w:rPr>
              <w:t>0.027</w:t>
            </w:r>
          </w:p>
        </w:tc>
        <w:tc>
          <w:tcPr>
            <w:tcW w:w="247" w:type="pct"/>
            <w:tcBorders>
              <w:top w:val="nil"/>
              <w:bottom w:val="nil"/>
            </w:tcBorders>
            <w:vAlign w:val="center"/>
          </w:tcPr>
          <w:p w14:paraId="389FD66F" w14:textId="77777777" w:rsidR="00F1798E" w:rsidRPr="00C35184" w:rsidRDefault="00F1798E" w:rsidP="00403501">
            <w:pPr>
              <w:pStyle w:val="TableParagraph"/>
              <w:spacing w:before="63" w:line="360" w:lineRule="auto"/>
              <w:ind w:left="11" w:right="1"/>
              <w:rPr>
                <w:rFonts w:ascii="Times New Roman" w:hAnsi="Times New Roman" w:cs="Times New Roman"/>
                <w:sz w:val="24"/>
                <w:szCs w:val="24"/>
              </w:rPr>
            </w:pPr>
            <w:r w:rsidRPr="00C35184">
              <w:rPr>
                <w:rFonts w:ascii="Times New Roman" w:hAnsi="Times New Roman" w:cs="Times New Roman"/>
                <w:spacing w:val="-2"/>
                <w:w w:val="105"/>
                <w:sz w:val="24"/>
                <w:szCs w:val="24"/>
              </w:rPr>
              <w:t>0.031</w:t>
            </w:r>
          </w:p>
        </w:tc>
        <w:tc>
          <w:tcPr>
            <w:tcW w:w="238" w:type="pct"/>
            <w:tcBorders>
              <w:top w:val="nil"/>
              <w:bottom w:val="nil"/>
            </w:tcBorders>
            <w:vAlign w:val="center"/>
          </w:tcPr>
          <w:p w14:paraId="66F22D0C" w14:textId="77777777" w:rsidR="00F1798E" w:rsidRPr="00C35184" w:rsidRDefault="00F1798E" w:rsidP="00403501">
            <w:pPr>
              <w:pStyle w:val="TableParagraph"/>
              <w:spacing w:before="63" w:line="360" w:lineRule="auto"/>
              <w:ind w:left="11" w:right="2"/>
              <w:rPr>
                <w:rFonts w:ascii="Times New Roman" w:hAnsi="Times New Roman" w:cs="Times New Roman"/>
                <w:sz w:val="24"/>
                <w:szCs w:val="24"/>
              </w:rPr>
            </w:pPr>
            <w:r w:rsidRPr="00C35184">
              <w:rPr>
                <w:rFonts w:ascii="Times New Roman" w:hAnsi="Times New Roman" w:cs="Times New Roman"/>
                <w:spacing w:val="-2"/>
                <w:w w:val="105"/>
                <w:sz w:val="24"/>
                <w:szCs w:val="24"/>
              </w:rPr>
              <w:t>0.012</w:t>
            </w:r>
          </w:p>
        </w:tc>
        <w:tc>
          <w:tcPr>
            <w:tcW w:w="238" w:type="pct"/>
            <w:tcBorders>
              <w:top w:val="nil"/>
              <w:bottom w:val="nil"/>
            </w:tcBorders>
            <w:vAlign w:val="center"/>
          </w:tcPr>
          <w:p w14:paraId="73B7258F" w14:textId="77777777" w:rsidR="00F1798E" w:rsidRPr="00C35184" w:rsidRDefault="00F1798E" w:rsidP="00403501">
            <w:pPr>
              <w:pStyle w:val="TableParagraph"/>
              <w:spacing w:before="63" w:line="360" w:lineRule="auto"/>
              <w:ind w:left="10" w:right="7"/>
              <w:rPr>
                <w:rFonts w:ascii="Times New Roman" w:hAnsi="Times New Roman" w:cs="Times New Roman"/>
                <w:spacing w:val="-5"/>
                <w:w w:val="120"/>
                <w:sz w:val="24"/>
                <w:szCs w:val="24"/>
              </w:rPr>
            </w:pPr>
            <w:r w:rsidRPr="00C35184">
              <w:rPr>
                <w:rFonts w:ascii="Times New Roman" w:hAnsi="Times New Roman" w:cs="Times New Roman"/>
                <w:spacing w:val="-2"/>
                <w:sz w:val="24"/>
                <w:szCs w:val="24"/>
              </w:rPr>
              <w:t>0.034</w:t>
            </w:r>
          </w:p>
        </w:tc>
        <w:tc>
          <w:tcPr>
            <w:tcW w:w="238" w:type="pct"/>
            <w:tcBorders>
              <w:top w:val="nil"/>
              <w:bottom w:val="nil"/>
            </w:tcBorders>
            <w:vAlign w:val="center"/>
          </w:tcPr>
          <w:p w14:paraId="5428D6FC" w14:textId="77777777" w:rsidR="00F1798E" w:rsidRPr="00C35184" w:rsidRDefault="00F1798E" w:rsidP="00403501">
            <w:pPr>
              <w:pStyle w:val="TableParagraph"/>
              <w:spacing w:before="63" w:line="360" w:lineRule="auto"/>
              <w:ind w:left="10" w:right="7"/>
              <w:rPr>
                <w:rFonts w:ascii="Times New Roman" w:hAnsi="Times New Roman" w:cs="Times New Roman"/>
                <w:spacing w:val="-5"/>
                <w:w w:val="120"/>
                <w:sz w:val="24"/>
                <w:szCs w:val="24"/>
              </w:rPr>
            </w:pPr>
            <w:r w:rsidRPr="00C35184">
              <w:rPr>
                <w:rFonts w:ascii="Times New Roman" w:hAnsi="Times New Roman" w:cs="Times New Roman"/>
                <w:spacing w:val="-2"/>
                <w:sz w:val="24"/>
                <w:szCs w:val="24"/>
              </w:rPr>
              <w:t>0.041</w:t>
            </w:r>
          </w:p>
        </w:tc>
        <w:tc>
          <w:tcPr>
            <w:tcW w:w="239" w:type="pct"/>
            <w:tcBorders>
              <w:top w:val="nil"/>
              <w:bottom w:val="nil"/>
            </w:tcBorders>
            <w:vAlign w:val="center"/>
          </w:tcPr>
          <w:p w14:paraId="3DCC5B16" w14:textId="77777777" w:rsidR="00F1798E" w:rsidRPr="00C35184" w:rsidRDefault="00F1798E" w:rsidP="00403501">
            <w:pPr>
              <w:pStyle w:val="TableParagraph"/>
              <w:spacing w:before="63" w:line="360" w:lineRule="auto"/>
              <w:ind w:left="10" w:right="7"/>
              <w:rPr>
                <w:rFonts w:ascii="Times New Roman" w:hAnsi="Times New Roman" w:cs="Times New Roman"/>
                <w:spacing w:val="-5"/>
                <w:w w:val="120"/>
                <w:sz w:val="24"/>
                <w:szCs w:val="24"/>
              </w:rPr>
            </w:pPr>
            <w:r w:rsidRPr="00C35184">
              <w:rPr>
                <w:rFonts w:ascii="Times New Roman" w:hAnsi="Times New Roman" w:cs="Times New Roman"/>
                <w:spacing w:val="-2"/>
                <w:sz w:val="24"/>
                <w:szCs w:val="24"/>
              </w:rPr>
              <w:t>0.038</w:t>
            </w:r>
          </w:p>
        </w:tc>
        <w:tc>
          <w:tcPr>
            <w:tcW w:w="238" w:type="pct"/>
            <w:tcBorders>
              <w:top w:val="nil"/>
              <w:bottom w:val="nil"/>
            </w:tcBorders>
            <w:vAlign w:val="center"/>
          </w:tcPr>
          <w:p w14:paraId="63CF3727" w14:textId="77777777" w:rsidR="00F1798E" w:rsidRPr="00C35184" w:rsidRDefault="00F1798E" w:rsidP="00403501">
            <w:pPr>
              <w:pStyle w:val="TableParagraph"/>
              <w:spacing w:before="63" w:line="360" w:lineRule="auto"/>
              <w:ind w:left="10" w:right="7"/>
              <w:rPr>
                <w:rFonts w:ascii="Times New Roman" w:hAnsi="Times New Roman" w:cs="Times New Roman"/>
                <w:spacing w:val="-5"/>
                <w:w w:val="120"/>
                <w:sz w:val="24"/>
                <w:szCs w:val="24"/>
              </w:rPr>
            </w:pPr>
            <w:r w:rsidRPr="00C35184">
              <w:rPr>
                <w:rFonts w:ascii="Times New Roman" w:hAnsi="Times New Roman" w:cs="Times New Roman"/>
                <w:spacing w:val="-2"/>
                <w:sz w:val="24"/>
                <w:szCs w:val="24"/>
              </w:rPr>
              <w:t>0.026</w:t>
            </w:r>
          </w:p>
        </w:tc>
        <w:tc>
          <w:tcPr>
            <w:tcW w:w="238" w:type="pct"/>
            <w:tcBorders>
              <w:top w:val="nil"/>
              <w:bottom w:val="nil"/>
            </w:tcBorders>
            <w:vAlign w:val="center"/>
          </w:tcPr>
          <w:p w14:paraId="1F83BD0B" w14:textId="77777777" w:rsidR="00F1798E" w:rsidRPr="00C35184" w:rsidRDefault="00F1798E" w:rsidP="00403501">
            <w:pPr>
              <w:pStyle w:val="TableParagraph"/>
              <w:spacing w:before="63" w:line="360" w:lineRule="auto"/>
              <w:ind w:left="10" w:right="7"/>
              <w:rPr>
                <w:rFonts w:ascii="Times New Roman" w:hAnsi="Times New Roman" w:cs="Times New Roman"/>
                <w:spacing w:val="-5"/>
                <w:w w:val="120"/>
                <w:sz w:val="24"/>
                <w:szCs w:val="24"/>
              </w:rPr>
            </w:pPr>
            <w:r w:rsidRPr="00C35184">
              <w:rPr>
                <w:rFonts w:ascii="Times New Roman" w:hAnsi="Times New Roman" w:cs="Times New Roman"/>
                <w:spacing w:val="-2"/>
                <w:sz w:val="24"/>
                <w:szCs w:val="24"/>
              </w:rPr>
              <w:t>0.012</w:t>
            </w:r>
          </w:p>
        </w:tc>
        <w:tc>
          <w:tcPr>
            <w:tcW w:w="238" w:type="pct"/>
            <w:tcBorders>
              <w:top w:val="nil"/>
              <w:bottom w:val="nil"/>
            </w:tcBorders>
            <w:vAlign w:val="center"/>
          </w:tcPr>
          <w:p w14:paraId="1BF81BBA" w14:textId="77777777" w:rsidR="00F1798E" w:rsidRPr="00C35184" w:rsidRDefault="00F1798E" w:rsidP="00403501">
            <w:pPr>
              <w:pStyle w:val="TableParagraph"/>
              <w:spacing w:before="63" w:line="360" w:lineRule="auto"/>
              <w:ind w:left="10" w:right="7"/>
              <w:rPr>
                <w:rFonts w:ascii="Times New Roman" w:hAnsi="Times New Roman" w:cs="Times New Roman"/>
                <w:spacing w:val="-5"/>
                <w:w w:val="120"/>
                <w:sz w:val="24"/>
                <w:szCs w:val="24"/>
              </w:rPr>
            </w:pPr>
            <w:r w:rsidRPr="00C35184">
              <w:rPr>
                <w:rFonts w:ascii="Times New Roman" w:hAnsi="Times New Roman" w:cs="Times New Roman"/>
                <w:spacing w:val="-2"/>
                <w:sz w:val="24"/>
                <w:szCs w:val="24"/>
              </w:rPr>
              <w:t>0.027</w:t>
            </w:r>
          </w:p>
        </w:tc>
        <w:tc>
          <w:tcPr>
            <w:tcW w:w="239" w:type="pct"/>
            <w:tcBorders>
              <w:top w:val="nil"/>
              <w:bottom w:val="nil"/>
            </w:tcBorders>
            <w:vAlign w:val="center"/>
          </w:tcPr>
          <w:p w14:paraId="184C620C" w14:textId="77777777" w:rsidR="00F1798E" w:rsidRPr="00C35184" w:rsidRDefault="00F1798E" w:rsidP="00403501">
            <w:pPr>
              <w:pStyle w:val="TableParagraph"/>
              <w:spacing w:before="63" w:line="360" w:lineRule="auto"/>
              <w:ind w:left="10" w:right="7"/>
              <w:rPr>
                <w:rFonts w:ascii="Times New Roman" w:hAnsi="Times New Roman" w:cs="Times New Roman"/>
                <w:spacing w:val="-5"/>
                <w:w w:val="120"/>
                <w:sz w:val="24"/>
                <w:szCs w:val="24"/>
              </w:rPr>
            </w:pPr>
            <w:r w:rsidRPr="00C35184">
              <w:rPr>
                <w:rFonts w:ascii="Times New Roman" w:hAnsi="Times New Roman" w:cs="Times New Roman"/>
                <w:spacing w:val="-2"/>
                <w:sz w:val="24"/>
                <w:szCs w:val="24"/>
              </w:rPr>
              <w:t>0.033</w:t>
            </w:r>
          </w:p>
        </w:tc>
        <w:tc>
          <w:tcPr>
            <w:tcW w:w="238" w:type="pct"/>
            <w:tcBorders>
              <w:top w:val="nil"/>
              <w:bottom w:val="nil"/>
            </w:tcBorders>
            <w:vAlign w:val="center"/>
          </w:tcPr>
          <w:p w14:paraId="455A3808" w14:textId="77777777" w:rsidR="00F1798E" w:rsidRPr="00C35184" w:rsidRDefault="00F1798E" w:rsidP="00403501">
            <w:pPr>
              <w:pStyle w:val="TableParagraph"/>
              <w:spacing w:before="63" w:line="360" w:lineRule="auto"/>
              <w:ind w:left="10" w:right="7"/>
              <w:rPr>
                <w:rFonts w:ascii="Times New Roman" w:hAnsi="Times New Roman" w:cs="Times New Roman"/>
                <w:spacing w:val="-5"/>
                <w:w w:val="120"/>
                <w:sz w:val="24"/>
                <w:szCs w:val="24"/>
              </w:rPr>
            </w:pPr>
            <w:r w:rsidRPr="00C35184">
              <w:rPr>
                <w:rFonts w:ascii="Times New Roman" w:hAnsi="Times New Roman" w:cs="Times New Roman"/>
                <w:spacing w:val="-2"/>
                <w:sz w:val="24"/>
                <w:szCs w:val="24"/>
              </w:rPr>
              <w:t>0.012</w:t>
            </w:r>
          </w:p>
        </w:tc>
        <w:tc>
          <w:tcPr>
            <w:tcW w:w="238" w:type="pct"/>
            <w:tcBorders>
              <w:top w:val="nil"/>
              <w:bottom w:val="nil"/>
            </w:tcBorders>
            <w:vAlign w:val="center"/>
          </w:tcPr>
          <w:p w14:paraId="3124644C" w14:textId="77777777" w:rsidR="00F1798E" w:rsidRPr="00C35184" w:rsidRDefault="00F1798E" w:rsidP="00403501">
            <w:pPr>
              <w:pStyle w:val="TableParagraph"/>
              <w:spacing w:before="63" w:line="360" w:lineRule="auto"/>
              <w:ind w:left="10" w:right="7"/>
              <w:rPr>
                <w:rFonts w:ascii="Times New Roman" w:hAnsi="Times New Roman" w:cs="Times New Roman"/>
                <w:sz w:val="24"/>
                <w:szCs w:val="24"/>
              </w:rPr>
            </w:pPr>
            <w:r w:rsidRPr="00C35184">
              <w:rPr>
                <w:rFonts w:ascii="Times New Roman" w:hAnsi="Times New Roman" w:cs="Times New Roman"/>
                <w:spacing w:val="-2"/>
                <w:sz w:val="24"/>
                <w:szCs w:val="24"/>
              </w:rPr>
              <w:t>0.018</w:t>
            </w:r>
          </w:p>
        </w:tc>
        <w:tc>
          <w:tcPr>
            <w:tcW w:w="238" w:type="pct"/>
            <w:tcBorders>
              <w:top w:val="nil"/>
              <w:bottom w:val="nil"/>
            </w:tcBorders>
            <w:vAlign w:val="center"/>
          </w:tcPr>
          <w:p w14:paraId="5C2885D5" w14:textId="77777777" w:rsidR="00F1798E" w:rsidRPr="00C35184" w:rsidRDefault="00F1798E" w:rsidP="00403501">
            <w:pPr>
              <w:pStyle w:val="TableParagraph"/>
              <w:spacing w:before="63" w:line="360" w:lineRule="auto"/>
              <w:ind w:left="11" w:right="8"/>
              <w:rPr>
                <w:rFonts w:ascii="Times New Roman" w:hAnsi="Times New Roman" w:cs="Times New Roman"/>
                <w:sz w:val="24"/>
                <w:szCs w:val="24"/>
              </w:rPr>
            </w:pPr>
            <w:r w:rsidRPr="00C35184">
              <w:rPr>
                <w:rFonts w:ascii="Times New Roman" w:hAnsi="Times New Roman" w:cs="Times New Roman"/>
                <w:spacing w:val="-2"/>
                <w:sz w:val="24"/>
                <w:szCs w:val="24"/>
              </w:rPr>
              <w:t>0.032</w:t>
            </w:r>
          </w:p>
        </w:tc>
        <w:tc>
          <w:tcPr>
            <w:tcW w:w="240" w:type="pct"/>
            <w:tcBorders>
              <w:top w:val="nil"/>
              <w:bottom w:val="nil"/>
            </w:tcBorders>
            <w:vAlign w:val="center"/>
          </w:tcPr>
          <w:p w14:paraId="19A32E7F" w14:textId="77777777" w:rsidR="00F1798E" w:rsidRPr="00C35184" w:rsidRDefault="00F1798E" w:rsidP="00403501">
            <w:pPr>
              <w:pStyle w:val="TableParagraph"/>
              <w:spacing w:before="63" w:line="360" w:lineRule="auto"/>
              <w:ind w:left="11" w:right="8"/>
              <w:rPr>
                <w:rFonts w:ascii="Times New Roman" w:hAnsi="Times New Roman" w:cs="Times New Roman"/>
                <w:sz w:val="24"/>
                <w:szCs w:val="24"/>
              </w:rPr>
            </w:pPr>
            <w:r w:rsidRPr="00C35184">
              <w:rPr>
                <w:rFonts w:ascii="Times New Roman" w:hAnsi="Times New Roman" w:cs="Times New Roman"/>
                <w:spacing w:val="-2"/>
                <w:sz w:val="24"/>
                <w:szCs w:val="24"/>
              </w:rPr>
              <w:t>0.039</w:t>
            </w:r>
          </w:p>
        </w:tc>
        <w:tc>
          <w:tcPr>
            <w:tcW w:w="240" w:type="pct"/>
            <w:tcBorders>
              <w:top w:val="nil"/>
              <w:bottom w:val="nil"/>
            </w:tcBorders>
            <w:vAlign w:val="center"/>
          </w:tcPr>
          <w:p w14:paraId="243B8A1E" w14:textId="77777777" w:rsidR="00F1798E" w:rsidRPr="00C35184" w:rsidRDefault="00F1798E" w:rsidP="00403501">
            <w:pPr>
              <w:pStyle w:val="TableParagraph"/>
              <w:spacing w:before="63" w:line="360" w:lineRule="auto"/>
              <w:ind w:left="11" w:right="8"/>
              <w:rPr>
                <w:rFonts w:ascii="Times New Roman" w:hAnsi="Times New Roman" w:cs="Times New Roman"/>
                <w:sz w:val="24"/>
                <w:szCs w:val="24"/>
              </w:rPr>
            </w:pPr>
            <w:r w:rsidRPr="00C35184">
              <w:rPr>
                <w:rFonts w:ascii="Times New Roman" w:hAnsi="Times New Roman" w:cs="Times New Roman"/>
                <w:spacing w:val="-2"/>
                <w:sz w:val="24"/>
                <w:szCs w:val="24"/>
              </w:rPr>
              <w:t>0.027</w:t>
            </w:r>
          </w:p>
        </w:tc>
        <w:tc>
          <w:tcPr>
            <w:tcW w:w="234" w:type="pct"/>
            <w:tcBorders>
              <w:top w:val="nil"/>
              <w:bottom w:val="nil"/>
            </w:tcBorders>
            <w:vAlign w:val="center"/>
          </w:tcPr>
          <w:p w14:paraId="1B2E5B6C" w14:textId="77777777" w:rsidR="00F1798E" w:rsidRPr="00C35184" w:rsidRDefault="00F1798E" w:rsidP="00403501">
            <w:pPr>
              <w:pStyle w:val="TableParagraph"/>
              <w:spacing w:before="63" w:line="360" w:lineRule="auto"/>
              <w:ind w:left="11" w:right="8"/>
              <w:rPr>
                <w:rFonts w:ascii="Times New Roman" w:hAnsi="Times New Roman" w:cs="Times New Roman"/>
                <w:spacing w:val="-5"/>
                <w:w w:val="120"/>
                <w:sz w:val="24"/>
                <w:szCs w:val="24"/>
              </w:rPr>
            </w:pPr>
            <w:r w:rsidRPr="00C35184">
              <w:rPr>
                <w:rFonts w:ascii="Times New Roman" w:hAnsi="Times New Roman" w:cs="Times New Roman"/>
                <w:spacing w:val="-5"/>
                <w:w w:val="120"/>
                <w:sz w:val="24"/>
                <w:szCs w:val="24"/>
              </w:rPr>
              <w:t>0.02</w:t>
            </w:r>
          </w:p>
        </w:tc>
        <w:tc>
          <w:tcPr>
            <w:tcW w:w="221" w:type="pct"/>
            <w:tcBorders>
              <w:top w:val="nil"/>
              <w:bottom w:val="nil"/>
            </w:tcBorders>
            <w:vAlign w:val="center"/>
          </w:tcPr>
          <w:p w14:paraId="5C75EC64" w14:textId="77777777" w:rsidR="00F1798E" w:rsidRPr="00C35184" w:rsidRDefault="00F1798E" w:rsidP="00403501">
            <w:pPr>
              <w:pStyle w:val="TableParagraph"/>
              <w:spacing w:before="63" w:line="360" w:lineRule="auto"/>
              <w:ind w:left="11" w:right="8"/>
              <w:rPr>
                <w:rFonts w:ascii="Times New Roman" w:hAnsi="Times New Roman" w:cs="Times New Roman"/>
                <w:spacing w:val="-2"/>
                <w:sz w:val="24"/>
                <w:szCs w:val="24"/>
              </w:rPr>
            </w:pPr>
            <w:r w:rsidRPr="00C35184">
              <w:rPr>
                <w:rFonts w:ascii="Times New Roman" w:hAnsi="Times New Roman" w:cs="Times New Roman"/>
                <w:spacing w:val="-5"/>
                <w:w w:val="120"/>
                <w:sz w:val="24"/>
                <w:szCs w:val="24"/>
              </w:rPr>
              <w:t>50</w:t>
            </w:r>
          </w:p>
        </w:tc>
        <w:tc>
          <w:tcPr>
            <w:tcW w:w="300" w:type="pct"/>
            <w:tcBorders>
              <w:top w:val="nil"/>
              <w:bottom w:val="nil"/>
            </w:tcBorders>
            <w:vAlign w:val="center"/>
          </w:tcPr>
          <w:p w14:paraId="32FA8DF9" w14:textId="77777777" w:rsidR="00F1798E" w:rsidRPr="00C35184" w:rsidRDefault="00F1798E" w:rsidP="00403501">
            <w:pPr>
              <w:pStyle w:val="TableParagraph"/>
              <w:spacing w:before="63" w:line="360" w:lineRule="auto"/>
              <w:ind w:left="11" w:right="8"/>
              <w:rPr>
                <w:rFonts w:ascii="Times New Roman" w:hAnsi="Times New Roman" w:cs="Times New Roman"/>
                <w:spacing w:val="-2"/>
                <w:sz w:val="24"/>
                <w:szCs w:val="24"/>
              </w:rPr>
            </w:pPr>
            <w:r w:rsidRPr="00C35184">
              <w:rPr>
                <w:rFonts w:ascii="Times New Roman" w:hAnsi="Times New Roman" w:cs="Times New Roman"/>
                <w:spacing w:val="-10"/>
                <w:w w:val="120"/>
                <w:sz w:val="24"/>
                <w:szCs w:val="24"/>
              </w:rPr>
              <w:t>-</w:t>
            </w:r>
          </w:p>
        </w:tc>
      </w:tr>
      <w:tr w:rsidR="000B3A82" w:rsidRPr="00C35184" w14:paraId="2C322EDB" w14:textId="77777777" w:rsidTr="00363E20">
        <w:trPr>
          <w:trHeight w:val="97"/>
        </w:trPr>
        <w:tc>
          <w:tcPr>
            <w:tcW w:w="422" w:type="pct"/>
            <w:tcBorders>
              <w:top w:val="nil"/>
              <w:bottom w:val="single" w:sz="4" w:space="0" w:color="auto"/>
            </w:tcBorders>
            <w:vAlign w:val="center"/>
          </w:tcPr>
          <w:p w14:paraId="3904E4EF" w14:textId="490AE0DD" w:rsidR="000B3A82" w:rsidRPr="00C35184" w:rsidRDefault="000B3A82" w:rsidP="000B3A82">
            <w:pPr>
              <w:pStyle w:val="TableParagraph"/>
              <w:spacing w:before="118" w:line="360" w:lineRule="auto"/>
              <w:ind w:left="23"/>
              <w:rPr>
                <w:rFonts w:ascii="Times New Roman" w:hAnsi="Times New Roman" w:cs="Times New Roman"/>
                <w:spacing w:val="-2"/>
                <w:w w:val="120"/>
                <w:sz w:val="24"/>
                <w:szCs w:val="24"/>
              </w:rPr>
            </w:pPr>
            <w:r w:rsidRPr="00C35184">
              <w:rPr>
                <w:rFonts w:ascii="Times New Roman" w:hAnsi="Times New Roman" w:cs="Times New Roman"/>
                <w:spacing w:val="-2"/>
                <w:w w:val="120"/>
                <w:sz w:val="24"/>
                <w:szCs w:val="24"/>
              </w:rPr>
              <w:t>Copper</w:t>
            </w:r>
          </w:p>
        </w:tc>
        <w:tc>
          <w:tcPr>
            <w:tcW w:w="238" w:type="pct"/>
            <w:tcBorders>
              <w:top w:val="nil"/>
              <w:bottom w:val="single" w:sz="4" w:space="0" w:color="auto"/>
            </w:tcBorders>
            <w:vAlign w:val="center"/>
          </w:tcPr>
          <w:p w14:paraId="0BCF6E55" w14:textId="416159D9" w:rsidR="000B3A82" w:rsidRPr="00C35184" w:rsidRDefault="000B3A82" w:rsidP="000B3A82">
            <w:pPr>
              <w:pStyle w:val="TableParagraph"/>
              <w:spacing w:before="63" w:line="360" w:lineRule="auto"/>
              <w:ind w:left="11" w:right="2"/>
              <w:rPr>
                <w:rFonts w:ascii="Times New Roman" w:hAnsi="Times New Roman" w:cs="Times New Roman"/>
                <w:spacing w:val="-2"/>
                <w:w w:val="105"/>
                <w:sz w:val="24"/>
                <w:szCs w:val="24"/>
              </w:rPr>
            </w:pPr>
            <w:r w:rsidRPr="00C35184">
              <w:rPr>
                <w:rFonts w:ascii="Times New Roman" w:hAnsi="Times New Roman" w:cs="Times New Roman"/>
                <w:spacing w:val="-2"/>
                <w:w w:val="105"/>
                <w:sz w:val="24"/>
                <w:szCs w:val="24"/>
              </w:rPr>
              <w:t>0.022</w:t>
            </w:r>
          </w:p>
        </w:tc>
        <w:tc>
          <w:tcPr>
            <w:tcW w:w="238" w:type="pct"/>
            <w:tcBorders>
              <w:top w:val="nil"/>
              <w:bottom w:val="single" w:sz="4" w:space="0" w:color="auto"/>
            </w:tcBorders>
            <w:vAlign w:val="center"/>
          </w:tcPr>
          <w:p w14:paraId="2FC86DA0" w14:textId="4EC0B252" w:rsidR="000B3A82" w:rsidRPr="00C35184" w:rsidRDefault="000B3A82" w:rsidP="000B3A82">
            <w:pPr>
              <w:pStyle w:val="TableParagraph"/>
              <w:spacing w:before="63" w:line="360" w:lineRule="auto"/>
              <w:ind w:left="11" w:right="1"/>
              <w:rPr>
                <w:rFonts w:ascii="Times New Roman" w:hAnsi="Times New Roman" w:cs="Times New Roman"/>
                <w:spacing w:val="-2"/>
                <w:w w:val="105"/>
                <w:sz w:val="24"/>
                <w:szCs w:val="24"/>
              </w:rPr>
            </w:pPr>
            <w:r w:rsidRPr="00C35184">
              <w:rPr>
                <w:rFonts w:ascii="Times New Roman" w:hAnsi="Times New Roman" w:cs="Times New Roman"/>
                <w:spacing w:val="-2"/>
                <w:w w:val="105"/>
                <w:sz w:val="24"/>
                <w:szCs w:val="24"/>
              </w:rPr>
              <w:t>0.016</w:t>
            </w:r>
          </w:p>
        </w:tc>
        <w:tc>
          <w:tcPr>
            <w:tcW w:w="247" w:type="pct"/>
            <w:tcBorders>
              <w:top w:val="nil"/>
              <w:bottom w:val="single" w:sz="4" w:space="0" w:color="auto"/>
            </w:tcBorders>
            <w:vAlign w:val="center"/>
          </w:tcPr>
          <w:p w14:paraId="37225630" w14:textId="5185E17C" w:rsidR="000B3A82" w:rsidRPr="00C35184" w:rsidRDefault="000B3A82" w:rsidP="000B3A82">
            <w:pPr>
              <w:pStyle w:val="TableParagraph"/>
              <w:spacing w:before="63" w:line="360" w:lineRule="auto"/>
              <w:ind w:left="11" w:right="1"/>
              <w:rPr>
                <w:rFonts w:ascii="Times New Roman" w:hAnsi="Times New Roman" w:cs="Times New Roman"/>
                <w:spacing w:val="-2"/>
                <w:w w:val="105"/>
                <w:sz w:val="24"/>
                <w:szCs w:val="24"/>
              </w:rPr>
            </w:pPr>
            <w:r w:rsidRPr="00C35184">
              <w:rPr>
                <w:rFonts w:ascii="Times New Roman" w:hAnsi="Times New Roman" w:cs="Times New Roman"/>
                <w:spacing w:val="-2"/>
                <w:w w:val="105"/>
                <w:sz w:val="24"/>
                <w:szCs w:val="24"/>
              </w:rPr>
              <w:t>&lt;0.001</w:t>
            </w:r>
          </w:p>
        </w:tc>
        <w:tc>
          <w:tcPr>
            <w:tcW w:w="238" w:type="pct"/>
            <w:tcBorders>
              <w:top w:val="nil"/>
              <w:bottom w:val="single" w:sz="4" w:space="0" w:color="auto"/>
            </w:tcBorders>
            <w:vAlign w:val="center"/>
          </w:tcPr>
          <w:p w14:paraId="3B5138B8" w14:textId="182828E4" w:rsidR="000B3A82" w:rsidRPr="00C35184" w:rsidRDefault="000B3A82" w:rsidP="000B3A82">
            <w:pPr>
              <w:pStyle w:val="TableParagraph"/>
              <w:spacing w:before="63" w:line="360" w:lineRule="auto"/>
              <w:ind w:left="11" w:right="2"/>
              <w:rPr>
                <w:rFonts w:ascii="Times New Roman" w:hAnsi="Times New Roman" w:cs="Times New Roman"/>
                <w:spacing w:val="-2"/>
                <w:w w:val="105"/>
                <w:sz w:val="24"/>
                <w:szCs w:val="24"/>
              </w:rPr>
            </w:pPr>
            <w:r w:rsidRPr="00C35184">
              <w:rPr>
                <w:rFonts w:ascii="Times New Roman" w:hAnsi="Times New Roman" w:cs="Times New Roman"/>
                <w:spacing w:val="-2"/>
                <w:w w:val="105"/>
                <w:sz w:val="24"/>
                <w:szCs w:val="24"/>
              </w:rPr>
              <w:t>0.009</w:t>
            </w:r>
          </w:p>
        </w:tc>
        <w:tc>
          <w:tcPr>
            <w:tcW w:w="238" w:type="pct"/>
            <w:tcBorders>
              <w:top w:val="nil"/>
              <w:bottom w:val="single" w:sz="4" w:space="0" w:color="auto"/>
            </w:tcBorders>
            <w:vAlign w:val="center"/>
          </w:tcPr>
          <w:p w14:paraId="35F9B70C" w14:textId="57B57A4F" w:rsidR="000B3A82" w:rsidRPr="00C35184" w:rsidRDefault="000B3A82" w:rsidP="000B3A82">
            <w:pPr>
              <w:pStyle w:val="TableParagraph"/>
              <w:spacing w:before="63" w:line="360" w:lineRule="auto"/>
              <w:ind w:left="10" w:right="7"/>
              <w:rPr>
                <w:rFonts w:ascii="Times New Roman" w:hAnsi="Times New Roman" w:cs="Times New Roman"/>
                <w:spacing w:val="-2"/>
                <w:sz w:val="24"/>
                <w:szCs w:val="24"/>
              </w:rPr>
            </w:pPr>
            <w:r w:rsidRPr="00C35184">
              <w:rPr>
                <w:rFonts w:ascii="Times New Roman" w:hAnsi="Times New Roman" w:cs="Times New Roman"/>
                <w:spacing w:val="-2"/>
                <w:sz w:val="24"/>
                <w:szCs w:val="24"/>
              </w:rPr>
              <w:t>0.016</w:t>
            </w:r>
          </w:p>
        </w:tc>
        <w:tc>
          <w:tcPr>
            <w:tcW w:w="238" w:type="pct"/>
            <w:tcBorders>
              <w:top w:val="nil"/>
              <w:bottom w:val="single" w:sz="4" w:space="0" w:color="auto"/>
            </w:tcBorders>
            <w:vAlign w:val="center"/>
          </w:tcPr>
          <w:p w14:paraId="47F016C9" w14:textId="68220D7A" w:rsidR="000B3A82" w:rsidRPr="00C35184" w:rsidRDefault="000B3A82" w:rsidP="000B3A82">
            <w:pPr>
              <w:pStyle w:val="TableParagraph"/>
              <w:spacing w:before="63" w:line="360" w:lineRule="auto"/>
              <w:ind w:left="10" w:right="7"/>
              <w:rPr>
                <w:rFonts w:ascii="Times New Roman" w:hAnsi="Times New Roman" w:cs="Times New Roman"/>
                <w:spacing w:val="-2"/>
                <w:sz w:val="24"/>
                <w:szCs w:val="24"/>
              </w:rPr>
            </w:pPr>
            <w:r w:rsidRPr="00C35184">
              <w:rPr>
                <w:rFonts w:ascii="Times New Roman" w:hAnsi="Times New Roman" w:cs="Times New Roman"/>
                <w:spacing w:val="-2"/>
                <w:sz w:val="24"/>
                <w:szCs w:val="24"/>
              </w:rPr>
              <w:t>0.027</w:t>
            </w:r>
          </w:p>
        </w:tc>
        <w:tc>
          <w:tcPr>
            <w:tcW w:w="239" w:type="pct"/>
            <w:tcBorders>
              <w:top w:val="nil"/>
              <w:bottom w:val="single" w:sz="4" w:space="0" w:color="auto"/>
            </w:tcBorders>
            <w:vAlign w:val="center"/>
          </w:tcPr>
          <w:p w14:paraId="60A6E52C" w14:textId="7D6BE6EB" w:rsidR="000B3A82" w:rsidRPr="00C35184" w:rsidRDefault="000B3A82" w:rsidP="000B3A82">
            <w:pPr>
              <w:pStyle w:val="TableParagraph"/>
              <w:spacing w:before="63" w:line="360" w:lineRule="auto"/>
              <w:ind w:left="10" w:right="7"/>
              <w:rPr>
                <w:rFonts w:ascii="Times New Roman" w:hAnsi="Times New Roman" w:cs="Times New Roman"/>
                <w:spacing w:val="-2"/>
                <w:sz w:val="24"/>
                <w:szCs w:val="24"/>
              </w:rPr>
            </w:pPr>
            <w:r w:rsidRPr="00C35184">
              <w:rPr>
                <w:rFonts w:ascii="Times New Roman" w:hAnsi="Times New Roman" w:cs="Times New Roman"/>
                <w:spacing w:val="-2"/>
                <w:sz w:val="24"/>
                <w:szCs w:val="24"/>
              </w:rPr>
              <w:t>&lt;0.001</w:t>
            </w:r>
          </w:p>
        </w:tc>
        <w:tc>
          <w:tcPr>
            <w:tcW w:w="238" w:type="pct"/>
            <w:tcBorders>
              <w:top w:val="nil"/>
              <w:bottom w:val="single" w:sz="4" w:space="0" w:color="auto"/>
            </w:tcBorders>
            <w:vAlign w:val="center"/>
          </w:tcPr>
          <w:p w14:paraId="7DB2C61C" w14:textId="2F86D143" w:rsidR="000B3A82" w:rsidRPr="00C35184" w:rsidRDefault="000B3A82" w:rsidP="000B3A82">
            <w:pPr>
              <w:pStyle w:val="TableParagraph"/>
              <w:spacing w:before="63" w:line="360" w:lineRule="auto"/>
              <w:ind w:left="10" w:right="7"/>
              <w:rPr>
                <w:rFonts w:ascii="Times New Roman" w:hAnsi="Times New Roman" w:cs="Times New Roman"/>
                <w:spacing w:val="-2"/>
                <w:sz w:val="24"/>
                <w:szCs w:val="24"/>
              </w:rPr>
            </w:pPr>
            <w:r w:rsidRPr="00C35184">
              <w:rPr>
                <w:rFonts w:ascii="Times New Roman" w:hAnsi="Times New Roman" w:cs="Times New Roman"/>
                <w:spacing w:val="-2"/>
                <w:sz w:val="24"/>
                <w:szCs w:val="24"/>
              </w:rPr>
              <w:t>0.011</w:t>
            </w:r>
          </w:p>
        </w:tc>
        <w:tc>
          <w:tcPr>
            <w:tcW w:w="238" w:type="pct"/>
            <w:tcBorders>
              <w:top w:val="nil"/>
              <w:bottom w:val="single" w:sz="4" w:space="0" w:color="auto"/>
            </w:tcBorders>
            <w:vAlign w:val="center"/>
          </w:tcPr>
          <w:p w14:paraId="4E672D69" w14:textId="6216D5F9" w:rsidR="000B3A82" w:rsidRPr="00C35184" w:rsidRDefault="000B3A82" w:rsidP="000B3A82">
            <w:pPr>
              <w:pStyle w:val="TableParagraph"/>
              <w:spacing w:before="63" w:line="360" w:lineRule="auto"/>
              <w:ind w:left="10" w:right="7"/>
              <w:rPr>
                <w:rFonts w:ascii="Times New Roman" w:hAnsi="Times New Roman" w:cs="Times New Roman"/>
                <w:spacing w:val="-2"/>
                <w:sz w:val="24"/>
                <w:szCs w:val="24"/>
              </w:rPr>
            </w:pPr>
            <w:r w:rsidRPr="00C35184">
              <w:rPr>
                <w:rFonts w:ascii="Times New Roman" w:hAnsi="Times New Roman" w:cs="Times New Roman"/>
                <w:spacing w:val="-2"/>
                <w:sz w:val="24"/>
                <w:szCs w:val="24"/>
              </w:rPr>
              <w:t>0.009</w:t>
            </w:r>
          </w:p>
        </w:tc>
        <w:tc>
          <w:tcPr>
            <w:tcW w:w="238" w:type="pct"/>
            <w:tcBorders>
              <w:top w:val="nil"/>
              <w:bottom w:val="single" w:sz="4" w:space="0" w:color="auto"/>
            </w:tcBorders>
            <w:vAlign w:val="center"/>
          </w:tcPr>
          <w:p w14:paraId="6745FE1E" w14:textId="211B9B1C" w:rsidR="000B3A82" w:rsidRPr="00C35184" w:rsidRDefault="000B3A82" w:rsidP="000B3A82">
            <w:pPr>
              <w:pStyle w:val="TableParagraph"/>
              <w:spacing w:before="63" w:line="360" w:lineRule="auto"/>
              <w:ind w:left="10" w:right="7"/>
              <w:rPr>
                <w:rFonts w:ascii="Times New Roman" w:hAnsi="Times New Roman" w:cs="Times New Roman"/>
                <w:spacing w:val="-2"/>
                <w:sz w:val="24"/>
                <w:szCs w:val="24"/>
              </w:rPr>
            </w:pPr>
            <w:r w:rsidRPr="00C35184">
              <w:rPr>
                <w:rFonts w:ascii="Times New Roman" w:hAnsi="Times New Roman" w:cs="Times New Roman"/>
                <w:spacing w:val="-2"/>
                <w:sz w:val="24"/>
                <w:szCs w:val="24"/>
              </w:rPr>
              <w:t>0.011</w:t>
            </w:r>
          </w:p>
        </w:tc>
        <w:tc>
          <w:tcPr>
            <w:tcW w:w="239" w:type="pct"/>
            <w:tcBorders>
              <w:top w:val="nil"/>
              <w:bottom w:val="single" w:sz="4" w:space="0" w:color="auto"/>
            </w:tcBorders>
            <w:vAlign w:val="center"/>
          </w:tcPr>
          <w:p w14:paraId="0332B119" w14:textId="3B1A38FE" w:rsidR="000B3A82" w:rsidRPr="00C35184" w:rsidRDefault="000B3A82" w:rsidP="000B3A82">
            <w:pPr>
              <w:pStyle w:val="TableParagraph"/>
              <w:spacing w:before="63" w:line="360" w:lineRule="auto"/>
              <w:ind w:left="10" w:right="7"/>
              <w:rPr>
                <w:rFonts w:ascii="Times New Roman" w:hAnsi="Times New Roman" w:cs="Times New Roman"/>
                <w:spacing w:val="-2"/>
                <w:sz w:val="24"/>
                <w:szCs w:val="24"/>
              </w:rPr>
            </w:pPr>
            <w:r w:rsidRPr="00C35184">
              <w:rPr>
                <w:rFonts w:ascii="Times New Roman" w:hAnsi="Times New Roman" w:cs="Times New Roman"/>
                <w:spacing w:val="-2"/>
                <w:sz w:val="24"/>
                <w:szCs w:val="24"/>
              </w:rPr>
              <w:t>&lt;0.001</w:t>
            </w:r>
          </w:p>
        </w:tc>
        <w:tc>
          <w:tcPr>
            <w:tcW w:w="238" w:type="pct"/>
            <w:tcBorders>
              <w:top w:val="nil"/>
              <w:bottom w:val="single" w:sz="4" w:space="0" w:color="auto"/>
            </w:tcBorders>
            <w:vAlign w:val="center"/>
          </w:tcPr>
          <w:p w14:paraId="4AC0CAA6" w14:textId="78094E79" w:rsidR="000B3A82" w:rsidRPr="00C35184" w:rsidRDefault="000B3A82" w:rsidP="000B3A82">
            <w:pPr>
              <w:pStyle w:val="TableParagraph"/>
              <w:spacing w:before="63" w:line="360" w:lineRule="auto"/>
              <w:ind w:left="10" w:right="7"/>
              <w:rPr>
                <w:rFonts w:ascii="Times New Roman" w:hAnsi="Times New Roman" w:cs="Times New Roman"/>
                <w:spacing w:val="-2"/>
                <w:sz w:val="24"/>
                <w:szCs w:val="24"/>
              </w:rPr>
            </w:pPr>
            <w:r w:rsidRPr="00C35184">
              <w:rPr>
                <w:rFonts w:ascii="Times New Roman" w:hAnsi="Times New Roman" w:cs="Times New Roman"/>
                <w:spacing w:val="-2"/>
                <w:sz w:val="24"/>
                <w:szCs w:val="24"/>
              </w:rPr>
              <w:t>0.007</w:t>
            </w:r>
          </w:p>
        </w:tc>
        <w:tc>
          <w:tcPr>
            <w:tcW w:w="238" w:type="pct"/>
            <w:tcBorders>
              <w:top w:val="nil"/>
              <w:bottom w:val="single" w:sz="4" w:space="0" w:color="auto"/>
            </w:tcBorders>
            <w:vAlign w:val="center"/>
          </w:tcPr>
          <w:p w14:paraId="612B0F7B" w14:textId="18146EDF" w:rsidR="000B3A82" w:rsidRPr="00C35184" w:rsidRDefault="000B3A82" w:rsidP="000B3A82">
            <w:pPr>
              <w:pStyle w:val="TableParagraph"/>
              <w:spacing w:before="63" w:line="360" w:lineRule="auto"/>
              <w:ind w:left="10" w:right="7"/>
              <w:rPr>
                <w:rFonts w:ascii="Times New Roman" w:hAnsi="Times New Roman" w:cs="Times New Roman"/>
                <w:spacing w:val="-2"/>
                <w:sz w:val="24"/>
                <w:szCs w:val="24"/>
              </w:rPr>
            </w:pPr>
            <w:r w:rsidRPr="00C35184">
              <w:rPr>
                <w:rFonts w:ascii="Times New Roman" w:hAnsi="Times New Roman" w:cs="Times New Roman"/>
                <w:spacing w:val="-2"/>
                <w:sz w:val="24"/>
                <w:szCs w:val="24"/>
              </w:rPr>
              <w:t>0.013</w:t>
            </w:r>
          </w:p>
        </w:tc>
        <w:tc>
          <w:tcPr>
            <w:tcW w:w="238" w:type="pct"/>
            <w:tcBorders>
              <w:top w:val="nil"/>
              <w:bottom w:val="single" w:sz="4" w:space="0" w:color="auto"/>
            </w:tcBorders>
            <w:vAlign w:val="center"/>
          </w:tcPr>
          <w:p w14:paraId="4BFDD5F9" w14:textId="62EE1EAD" w:rsidR="000B3A82" w:rsidRPr="00C35184" w:rsidRDefault="000B3A82" w:rsidP="000B3A82">
            <w:pPr>
              <w:pStyle w:val="TableParagraph"/>
              <w:spacing w:before="63" w:line="360" w:lineRule="auto"/>
              <w:ind w:left="11" w:right="8"/>
              <w:rPr>
                <w:rFonts w:ascii="Times New Roman" w:hAnsi="Times New Roman" w:cs="Times New Roman"/>
                <w:spacing w:val="-2"/>
                <w:sz w:val="24"/>
                <w:szCs w:val="24"/>
              </w:rPr>
            </w:pPr>
            <w:r w:rsidRPr="00C35184">
              <w:rPr>
                <w:rFonts w:ascii="Times New Roman" w:hAnsi="Times New Roman" w:cs="Times New Roman"/>
                <w:spacing w:val="-2"/>
                <w:sz w:val="24"/>
                <w:szCs w:val="24"/>
              </w:rPr>
              <w:t>0.015</w:t>
            </w:r>
          </w:p>
        </w:tc>
        <w:tc>
          <w:tcPr>
            <w:tcW w:w="240" w:type="pct"/>
            <w:tcBorders>
              <w:top w:val="nil"/>
              <w:bottom w:val="single" w:sz="4" w:space="0" w:color="auto"/>
            </w:tcBorders>
            <w:vAlign w:val="center"/>
          </w:tcPr>
          <w:p w14:paraId="640687B3" w14:textId="641BBF7E" w:rsidR="000B3A82" w:rsidRPr="00C35184" w:rsidRDefault="000B3A82" w:rsidP="000B3A82">
            <w:pPr>
              <w:pStyle w:val="TableParagraph"/>
              <w:spacing w:before="63" w:line="360" w:lineRule="auto"/>
              <w:ind w:left="11" w:right="8"/>
              <w:rPr>
                <w:rFonts w:ascii="Times New Roman" w:hAnsi="Times New Roman" w:cs="Times New Roman"/>
                <w:spacing w:val="-2"/>
                <w:sz w:val="24"/>
                <w:szCs w:val="24"/>
              </w:rPr>
            </w:pPr>
            <w:r w:rsidRPr="00C35184">
              <w:rPr>
                <w:rFonts w:ascii="Times New Roman" w:hAnsi="Times New Roman" w:cs="Times New Roman"/>
                <w:spacing w:val="-2"/>
                <w:sz w:val="24"/>
                <w:szCs w:val="24"/>
              </w:rPr>
              <w:t>&lt;0.001</w:t>
            </w:r>
          </w:p>
        </w:tc>
        <w:tc>
          <w:tcPr>
            <w:tcW w:w="240" w:type="pct"/>
            <w:tcBorders>
              <w:top w:val="nil"/>
              <w:bottom w:val="single" w:sz="4" w:space="0" w:color="auto"/>
            </w:tcBorders>
            <w:vAlign w:val="center"/>
          </w:tcPr>
          <w:p w14:paraId="6990BA7D" w14:textId="178E2D27" w:rsidR="000B3A82" w:rsidRPr="00C35184" w:rsidRDefault="000B3A82" w:rsidP="000B3A82">
            <w:pPr>
              <w:pStyle w:val="TableParagraph"/>
              <w:spacing w:before="63" w:line="360" w:lineRule="auto"/>
              <w:ind w:left="11" w:right="8"/>
              <w:rPr>
                <w:rFonts w:ascii="Times New Roman" w:hAnsi="Times New Roman" w:cs="Times New Roman"/>
                <w:spacing w:val="-2"/>
                <w:sz w:val="24"/>
                <w:szCs w:val="24"/>
              </w:rPr>
            </w:pPr>
            <w:r w:rsidRPr="00C35184">
              <w:rPr>
                <w:rFonts w:ascii="Times New Roman" w:hAnsi="Times New Roman" w:cs="Times New Roman"/>
                <w:spacing w:val="-2"/>
                <w:sz w:val="24"/>
                <w:szCs w:val="24"/>
              </w:rPr>
              <w:t>&lt;0.001</w:t>
            </w:r>
          </w:p>
        </w:tc>
        <w:tc>
          <w:tcPr>
            <w:tcW w:w="234" w:type="pct"/>
            <w:tcBorders>
              <w:top w:val="nil"/>
              <w:bottom w:val="single" w:sz="4" w:space="0" w:color="auto"/>
            </w:tcBorders>
            <w:vAlign w:val="center"/>
          </w:tcPr>
          <w:p w14:paraId="704F2CCB" w14:textId="4466E59E" w:rsidR="000B3A82" w:rsidRPr="00C35184" w:rsidRDefault="000B3A82" w:rsidP="000B3A82">
            <w:pPr>
              <w:pStyle w:val="TableParagraph"/>
              <w:spacing w:before="63" w:line="360" w:lineRule="auto"/>
              <w:ind w:left="11" w:right="8"/>
              <w:rPr>
                <w:rFonts w:ascii="Times New Roman" w:hAnsi="Times New Roman" w:cs="Times New Roman"/>
                <w:spacing w:val="-5"/>
                <w:w w:val="120"/>
                <w:sz w:val="24"/>
                <w:szCs w:val="24"/>
              </w:rPr>
            </w:pPr>
            <w:r w:rsidRPr="00C35184">
              <w:rPr>
                <w:rFonts w:ascii="Times New Roman" w:hAnsi="Times New Roman" w:cs="Times New Roman"/>
                <w:spacing w:val="-10"/>
                <w:w w:val="120"/>
                <w:sz w:val="24"/>
                <w:szCs w:val="24"/>
              </w:rPr>
              <w:t>0.014</w:t>
            </w:r>
          </w:p>
        </w:tc>
        <w:tc>
          <w:tcPr>
            <w:tcW w:w="221" w:type="pct"/>
            <w:tcBorders>
              <w:top w:val="nil"/>
              <w:bottom w:val="single" w:sz="4" w:space="0" w:color="auto"/>
            </w:tcBorders>
            <w:vAlign w:val="center"/>
          </w:tcPr>
          <w:p w14:paraId="28764A5A" w14:textId="3A83BDEF" w:rsidR="000B3A82" w:rsidRPr="00C35184" w:rsidRDefault="000B3A82" w:rsidP="000B3A82">
            <w:pPr>
              <w:pStyle w:val="TableParagraph"/>
              <w:spacing w:before="63" w:line="360" w:lineRule="auto"/>
              <w:ind w:left="11" w:right="8"/>
              <w:rPr>
                <w:rFonts w:ascii="Times New Roman" w:hAnsi="Times New Roman" w:cs="Times New Roman"/>
                <w:spacing w:val="-5"/>
                <w:w w:val="120"/>
                <w:sz w:val="24"/>
                <w:szCs w:val="24"/>
              </w:rPr>
            </w:pPr>
            <w:r w:rsidRPr="00C35184">
              <w:rPr>
                <w:rFonts w:ascii="Times New Roman" w:hAnsi="Times New Roman" w:cs="Times New Roman"/>
                <w:spacing w:val="-10"/>
                <w:w w:val="120"/>
                <w:sz w:val="24"/>
                <w:szCs w:val="24"/>
              </w:rPr>
              <w:t>2</w:t>
            </w:r>
          </w:p>
        </w:tc>
        <w:tc>
          <w:tcPr>
            <w:tcW w:w="300" w:type="pct"/>
            <w:tcBorders>
              <w:top w:val="nil"/>
              <w:bottom w:val="single" w:sz="4" w:space="0" w:color="auto"/>
            </w:tcBorders>
            <w:vAlign w:val="center"/>
          </w:tcPr>
          <w:p w14:paraId="5D0F3A08" w14:textId="6B1A4400" w:rsidR="000B3A82" w:rsidRPr="00C35184" w:rsidRDefault="000B3A82" w:rsidP="000B3A82">
            <w:pPr>
              <w:pStyle w:val="TableParagraph"/>
              <w:spacing w:before="63" w:line="360" w:lineRule="auto"/>
              <w:ind w:left="11" w:right="8"/>
              <w:rPr>
                <w:rFonts w:ascii="Times New Roman" w:hAnsi="Times New Roman" w:cs="Times New Roman"/>
                <w:spacing w:val="-10"/>
                <w:w w:val="120"/>
                <w:sz w:val="24"/>
                <w:szCs w:val="24"/>
              </w:rPr>
            </w:pPr>
            <w:r w:rsidRPr="00C35184">
              <w:rPr>
                <w:rFonts w:ascii="Times New Roman" w:hAnsi="Times New Roman" w:cs="Times New Roman"/>
                <w:spacing w:val="-5"/>
                <w:w w:val="115"/>
                <w:sz w:val="24"/>
                <w:szCs w:val="24"/>
              </w:rPr>
              <w:t>0.3</w:t>
            </w:r>
          </w:p>
        </w:tc>
      </w:tr>
    </w:tbl>
    <w:bookmarkEnd w:id="9"/>
    <w:p w14:paraId="053EEA93" w14:textId="63B4EEA6" w:rsidR="00F1798E" w:rsidRPr="00C35184" w:rsidRDefault="00F1798E" w:rsidP="00F1798E">
      <w:pPr>
        <w:spacing w:after="0" w:line="240" w:lineRule="auto"/>
        <w:jc w:val="both"/>
        <w:rPr>
          <w:rFonts w:ascii="Times New Roman" w:hAnsi="Times New Roman" w:cs="Times New Roman"/>
          <w:sz w:val="24"/>
          <w:szCs w:val="24"/>
        </w:rPr>
      </w:pPr>
      <w:r w:rsidRPr="00C35184">
        <w:rPr>
          <w:rFonts w:ascii="Times New Roman" w:hAnsi="Times New Roman" w:cs="Times New Roman"/>
          <w:sz w:val="24"/>
          <w:szCs w:val="24"/>
        </w:rPr>
        <w:t>BH: Borehole, CON: Control, WHO: World Health Organisation, NSDWQ: Nigeria Standard for Drinking Water Quality,</w:t>
      </w:r>
      <w:r w:rsidR="00877F60" w:rsidRPr="00C35184">
        <w:rPr>
          <w:rFonts w:ascii="Times New Roman" w:hAnsi="Times New Roman" w:cs="Times New Roman"/>
          <w:sz w:val="24"/>
          <w:szCs w:val="24"/>
        </w:rPr>
        <w:t xml:space="preserve"> TDS: Total Dissolve Solid,</w:t>
      </w:r>
      <w:r w:rsidRPr="00C35184">
        <w:rPr>
          <w:rFonts w:ascii="Times New Roman" w:hAnsi="Times New Roman" w:cs="Times New Roman"/>
          <w:sz w:val="24"/>
          <w:szCs w:val="24"/>
        </w:rPr>
        <w:t xml:space="preserve"> DO: Dissolved Oxyge</w:t>
      </w:r>
      <w:r w:rsidR="00877F60" w:rsidRPr="00C35184">
        <w:rPr>
          <w:rFonts w:ascii="Times New Roman" w:hAnsi="Times New Roman" w:cs="Times New Roman"/>
          <w:sz w:val="24"/>
          <w:szCs w:val="24"/>
        </w:rPr>
        <w:t>n</w:t>
      </w:r>
    </w:p>
    <w:p w14:paraId="1B388DB1" w14:textId="77777777" w:rsidR="00877F60" w:rsidRDefault="00877F60" w:rsidP="00F1798E">
      <w:pPr>
        <w:spacing w:after="0" w:line="480" w:lineRule="auto"/>
        <w:jc w:val="both"/>
        <w:rPr>
          <w:rFonts w:ascii="Times New Roman" w:hAnsi="Times New Roman" w:cs="Times New Roman"/>
          <w:color w:val="000000"/>
          <w:sz w:val="24"/>
          <w:szCs w:val="24"/>
        </w:rPr>
      </w:pPr>
    </w:p>
    <w:p w14:paraId="6B07DBE0" w14:textId="77777777" w:rsidR="00D24B14" w:rsidRDefault="00D24B14" w:rsidP="00F1798E">
      <w:pPr>
        <w:spacing w:after="0" w:line="480" w:lineRule="auto"/>
        <w:jc w:val="both"/>
        <w:rPr>
          <w:rFonts w:ascii="Times New Roman" w:hAnsi="Times New Roman" w:cs="Times New Roman"/>
          <w:color w:val="000000"/>
          <w:sz w:val="24"/>
          <w:szCs w:val="24"/>
        </w:rPr>
      </w:pPr>
    </w:p>
    <w:p w14:paraId="1FA9FCB9" w14:textId="77777777" w:rsidR="00D24B14" w:rsidRDefault="00D24B14" w:rsidP="00F1798E">
      <w:pPr>
        <w:spacing w:after="0" w:line="480" w:lineRule="auto"/>
        <w:jc w:val="both"/>
        <w:rPr>
          <w:rFonts w:ascii="Times New Roman" w:hAnsi="Times New Roman" w:cs="Times New Roman"/>
          <w:color w:val="000000"/>
          <w:sz w:val="24"/>
          <w:szCs w:val="24"/>
        </w:rPr>
      </w:pPr>
    </w:p>
    <w:p w14:paraId="510B7CF9" w14:textId="77777777" w:rsidR="00D24B14" w:rsidRPr="00AC0B64" w:rsidRDefault="00D24B14" w:rsidP="00D24B14">
      <w:pPr>
        <w:tabs>
          <w:tab w:val="left" w:pos="13892"/>
        </w:tabs>
        <w:spacing w:after="0" w:line="240" w:lineRule="auto"/>
        <w:rPr>
          <w:rFonts w:ascii="Cambria" w:hAnsi="Cambria" w:cs="Times New Roman"/>
          <w:sz w:val="24"/>
          <w:szCs w:val="24"/>
        </w:rPr>
      </w:pPr>
      <w:r w:rsidRPr="00AC0B64">
        <w:rPr>
          <w:rFonts w:ascii="Cambria" w:hAnsi="Cambria" w:cs="Times New Roman"/>
          <w:noProof/>
          <w:sz w:val="24"/>
          <w:szCs w:val="24"/>
        </w:rPr>
        <w:lastRenderedPageBreak/>
        <w:drawing>
          <wp:inline distT="0" distB="0" distL="0" distR="0" wp14:anchorId="5257A01B" wp14:editId="06A60487">
            <wp:extent cx="2124075" cy="2676525"/>
            <wp:effectExtent l="0" t="0" r="0" b="0"/>
            <wp:docPr id="15"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AC0B64">
        <w:rPr>
          <w:rFonts w:ascii="Cambria" w:hAnsi="Cambria" w:cs="Times New Roman"/>
          <w:noProof/>
          <w:sz w:val="24"/>
          <w:szCs w:val="24"/>
        </w:rPr>
        <w:drawing>
          <wp:inline distT="0" distB="0" distL="0" distR="0" wp14:anchorId="2A0864EB" wp14:editId="1F1455DA">
            <wp:extent cx="2333625" cy="2657475"/>
            <wp:effectExtent l="0" t="0" r="0" b="0"/>
            <wp:docPr id="14"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AC0B64">
        <w:rPr>
          <w:rFonts w:ascii="Cambria" w:hAnsi="Cambria" w:cs="Times New Roman"/>
          <w:noProof/>
          <w:sz w:val="24"/>
          <w:szCs w:val="24"/>
        </w:rPr>
        <w:drawing>
          <wp:inline distT="0" distB="0" distL="0" distR="0" wp14:anchorId="6A2E54CC" wp14:editId="0E7816B1">
            <wp:extent cx="2105025" cy="2371725"/>
            <wp:effectExtent l="0" t="0" r="0" b="0"/>
            <wp:docPr id="12"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AC0B64">
        <w:rPr>
          <w:rFonts w:ascii="Cambria" w:hAnsi="Cambria" w:cs="Times New Roman"/>
          <w:noProof/>
          <w:sz w:val="24"/>
          <w:szCs w:val="24"/>
        </w:rPr>
        <w:drawing>
          <wp:inline distT="0" distB="0" distL="0" distR="0" wp14:anchorId="300B2C17" wp14:editId="37A73324">
            <wp:extent cx="2181225" cy="2314575"/>
            <wp:effectExtent l="0" t="0" r="0" b="0"/>
            <wp:docPr id="13"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AC0B64">
        <w:rPr>
          <w:rFonts w:ascii="Cambria" w:hAnsi="Cambria" w:cs="Times New Roman"/>
          <w:noProof/>
          <w:sz w:val="24"/>
          <w:szCs w:val="24"/>
        </w:rPr>
        <w:t xml:space="preserve">                                   </w:t>
      </w:r>
    </w:p>
    <w:p w14:paraId="40C64090" w14:textId="77777777" w:rsidR="00D24B14" w:rsidRPr="00AC0B64" w:rsidRDefault="00D24B14" w:rsidP="00D24B14">
      <w:pPr>
        <w:spacing w:after="0" w:line="240" w:lineRule="auto"/>
        <w:rPr>
          <w:rFonts w:ascii="Cambria" w:hAnsi="Cambria" w:cs="Times New Roman"/>
          <w:sz w:val="24"/>
          <w:szCs w:val="24"/>
        </w:rPr>
      </w:pPr>
    </w:p>
    <w:p w14:paraId="10A7A191" w14:textId="01B241DB" w:rsidR="00D24B14" w:rsidRPr="00AC0B64" w:rsidRDefault="00D24B14" w:rsidP="00D24B14">
      <w:pPr>
        <w:spacing w:after="0" w:line="240" w:lineRule="auto"/>
        <w:rPr>
          <w:rFonts w:ascii="Cambria" w:hAnsi="Cambria" w:cs="Times New Roman"/>
          <w:sz w:val="24"/>
          <w:szCs w:val="24"/>
        </w:rPr>
      </w:pPr>
      <w:r w:rsidRPr="00AC0B64">
        <w:rPr>
          <w:rFonts w:ascii="Cambria" w:hAnsi="Cambria" w:cs="Times New Roman"/>
          <w:noProof/>
          <w:sz w:val="24"/>
          <w:szCs w:val="24"/>
        </w:rPr>
        <w:drawing>
          <wp:inline distT="0" distB="0" distL="0" distR="0" wp14:anchorId="2461BC2E" wp14:editId="547CEADB">
            <wp:extent cx="2314575" cy="2238375"/>
            <wp:effectExtent l="0" t="0" r="0" b="0"/>
            <wp:docPr id="11"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AC0B64">
        <w:rPr>
          <w:rFonts w:ascii="Cambria" w:hAnsi="Cambria" w:cs="Times New Roman"/>
          <w:sz w:val="24"/>
          <w:szCs w:val="24"/>
        </w:rPr>
        <w:t xml:space="preserve">  </w:t>
      </w:r>
      <w:r w:rsidRPr="00AC0B64">
        <w:rPr>
          <w:rFonts w:ascii="Cambria" w:hAnsi="Cambria" w:cs="Times New Roman"/>
          <w:noProof/>
          <w:sz w:val="24"/>
          <w:szCs w:val="24"/>
        </w:rPr>
        <w:drawing>
          <wp:inline distT="0" distB="0" distL="0" distR="0" wp14:anchorId="40BBB81E" wp14:editId="7C931EAD">
            <wp:extent cx="2200275" cy="2362200"/>
            <wp:effectExtent l="0" t="0" r="0" b="0"/>
            <wp:docPr id="8"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Pr>
          <w:rFonts w:ascii="Cambria" w:hAnsi="Cambria" w:cs="Times New Roman"/>
          <w:sz w:val="24"/>
          <w:szCs w:val="24"/>
        </w:rPr>
        <w:t xml:space="preserve"> </w:t>
      </w:r>
      <w:r w:rsidRPr="00AC0B64">
        <w:rPr>
          <w:rFonts w:ascii="Cambria" w:hAnsi="Cambria" w:cs="Times New Roman"/>
          <w:noProof/>
          <w:sz w:val="24"/>
          <w:szCs w:val="24"/>
        </w:rPr>
        <w:drawing>
          <wp:inline distT="0" distB="0" distL="0" distR="0" wp14:anchorId="64F0BBD5" wp14:editId="76D1AF57">
            <wp:extent cx="2047875" cy="2447925"/>
            <wp:effectExtent l="0" t="0" r="0" b="0"/>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Pr>
          <w:rFonts w:ascii="Cambria" w:hAnsi="Cambria" w:cs="Times New Roman"/>
          <w:sz w:val="24"/>
          <w:szCs w:val="24"/>
        </w:rPr>
        <w:t xml:space="preserve"> </w:t>
      </w:r>
      <w:r w:rsidRPr="00AC0B64">
        <w:rPr>
          <w:rFonts w:ascii="Cambria" w:hAnsi="Cambria" w:cs="Times New Roman"/>
          <w:noProof/>
          <w:sz w:val="24"/>
          <w:szCs w:val="24"/>
        </w:rPr>
        <w:drawing>
          <wp:inline distT="0" distB="0" distL="0" distR="0" wp14:anchorId="2E952FBF" wp14:editId="2C558D47">
            <wp:extent cx="2095500" cy="2409825"/>
            <wp:effectExtent l="0" t="0" r="0" b="0"/>
            <wp:docPr id="16" name="Chart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9EDF592" w14:textId="77777777" w:rsidR="00D24B14" w:rsidRPr="00AC0B64" w:rsidRDefault="00D24B14" w:rsidP="00D24B14">
      <w:pPr>
        <w:spacing w:after="0" w:line="240" w:lineRule="auto"/>
        <w:rPr>
          <w:rFonts w:ascii="Cambria" w:hAnsi="Cambria" w:cs="Times New Roman"/>
          <w:sz w:val="24"/>
          <w:szCs w:val="24"/>
        </w:rPr>
      </w:pPr>
    </w:p>
    <w:p w14:paraId="08F296DE" w14:textId="77777777" w:rsidR="00D24B14" w:rsidRPr="00AC0B64" w:rsidRDefault="00D24B14" w:rsidP="00D24B14">
      <w:pPr>
        <w:tabs>
          <w:tab w:val="left" w:pos="2880"/>
        </w:tabs>
        <w:spacing w:after="0" w:line="240" w:lineRule="auto"/>
        <w:rPr>
          <w:rFonts w:ascii="Cambria" w:hAnsi="Cambria" w:cs="Times New Roman"/>
          <w:sz w:val="24"/>
          <w:szCs w:val="24"/>
        </w:rPr>
      </w:pPr>
    </w:p>
    <w:p w14:paraId="5D92784C" w14:textId="24830D4B" w:rsidR="00D24B14" w:rsidRPr="00AC0B64" w:rsidRDefault="00D24B14" w:rsidP="00D24B14">
      <w:pPr>
        <w:spacing w:after="0" w:line="240" w:lineRule="auto"/>
        <w:rPr>
          <w:rFonts w:ascii="Cambria" w:hAnsi="Cambria" w:cs="Times New Roman"/>
          <w:sz w:val="24"/>
          <w:szCs w:val="24"/>
        </w:rPr>
      </w:pPr>
      <w:r w:rsidRPr="00AC0B64">
        <w:rPr>
          <w:rFonts w:ascii="Cambria" w:hAnsi="Cambria" w:cs="Times New Roman"/>
          <w:sz w:val="24"/>
          <w:szCs w:val="24"/>
        </w:rPr>
        <w:lastRenderedPageBreak/>
        <w:t xml:space="preserve">   </w:t>
      </w:r>
      <w:r w:rsidRPr="00AC0B64">
        <w:rPr>
          <w:rFonts w:ascii="Cambria" w:hAnsi="Cambria" w:cs="Times New Roman"/>
          <w:noProof/>
          <w:sz w:val="24"/>
          <w:szCs w:val="24"/>
        </w:rPr>
        <w:drawing>
          <wp:inline distT="0" distB="0" distL="0" distR="0" wp14:anchorId="41E833BA" wp14:editId="04154D00">
            <wp:extent cx="2114550" cy="2352675"/>
            <wp:effectExtent l="0" t="0" r="0" b="0"/>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AC0B64">
        <w:rPr>
          <w:rFonts w:ascii="Cambria" w:hAnsi="Cambria" w:cs="Times New Roman"/>
          <w:noProof/>
          <w:sz w:val="24"/>
          <w:szCs w:val="24"/>
        </w:rPr>
        <w:drawing>
          <wp:inline distT="0" distB="0" distL="0" distR="0" wp14:anchorId="4037B817" wp14:editId="349E21F3">
            <wp:extent cx="2266950" cy="2457450"/>
            <wp:effectExtent l="0" t="0" r="0" b="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AC0B64">
        <w:rPr>
          <w:rFonts w:ascii="Cambria" w:hAnsi="Cambria" w:cs="Times New Roman"/>
          <w:noProof/>
          <w:sz w:val="24"/>
          <w:szCs w:val="24"/>
        </w:rPr>
        <w:drawing>
          <wp:inline distT="0" distB="0" distL="0" distR="0" wp14:anchorId="26A4A035" wp14:editId="3D2F6A1C">
            <wp:extent cx="2228850" cy="2781300"/>
            <wp:effectExtent l="0" t="0" r="0" b="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Pr>
          <w:rFonts w:ascii="Cambria" w:hAnsi="Cambria" w:cs="Times New Roman"/>
          <w:sz w:val="24"/>
          <w:szCs w:val="24"/>
        </w:rPr>
        <w:t xml:space="preserve"> </w:t>
      </w:r>
      <w:r w:rsidRPr="00AC0B64">
        <w:rPr>
          <w:rFonts w:ascii="Cambria" w:hAnsi="Cambria" w:cs="Times New Roman"/>
          <w:noProof/>
          <w:sz w:val="24"/>
          <w:szCs w:val="24"/>
        </w:rPr>
        <w:drawing>
          <wp:inline distT="0" distB="0" distL="0" distR="0" wp14:anchorId="52A1C585" wp14:editId="782F3E5D">
            <wp:extent cx="2105025" cy="2714625"/>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EE2EAD4" w14:textId="50665466" w:rsidR="00D24B14" w:rsidRPr="00AC0B64" w:rsidRDefault="00D24B14" w:rsidP="00D24B14">
      <w:pPr>
        <w:spacing w:after="0" w:line="240" w:lineRule="auto"/>
        <w:jc w:val="center"/>
        <w:rPr>
          <w:rFonts w:ascii="Cambria" w:hAnsi="Cambria" w:cs="Times New Roman"/>
          <w:sz w:val="24"/>
          <w:szCs w:val="24"/>
        </w:rPr>
      </w:pPr>
    </w:p>
    <w:p w14:paraId="43EC284B" w14:textId="2A20D681" w:rsidR="00D24B14" w:rsidRPr="00C35184" w:rsidRDefault="00D24B14" w:rsidP="00F1798E">
      <w:pPr>
        <w:spacing w:after="0" w:line="480" w:lineRule="auto"/>
        <w:jc w:val="both"/>
        <w:rPr>
          <w:rFonts w:ascii="Times New Roman" w:hAnsi="Times New Roman" w:cs="Times New Roman"/>
          <w:color w:val="000000"/>
          <w:sz w:val="24"/>
          <w:szCs w:val="24"/>
        </w:rPr>
        <w:sectPr w:rsidR="00D24B14" w:rsidRPr="00C35184" w:rsidSect="00877F60">
          <w:pgSz w:w="16838" w:h="11906" w:orient="landscape"/>
          <w:pgMar w:top="1440" w:right="1440" w:bottom="1440" w:left="1440" w:header="709" w:footer="709" w:gutter="0"/>
          <w:cols w:space="708"/>
          <w:docGrid w:linePitch="360"/>
        </w:sectPr>
      </w:pPr>
      <w:r w:rsidRPr="00AC0B64">
        <w:rPr>
          <w:rFonts w:ascii="Cambria" w:hAnsi="Cambria" w:cs="Times New Roman"/>
          <w:noProof/>
          <w:sz w:val="24"/>
          <w:szCs w:val="24"/>
        </w:rPr>
        <w:drawing>
          <wp:inline distT="0" distB="0" distL="0" distR="0" wp14:anchorId="48D1DDF1" wp14:editId="1C95DB90">
            <wp:extent cx="3009900" cy="2714625"/>
            <wp:effectExtent l="0" t="0" r="0" b="0"/>
            <wp:docPr id="17" name="Chart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85D6A07" w14:textId="77777777" w:rsidR="006660CB" w:rsidRPr="00C35184" w:rsidRDefault="006660CB" w:rsidP="006660CB">
      <w:pPr>
        <w:spacing w:after="0" w:line="480" w:lineRule="auto"/>
        <w:jc w:val="both"/>
        <w:rPr>
          <w:rFonts w:ascii="Times New Roman" w:hAnsi="Times New Roman" w:cs="Times New Roman"/>
          <w:color w:val="000000"/>
          <w:sz w:val="24"/>
          <w:szCs w:val="24"/>
        </w:rPr>
      </w:pPr>
      <w:r w:rsidRPr="00C35184">
        <w:rPr>
          <w:rFonts w:ascii="Times New Roman" w:hAnsi="Times New Roman" w:cs="Times New Roman"/>
          <w:sz w:val="24"/>
          <w:szCs w:val="24"/>
        </w:rPr>
        <w:lastRenderedPageBreak/>
        <w:t xml:space="preserve">(2007) allowable limits. </w:t>
      </w:r>
      <w:r w:rsidRPr="00C35184">
        <w:rPr>
          <w:rFonts w:ascii="Times New Roman" w:hAnsi="Times New Roman" w:cs="Times New Roman"/>
          <w:bCs/>
          <w:sz w:val="24"/>
          <w:szCs w:val="24"/>
          <w:lang w:eastAsia="en-GB"/>
        </w:rPr>
        <w:t xml:space="preserve">The concentration reported for the study lower than those reported by </w:t>
      </w:r>
      <w:proofErr w:type="spellStart"/>
      <w:r w:rsidRPr="00C35184">
        <w:rPr>
          <w:rFonts w:ascii="Times New Roman" w:hAnsi="Times New Roman" w:cs="Times New Roman"/>
          <w:sz w:val="24"/>
          <w:szCs w:val="24"/>
        </w:rPr>
        <w:t>Meride</w:t>
      </w:r>
      <w:proofErr w:type="spellEnd"/>
      <w:r w:rsidRPr="00C35184">
        <w:rPr>
          <w:rFonts w:ascii="Times New Roman" w:hAnsi="Times New Roman" w:cs="Times New Roman"/>
          <w:sz w:val="24"/>
          <w:szCs w:val="24"/>
        </w:rPr>
        <w:t xml:space="preserve"> and </w:t>
      </w:r>
      <w:proofErr w:type="spellStart"/>
      <w:r w:rsidRPr="00C35184">
        <w:rPr>
          <w:rFonts w:ascii="Times New Roman" w:hAnsi="Times New Roman" w:cs="Times New Roman"/>
          <w:sz w:val="24"/>
          <w:szCs w:val="24"/>
        </w:rPr>
        <w:t>Ayenew</w:t>
      </w:r>
      <w:proofErr w:type="spellEnd"/>
      <w:r w:rsidRPr="00C35184">
        <w:rPr>
          <w:rFonts w:ascii="Times New Roman" w:hAnsi="Times New Roman" w:cs="Times New Roman"/>
          <w:sz w:val="24"/>
          <w:szCs w:val="24"/>
        </w:rPr>
        <w:t xml:space="preserve"> (2016). </w:t>
      </w:r>
      <w:r w:rsidRPr="00C35184">
        <w:rPr>
          <w:rFonts w:ascii="Times New Roman" w:hAnsi="Times New Roman" w:cs="Times New Roman"/>
          <w:color w:val="000000"/>
          <w:sz w:val="24"/>
          <w:szCs w:val="24"/>
        </w:rPr>
        <w:t xml:space="preserve">The TDS mean concentration across the sampled points was 69.73 </w:t>
      </w:r>
      <w:r w:rsidRPr="00C35184">
        <w:rPr>
          <w:rFonts w:ascii="Times New Roman" w:hAnsi="Times New Roman" w:cs="Times New Roman"/>
          <w:sz w:val="24"/>
          <w:szCs w:val="24"/>
        </w:rPr>
        <w:t>mg/l</w:t>
      </w:r>
      <w:r w:rsidRPr="00C35184">
        <w:rPr>
          <w:rFonts w:ascii="Times New Roman" w:hAnsi="Times New Roman" w:cs="Times New Roman"/>
          <w:color w:val="000000"/>
          <w:sz w:val="24"/>
          <w:szCs w:val="24"/>
        </w:rPr>
        <w:t xml:space="preserve">. </w:t>
      </w:r>
      <w:r w:rsidRPr="00C35184">
        <w:rPr>
          <w:rFonts w:ascii="Times New Roman" w:hAnsi="Times New Roman" w:cs="Times New Roman"/>
          <w:sz w:val="24"/>
          <w:szCs w:val="24"/>
        </w:rPr>
        <w:t xml:space="preserve">All concentrations reported are within the WHO (2018) and NSDWQ (2007) allowable limits but </w:t>
      </w:r>
      <w:r w:rsidRPr="00C35184">
        <w:rPr>
          <w:rFonts w:ascii="Times New Roman" w:hAnsi="Times New Roman" w:cs="Times New Roman"/>
          <w:color w:val="000000"/>
          <w:sz w:val="24"/>
          <w:szCs w:val="24"/>
        </w:rPr>
        <w:t xml:space="preserve">lower in concentration to those reported Afolabi </w:t>
      </w:r>
      <w:r w:rsidRPr="00C35184">
        <w:rPr>
          <w:rFonts w:ascii="Times New Roman" w:hAnsi="Times New Roman" w:cs="Times New Roman"/>
          <w:iCs/>
          <w:color w:val="000000"/>
          <w:sz w:val="24"/>
          <w:szCs w:val="24"/>
        </w:rPr>
        <w:t>et al.</w:t>
      </w:r>
      <w:r w:rsidRPr="00C35184">
        <w:rPr>
          <w:rFonts w:ascii="Times New Roman" w:hAnsi="Times New Roman" w:cs="Times New Roman"/>
          <w:color w:val="000000"/>
          <w:sz w:val="24"/>
          <w:szCs w:val="24"/>
        </w:rPr>
        <w:t xml:space="preserve"> (2022) for groundwater around dumpsites. The DO mean concentration across the sampled points are </w:t>
      </w:r>
      <w:r w:rsidRPr="00C35184">
        <w:rPr>
          <w:rFonts w:ascii="Times New Roman" w:hAnsi="Times New Roman" w:cs="Times New Roman"/>
          <w:sz w:val="24"/>
          <w:szCs w:val="24"/>
        </w:rPr>
        <w:t xml:space="preserve">5.01 mg/l </w:t>
      </w:r>
      <w:r w:rsidRPr="00C35184">
        <w:rPr>
          <w:rFonts w:ascii="Times New Roman" w:hAnsi="Times New Roman" w:cs="Times New Roman"/>
          <w:color w:val="000000"/>
          <w:sz w:val="24"/>
          <w:szCs w:val="24"/>
        </w:rPr>
        <w:t>across the study area. The higher the concentration of DO the better the water quality (</w:t>
      </w:r>
      <w:proofErr w:type="spellStart"/>
      <w:r w:rsidRPr="00C35184">
        <w:rPr>
          <w:rFonts w:ascii="Times New Roman" w:hAnsi="Times New Roman" w:cs="Times New Roman"/>
          <w:color w:val="000000"/>
          <w:sz w:val="24"/>
          <w:szCs w:val="24"/>
        </w:rPr>
        <w:t>Ojekunle</w:t>
      </w:r>
      <w:proofErr w:type="spellEnd"/>
      <w:r w:rsidRPr="00C35184">
        <w:rPr>
          <w:rFonts w:ascii="Times New Roman" w:hAnsi="Times New Roman" w:cs="Times New Roman"/>
          <w:color w:val="000000"/>
          <w:sz w:val="24"/>
          <w:szCs w:val="24"/>
        </w:rPr>
        <w:t xml:space="preserve"> &amp; Lateef, 2017). </w:t>
      </w:r>
    </w:p>
    <w:p w14:paraId="711E9F93" w14:textId="73EE0983" w:rsidR="00F7365E" w:rsidRPr="00C35184" w:rsidRDefault="00F1798E" w:rsidP="00F7365E">
      <w:pPr>
        <w:spacing w:after="0" w:line="480" w:lineRule="auto"/>
        <w:jc w:val="both"/>
        <w:rPr>
          <w:rFonts w:ascii="Times New Roman" w:hAnsi="Times New Roman" w:cs="Times New Roman"/>
          <w:sz w:val="24"/>
          <w:szCs w:val="24"/>
          <w:lang w:val="en-US"/>
        </w:rPr>
      </w:pPr>
      <w:r w:rsidRPr="00C35184">
        <w:rPr>
          <w:rFonts w:ascii="Times New Roman" w:hAnsi="Times New Roman" w:cs="Times New Roman"/>
          <w:color w:val="000000"/>
          <w:sz w:val="24"/>
          <w:szCs w:val="24"/>
        </w:rPr>
        <w:t xml:space="preserve">The </w:t>
      </w:r>
      <m:oMath>
        <m:sSubSup>
          <m:sSubSupPr>
            <m:ctrlPr>
              <w:rPr>
                <w:rFonts w:ascii="Cambria Math" w:hAnsi="Cambria Math" w:cs="Times New Roman"/>
                <w:i/>
                <w:sz w:val="24"/>
                <w:szCs w:val="24"/>
              </w:rPr>
            </m:ctrlPr>
          </m:sSubSupPr>
          <m:e>
            <m:r>
              <w:rPr>
                <w:rFonts w:ascii="Cambria Math" w:hAnsi="Cambria Math" w:cs="Times New Roman"/>
                <w:sz w:val="24"/>
                <w:szCs w:val="24"/>
              </w:rPr>
              <m:t>NO</m:t>
            </m:r>
          </m:e>
          <m:sub>
            <m:r>
              <w:rPr>
                <w:rFonts w:ascii="Cambria Math" w:hAnsi="Cambria Math" w:cs="Times New Roman"/>
                <w:sz w:val="24"/>
                <w:szCs w:val="24"/>
              </w:rPr>
              <m:t>3</m:t>
            </m:r>
          </m:sub>
          <m:sup>
            <m:r>
              <w:rPr>
                <w:rFonts w:ascii="Cambria Math" w:hAnsi="Cambria Math" w:cs="Times New Roman"/>
                <w:sz w:val="24"/>
                <w:szCs w:val="24"/>
              </w:rPr>
              <m:t>-</m:t>
            </m:r>
          </m:sup>
        </m:sSubSup>
      </m:oMath>
      <w:r w:rsidRPr="00C35184">
        <w:rPr>
          <w:rFonts w:ascii="Times New Roman" w:hAnsi="Times New Roman" w:cs="Times New Roman"/>
          <w:color w:val="000000"/>
          <w:sz w:val="24"/>
          <w:szCs w:val="24"/>
        </w:rPr>
        <w:t xml:space="preserve"> mean concentration across the sampled points are </w:t>
      </w:r>
      <w:r w:rsidRPr="00C35184">
        <w:rPr>
          <w:rFonts w:ascii="Times New Roman" w:hAnsi="Times New Roman" w:cs="Times New Roman"/>
          <w:sz w:val="24"/>
          <w:szCs w:val="24"/>
        </w:rPr>
        <w:t xml:space="preserve">0.01 mg/l </w:t>
      </w:r>
      <w:r w:rsidRPr="00C35184">
        <w:rPr>
          <w:rFonts w:ascii="Times New Roman" w:hAnsi="Times New Roman" w:cs="Times New Roman"/>
          <w:color w:val="000000"/>
          <w:sz w:val="24"/>
          <w:szCs w:val="24"/>
        </w:rPr>
        <w:t xml:space="preserve">across the study area. </w:t>
      </w:r>
      <w:r w:rsidRPr="00C35184">
        <w:rPr>
          <w:rFonts w:ascii="Times New Roman" w:hAnsi="Times New Roman" w:cs="Times New Roman"/>
          <w:sz w:val="24"/>
          <w:szCs w:val="24"/>
        </w:rPr>
        <w:t xml:space="preserve">All concentrations reported are within the WHO (2018) and NSDWQ (2007) allowable limits </w:t>
      </w:r>
      <w:r w:rsidRPr="00C35184">
        <w:rPr>
          <w:rFonts w:ascii="Times New Roman" w:hAnsi="Times New Roman" w:cs="Times New Roman"/>
          <w:bCs/>
          <w:sz w:val="24"/>
          <w:szCs w:val="24"/>
          <w:lang w:eastAsia="en-GB"/>
        </w:rPr>
        <w:t xml:space="preserve">and within the range reported by </w:t>
      </w:r>
      <w:proofErr w:type="spellStart"/>
      <w:r w:rsidRPr="00C35184">
        <w:rPr>
          <w:rFonts w:ascii="Times New Roman" w:hAnsi="Times New Roman" w:cs="Times New Roman"/>
          <w:sz w:val="24"/>
          <w:szCs w:val="24"/>
        </w:rPr>
        <w:t>Meride</w:t>
      </w:r>
      <w:proofErr w:type="spellEnd"/>
      <w:r w:rsidRPr="00C35184">
        <w:rPr>
          <w:rFonts w:ascii="Times New Roman" w:hAnsi="Times New Roman" w:cs="Times New Roman"/>
          <w:sz w:val="24"/>
          <w:szCs w:val="24"/>
        </w:rPr>
        <w:t xml:space="preserve"> and </w:t>
      </w:r>
      <w:proofErr w:type="spellStart"/>
      <w:r w:rsidRPr="00C35184">
        <w:rPr>
          <w:rFonts w:ascii="Times New Roman" w:hAnsi="Times New Roman" w:cs="Times New Roman"/>
          <w:sz w:val="24"/>
          <w:szCs w:val="24"/>
        </w:rPr>
        <w:t>Ayenew</w:t>
      </w:r>
      <w:proofErr w:type="spellEnd"/>
      <w:r w:rsidRPr="00C35184">
        <w:rPr>
          <w:rFonts w:ascii="Times New Roman" w:hAnsi="Times New Roman" w:cs="Times New Roman"/>
          <w:sz w:val="24"/>
          <w:szCs w:val="24"/>
        </w:rPr>
        <w:t xml:space="preserve"> (2016).</w:t>
      </w:r>
      <w:r w:rsidR="00F7365E" w:rsidRPr="00C35184">
        <w:rPr>
          <w:rFonts w:ascii="Times New Roman" w:hAnsi="Times New Roman" w:cs="Times New Roman"/>
          <w:sz w:val="24"/>
          <w:szCs w:val="24"/>
        </w:rPr>
        <w:t xml:space="preserve"> </w:t>
      </w:r>
      <w:r w:rsidR="00F7365E" w:rsidRPr="00C35184">
        <w:rPr>
          <w:rFonts w:ascii="Times New Roman" w:hAnsi="Times New Roman" w:cs="Times New Roman"/>
          <w:color w:val="000000"/>
          <w:sz w:val="24"/>
          <w:szCs w:val="24"/>
        </w:rPr>
        <w:t xml:space="preserve">The </w:t>
      </w:r>
      <m:oMath>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Cl</m:t>
            </m:r>
          </m:e>
          <m:sup>
            <m:r>
              <w:rPr>
                <w:rFonts w:ascii="Cambria Math" w:hAnsi="Cambria Math" w:cs="Times New Roman"/>
                <w:color w:val="000000"/>
                <w:sz w:val="24"/>
                <w:szCs w:val="24"/>
              </w:rPr>
              <m:t>-</m:t>
            </m:r>
          </m:sup>
        </m:sSup>
      </m:oMath>
      <w:r w:rsidR="00F7365E" w:rsidRPr="00C35184">
        <w:rPr>
          <w:rFonts w:ascii="Times New Roman" w:hAnsi="Times New Roman" w:cs="Times New Roman"/>
          <w:color w:val="000000"/>
          <w:sz w:val="24"/>
          <w:szCs w:val="24"/>
        </w:rPr>
        <w:t xml:space="preserve"> mean concentration across the sampled points are 4.52 </w:t>
      </w:r>
      <w:r w:rsidR="00F7365E" w:rsidRPr="00C35184">
        <w:rPr>
          <w:rFonts w:ascii="Times New Roman" w:hAnsi="Times New Roman" w:cs="Times New Roman"/>
          <w:sz w:val="24"/>
          <w:szCs w:val="24"/>
        </w:rPr>
        <w:t xml:space="preserve">mg/l </w:t>
      </w:r>
      <w:r w:rsidR="00F7365E" w:rsidRPr="00C35184">
        <w:rPr>
          <w:rFonts w:ascii="Times New Roman" w:hAnsi="Times New Roman" w:cs="Times New Roman"/>
          <w:color w:val="000000"/>
          <w:sz w:val="24"/>
          <w:szCs w:val="24"/>
        </w:rPr>
        <w:t>across the study area.</w:t>
      </w:r>
      <w:r w:rsidR="00F7365E" w:rsidRPr="00C35184">
        <w:rPr>
          <w:rFonts w:ascii="Times New Roman" w:hAnsi="Times New Roman" w:cs="Times New Roman"/>
          <w:sz w:val="24"/>
          <w:szCs w:val="24"/>
        </w:rPr>
        <w:t xml:space="preserve"> </w:t>
      </w:r>
      <w:r w:rsidR="00F7365E" w:rsidRPr="00C35184">
        <w:rPr>
          <w:rFonts w:ascii="Times New Roman" w:hAnsi="Times New Roman" w:cs="Times New Roman"/>
          <w:sz w:val="24"/>
          <w:szCs w:val="24"/>
          <w:lang w:val="en-US"/>
        </w:rPr>
        <w:t xml:space="preserve">The Cl reported for this study was similar to those reported by </w:t>
      </w:r>
      <w:proofErr w:type="spellStart"/>
      <w:r w:rsidR="00F7365E" w:rsidRPr="00C35184">
        <w:rPr>
          <w:rFonts w:ascii="Times New Roman" w:hAnsi="Times New Roman" w:cs="Times New Roman"/>
          <w:sz w:val="24"/>
          <w:szCs w:val="24"/>
          <w:lang w:val="en-US"/>
        </w:rPr>
        <w:t>Asaomaku</w:t>
      </w:r>
      <w:proofErr w:type="spellEnd"/>
      <w:r w:rsidR="00F7365E" w:rsidRPr="00C35184">
        <w:rPr>
          <w:rFonts w:ascii="Times New Roman" w:hAnsi="Times New Roman" w:cs="Times New Roman"/>
          <w:sz w:val="24"/>
          <w:szCs w:val="24"/>
          <w:lang w:val="en-US"/>
        </w:rPr>
        <w:t xml:space="preserve"> (2022) while the higher than those reported by Khalid et al. (2018). </w:t>
      </w:r>
      <w:r w:rsidR="00F7365E" w:rsidRPr="00C35184">
        <w:rPr>
          <w:rFonts w:ascii="Times New Roman" w:hAnsi="Times New Roman" w:cs="Times New Roman"/>
          <w:color w:val="000000"/>
          <w:sz w:val="24"/>
          <w:szCs w:val="24"/>
        </w:rPr>
        <w:t xml:space="preserve">The </w:t>
      </w:r>
      <m:oMath>
        <m:sSubSup>
          <m:sSubSupPr>
            <m:ctrlPr>
              <w:rPr>
                <w:rFonts w:ascii="Cambria Math" w:hAnsi="Cambria Math" w:cs="Times New Roman"/>
                <w:i/>
                <w:sz w:val="24"/>
                <w:szCs w:val="24"/>
              </w:rPr>
            </m:ctrlPr>
          </m:sSubSupPr>
          <m:e>
            <m:r>
              <w:rPr>
                <w:rFonts w:ascii="Cambria Math" w:hAnsi="Cambria Math" w:cs="Times New Roman"/>
                <w:sz w:val="24"/>
                <w:szCs w:val="24"/>
              </w:rPr>
              <m:t>SO</m:t>
            </m:r>
          </m:e>
          <m:sub>
            <m:r>
              <w:rPr>
                <w:rFonts w:ascii="Cambria Math" w:hAnsi="Cambria Math" w:cs="Times New Roman"/>
                <w:sz w:val="24"/>
                <w:szCs w:val="24"/>
              </w:rPr>
              <m:t>4</m:t>
            </m:r>
          </m:sub>
          <m:sup>
            <m:r>
              <w:rPr>
                <w:rFonts w:ascii="Cambria Math" w:hAnsi="Cambria Math" w:cs="Times New Roman"/>
                <w:sz w:val="24"/>
                <w:szCs w:val="24"/>
              </w:rPr>
              <m:t>2-</m:t>
            </m:r>
          </m:sup>
        </m:sSubSup>
        <m:r>
          <w:rPr>
            <w:rFonts w:ascii="Cambria Math" w:hAnsi="Cambria Math" w:cs="Times New Roman"/>
            <w:sz w:val="24"/>
            <w:szCs w:val="24"/>
          </w:rPr>
          <m:t xml:space="preserve"> </m:t>
        </m:r>
      </m:oMath>
      <w:r w:rsidR="00F7365E" w:rsidRPr="00C35184">
        <w:rPr>
          <w:rFonts w:ascii="Times New Roman" w:hAnsi="Times New Roman" w:cs="Times New Roman"/>
          <w:color w:val="000000"/>
          <w:sz w:val="24"/>
          <w:szCs w:val="24"/>
        </w:rPr>
        <w:t xml:space="preserve">mean concentration across the sampled point was </w:t>
      </w:r>
      <w:r w:rsidR="00F7365E" w:rsidRPr="00C35184">
        <w:rPr>
          <w:rFonts w:ascii="Times New Roman" w:hAnsi="Times New Roman" w:cs="Times New Roman"/>
          <w:sz w:val="24"/>
          <w:szCs w:val="24"/>
        </w:rPr>
        <w:t xml:space="preserve">0.03 mg/l </w:t>
      </w:r>
      <w:r w:rsidR="00F7365E" w:rsidRPr="00C35184">
        <w:rPr>
          <w:rFonts w:ascii="Times New Roman" w:hAnsi="Times New Roman" w:cs="Times New Roman"/>
          <w:color w:val="000000"/>
          <w:sz w:val="24"/>
          <w:szCs w:val="24"/>
        </w:rPr>
        <w:t xml:space="preserve">across the study area. </w:t>
      </w:r>
      <w:r w:rsidR="00F7365E" w:rsidRPr="00C35184">
        <w:rPr>
          <w:rFonts w:ascii="Times New Roman" w:hAnsi="Times New Roman" w:cs="Times New Roman"/>
          <w:sz w:val="24"/>
          <w:szCs w:val="24"/>
        </w:rPr>
        <w:t xml:space="preserve"> </w:t>
      </w:r>
      <w:bookmarkStart w:id="10" w:name="_Hlk182239275"/>
      <w:r w:rsidR="00F7365E" w:rsidRPr="00C35184">
        <w:rPr>
          <w:rFonts w:ascii="Times New Roman" w:hAnsi="Times New Roman" w:cs="Times New Roman"/>
          <w:bCs/>
          <w:sz w:val="24"/>
          <w:szCs w:val="24"/>
          <w:lang w:eastAsia="en-GB"/>
        </w:rPr>
        <w:t xml:space="preserve">All the reported concentrations are similar to those reported by </w:t>
      </w:r>
      <w:r w:rsidR="00F7365E" w:rsidRPr="00C35184">
        <w:rPr>
          <w:rFonts w:ascii="Times New Roman" w:hAnsi="Times New Roman" w:cs="Times New Roman"/>
          <w:iCs/>
          <w:sz w:val="24"/>
          <w:szCs w:val="24"/>
        </w:rPr>
        <w:t xml:space="preserve">Afolabi et al. (2022) for groundwater and </w:t>
      </w:r>
      <w:r w:rsidR="00F7365E" w:rsidRPr="00C35184">
        <w:rPr>
          <w:rFonts w:ascii="Times New Roman" w:hAnsi="Times New Roman" w:cs="Times New Roman"/>
          <w:bCs/>
          <w:sz w:val="24"/>
          <w:szCs w:val="24"/>
          <w:lang w:eastAsia="en-GB"/>
        </w:rPr>
        <w:t xml:space="preserve">Magaji (2020) for </w:t>
      </w:r>
      <w:r w:rsidR="00F7365E" w:rsidRPr="00C35184">
        <w:rPr>
          <w:rFonts w:ascii="Times New Roman" w:hAnsi="Times New Roman" w:cs="Times New Roman"/>
          <w:iCs/>
          <w:sz w:val="24"/>
          <w:szCs w:val="24"/>
        </w:rPr>
        <w:t>Sachet water produced.</w:t>
      </w:r>
      <w:bookmarkEnd w:id="10"/>
      <w:r w:rsidR="00F7365E" w:rsidRPr="00C35184">
        <w:rPr>
          <w:rFonts w:ascii="Times New Roman" w:hAnsi="Times New Roman" w:cs="Times New Roman"/>
          <w:sz w:val="24"/>
          <w:szCs w:val="24"/>
          <w:lang w:val="en-US"/>
        </w:rPr>
        <w:t xml:space="preserve"> </w:t>
      </w:r>
      <w:r w:rsidR="00F7365E" w:rsidRPr="00C35184">
        <w:rPr>
          <w:rFonts w:ascii="Times New Roman" w:hAnsi="Times New Roman" w:cs="Times New Roman"/>
          <w:sz w:val="24"/>
          <w:szCs w:val="24"/>
        </w:rPr>
        <w:t xml:space="preserve">All the inorganic elements (Na, Ca and Mg) reported are similar in concentration across the study area while the reported concentrations are below the WHO allowable limit. The concentration reported for inorganic elements are lower to those reported by Afolabi et al. (2022). According to </w:t>
      </w:r>
      <w:proofErr w:type="spellStart"/>
      <w:r w:rsidR="00F7365E" w:rsidRPr="00C35184">
        <w:rPr>
          <w:rFonts w:ascii="Times New Roman" w:hAnsi="Times New Roman" w:cs="Times New Roman"/>
          <w:sz w:val="24"/>
          <w:szCs w:val="24"/>
        </w:rPr>
        <w:t>Adimalla</w:t>
      </w:r>
      <w:proofErr w:type="spellEnd"/>
      <w:r w:rsidR="00F7365E" w:rsidRPr="00C35184">
        <w:rPr>
          <w:rFonts w:ascii="Times New Roman" w:hAnsi="Times New Roman" w:cs="Times New Roman"/>
          <w:sz w:val="24"/>
          <w:szCs w:val="24"/>
        </w:rPr>
        <w:t xml:space="preserve"> and Wu (2019), inorganic elements are from natural sources, although anthropogenic activities can also increase their concentration in groundwater. </w:t>
      </w:r>
      <w:bookmarkStart w:id="11" w:name="_Hlk174566992"/>
      <w:r w:rsidR="00F7365E" w:rsidRPr="00C35184">
        <w:rPr>
          <w:rFonts w:ascii="Times New Roman" w:hAnsi="Times New Roman" w:cs="Times New Roman"/>
          <w:sz w:val="24"/>
          <w:szCs w:val="24"/>
        </w:rPr>
        <w:t>The Cu concentration ranged from 0.007 mg/l at BH9 to 0.027 mg/l at BH6 with mean concentration of 0.014 and control sample concentration of &lt;0.001 mg/l. All the reported concentrations were below the WHO (2018) and NSDWQ (2007) allowable limit</w:t>
      </w:r>
      <w:bookmarkEnd w:id="11"/>
      <w:r w:rsidR="00F7365E" w:rsidRPr="00C35184">
        <w:rPr>
          <w:rFonts w:ascii="Times New Roman" w:hAnsi="Times New Roman" w:cs="Times New Roman"/>
          <w:sz w:val="24"/>
          <w:szCs w:val="24"/>
        </w:rPr>
        <w:t xml:space="preserve">. </w:t>
      </w:r>
      <w:r w:rsidR="00F7365E" w:rsidRPr="00C35184">
        <w:rPr>
          <w:rFonts w:ascii="Times New Roman" w:hAnsi="Times New Roman" w:cs="Times New Roman"/>
          <w:color w:val="000000"/>
          <w:sz w:val="24"/>
          <w:szCs w:val="24"/>
        </w:rPr>
        <w:t xml:space="preserve">The outcome is similar to the concentration reported by </w:t>
      </w:r>
      <w:proofErr w:type="spellStart"/>
      <w:r w:rsidR="00F7365E" w:rsidRPr="00C35184">
        <w:rPr>
          <w:rFonts w:ascii="Times New Roman" w:hAnsi="Times New Roman" w:cs="Times New Roman"/>
          <w:color w:val="000000"/>
          <w:sz w:val="24"/>
          <w:szCs w:val="24"/>
        </w:rPr>
        <w:t>Laniyan</w:t>
      </w:r>
      <w:proofErr w:type="spellEnd"/>
      <w:r w:rsidR="00F7365E" w:rsidRPr="00C35184">
        <w:rPr>
          <w:rFonts w:ascii="Times New Roman" w:hAnsi="Times New Roman" w:cs="Times New Roman"/>
          <w:color w:val="000000"/>
          <w:sz w:val="24"/>
          <w:szCs w:val="24"/>
        </w:rPr>
        <w:t xml:space="preserve"> and </w:t>
      </w:r>
      <w:proofErr w:type="spellStart"/>
      <w:r w:rsidR="00F7365E" w:rsidRPr="00C35184">
        <w:rPr>
          <w:rFonts w:ascii="Times New Roman" w:hAnsi="Times New Roman" w:cs="Times New Roman"/>
          <w:color w:val="000000"/>
          <w:sz w:val="24"/>
          <w:szCs w:val="24"/>
        </w:rPr>
        <w:t>Adewumi</w:t>
      </w:r>
      <w:proofErr w:type="spellEnd"/>
      <w:r w:rsidR="00F7365E" w:rsidRPr="00C35184">
        <w:rPr>
          <w:rFonts w:ascii="Times New Roman" w:hAnsi="Times New Roman" w:cs="Times New Roman"/>
          <w:color w:val="000000"/>
          <w:sz w:val="24"/>
          <w:szCs w:val="24"/>
        </w:rPr>
        <w:t xml:space="preserve"> (2019), Naminata et al. (2018) and Afolabi et al. (2022) for similar Cu concentration for groundwater. </w:t>
      </w:r>
    </w:p>
    <w:p w14:paraId="46C3E2AF" w14:textId="77777777" w:rsidR="00F7365E" w:rsidRPr="00C35184" w:rsidRDefault="00F7365E" w:rsidP="00F7365E">
      <w:pPr>
        <w:spacing w:after="0" w:line="480" w:lineRule="auto"/>
        <w:jc w:val="both"/>
        <w:rPr>
          <w:rFonts w:ascii="Times New Roman" w:hAnsi="Times New Roman" w:cs="Times New Roman"/>
          <w:b/>
          <w:sz w:val="24"/>
          <w:szCs w:val="24"/>
        </w:rPr>
      </w:pPr>
      <w:r w:rsidRPr="00C35184">
        <w:rPr>
          <w:rFonts w:ascii="Times New Roman" w:hAnsi="Times New Roman" w:cs="Times New Roman"/>
          <w:color w:val="000000"/>
          <w:sz w:val="24"/>
          <w:szCs w:val="24"/>
          <w:lang w:eastAsia="en-GB"/>
        </w:rPr>
        <w:lastRenderedPageBreak/>
        <w:t xml:space="preserve">The WQI of groundwater samples (based on mean concentration) </w:t>
      </w:r>
      <w:r w:rsidRPr="00C35184">
        <w:rPr>
          <w:rFonts w:ascii="Times New Roman" w:hAnsi="Times New Roman" w:cs="Times New Roman"/>
          <w:color w:val="000000"/>
          <w:sz w:val="24"/>
          <w:szCs w:val="24"/>
          <w:lang w:val="en-US" w:eastAsia="en-GB"/>
        </w:rPr>
        <w:t>across the water samples were</w:t>
      </w:r>
      <w:r w:rsidRPr="00C35184">
        <w:rPr>
          <w:rFonts w:ascii="Times New Roman" w:hAnsi="Times New Roman" w:cs="Times New Roman"/>
          <w:color w:val="000000"/>
          <w:sz w:val="24"/>
          <w:szCs w:val="24"/>
          <w:lang w:eastAsia="en-GB"/>
        </w:rPr>
        <w:t xml:space="preserve"> evaluated for the quality for consumption and other purposes and the outcome was presented in Table </w:t>
      </w:r>
      <w:r w:rsidRPr="00C35184">
        <w:rPr>
          <w:rFonts w:ascii="Times New Roman" w:hAnsi="Times New Roman" w:cs="Times New Roman"/>
          <w:color w:val="000000"/>
          <w:sz w:val="24"/>
          <w:szCs w:val="24"/>
          <w:lang w:val="en-US" w:eastAsia="en-GB"/>
        </w:rPr>
        <w:t>2</w:t>
      </w:r>
      <w:r w:rsidRPr="00C35184">
        <w:rPr>
          <w:rFonts w:ascii="Times New Roman" w:hAnsi="Times New Roman" w:cs="Times New Roman"/>
          <w:color w:val="000000"/>
          <w:sz w:val="24"/>
          <w:szCs w:val="24"/>
          <w:lang w:eastAsia="en-GB"/>
        </w:rPr>
        <w:t xml:space="preserve">. </w:t>
      </w:r>
      <w:bookmarkStart w:id="12" w:name="_Hlk174563545"/>
      <w:r w:rsidRPr="00C35184">
        <w:rPr>
          <w:rFonts w:ascii="Times New Roman" w:hAnsi="Times New Roman" w:cs="Times New Roman"/>
          <w:color w:val="000000"/>
          <w:sz w:val="24"/>
          <w:szCs w:val="24"/>
          <w:lang w:eastAsia="en-GB"/>
        </w:rPr>
        <w:t xml:space="preserve">The </w:t>
      </w:r>
      <w:bookmarkStart w:id="13" w:name="_Hlk151138560"/>
      <w:r w:rsidRPr="00C35184">
        <w:rPr>
          <w:rFonts w:ascii="Times New Roman" w:hAnsi="Times New Roman" w:cs="Times New Roman"/>
          <w:color w:val="000000"/>
          <w:sz w:val="24"/>
          <w:szCs w:val="24"/>
          <w:lang w:eastAsia="en-GB"/>
        </w:rPr>
        <w:t>groundwater sample had WQI of 21.61.</w:t>
      </w:r>
      <w:bookmarkEnd w:id="13"/>
      <w:r w:rsidRPr="00C35184">
        <w:rPr>
          <w:rFonts w:ascii="Times New Roman" w:hAnsi="Times New Roman" w:cs="Times New Roman"/>
          <w:color w:val="000000"/>
          <w:sz w:val="24"/>
          <w:szCs w:val="24"/>
          <w:lang w:eastAsia="en-GB"/>
        </w:rPr>
        <w:t xml:space="preserve"> From the WQI analysis, the </w:t>
      </w:r>
      <w:bookmarkStart w:id="14" w:name="_Hlk151138646"/>
      <w:r w:rsidRPr="00C35184">
        <w:rPr>
          <w:rFonts w:ascii="Times New Roman" w:hAnsi="Times New Roman" w:cs="Times New Roman"/>
          <w:color w:val="000000"/>
          <w:sz w:val="24"/>
          <w:szCs w:val="24"/>
          <w:lang w:eastAsia="en-GB"/>
        </w:rPr>
        <w:t>groundwater sample can be classified</w:t>
      </w:r>
      <w:r w:rsidRPr="00C35184">
        <w:rPr>
          <w:rFonts w:ascii="Times New Roman" w:hAnsi="Times New Roman" w:cs="Times New Roman"/>
          <w:color w:val="000000"/>
          <w:sz w:val="24"/>
          <w:szCs w:val="24"/>
        </w:rPr>
        <w:t xml:space="preserve"> “Excellent Water”. </w:t>
      </w:r>
      <w:bookmarkEnd w:id="14"/>
      <w:r w:rsidRPr="00C35184">
        <w:rPr>
          <w:rFonts w:ascii="Times New Roman" w:hAnsi="Times New Roman" w:cs="Times New Roman"/>
          <w:color w:val="000000"/>
          <w:sz w:val="24"/>
          <w:szCs w:val="24"/>
        </w:rPr>
        <w:t xml:space="preserve">The values obtained in this current study is lower than those reported by </w:t>
      </w:r>
      <w:proofErr w:type="spellStart"/>
      <w:r w:rsidRPr="00C35184">
        <w:rPr>
          <w:rFonts w:ascii="Times New Roman" w:hAnsi="Times New Roman" w:cs="Times New Roman"/>
          <w:color w:val="000000"/>
          <w:sz w:val="24"/>
          <w:szCs w:val="24"/>
        </w:rPr>
        <w:t>Asomaku</w:t>
      </w:r>
      <w:proofErr w:type="spellEnd"/>
      <w:r w:rsidRPr="00C35184">
        <w:rPr>
          <w:rFonts w:ascii="Times New Roman" w:hAnsi="Times New Roman" w:cs="Times New Roman"/>
          <w:color w:val="000000"/>
          <w:sz w:val="24"/>
          <w:szCs w:val="24"/>
        </w:rPr>
        <w:t xml:space="preserve"> (2022) with WQI values (35.12 – 62.97) for selected groundwater. Similar outcome was reported by the study conducted by </w:t>
      </w:r>
      <w:r w:rsidRPr="00C35184">
        <w:rPr>
          <w:rFonts w:ascii="Times New Roman" w:hAnsi="Times New Roman" w:cs="Times New Roman"/>
          <w:sz w:val="24"/>
          <w:szCs w:val="24"/>
          <w:lang w:val="en-US"/>
        </w:rPr>
        <w:t xml:space="preserve">Akter et al. (2016). The procedure adopted for the study was similar to those reported by Manna and Biswas (2023) for drinking water quality index. </w:t>
      </w:r>
    </w:p>
    <w:p w14:paraId="7DDC6824" w14:textId="5CC4E5D2" w:rsidR="00F7365E" w:rsidRPr="00C35184" w:rsidRDefault="00F7365E" w:rsidP="00F7365E">
      <w:pPr>
        <w:pStyle w:val="ListParagraph"/>
        <w:spacing w:after="0" w:line="276" w:lineRule="auto"/>
        <w:ind w:left="0"/>
        <w:jc w:val="both"/>
        <w:outlineLvl w:val="2"/>
        <w:rPr>
          <w:rFonts w:ascii="Times New Roman" w:hAnsi="Times New Roman"/>
          <w:iCs/>
          <w:color w:val="000000"/>
          <w:sz w:val="24"/>
          <w:szCs w:val="24"/>
        </w:rPr>
      </w:pPr>
      <w:bookmarkStart w:id="15" w:name="_Toc183723812"/>
      <w:bookmarkEnd w:id="12"/>
      <w:r w:rsidRPr="00C35184">
        <w:rPr>
          <w:rFonts w:ascii="Times New Roman" w:hAnsi="Times New Roman"/>
          <w:iCs/>
          <w:color w:val="000000"/>
          <w:sz w:val="24"/>
          <w:szCs w:val="24"/>
        </w:rPr>
        <w:t xml:space="preserve">Table </w:t>
      </w:r>
      <w:r w:rsidRPr="00C35184">
        <w:rPr>
          <w:rFonts w:ascii="Times New Roman" w:hAnsi="Times New Roman"/>
          <w:iCs/>
          <w:color w:val="000000"/>
          <w:sz w:val="24"/>
          <w:szCs w:val="24"/>
          <w:lang w:val="en-US"/>
        </w:rPr>
        <w:t>2</w:t>
      </w:r>
      <w:r w:rsidRPr="00C35184">
        <w:rPr>
          <w:rFonts w:ascii="Times New Roman" w:hAnsi="Times New Roman"/>
          <w:iCs/>
          <w:color w:val="000000"/>
          <w:sz w:val="24"/>
          <w:szCs w:val="24"/>
        </w:rPr>
        <w:t>: WQI of groundwater of the Study Area</w:t>
      </w:r>
      <w:bookmarkEnd w:id="15"/>
    </w:p>
    <w:tbl>
      <w:tblPr>
        <w:tblW w:w="9326" w:type="dxa"/>
        <w:tblBorders>
          <w:top w:val="single" w:sz="4" w:space="0" w:color="auto"/>
          <w:bottom w:val="single" w:sz="4" w:space="0" w:color="auto"/>
          <w:insideH w:val="single" w:sz="4" w:space="0" w:color="auto"/>
        </w:tblBorders>
        <w:tblLook w:val="0000" w:firstRow="0" w:lastRow="0" w:firstColumn="0" w:lastColumn="0" w:noHBand="0" w:noVBand="0"/>
      </w:tblPr>
      <w:tblGrid>
        <w:gridCol w:w="1191"/>
        <w:gridCol w:w="1055"/>
        <w:gridCol w:w="662"/>
        <w:gridCol w:w="1062"/>
        <w:gridCol w:w="1155"/>
        <w:gridCol w:w="1339"/>
        <w:gridCol w:w="1339"/>
        <w:gridCol w:w="1523"/>
      </w:tblGrid>
      <w:tr w:rsidR="00F7365E" w:rsidRPr="00C35184" w14:paraId="4C4AF2D4" w14:textId="77777777" w:rsidTr="00403501">
        <w:trPr>
          <w:trHeight w:val="428"/>
        </w:trPr>
        <w:tc>
          <w:tcPr>
            <w:tcW w:w="2246" w:type="dxa"/>
            <w:gridSpan w:val="2"/>
            <w:tcBorders>
              <w:bottom w:val="single" w:sz="4" w:space="0" w:color="auto"/>
            </w:tcBorders>
            <w:vAlign w:val="center"/>
          </w:tcPr>
          <w:p w14:paraId="0B941E86"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Parameters</w:t>
            </w:r>
          </w:p>
        </w:tc>
        <w:tc>
          <w:tcPr>
            <w:tcW w:w="662" w:type="dxa"/>
            <w:tcBorders>
              <w:bottom w:val="single" w:sz="4" w:space="0" w:color="auto"/>
            </w:tcBorders>
            <w:vAlign w:val="center"/>
          </w:tcPr>
          <w:p w14:paraId="4C63AE74" w14:textId="77777777" w:rsidR="00F7365E" w:rsidRPr="00C35184" w:rsidRDefault="00F7365E" w:rsidP="00F7365E">
            <w:pPr>
              <w:spacing w:after="0" w:line="276" w:lineRule="auto"/>
              <w:jc w:val="center"/>
              <w:rPr>
                <w:rFonts w:ascii="Times New Roman" w:hAnsi="Times New Roman" w:cs="Times New Roman"/>
                <w:color w:val="000000"/>
                <w:sz w:val="24"/>
                <w:szCs w:val="24"/>
              </w:rPr>
            </w:pPr>
            <w:proofErr w:type="spellStart"/>
            <w:r w:rsidRPr="00C35184">
              <w:rPr>
                <w:rFonts w:ascii="Times New Roman" w:eastAsia="DGMetaSerifScience" w:hAnsi="Times New Roman" w:cs="Times New Roman"/>
                <w:b/>
                <w:color w:val="000000"/>
                <w:sz w:val="24"/>
                <w:szCs w:val="24"/>
                <w:lang w:eastAsia="en-GB"/>
              </w:rPr>
              <w:t>w</w:t>
            </w:r>
            <w:r w:rsidRPr="00C35184">
              <w:rPr>
                <w:rFonts w:ascii="Times New Roman" w:eastAsia="DGMetaSerifScience" w:hAnsi="Times New Roman" w:cs="Times New Roman"/>
                <w:b/>
                <w:color w:val="000000"/>
                <w:sz w:val="24"/>
                <w:szCs w:val="24"/>
                <w:vertAlign w:val="subscript"/>
                <w:lang w:eastAsia="en-GB"/>
              </w:rPr>
              <w:t>i</w:t>
            </w:r>
            <w:proofErr w:type="spellEnd"/>
          </w:p>
        </w:tc>
        <w:tc>
          <w:tcPr>
            <w:tcW w:w="1062" w:type="dxa"/>
            <w:tcBorders>
              <w:bottom w:val="single" w:sz="4" w:space="0" w:color="auto"/>
            </w:tcBorders>
            <w:vAlign w:val="center"/>
          </w:tcPr>
          <w:p w14:paraId="272885B0"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eastAsia="DGMetaSerifScience" w:hAnsi="Times New Roman" w:cs="Times New Roman"/>
                <w:b/>
                <w:color w:val="000000"/>
                <w:sz w:val="24"/>
                <w:szCs w:val="24"/>
                <w:lang w:eastAsia="en-GB"/>
              </w:rPr>
              <w:t>Si</w:t>
            </w:r>
          </w:p>
        </w:tc>
        <w:tc>
          <w:tcPr>
            <w:tcW w:w="1155" w:type="dxa"/>
            <w:tcBorders>
              <w:bottom w:val="single" w:sz="4" w:space="0" w:color="auto"/>
            </w:tcBorders>
            <w:vAlign w:val="center"/>
          </w:tcPr>
          <w:p w14:paraId="589D79D7"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eastAsia="DGMetaSerifScience" w:hAnsi="Times New Roman" w:cs="Times New Roman"/>
                <w:b/>
                <w:color w:val="000000"/>
                <w:sz w:val="24"/>
                <w:szCs w:val="24"/>
                <w:lang w:eastAsia="en-GB"/>
              </w:rPr>
              <w:t>Wi</w:t>
            </w:r>
          </w:p>
        </w:tc>
        <w:tc>
          <w:tcPr>
            <w:tcW w:w="4201" w:type="dxa"/>
            <w:gridSpan w:val="3"/>
            <w:vAlign w:val="center"/>
          </w:tcPr>
          <w:p w14:paraId="2C582332" w14:textId="77777777" w:rsidR="00F7365E" w:rsidRPr="00C35184" w:rsidRDefault="00F7365E" w:rsidP="00F7365E">
            <w:pPr>
              <w:spacing w:after="0" w:line="276" w:lineRule="auto"/>
              <w:jc w:val="center"/>
              <w:rPr>
                <w:rFonts w:ascii="Times New Roman" w:hAnsi="Times New Roman" w:cs="Times New Roman"/>
                <w:b/>
                <w:color w:val="000000"/>
                <w:sz w:val="24"/>
                <w:szCs w:val="24"/>
              </w:rPr>
            </w:pPr>
            <w:r w:rsidRPr="00C35184">
              <w:rPr>
                <w:rFonts w:ascii="Times New Roman" w:hAnsi="Times New Roman" w:cs="Times New Roman"/>
                <w:b/>
                <w:color w:val="000000"/>
                <w:sz w:val="24"/>
                <w:szCs w:val="24"/>
              </w:rPr>
              <w:t>Groundwater</w:t>
            </w:r>
          </w:p>
        </w:tc>
      </w:tr>
      <w:tr w:rsidR="00F7365E" w:rsidRPr="00C35184" w14:paraId="1435CB0E" w14:textId="77777777" w:rsidTr="00403501">
        <w:trPr>
          <w:trHeight w:val="227"/>
        </w:trPr>
        <w:tc>
          <w:tcPr>
            <w:tcW w:w="2246" w:type="dxa"/>
            <w:gridSpan w:val="2"/>
            <w:tcBorders>
              <w:bottom w:val="nil"/>
            </w:tcBorders>
            <w:vAlign w:val="center"/>
          </w:tcPr>
          <w:p w14:paraId="72529BA9" w14:textId="77777777" w:rsidR="00F7365E" w:rsidRPr="00C35184" w:rsidRDefault="00F7365E" w:rsidP="00F7365E">
            <w:pPr>
              <w:spacing w:after="0" w:line="276" w:lineRule="auto"/>
              <w:jc w:val="center"/>
              <w:rPr>
                <w:rFonts w:ascii="Times New Roman" w:hAnsi="Times New Roman" w:cs="Times New Roman"/>
                <w:color w:val="000000"/>
                <w:sz w:val="24"/>
                <w:szCs w:val="24"/>
              </w:rPr>
            </w:pPr>
          </w:p>
        </w:tc>
        <w:tc>
          <w:tcPr>
            <w:tcW w:w="662" w:type="dxa"/>
            <w:tcBorders>
              <w:bottom w:val="nil"/>
            </w:tcBorders>
            <w:vAlign w:val="center"/>
          </w:tcPr>
          <w:p w14:paraId="662A8AC5" w14:textId="77777777" w:rsidR="00F7365E" w:rsidRPr="00C35184" w:rsidRDefault="00F7365E" w:rsidP="00F7365E">
            <w:pPr>
              <w:spacing w:after="0" w:line="276" w:lineRule="auto"/>
              <w:jc w:val="center"/>
              <w:rPr>
                <w:rFonts w:ascii="Times New Roman" w:hAnsi="Times New Roman" w:cs="Times New Roman"/>
                <w:color w:val="000000"/>
                <w:sz w:val="24"/>
                <w:szCs w:val="24"/>
              </w:rPr>
            </w:pPr>
          </w:p>
        </w:tc>
        <w:tc>
          <w:tcPr>
            <w:tcW w:w="1062" w:type="dxa"/>
            <w:tcBorders>
              <w:bottom w:val="nil"/>
            </w:tcBorders>
            <w:vAlign w:val="center"/>
          </w:tcPr>
          <w:p w14:paraId="091A8275" w14:textId="77777777" w:rsidR="00F7365E" w:rsidRPr="00C35184" w:rsidRDefault="00F7365E" w:rsidP="00F7365E">
            <w:pPr>
              <w:spacing w:after="0" w:line="276" w:lineRule="auto"/>
              <w:jc w:val="center"/>
              <w:rPr>
                <w:rFonts w:ascii="Times New Roman" w:hAnsi="Times New Roman" w:cs="Times New Roman"/>
                <w:color w:val="000000"/>
                <w:sz w:val="24"/>
                <w:szCs w:val="24"/>
              </w:rPr>
            </w:pPr>
          </w:p>
        </w:tc>
        <w:tc>
          <w:tcPr>
            <w:tcW w:w="1155" w:type="dxa"/>
            <w:tcBorders>
              <w:bottom w:val="nil"/>
            </w:tcBorders>
            <w:vAlign w:val="center"/>
          </w:tcPr>
          <w:p w14:paraId="590B82A4" w14:textId="77777777" w:rsidR="00F7365E" w:rsidRPr="00C35184" w:rsidRDefault="00F7365E" w:rsidP="00F7365E">
            <w:pPr>
              <w:spacing w:after="0" w:line="276" w:lineRule="auto"/>
              <w:jc w:val="center"/>
              <w:rPr>
                <w:rFonts w:ascii="Times New Roman" w:hAnsi="Times New Roman" w:cs="Times New Roman"/>
                <w:color w:val="000000"/>
                <w:sz w:val="24"/>
                <w:szCs w:val="24"/>
              </w:rPr>
            </w:pPr>
          </w:p>
        </w:tc>
        <w:tc>
          <w:tcPr>
            <w:tcW w:w="1339" w:type="dxa"/>
            <w:tcBorders>
              <w:bottom w:val="single" w:sz="4" w:space="0" w:color="auto"/>
            </w:tcBorders>
            <w:vAlign w:val="center"/>
          </w:tcPr>
          <w:p w14:paraId="299FBA00"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eastAsia="DGMetaSerifScience" w:hAnsi="Times New Roman" w:cs="Times New Roman"/>
                <w:b/>
                <w:color w:val="000000"/>
                <w:sz w:val="24"/>
                <w:szCs w:val="24"/>
                <w:lang w:eastAsia="en-GB"/>
              </w:rPr>
              <w:t>Ci</w:t>
            </w:r>
          </w:p>
        </w:tc>
        <w:tc>
          <w:tcPr>
            <w:tcW w:w="1339" w:type="dxa"/>
            <w:tcBorders>
              <w:bottom w:val="single" w:sz="4" w:space="0" w:color="auto"/>
            </w:tcBorders>
            <w:vAlign w:val="center"/>
          </w:tcPr>
          <w:p w14:paraId="6FAF6578"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eastAsia="DGMetaSerifScience" w:hAnsi="Times New Roman" w:cs="Times New Roman"/>
                <w:b/>
                <w:color w:val="000000"/>
                <w:sz w:val="24"/>
                <w:szCs w:val="24"/>
                <w:lang w:eastAsia="en-GB"/>
              </w:rPr>
              <w:t>qi</w:t>
            </w:r>
          </w:p>
        </w:tc>
        <w:tc>
          <w:tcPr>
            <w:tcW w:w="1522" w:type="dxa"/>
            <w:tcBorders>
              <w:bottom w:val="single" w:sz="4" w:space="0" w:color="auto"/>
            </w:tcBorders>
            <w:vAlign w:val="center"/>
          </w:tcPr>
          <w:p w14:paraId="36D493C5"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eastAsia="DGMetaSerifScience" w:hAnsi="Times New Roman" w:cs="Times New Roman"/>
                <w:b/>
                <w:color w:val="000000"/>
                <w:sz w:val="24"/>
                <w:szCs w:val="24"/>
                <w:lang w:eastAsia="en-GB"/>
              </w:rPr>
              <w:t>SI</w:t>
            </w:r>
          </w:p>
        </w:tc>
      </w:tr>
      <w:tr w:rsidR="00F7365E" w:rsidRPr="00C35184" w14:paraId="4AEAD69C" w14:textId="77777777" w:rsidTr="00403501">
        <w:trPr>
          <w:trHeight w:val="276"/>
        </w:trPr>
        <w:tc>
          <w:tcPr>
            <w:tcW w:w="2246" w:type="dxa"/>
            <w:gridSpan w:val="2"/>
            <w:tcBorders>
              <w:top w:val="nil"/>
              <w:bottom w:val="nil"/>
            </w:tcBorders>
            <w:vAlign w:val="center"/>
          </w:tcPr>
          <w:p w14:paraId="6EBB8D6F"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PH</w:t>
            </w:r>
          </w:p>
        </w:tc>
        <w:tc>
          <w:tcPr>
            <w:tcW w:w="662" w:type="dxa"/>
            <w:tcBorders>
              <w:top w:val="nil"/>
              <w:bottom w:val="nil"/>
            </w:tcBorders>
            <w:vAlign w:val="center"/>
          </w:tcPr>
          <w:p w14:paraId="2C2DC1C1"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4</w:t>
            </w:r>
          </w:p>
        </w:tc>
        <w:tc>
          <w:tcPr>
            <w:tcW w:w="1062" w:type="dxa"/>
            <w:tcBorders>
              <w:top w:val="nil"/>
              <w:bottom w:val="nil"/>
            </w:tcBorders>
            <w:vAlign w:val="center"/>
          </w:tcPr>
          <w:p w14:paraId="726EC846" w14:textId="77777777" w:rsidR="00F7365E" w:rsidRPr="00C35184" w:rsidRDefault="00F7365E" w:rsidP="00F7365E">
            <w:pPr>
              <w:spacing w:after="0" w:line="276" w:lineRule="auto"/>
              <w:jc w:val="center"/>
              <w:rPr>
                <w:rFonts w:ascii="Times New Roman" w:eastAsia="Times New Roman" w:hAnsi="Times New Roman" w:cs="Times New Roman"/>
                <w:color w:val="000000"/>
                <w:sz w:val="24"/>
                <w:szCs w:val="24"/>
              </w:rPr>
            </w:pPr>
            <w:r w:rsidRPr="00C35184">
              <w:rPr>
                <w:rFonts w:ascii="Times New Roman" w:hAnsi="Times New Roman" w:cs="Times New Roman"/>
                <w:color w:val="000000"/>
                <w:sz w:val="24"/>
                <w:szCs w:val="24"/>
              </w:rPr>
              <w:t>8.5</w:t>
            </w:r>
          </w:p>
        </w:tc>
        <w:tc>
          <w:tcPr>
            <w:tcW w:w="1155" w:type="dxa"/>
            <w:tcBorders>
              <w:top w:val="nil"/>
              <w:bottom w:val="nil"/>
            </w:tcBorders>
            <w:vAlign w:val="center"/>
          </w:tcPr>
          <w:p w14:paraId="1F062A5B"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0.06</w:t>
            </w:r>
          </w:p>
        </w:tc>
        <w:tc>
          <w:tcPr>
            <w:tcW w:w="1339" w:type="dxa"/>
            <w:tcBorders>
              <w:bottom w:val="nil"/>
            </w:tcBorders>
            <w:vAlign w:val="center"/>
          </w:tcPr>
          <w:p w14:paraId="4A93A187"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5.34</w:t>
            </w:r>
          </w:p>
        </w:tc>
        <w:tc>
          <w:tcPr>
            <w:tcW w:w="1339" w:type="dxa"/>
            <w:tcBorders>
              <w:bottom w:val="nil"/>
            </w:tcBorders>
            <w:vAlign w:val="center"/>
          </w:tcPr>
          <w:p w14:paraId="1CA881ED"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62.82</w:t>
            </w:r>
          </w:p>
        </w:tc>
        <w:tc>
          <w:tcPr>
            <w:tcW w:w="1522" w:type="dxa"/>
            <w:tcBorders>
              <w:bottom w:val="nil"/>
            </w:tcBorders>
            <w:vAlign w:val="center"/>
          </w:tcPr>
          <w:p w14:paraId="078D1853"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3.77</w:t>
            </w:r>
          </w:p>
        </w:tc>
      </w:tr>
      <w:tr w:rsidR="00F7365E" w:rsidRPr="00C35184" w14:paraId="2EB7984D" w14:textId="77777777" w:rsidTr="00403501">
        <w:trPr>
          <w:trHeight w:val="260"/>
        </w:trPr>
        <w:tc>
          <w:tcPr>
            <w:tcW w:w="2246" w:type="dxa"/>
            <w:gridSpan w:val="2"/>
            <w:tcBorders>
              <w:top w:val="nil"/>
              <w:bottom w:val="nil"/>
            </w:tcBorders>
            <w:vAlign w:val="center"/>
          </w:tcPr>
          <w:p w14:paraId="2E37E9D4"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Temp</w:t>
            </w:r>
          </w:p>
        </w:tc>
        <w:tc>
          <w:tcPr>
            <w:tcW w:w="662" w:type="dxa"/>
            <w:tcBorders>
              <w:top w:val="nil"/>
              <w:bottom w:val="nil"/>
            </w:tcBorders>
            <w:vAlign w:val="center"/>
          </w:tcPr>
          <w:p w14:paraId="3212249C"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4</w:t>
            </w:r>
          </w:p>
        </w:tc>
        <w:tc>
          <w:tcPr>
            <w:tcW w:w="1062" w:type="dxa"/>
            <w:tcBorders>
              <w:top w:val="nil"/>
              <w:bottom w:val="nil"/>
            </w:tcBorders>
            <w:vAlign w:val="center"/>
          </w:tcPr>
          <w:p w14:paraId="7D135028" w14:textId="77777777" w:rsidR="00F7365E" w:rsidRPr="00C35184" w:rsidRDefault="00F7365E" w:rsidP="00F7365E">
            <w:pPr>
              <w:spacing w:after="0" w:line="276" w:lineRule="auto"/>
              <w:jc w:val="center"/>
              <w:rPr>
                <w:rFonts w:ascii="Times New Roman" w:eastAsia="Times New Roman" w:hAnsi="Times New Roman" w:cs="Times New Roman"/>
                <w:color w:val="000000"/>
                <w:sz w:val="24"/>
                <w:szCs w:val="24"/>
              </w:rPr>
            </w:pPr>
            <w:r w:rsidRPr="00C35184">
              <w:rPr>
                <w:rFonts w:ascii="Times New Roman" w:hAnsi="Times New Roman" w:cs="Times New Roman"/>
                <w:color w:val="000000"/>
                <w:sz w:val="24"/>
                <w:szCs w:val="24"/>
              </w:rPr>
              <w:t>40</w:t>
            </w:r>
          </w:p>
        </w:tc>
        <w:tc>
          <w:tcPr>
            <w:tcW w:w="1155" w:type="dxa"/>
            <w:tcBorders>
              <w:top w:val="nil"/>
              <w:bottom w:val="nil"/>
            </w:tcBorders>
          </w:tcPr>
          <w:p w14:paraId="68F7066A"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0.06</w:t>
            </w:r>
          </w:p>
        </w:tc>
        <w:tc>
          <w:tcPr>
            <w:tcW w:w="1339" w:type="dxa"/>
            <w:tcBorders>
              <w:top w:val="nil"/>
              <w:bottom w:val="nil"/>
            </w:tcBorders>
            <w:vAlign w:val="center"/>
          </w:tcPr>
          <w:p w14:paraId="67BE0252"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28.4</w:t>
            </w:r>
          </w:p>
        </w:tc>
        <w:tc>
          <w:tcPr>
            <w:tcW w:w="1339" w:type="dxa"/>
            <w:tcBorders>
              <w:top w:val="nil"/>
              <w:bottom w:val="nil"/>
            </w:tcBorders>
            <w:vAlign w:val="center"/>
          </w:tcPr>
          <w:p w14:paraId="7F6C009E"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71.0</w:t>
            </w:r>
          </w:p>
        </w:tc>
        <w:tc>
          <w:tcPr>
            <w:tcW w:w="1522" w:type="dxa"/>
            <w:tcBorders>
              <w:top w:val="nil"/>
              <w:bottom w:val="nil"/>
            </w:tcBorders>
            <w:vAlign w:val="center"/>
          </w:tcPr>
          <w:p w14:paraId="6D609EC3"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4.26</w:t>
            </w:r>
          </w:p>
        </w:tc>
      </w:tr>
      <w:tr w:rsidR="00F7365E" w:rsidRPr="00C35184" w14:paraId="17F0F577" w14:textId="77777777" w:rsidTr="00403501">
        <w:trPr>
          <w:trHeight w:val="260"/>
        </w:trPr>
        <w:tc>
          <w:tcPr>
            <w:tcW w:w="2246" w:type="dxa"/>
            <w:gridSpan w:val="2"/>
            <w:tcBorders>
              <w:top w:val="nil"/>
              <w:bottom w:val="nil"/>
            </w:tcBorders>
            <w:vAlign w:val="center"/>
          </w:tcPr>
          <w:p w14:paraId="545A8662"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Salinity</w:t>
            </w:r>
          </w:p>
        </w:tc>
        <w:tc>
          <w:tcPr>
            <w:tcW w:w="662" w:type="dxa"/>
            <w:tcBorders>
              <w:top w:val="nil"/>
              <w:bottom w:val="nil"/>
            </w:tcBorders>
            <w:vAlign w:val="center"/>
          </w:tcPr>
          <w:p w14:paraId="2FE23139"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4</w:t>
            </w:r>
          </w:p>
        </w:tc>
        <w:tc>
          <w:tcPr>
            <w:tcW w:w="1062" w:type="dxa"/>
            <w:tcBorders>
              <w:top w:val="nil"/>
              <w:bottom w:val="nil"/>
            </w:tcBorders>
            <w:vAlign w:val="center"/>
          </w:tcPr>
          <w:p w14:paraId="13872676" w14:textId="77777777" w:rsidR="00F7365E" w:rsidRPr="00C35184" w:rsidRDefault="00F7365E" w:rsidP="00F7365E">
            <w:pPr>
              <w:spacing w:after="0" w:line="276" w:lineRule="auto"/>
              <w:jc w:val="center"/>
              <w:rPr>
                <w:rFonts w:ascii="Times New Roman" w:eastAsia="Times New Roman" w:hAnsi="Times New Roman" w:cs="Times New Roman"/>
                <w:color w:val="000000"/>
                <w:sz w:val="24"/>
                <w:szCs w:val="24"/>
              </w:rPr>
            </w:pPr>
            <w:r w:rsidRPr="00C35184">
              <w:rPr>
                <w:rFonts w:ascii="Times New Roman" w:hAnsi="Times New Roman" w:cs="Times New Roman"/>
                <w:color w:val="000000"/>
                <w:sz w:val="24"/>
                <w:szCs w:val="24"/>
              </w:rPr>
              <w:t>1000</w:t>
            </w:r>
          </w:p>
        </w:tc>
        <w:tc>
          <w:tcPr>
            <w:tcW w:w="1155" w:type="dxa"/>
            <w:tcBorders>
              <w:top w:val="nil"/>
              <w:bottom w:val="nil"/>
            </w:tcBorders>
          </w:tcPr>
          <w:p w14:paraId="42DB2CAC"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0.06</w:t>
            </w:r>
          </w:p>
        </w:tc>
        <w:tc>
          <w:tcPr>
            <w:tcW w:w="1339" w:type="dxa"/>
            <w:tcBorders>
              <w:top w:val="nil"/>
              <w:bottom w:val="nil"/>
            </w:tcBorders>
            <w:vAlign w:val="center"/>
          </w:tcPr>
          <w:p w14:paraId="6D4D97FA"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0.011</w:t>
            </w:r>
          </w:p>
        </w:tc>
        <w:tc>
          <w:tcPr>
            <w:tcW w:w="1339" w:type="dxa"/>
            <w:tcBorders>
              <w:top w:val="nil"/>
              <w:bottom w:val="nil"/>
            </w:tcBorders>
            <w:vAlign w:val="center"/>
          </w:tcPr>
          <w:p w14:paraId="54CC3553"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0.0011</w:t>
            </w:r>
          </w:p>
        </w:tc>
        <w:tc>
          <w:tcPr>
            <w:tcW w:w="1522" w:type="dxa"/>
            <w:tcBorders>
              <w:top w:val="nil"/>
              <w:bottom w:val="nil"/>
            </w:tcBorders>
            <w:vAlign w:val="center"/>
          </w:tcPr>
          <w:p w14:paraId="39269362"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0.00006</w:t>
            </w:r>
          </w:p>
        </w:tc>
      </w:tr>
      <w:tr w:rsidR="00F7365E" w:rsidRPr="00C35184" w14:paraId="74AB4F50" w14:textId="77777777" w:rsidTr="00403501">
        <w:trPr>
          <w:trHeight w:val="260"/>
        </w:trPr>
        <w:tc>
          <w:tcPr>
            <w:tcW w:w="2246" w:type="dxa"/>
            <w:gridSpan w:val="2"/>
            <w:tcBorders>
              <w:top w:val="nil"/>
              <w:bottom w:val="nil"/>
            </w:tcBorders>
            <w:vAlign w:val="center"/>
          </w:tcPr>
          <w:p w14:paraId="12058810"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TDS</w:t>
            </w:r>
          </w:p>
        </w:tc>
        <w:tc>
          <w:tcPr>
            <w:tcW w:w="662" w:type="dxa"/>
            <w:tcBorders>
              <w:top w:val="nil"/>
              <w:bottom w:val="nil"/>
            </w:tcBorders>
            <w:vAlign w:val="center"/>
          </w:tcPr>
          <w:p w14:paraId="79417945"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4</w:t>
            </w:r>
          </w:p>
        </w:tc>
        <w:tc>
          <w:tcPr>
            <w:tcW w:w="1062" w:type="dxa"/>
            <w:tcBorders>
              <w:top w:val="nil"/>
              <w:bottom w:val="nil"/>
            </w:tcBorders>
            <w:vAlign w:val="center"/>
          </w:tcPr>
          <w:p w14:paraId="5FD63364" w14:textId="77777777" w:rsidR="00F7365E" w:rsidRPr="00C35184" w:rsidRDefault="00F7365E" w:rsidP="00F7365E">
            <w:pPr>
              <w:spacing w:after="0" w:line="276" w:lineRule="auto"/>
              <w:jc w:val="center"/>
              <w:rPr>
                <w:rFonts w:ascii="Times New Roman" w:eastAsia="Times New Roman" w:hAnsi="Times New Roman" w:cs="Times New Roman"/>
                <w:color w:val="000000"/>
                <w:sz w:val="24"/>
                <w:szCs w:val="24"/>
              </w:rPr>
            </w:pPr>
            <w:r w:rsidRPr="00C35184">
              <w:rPr>
                <w:rFonts w:ascii="Times New Roman" w:hAnsi="Times New Roman" w:cs="Times New Roman"/>
                <w:color w:val="000000"/>
                <w:sz w:val="24"/>
                <w:szCs w:val="24"/>
              </w:rPr>
              <w:t>50</w:t>
            </w:r>
          </w:p>
        </w:tc>
        <w:tc>
          <w:tcPr>
            <w:tcW w:w="1155" w:type="dxa"/>
            <w:tcBorders>
              <w:top w:val="nil"/>
              <w:bottom w:val="nil"/>
            </w:tcBorders>
          </w:tcPr>
          <w:p w14:paraId="377E6FC0"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0.06</w:t>
            </w:r>
          </w:p>
        </w:tc>
        <w:tc>
          <w:tcPr>
            <w:tcW w:w="1339" w:type="dxa"/>
            <w:tcBorders>
              <w:top w:val="nil"/>
              <w:bottom w:val="nil"/>
            </w:tcBorders>
            <w:vAlign w:val="center"/>
          </w:tcPr>
          <w:p w14:paraId="0891EC39"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69.73</w:t>
            </w:r>
          </w:p>
        </w:tc>
        <w:tc>
          <w:tcPr>
            <w:tcW w:w="1339" w:type="dxa"/>
            <w:tcBorders>
              <w:top w:val="nil"/>
              <w:bottom w:val="nil"/>
            </w:tcBorders>
            <w:vAlign w:val="center"/>
          </w:tcPr>
          <w:p w14:paraId="61200785"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139.46</w:t>
            </w:r>
          </w:p>
        </w:tc>
        <w:tc>
          <w:tcPr>
            <w:tcW w:w="1522" w:type="dxa"/>
            <w:tcBorders>
              <w:top w:val="nil"/>
              <w:bottom w:val="nil"/>
            </w:tcBorders>
            <w:vAlign w:val="center"/>
          </w:tcPr>
          <w:p w14:paraId="24CD57BA"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8.37</w:t>
            </w:r>
          </w:p>
        </w:tc>
      </w:tr>
      <w:tr w:rsidR="00F7365E" w:rsidRPr="00C35184" w14:paraId="35DC8397" w14:textId="77777777" w:rsidTr="00403501">
        <w:trPr>
          <w:trHeight w:val="260"/>
        </w:trPr>
        <w:tc>
          <w:tcPr>
            <w:tcW w:w="2246" w:type="dxa"/>
            <w:gridSpan w:val="2"/>
            <w:tcBorders>
              <w:top w:val="nil"/>
              <w:bottom w:val="nil"/>
            </w:tcBorders>
            <w:vAlign w:val="center"/>
          </w:tcPr>
          <w:p w14:paraId="6B0E9A9C"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Conductivity</w:t>
            </w:r>
          </w:p>
        </w:tc>
        <w:tc>
          <w:tcPr>
            <w:tcW w:w="662" w:type="dxa"/>
            <w:tcBorders>
              <w:top w:val="nil"/>
              <w:bottom w:val="nil"/>
            </w:tcBorders>
            <w:vAlign w:val="center"/>
          </w:tcPr>
          <w:p w14:paraId="2A4E37E7"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4</w:t>
            </w:r>
          </w:p>
        </w:tc>
        <w:tc>
          <w:tcPr>
            <w:tcW w:w="1062" w:type="dxa"/>
            <w:tcBorders>
              <w:top w:val="nil"/>
              <w:bottom w:val="nil"/>
            </w:tcBorders>
            <w:vAlign w:val="center"/>
          </w:tcPr>
          <w:p w14:paraId="15C35BAF" w14:textId="77777777" w:rsidR="00F7365E" w:rsidRPr="00C35184" w:rsidRDefault="00F7365E" w:rsidP="00F7365E">
            <w:pPr>
              <w:spacing w:after="0" w:line="276" w:lineRule="auto"/>
              <w:jc w:val="center"/>
              <w:rPr>
                <w:rFonts w:ascii="Times New Roman" w:eastAsia="Times New Roman" w:hAnsi="Times New Roman" w:cs="Times New Roman"/>
                <w:color w:val="000000"/>
                <w:sz w:val="24"/>
                <w:szCs w:val="24"/>
              </w:rPr>
            </w:pPr>
            <w:r w:rsidRPr="00C35184">
              <w:rPr>
                <w:rFonts w:ascii="Times New Roman" w:hAnsi="Times New Roman" w:cs="Times New Roman"/>
                <w:color w:val="000000"/>
                <w:sz w:val="24"/>
                <w:szCs w:val="24"/>
              </w:rPr>
              <w:t>1000</w:t>
            </w:r>
          </w:p>
        </w:tc>
        <w:tc>
          <w:tcPr>
            <w:tcW w:w="1155" w:type="dxa"/>
            <w:tcBorders>
              <w:top w:val="nil"/>
              <w:bottom w:val="nil"/>
            </w:tcBorders>
          </w:tcPr>
          <w:p w14:paraId="02A0F5FC"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0.06</w:t>
            </w:r>
          </w:p>
        </w:tc>
        <w:tc>
          <w:tcPr>
            <w:tcW w:w="1339" w:type="dxa"/>
            <w:tcBorders>
              <w:top w:val="nil"/>
              <w:bottom w:val="nil"/>
            </w:tcBorders>
            <w:vAlign w:val="center"/>
          </w:tcPr>
          <w:p w14:paraId="74097ADE"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107.51</w:t>
            </w:r>
          </w:p>
        </w:tc>
        <w:tc>
          <w:tcPr>
            <w:tcW w:w="1339" w:type="dxa"/>
            <w:tcBorders>
              <w:top w:val="nil"/>
              <w:bottom w:val="nil"/>
            </w:tcBorders>
            <w:vAlign w:val="center"/>
          </w:tcPr>
          <w:p w14:paraId="2ABB8AF1"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10.75</w:t>
            </w:r>
          </w:p>
        </w:tc>
        <w:tc>
          <w:tcPr>
            <w:tcW w:w="1522" w:type="dxa"/>
            <w:tcBorders>
              <w:top w:val="nil"/>
              <w:bottom w:val="nil"/>
            </w:tcBorders>
            <w:vAlign w:val="center"/>
          </w:tcPr>
          <w:p w14:paraId="77CE0681"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0.65</w:t>
            </w:r>
          </w:p>
        </w:tc>
      </w:tr>
      <w:tr w:rsidR="00F7365E" w:rsidRPr="00C35184" w14:paraId="3CE22C8C" w14:textId="77777777" w:rsidTr="00403501">
        <w:trPr>
          <w:trHeight w:val="260"/>
        </w:trPr>
        <w:tc>
          <w:tcPr>
            <w:tcW w:w="2246" w:type="dxa"/>
            <w:gridSpan w:val="2"/>
            <w:tcBorders>
              <w:top w:val="nil"/>
              <w:bottom w:val="nil"/>
            </w:tcBorders>
            <w:vAlign w:val="center"/>
          </w:tcPr>
          <w:p w14:paraId="67B11417"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DO</w:t>
            </w:r>
          </w:p>
        </w:tc>
        <w:tc>
          <w:tcPr>
            <w:tcW w:w="662" w:type="dxa"/>
            <w:tcBorders>
              <w:top w:val="nil"/>
              <w:bottom w:val="nil"/>
            </w:tcBorders>
            <w:vAlign w:val="center"/>
          </w:tcPr>
          <w:p w14:paraId="0F5CA733"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4</w:t>
            </w:r>
          </w:p>
        </w:tc>
        <w:tc>
          <w:tcPr>
            <w:tcW w:w="1062" w:type="dxa"/>
            <w:tcBorders>
              <w:top w:val="nil"/>
              <w:bottom w:val="nil"/>
            </w:tcBorders>
            <w:vAlign w:val="center"/>
          </w:tcPr>
          <w:p w14:paraId="70871821" w14:textId="77777777" w:rsidR="00F7365E" w:rsidRPr="00C35184" w:rsidRDefault="00F7365E" w:rsidP="00F7365E">
            <w:pPr>
              <w:spacing w:after="0" w:line="276" w:lineRule="auto"/>
              <w:jc w:val="center"/>
              <w:rPr>
                <w:rFonts w:ascii="Times New Roman" w:eastAsia="Times New Roman" w:hAnsi="Times New Roman" w:cs="Times New Roman"/>
                <w:color w:val="000000"/>
                <w:sz w:val="24"/>
                <w:szCs w:val="24"/>
              </w:rPr>
            </w:pPr>
            <w:r w:rsidRPr="00C35184">
              <w:rPr>
                <w:rFonts w:ascii="Times New Roman" w:hAnsi="Times New Roman" w:cs="Times New Roman"/>
                <w:color w:val="000000"/>
                <w:sz w:val="24"/>
                <w:szCs w:val="24"/>
              </w:rPr>
              <w:t>7.5</w:t>
            </w:r>
          </w:p>
        </w:tc>
        <w:tc>
          <w:tcPr>
            <w:tcW w:w="1155" w:type="dxa"/>
            <w:tcBorders>
              <w:top w:val="nil"/>
              <w:bottom w:val="nil"/>
            </w:tcBorders>
          </w:tcPr>
          <w:p w14:paraId="09B5AA92"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0.06</w:t>
            </w:r>
          </w:p>
        </w:tc>
        <w:tc>
          <w:tcPr>
            <w:tcW w:w="1339" w:type="dxa"/>
            <w:tcBorders>
              <w:top w:val="nil"/>
              <w:bottom w:val="nil"/>
            </w:tcBorders>
            <w:vAlign w:val="center"/>
          </w:tcPr>
          <w:p w14:paraId="195D4AD4"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5.32</w:t>
            </w:r>
          </w:p>
        </w:tc>
        <w:tc>
          <w:tcPr>
            <w:tcW w:w="1339" w:type="dxa"/>
            <w:tcBorders>
              <w:top w:val="nil"/>
              <w:bottom w:val="nil"/>
            </w:tcBorders>
            <w:vAlign w:val="center"/>
          </w:tcPr>
          <w:p w14:paraId="2B0C6BCD"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70.93</w:t>
            </w:r>
          </w:p>
        </w:tc>
        <w:tc>
          <w:tcPr>
            <w:tcW w:w="1522" w:type="dxa"/>
            <w:tcBorders>
              <w:top w:val="nil"/>
              <w:bottom w:val="nil"/>
            </w:tcBorders>
            <w:vAlign w:val="center"/>
          </w:tcPr>
          <w:p w14:paraId="16906793"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4.26</w:t>
            </w:r>
          </w:p>
        </w:tc>
      </w:tr>
      <w:tr w:rsidR="00F7365E" w:rsidRPr="00C35184" w14:paraId="6ABF52EF" w14:textId="77777777" w:rsidTr="00403501">
        <w:trPr>
          <w:trHeight w:val="260"/>
        </w:trPr>
        <w:tc>
          <w:tcPr>
            <w:tcW w:w="2246" w:type="dxa"/>
            <w:gridSpan w:val="2"/>
            <w:tcBorders>
              <w:top w:val="nil"/>
              <w:bottom w:val="nil"/>
            </w:tcBorders>
            <w:vAlign w:val="center"/>
          </w:tcPr>
          <w:p w14:paraId="4BD3CEE6"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Nitrate</w:t>
            </w:r>
          </w:p>
        </w:tc>
        <w:tc>
          <w:tcPr>
            <w:tcW w:w="662" w:type="dxa"/>
            <w:tcBorders>
              <w:top w:val="nil"/>
              <w:bottom w:val="nil"/>
            </w:tcBorders>
            <w:vAlign w:val="center"/>
          </w:tcPr>
          <w:p w14:paraId="17B537CE"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5</w:t>
            </w:r>
          </w:p>
        </w:tc>
        <w:tc>
          <w:tcPr>
            <w:tcW w:w="1062" w:type="dxa"/>
            <w:tcBorders>
              <w:top w:val="nil"/>
              <w:bottom w:val="nil"/>
            </w:tcBorders>
            <w:vAlign w:val="center"/>
          </w:tcPr>
          <w:p w14:paraId="1E2AA30B" w14:textId="77777777" w:rsidR="00F7365E" w:rsidRPr="00C35184" w:rsidRDefault="00F7365E" w:rsidP="00F7365E">
            <w:pPr>
              <w:spacing w:after="0" w:line="276" w:lineRule="auto"/>
              <w:jc w:val="center"/>
              <w:rPr>
                <w:rFonts w:ascii="Times New Roman" w:eastAsia="Times New Roman" w:hAnsi="Times New Roman" w:cs="Times New Roman"/>
                <w:color w:val="000000"/>
                <w:sz w:val="24"/>
                <w:szCs w:val="24"/>
              </w:rPr>
            </w:pPr>
            <w:r w:rsidRPr="00C35184">
              <w:rPr>
                <w:rFonts w:ascii="Times New Roman" w:hAnsi="Times New Roman" w:cs="Times New Roman"/>
                <w:color w:val="000000"/>
                <w:sz w:val="24"/>
                <w:szCs w:val="24"/>
              </w:rPr>
              <w:t>50</w:t>
            </w:r>
          </w:p>
        </w:tc>
        <w:tc>
          <w:tcPr>
            <w:tcW w:w="1155" w:type="dxa"/>
            <w:tcBorders>
              <w:top w:val="nil"/>
              <w:bottom w:val="nil"/>
            </w:tcBorders>
            <w:vAlign w:val="center"/>
          </w:tcPr>
          <w:p w14:paraId="64BDA23A"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0.08</w:t>
            </w:r>
          </w:p>
        </w:tc>
        <w:tc>
          <w:tcPr>
            <w:tcW w:w="1339" w:type="dxa"/>
            <w:tcBorders>
              <w:top w:val="nil"/>
              <w:bottom w:val="nil"/>
            </w:tcBorders>
            <w:vAlign w:val="center"/>
          </w:tcPr>
          <w:p w14:paraId="5A0584FA"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0.03</w:t>
            </w:r>
          </w:p>
        </w:tc>
        <w:tc>
          <w:tcPr>
            <w:tcW w:w="1339" w:type="dxa"/>
            <w:tcBorders>
              <w:top w:val="nil"/>
              <w:bottom w:val="nil"/>
            </w:tcBorders>
            <w:vAlign w:val="center"/>
          </w:tcPr>
          <w:p w14:paraId="20CB58F8"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0.06</w:t>
            </w:r>
          </w:p>
        </w:tc>
        <w:tc>
          <w:tcPr>
            <w:tcW w:w="1522" w:type="dxa"/>
            <w:tcBorders>
              <w:top w:val="nil"/>
              <w:bottom w:val="nil"/>
            </w:tcBorders>
            <w:vAlign w:val="center"/>
          </w:tcPr>
          <w:p w14:paraId="3420D605"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0.0048</w:t>
            </w:r>
          </w:p>
        </w:tc>
      </w:tr>
      <w:tr w:rsidR="00F7365E" w:rsidRPr="00C35184" w14:paraId="5B82EF2F" w14:textId="77777777" w:rsidTr="00403501">
        <w:trPr>
          <w:trHeight w:val="260"/>
        </w:trPr>
        <w:tc>
          <w:tcPr>
            <w:tcW w:w="2246" w:type="dxa"/>
            <w:gridSpan w:val="2"/>
            <w:tcBorders>
              <w:top w:val="nil"/>
              <w:bottom w:val="nil"/>
            </w:tcBorders>
            <w:vAlign w:val="center"/>
          </w:tcPr>
          <w:p w14:paraId="48DD81DA"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Chloride</w:t>
            </w:r>
          </w:p>
        </w:tc>
        <w:tc>
          <w:tcPr>
            <w:tcW w:w="662" w:type="dxa"/>
            <w:tcBorders>
              <w:top w:val="nil"/>
              <w:bottom w:val="nil"/>
            </w:tcBorders>
            <w:vAlign w:val="center"/>
          </w:tcPr>
          <w:p w14:paraId="74CB58AA"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3</w:t>
            </w:r>
          </w:p>
        </w:tc>
        <w:tc>
          <w:tcPr>
            <w:tcW w:w="1062" w:type="dxa"/>
            <w:tcBorders>
              <w:top w:val="nil"/>
              <w:bottom w:val="nil"/>
            </w:tcBorders>
            <w:vAlign w:val="center"/>
          </w:tcPr>
          <w:p w14:paraId="3815751C"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250</w:t>
            </w:r>
          </w:p>
        </w:tc>
        <w:tc>
          <w:tcPr>
            <w:tcW w:w="1155" w:type="dxa"/>
            <w:tcBorders>
              <w:top w:val="nil"/>
              <w:bottom w:val="nil"/>
            </w:tcBorders>
            <w:vAlign w:val="center"/>
          </w:tcPr>
          <w:p w14:paraId="2A3A76AF"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0.04</w:t>
            </w:r>
          </w:p>
        </w:tc>
        <w:tc>
          <w:tcPr>
            <w:tcW w:w="1339" w:type="dxa"/>
            <w:tcBorders>
              <w:top w:val="nil"/>
              <w:bottom w:val="nil"/>
            </w:tcBorders>
            <w:vAlign w:val="center"/>
          </w:tcPr>
          <w:p w14:paraId="1FE7E44E"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4.52</w:t>
            </w:r>
          </w:p>
        </w:tc>
        <w:tc>
          <w:tcPr>
            <w:tcW w:w="1339" w:type="dxa"/>
            <w:tcBorders>
              <w:top w:val="nil"/>
              <w:bottom w:val="nil"/>
            </w:tcBorders>
            <w:vAlign w:val="center"/>
          </w:tcPr>
          <w:p w14:paraId="1E2E37D0"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1.808</w:t>
            </w:r>
          </w:p>
        </w:tc>
        <w:tc>
          <w:tcPr>
            <w:tcW w:w="1522" w:type="dxa"/>
            <w:tcBorders>
              <w:top w:val="nil"/>
              <w:bottom w:val="nil"/>
            </w:tcBorders>
            <w:vAlign w:val="center"/>
          </w:tcPr>
          <w:p w14:paraId="6E1FF83B"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0.072</w:t>
            </w:r>
          </w:p>
        </w:tc>
      </w:tr>
      <w:tr w:rsidR="00F7365E" w:rsidRPr="00C35184" w14:paraId="3001565F" w14:textId="77777777" w:rsidTr="00403501">
        <w:trPr>
          <w:trHeight w:val="260"/>
        </w:trPr>
        <w:tc>
          <w:tcPr>
            <w:tcW w:w="2246" w:type="dxa"/>
            <w:gridSpan w:val="2"/>
            <w:tcBorders>
              <w:top w:val="nil"/>
              <w:bottom w:val="nil"/>
            </w:tcBorders>
            <w:vAlign w:val="center"/>
          </w:tcPr>
          <w:p w14:paraId="491ED2BD"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Sulphate</w:t>
            </w:r>
          </w:p>
        </w:tc>
        <w:tc>
          <w:tcPr>
            <w:tcW w:w="662" w:type="dxa"/>
            <w:tcBorders>
              <w:top w:val="nil"/>
              <w:bottom w:val="nil"/>
            </w:tcBorders>
            <w:vAlign w:val="center"/>
          </w:tcPr>
          <w:p w14:paraId="3E876F62"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4</w:t>
            </w:r>
          </w:p>
        </w:tc>
        <w:tc>
          <w:tcPr>
            <w:tcW w:w="1062" w:type="dxa"/>
            <w:tcBorders>
              <w:top w:val="nil"/>
              <w:bottom w:val="nil"/>
            </w:tcBorders>
            <w:vAlign w:val="center"/>
          </w:tcPr>
          <w:p w14:paraId="6CC8CA75"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250</w:t>
            </w:r>
          </w:p>
        </w:tc>
        <w:tc>
          <w:tcPr>
            <w:tcW w:w="1155" w:type="dxa"/>
            <w:tcBorders>
              <w:top w:val="nil"/>
              <w:bottom w:val="nil"/>
            </w:tcBorders>
          </w:tcPr>
          <w:p w14:paraId="6E0BCBC2"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0.06</w:t>
            </w:r>
          </w:p>
        </w:tc>
        <w:tc>
          <w:tcPr>
            <w:tcW w:w="1339" w:type="dxa"/>
            <w:tcBorders>
              <w:top w:val="nil"/>
              <w:bottom w:val="nil"/>
            </w:tcBorders>
            <w:vAlign w:val="center"/>
          </w:tcPr>
          <w:p w14:paraId="5594C8FC"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0.03</w:t>
            </w:r>
          </w:p>
        </w:tc>
        <w:tc>
          <w:tcPr>
            <w:tcW w:w="1339" w:type="dxa"/>
            <w:tcBorders>
              <w:top w:val="nil"/>
              <w:bottom w:val="nil"/>
            </w:tcBorders>
            <w:vAlign w:val="center"/>
          </w:tcPr>
          <w:p w14:paraId="47EF60F6"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0.012</w:t>
            </w:r>
          </w:p>
        </w:tc>
        <w:tc>
          <w:tcPr>
            <w:tcW w:w="1522" w:type="dxa"/>
            <w:tcBorders>
              <w:top w:val="nil"/>
              <w:bottom w:val="nil"/>
            </w:tcBorders>
            <w:vAlign w:val="center"/>
          </w:tcPr>
          <w:p w14:paraId="4567890B"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0.0007</w:t>
            </w:r>
          </w:p>
        </w:tc>
      </w:tr>
      <w:tr w:rsidR="00F7365E" w:rsidRPr="00C35184" w14:paraId="4E3BABB4" w14:textId="77777777" w:rsidTr="00403501">
        <w:trPr>
          <w:trHeight w:val="260"/>
        </w:trPr>
        <w:tc>
          <w:tcPr>
            <w:tcW w:w="2246" w:type="dxa"/>
            <w:gridSpan w:val="2"/>
            <w:tcBorders>
              <w:top w:val="nil"/>
              <w:bottom w:val="nil"/>
            </w:tcBorders>
            <w:vAlign w:val="center"/>
          </w:tcPr>
          <w:p w14:paraId="3E5B3927"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Sodium</w:t>
            </w:r>
          </w:p>
        </w:tc>
        <w:tc>
          <w:tcPr>
            <w:tcW w:w="662" w:type="dxa"/>
            <w:tcBorders>
              <w:top w:val="nil"/>
              <w:bottom w:val="nil"/>
            </w:tcBorders>
            <w:vAlign w:val="center"/>
          </w:tcPr>
          <w:p w14:paraId="4CAC6150"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2</w:t>
            </w:r>
          </w:p>
        </w:tc>
        <w:tc>
          <w:tcPr>
            <w:tcW w:w="1062" w:type="dxa"/>
            <w:tcBorders>
              <w:top w:val="nil"/>
              <w:bottom w:val="nil"/>
            </w:tcBorders>
            <w:vAlign w:val="center"/>
          </w:tcPr>
          <w:p w14:paraId="0C1E133B" w14:textId="77777777" w:rsidR="00F7365E" w:rsidRPr="00C35184" w:rsidRDefault="00F7365E" w:rsidP="00F7365E">
            <w:pPr>
              <w:spacing w:after="0" w:line="276" w:lineRule="auto"/>
              <w:jc w:val="center"/>
              <w:rPr>
                <w:rFonts w:ascii="Times New Roman" w:eastAsia="Times New Roman" w:hAnsi="Times New Roman" w:cs="Times New Roman"/>
                <w:color w:val="000000"/>
                <w:sz w:val="24"/>
                <w:szCs w:val="24"/>
              </w:rPr>
            </w:pPr>
            <w:r w:rsidRPr="00C35184">
              <w:rPr>
                <w:rFonts w:ascii="Times New Roman" w:eastAsia="Times New Roman" w:hAnsi="Times New Roman" w:cs="Times New Roman"/>
                <w:color w:val="000000"/>
                <w:sz w:val="24"/>
                <w:szCs w:val="24"/>
              </w:rPr>
              <w:t>200</w:t>
            </w:r>
          </w:p>
        </w:tc>
        <w:tc>
          <w:tcPr>
            <w:tcW w:w="1155" w:type="dxa"/>
            <w:tcBorders>
              <w:top w:val="nil"/>
              <w:bottom w:val="nil"/>
            </w:tcBorders>
          </w:tcPr>
          <w:p w14:paraId="78D477C0"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0.025</w:t>
            </w:r>
          </w:p>
        </w:tc>
        <w:tc>
          <w:tcPr>
            <w:tcW w:w="1339" w:type="dxa"/>
            <w:tcBorders>
              <w:top w:val="nil"/>
              <w:bottom w:val="nil"/>
            </w:tcBorders>
            <w:vAlign w:val="center"/>
          </w:tcPr>
          <w:p w14:paraId="0A02FF3C"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0.07</w:t>
            </w:r>
          </w:p>
        </w:tc>
        <w:tc>
          <w:tcPr>
            <w:tcW w:w="1339" w:type="dxa"/>
            <w:tcBorders>
              <w:top w:val="nil"/>
              <w:bottom w:val="nil"/>
            </w:tcBorders>
            <w:vAlign w:val="center"/>
          </w:tcPr>
          <w:p w14:paraId="3006454A"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0.035</w:t>
            </w:r>
          </w:p>
        </w:tc>
        <w:tc>
          <w:tcPr>
            <w:tcW w:w="1522" w:type="dxa"/>
            <w:tcBorders>
              <w:top w:val="nil"/>
              <w:bottom w:val="nil"/>
            </w:tcBorders>
            <w:vAlign w:val="center"/>
          </w:tcPr>
          <w:p w14:paraId="7B9CECF7"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0.0009</w:t>
            </w:r>
          </w:p>
        </w:tc>
      </w:tr>
      <w:tr w:rsidR="00F7365E" w:rsidRPr="00C35184" w14:paraId="32ECFC57" w14:textId="77777777" w:rsidTr="00403501">
        <w:trPr>
          <w:trHeight w:val="260"/>
        </w:trPr>
        <w:tc>
          <w:tcPr>
            <w:tcW w:w="2246" w:type="dxa"/>
            <w:gridSpan w:val="2"/>
            <w:tcBorders>
              <w:top w:val="nil"/>
              <w:bottom w:val="nil"/>
            </w:tcBorders>
            <w:vAlign w:val="center"/>
          </w:tcPr>
          <w:p w14:paraId="6236E87D"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Calcium</w:t>
            </w:r>
          </w:p>
        </w:tc>
        <w:tc>
          <w:tcPr>
            <w:tcW w:w="662" w:type="dxa"/>
            <w:tcBorders>
              <w:top w:val="nil"/>
              <w:bottom w:val="nil"/>
            </w:tcBorders>
            <w:vAlign w:val="center"/>
          </w:tcPr>
          <w:p w14:paraId="6F81E3EA"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3</w:t>
            </w:r>
          </w:p>
        </w:tc>
        <w:tc>
          <w:tcPr>
            <w:tcW w:w="1062" w:type="dxa"/>
            <w:tcBorders>
              <w:top w:val="nil"/>
              <w:bottom w:val="nil"/>
            </w:tcBorders>
            <w:vAlign w:val="center"/>
          </w:tcPr>
          <w:p w14:paraId="65118669" w14:textId="77777777" w:rsidR="00F7365E" w:rsidRPr="00C35184" w:rsidRDefault="00F7365E" w:rsidP="00F7365E">
            <w:pPr>
              <w:spacing w:after="0" w:line="276" w:lineRule="auto"/>
              <w:jc w:val="center"/>
              <w:rPr>
                <w:rFonts w:ascii="Times New Roman" w:eastAsia="Times New Roman" w:hAnsi="Times New Roman" w:cs="Times New Roman"/>
                <w:color w:val="000000"/>
                <w:sz w:val="24"/>
                <w:szCs w:val="24"/>
              </w:rPr>
            </w:pPr>
            <w:r w:rsidRPr="00C35184">
              <w:rPr>
                <w:rFonts w:ascii="Times New Roman" w:eastAsia="Times New Roman" w:hAnsi="Times New Roman" w:cs="Times New Roman"/>
                <w:color w:val="000000"/>
                <w:sz w:val="24"/>
                <w:szCs w:val="24"/>
              </w:rPr>
              <w:t>200</w:t>
            </w:r>
          </w:p>
        </w:tc>
        <w:tc>
          <w:tcPr>
            <w:tcW w:w="1155" w:type="dxa"/>
            <w:tcBorders>
              <w:top w:val="nil"/>
              <w:bottom w:val="nil"/>
            </w:tcBorders>
          </w:tcPr>
          <w:p w14:paraId="6C5E5477"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0.04</w:t>
            </w:r>
          </w:p>
        </w:tc>
        <w:tc>
          <w:tcPr>
            <w:tcW w:w="1339" w:type="dxa"/>
            <w:tcBorders>
              <w:top w:val="nil"/>
              <w:bottom w:val="nil"/>
            </w:tcBorders>
            <w:vAlign w:val="center"/>
          </w:tcPr>
          <w:p w14:paraId="79DB4FC4"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0.15</w:t>
            </w:r>
          </w:p>
        </w:tc>
        <w:tc>
          <w:tcPr>
            <w:tcW w:w="1339" w:type="dxa"/>
            <w:tcBorders>
              <w:top w:val="nil"/>
              <w:bottom w:val="nil"/>
            </w:tcBorders>
            <w:vAlign w:val="center"/>
          </w:tcPr>
          <w:p w14:paraId="6D8FF9D4"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0.075</w:t>
            </w:r>
          </w:p>
        </w:tc>
        <w:tc>
          <w:tcPr>
            <w:tcW w:w="1522" w:type="dxa"/>
            <w:tcBorders>
              <w:top w:val="nil"/>
              <w:bottom w:val="nil"/>
            </w:tcBorders>
            <w:vAlign w:val="center"/>
          </w:tcPr>
          <w:p w14:paraId="47701BF2"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0.003</w:t>
            </w:r>
          </w:p>
        </w:tc>
      </w:tr>
      <w:tr w:rsidR="00F7365E" w:rsidRPr="00C35184" w14:paraId="32EF0BAF" w14:textId="77777777" w:rsidTr="00403501">
        <w:trPr>
          <w:trHeight w:val="260"/>
        </w:trPr>
        <w:tc>
          <w:tcPr>
            <w:tcW w:w="2246" w:type="dxa"/>
            <w:gridSpan w:val="2"/>
            <w:tcBorders>
              <w:top w:val="nil"/>
              <w:bottom w:val="nil"/>
            </w:tcBorders>
            <w:vAlign w:val="center"/>
          </w:tcPr>
          <w:p w14:paraId="48995EE3"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Magnesium</w:t>
            </w:r>
          </w:p>
        </w:tc>
        <w:tc>
          <w:tcPr>
            <w:tcW w:w="662" w:type="dxa"/>
            <w:tcBorders>
              <w:top w:val="nil"/>
              <w:bottom w:val="nil"/>
            </w:tcBorders>
            <w:vAlign w:val="center"/>
          </w:tcPr>
          <w:p w14:paraId="3ED9F6AB"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2</w:t>
            </w:r>
          </w:p>
        </w:tc>
        <w:tc>
          <w:tcPr>
            <w:tcW w:w="1062" w:type="dxa"/>
            <w:tcBorders>
              <w:top w:val="nil"/>
              <w:bottom w:val="nil"/>
            </w:tcBorders>
            <w:vAlign w:val="center"/>
          </w:tcPr>
          <w:p w14:paraId="4AD8CD8B" w14:textId="77777777" w:rsidR="00F7365E" w:rsidRPr="00C35184" w:rsidRDefault="00F7365E" w:rsidP="00F7365E">
            <w:pPr>
              <w:spacing w:after="0" w:line="276" w:lineRule="auto"/>
              <w:jc w:val="center"/>
              <w:rPr>
                <w:rFonts w:ascii="Times New Roman" w:eastAsia="Times New Roman" w:hAnsi="Times New Roman" w:cs="Times New Roman"/>
                <w:color w:val="000000"/>
                <w:sz w:val="24"/>
                <w:szCs w:val="24"/>
              </w:rPr>
            </w:pPr>
            <w:r w:rsidRPr="00C35184">
              <w:rPr>
                <w:rFonts w:ascii="Times New Roman" w:eastAsia="Times New Roman" w:hAnsi="Times New Roman" w:cs="Times New Roman"/>
                <w:color w:val="000000"/>
                <w:sz w:val="24"/>
                <w:szCs w:val="24"/>
              </w:rPr>
              <w:t>150</w:t>
            </w:r>
          </w:p>
        </w:tc>
        <w:tc>
          <w:tcPr>
            <w:tcW w:w="1155" w:type="dxa"/>
            <w:tcBorders>
              <w:top w:val="nil"/>
              <w:bottom w:val="nil"/>
            </w:tcBorders>
          </w:tcPr>
          <w:p w14:paraId="7A523C03"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0.025</w:t>
            </w:r>
          </w:p>
        </w:tc>
        <w:tc>
          <w:tcPr>
            <w:tcW w:w="1339" w:type="dxa"/>
            <w:tcBorders>
              <w:top w:val="nil"/>
              <w:bottom w:val="nil"/>
            </w:tcBorders>
            <w:vAlign w:val="center"/>
          </w:tcPr>
          <w:p w14:paraId="3FD53C38"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0.03</w:t>
            </w:r>
          </w:p>
        </w:tc>
        <w:tc>
          <w:tcPr>
            <w:tcW w:w="1339" w:type="dxa"/>
            <w:tcBorders>
              <w:top w:val="nil"/>
              <w:bottom w:val="nil"/>
            </w:tcBorders>
            <w:vAlign w:val="center"/>
          </w:tcPr>
          <w:p w14:paraId="7274175E"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0.02</w:t>
            </w:r>
          </w:p>
        </w:tc>
        <w:tc>
          <w:tcPr>
            <w:tcW w:w="1522" w:type="dxa"/>
            <w:tcBorders>
              <w:top w:val="nil"/>
              <w:bottom w:val="nil"/>
            </w:tcBorders>
            <w:vAlign w:val="center"/>
          </w:tcPr>
          <w:p w14:paraId="6AB167FC"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0.0005</w:t>
            </w:r>
          </w:p>
        </w:tc>
      </w:tr>
      <w:tr w:rsidR="00F7365E" w:rsidRPr="00C35184" w14:paraId="3CD511CA" w14:textId="77777777" w:rsidTr="00403501">
        <w:trPr>
          <w:trHeight w:val="260"/>
        </w:trPr>
        <w:tc>
          <w:tcPr>
            <w:tcW w:w="2246" w:type="dxa"/>
            <w:gridSpan w:val="2"/>
            <w:tcBorders>
              <w:top w:val="nil"/>
              <w:bottom w:val="nil"/>
            </w:tcBorders>
            <w:vAlign w:val="center"/>
          </w:tcPr>
          <w:p w14:paraId="17A009F3"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Copper</w:t>
            </w:r>
          </w:p>
        </w:tc>
        <w:tc>
          <w:tcPr>
            <w:tcW w:w="662" w:type="dxa"/>
            <w:tcBorders>
              <w:top w:val="nil"/>
              <w:bottom w:val="nil"/>
            </w:tcBorders>
            <w:vAlign w:val="center"/>
          </w:tcPr>
          <w:p w14:paraId="71AA6CCA"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4</w:t>
            </w:r>
          </w:p>
        </w:tc>
        <w:tc>
          <w:tcPr>
            <w:tcW w:w="1062" w:type="dxa"/>
            <w:tcBorders>
              <w:top w:val="nil"/>
              <w:bottom w:val="nil"/>
            </w:tcBorders>
            <w:vAlign w:val="center"/>
          </w:tcPr>
          <w:p w14:paraId="321C8675" w14:textId="77777777" w:rsidR="00F7365E" w:rsidRPr="00C35184" w:rsidRDefault="00F7365E" w:rsidP="00F7365E">
            <w:pPr>
              <w:spacing w:after="0" w:line="276" w:lineRule="auto"/>
              <w:jc w:val="center"/>
              <w:rPr>
                <w:rFonts w:ascii="Times New Roman" w:eastAsia="Times New Roman" w:hAnsi="Times New Roman" w:cs="Times New Roman"/>
                <w:color w:val="000000"/>
                <w:sz w:val="24"/>
                <w:szCs w:val="24"/>
              </w:rPr>
            </w:pPr>
            <w:r w:rsidRPr="00C35184">
              <w:rPr>
                <w:rFonts w:ascii="Times New Roman" w:hAnsi="Times New Roman" w:cs="Times New Roman"/>
                <w:color w:val="000000"/>
                <w:sz w:val="24"/>
                <w:szCs w:val="24"/>
              </w:rPr>
              <w:t>2</w:t>
            </w:r>
          </w:p>
        </w:tc>
        <w:tc>
          <w:tcPr>
            <w:tcW w:w="1155" w:type="dxa"/>
            <w:tcBorders>
              <w:top w:val="nil"/>
              <w:bottom w:val="nil"/>
            </w:tcBorders>
            <w:vAlign w:val="center"/>
          </w:tcPr>
          <w:p w14:paraId="0B5F00C3"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0.06</w:t>
            </w:r>
          </w:p>
        </w:tc>
        <w:tc>
          <w:tcPr>
            <w:tcW w:w="1339" w:type="dxa"/>
            <w:tcBorders>
              <w:top w:val="nil"/>
              <w:bottom w:val="nil"/>
            </w:tcBorders>
            <w:vAlign w:val="center"/>
          </w:tcPr>
          <w:p w14:paraId="56ACEC8A"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0.014</w:t>
            </w:r>
          </w:p>
        </w:tc>
        <w:tc>
          <w:tcPr>
            <w:tcW w:w="1339" w:type="dxa"/>
            <w:tcBorders>
              <w:top w:val="nil"/>
              <w:bottom w:val="nil"/>
            </w:tcBorders>
            <w:vAlign w:val="center"/>
          </w:tcPr>
          <w:p w14:paraId="42FB50B6"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0.7</w:t>
            </w:r>
          </w:p>
        </w:tc>
        <w:tc>
          <w:tcPr>
            <w:tcW w:w="1522" w:type="dxa"/>
            <w:tcBorders>
              <w:top w:val="nil"/>
              <w:bottom w:val="nil"/>
            </w:tcBorders>
            <w:vAlign w:val="center"/>
          </w:tcPr>
          <w:p w14:paraId="3E542325"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0.042</w:t>
            </w:r>
          </w:p>
        </w:tc>
      </w:tr>
      <w:tr w:rsidR="00F7365E" w:rsidRPr="00C35184" w14:paraId="3A28A203" w14:textId="77777777" w:rsidTr="00403501">
        <w:trPr>
          <w:trHeight w:val="260"/>
        </w:trPr>
        <w:tc>
          <w:tcPr>
            <w:tcW w:w="2246" w:type="dxa"/>
            <w:gridSpan w:val="2"/>
            <w:tcBorders>
              <w:top w:val="nil"/>
              <w:bottom w:val="nil"/>
            </w:tcBorders>
            <w:vAlign w:val="center"/>
          </w:tcPr>
          <w:p w14:paraId="551859EF"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Iron</w:t>
            </w:r>
          </w:p>
        </w:tc>
        <w:tc>
          <w:tcPr>
            <w:tcW w:w="662" w:type="dxa"/>
            <w:tcBorders>
              <w:top w:val="nil"/>
              <w:bottom w:val="nil"/>
            </w:tcBorders>
            <w:vAlign w:val="center"/>
          </w:tcPr>
          <w:p w14:paraId="223F00B7"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3</w:t>
            </w:r>
          </w:p>
        </w:tc>
        <w:tc>
          <w:tcPr>
            <w:tcW w:w="1062" w:type="dxa"/>
            <w:tcBorders>
              <w:top w:val="nil"/>
              <w:bottom w:val="nil"/>
            </w:tcBorders>
            <w:vAlign w:val="center"/>
          </w:tcPr>
          <w:p w14:paraId="660B2C9E" w14:textId="77777777" w:rsidR="00F7365E" w:rsidRPr="00C35184" w:rsidRDefault="00F7365E" w:rsidP="00F7365E">
            <w:pPr>
              <w:spacing w:after="0" w:line="276" w:lineRule="auto"/>
              <w:jc w:val="center"/>
              <w:rPr>
                <w:rFonts w:ascii="Times New Roman" w:eastAsia="Times New Roman" w:hAnsi="Times New Roman" w:cs="Times New Roman"/>
                <w:color w:val="000000"/>
                <w:sz w:val="24"/>
                <w:szCs w:val="24"/>
              </w:rPr>
            </w:pPr>
            <w:r w:rsidRPr="00C35184">
              <w:rPr>
                <w:rFonts w:ascii="Times New Roman" w:hAnsi="Times New Roman" w:cs="Times New Roman"/>
                <w:color w:val="000000"/>
                <w:sz w:val="24"/>
                <w:szCs w:val="24"/>
              </w:rPr>
              <w:t>0.3</w:t>
            </w:r>
          </w:p>
        </w:tc>
        <w:tc>
          <w:tcPr>
            <w:tcW w:w="1155" w:type="dxa"/>
            <w:tcBorders>
              <w:top w:val="nil"/>
              <w:bottom w:val="nil"/>
            </w:tcBorders>
            <w:vAlign w:val="center"/>
          </w:tcPr>
          <w:p w14:paraId="55BB95D2"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0.05</w:t>
            </w:r>
          </w:p>
        </w:tc>
        <w:tc>
          <w:tcPr>
            <w:tcW w:w="1339" w:type="dxa"/>
            <w:tcBorders>
              <w:top w:val="nil"/>
              <w:bottom w:val="nil"/>
            </w:tcBorders>
            <w:vAlign w:val="center"/>
          </w:tcPr>
          <w:p w14:paraId="186F6CC3"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0.011</w:t>
            </w:r>
          </w:p>
        </w:tc>
        <w:tc>
          <w:tcPr>
            <w:tcW w:w="1339" w:type="dxa"/>
            <w:tcBorders>
              <w:top w:val="nil"/>
              <w:bottom w:val="nil"/>
            </w:tcBorders>
            <w:vAlign w:val="center"/>
          </w:tcPr>
          <w:p w14:paraId="05AC35A8"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3.67</w:t>
            </w:r>
          </w:p>
        </w:tc>
        <w:tc>
          <w:tcPr>
            <w:tcW w:w="1522" w:type="dxa"/>
            <w:tcBorders>
              <w:top w:val="nil"/>
              <w:bottom w:val="nil"/>
            </w:tcBorders>
            <w:vAlign w:val="center"/>
          </w:tcPr>
          <w:p w14:paraId="3A932614"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0.183</w:t>
            </w:r>
          </w:p>
        </w:tc>
      </w:tr>
      <w:tr w:rsidR="00F7365E" w:rsidRPr="00C35184" w14:paraId="33509A27" w14:textId="77777777" w:rsidTr="00403501">
        <w:trPr>
          <w:trHeight w:val="260"/>
        </w:trPr>
        <w:tc>
          <w:tcPr>
            <w:tcW w:w="2246" w:type="dxa"/>
            <w:gridSpan w:val="2"/>
            <w:tcBorders>
              <w:top w:val="nil"/>
              <w:bottom w:val="nil"/>
            </w:tcBorders>
            <w:vAlign w:val="center"/>
          </w:tcPr>
          <w:p w14:paraId="43DC1146" w14:textId="77777777" w:rsidR="00F7365E" w:rsidRPr="00C35184" w:rsidRDefault="00F7365E" w:rsidP="00F7365E">
            <w:pPr>
              <w:spacing w:after="0" w:line="276" w:lineRule="auto"/>
              <w:jc w:val="center"/>
              <w:rPr>
                <w:rFonts w:ascii="Times New Roman" w:hAnsi="Times New Roman" w:cs="Times New Roman"/>
                <w:color w:val="000000"/>
                <w:sz w:val="24"/>
                <w:szCs w:val="24"/>
              </w:rPr>
            </w:pPr>
          </w:p>
        </w:tc>
        <w:tc>
          <w:tcPr>
            <w:tcW w:w="662" w:type="dxa"/>
            <w:tcBorders>
              <w:top w:val="nil"/>
              <w:bottom w:val="nil"/>
            </w:tcBorders>
            <w:vAlign w:val="center"/>
          </w:tcPr>
          <w:p w14:paraId="6C8F8F81" w14:textId="77777777" w:rsidR="00F7365E" w:rsidRPr="00C35184" w:rsidRDefault="00F7365E" w:rsidP="00F7365E">
            <w:pPr>
              <w:spacing w:after="0" w:line="276" w:lineRule="auto"/>
              <w:jc w:val="center"/>
              <w:rPr>
                <w:rFonts w:ascii="Times New Roman" w:hAnsi="Times New Roman" w:cs="Times New Roman"/>
                <w:color w:val="000000"/>
                <w:sz w:val="24"/>
                <w:szCs w:val="24"/>
              </w:rPr>
            </w:pPr>
          </w:p>
        </w:tc>
        <w:tc>
          <w:tcPr>
            <w:tcW w:w="1062" w:type="dxa"/>
            <w:tcBorders>
              <w:top w:val="nil"/>
              <w:bottom w:val="nil"/>
            </w:tcBorders>
            <w:vAlign w:val="center"/>
          </w:tcPr>
          <w:p w14:paraId="5A814957" w14:textId="77777777" w:rsidR="00F7365E" w:rsidRPr="00C35184" w:rsidRDefault="00F7365E" w:rsidP="00F7365E">
            <w:pPr>
              <w:spacing w:after="0" w:line="276" w:lineRule="auto"/>
              <w:jc w:val="center"/>
              <w:rPr>
                <w:rFonts w:ascii="Times New Roman" w:hAnsi="Times New Roman" w:cs="Times New Roman"/>
                <w:color w:val="000000"/>
                <w:sz w:val="24"/>
                <w:szCs w:val="24"/>
              </w:rPr>
            </w:pPr>
          </w:p>
        </w:tc>
        <w:tc>
          <w:tcPr>
            <w:tcW w:w="1155" w:type="dxa"/>
            <w:tcBorders>
              <w:top w:val="nil"/>
              <w:bottom w:val="nil"/>
            </w:tcBorders>
            <w:vAlign w:val="center"/>
          </w:tcPr>
          <w:p w14:paraId="2CE763A7" w14:textId="77777777" w:rsidR="00F7365E" w:rsidRPr="00C35184" w:rsidRDefault="00F7365E" w:rsidP="00F7365E">
            <w:pPr>
              <w:spacing w:after="0" w:line="276" w:lineRule="auto"/>
              <w:jc w:val="center"/>
              <w:rPr>
                <w:rFonts w:ascii="Times New Roman" w:hAnsi="Times New Roman" w:cs="Times New Roman"/>
                <w:color w:val="000000"/>
                <w:sz w:val="24"/>
                <w:szCs w:val="24"/>
              </w:rPr>
            </w:pPr>
          </w:p>
        </w:tc>
        <w:tc>
          <w:tcPr>
            <w:tcW w:w="1339" w:type="dxa"/>
            <w:tcBorders>
              <w:top w:val="nil"/>
              <w:bottom w:val="nil"/>
            </w:tcBorders>
            <w:vAlign w:val="center"/>
          </w:tcPr>
          <w:p w14:paraId="43E6B75D" w14:textId="77777777" w:rsidR="00F7365E" w:rsidRPr="00C35184" w:rsidRDefault="00F7365E" w:rsidP="00F7365E">
            <w:pPr>
              <w:spacing w:after="0" w:line="276" w:lineRule="auto"/>
              <w:jc w:val="center"/>
              <w:rPr>
                <w:rFonts w:ascii="Times New Roman" w:hAnsi="Times New Roman" w:cs="Times New Roman"/>
                <w:color w:val="000000"/>
                <w:sz w:val="24"/>
                <w:szCs w:val="24"/>
              </w:rPr>
            </w:pPr>
          </w:p>
        </w:tc>
        <w:tc>
          <w:tcPr>
            <w:tcW w:w="1339" w:type="dxa"/>
            <w:tcBorders>
              <w:top w:val="nil"/>
              <w:bottom w:val="nil"/>
            </w:tcBorders>
            <w:vAlign w:val="center"/>
          </w:tcPr>
          <w:p w14:paraId="05153F62" w14:textId="77777777" w:rsidR="00F7365E" w:rsidRPr="00C35184" w:rsidRDefault="00F7365E" w:rsidP="00F7365E">
            <w:pPr>
              <w:spacing w:after="0" w:line="276" w:lineRule="auto"/>
              <w:jc w:val="center"/>
              <w:rPr>
                <w:rFonts w:ascii="Times New Roman" w:hAnsi="Times New Roman" w:cs="Times New Roman"/>
                <w:color w:val="000000"/>
                <w:sz w:val="24"/>
                <w:szCs w:val="24"/>
              </w:rPr>
            </w:pPr>
          </w:p>
        </w:tc>
        <w:tc>
          <w:tcPr>
            <w:tcW w:w="1522" w:type="dxa"/>
            <w:tcBorders>
              <w:top w:val="nil"/>
              <w:bottom w:val="nil"/>
            </w:tcBorders>
            <w:vAlign w:val="center"/>
          </w:tcPr>
          <w:p w14:paraId="1B2D48DA" w14:textId="77777777" w:rsidR="00F7365E" w:rsidRPr="00C35184" w:rsidRDefault="00F7365E" w:rsidP="00F7365E">
            <w:pPr>
              <w:spacing w:after="0" w:line="276" w:lineRule="auto"/>
              <w:jc w:val="center"/>
              <w:rPr>
                <w:rFonts w:ascii="Times New Roman" w:hAnsi="Times New Roman" w:cs="Times New Roman"/>
                <w:color w:val="000000"/>
                <w:sz w:val="24"/>
                <w:szCs w:val="24"/>
              </w:rPr>
            </w:pPr>
          </w:p>
        </w:tc>
      </w:tr>
      <w:tr w:rsidR="00F7365E" w:rsidRPr="00C35184" w14:paraId="248B175A" w14:textId="77777777" w:rsidTr="00403501">
        <w:trPr>
          <w:trHeight w:val="139"/>
        </w:trPr>
        <w:tc>
          <w:tcPr>
            <w:tcW w:w="1191" w:type="dxa"/>
            <w:tcBorders>
              <w:top w:val="nil"/>
            </w:tcBorders>
            <w:vAlign w:val="center"/>
          </w:tcPr>
          <w:p w14:paraId="3636A488" w14:textId="77777777" w:rsidR="00F7365E" w:rsidRPr="00C35184" w:rsidRDefault="00F7365E" w:rsidP="00F7365E">
            <w:pPr>
              <w:spacing w:after="0" w:line="276" w:lineRule="auto"/>
              <w:jc w:val="center"/>
              <w:rPr>
                <w:rFonts w:ascii="Times New Roman" w:hAnsi="Times New Roman" w:cs="Times New Roman"/>
                <w:color w:val="000000"/>
                <w:sz w:val="24"/>
                <w:szCs w:val="24"/>
              </w:rPr>
            </w:pPr>
          </w:p>
        </w:tc>
        <w:tc>
          <w:tcPr>
            <w:tcW w:w="1717" w:type="dxa"/>
            <w:gridSpan w:val="2"/>
            <w:tcBorders>
              <w:top w:val="nil"/>
            </w:tcBorders>
            <w:vAlign w:val="center"/>
          </w:tcPr>
          <w:p w14:paraId="6952D17E" w14:textId="77777777" w:rsidR="00F7365E" w:rsidRPr="00C35184" w:rsidRDefault="00F7365E" w:rsidP="00F7365E">
            <w:pPr>
              <w:spacing w:after="0" w:line="276" w:lineRule="auto"/>
              <w:jc w:val="center"/>
              <w:rPr>
                <w:rFonts w:ascii="Times New Roman" w:hAnsi="Times New Roman" w:cs="Times New Roman"/>
                <w:b/>
                <w:color w:val="000000"/>
                <w:sz w:val="24"/>
                <w:szCs w:val="24"/>
              </w:rPr>
            </w:pPr>
            <w:proofErr w:type="spellStart"/>
            <w:r w:rsidRPr="00C35184">
              <w:rPr>
                <w:rFonts w:ascii="Times New Roman" w:eastAsia="DGMetaSerifScience" w:hAnsi="Times New Roman" w:cs="Times New Roman"/>
                <w:b/>
                <w:color w:val="000000"/>
                <w:sz w:val="24"/>
                <w:szCs w:val="24"/>
                <w:lang w:eastAsia="en-GB"/>
              </w:rPr>
              <w:t>ΣWi</w:t>
            </w:r>
            <w:proofErr w:type="spellEnd"/>
            <w:r w:rsidRPr="00C35184">
              <w:rPr>
                <w:rFonts w:ascii="Times New Roman" w:eastAsia="DGMetaSerifScience" w:hAnsi="Times New Roman" w:cs="Times New Roman"/>
                <w:b/>
                <w:color w:val="000000"/>
                <w:sz w:val="24"/>
                <w:szCs w:val="24"/>
                <w:lang w:eastAsia="en-GB"/>
              </w:rPr>
              <w:t>=50</w:t>
            </w:r>
          </w:p>
        </w:tc>
        <w:tc>
          <w:tcPr>
            <w:tcW w:w="1062" w:type="dxa"/>
            <w:tcBorders>
              <w:top w:val="nil"/>
            </w:tcBorders>
            <w:vAlign w:val="center"/>
          </w:tcPr>
          <w:p w14:paraId="293BB1AE" w14:textId="77777777" w:rsidR="00F7365E" w:rsidRPr="00C35184" w:rsidRDefault="00F7365E" w:rsidP="00F7365E">
            <w:pPr>
              <w:spacing w:after="0" w:line="276" w:lineRule="auto"/>
              <w:jc w:val="center"/>
              <w:rPr>
                <w:rFonts w:ascii="Times New Roman" w:eastAsia="Times New Roman" w:hAnsi="Times New Roman" w:cs="Times New Roman"/>
                <w:b/>
                <w:color w:val="000000"/>
                <w:sz w:val="24"/>
                <w:szCs w:val="24"/>
              </w:rPr>
            </w:pPr>
          </w:p>
        </w:tc>
        <w:tc>
          <w:tcPr>
            <w:tcW w:w="1155" w:type="dxa"/>
            <w:tcBorders>
              <w:top w:val="nil"/>
            </w:tcBorders>
            <w:vAlign w:val="center"/>
          </w:tcPr>
          <w:p w14:paraId="721C310E" w14:textId="77777777" w:rsidR="00F7365E" w:rsidRPr="00C35184" w:rsidRDefault="00F7365E" w:rsidP="00F7365E">
            <w:pPr>
              <w:spacing w:after="0" w:line="276" w:lineRule="auto"/>
              <w:jc w:val="center"/>
              <w:rPr>
                <w:rFonts w:ascii="Times New Roman" w:hAnsi="Times New Roman" w:cs="Times New Roman"/>
                <w:b/>
                <w:color w:val="000000"/>
                <w:sz w:val="24"/>
                <w:szCs w:val="24"/>
              </w:rPr>
            </w:pPr>
          </w:p>
        </w:tc>
        <w:tc>
          <w:tcPr>
            <w:tcW w:w="4201" w:type="dxa"/>
            <w:gridSpan w:val="3"/>
            <w:tcBorders>
              <w:top w:val="nil"/>
            </w:tcBorders>
            <w:vAlign w:val="center"/>
          </w:tcPr>
          <w:p w14:paraId="3E92E5EA" w14:textId="77777777" w:rsidR="00F7365E" w:rsidRPr="00C35184" w:rsidRDefault="00F7365E" w:rsidP="00F7365E">
            <w:pPr>
              <w:spacing w:after="0" w:line="276" w:lineRule="auto"/>
              <w:jc w:val="right"/>
              <w:rPr>
                <w:rFonts w:ascii="Times New Roman" w:hAnsi="Times New Roman" w:cs="Times New Roman"/>
                <w:b/>
                <w:color w:val="000000"/>
                <w:sz w:val="24"/>
                <w:szCs w:val="24"/>
              </w:rPr>
            </w:pPr>
            <w:r w:rsidRPr="00C35184">
              <w:rPr>
                <w:rFonts w:ascii="Times New Roman" w:hAnsi="Times New Roman" w:cs="Times New Roman"/>
                <w:b/>
                <w:color w:val="000000"/>
                <w:sz w:val="24"/>
                <w:szCs w:val="24"/>
              </w:rPr>
              <w:t>WQI=21.61</w:t>
            </w:r>
          </w:p>
        </w:tc>
      </w:tr>
    </w:tbl>
    <w:p w14:paraId="070BAD44" w14:textId="77777777" w:rsidR="00F7365E" w:rsidRPr="00C35184" w:rsidRDefault="00F7365E" w:rsidP="00F7365E">
      <w:pPr>
        <w:rPr>
          <w:rFonts w:ascii="Times New Roman" w:hAnsi="Times New Roman" w:cs="Times New Roman"/>
          <w:sz w:val="24"/>
          <w:szCs w:val="24"/>
          <w:lang w:val="en-US"/>
        </w:rPr>
      </w:pPr>
    </w:p>
    <w:p w14:paraId="5E64C395" w14:textId="77777777" w:rsidR="006660CB" w:rsidRPr="00C35184" w:rsidRDefault="006660CB" w:rsidP="00F7365E">
      <w:pPr>
        <w:rPr>
          <w:rFonts w:ascii="Times New Roman" w:hAnsi="Times New Roman" w:cs="Times New Roman"/>
          <w:b/>
          <w:sz w:val="24"/>
          <w:szCs w:val="24"/>
        </w:rPr>
      </w:pPr>
    </w:p>
    <w:p w14:paraId="2F3C9E70" w14:textId="77777777" w:rsidR="006660CB" w:rsidRPr="00C35184" w:rsidRDefault="006660CB" w:rsidP="00F7365E">
      <w:pPr>
        <w:rPr>
          <w:rFonts w:ascii="Times New Roman" w:hAnsi="Times New Roman" w:cs="Times New Roman"/>
          <w:b/>
          <w:sz w:val="24"/>
          <w:szCs w:val="24"/>
        </w:rPr>
      </w:pPr>
    </w:p>
    <w:p w14:paraId="11D90F9E" w14:textId="77777777" w:rsidR="006660CB" w:rsidRPr="00C35184" w:rsidRDefault="006660CB" w:rsidP="00F7365E">
      <w:pPr>
        <w:rPr>
          <w:rFonts w:ascii="Times New Roman" w:hAnsi="Times New Roman" w:cs="Times New Roman"/>
          <w:b/>
          <w:sz w:val="24"/>
          <w:szCs w:val="24"/>
        </w:rPr>
      </w:pPr>
    </w:p>
    <w:p w14:paraId="149E82AD" w14:textId="50605FB2" w:rsidR="00F7365E" w:rsidRPr="00C35184" w:rsidRDefault="00C35184" w:rsidP="00C35184">
      <w:pPr>
        <w:pStyle w:val="ListParagraph"/>
        <w:numPr>
          <w:ilvl w:val="0"/>
          <w:numId w:val="2"/>
        </w:numPr>
        <w:rPr>
          <w:rFonts w:ascii="Times New Roman" w:hAnsi="Times New Roman"/>
          <w:b/>
          <w:sz w:val="24"/>
          <w:szCs w:val="24"/>
        </w:rPr>
      </w:pPr>
      <w:r w:rsidRPr="00C35184">
        <w:rPr>
          <w:rFonts w:ascii="Times New Roman" w:hAnsi="Times New Roman"/>
          <w:b/>
          <w:sz w:val="24"/>
          <w:szCs w:val="24"/>
        </w:rPr>
        <w:t xml:space="preserve">CONCLUSION </w:t>
      </w:r>
    </w:p>
    <w:p w14:paraId="6B8176A7" w14:textId="0F63BDE3" w:rsidR="001B5C4B" w:rsidRDefault="001B5C4B" w:rsidP="001449B3">
      <w:pPr>
        <w:spacing w:after="0" w:line="480" w:lineRule="auto"/>
        <w:jc w:val="both"/>
        <w:rPr>
          <w:rFonts w:ascii="Times New Roman" w:hAnsi="Times New Roman" w:cs="Times New Roman"/>
          <w:bCs/>
          <w:color w:val="000000"/>
          <w:sz w:val="24"/>
          <w:szCs w:val="24"/>
        </w:rPr>
      </w:pPr>
      <w:r w:rsidRPr="00C35184">
        <w:rPr>
          <w:rFonts w:ascii="Times New Roman" w:hAnsi="Times New Roman" w:cs="Times New Roman"/>
          <w:bCs/>
          <w:sz w:val="24"/>
          <w:szCs w:val="24"/>
        </w:rPr>
        <w:t xml:space="preserve">The groundwater sourced through boreholes along a decommissioned oil and gas pipeline routes was assessed for its quality status based on water quality index based on the </w:t>
      </w:r>
      <w:r w:rsidRPr="00C35184">
        <w:rPr>
          <w:rFonts w:ascii="Times New Roman" w:hAnsi="Times New Roman" w:cs="Times New Roman"/>
          <w:bCs/>
          <w:sz w:val="24"/>
          <w:szCs w:val="24"/>
        </w:rPr>
        <w:lastRenderedPageBreak/>
        <w:t xml:space="preserve">concentration of various groundwater parameters. </w:t>
      </w:r>
      <w:r w:rsidRPr="00C35184">
        <w:rPr>
          <w:rFonts w:ascii="Times New Roman" w:hAnsi="Times New Roman" w:cs="Times New Roman"/>
          <w:bCs/>
          <w:color w:val="000000"/>
          <w:sz w:val="24"/>
          <w:szCs w:val="24"/>
        </w:rPr>
        <w:t>The water quality index of the groundwater was “Excellent water”. Based on the outcome of the study, it was concluded that the decommissioned pipelines had no direct impact on the quality of the groundwater. The study suggested the need for further assessment using other water quality assessment metric for more comprehensive outcome.</w:t>
      </w:r>
    </w:p>
    <w:p w14:paraId="00786883" w14:textId="264E222A" w:rsidR="003045D6" w:rsidRDefault="003045D6" w:rsidP="001449B3">
      <w:pPr>
        <w:spacing w:after="0" w:line="480" w:lineRule="auto"/>
        <w:jc w:val="both"/>
        <w:rPr>
          <w:rFonts w:ascii="Times New Roman" w:hAnsi="Times New Roman" w:cs="Times New Roman"/>
          <w:bCs/>
          <w:sz w:val="24"/>
          <w:szCs w:val="24"/>
        </w:rPr>
      </w:pPr>
    </w:p>
    <w:p w14:paraId="64021849" w14:textId="77777777" w:rsidR="003045D6" w:rsidRDefault="003045D6" w:rsidP="003045D6">
      <w:pPr>
        <w:rPr>
          <w:rFonts w:cs="Times New Roman"/>
          <w:kern w:val="2"/>
          <w:highlight w:val="yellow"/>
          <w:lang w:val="en-US"/>
        </w:rPr>
      </w:pPr>
      <w:bookmarkStart w:id="16" w:name="_Hlk193540946"/>
      <w:bookmarkStart w:id="17" w:name="_Hlk183680988"/>
      <w:bookmarkStart w:id="18" w:name="_Hlk180402183"/>
      <w:bookmarkStart w:id="19" w:name="_Hlk197173371"/>
      <w:bookmarkStart w:id="20" w:name="_Hlk192511329"/>
      <w:r>
        <w:rPr>
          <w:rFonts w:cs="Times New Roman"/>
          <w:kern w:val="2"/>
          <w:highlight w:val="yellow"/>
          <w:lang w:val="en-US"/>
        </w:rPr>
        <w:t>Disclaimer (Artificial intelligence)</w:t>
      </w:r>
    </w:p>
    <w:p w14:paraId="3F6A9EDE" w14:textId="77777777" w:rsidR="003045D6" w:rsidRDefault="003045D6" w:rsidP="003045D6">
      <w:pPr>
        <w:rPr>
          <w:rFonts w:cs="Times New Roman"/>
          <w:kern w:val="2"/>
          <w:highlight w:val="yellow"/>
          <w:lang w:val="en-US"/>
        </w:rPr>
      </w:pPr>
      <w:r>
        <w:rPr>
          <w:rFonts w:cs="Times New Roman"/>
          <w:kern w:val="2"/>
          <w:highlight w:val="yellow"/>
          <w:lang w:val="en-US"/>
        </w:rPr>
        <w:t xml:space="preserve">Option 1: </w:t>
      </w:r>
    </w:p>
    <w:p w14:paraId="785D93D8" w14:textId="77777777" w:rsidR="003045D6" w:rsidRDefault="003045D6" w:rsidP="003045D6">
      <w:pPr>
        <w:rPr>
          <w:rFonts w:cs="Times New Roman"/>
          <w:kern w:val="2"/>
          <w:highlight w:val="yellow"/>
          <w:lang w:val="en-US"/>
        </w:rPr>
      </w:pPr>
      <w:r>
        <w:rPr>
          <w:rFonts w:cs="Times New Roman"/>
          <w:kern w:val="2"/>
          <w:highlight w:val="yellow"/>
          <w:lang w:val="en-US"/>
        </w:rPr>
        <w:t>Author(s) hereby declare that NO generative AI technologies such as Large Language Models (</w:t>
      </w:r>
      <w:proofErr w:type="spellStart"/>
      <w:r>
        <w:rPr>
          <w:rFonts w:cs="Times New Roman"/>
          <w:kern w:val="2"/>
          <w:highlight w:val="yellow"/>
          <w:lang w:val="en-US"/>
        </w:rPr>
        <w:t>ChatGPT</w:t>
      </w:r>
      <w:proofErr w:type="spellEnd"/>
      <w:r>
        <w:rPr>
          <w:rFonts w:cs="Times New Roman"/>
          <w:kern w:val="2"/>
          <w:highlight w:val="yellow"/>
          <w:lang w:val="en-US"/>
        </w:rPr>
        <w:t xml:space="preserve">, COPILOT, etc.) and text-to-image generators have been used during the writing or editing of this manuscript. </w:t>
      </w:r>
    </w:p>
    <w:p w14:paraId="38FDC692" w14:textId="77777777" w:rsidR="003045D6" w:rsidRDefault="003045D6" w:rsidP="003045D6">
      <w:pPr>
        <w:rPr>
          <w:rFonts w:cs="Times New Roman"/>
          <w:kern w:val="2"/>
          <w:highlight w:val="yellow"/>
          <w:lang w:val="en-US"/>
        </w:rPr>
      </w:pPr>
      <w:r>
        <w:rPr>
          <w:rFonts w:cs="Times New Roman"/>
          <w:kern w:val="2"/>
          <w:highlight w:val="yellow"/>
          <w:lang w:val="en-US"/>
        </w:rPr>
        <w:t xml:space="preserve">Option 2: </w:t>
      </w:r>
    </w:p>
    <w:p w14:paraId="7AB7A7AD" w14:textId="77777777" w:rsidR="003045D6" w:rsidRDefault="003045D6" w:rsidP="003045D6">
      <w:pPr>
        <w:rPr>
          <w:rFonts w:cs="Times New Roman"/>
          <w:kern w:val="2"/>
          <w:highlight w:val="yellow"/>
          <w:lang w:val="en-US"/>
        </w:rPr>
      </w:pPr>
      <w:r>
        <w:rPr>
          <w:rFonts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2A8937A" w14:textId="77777777" w:rsidR="003045D6" w:rsidRDefault="003045D6" w:rsidP="003045D6">
      <w:pPr>
        <w:rPr>
          <w:rFonts w:cs="Times New Roman"/>
          <w:kern w:val="2"/>
          <w:highlight w:val="yellow"/>
          <w:lang w:val="en-US"/>
        </w:rPr>
      </w:pPr>
      <w:r>
        <w:rPr>
          <w:rFonts w:cs="Times New Roman"/>
          <w:kern w:val="2"/>
          <w:highlight w:val="yellow"/>
          <w:lang w:val="en-US"/>
        </w:rPr>
        <w:t>Details of the AI usage are given below:</w:t>
      </w:r>
    </w:p>
    <w:p w14:paraId="482EA46F" w14:textId="77777777" w:rsidR="003045D6" w:rsidRDefault="003045D6" w:rsidP="003045D6">
      <w:pPr>
        <w:rPr>
          <w:rFonts w:cs="Times New Roman"/>
          <w:kern w:val="2"/>
          <w:highlight w:val="yellow"/>
          <w:lang w:val="en-US"/>
        </w:rPr>
      </w:pPr>
      <w:r>
        <w:rPr>
          <w:rFonts w:cs="Times New Roman"/>
          <w:kern w:val="2"/>
          <w:highlight w:val="yellow"/>
          <w:lang w:val="en-US"/>
        </w:rPr>
        <w:t>1.</w:t>
      </w:r>
    </w:p>
    <w:p w14:paraId="40670C91" w14:textId="77777777" w:rsidR="003045D6" w:rsidRDefault="003045D6" w:rsidP="003045D6">
      <w:pPr>
        <w:rPr>
          <w:rFonts w:cs="Times New Roman"/>
          <w:kern w:val="2"/>
          <w:highlight w:val="yellow"/>
          <w:lang w:val="en-US"/>
        </w:rPr>
      </w:pPr>
      <w:r>
        <w:rPr>
          <w:rFonts w:cs="Times New Roman"/>
          <w:kern w:val="2"/>
          <w:highlight w:val="yellow"/>
          <w:lang w:val="en-US"/>
        </w:rPr>
        <w:t>2.</w:t>
      </w:r>
    </w:p>
    <w:p w14:paraId="4C59F323" w14:textId="77777777" w:rsidR="003045D6" w:rsidRDefault="003045D6" w:rsidP="003045D6">
      <w:pPr>
        <w:rPr>
          <w:rFonts w:cs="Times New Roman"/>
          <w:kern w:val="2"/>
          <w:lang w:val="en-US"/>
        </w:rPr>
      </w:pPr>
      <w:r>
        <w:rPr>
          <w:rFonts w:cs="Times New Roman"/>
          <w:kern w:val="2"/>
          <w:highlight w:val="yellow"/>
          <w:lang w:val="en-US"/>
        </w:rPr>
        <w:t>3.</w:t>
      </w:r>
      <w:bookmarkEnd w:id="16"/>
    </w:p>
    <w:bookmarkEnd w:id="17"/>
    <w:bookmarkEnd w:id="18"/>
    <w:p w14:paraId="31D1651A" w14:textId="77777777" w:rsidR="003045D6" w:rsidRDefault="003045D6" w:rsidP="003045D6">
      <w:pPr>
        <w:rPr>
          <w:rFonts w:cs="Times New Roman"/>
          <w:kern w:val="2"/>
          <w:lang w:val="en-US"/>
        </w:rPr>
      </w:pPr>
      <w:r>
        <w:rPr>
          <w:rFonts w:cs="Times New Roman"/>
          <w:kern w:val="2"/>
          <w:lang w:val="en-US"/>
        </w:rPr>
        <w:tab/>
      </w:r>
      <w:bookmarkEnd w:id="19"/>
      <w:r>
        <w:rPr>
          <w:rFonts w:cs="Times New Roman"/>
          <w:kern w:val="2"/>
          <w:lang w:val="en-US"/>
        </w:rPr>
        <w:t xml:space="preserve"> </w:t>
      </w:r>
    </w:p>
    <w:bookmarkEnd w:id="20"/>
    <w:p w14:paraId="492052B0" w14:textId="77777777" w:rsidR="003045D6" w:rsidRDefault="003045D6" w:rsidP="003045D6">
      <w:pPr>
        <w:rPr>
          <w:rFonts w:cs="Times New Roman"/>
          <w:kern w:val="2"/>
          <w:lang w:val="en-US"/>
        </w:rPr>
      </w:pPr>
    </w:p>
    <w:p w14:paraId="78110546" w14:textId="77777777" w:rsidR="003045D6" w:rsidRDefault="003045D6" w:rsidP="003045D6"/>
    <w:p w14:paraId="1E815E0F" w14:textId="77777777" w:rsidR="003045D6" w:rsidRPr="00C35184" w:rsidRDefault="003045D6" w:rsidP="001449B3">
      <w:pPr>
        <w:spacing w:after="0" w:line="480" w:lineRule="auto"/>
        <w:jc w:val="both"/>
        <w:rPr>
          <w:rFonts w:ascii="Times New Roman" w:hAnsi="Times New Roman" w:cs="Times New Roman"/>
          <w:bCs/>
          <w:sz w:val="24"/>
          <w:szCs w:val="24"/>
        </w:rPr>
      </w:pPr>
    </w:p>
    <w:p w14:paraId="445DA29C" w14:textId="77777777" w:rsidR="00C35184" w:rsidRDefault="00C35184" w:rsidP="001449B3">
      <w:pPr>
        <w:spacing w:after="0" w:line="480" w:lineRule="auto"/>
        <w:jc w:val="both"/>
        <w:rPr>
          <w:rFonts w:ascii="Times New Roman" w:hAnsi="Times New Roman" w:cs="Times New Roman"/>
          <w:b/>
          <w:bCs/>
          <w:sz w:val="24"/>
          <w:szCs w:val="24"/>
        </w:rPr>
      </w:pPr>
    </w:p>
    <w:p w14:paraId="3C86CC77" w14:textId="06457D45" w:rsidR="001B5C4B" w:rsidRPr="00C35184" w:rsidRDefault="00C35184" w:rsidP="001449B3">
      <w:pPr>
        <w:spacing w:after="0" w:line="480" w:lineRule="auto"/>
        <w:jc w:val="both"/>
        <w:rPr>
          <w:rFonts w:ascii="Times New Roman" w:hAnsi="Times New Roman" w:cs="Times New Roman"/>
          <w:b/>
          <w:bCs/>
          <w:sz w:val="24"/>
          <w:szCs w:val="24"/>
        </w:rPr>
      </w:pPr>
      <w:r w:rsidRPr="00C35184">
        <w:rPr>
          <w:rFonts w:ascii="Times New Roman" w:hAnsi="Times New Roman" w:cs="Times New Roman"/>
          <w:b/>
          <w:bCs/>
          <w:sz w:val="24"/>
          <w:szCs w:val="24"/>
        </w:rPr>
        <w:t>REFERENCES</w:t>
      </w:r>
    </w:p>
    <w:p w14:paraId="6144E85B" w14:textId="77777777" w:rsidR="00C47CDF" w:rsidRPr="00C35184" w:rsidRDefault="00C47CDF" w:rsidP="00C47CDF">
      <w:pPr>
        <w:widowControl w:val="0"/>
        <w:autoSpaceDE w:val="0"/>
        <w:autoSpaceDN w:val="0"/>
        <w:adjustRightInd w:val="0"/>
        <w:spacing w:line="276" w:lineRule="auto"/>
        <w:ind w:left="720" w:hanging="720"/>
        <w:jc w:val="both"/>
        <w:rPr>
          <w:rFonts w:ascii="Times New Roman" w:hAnsi="Times New Roman" w:cs="Times New Roman"/>
          <w:sz w:val="24"/>
          <w:szCs w:val="24"/>
          <w:lang w:val="en-US"/>
        </w:rPr>
      </w:pPr>
      <w:proofErr w:type="spellStart"/>
      <w:r w:rsidRPr="00C35184">
        <w:rPr>
          <w:rFonts w:ascii="Times New Roman" w:hAnsi="Times New Roman" w:cs="Times New Roman"/>
          <w:sz w:val="24"/>
          <w:szCs w:val="24"/>
          <w:lang w:val="en-US"/>
        </w:rPr>
        <w:t>Addisie</w:t>
      </w:r>
      <w:proofErr w:type="spellEnd"/>
      <w:r w:rsidRPr="00C35184">
        <w:rPr>
          <w:rFonts w:ascii="Times New Roman" w:hAnsi="Times New Roman" w:cs="Times New Roman"/>
          <w:sz w:val="24"/>
          <w:szCs w:val="24"/>
          <w:lang w:val="en-US"/>
        </w:rPr>
        <w:t xml:space="preserve">, M. B. (2022). Evaluating Drinking Water Quality Using Water Quality Parameters and Esthetic Attributes. </w:t>
      </w:r>
      <w:r w:rsidRPr="00C35184">
        <w:rPr>
          <w:rFonts w:ascii="Times New Roman" w:hAnsi="Times New Roman" w:cs="Times New Roman"/>
          <w:i/>
          <w:iCs/>
          <w:sz w:val="24"/>
          <w:szCs w:val="24"/>
          <w:lang w:val="en-US"/>
        </w:rPr>
        <w:t>Air, Soil and Water Research</w:t>
      </w:r>
      <w:r w:rsidRPr="00C35184">
        <w:rPr>
          <w:rFonts w:ascii="Times New Roman" w:hAnsi="Times New Roman" w:cs="Times New Roman"/>
          <w:sz w:val="24"/>
          <w:szCs w:val="24"/>
          <w:lang w:val="en-US"/>
        </w:rPr>
        <w:t xml:space="preserve">, </w:t>
      </w:r>
      <w:r w:rsidRPr="00C35184">
        <w:rPr>
          <w:rFonts w:ascii="Times New Roman" w:hAnsi="Times New Roman" w:cs="Times New Roman"/>
          <w:i/>
          <w:iCs/>
          <w:sz w:val="24"/>
          <w:szCs w:val="24"/>
          <w:lang w:val="en-US"/>
        </w:rPr>
        <w:t>15</w:t>
      </w:r>
      <w:r w:rsidRPr="00C35184">
        <w:rPr>
          <w:rFonts w:ascii="Times New Roman" w:hAnsi="Times New Roman" w:cs="Times New Roman"/>
          <w:sz w:val="24"/>
          <w:szCs w:val="24"/>
          <w:lang w:val="en-US"/>
        </w:rPr>
        <w:t xml:space="preserve">(15), 117862212210750. </w:t>
      </w:r>
      <w:hyperlink r:id="rId27" w:history="1">
        <w:r w:rsidRPr="00C35184">
          <w:rPr>
            <w:rFonts w:ascii="Times New Roman" w:hAnsi="Times New Roman" w:cs="Times New Roman"/>
            <w:sz w:val="24"/>
            <w:szCs w:val="24"/>
            <w:lang w:val="en-US"/>
          </w:rPr>
          <w:t>https://doi.org/10.1177/11786221221075005</w:t>
        </w:r>
      </w:hyperlink>
    </w:p>
    <w:p w14:paraId="6E18C72F" w14:textId="77777777" w:rsidR="00C47CDF" w:rsidRPr="00C35184" w:rsidRDefault="00C47CDF" w:rsidP="00C47CDF">
      <w:pPr>
        <w:widowControl w:val="0"/>
        <w:autoSpaceDE w:val="0"/>
        <w:autoSpaceDN w:val="0"/>
        <w:adjustRightInd w:val="0"/>
        <w:spacing w:line="276" w:lineRule="auto"/>
        <w:ind w:left="720" w:hanging="720"/>
        <w:jc w:val="both"/>
        <w:rPr>
          <w:rFonts w:ascii="Times New Roman" w:hAnsi="Times New Roman" w:cs="Times New Roman"/>
          <w:sz w:val="24"/>
          <w:szCs w:val="24"/>
          <w:lang w:val="en-US"/>
        </w:rPr>
      </w:pPr>
      <w:proofErr w:type="spellStart"/>
      <w:r w:rsidRPr="00C35184">
        <w:rPr>
          <w:rFonts w:ascii="Times New Roman" w:hAnsi="Times New Roman" w:cs="Times New Roman"/>
          <w:sz w:val="24"/>
          <w:szCs w:val="24"/>
        </w:rPr>
        <w:t>Adimalla</w:t>
      </w:r>
      <w:proofErr w:type="spellEnd"/>
      <w:r w:rsidRPr="00C35184">
        <w:rPr>
          <w:rFonts w:ascii="Times New Roman" w:hAnsi="Times New Roman" w:cs="Times New Roman"/>
          <w:sz w:val="24"/>
          <w:szCs w:val="24"/>
        </w:rPr>
        <w:t xml:space="preserve"> N &amp; Wu, F. (2019) Groundwater quality for drinking and irrigation purposes</w:t>
      </w:r>
      <w:r w:rsidRPr="00C35184">
        <w:rPr>
          <w:rFonts w:ascii="Times New Roman" w:hAnsi="Times New Roman" w:cs="Times New Roman"/>
          <w:sz w:val="24"/>
          <w:szCs w:val="24"/>
          <w:lang w:eastAsia="en-GB"/>
        </w:rPr>
        <w:t xml:space="preserve"> </w:t>
      </w:r>
      <w:r w:rsidRPr="00C35184">
        <w:rPr>
          <w:rFonts w:ascii="Times New Roman" w:hAnsi="Times New Roman" w:cs="Times New Roman"/>
          <w:sz w:val="24"/>
          <w:szCs w:val="24"/>
        </w:rPr>
        <w:t>and potential health risks assessment: a case study from semiarid</w:t>
      </w:r>
      <w:r w:rsidRPr="00C35184">
        <w:rPr>
          <w:rFonts w:ascii="Times New Roman" w:hAnsi="Times New Roman" w:cs="Times New Roman"/>
          <w:sz w:val="24"/>
          <w:szCs w:val="24"/>
          <w:lang w:eastAsia="en-GB"/>
        </w:rPr>
        <w:t xml:space="preserve"> </w:t>
      </w:r>
      <w:r w:rsidRPr="00C35184">
        <w:rPr>
          <w:rFonts w:ascii="Times New Roman" w:hAnsi="Times New Roman" w:cs="Times New Roman"/>
          <w:sz w:val="24"/>
          <w:szCs w:val="24"/>
        </w:rPr>
        <w:t xml:space="preserve">region of south </w:t>
      </w:r>
      <w:proofErr w:type="spellStart"/>
      <w:r w:rsidRPr="00C35184">
        <w:rPr>
          <w:rFonts w:ascii="Times New Roman" w:hAnsi="Times New Roman" w:cs="Times New Roman"/>
          <w:sz w:val="24"/>
          <w:szCs w:val="24"/>
        </w:rPr>
        <w:t>india</w:t>
      </w:r>
      <w:proofErr w:type="spellEnd"/>
      <w:r w:rsidRPr="00C35184">
        <w:rPr>
          <w:rFonts w:ascii="Times New Roman" w:hAnsi="Times New Roman" w:cs="Times New Roman"/>
          <w:sz w:val="24"/>
          <w:szCs w:val="24"/>
        </w:rPr>
        <w:t>.</w:t>
      </w:r>
      <w:r w:rsidRPr="00C35184">
        <w:rPr>
          <w:rFonts w:ascii="Times New Roman" w:hAnsi="Times New Roman" w:cs="Times New Roman"/>
          <w:i/>
          <w:sz w:val="24"/>
          <w:szCs w:val="24"/>
        </w:rPr>
        <w:t xml:space="preserve"> Expo Health</w:t>
      </w:r>
      <w:r w:rsidRPr="00C35184">
        <w:rPr>
          <w:rFonts w:ascii="Times New Roman" w:hAnsi="Times New Roman" w:cs="Times New Roman"/>
          <w:sz w:val="24"/>
          <w:szCs w:val="24"/>
        </w:rPr>
        <w:t xml:space="preserve"> 11:109</w:t>
      </w:r>
      <w:r w:rsidRPr="00C35184">
        <w:rPr>
          <w:rFonts w:ascii="Times New Roman" w:eastAsia="QrxsyjAdvTT3713a231+20" w:hAnsi="Times New Roman" w:cs="Times New Roman"/>
          <w:sz w:val="24"/>
          <w:szCs w:val="24"/>
        </w:rPr>
        <w:t>–</w:t>
      </w:r>
      <w:r w:rsidRPr="00C35184">
        <w:rPr>
          <w:rFonts w:ascii="Times New Roman" w:hAnsi="Times New Roman" w:cs="Times New Roman"/>
          <w:sz w:val="24"/>
          <w:szCs w:val="24"/>
        </w:rPr>
        <w:t xml:space="preserve">123. </w:t>
      </w:r>
      <w:hyperlink r:id="rId28" w:history="1">
        <w:r w:rsidRPr="00C35184">
          <w:rPr>
            <w:rStyle w:val="Hyperlink"/>
            <w:rFonts w:ascii="Times New Roman" w:hAnsi="Times New Roman" w:cs="Times New Roman"/>
            <w:sz w:val="24"/>
            <w:szCs w:val="24"/>
          </w:rPr>
          <w:t>https://doi.org/10.1007/s12403-018-0288-8</w:t>
        </w:r>
      </w:hyperlink>
    </w:p>
    <w:p w14:paraId="7FDCEAE7" w14:textId="77777777" w:rsidR="00C47CDF" w:rsidRPr="00C35184" w:rsidRDefault="000D6E9F" w:rsidP="00C47CDF">
      <w:pPr>
        <w:widowControl w:val="0"/>
        <w:autoSpaceDE w:val="0"/>
        <w:autoSpaceDN w:val="0"/>
        <w:adjustRightInd w:val="0"/>
        <w:spacing w:line="276" w:lineRule="auto"/>
        <w:ind w:left="720" w:hanging="720"/>
        <w:jc w:val="both"/>
        <w:rPr>
          <w:rFonts w:ascii="Times New Roman" w:hAnsi="Times New Roman" w:cs="Times New Roman"/>
          <w:sz w:val="24"/>
          <w:szCs w:val="24"/>
          <w:lang w:val="en-US"/>
        </w:rPr>
      </w:pPr>
      <w:r w:rsidRPr="00C35184">
        <w:rPr>
          <w:rFonts w:ascii="Times New Roman" w:hAnsi="Times New Roman" w:cs="Times New Roman"/>
          <w:sz w:val="24"/>
          <w:szCs w:val="24"/>
        </w:rPr>
        <w:lastRenderedPageBreak/>
        <w:t xml:space="preserve">Afolabi, O. O.,  Wali, E. &amp; </w:t>
      </w:r>
      <w:proofErr w:type="spellStart"/>
      <w:r w:rsidRPr="00C35184">
        <w:rPr>
          <w:rFonts w:ascii="Times New Roman" w:hAnsi="Times New Roman" w:cs="Times New Roman"/>
          <w:sz w:val="24"/>
          <w:szCs w:val="24"/>
        </w:rPr>
        <w:t>Nwankwoala</w:t>
      </w:r>
      <w:proofErr w:type="spellEnd"/>
      <w:r w:rsidRPr="00C35184">
        <w:rPr>
          <w:rFonts w:ascii="Times New Roman" w:hAnsi="Times New Roman" w:cs="Times New Roman"/>
          <w:sz w:val="24"/>
          <w:szCs w:val="24"/>
        </w:rPr>
        <w:t xml:space="preserve">, H. O. (2023). Hydrogeochemical process of ions in groundwater of communities along Southern-axis Atlantic Ocean in Bayelsa, Nigeria, Water Science, 37:1, 399-408, DOI: 10.1080/23570008.2023.2285124 </w:t>
      </w:r>
    </w:p>
    <w:p w14:paraId="27447ECD" w14:textId="77777777" w:rsidR="00C47CDF" w:rsidRPr="00C35184" w:rsidRDefault="00C11A1D" w:rsidP="00C47CDF">
      <w:pPr>
        <w:widowControl w:val="0"/>
        <w:autoSpaceDE w:val="0"/>
        <w:autoSpaceDN w:val="0"/>
        <w:adjustRightInd w:val="0"/>
        <w:spacing w:line="276" w:lineRule="auto"/>
        <w:ind w:left="720" w:hanging="720"/>
        <w:jc w:val="both"/>
        <w:rPr>
          <w:rStyle w:val="Hyperlink"/>
          <w:rFonts w:ascii="Times New Roman" w:hAnsi="Times New Roman" w:cs="Times New Roman"/>
          <w:color w:val="auto"/>
          <w:sz w:val="24"/>
          <w:szCs w:val="24"/>
          <w:u w:val="none"/>
          <w:lang w:val="en-US"/>
        </w:rPr>
      </w:pPr>
      <w:r w:rsidRPr="00C35184">
        <w:rPr>
          <w:rFonts w:ascii="Times New Roman" w:hAnsi="Times New Roman" w:cs="Times New Roman"/>
          <w:sz w:val="24"/>
          <w:szCs w:val="24"/>
        </w:rPr>
        <w:t xml:space="preserve">Afolabi, O.O., Wali, E. </w:t>
      </w:r>
      <w:proofErr w:type="spellStart"/>
      <w:r w:rsidRPr="00C35184">
        <w:rPr>
          <w:rFonts w:ascii="Times New Roman" w:hAnsi="Times New Roman" w:cs="Times New Roman"/>
          <w:sz w:val="24"/>
          <w:szCs w:val="24"/>
        </w:rPr>
        <w:t>Ihunda</w:t>
      </w:r>
      <w:proofErr w:type="spellEnd"/>
      <w:r w:rsidRPr="00C35184">
        <w:rPr>
          <w:rFonts w:ascii="Times New Roman" w:hAnsi="Times New Roman" w:cs="Times New Roman"/>
          <w:sz w:val="24"/>
          <w:szCs w:val="24"/>
        </w:rPr>
        <w:t xml:space="preserve">, E.C., Orji, M.C., </w:t>
      </w:r>
      <w:proofErr w:type="spellStart"/>
      <w:r w:rsidRPr="00C35184">
        <w:rPr>
          <w:rFonts w:ascii="Times New Roman" w:hAnsi="Times New Roman" w:cs="Times New Roman"/>
          <w:sz w:val="24"/>
          <w:szCs w:val="24"/>
        </w:rPr>
        <w:t>Emelu</w:t>
      </w:r>
      <w:proofErr w:type="spellEnd"/>
      <w:r w:rsidRPr="00C35184">
        <w:rPr>
          <w:rFonts w:ascii="Times New Roman" w:hAnsi="Times New Roman" w:cs="Times New Roman"/>
          <w:sz w:val="24"/>
          <w:szCs w:val="24"/>
        </w:rPr>
        <w:t>, V.O., Bosco-</w:t>
      </w:r>
      <w:proofErr w:type="spellStart"/>
      <w:r w:rsidRPr="00C35184">
        <w:rPr>
          <w:rFonts w:ascii="Times New Roman" w:hAnsi="Times New Roman" w:cs="Times New Roman"/>
          <w:sz w:val="24"/>
          <w:szCs w:val="24"/>
        </w:rPr>
        <w:t>Abiahu</w:t>
      </w:r>
      <w:proofErr w:type="spellEnd"/>
      <w:r w:rsidRPr="00C35184">
        <w:rPr>
          <w:rFonts w:ascii="Times New Roman" w:hAnsi="Times New Roman" w:cs="Times New Roman"/>
          <w:sz w:val="24"/>
          <w:szCs w:val="24"/>
        </w:rPr>
        <w:t xml:space="preserve">, L.C., Ogbuehi, N.C., </w:t>
      </w:r>
      <w:proofErr w:type="spellStart"/>
      <w:r w:rsidRPr="00C35184">
        <w:rPr>
          <w:rFonts w:ascii="Times New Roman" w:hAnsi="Times New Roman" w:cs="Times New Roman"/>
          <w:sz w:val="24"/>
          <w:szCs w:val="24"/>
        </w:rPr>
        <w:t>Asomaku</w:t>
      </w:r>
      <w:proofErr w:type="spellEnd"/>
      <w:r w:rsidRPr="00C35184">
        <w:rPr>
          <w:rFonts w:ascii="Times New Roman" w:hAnsi="Times New Roman" w:cs="Times New Roman"/>
          <w:sz w:val="24"/>
          <w:szCs w:val="24"/>
        </w:rPr>
        <w:t xml:space="preserve">, S.O. </w:t>
      </w:r>
      <w:proofErr w:type="spellStart"/>
      <w:r w:rsidRPr="00C35184">
        <w:rPr>
          <w:rFonts w:ascii="Times New Roman" w:hAnsi="Times New Roman" w:cs="Times New Roman"/>
          <w:sz w:val="24"/>
          <w:szCs w:val="24"/>
        </w:rPr>
        <w:t>Wali</w:t>
      </w:r>
      <w:proofErr w:type="spellEnd"/>
      <w:r w:rsidRPr="00C35184">
        <w:rPr>
          <w:rFonts w:ascii="Times New Roman" w:hAnsi="Times New Roman" w:cs="Times New Roman"/>
          <w:sz w:val="24"/>
          <w:szCs w:val="24"/>
        </w:rPr>
        <w:t xml:space="preserve">, O.A. (2022). Potential environmental pollution and human health risk assessment due to leachate contamination of groundwater from anthropogenic impacted site, </w:t>
      </w:r>
      <w:r w:rsidRPr="00C35184">
        <w:rPr>
          <w:rFonts w:ascii="Times New Roman" w:hAnsi="Times New Roman" w:cs="Times New Roman"/>
          <w:i/>
          <w:sz w:val="24"/>
          <w:szCs w:val="24"/>
        </w:rPr>
        <w:t>Environmental Challenge</w:t>
      </w:r>
      <w:r w:rsidRPr="00C35184">
        <w:rPr>
          <w:rFonts w:ascii="Times New Roman" w:hAnsi="Times New Roman" w:cs="Times New Roman"/>
          <w:sz w:val="24"/>
          <w:szCs w:val="24"/>
        </w:rPr>
        <w:t xml:space="preserve">. 9:100627. </w:t>
      </w:r>
      <w:hyperlink r:id="rId29" w:history="1">
        <w:r w:rsidRPr="00C35184">
          <w:rPr>
            <w:rStyle w:val="Hyperlink"/>
            <w:rFonts w:ascii="Times New Roman" w:hAnsi="Times New Roman" w:cs="Times New Roman"/>
            <w:sz w:val="24"/>
            <w:szCs w:val="24"/>
          </w:rPr>
          <w:t>https://doi.org/10.1016/j.envc.2022.100627</w:t>
        </w:r>
      </w:hyperlink>
    </w:p>
    <w:p w14:paraId="34D0303E" w14:textId="77777777" w:rsidR="00C47CDF" w:rsidRPr="00C35184" w:rsidRDefault="00C47CDF" w:rsidP="00C47CDF">
      <w:pPr>
        <w:widowControl w:val="0"/>
        <w:autoSpaceDE w:val="0"/>
        <w:autoSpaceDN w:val="0"/>
        <w:adjustRightInd w:val="0"/>
        <w:spacing w:line="276" w:lineRule="auto"/>
        <w:ind w:left="720" w:hanging="720"/>
        <w:jc w:val="both"/>
        <w:rPr>
          <w:rFonts w:ascii="Times New Roman" w:hAnsi="Times New Roman" w:cs="Times New Roman"/>
          <w:sz w:val="24"/>
          <w:szCs w:val="24"/>
          <w:lang w:val="en-US"/>
        </w:rPr>
      </w:pPr>
      <w:r w:rsidRPr="00C35184">
        <w:rPr>
          <w:rFonts w:ascii="Times New Roman" w:hAnsi="Times New Roman" w:cs="Times New Roman"/>
          <w:sz w:val="24"/>
          <w:szCs w:val="24"/>
        </w:rPr>
        <w:t>Al-Sud</w:t>
      </w:r>
      <w:r w:rsidRPr="00C35184">
        <w:rPr>
          <w:rFonts w:ascii="Times New Roman" w:hAnsi="Times New Roman" w:cs="Times New Roman"/>
          <w:i/>
          <w:sz w:val="24"/>
          <w:szCs w:val="24"/>
        </w:rPr>
        <w:t>a</w:t>
      </w:r>
      <w:r w:rsidRPr="00C35184">
        <w:rPr>
          <w:rFonts w:ascii="Times New Roman" w:hAnsi="Times New Roman" w:cs="Times New Roman"/>
          <w:sz w:val="24"/>
          <w:szCs w:val="24"/>
        </w:rPr>
        <w:t xml:space="preserve">ni, H. I. Z. (2019). A Review on Groundwater Pollution. </w:t>
      </w:r>
      <w:r w:rsidRPr="00C35184">
        <w:rPr>
          <w:rFonts w:ascii="Times New Roman" w:hAnsi="Times New Roman" w:cs="Times New Roman"/>
          <w:bCs/>
          <w:i/>
          <w:iCs/>
          <w:sz w:val="24"/>
          <w:szCs w:val="24"/>
        </w:rPr>
        <w:t>International Journal of Recent Engineering Science</w:t>
      </w:r>
      <w:r w:rsidRPr="00C35184">
        <w:rPr>
          <w:rFonts w:ascii="Times New Roman" w:hAnsi="Times New Roman" w:cs="Times New Roman"/>
          <w:bCs/>
          <w:iCs/>
          <w:sz w:val="24"/>
          <w:szCs w:val="24"/>
        </w:rPr>
        <w:t>, 6(5)</w:t>
      </w:r>
    </w:p>
    <w:p w14:paraId="0D7C54A9" w14:textId="77777777" w:rsidR="00C47CDF" w:rsidRPr="00C35184" w:rsidRDefault="00C47CDF" w:rsidP="00C47CDF">
      <w:pPr>
        <w:widowControl w:val="0"/>
        <w:autoSpaceDE w:val="0"/>
        <w:autoSpaceDN w:val="0"/>
        <w:adjustRightInd w:val="0"/>
        <w:spacing w:line="276" w:lineRule="auto"/>
        <w:ind w:left="720" w:hanging="720"/>
        <w:jc w:val="both"/>
        <w:rPr>
          <w:rFonts w:ascii="Times New Roman" w:hAnsi="Times New Roman" w:cs="Times New Roman"/>
          <w:sz w:val="24"/>
          <w:szCs w:val="24"/>
          <w:lang w:val="en-US"/>
        </w:rPr>
      </w:pPr>
      <w:proofErr w:type="spellStart"/>
      <w:r w:rsidRPr="00C35184">
        <w:rPr>
          <w:rFonts w:ascii="Times New Roman" w:hAnsi="Times New Roman" w:cs="Times New Roman"/>
          <w:sz w:val="24"/>
          <w:szCs w:val="24"/>
        </w:rPr>
        <w:t>Ameur</w:t>
      </w:r>
      <w:proofErr w:type="spellEnd"/>
      <w:r w:rsidRPr="00C35184">
        <w:rPr>
          <w:rFonts w:ascii="Times New Roman" w:hAnsi="Times New Roman" w:cs="Times New Roman"/>
          <w:sz w:val="24"/>
          <w:szCs w:val="24"/>
        </w:rPr>
        <w:t xml:space="preserve"> M, </w:t>
      </w:r>
      <w:proofErr w:type="spellStart"/>
      <w:r w:rsidRPr="00C35184">
        <w:rPr>
          <w:rFonts w:ascii="Times New Roman" w:hAnsi="Times New Roman" w:cs="Times New Roman"/>
          <w:sz w:val="24"/>
          <w:szCs w:val="24"/>
        </w:rPr>
        <w:t>Hamzaoui-Azaza</w:t>
      </w:r>
      <w:proofErr w:type="spellEnd"/>
      <w:r w:rsidRPr="00C35184">
        <w:rPr>
          <w:rFonts w:ascii="Times New Roman" w:hAnsi="Times New Roman" w:cs="Times New Roman"/>
          <w:sz w:val="24"/>
          <w:szCs w:val="24"/>
        </w:rPr>
        <w:t xml:space="preserve"> F, </w:t>
      </w:r>
      <w:proofErr w:type="spellStart"/>
      <w:r w:rsidRPr="00C35184">
        <w:rPr>
          <w:rFonts w:ascii="Times New Roman" w:hAnsi="Times New Roman" w:cs="Times New Roman"/>
          <w:sz w:val="24"/>
          <w:szCs w:val="24"/>
        </w:rPr>
        <w:t>GueddariM</w:t>
      </w:r>
      <w:proofErr w:type="spellEnd"/>
      <w:r w:rsidRPr="00C35184">
        <w:rPr>
          <w:rFonts w:ascii="Times New Roman" w:hAnsi="Times New Roman" w:cs="Times New Roman"/>
          <w:sz w:val="24"/>
          <w:szCs w:val="24"/>
        </w:rPr>
        <w:t>(2016) Nitrate contamination</w:t>
      </w:r>
      <w:r w:rsidRPr="00C35184">
        <w:rPr>
          <w:rFonts w:ascii="Times New Roman" w:hAnsi="Times New Roman" w:cs="Times New Roman"/>
          <w:sz w:val="24"/>
          <w:szCs w:val="24"/>
          <w:lang w:eastAsia="en-GB"/>
        </w:rPr>
        <w:t xml:space="preserve"> </w:t>
      </w:r>
      <w:r w:rsidRPr="00C35184">
        <w:rPr>
          <w:rFonts w:ascii="Times New Roman" w:hAnsi="Times New Roman" w:cs="Times New Roman"/>
          <w:sz w:val="24"/>
          <w:szCs w:val="24"/>
        </w:rPr>
        <w:t xml:space="preserve">of </w:t>
      </w:r>
      <w:proofErr w:type="spellStart"/>
      <w:r w:rsidRPr="00C35184">
        <w:rPr>
          <w:rFonts w:ascii="Times New Roman" w:hAnsi="Times New Roman" w:cs="Times New Roman"/>
          <w:sz w:val="24"/>
          <w:szCs w:val="24"/>
        </w:rPr>
        <w:t>Sminja</w:t>
      </w:r>
      <w:proofErr w:type="spellEnd"/>
      <w:r w:rsidRPr="00C35184">
        <w:rPr>
          <w:rFonts w:ascii="Times New Roman" w:hAnsi="Times New Roman" w:cs="Times New Roman"/>
          <w:sz w:val="24"/>
          <w:szCs w:val="24"/>
        </w:rPr>
        <w:t xml:space="preserve"> aquifer groundwater in </w:t>
      </w:r>
      <w:proofErr w:type="spellStart"/>
      <w:r w:rsidRPr="00C35184">
        <w:rPr>
          <w:rFonts w:ascii="Times New Roman" w:hAnsi="Times New Roman" w:cs="Times New Roman"/>
          <w:sz w:val="24"/>
          <w:szCs w:val="24"/>
        </w:rPr>
        <w:t>Zaghouan</w:t>
      </w:r>
      <w:proofErr w:type="spellEnd"/>
      <w:r w:rsidRPr="00C35184">
        <w:rPr>
          <w:rFonts w:ascii="Times New Roman" w:hAnsi="Times New Roman" w:cs="Times New Roman"/>
          <w:sz w:val="24"/>
          <w:szCs w:val="24"/>
        </w:rPr>
        <w:t>, northeast Tunisia:</w:t>
      </w:r>
      <w:r w:rsidRPr="00C35184">
        <w:rPr>
          <w:rFonts w:ascii="Times New Roman" w:hAnsi="Times New Roman" w:cs="Times New Roman"/>
          <w:sz w:val="24"/>
          <w:szCs w:val="24"/>
          <w:lang w:eastAsia="en-GB"/>
        </w:rPr>
        <w:t xml:space="preserve"> </w:t>
      </w:r>
      <w:r w:rsidRPr="00C35184">
        <w:rPr>
          <w:rFonts w:ascii="Times New Roman" w:hAnsi="Times New Roman" w:cs="Times New Roman"/>
          <w:sz w:val="24"/>
          <w:szCs w:val="24"/>
        </w:rPr>
        <w:t xml:space="preserve">WQI and GIS assessments. </w:t>
      </w:r>
      <w:proofErr w:type="spellStart"/>
      <w:r w:rsidRPr="00C35184">
        <w:rPr>
          <w:rFonts w:ascii="Times New Roman" w:hAnsi="Times New Roman" w:cs="Times New Roman"/>
          <w:i/>
          <w:sz w:val="24"/>
          <w:szCs w:val="24"/>
        </w:rPr>
        <w:t>Desalin</w:t>
      </w:r>
      <w:proofErr w:type="spellEnd"/>
      <w:r w:rsidRPr="00C35184">
        <w:rPr>
          <w:rFonts w:ascii="Times New Roman" w:hAnsi="Times New Roman" w:cs="Times New Roman"/>
          <w:i/>
          <w:sz w:val="24"/>
          <w:szCs w:val="24"/>
        </w:rPr>
        <w:t xml:space="preserve"> Water Treat</w:t>
      </w:r>
      <w:r w:rsidRPr="00C35184">
        <w:rPr>
          <w:rFonts w:ascii="Times New Roman" w:hAnsi="Times New Roman" w:cs="Times New Roman"/>
          <w:sz w:val="24"/>
          <w:szCs w:val="24"/>
        </w:rPr>
        <w:t xml:space="preserve"> 57:1</w:t>
      </w:r>
      <w:r w:rsidRPr="00C35184">
        <w:rPr>
          <w:rFonts w:ascii="Times New Roman" w:eastAsia="QrxsyjAdvTT3713a231+20" w:hAnsi="Times New Roman" w:cs="Times New Roman"/>
          <w:sz w:val="24"/>
          <w:szCs w:val="24"/>
        </w:rPr>
        <w:t>–</w:t>
      </w:r>
      <w:r w:rsidRPr="00C35184">
        <w:rPr>
          <w:rFonts w:ascii="Times New Roman" w:hAnsi="Times New Roman" w:cs="Times New Roman"/>
          <w:sz w:val="24"/>
          <w:szCs w:val="24"/>
        </w:rPr>
        <w:t xml:space="preserve">11. </w:t>
      </w:r>
      <w:hyperlink r:id="rId30" w:history="1">
        <w:r w:rsidRPr="00C35184">
          <w:rPr>
            <w:rStyle w:val="Hyperlink"/>
            <w:rFonts w:ascii="Times New Roman" w:hAnsi="Times New Roman" w:cs="Times New Roman"/>
            <w:sz w:val="24"/>
            <w:szCs w:val="24"/>
          </w:rPr>
          <w:t>https://doi.org/10.1080/19443994.2015.1137495</w:t>
        </w:r>
      </w:hyperlink>
    </w:p>
    <w:p w14:paraId="32BE0CBF" w14:textId="77777777" w:rsidR="00C47CDF" w:rsidRPr="00C35184" w:rsidRDefault="00C47CDF" w:rsidP="00C47CDF">
      <w:pPr>
        <w:widowControl w:val="0"/>
        <w:autoSpaceDE w:val="0"/>
        <w:autoSpaceDN w:val="0"/>
        <w:adjustRightInd w:val="0"/>
        <w:spacing w:line="276" w:lineRule="auto"/>
        <w:ind w:left="720" w:hanging="720"/>
        <w:jc w:val="both"/>
        <w:rPr>
          <w:rFonts w:ascii="Times New Roman" w:hAnsi="Times New Roman" w:cs="Times New Roman"/>
          <w:sz w:val="24"/>
          <w:szCs w:val="24"/>
          <w:lang w:val="en-US"/>
        </w:rPr>
      </w:pPr>
      <w:proofErr w:type="spellStart"/>
      <w:r w:rsidRPr="00C35184">
        <w:rPr>
          <w:rFonts w:ascii="Times New Roman" w:hAnsi="Times New Roman" w:cs="Times New Roman"/>
          <w:sz w:val="24"/>
          <w:szCs w:val="24"/>
        </w:rPr>
        <w:t>Aouiti</w:t>
      </w:r>
      <w:proofErr w:type="spellEnd"/>
      <w:r w:rsidRPr="00C35184">
        <w:rPr>
          <w:rFonts w:ascii="Times New Roman" w:hAnsi="Times New Roman" w:cs="Times New Roman"/>
          <w:sz w:val="24"/>
          <w:szCs w:val="24"/>
        </w:rPr>
        <w:t xml:space="preserve">, M., </w:t>
      </w:r>
      <w:proofErr w:type="spellStart"/>
      <w:r w:rsidRPr="00C35184">
        <w:rPr>
          <w:rFonts w:ascii="Times New Roman" w:hAnsi="Times New Roman" w:cs="Times New Roman"/>
          <w:sz w:val="24"/>
          <w:szCs w:val="24"/>
        </w:rPr>
        <w:t>Azaza</w:t>
      </w:r>
      <w:proofErr w:type="spellEnd"/>
      <w:r w:rsidRPr="00C35184">
        <w:rPr>
          <w:rFonts w:ascii="Times New Roman" w:hAnsi="Times New Roman" w:cs="Times New Roman"/>
          <w:sz w:val="24"/>
          <w:szCs w:val="24"/>
        </w:rPr>
        <w:t xml:space="preserve">, F. H., El-Melki, F., Hamdi, M., </w:t>
      </w:r>
      <w:proofErr w:type="spellStart"/>
      <w:r w:rsidRPr="00C35184">
        <w:rPr>
          <w:rFonts w:ascii="Times New Roman" w:hAnsi="Times New Roman" w:cs="Times New Roman"/>
          <w:sz w:val="24"/>
          <w:szCs w:val="24"/>
        </w:rPr>
        <w:t>Celico</w:t>
      </w:r>
      <w:proofErr w:type="spellEnd"/>
      <w:r w:rsidRPr="00C35184">
        <w:rPr>
          <w:rFonts w:ascii="Times New Roman" w:hAnsi="Times New Roman" w:cs="Times New Roman"/>
          <w:sz w:val="24"/>
          <w:szCs w:val="24"/>
        </w:rPr>
        <w:t xml:space="preserve">, F. and </w:t>
      </w:r>
      <w:proofErr w:type="spellStart"/>
      <w:r w:rsidRPr="00C35184">
        <w:rPr>
          <w:rFonts w:ascii="Times New Roman" w:hAnsi="Times New Roman" w:cs="Times New Roman"/>
          <w:sz w:val="24"/>
          <w:szCs w:val="24"/>
        </w:rPr>
        <w:t>Zammouri</w:t>
      </w:r>
      <w:proofErr w:type="spellEnd"/>
      <w:r w:rsidRPr="00C35184">
        <w:rPr>
          <w:rFonts w:ascii="Times New Roman" w:hAnsi="Times New Roman" w:cs="Times New Roman"/>
          <w:sz w:val="24"/>
          <w:szCs w:val="24"/>
        </w:rPr>
        <w:t xml:space="preserve">, M. (2021). Groundwater quality assessment for different uses using various water quality indices in semi-arid region of central Tunisia. </w:t>
      </w:r>
      <w:r w:rsidRPr="00C35184">
        <w:rPr>
          <w:rFonts w:ascii="Times New Roman" w:hAnsi="Times New Roman" w:cs="Times New Roman"/>
          <w:i/>
          <w:sz w:val="24"/>
          <w:szCs w:val="24"/>
        </w:rPr>
        <w:t>Environmental Science and Pollution Research</w:t>
      </w:r>
      <w:r w:rsidRPr="00C35184">
        <w:rPr>
          <w:rFonts w:ascii="Times New Roman" w:hAnsi="Times New Roman" w:cs="Times New Roman"/>
          <w:sz w:val="24"/>
          <w:szCs w:val="24"/>
        </w:rPr>
        <w:t xml:space="preserve">, 28:46669–46691, </w:t>
      </w:r>
      <w:hyperlink r:id="rId31" w:history="1">
        <w:r w:rsidRPr="00C35184">
          <w:rPr>
            <w:rStyle w:val="Hyperlink"/>
            <w:rFonts w:ascii="Times New Roman" w:hAnsi="Times New Roman" w:cs="Times New Roman"/>
            <w:sz w:val="24"/>
            <w:szCs w:val="24"/>
          </w:rPr>
          <w:t>https://doi.org/10.1007/s11356-020-11149-5</w:t>
        </w:r>
      </w:hyperlink>
    </w:p>
    <w:p w14:paraId="415ECF44" w14:textId="77777777" w:rsidR="00C47CDF" w:rsidRPr="00C35184" w:rsidRDefault="00C47CDF" w:rsidP="00C47CDF">
      <w:pPr>
        <w:widowControl w:val="0"/>
        <w:autoSpaceDE w:val="0"/>
        <w:autoSpaceDN w:val="0"/>
        <w:adjustRightInd w:val="0"/>
        <w:spacing w:line="276" w:lineRule="auto"/>
        <w:ind w:left="720" w:hanging="720"/>
        <w:jc w:val="both"/>
        <w:rPr>
          <w:rFonts w:ascii="Times New Roman" w:hAnsi="Times New Roman" w:cs="Times New Roman"/>
          <w:sz w:val="24"/>
          <w:szCs w:val="24"/>
          <w:lang w:val="en-US"/>
        </w:rPr>
      </w:pPr>
      <w:proofErr w:type="spellStart"/>
      <w:r w:rsidRPr="00C35184">
        <w:rPr>
          <w:rFonts w:ascii="Times New Roman" w:hAnsi="Times New Roman" w:cs="Times New Roman"/>
          <w:sz w:val="24"/>
          <w:szCs w:val="24"/>
        </w:rPr>
        <w:t>Asomaku</w:t>
      </w:r>
      <w:proofErr w:type="spellEnd"/>
      <w:r w:rsidRPr="00C35184">
        <w:rPr>
          <w:rFonts w:ascii="Times New Roman" w:hAnsi="Times New Roman" w:cs="Times New Roman"/>
          <w:sz w:val="24"/>
          <w:szCs w:val="24"/>
        </w:rPr>
        <w:t xml:space="preserve">, S. O. (2023). Quality assessment of groundwater sourced from nearby abandoned landfills from Industrial City in Nigeria: Water pollution indices approach. </w:t>
      </w:r>
      <w:proofErr w:type="spellStart"/>
      <w:r w:rsidRPr="00C35184">
        <w:rPr>
          <w:rFonts w:ascii="Times New Roman" w:hAnsi="Times New Roman" w:cs="Times New Roman"/>
          <w:i/>
          <w:sz w:val="24"/>
          <w:szCs w:val="24"/>
        </w:rPr>
        <w:t>HydroResearch</w:t>
      </w:r>
      <w:proofErr w:type="spellEnd"/>
      <w:r w:rsidRPr="00C35184">
        <w:rPr>
          <w:rFonts w:ascii="Times New Roman" w:hAnsi="Times New Roman" w:cs="Times New Roman"/>
          <w:sz w:val="24"/>
          <w:szCs w:val="24"/>
        </w:rPr>
        <w:t>, 6, 130-137</w:t>
      </w:r>
    </w:p>
    <w:p w14:paraId="2F970E6B" w14:textId="77777777" w:rsidR="00C47CDF" w:rsidRPr="00C35184" w:rsidRDefault="00C47CDF" w:rsidP="00C47CDF">
      <w:pPr>
        <w:widowControl w:val="0"/>
        <w:autoSpaceDE w:val="0"/>
        <w:autoSpaceDN w:val="0"/>
        <w:adjustRightInd w:val="0"/>
        <w:spacing w:line="276" w:lineRule="auto"/>
        <w:ind w:left="720" w:hanging="720"/>
        <w:jc w:val="both"/>
        <w:rPr>
          <w:rFonts w:ascii="Times New Roman" w:hAnsi="Times New Roman" w:cs="Times New Roman"/>
          <w:sz w:val="24"/>
          <w:szCs w:val="24"/>
          <w:lang w:val="en-US"/>
        </w:rPr>
      </w:pPr>
      <w:r w:rsidRPr="00C35184">
        <w:rPr>
          <w:rFonts w:ascii="Times New Roman" w:hAnsi="Times New Roman" w:cs="Times New Roman"/>
          <w:sz w:val="24"/>
          <w:szCs w:val="24"/>
          <w:lang w:eastAsia="en-GB"/>
        </w:rPr>
        <w:t xml:space="preserve">Bilgin, A. (2018). Evaluation of surface water quality by using Canadian Council of Ministers of the Environment Water Quality Index (CCME WQI) method and discriminant analysis method: a case study </w:t>
      </w:r>
      <w:proofErr w:type="spellStart"/>
      <w:r w:rsidRPr="00C35184">
        <w:rPr>
          <w:rFonts w:ascii="Times New Roman" w:hAnsi="Times New Roman" w:cs="Times New Roman"/>
          <w:sz w:val="24"/>
          <w:szCs w:val="24"/>
          <w:lang w:eastAsia="en-GB"/>
        </w:rPr>
        <w:t>Coruh</w:t>
      </w:r>
      <w:proofErr w:type="spellEnd"/>
      <w:r w:rsidRPr="00C35184">
        <w:rPr>
          <w:rFonts w:ascii="Times New Roman" w:hAnsi="Times New Roman" w:cs="Times New Roman"/>
          <w:sz w:val="24"/>
          <w:szCs w:val="24"/>
          <w:lang w:eastAsia="en-GB"/>
        </w:rPr>
        <w:t xml:space="preserve"> River Basin. </w:t>
      </w:r>
      <w:r w:rsidRPr="00C35184">
        <w:rPr>
          <w:rFonts w:ascii="Times New Roman" w:hAnsi="Times New Roman" w:cs="Times New Roman"/>
          <w:i/>
          <w:sz w:val="24"/>
          <w:szCs w:val="24"/>
          <w:lang w:eastAsia="en-GB"/>
        </w:rPr>
        <w:t>Environmental Monitoring and Assessment</w:t>
      </w:r>
      <w:r w:rsidRPr="00C35184">
        <w:rPr>
          <w:rFonts w:ascii="Times New Roman" w:hAnsi="Times New Roman" w:cs="Times New Roman"/>
          <w:sz w:val="24"/>
          <w:szCs w:val="24"/>
          <w:lang w:eastAsia="en-GB"/>
        </w:rPr>
        <w:t>, 190(9), 554.</w:t>
      </w:r>
    </w:p>
    <w:p w14:paraId="087945A0" w14:textId="77777777" w:rsidR="00C47CDF" w:rsidRPr="00C35184" w:rsidRDefault="00C47CDF" w:rsidP="00C47CDF">
      <w:pPr>
        <w:widowControl w:val="0"/>
        <w:autoSpaceDE w:val="0"/>
        <w:autoSpaceDN w:val="0"/>
        <w:adjustRightInd w:val="0"/>
        <w:spacing w:line="276" w:lineRule="auto"/>
        <w:ind w:left="720" w:hanging="720"/>
        <w:jc w:val="both"/>
        <w:rPr>
          <w:rFonts w:ascii="Times New Roman" w:hAnsi="Times New Roman" w:cs="Times New Roman"/>
          <w:sz w:val="24"/>
          <w:szCs w:val="24"/>
          <w:lang w:val="en-US"/>
        </w:rPr>
      </w:pPr>
      <w:proofErr w:type="spellStart"/>
      <w:r w:rsidRPr="00C35184">
        <w:rPr>
          <w:rFonts w:ascii="Times New Roman" w:hAnsi="Times New Roman" w:cs="Times New Roman"/>
          <w:bCs/>
          <w:sz w:val="24"/>
          <w:szCs w:val="24"/>
        </w:rPr>
        <w:t>Chegbeleh</w:t>
      </w:r>
      <w:proofErr w:type="spellEnd"/>
      <w:r w:rsidRPr="00C35184">
        <w:rPr>
          <w:rFonts w:ascii="Times New Roman" w:hAnsi="Times New Roman" w:cs="Times New Roman"/>
          <w:bCs/>
          <w:sz w:val="24"/>
          <w:szCs w:val="24"/>
        </w:rPr>
        <w:t xml:space="preserve">, L., </w:t>
      </w:r>
      <w:proofErr w:type="spellStart"/>
      <w:r w:rsidRPr="00C35184">
        <w:rPr>
          <w:rFonts w:ascii="Times New Roman" w:hAnsi="Times New Roman" w:cs="Times New Roman"/>
          <w:bCs/>
          <w:sz w:val="24"/>
          <w:szCs w:val="24"/>
        </w:rPr>
        <w:t>Akurugu</w:t>
      </w:r>
      <w:proofErr w:type="spellEnd"/>
      <w:r w:rsidRPr="00C35184">
        <w:rPr>
          <w:rFonts w:ascii="Times New Roman" w:hAnsi="Times New Roman" w:cs="Times New Roman"/>
          <w:bCs/>
          <w:sz w:val="24"/>
          <w:szCs w:val="24"/>
        </w:rPr>
        <w:t xml:space="preserve">, B. A. and </w:t>
      </w:r>
      <w:proofErr w:type="spellStart"/>
      <w:r w:rsidRPr="00C35184">
        <w:rPr>
          <w:rFonts w:ascii="Times New Roman" w:hAnsi="Times New Roman" w:cs="Times New Roman"/>
          <w:bCs/>
          <w:sz w:val="24"/>
          <w:szCs w:val="24"/>
        </w:rPr>
        <w:t>Yidana</w:t>
      </w:r>
      <w:proofErr w:type="spellEnd"/>
      <w:r w:rsidRPr="00C35184">
        <w:rPr>
          <w:rFonts w:ascii="Times New Roman" w:hAnsi="Times New Roman" w:cs="Times New Roman"/>
          <w:bCs/>
          <w:sz w:val="24"/>
          <w:szCs w:val="24"/>
        </w:rPr>
        <w:t xml:space="preserve">, M. S. (2020). Assessment of Groundwater Quality in the </w:t>
      </w:r>
      <w:proofErr w:type="spellStart"/>
      <w:r w:rsidRPr="00C35184">
        <w:rPr>
          <w:rFonts w:ascii="Times New Roman" w:hAnsi="Times New Roman" w:cs="Times New Roman"/>
          <w:bCs/>
          <w:sz w:val="24"/>
          <w:szCs w:val="24"/>
        </w:rPr>
        <w:t>Talensi</w:t>
      </w:r>
      <w:proofErr w:type="spellEnd"/>
      <w:r w:rsidRPr="00C35184">
        <w:rPr>
          <w:rFonts w:ascii="Times New Roman" w:hAnsi="Times New Roman" w:cs="Times New Roman"/>
          <w:bCs/>
          <w:sz w:val="24"/>
          <w:szCs w:val="24"/>
        </w:rPr>
        <w:t xml:space="preserve"> District, Northern Ghana. </w:t>
      </w:r>
      <w:r w:rsidRPr="00C35184">
        <w:rPr>
          <w:rFonts w:ascii="Times New Roman" w:hAnsi="Times New Roman" w:cs="Times New Roman"/>
          <w:bCs/>
          <w:i/>
          <w:sz w:val="24"/>
          <w:szCs w:val="24"/>
        </w:rPr>
        <w:t xml:space="preserve">The </w:t>
      </w:r>
      <w:r w:rsidRPr="00C35184">
        <w:rPr>
          <w:rFonts w:ascii="Times New Roman" w:eastAsia="MinionPro-Regular" w:hAnsi="Times New Roman" w:cs="Times New Roman"/>
          <w:i/>
          <w:sz w:val="24"/>
          <w:szCs w:val="24"/>
        </w:rPr>
        <w:t>Scientific World Journal,</w:t>
      </w:r>
      <w:r w:rsidRPr="00C35184">
        <w:rPr>
          <w:rFonts w:ascii="Times New Roman" w:eastAsia="MinionPro-Regular" w:hAnsi="Times New Roman" w:cs="Times New Roman"/>
          <w:sz w:val="24"/>
          <w:szCs w:val="24"/>
        </w:rPr>
        <w:t xml:space="preserve"> </w:t>
      </w:r>
      <w:hyperlink r:id="rId32" w:history="1">
        <w:r w:rsidRPr="00C35184">
          <w:rPr>
            <w:rStyle w:val="Hyperlink"/>
            <w:rFonts w:ascii="Times New Roman" w:eastAsia="MinionPro-Regular" w:hAnsi="Times New Roman" w:cs="Times New Roman"/>
            <w:sz w:val="24"/>
            <w:szCs w:val="24"/>
          </w:rPr>
          <w:t>https://doi.org/10.1155/2020/8450860</w:t>
        </w:r>
      </w:hyperlink>
    </w:p>
    <w:p w14:paraId="6D5E8409" w14:textId="77777777" w:rsidR="00C47CDF" w:rsidRPr="00C35184" w:rsidRDefault="00C47CDF" w:rsidP="00C47CDF">
      <w:pPr>
        <w:widowControl w:val="0"/>
        <w:autoSpaceDE w:val="0"/>
        <w:autoSpaceDN w:val="0"/>
        <w:adjustRightInd w:val="0"/>
        <w:spacing w:line="276" w:lineRule="auto"/>
        <w:ind w:left="720" w:hanging="720"/>
        <w:jc w:val="both"/>
        <w:rPr>
          <w:rStyle w:val="Hyperlink"/>
          <w:rFonts w:ascii="Times New Roman" w:hAnsi="Times New Roman" w:cs="Times New Roman"/>
          <w:color w:val="auto"/>
          <w:sz w:val="24"/>
          <w:szCs w:val="24"/>
          <w:u w:val="none"/>
          <w:lang w:val="en-US"/>
        </w:rPr>
      </w:pPr>
      <w:proofErr w:type="spellStart"/>
      <w:r w:rsidRPr="00C35184">
        <w:rPr>
          <w:rFonts w:ascii="Times New Roman" w:hAnsi="Times New Roman" w:cs="Times New Roman"/>
          <w:sz w:val="24"/>
          <w:szCs w:val="24"/>
        </w:rPr>
        <w:t>Hamzaoui-Azaza</w:t>
      </w:r>
      <w:proofErr w:type="spellEnd"/>
      <w:r w:rsidRPr="00C35184">
        <w:rPr>
          <w:rFonts w:ascii="Times New Roman" w:hAnsi="Times New Roman" w:cs="Times New Roman"/>
          <w:sz w:val="24"/>
          <w:szCs w:val="24"/>
        </w:rPr>
        <w:t xml:space="preserve"> </w:t>
      </w:r>
      <w:proofErr w:type="spellStart"/>
      <w:r w:rsidRPr="00C35184">
        <w:rPr>
          <w:rFonts w:ascii="Times New Roman" w:hAnsi="Times New Roman" w:cs="Times New Roman"/>
          <w:sz w:val="24"/>
          <w:szCs w:val="24"/>
        </w:rPr>
        <w:t>F,AmeurM</w:t>
      </w:r>
      <w:proofErr w:type="spellEnd"/>
      <w:r w:rsidRPr="00C35184">
        <w:rPr>
          <w:rFonts w:ascii="Times New Roman" w:hAnsi="Times New Roman" w:cs="Times New Roman"/>
          <w:sz w:val="24"/>
          <w:szCs w:val="24"/>
        </w:rPr>
        <w:t xml:space="preserve">, </w:t>
      </w:r>
      <w:proofErr w:type="spellStart"/>
      <w:r w:rsidRPr="00C35184">
        <w:rPr>
          <w:rFonts w:ascii="Times New Roman" w:hAnsi="Times New Roman" w:cs="Times New Roman"/>
          <w:sz w:val="24"/>
          <w:szCs w:val="24"/>
        </w:rPr>
        <w:t>Chaouch</w:t>
      </w:r>
      <w:proofErr w:type="spellEnd"/>
      <w:r w:rsidRPr="00C35184">
        <w:rPr>
          <w:rFonts w:ascii="Times New Roman" w:hAnsi="Times New Roman" w:cs="Times New Roman"/>
          <w:sz w:val="24"/>
          <w:szCs w:val="24"/>
        </w:rPr>
        <w:t xml:space="preserve"> R, </w:t>
      </w:r>
      <w:proofErr w:type="spellStart"/>
      <w:r w:rsidRPr="00C35184">
        <w:rPr>
          <w:rFonts w:ascii="Times New Roman" w:hAnsi="Times New Roman" w:cs="Times New Roman"/>
          <w:sz w:val="24"/>
          <w:szCs w:val="24"/>
        </w:rPr>
        <w:t>Cheikha</w:t>
      </w:r>
      <w:proofErr w:type="spellEnd"/>
      <w:r w:rsidRPr="00C35184">
        <w:rPr>
          <w:rFonts w:ascii="Times New Roman" w:hAnsi="Times New Roman" w:cs="Times New Roman"/>
          <w:sz w:val="24"/>
          <w:szCs w:val="24"/>
        </w:rPr>
        <w:t xml:space="preserve"> L, </w:t>
      </w:r>
      <w:proofErr w:type="spellStart"/>
      <w:r w:rsidRPr="00C35184">
        <w:rPr>
          <w:rFonts w:ascii="Times New Roman" w:hAnsi="Times New Roman" w:cs="Times New Roman"/>
          <w:sz w:val="24"/>
          <w:szCs w:val="24"/>
        </w:rPr>
        <w:t>Gueddari</w:t>
      </w:r>
      <w:proofErr w:type="spellEnd"/>
      <w:r w:rsidRPr="00C35184">
        <w:rPr>
          <w:rFonts w:ascii="Times New Roman" w:hAnsi="Times New Roman" w:cs="Times New Roman"/>
          <w:sz w:val="24"/>
          <w:szCs w:val="24"/>
        </w:rPr>
        <w:t xml:space="preserve"> M, </w:t>
      </w:r>
      <w:proofErr w:type="spellStart"/>
      <w:r w:rsidRPr="00C35184">
        <w:rPr>
          <w:rFonts w:ascii="Times New Roman" w:hAnsi="Times New Roman" w:cs="Times New Roman"/>
          <w:sz w:val="24"/>
          <w:szCs w:val="24"/>
        </w:rPr>
        <w:t>JoséJoel</w:t>
      </w:r>
      <w:proofErr w:type="spellEnd"/>
      <w:r w:rsidRPr="00C35184">
        <w:rPr>
          <w:rFonts w:ascii="Times New Roman" w:hAnsi="Times New Roman" w:cs="Times New Roman"/>
          <w:sz w:val="24"/>
          <w:szCs w:val="24"/>
        </w:rPr>
        <w:t xml:space="preserve"> R (2020) Assessment of groundwater quality based on GIS and</w:t>
      </w:r>
      <w:r w:rsidRPr="00C35184">
        <w:rPr>
          <w:rFonts w:ascii="Times New Roman" w:hAnsi="Times New Roman" w:cs="Times New Roman"/>
          <w:sz w:val="24"/>
          <w:szCs w:val="24"/>
          <w:lang w:eastAsia="en-GB"/>
        </w:rPr>
        <w:t xml:space="preserve"> </w:t>
      </w:r>
      <w:r w:rsidRPr="00C35184">
        <w:rPr>
          <w:rFonts w:ascii="Times New Roman" w:hAnsi="Times New Roman" w:cs="Times New Roman"/>
          <w:sz w:val="24"/>
          <w:szCs w:val="24"/>
        </w:rPr>
        <w:t xml:space="preserve">geochemical methods: coastal aquifer of </w:t>
      </w:r>
      <w:proofErr w:type="spellStart"/>
      <w:r w:rsidRPr="00C35184">
        <w:rPr>
          <w:rFonts w:ascii="Times New Roman" w:hAnsi="Times New Roman" w:cs="Times New Roman"/>
          <w:sz w:val="24"/>
          <w:szCs w:val="24"/>
        </w:rPr>
        <w:t>Bouficha</w:t>
      </w:r>
      <w:proofErr w:type="spellEnd"/>
      <w:r w:rsidRPr="00C35184">
        <w:rPr>
          <w:rFonts w:ascii="Times New Roman" w:hAnsi="Times New Roman" w:cs="Times New Roman"/>
          <w:sz w:val="24"/>
          <w:szCs w:val="24"/>
        </w:rPr>
        <w:t xml:space="preserve"> (north-eastern</w:t>
      </w:r>
      <w:r w:rsidRPr="00C35184">
        <w:rPr>
          <w:rFonts w:ascii="Times New Roman" w:hAnsi="Times New Roman" w:cs="Times New Roman"/>
          <w:sz w:val="24"/>
          <w:szCs w:val="24"/>
          <w:lang w:eastAsia="en-GB"/>
        </w:rPr>
        <w:t xml:space="preserve"> </w:t>
      </w:r>
      <w:r w:rsidRPr="00C35184">
        <w:rPr>
          <w:rFonts w:ascii="Times New Roman" w:hAnsi="Times New Roman" w:cs="Times New Roman"/>
          <w:sz w:val="24"/>
          <w:szCs w:val="24"/>
        </w:rPr>
        <w:t xml:space="preserve">Tunisia). </w:t>
      </w:r>
      <w:r w:rsidRPr="00C35184">
        <w:rPr>
          <w:rFonts w:ascii="Times New Roman" w:hAnsi="Times New Roman" w:cs="Times New Roman"/>
          <w:i/>
          <w:sz w:val="24"/>
          <w:szCs w:val="24"/>
        </w:rPr>
        <w:t>Journal of Coast Conservation</w:t>
      </w:r>
      <w:r w:rsidRPr="00C35184">
        <w:rPr>
          <w:rFonts w:ascii="Times New Roman" w:hAnsi="Times New Roman" w:cs="Times New Roman"/>
          <w:sz w:val="24"/>
          <w:szCs w:val="24"/>
        </w:rPr>
        <w:t xml:space="preserve">, 24:45. </w:t>
      </w:r>
      <w:hyperlink r:id="rId33" w:history="1">
        <w:r w:rsidRPr="00C35184">
          <w:rPr>
            <w:rStyle w:val="Hyperlink"/>
            <w:rFonts w:ascii="Times New Roman" w:hAnsi="Times New Roman" w:cs="Times New Roman"/>
            <w:sz w:val="24"/>
            <w:szCs w:val="24"/>
          </w:rPr>
          <w:t>https://doi.org/10.1007/s11852-020-00762-8</w:t>
        </w:r>
      </w:hyperlink>
    </w:p>
    <w:p w14:paraId="41C5B014" w14:textId="77777777" w:rsidR="00C47CDF" w:rsidRPr="00C35184" w:rsidRDefault="00C47CDF" w:rsidP="00C47CDF">
      <w:pPr>
        <w:widowControl w:val="0"/>
        <w:autoSpaceDE w:val="0"/>
        <w:autoSpaceDN w:val="0"/>
        <w:adjustRightInd w:val="0"/>
        <w:spacing w:line="276" w:lineRule="auto"/>
        <w:ind w:left="720" w:hanging="720"/>
        <w:jc w:val="both"/>
        <w:rPr>
          <w:rFonts w:ascii="Times New Roman" w:hAnsi="Times New Roman" w:cs="Times New Roman"/>
          <w:sz w:val="24"/>
          <w:szCs w:val="24"/>
          <w:lang w:val="en-US"/>
        </w:rPr>
      </w:pPr>
      <w:r w:rsidRPr="00C35184">
        <w:rPr>
          <w:rFonts w:ascii="Times New Roman" w:hAnsi="Times New Roman" w:cs="Times New Roman"/>
          <w:sz w:val="24"/>
          <w:szCs w:val="24"/>
          <w:lang w:eastAsia="en-GB"/>
        </w:rPr>
        <w:t xml:space="preserve">Ibe, F. C., </w:t>
      </w:r>
      <w:proofErr w:type="spellStart"/>
      <w:r w:rsidRPr="00C35184">
        <w:rPr>
          <w:rFonts w:ascii="Times New Roman" w:hAnsi="Times New Roman" w:cs="Times New Roman"/>
          <w:sz w:val="24"/>
          <w:szCs w:val="24"/>
          <w:lang w:eastAsia="en-GB"/>
        </w:rPr>
        <w:t>Enyoh</w:t>
      </w:r>
      <w:proofErr w:type="spellEnd"/>
      <w:r w:rsidRPr="00C35184">
        <w:rPr>
          <w:rFonts w:ascii="Times New Roman" w:hAnsi="Times New Roman" w:cs="Times New Roman"/>
          <w:sz w:val="24"/>
          <w:szCs w:val="24"/>
          <w:lang w:eastAsia="en-GB"/>
        </w:rPr>
        <w:t xml:space="preserve">, E. C., Opara, A. I &amp; Ibe, B. O. (2020). Evaluation of pollution status of groundwater resources of parts of Owerri metropolis and environs, Southeastern Nigeria, using health risk and contamination models. </w:t>
      </w:r>
      <w:r w:rsidRPr="00C35184">
        <w:rPr>
          <w:rFonts w:ascii="Times New Roman" w:hAnsi="Times New Roman" w:cs="Times New Roman"/>
          <w:i/>
          <w:sz w:val="24"/>
          <w:szCs w:val="24"/>
          <w:lang w:eastAsia="en-GB"/>
        </w:rPr>
        <w:t xml:space="preserve">International Journal of Energy and Water Resources, </w:t>
      </w:r>
      <w:hyperlink r:id="rId34" w:history="1">
        <w:r w:rsidRPr="00C35184">
          <w:rPr>
            <w:rStyle w:val="Hyperlink"/>
            <w:rFonts w:ascii="Times New Roman" w:hAnsi="Times New Roman" w:cs="Times New Roman"/>
            <w:sz w:val="24"/>
            <w:szCs w:val="24"/>
            <w:lang w:eastAsia="en-GB"/>
          </w:rPr>
          <w:t>https://doi.org/10.1007/s42108-020-00071-8</w:t>
        </w:r>
      </w:hyperlink>
    </w:p>
    <w:p w14:paraId="541CF00A" w14:textId="77777777" w:rsidR="00C47CDF" w:rsidRPr="00C35184" w:rsidRDefault="00C47CDF" w:rsidP="00C47CDF">
      <w:pPr>
        <w:widowControl w:val="0"/>
        <w:autoSpaceDE w:val="0"/>
        <w:autoSpaceDN w:val="0"/>
        <w:adjustRightInd w:val="0"/>
        <w:spacing w:line="276" w:lineRule="auto"/>
        <w:ind w:left="720" w:hanging="720"/>
        <w:jc w:val="both"/>
        <w:rPr>
          <w:rFonts w:ascii="Times New Roman" w:hAnsi="Times New Roman" w:cs="Times New Roman"/>
          <w:sz w:val="24"/>
          <w:szCs w:val="24"/>
          <w:lang w:val="en-US"/>
        </w:rPr>
      </w:pPr>
      <w:proofErr w:type="spellStart"/>
      <w:r w:rsidRPr="00C35184">
        <w:rPr>
          <w:rFonts w:ascii="Times New Roman" w:hAnsi="Times New Roman" w:cs="Times New Roman"/>
          <w:sz w:val="24"/>
          <w:szCs w:val="24"/>
          <w:lang w:val="en-US"/>
        </w:rPr>
        <w:t>Meride</w:t>
      </w:r>
      <w:proofErr w:type="spellEnd"/>
      <w:r w:rsidRPr="00C35184">
        <w:rPr>
          <w:rFonts w:ascii="Times New Roman" w:hAnsi="Times New Roman" w:cs="Times New Roman"/>
          <w:sz w:val="24"/>
          <w:szCs w:val="24"/>
          <w:lang w:val="en-US"/>
        </w:rPr>
        <w:t xml:space="preserve">, Y., &amp; Ayenew, B. (2016). Drinking water quality assessment and its effects on </w:t>
      </w:r>
      <w:proofErr w:type="gramStart"/>
      <w:r w:rsidRPr="00C35184">
        <w:rPr>
          <w:rFonts w:ascii="Times New Roman" w:hAnsi="Times New Roman" w:cs="Times New Roman"/>
          <w:sz w:val="24"/>
          <w:szCs w:val="24"/>
          <w:lang w:val="en-US"/>
        </w:rPr>
        <w:t>residents</w:t>
      </w:r>
      <w:proofErr w:type="gramEnd"/>
      <w:r w:rsidRPr="00C35184">
        <w:rPr>
          <w:rFonts w:ascii="Times New Roman" w:hAnsi="Times New Roman" w:cs="Times New Roman"/>
          <w:sz w:val="24"/>
          <w:szCs w:val="24"/>
          <w:lang w:val="en-US"/>
        </w:rPr>
        <w:t xml:space="preserve"> health in </w:t>
      </w:r>
      <w:proofErr w:type="spellStart"/>
      <w:r w:rsidRPr="00C35184">
        <w:rPr>
          <w:rFonts w:ascii="Times New Roman" w:hAnsi="Times New Roman" w:cs="Times New Roman"/>
          <w:sz w:val="24"/>
          <w:szCs w:val="24"/>
          <w:lang w:val="en-US"/>
        </w:rPr>
        <w:t>Wondo</w:t>
      </w:r>
      <w:proofErr w:type="spellEnd"/>
      <w:r w:rsidRPr="00C35184">
        <w:rPr>
          <w:rFonts w:ascii="Times New Roman" w:hAnsi="Times New Roman" w:cs="Times New Roman"/>
          <w:sz w:val="24"/>
          <w:szCs w:val="24"/>
          <w:lang w:val="en-US"/>
        </w:rPr>
        <w:t xml:space="preserve"> genet campus, Ethiopia. </w:t>
      </w:r>
      <w:r w:rsidRPr="00C35184">
        <w:rPr>
          <w:rFonts w:ascii="Times New Roman" w:hAnsi="Times New Roman" w:cs="Times New Roman"/>
          <w:i/>
          <w:iCs/>
          <w:sz w:val="24"/>
          <w:szCs w:val="24"/>
          <w:lang w:val="en-US"/>
        </w:rPr>
        <w:t>Environmental Systems Research</w:t>
      </w:r>
      <w:r w:rsidRPr="00C35184">
        <w:rPr>
          <w:rFonts w:ascii="Times New Roman" w:hAnsi="Times New Roman" w:cs="Times New Roman"/>
          <w:sz w:val="24"/>
          <w:szCs w:val="24"/>
          <w:lang w:val="en-US"/>
        </w:rPr>
        <w:t xml:space="preserve">, </w:t>
      </w:r>
      <w:r w:rsidRPr="00C35184">
        <w:rPr>
          <w:rFonts w:ascii="Times New Roman" w:hAnsi="Times New Roman" w:cs="Times New Roman"/>
          <w:i/>
          <w:iCs/>
          <w:sz w:val="24"/>
          <w:szCs w:val="24"/>
          <w:lang w:val="en-US"/>
        </w:rPr>
        <w:t>5</w:t>
      </w:r>
      <w:r w:rsidRPr="00C35184">
        <w:rPr>
          <w:rFonts w:ascii="Times New Roman" w:hAnsi="Times New Roman" w:cs="Times New Roman"/>
          <w:sz w:val="24"/>
          <w:szCs w:val="24"/>
          <w:lang w:val="en-US"/>
        </w:rPr>
        <w:t xml:space="preserve">(1). </w:t>
      </w:r>
      <w:hyperlink r:id="rId35" w:history="1">
        <w:r w:rsidRPr="00C35184">
          <w:rPr>
            <w:rFonts w:ascii="Times New Roman" w:hAnsi="Times New Roman" w:cs="Times New Roman"/>
            <w:sz w:val="24"/>
            <w:szCs w:val="24"/>
            <w:lang w:val="en-US"/>
          </w:rPr>
          <w:t>https://doi.org/10.1186/s40068-016-0053-6</w:t>
        </w:r>
      </w:hyperlink>
    </w:p>
    <w:p w14:paraId="5DEF42C2" w14:textId="77777777" w:rsidR="00C47CDF" w:rsidRPr="00C35184" w:rsidRDefault="00C47CDF" w:rsidP="00C47CDF">
      <w:pPr>
        <w:widowControl w:val="0"/>
        <w:autoSpaceDE w:val="0"/>
        <w:autoSpaceDN w:val="0"/>
        <w:adjustRightInd w:val="0"/>
        <w:spacing w:line="276" w:lineRule="auto"/>
        <w:ind w:left="720" w:hanging="720"/>
        <w:jc w:val="both"/>
        <w:rPr>
          <w:rFonts w:ascii="Times New Roman" w:hAnsi="Times New Roman" w:cs="Times New Roman"/>
          <w:sz w:val="24"/>
          <w:szCs w:val="24"/>
          <w:lang w:val="en-US"/>
        </w:rPr>
      </w:pPr>
      <w:r w:rsidRPr="00C35184">
        <w:rPr>
          <w:rFonts w:ascii="Times New Roman" w:hAnsi="Times New Roman" w:cs="Times New Roman"/>
          <w:sz w:val="24"/>
          <w:szCs w:val="24"/>
        </w:rPr>
        <w:lastRenderedPageBreak/>
        <w:t xml:space="preserve">Mester, T., Balla, D and Szabó, G. (2020). Assessment of groundwater quality changes in the rural environment of the </w:t>
      </w:r>
      <w:proofErr w:type="spellStart"/>
      <w:r w:rsidRPr="00C35184">
        <w:rPr>
          <w:rFonts w:ascii="Times New Roman" w:hAnsi="Times New Roman" w:cs="Times New Roman"/>
          <w:sz w:val="24"/>
          <w:szCs w:val="24"/>
        </w:rPr>
        <w:t>hungarian</w:t>
      </w:r>
      <w:proofErr w:type="spellEnd"/>
      <w:r w:rsidRPr="00C35184">
        <w:rPr>
          <w:rFonts w:ascii="Times New Roman" w:hAnsi="Times New Roman" w:cs="Times New Roman"/>
          <w:sz w:val="24"/>
          <w:szCs w:val="24"/>
        </w:rPr>
        <w:t xml:space="preserve"> great plain based on selected water quality indicators. </w:t>
      </w:r>
      <w:r w:rsidRPr="00C35184">
        <w:rPr>
          <w:rFonts w:ascii="Times New Roman" w:hAnsi="Times New Roman" w:cs="Times New Roman"/>
          <w:i/>
          <w:sz w:val="24"/>
          <w:szCs w:val="24"/>
          <w:lang w:eastAsia="en-GB"/>
        </w:rPr>
        <w:t>Water Air Soil Pollut</w:t>
      </w:r>
      <w:r w:rsidRPr="00C35184">
        <w:rPr>
          <w:rFonts w:ascii="Times New Roman" w:hAnsi="Times New Roman" w:cs="Times New Roman"/>
          <w:sz w:val="24"/>
          <w:szCs w:val="24"/>
          <w:lang w:eastAsia="en-GB"/>
        </w:rPr>
        <w:t>ion, 231: 536</w:t>
      </w:r>
    </w:p>
    <w:p w14:paraId="6C5F2E3F" w14:textId="77777777" w:rsidR="00C47CDF" w:rsidRPr="00C35184" w:rsidRDefault="00C47CDF" w:rsidP="00C47CDF">
      <w:pPr>
        <w:widowControl w:val="0"/>
        <w:autoSpaceDE w:val="0"/>
        <w:autoSpaceDN w:val="0"/>
        <w:adjustRightInd w:val="0"/>
        <w:spacing w:line="276" w:lineRule="auto"/>
        <w:ind w:left="720" w:hanging="720"/>
        <w:jc w:val="both"/>
        <w:rPr>
          <w:rFonts w:ascii="Times New Roman" w:hAnsi="Times New Roman" w:cs="Times New Roman"/>
          <w:sz w:val="24"/>
          <w:szCs w:val="24"/>
          <w:lang w:eastAsia="en-GB"/>
        </w:rPr>
      </w:pPr>
      <w:r w:rsidRPr="00C35184">
        <w:rPr>
          <w:rFonts w:ascii="Times New Roman" w:hAnsi="Times New Roman" w:cs="Times New Roman"/>
          <w:sz w:val="24"/>
          <w:szCs w:val="24"/>
          <w:lang w:eastAsia="en-GB"/>
        </w:rPr>
        <w:t>Mohamed, A. K., Dan, L., Kai, S.,</w:t>
      </w:r>
      <w:proofErr w:type="spellStart"/>
      <w:r w:rsidRPr="00C35184">
        <w:rPr>
          <w:rFonts w:ascii="Times New Roman" w:hAnsi="Times New Roman" w:cs="Times New Roman"/>
          <w:sz w:val="24"/>
          <w:szCs w:val="24"/>
          <w:lang w:eastAsia="en-GB"/>
        </w:rPr>
        <w:t>Mohamed,M</w:t>
      </w:r>
      <w:proofErr w:type="spellEnd"/>
      <w:r w:rsidRPr="00C35184">
        <w:rPr>
          <w:rFonts w:ascii="Times New Roman" w:hAnsi="Times New Roman" w:cs="Times New Roman"/>
          <w:sz w:val="24"/>
          <w:szCs w:val="24"/>
          <w:lang w:eastAsia="en-GB"/>
        </w:rPr>
        <w:t xml:space="preserve">. A., </w:t>
      </w:r>
      <w:proofErr w:type="spellStart"/>
      <w:r w:rsidRPr="00C35184">
        <w:rPr>
          <w:rFonts w:ascii="Times New Roman" w:hAnsi="Times New Roman" w:cs="Times New Roman"/>
          <w:sz w:val="24"/>
          <w:szCs w:val="24"/>
          <w:lang w:eastAsia="en-GB"/>
        </w:rPr>
        <w:t>Aldaw</w:t>
      </w:r>
      <w:proofErr w:type="spellEnd"/>
      <w:r w:rsidRPr="00C35184">
        <w:rPr>
          <w:rFonts w:ascii="Times New Roman" w:hAnsi="Times New Roman" w:cs="Times New Roman"/>
          <w:sz w:val="24"/>
          <w:szCs w:val="24"/>
          <w:lang w:eastAsia="en-GB"/>
        </w:rPr>
        <w:t xml:space="preserve">, E.,&amp; </w:t>
      </w:r>
      <w:proofErr w:type="spellStart"/>
      <w:r w:rsidRPr="00C35184">
        <w:rPr>
          <w:rFonts w:ascii="Times New Roman" w:hAnsi="Times New Roman" w:cs="Times New Roman"/>
          <w:sz w:val="24"/>
          <w:szCs w:val="24"/>
          <w:lang w:eastAsia="en-GB"/>
        </w:rPr>
        <w:t>Elubid</w:t>
      </w:r>
      <w:proofErr w:type="spellEnd"/>
      <w:r w:rsidRPr="00C35184">
        <w:rPr>
          <w:rFonts w:ascii="Times New Roman" w:hAnsi="Times New Roman" w:cs="Times New Roman"/>
          <w:sz w:val="24"/>
          <w:szCs w:val="24"/>
          <w:lang w:eastAsia="en-GB"/>
        </w:rPr>
        <w:t xml:space="preserve">, B. A. (2019). </w:t>
      </w:r>
      <w:proofErr w:type="spellStart"/>
      <w:r w:rsidRPr="00C35184">
        <w:rPr>
          <w:rFonts w:ascii="Times New Roman" w:hAnsi="Times New Roman" w:cs="Times New Roman"/>
          <w:sz w:val="24"/>
          <w:szCs w:val="24"/>
          <w:lang w:eastAsia="en-GB"/>
        </w:rPr>
        <w:t>Hydrochemical</w:t>
      </w:r>
      <w:proofErr w:type="spellEnd"/>
      <w:r w:rsidRPr="00C35184">
        <w:rPr>
          <w:rFonts w:ascii="Times New Roman" w:hAnsi="Times New Roman" w:cs="Times New Roman"/>
          <w:sz w:val="24"/>
          <w:szCs w:val="24"/>
          <w:lang w:eastAsia="en-GB"/>
        </w:rPr>
        <w:t xml:space="preserve"> analysis and fuzzy logic method for evaluation of groundwater quality in the North Chengdu Plain, China. </w:t>
      </w:r>
      <w:r w:rsidRPr="00C35184">
        <w:rPr>
          <w:rFonts w:ascii="Times New Roman" w:hAnsi="Times New Roman" w:cs="Times New Roman"/>
          <w:i/>
          <w:sz w:val="24"/>
          <w:szCs w:val="24"/>
          <w:lang w:eastAsia="en-GB"/>
        </w:rPr>
        <w:t>International Journal of Environmental Research and Public Health</w:t>
      </w:r>
      <w:r w:rsidRPr="00C35184">
        <w:rPr>
          <w:rFonts w:ascii="Times New Roman" w:hAnsi="Times New Roman" w:cs="Times New Roman"/>
          <w:sz w:val="24"/>
          <w:szCs w:val="24"/>
          <w:lang w:eastAsia="en-GB"/>
        </w:rPr>
        <w:t>, 16(3); 302-314</w:t>
      </w:r>
    </w:p>
    <w:p w14:paraId="443C9D91" w14:textId="77777777" w:rsidR="00C47CDF" w:rsidRPr="00C35184" w:rsidRDefault="00C47CDF" w:rsidP="00C47CDF">
      <w:pPr>
        <w:widowControl w:val="0"/>
        <w:autoSpaceDE w:val="0"/>
        <w:autoSpaceDN w:val="0"/>
        <w:adjustRightInd w:val="0"/>
        <w:spacing w:line="276" w:lineRule="auto"/>
        <w:ind w:left="720" w:hanging="720"/>
        <w:jc w:val="both"/>
        <w:rPr>
          <w:rFonts w:ascii="Times New Roman" w:hAnsi="Times New Roman" w:cs="Times New Roman"/>
          <w:sz w:val="24"/>
          <w:szCs w:val="24"/>
          <w:lang w:val="en-US"/>
        </w:rPr>
      </w:pPr>
      <w:proofErr w:type="spellStart"/>
      <w:r w:rsidRPr="00C35184">
        <w:rPr>
          <w:rFonts w:ascii="Times New Roman" w:hAnsi="Times New Roman" w:cs="Times New Roman"/>
          <w:bCs/>
          <w:sz w:val="24"/>
          <w:szCs w:val="24"/>
          <w:lang w:eastAsia="en-GB"/>
        </w:rPr>
        <w:t>Peterside</w:t>
      </w:r>
      <w:proofErr w:type="spellEnd"/>
      <w:r w:rsidRPr="00C35184">
        <w:rPr>
          <w:rFonts w:ascii="Times New Roman" w:hAnsi="Times New Roman" w:cs="Times New Roman"/>
          <w:bCs/>
          <w:sz w:val="24"/>
          <w:szCs w:val="24"/>
          <w:lang w:eastAsia="en-GB"/>
        </w:rPr>
        <w:t>, A. N., Hart</w:t>
      </w:r>
      <w:r w:rsidRPr="00C35184">
        <w:rPr>
          <w:rFonts w:ascii="Times New Roman" w:hAnsi="Times New Roman" w:cs="Times New Roman"/>
          <w:sz w:val="24"/>
          <w:szCs w:val="24"/>
          <w:lang w:eastAsia="en-GB"/>
        </w:rPr>
        <w:t xml:space="preserve">, A. I. &amp; </w:t>
      </w:r>
      <w:proofErr w:type="spellStart"/>
      <w:r w:rsidRPr="00C35184">
        <w:rPr>
          <w:rFonts w:ascii="Times New Roman" w:hAnsi="Times New Roman" w:cs="Times New Roman"/>
          <w:bCs/>
          <w:sz w:val="24"/>
          <w:szCs w:val="24"/>
          <w:lang w:eastAsia="en-GB"/>
        </w:rPr>
        <w:t>Nwankwoala</w:t>
      </w:r>
      <w:proofErr w:type="spellEnd"/>
      <w:r w:rsidRPr="00C35184">
        <w:rPr>
          <w:rFonts w:ascii="Times New Roman" w:hAnsi="Times New Roman" w:cs="Times New Roman"/>
          <w:bCs/>
          <w:sz w:val="24"/>
          <w:szCs w:val="24"/>
          <w:lang w:eastAsia="en-GB"/>
        </w:rPr>
        <w:t xml:space="preserve">, H. O. (2022). Assessment of Groundwater Quality Using Water Quality Index (WQI) Method in Southern Ijaw Local Government Area of Bayelsa State, Nigeria. </w:t>
      </w:r>
      <w:r w:rsidRPr="00C35184">
        <w:rPr>
          <w:rFonts w:ascii="Times New Roman" w:hAnsi="Times New Roman" w:cs="Times New Roman"/>
          <w:i/>
          <w:iCs/>
          <w:sz w:val="24"/>
          <w:szCs w:val="24"/>
        </w:rPr>
        <w:t xml:space="preserve">World Scientific News, </w:t>
      </w:r>
      <w:r w:rsidRPr="00C35184">
        <w:rPr>
          <w:rFonts w:ascii="Times New Roman" w:hAnsi="Times New Roman" w:cs="Times New Roman"/>
          <w:iCs/>
          <w:sz w:val="24"/>
          <w:szCs w:val="24"/>
        </w:rPr>
        <w:t>171 (2022) 35-48</w:t>
      </w:r>
    </w:p>
    <w:p w14:paraId="55F55065" w14:textId="77777777" w:rsidR="00C47CDF" w:rsidRPr="00C35184" w:rsidRDefault="00C47CDF" w:rsidP="00C47CDF">
      <w:pPr>
        <w:widowControl w:val="0"/>
        <w:autoSpaceDE w:val="0"/>
        <w:autoSpaceDN w:val="0"/>
        <w:adjustRightInd w:val="0"/>
        <w:spacing w:line="276" w:lineRule="auto"/>
        <w:ind w:left="720" w:hanging="720"/>
        <w:jc w:val="both"/>
        <w:rPr>
          <w:rFonts w:ascii="Times New Roman" w:hAnsi="Times New Roman" w:cs="Times New Roman"/>
          <w:sz w:val="24"/>
          <w:szCs w:val="24"/>
          <w:lang w:val="en-US"/>
        </w:rPr>
      </w:pPr>
      <w:r w:rsidRPr="00C35184">
        <w:rPr>
          <w:rFonts w:ascii="Times New Roman" w:hAnsi="Times New Roman" w:cs="Times New Roman"/>
          <w:sz w:val="24"/>
          <w:szCs w:val="24"/>
          <w:lang w:eastAsia="en-GB"/>
        </w:rPr>
        <w:t xml:space="preserve">Sahu, P. &amp; Sikdar, P. K. (2008). </w:t>
      </w:r>
      <w:proofErr w:type="spellStart"/>
      <w:r w:rsidRPr="00C35184">
        <w:rPr>
          <w:rFonts w:ascii="Times New Roman" w:hAnsi="Times New Roman" w:cs="Times New Roman"/>
          <w:sz w:val="24"/>
          <w:szCs w:val="24"/>
          <w:lang w:eastAsia="en-GB"/>
        </w:rPr>
        <w:t>Hydrochemical</w:t>
      </w:r>
      <w:proofErr w:type="spellEnd"/>
      <w:r w:rsidRPr="00C35184">
        <w:rPr>
          <w:rFonts w:ascii="Times New Roman" w:hAnsi="Times New Roman" w:cs="Times New Roman"/>
          <w:sz w:val="24"/>
          <w:szCs w:val="24"/>
          <w:lang w:eastAsia="en-GB"/>
        </w:rPr>
        <w:t xml:space="preserve"> framework of the aquifer in and around East Kolkata Wetlands, West Bengal, India. </w:t>
      </w:r>
      <w:r w:rsidRPr="00C35184">
        <w:rPr>
          <w:rFonts w:ascii="Times New Roman" w:hAnsi="Times New Roman" w:cs="Times New Roman"/>
          <w:i/>
          <w:iCs/>
          <w:sz w:val="24"/>
          <w:szCs w:val="24"/>
          <w:lang w:eastAsia="en-GB"/>
        </w:rPr>
        <w:t>Environmental Geology</w:t>
      </w:r>
      <w:r w:rsidRPr="00C35184">
        <w:rPr>
          <w:rFonts w:ascii="Times New Roman" w:hAnsi="Times New Roman" w:cs="Times New Roman"/>
          <w:sz w:val="24"/>
          <w:szCs w:val="24"/>
          <w:lang w:eastAsia="en-GB"/>
        </w:rPr>
        <w:t>, 55(4), 823–835.</w:t>
      </w:r>
    </w:p>
    <w:p w14:paraId="419314FB" w14:textId="77777777" w:rsidR="00C47CDF" w:rsidRPr="00C35184" w:rsidRDefault="00C47CDF" w:rsidP="00C47CDF">
      <w:pPr>
        <w:widowControl w:val="0"/>
        <w:autoSpaceDE w:val="0"/>
        <w:autoSpaceDN w:val="0"/>
        <w:adjustRightInd w:val="0"/>
        <w:spacing w:line="276" w:lineRule="auto"/>
        <w:ind w:left="720" w:hanging="720"/>
        <w:jc w:val="both"/>
        <w:rPr>
          <w:rFonts w:ascii="Times New Roman" w:hAnsi="Times New Roman" w:cs="Times New Roman"/>
          <w:sz w:val="24"/>
          <w:szCs w:val="24"/>
          <w:lang w:val="en-US"/>
        </w:rPr>
      </w:pPr>
      <w:r w:rsidRPr="00C35184">
        <w:rPr>
          <w:rFonts w:ascii="Times New Roman" w:hAnsi="Times New Roman" w:cs="Times New Roman"/>
          <w:sz w:val="24"/>
          <w:szCs w:val="24"/>
          <w:lang w:eastAsia="en-GB"/>
        </w:rPr>
        <w:t xml:space="preserve">Tiwari, A. K., Singh, P. K., Singh, A. K., &amp; De Maio, M. (2016). Estimation of </w:t>
      </w:r>
      <w:proofErr w:type="spellStart"/>
      <w:r w:rsidRPr="00C35184">
        <w:rPr>
          <w:rFonts w:ascii="Times New Roman" w:hAnsi="Times New Roman" w:cs="Times New Roman"/>
          <w:sz w:val="24"/>
          <w:szCs w:val="24"/>
          <w:lang w:eastAsia="en-GB"/>
        </w:rPr>
        <w:t>heavymetal</w:t>
      </w:r>
      <w:proofErr w:type="spellEnd"/>
      <w:r w:rsidRPr="00C35184">
        <w:rPr>
          <w:rFonts w:ascii="Times New Roman" w:hAnsi="Times New Roman" w:cs="Times New Roman"/>
          <w:sz w:val="24"/>
          <w:szCs w:val="24"/>
          <w:lang w:eastAsia="en-GB"/>
        </w:rPr>
        <w:t xml:space="preserve"> contamination in groundwater and development of a heavy metal pollution index by using GIS technique. </w:t>
      </w:r>
      <w:r w:rsidRPr="00C35184">
        <w:rPr>
          <w:rFonts w:ascii="Times New Roman" w:hAnsi="Times New Roman" w:cs="Times New Roman"/>
          <w:i/>
          <w:sz w:val="24"/>
          <w:szCs w:val="24"/>
          <w:lang w:eastAsia="en-GB"/>
        </w:rPr>
        <w:t>Bulletin of Environmental Contamination and Toxicology</w:t>
      </w:r>
      <w:r w:rsidRPr="00C35184">
        <w:rPr>
          <w:rFonts w:ascii="Times New Roman" w:hAnsi="Times New Roman" w:cs="Times New Roman"/>
          <w:sz w:val="24"/>
          <w:szCs w:val="24"/>
          <w:lang w:eastAsia="en-GB"/>
        </w:rPr>
        <w:t>, 96(4), 508–515.</w:t>
      </w:r>
    </w:p>
    <w:p w14:paraId="0359EC2F" w14:textId="77777777" w:rsidR="00C47CDF" w:rsidRPr="00C35184" w:rsidRDefault="00C47CDF" w:rsidP="00C47CDF">
      <w:pPr>
        <w:widowControl w:val="0"/>
        <w:autoSpaceDE w:val="0"/>
        <w:autoSpaceDN w:val="0"/>
        <w:adjustRightInd w:val="0"/>
        <w:spacing w:line="276" w:lineRule="auto"/>
        <w:ind w:left="720" w:hanging="720"/>
        <w:jc w:val="both"/>
        <w:rPr>
          <w:rFonts w:ascii="Times New Roman" w:hAnsi="Times New Roman" w:cs="Times New Roman"/>
          <w:sz w:val="24"/>
          <w:szCs w:val="24"/>
          <w:lang w:val="en-US"/>
        </w:rPr>
      </w:pPr>
      <w:proofErr w:type="spellStart"/>
      <w:r w:rsidRPr="00C35184">
        <w:rPr>
          <w:rFonts w:ascii="Times New Roman" w:hAnsi="Times New Roman" w:cs="Times New Roman"/>
          <w:sz w:val="24"/>
          <w:szCs w:val="24"/>
          <w:lang w:eastAsia="en-GB"/>
        </w:rPr>
        <w:t>Venkatramanan</w:t>
      </w:r>
      <w:proofErr w:type="spellEnd"/>
      <w:r w:rsidRPr="00C35184">
        <w:rPr>
          <w:rFonts w:ascii="Times New Roman" w:hAnsi="Times New Roman" w:cs="Times New Roman"/>
          <w:sz w:val="24"/>
          <w:szCs w:val="24"/>
          <w:lang w:eastAsia="en-GB"/>
        </w:rPr>
        <w:t xml:space="preserve">, S., Chung, S. Y., Selvam, S., Lee, S. Y., and </w:t>
      </w:r>
      <w:proofErr w:type="spellStart"/>
      <w:r w:rsidRPr="00C35184">
        <w:rPr>
          <w:rFonts w:ascii="Times New Roman" w:hAnsi="Times New Roman" w:cs="Times New Roman"/>
          <w:sz w:val="24"/>
          <w:szCs w:val="24"/>
          <w:lang w:eastAsia="en-GB"/>
        </w:rPr>
        <w:t>Elzain</w:t>
      </w:r>
      <w:proofErr w:type="spellEnd"/>
      <w:r w:rsidRPr="00C35184">
        <w:rPr>
          <w:rFonts w:ascii="Times New Roman" w:hAnsi="Times New Roman" w:cs="Times New Roman"/>
          <w:sz w:val="24"/>
          <w:szCs w:val="24"/>
          <w:lang w:eastAsia="en-GB"/>
        </w:rPr>
        <w:t xml:space="preserve">, H. E. (2017). Factors controlling groundwater quality in the </w:t>
      </w:r>
      <w:proofErr w:type="spellStart"/>
      <w:r w:rsidRPr="00C35184">
        <w:rPr>
          <w:rFonts w:ascii="Times New Roman" w:hAnsi="Times New Roman" w:cs="Times New Roman"/>
          <w:sz w:val="24"/>
          <w:szCs w:val="24"/>
          <w:lang w:eastAsia="en-GB"/>
        </w:rPr>
        <w:t>Yeonjegu</w:t>
      </w:r>
      <w:proofErr w:type="spellEnd"/>
      <w:r w:rsidRPr="00C35184">
        <w:rPr>
          <w:rFonts w:ascii="Times New Roman" w:hAnsi="Times New Roman" w:cs="Times New Roman"/>
          <w:sz w:val="24"/>
          <w:szCs w:val="24"/>
          <w:lang w:eastAsia="en-GB"/>
        </w:rPr>
        <w:t xml:space="preserve"> District of Busan City, Korea, using the hydrogeochemical processes and fuzzy GIS. </w:t>
      </w:r>
      <w:r w:rsidRPr="00C35184">
        <w:rPr>
          <w:rFonts w:ascii="Times New Roman" w:hAnsi="Times New Roman" w:cs="Times New Roman"/>
          <w:i/>
          <w:sz w:val="24"/>
          <w:szCs w:val="24"/>
          <w:lang w:eastAsia="en-GB"/>
        </w:rPr>
        <w:t>Environmental Science and Pollution Research</w:t>
      </w:r>
      <w:r w:rsidRPr="00C35184">
        <w:rPr>
          <w:rFonts w:ascii="Times New Roman" w:hAnsi="Times New Roman" w:cs="Times New Roman"/>
          <w:sz w:val="24"/>
          <w:szCs w:val="24"/>
          <w:lang w:eastAsia="en-GB"/>
        </w:rPr>
        <w:t>, 24(30), 23679–23693.</w:t>
      </w:r>
    </w:p>
    <w:p w14:paraId="5912A28A" w14:textId="788AE401" w:rsidR="00C47CDF" w:rsidRPr="00C35184" w:rsidRDefault="00C47CDF" w:rsidP="00C47CDF">
      <w:pPr>
        <w:widowControl w:val="0"/>
        <w:autoSpaceDE w:val="0"/>
        <w:autoSpaceDN w:val="0"/>
        <w:adjustRightInd w:val="0"/>
        <w:spacing w:line="276" w:lineRule="auto"/>
        <w:ind w:left="720" w:hanging="720"/>
        <w:jc w:val="both"/>
        <w:rPr>
          <w:rFonts w:ascii="Times New Roman" w:hAnsi="Times New Roman" w:cs="Times New Roman"/>
          <w:sz w:val="24"/>
          <w:szCs w:val="24"/>
          <w:lang w:val="en-US"/>
        </w:rPr>
      </w:pPr>
      <w:r w:rsidRPr="00C35184">
        <w:rPr>
          <w:rFonts w:ascii="Times New Roman" w:hAnsi="Times New Roman" w:cs="Times New Roman"/>
          <w:sz w:val="24"/>
          <w:szCs w:val="24"/>
          <w:lang w:eastAsia="en-GB"/>
        </w:rPr>
        <w:t>Wu, J., Zhang, Y.,&amp;</w:t>
      </w:r>
      <w:proofErr w:type="spellStart"/>
      <w:r w:rsidRPr="00C35184">
        <w:rPr>
          <w:rFonts w:ascii="Times New Roman" w:hAnsi="Times New Roman" w:cs="Times New Roman"/>
          <w:sz w:val="24"/>
          <w:szCs w:val="24"/>
          <w:lang w:eastAsia="en-GB"/>
        </w:rPr>
        <w:t>Zhou,H</w:t>
      </w:r>
      <w:proofErr w:type="spellEnd"/>
      <w:r w:rsidRPr="00C35184">
        <w:rPr>
          <w:rFonts w:ascii="Times New Roman" w:hAnsi="Times New Roman" w:cs="Times New Roman"/>
          <w:sz w:val="24"/>
          <w:szCs w:val="24"/>
          <w:lang w:eastAsia="en-GB"/>
        </w:rPr>
        <w:t xml:space="preserve">. (2020). Groundwater chemistry and groundwater quality index incorporating health risk weighting in </w:t>
      </w:r>
      <w:proofErr w:type="spellStart"/>
      <w:r w:rsidRPr="00C35184">
        <w:rPr>
          <w:rFonts w:ascii="Times New Roman" w:hAnsi="Times New Roman" w:cs="Times New Roman"/>
          <w:sz w:val="24"/>
          <w:szCs w:val="24"/>
          <w:lang w:eastAsia="en-GB"/>
        </w:rPr>
        <w:t>Dingbian</w:t>
      </w:r>
      <w:proofErr w:type="spellEnd"/>
      <w:r w:rsidRPr="00C35184">
        <w:rPr>
          <w:rFonts w:ascii="Times New Roman" w:hAnsi="Times New Roman" w:cs="Times New Roman"/>
          <w:sz w:val="24"/>
          <w:szCs w:val="24"/>
          <w:lang w:eastAsia="en-GB"/>
        </w:rPr>
        <w:t xml:space="preserve"> County, Ordos basin of Northwest China. Geochemistry, 12 (5); 60-67.</w:t>
      </w:r>
    </w:p>
    <w:p w14:paraId="51291C3D" w14:textId="77777777" w:rsidR="00C47CDF" w:rsidRPr="00C35184" w:rsidRDefault="00C47CDF" w:rsidP="00C11A1D">
      <w:pPr>
        <w:widowControl w:val="0"/>
        <w:autoSpaceDE w:val="0"/>
        <w:autoSpaceDN w:val="0"/>
        <w:adjustRightInd w:val="0"/>
        <w:spacing w:after="0" w:line="480" w:lineRule="auto"/>
        <w:ind w:left="720" w:hanging="720"/>
        <w:jc w:val="both"/>
        <w:rPr>
          <w:rFonts w:ascii="Times New Roman" w:hAnsi="Times New Roman" w:cs="Times New Roman"/>
          <w:sz w:val="24"/>
          <w:szCs w:val="24"/>
          <w:lang w:val="en-US"/>
        </w:rPr>
      </w:pPr>
    </w:p>
    <w:sectPr w:rsidR="00C47CDF" w:rsidRPr="00C35184" w:rsidSect="00FE5BB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40D9A" w14:textId="77777777" w:rsidR="0077650F" w:rsidRDefault="0077650F" w:rsidP="007B48A3">
      <w:pPr>
        <w:spacing w:after="0" w:line="240" w:lineRule="auto"/>
      </w:pPr>
      <w:r>
        <w:separator/>
      </w:r>
    </w:p>
  </w:endnote>
  <w:endnote w:type="continuationSeparator" w:id="0">
    <w:p w14:paraId="533DAED8" w14:textId="77777777" w:rsidR="0077650F" w:rsidRDefault="0077650F" w:rsidP="007B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nionPro-Regular">
    <w:altName w:val="Yu Gothic"/>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DGMetaSerifScience">
    <w:altName w:val="MS Gothic"/>
    <w:panose1 w:val="00000000000000000000"/>
    <w:charset w:val="80"/>
    <w:family w:val="roman"/>
    <w:notTrueType/>
    <w:pitch w:val="default"/>
    <w:sig w:usb0="00000001" w:usb1="08070000" w:usb2="00000010" w:usb3="00000000" w:csb0="00020000" w:csb1="00000000"/>
  </w:font>
  <w:font w:name="QrxsyjAdvTT3713a231+20">
    <w:altName w:val="Yu Gothic"/>
    <w:charset w:val="80"/>
    <w:family w:val="auto"/>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3AD2C" w14:textId="77777777" w:rsidR="00403501" w:rsidRDefault="004035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D08B3" w14:textId="77777777" w:rsidR="00403501" w:rsidRDefault="004035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DF788" w14:textId="77777777" w:rsidR="00403501" w:rsidRDefault="00403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5D365" w14:textId="77777777" w:rsidR="0077650F" w:rsidRDefault="0077650F" w:rsidP="007B48A3">
      <w:pPr>
        <w:spacing w:after="0" w:line="240" w:lineRule="auto"/>
      </w:pPr>
      <w:r>
        <w:separator/>
      </w:r>
    </w:p>
  </w:footnote>
  <w:footnote w:type="continuationSeparator" w:id="0">
    <w:p w14:paraId="2259E879" w14:textId="77777777" w:rsidR="0077650F" w:rsidRDefault="0077650F" w:rsidP="007B4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67210" w14:textId="26ECF4EB" w:rsidR="00403501" w:rsidRDefault="0077650F">
    <w:pPr>
      <w:pStyle w:val="Header"/>
    </w:pPr>
    <w:r>
      <w:rPr>
        <w:noProof/>
      </w:rPr>
      <w:pict w14:anchorId="495D9A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3985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4619B" w14:textId="7F39CEA5" w:rsidR="00403501" w:rsidRDefault="0077650F">
    <w:pPr>
      <w:pStyle w:val="Header"/>
    </w:pPr>
    <w:r>
      <w:rPr>
        <w:noProof/>
      </w:rPr>
      <w:pict w14:anchorId="7DE2C2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3985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D56A5" w14:textId="04B4E3DE" w:rsidR="00403501" w:rsidRDefault="0077650F">
    <w:pPr>
      <w:pStyle w:val="Header"/>
    </w:pPr>
    <w:r>
      <w:rPr>
        <w:noProof/>
      </w:rPr>
      <w:pict w14:anchorId="6BADC6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3985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A45E3E"/>
    <w:multiLevelType w:val="multilevel"/>
    <w:tmpl w:val="5BA45E3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BE77E65"/>
    <w:multiLevelType w:val="hybridMultilevel"/>
    <w:tmpl w:val="EC9A8D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9C9"/>
    <w:rsid w:val="000368AD"/>
    <w:rsid w:val="000A1B66"/>
    <w:rsid w:val="000B3A82"/>
    <w:rsid w:val="000D6E9F"/>
    <w:rsid w:val="001449B3"/>
    <w:rsid w:val="001B5C4B"/>
    <w:rsid w:val="001E6DF8"/>
    <w:rsid w:val="00247290"/>
    <w:rsid w:val="00277E0E"/>
    <w:rsid w:val="00283958"/>
    <w:rsid w:val="002B4744"/>
    <w:rsid w:val="003045D6"/>
    <w:rsid w:val="00307D57"/>
    <w:rsid w:val="00363E20"/>
    <w:rsid w:val="00390078"/>
    <w:rsid w:val="00390253"/>
    <w:rsid w:val="003D5CF2"/>
    <w:rsid w:val="00403501"/>
    <w:rsid w:val="005219C9"/>
    <w:rsid w:val="005A54F0"/>
    <w:rsid w:val="005C3E7E"/>
    <w:rsid w:val="00652885"/>
    <w:rsid w:val="00653C2C"/>
    <w:rsid w:val="006660CB"/>
    <w:rsid w:val="006B79E2"/>
    <w:rsid w:val="006E5E06"/>
    <w:rsid w:val="007549A2"/>
    <w:rsid w:val="0077650F"/>
    <w:rsid w:val="007B48A3"/>
    <w:rsid w:val="007C0C0B"/>
    <w:rsid w:val="008312D4"/>
    <w:rsid w:val="00846FBC"/>
    <w:rsid w:val="00877F60"/>
    <w:rsid w:val="00883717"/>
    <w:rsid w:val="008916F9"/>
    <w:rsid w:val="008B121F"/>
    <w:rsid w:val="00B82451"/>
    <w:rsid w:val="00B82B00"/>
    <w:rsid w:val="00BF4A5E"/>
    <w:rsid w:val="00C11A1D"/>
    <w:rsid w:val="00C35184"/>
    <w:rsid w:val="00C47CDF"/>
    <w:rsid w:val="00CF7761"/>
    <w:rsid w:val="00D24B14"/>
    <w:rsid w:val="00E556F4"/>
    <w:rsid w:val="00E80665"/>
    <w:rsid w:val="00F1798E"/>
    <w:rsid w:val="00F50201"/>
    <w:rsid w:val="00F7244C"/>
    <w:rsid w:val="00F7365E"/>
    <w:rsid w:val="00FE5BB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82A95BF"/>
  <w15:chartTrackingRefBased/>
  <w15:docId w15:val="{6270230A-2F2F-4D6C-9AD7-668B96758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19C9"/>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7761"/>
    <w:pPr>
      <w:autoSpaceDE w:val="0"/>
      <w:autoSpaceDN w:val="0"/>
      <w:adjustRightInd w:val="0"/>
      <w:spacing w:after="0" w:line="240" w:lineRule="auto"/>
    </w:pPr>
    <w:rPr>
      <w:rFonts w:ascii="Cambria" w:eastAsia="Calibri" w:hAnsi="Cambria" w:cs="Cambria"/>
      <w:color w:val="000000"/>
      <w:sz w:val="24"/>
      <w:szCs w:val="24"/>
    </w:rPr>
  </w:style>
  <w:style w:type="character" w:customStyle="1" w:styleId="A6">
    <w:name w:val="A6"/>
    <w:uiPriority w:val="99"/>
    <w:rsid w:val="00CF7761"/>
    <w:rPr>
      <w:rFonts w:cs="Cambria"/>
      <w:b/>
      <w:bCs/>
      <w:color w:val="000000"/>
      <w:sz w:val="20"/>
      <w:szCs w:val="20"/>
    </w:rPr>
  </w:style>
  <w:style w:type="paragraph" w:customStyle="1" w:styleId="TableParagraph">
    <w:name w:val="Table Paragraph"/>
    <w:basedOn w:val="Normal"/>
    <w:uiPriority w:val="1"/>
    <w:qFormat/>
    <w:rsid w:val="00F1798E"/>
    <w:pPr>
      <w:widowControl w:val="0"/>
      <w:autoSpaceDE w:val="0"/>
      <w:autoSpaceDN w:val="0"/>
      <w:spacing w:before="48" w:after="0" w:line="240" w:lineRule="auto"/>
      <w:ind w:left="16"/>
      <w:jc w:val="center"/>
    </w:pPr>
    <w:rPr>
      <w:rFonts w:ascii="Tahoma" w:eastAsia="Tahoma" w:hAnsi="Tahoma" w:cs="Tahoma"/>
      <w:lang w:val="en-US"/>
    </w:rPr>
  </w:style>
  <w:style w:type="paragraph" w:styleId="ListParagraph">
    <w:name w:val="List Paragraph"/>
    <w:aliases w:val="Table bullet,List Paragraph (numbered (a)),Casella di testo,List Paragraph1,References,Liste 1,Numbered List Paragraph,ReferencesCxSpLast,Medium Grid 1 - Accent 21,List Paragraph nowy,List Bullet Mary,Main numbered paragraph,Ha,heading 5"/>
    <w:basedOn w:val="Normal"/>
    <w:link w:val="ListParagraphChar"/>
    <w:uiPriority w:val="34"/>
    <w:qFormat/>
    <w:rsid w:val="00F7365E"/>
    <w:pPr>
      <w:ind w:left="720"/>
      <w:contextualSpacing/>
    </w:pPr>
    <w:rPr>
      <w:rFonts w:cs="Times New Roman"/>
      <w:lang w:val="x-none"/>
    </w:rPr>
  </w:style>
  <w:style w:type="character" w:customStyle="1" w:styleId="ListParagraphChar">
    <w:name w:val="List Paragraph Char"/>
    <w:aliases w:val="Table bullet Char,List Paragraph (numbered (a)) Char,Casella di testo Char,List Paragraph1 Char,References Char,Liste 1 Char,Numbered List Paragraph Char,ReferencesCxSpLast Char,Medium Grid 1 - Accent 21 Char,List Paragraph nowy Char"/>
    <w:link w:val="ListParagraph"/>
    <w:uiPriority w:val="34"/>
    <w:qFormat/>
    <w:rsid w:val="00F7365E"/>
    <w:rPr>
      <w:rFonts w:ascii="Calibri" w:eastAsia="Calibri" w:hAnsi="Calibri" w:cs="Times New Roman"/>
      <w:lang w:val="x-none"/>
    </w:rPr>
  </w:style>
  <w:style w:type="character" w:styleId="Hyperlink">
    <w:name w:val="Hyperlink"/>
    <w:uiPriority w:val="99"/>
    <w:unhideWhenUsed/>
    <w:rsid w:val="00C11A1D"/>
    <w:rPr>
      <w:color w:val="0000FF"/>
      <w:u w:val="single"/>
    </w:rPr>
  </w:style>
  <w:style w:type="character" w:styleId="UnresolvedMention">
    <w:name w:val="Unresolved Mention"/>
    <w:basedOn w:val="DefaultParagraphFont"/>
    <w:uiPriority w:val="99"/>
    <w:semiHidden/>
    <w:unhideWhenUsed/>
    <w:rsid w:val="00363E20"/>
    <w:rPr>
      <w:color w:val="605E5C"/>
      <w:shd w:val="clear" w:color="auto" w:fill="E1DFDD"/>
    </w:rPr>
  </w:style>
  <w:style w:type="paragraph" w:styleId="Header">
    <w:name w:val="header"/>
    <w:basedOn w:val="Normal"/>
    <w:link w:val="HeaderChar"/>
    <w:uiPriority w:val="99"/>
    <w:unhideWhenUsed/>
    <w:rsid w:val="007B48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8A3"/>
    <w:rPr>
      <w:rFonts w:ascii="Calibri" w:eastAsia="Calibri" w:hAnsi="Calibri" w:cs="Arial"/>
    </w:rPr>
  </w:style>
  <w:style w:type="paragraph" w:styleId="Footer">
    <w:name w:val="footer"/>
    <w:basedOn w:val="Normal"/>
    <w:link w:val="FooterChar"/>
    <w:uiPriority w:val="99"/>
    <w:unhideWhenUsed/>
    <w:rsid w:val="007B48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8A3"/>
    <w:rPr>
      <w:rFonts w:ascii="Calibri" w:eastAsia="Calibri" w:hAnsi="Calibri" w:cs="Arial"/>
    </w:rPr>
  </w:style>
  <w:style w:type="character" w:styleId="CommentReference">
    <w:name w:val="annotation reference"/>
    <w:basedOn w:val="DefaultParagraphFont"/>
    <w:uiPriority w:val="99"/>
    <w:semiHidden/>
    <w:unhideWhenUsed/>
    <w:rsid w:val="00403501"/>
    <w:rPr>
      <w:sz w:val="16"/>
      <w:szCs w:val="16"/>
    </w:rPr>
  </w:style>
  <w:style w:type="paragraph" w:styleId="CommentText">
    <w:name w:val="annotation text"/>
    <w:basedOn w:val="Normal"/>
    <w:link w:val="CommentTextChar"/>
    <w:uiPriority w:val="99"/>
    <w:semiHidden/>
    <w:unhideWhenUsed/>
    <w:rsid w:val="00403501"/>
    <w:pPr>
      <w:spacing w:line="240" w:lineRule="auto"/>
    </w:pPr>
    <w:rPr>
      <w:sz w:val="20"/>
      <w:szCs w:val="20"/>
    </w:rPr>
  </w:style>
  <w:style w:type="character" w:customStyle="1" w:styleId="CommentTextChar">
    <w:name w:val="Comment Text Char"/>
    <w:basedOn w:val="DefaultParagraphFont"/>
    <w:link w:val="CommentText"/>
    <w:uiPriority w:val="99"/>
    <w:semiHidden/>
    <w:rsid w:val="00403501"/>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403501"/>
    <w:rPr>
      <w:b/>
      <w:bCs/>
    </w:rPr>
  </w:style>
  <w:style w:type="character" w:customStyle="1" w:styleId="CommentSubjectChar">
    <w:name w:val="Comment Subject Char"/>
    <w:basedOn w:val="CommentTextChar"/>
    <w:link w:val="CommentSubject"/>
    <w:uiPriority w:val="99"/>
    <w:semiHidden/>
    <w:rsid w:val="00403501"/>
    <w:rPr>
      <w:rFonts w:ascii="Calibri" w:eastAsia="Calibri" w:hAnsi="Calibri" w:cs="Arial"/>
      <w:b/>
      <w:bCs/>
      <w:sz w:val="20"/>
      <w:szCs w:val="20"/>
    </w:rPr>
  </w:style>
  <w:style w:type="paragraph" w:styleId="BalloonText">
    <w:name w:val="Balloon Text"/>
    <w:basedOn w:val="Normal"/>
    <w:link w:val="BalloonTextChar"/>
    <w:uiPriority w:val="99"/>
    <w:semiHidden/>
    <w:unhideWhenUsed/>
    <w:rsid w:val="004035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501"/>
    <w:rPr>
      <w:rFonts w:ascii="Segoe UI" w:eastAsia="Calibri" w:hAnsi="Segoe UI" w:cs="Segoe UI"/>
      <w:sz w:val="18"/>
      <w:szCs w:val="18"/>
    </w:rPr>
  </w:style>
  <w:style w:type="table" w:styleId="TableGrid">
    <w:name w:val="Table Grid"/>
    <w:basedOn w:val="TableNormal"/>
    <w:uiPriority w:val="39"/>
    <w:rsid w:val="005A5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chart" Target="charts/chart13.xml"/><Relationship Id="rId21" Type="http://schemas.openxmlformats.org/officeDocument/2006/relationships/chart" Target="charts/chart8.xml"/><Relationship Id="rId34" Type="http://schemas.openxmlformats.org/officeDocument/2006/relationships/hyperlink" Target="https://doi.org/10.1007/s42108-020-00071-8" TargetMode="Externa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hyperlink" Target="https://doi.org/10.1007/s11852-020-00762-8" TargetMode="Externa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hyperlink" Target="https://doi.org/10.1016/j.envc.2022.10062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chart" Target="charts/chart11.xml"/><Relationship Id="rId32" Type="http://schemas.openxmlformats.org/officeDocument/2006/relationships/hyperlink" Target="https://doi.org/10.1155/2020/8450860"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hyperlink" Target="https://doi.org/10.1007/s12403-018-0288-8"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6.xml"/><Relationship Id="rId31" Type="http://schemas.openxmlformats.org/officeDocument/2006/relationships/hyperlink" Target="https://doi.org/10.1007/s11356-020-11149-5"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hyperlink" Target="https://doi.org/10.1177/11786221221075005" TargetMode="External"/><Relationship Id="rId30" Type="http://schemas.openxmlformats.org/officeDocument/2006/relationships/hyperlink" Target="https://doi.org/10.1080/19443994.2015.1137495" TargetMode="External"/><Relationship Id="rId35" Type="http://schemas.openxmlformats.org/officeDocument/2006/relationships/hyperlink" Target="https://doi.org/10.1186/s40068-016-0053-6" TargetMode="External"/><Relationship Id="rId8" Type="http://schemas.openxmlformats.org/officeDocument/2006/relationships/header" Target="header1.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3.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GB" cap="none"/>
              <a:t>p</a:t>
            </a:r>
            <a:r>
              <a:rPr lang="en-GB"/>
              <a:t>H</a:t>
            </a:r>
          </a:p>
        </c:rich>
      </c:tx>
      <c:overlay val="0"/>
      <c:spPr>
        <a:noFill/>
        <a:ln>
          <a:noFill/>
        </a:ln>
        <a:effectLst/>
      </c:spPr>
    </c:title>
    <c:autoTitleDeleted val="0"/>
    <c:plotArea>
      <c:layout>
        <c:manualLayout>
          <c:layoutTarget val="inner"/>
          <c:xMode val="edge"/>
          <c:yMode val="edge"/>
          <c:x val="4.6296387839412451E-2"/>
          <c:y val="2.6467901476728214E-2"/>
          <c:w val="0.94907407407407407"/>
          <c:h val="0.68205568053993249"/>
        </c:manualLayout>
      </c:layout>
      <c:barChart>
        <c:barDir val="col"/>
        <c:grouping val="clustered"/>
        <c:varyColors val="0"/>
        <c:ser>
          <c:idx val="0"/>
          <c:order val="0"/>
          <c:tx>
            <c:strRef>
              <c:f>Sheet1!$B$1</c:f>
              <c:strCache>
                <c:ptCount val="1"/>
                <c:pt idx="0">
                  <c:v>BH1</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pH</c:v>
                </c:pt>
              </c:strCache>
            </c:strRef>
          </c:cat>
          <c:val>
            <c:numRef>
              <c:f>Sheet1!$B$2</c:f>
              <c:numCache>
                <c:formatCode>General</c:formatCode>
                <c:ptCount val="1"/>
                <c:pt idx="0">
                  <c:v>6.57</c:v>
                </c:pt>
              </c:numCache>
            </c:numRef>
          </c:val>
          <c:extLst>
            <c:ext xmlns:c16="http://schemas.microsoft.com/office/drawing/2014/chart" uri="{C3380CC4-5D6E-409C-BE32-E72D297353CC}">
              <c16:uniqueId val="{00000000-BE6C-41EB-A4FB-EC1C101962F8}"/>
            </c:ext>
          </c:extLst>
        </c:ser>
        <c:ser>
          <c:idx val="1"/>
          <c:order val="1"/>
          <c:tx>
            <c:strRef>
              <c:f>Sheet1!$C$1</c:f>
              <c:strCache>
                <c:ptCount val="1"/>
                <c:pt idx="0">
                  <c:v>BH2</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pH</c:v>
                </c:pt>
              </c:strCache>
            </c:strRef>
          </c:cat>
          <c:val>
            <c:numRef>
              <c:f>Sheet1!$C$2</c:f>
              <c:numCache>
                <c:formatCode>General</c:formatCode>
                <c:ptCount val="1"/>
                <c:pt idx="0">
                  <c:v>5.49</c:v>
                </c:pt>
              </c:numCache>
            </c:numRef>
          </c:val>
          <c:extLst>
            <c:ext xmlns:c16="http://schemas.microsoft.com/office/drawing/2014/chart" uri="{C3380CC4-5D6E-409C-BE32-E72D297353CC}">
              <c16:uniqueId val="{00000001-BE6C-41EB-A4FB-EC1C101962F8}"/>
            </c:ext>
          </c:extLst>
        </c:ser>
        <c:ser>
          <c:idx val="2"/>
          <c:order val="2"/>
          <c:tx>
            <c:strRef>
              <c:f>Sheet1!$D$1</c:f>
              <c:strCache>
                <c:ptCount val="1"/>
                <c:pt idx="0">
                  <c:v>BH3</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pH</c:v>
                </c:pt>
              </c:strCache>
            </c:strRef>
          </c:cat>
          <c:val>
            <c:numRef>
              <c:f>Sheet1!$D$2</c:f>
              <c:numCache>
                <c:formatCode>General</c:formatCode>
                <c:ptCount val="1"/>
                <c:pt idx="0">
                  <c:v>5.34</c:v>
                </c:pt>
              </c:numCache>
            </c:numRef>
          </c:val>
          <c:extLst>
            <c:ext xmlns:c16="http://schemas.microsoft.com/office/drawing/2014/chart" uri="{C3380CC4-5D6E-409C-BE32-E72D297353CC}">
              <c16:uniqueId val="{00000002-BE6C-41EB-A4FB-EC1C101962F8}"/>
            </c:ext>
          </c:extLst>
        </c:ser>
        <c:ser>
          <c:idx val="3"/>
          <c:order val="3"/>
          <c:tx>
            <c:strRef>
              <c:f>Sheet1!$E$1</c:f>
              <c:strCache>
                <c:ptCount val="1"/>
                <c:pt idx="0">
                  <c:v>BH4</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pH</c:v>
                </c:pt>
              </c:strCache>
            </c:strRef>
          </c:cat>
          <c:val>
            <c:numRef>
              <c:f>Sheet1!$E$2</c:f>
              <c:numCache>
                <c:formatCode>General</c:formatCode>
                <c:ptCount val="1"/>
                <c:pt idx="0">
                  <c:v>5.71</c:v>
                </c:pt>
              </c:numCache>
            </c:numRef>
          </c:val>
          <c:extLst>
            <c:ext xmlns:c16="http://schemas.microsoft.com/office/drawing/2014/chart" uri="{C3380CC4-5D6E-409C-BE32-E72D297353CC}">
              <c16:uniqueId val="{00000003-BE6C-41EB-A4FB-EC1C101962F8}"/>
            </c:ext>
          </c:extLst>
        </c:ser>
        <c:ser>
          <c:idx val="4"/>
          <c:order val="4"/>
          <c:tx>
            <c:strRef>
              <c:f>Sheet1!$F$1</c:f>
              <c:strCache>
                <c:ptCount val="1"/>
                <c:pt idx="0">
                  <c:v>BH5</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pH</c:v>
                </c:pt>
              </c:strCache>
            </c:strRef>
          </c:cat>
          <c:val>
            <c:numRef>
              <c:f>Sheet1!$F$2</c:f>
              <c:numCache>
                <c:formatCode>General</c:formatCode>
                <c:ptCount val="1"/>
                <c:pt idx="0">
                  <c:v>4.95</c:v>
                </c:pt>
              </c:numCache>
            </c:numRef>
          </c:val>
          <c:extLst>
            <c:ext xmlns:c16="http://schemas.microsoft.com/office/drawing/2014/chart" uri="{C3380CC4-5D6E-409C-BE32-E72D297353CC}">
              <c16:uniqueId val="{00000004-BE6C-41EB-A4FB-EC1C101962F8}"/>
            </c:ext>
          </c:extLst>
        </c:ser>
        <c:ser>
          <c:idx val="5"/>
          <c:order val="5"/>
          <c:tx>
            <c:strRef>
              <c:f>Sheet1!$G$1</c:f>
              <c:strCache>
                <c:ptCount val="1"/>
                <c:pt idx="0">
                  <c:v>BH6</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pH</c:v>
                </c:pt>
              </c:strCache>
            </c:strRef>
          </c:cat>
          <c:val>
            <c:numRef>
              <c:f>Sheet1!$G$2</c:f>
              <c:numCache>
                <c:formatCode>General</c:formatCode>
                <c:ptCount val="1"/>
                <c:pt idx="0">
                  <c:v>5.29</c:v>
                </c:pt>
              </c:numCache>
            </c:numRef>
          </c:val>
          <c:extLst>
            <c:ext xmlns:c16="http://schemas.microsoft.com/office/drawing/2014/chart" uri="{C3380CC4-5D6E-409C-BE32-E72D297353CC}">
              <c16:uniqueId val="{00000005-BE6C-41EB-A4FB-EC1C101962F8}"/>
            </c:ext>
          </c:extLst>
        </c:ser>
        <c:ser>
          <c:idx val="6"/>
          <c:order val="6"/>
          <c:tx>
            <c:strRef>
              <c:f>Sheet1!$H$1</c:f>
              <c:strCache>
                <c:ptCount val="1"/>
                <c:pt idx="0">
                  <c:v>BH7</c:v>
                </c:pt>
              </c:strCache>
            </c:strRef>
          </c:tx>
          <c:spPr>
            <a:solidFill>
              <a:schemeClr val="accent1">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pH</c:v>
                </c:pt>
              </c:strCache>
            </c:strRef>
          </c:cat>
          <c:val>
            <c:numRef>
              <c:f>Sheet1!$H$2</c:f>
              <c:numCache>
                <c:formatCode>General</c:formatCode>
                <c:ptCount val="1"/>
                <c:pt idx="0">
                  <c:v>6.41</c:v>
                </c:pt>
              </c:numCache>
            </c:numRef>
          </c:val>
          <c:extLst>
            <c:ext xmlns:c16="http://schemas.microsoft.com/office/drawing/2014/chart" uri="{C3380CC4-5D6E-409C-BE32-E72D297353CC}">
              <c16:uniqueId val="{00000006-BE6C-41EB-A4FB-EC1C101962F8}"/>
            </c:ext>
          </c:extLst>
        </c:ser>
        <c:ser>
          <c:idx val="7"/>
          <c:order val="7"/>
          <c:tx>
            <c:strRef>
              <c:f>Sheet1!$I$1</c:f>
              <c:strCache>
                <c:ptCount val="1"/>
                <c:pt idx="0">
                  <c:v>BH8</c:v>
                </c:pt>
              </c:strCache>
            </c:strRef>
          </c:tx>
          <c:spPr>
            <a:solidFill>
              <a:schemeClr val="accent2">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pH</c:v>
                </c:pt>
              </c:strCache>
            </c:strRef>
          </c:cat>
          <c:val>
            <c:numRef>
              <c:f>Sheet1!$I$2</c:f>
              <c:numCache>
                <c:formatCode>General</c:formatCode>
                <c:ptCount val="1"/>
                <c:pt idx="0">
                  <c:v>5.09</c:v>
                </c:pt>
              </c:numCache>
            </c:numRef>
          </c:val>
          <c:extLst>
            <c:ext xmlns:c16="http://schemas.microsoft.com/office/drawing/2014/chart" uri="{C3380CC4-5D6E-409C-BE32-E72D297353CC}">
              <c16:uniqueId val="{00000007-BE6C-41EB-A4FB-EC1C101962F8}"/>
            </c:ext>
          </c:extLst>
        </c:ser>
        <c:ser>
          <c:idx val="8"/>
          <c:order val="8"/>
          <c:tx>
            <c:strRef>
              <c:f>Sheet1!$J$1</c:f>
              <c:strCache>
                <c:ptCount val="1"/>
                <c:pt idx="0">
                  <c:v>BH9</c:v>
                </c:pt>
              </c:strCache>
            </c:strRef>
          </c:tx>
          <c:spPr>
            <a:solidFill>
              <a:schemeClr val="accent3">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pH</c:v>
                </c:pt>
              </c:strCache>
            </c:strRef>
          </c:cat>
          <c:val>
            <c:numRef>
              <c:f>Sheet1!$J$2</c:f>
              <c:numCache>
                <c:formatCode>General</c:formatCode>
                <c:ptCount val="1"/>
                <c:pt idx="0">
                  <c:v>5</c:v>
                </c:pt>
              </c:numCache>
            </c:numRef>
          </c:val>
          <c:extLst>
            <c:ext xmlns:c16="http://schemas.microsoft.com/office/drawing/2014/chart" uri="{C3380CC4-5D6E-409C-BE32-E72D297353CC}">
              <c16:uniqueId val="{00000008-BE6C-41EB-A4FB-EC1C101962F8}"/>
            </c:ext>
          </c:extLst>
        </c:ser>
        <c:ser>
          <c:idx val="9"/>
          <c:order val="9"/>
          <c:tx>
            <c:strRef>
              <c:f>Sheet1!$K$1</c:f>
              <c:strCache>
                <c:ptCount val="1"/>
                <c:pt idx="0">
                  <c:v>BH10</c:v>
                </c:pt>
              </c:strCache>
            </c:strRef>
          </c:tx>
          <c:spPr>
            <a:solidFill>
              <a:schemeClr val="accent4">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pH</c:v>
                </c:pt>
              </c:strCache>
            </c:strRef>
          </c:cat>
          <c:val>
            <c:numRef>
              <c:f>Sheet1!$K$2</c:f>
              <c:numCache>
                <c:formatCode>General</c:formatCode>
                <c:ptCount val="1"/>
                <c:pt idx="0">
                  <c:v>5.69</c:v>
                </c:pt>
              </c:numCache>
            </c:numRef>
          </c:val>
          <c:extLst>
            <c:ext xmlns:c16="http://schemas.microsoft.com/office/drawing/2014/chart" uri="{C3380CC4-5D6E-409C-BE32-E72D297353CC}">
              <c16:uniqueId val="{00000009-BE6C-41EB-A4FB-EC1C101962F8}"/>
            </c:ext>
          </c:extLst>
        </c:ser>
        <c:ser>
          <c:idx val="10"/>
          <c:order val="10"/>
          <c:tx>
            <c:strRef>
              <c:f>Sheet1!$L$1</c:f>
              <c:strCache>
                <c:ptCount val="1"/>
                <c:pt idx="0">
                  <c:v>BH11</c:v>
                </c:pt>
              </c:strCache>
            </c:strRef>
          </c:tx>
          <c:spPr>
            <a:solidFill>
              <a:schemeClr val="accent5">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pH</c:v>
                </c:pt>
              </c:strCache>
            </c:strRef>
          </c:cat>
          <c:val>
            <c:numRef>
              <c:f>Sheet1!$L$2</c:f>
              <c:numCache>
                <c:formatCode>General</c:formatCode>
                <c:ptCount val="1"/>
                <c:pt idx="0">
                  <c:v>4.92</c:v>
                </c:pt>
              </c:numCache>
            </c:numRef>
          </c:val>
          <c:extLst>
            <c:ext xmlns:c16="http://schemas.microsoft.com/office/drawing/2014/chart" uri="{C3380CC4-5D6E-409C-BE32-E72D297353CC}">
              <c16:uniqueId val="{0000000A-BE6C-41EB-A4FB-EC1C101962F8}"/>
            </c:ext>
          </c:extLst>
        </c:ser>
        <c:ser>
          <c:idx val="11"/>
          <c:order val="11"/>
          <c:tx>
            <c:strRef>
              <c:f>Sheet1!$M$1</c:f>
              <c:strCache>
                <c:ptCount val="1"/>
                <c:pt idx="0">
                  <c:v>B12</c:v>
                </c:pt>
              </c:strCache>
            </c:strRef>
          </c:tx>
          <c:spPr>
            <a:solidFill>
              <a:schemeClr val="accent6">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pH</c:v>
                </c:pt>
              </c:strCache>
            </c:strRef>
          </c:cat>
          <c:val>
            <c:numRef>
              <c:f>Sheet1!$M$2</c:f>
              <c:numCache>
                <c:formatCode>General</c:formatCode>
                <c:ptCount val="1"/>
                <c:pt idx="0">
                  <c:v>4.2300000000000004</c:v>
                </c:pt>
              </c:numCache>
            </c:numRef>
          </c:val>
          <c:extLst>
            <c:ext xmlns:c16="http://schemas.microsoft.com/office/drawing/2014/chart" uri="{C3380CC4-5D6E-409C-BE32-E72D297353CC}">
              <c16:uniqueId val="{0000000B-BE6C-41EB-A4FB-EC1C101962F8}"/>
            </c:ext>
          </c:extLst>
        </c:ser>
        <c:ser>
          <c:idx val="12"/>
          <c:order val="12"/>
          <c:tx>
            <c:strRef>
              <c:f>Sheet1!$N$1</c:f>
              <c:strCache>
                <c:ptCount val="1"/>
                <c:pt idx="0">
                  <c:v>BH13</c:v>
                </c:pt>
              </c:strCache>
            </c:strRef>
          </c:tx>
          <c:spPr>
            <a:solidFill>
              <a:schemeClr val="accent1">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pH</c:v>
                </c:pt>
              </c:strCache>
            </c:strRef>
          </c:cat>
          <c:val>
            <c:numRef>
              <c:f>Sheet1!$N$2</c:f>
              <c:numCache>
                <c:formatCode>General</c:formatCode>
                <c:ptCount val="1"/>
                <c:pt idx="0">
                  <c:v>6.62</c:v>
                </c:pt>
              </c:numCache>
            </c:numRef>
          </c:val>
          <c:extLst>
            <c:ext xmlns:c16="http://schemas.microsoft.com/office/drawing/2014/chart" uri="{C3380CC4-5D6E-409C-BE32-E72D297353CC}">
              <c16:uniqueId val="{0000000C-BE6C-41EB-A4FB-EC1C101962F8}"/>
            </c:ext>
          </c:extLst>
        </c:ser>
        <c:ser>
          <c:idx val="13"/>
          <c:order val="13"/>
          <c:tx>
            <c:strRef>
              <c:f>Sheet1!$O$1</c:f>
              <c:strCache>
                <c:ptCount val="1"/>
                <c:pt idx="0">
                  <c:v>BH14</c:v>
                </c:pt>
              </c:strCache>
            </c:strRef>
          </c:tx>
          <c:spPr>
            <a:solidFill>
              <a:schemeClr val="accent2">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pH</c:v>
                </c:pt>
              </c:strCache>
            </c:strRef>
          </c:cat>
          <c:val>
            <c:numRef>
              <c:f>Sheet1!$O$2</c:f>
              <c:numCache>
                <c:formatCode>General</c:formatCode>
                <c:ptCount val="1"/>
                <c:pt idx="0">
                  <c:v>4.53</c:v>
                </c:pt>
              </c:numCache>
            </c:numRef>
          </c:val>
          <c:extLst>
            <c:ext xmlns:c16="http://schemas.microsoft.com/office/drawing/2014/chart" uri="{C3380CC4-5D6E-409C-BE32-E72D297353CC}">
              <c16:uniqueId val="{0000000D-BE6C-41EB-A4FB-EC1C101962F8}"/>
            </c:ext>
          </c:extLst>
        </c:ser>
        <c:ser>
          <c:idx val="14"/>
          <c:order val="14"/>
          <c:tx>
            <c:strRef>
              <c:f>Sheet1!$P$1</c:f>
              <c:strCache>
                <c:ptCount val="1"/>
                <c:pt idx="0">
                  <c:v>BH15</c:v>
                </c:pt>
              </c:strCache>
            </c:strRef>
          </c:tx>
          <c:spPr>
            <a:solidFill>
              <a:schemeClr val="accent3">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pH</c:v>
                </c:pt>
              </c:strCache>
            </c:strRef>
          </c:cat>
          <c:val>
            <c:numRef>
              <c:f>Sheet1!$P$2</c:f>
              <c:numCache>
                <c:formatCode>General</c:formatCode>
                <c:ptCount val="1"/>
                <c:pt idx="0">
                  <c:v>4.3099999999999996</c:v>
                </c:pt>
              </c:numCache>
            </c:numRef>
          </c:val>
          <c:extLst>
            <c:ext xmlns:c16="http://schemas.microsoft.com/office/drawing/2014/chart" uri="{C3380CC4-5D6E-409C-BE32-E72D297353CC}">
              <c16:uniqueId val="{0000000E-BE6C-41EB-A4FB-EC1C101962F8}"/>
            </c:ext>
          </c:extLst>
        </c:ser>
        <c:ser>
          <c:idx val="15"/>
          <c:order val="15"/>
          <c:tx>
            <c:strRef>
              <c:f>Sheet1!$Q$1</c:f>
              <c:strCache>
                <c:ptCount val="1"/>
                <c:pt idx="0">
                  <c:v>CON</c:v>
                </c:pt>
              </c:strCache>
            </c:strRef>
          </c:tx>
          <c:spPr>
            <a:solidFill>
              <a:schemeClr val="accent4">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pH</c:v>
                </c:pt>
              </c:strCache>
            </c:strRef>
          </c:cat>
          <c:val>
            <c:numRef>
              <c:f>Sheet1!$Q$2</c:f>
              <c:numCache>
                <c:formatCode>General</c:formatCode>
                <c:ptCount val="1"/>
                <c:pt idx="0">
                  <c:v>7.88</c:v>
                </c:pt>
              </c:numCache>
            </c:numRef>
          </c:val>
          <c:extLst>
            <c:ext xmlns:c16="http://schemas.microsoft.com/office/drawing/2014/chart" uri="{C3380CC4-5D6E-409C-BE32-E72D297353CC}">
              <c16:uniqueId val="{0000000F-BE6C-41EB-A4FB-EC1C101962F8}"/>
            </c:ext>
          </c:extLst>
        </c:ser>
        <c:ser>
          <c:idx val="16"/>
          <c:order val="16"/>
          <c:tx>
            <c:strRef>
              <c:f>Sheet1!$R$1</c:f>
              <c:strCache>
                <c:ptCount val="1"/>
                <c:pt idx="0">
                  <c:v>Mean</c:v>
                </c:pt>
              </c:strCache>
            </c:strRef>
          </c:tx>
          <c:spPr>
            <a:solidFill>
              <a:schemeClr val="accent5">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pH</c:v>
                </c:pt>
              </c:strCache>
            </c:strRef>
          </c:cat>
          <c:val>
            <c:numRef>
              <c:f>Sheet1!$R$2</c:f>
              <c:numCache>
                <c:formatCode>General</c:formatCode>
                <c:ptCount val="1"/>
                <c:pt idx="0">
                  <c:v>5.34</c:v>
                </c:pt>
              </c:numCache>
            </c:numRef>
          </c:val>
          <c:extLst>
            <c:ext xmlns:c16="http://schemas.microsoft.com/office/drawing/2014/chart" uri="{C3380CC4-5D6E-409C-BE32-E72D297353CC}">
              <c16:uniqueId val="{00000010-BE6C-41EB-A4FB-EC1C101962F8}"/>
            </c:ext>
          </c:extLst>
        </c:ser>
        <c:dLbls>
          <c:showLegendKey val="0"/>
          <c:showVal val="0"/>
          <c:showCatName val="0"/>
          <c:showSerName val="0"/>
          <c:showPercent val="0"/>
          <c:showBubbleSize val="0"/>
        </c:dLbls>
        <c:gapWidth val="444"/>
        <c:overlap val="-90"/>
        <c:axId val="631153071"/>
        <c:axId val="1"/>
      </c:barChart>
      <c:catAx>
        <c:axId val="631153071"/>
        <c:scaling>
          <c:orientation val="minMax"/>
        </c:scaling>
        <c:delete val="0"/>
        <c:axPos val="b"/>
        <c:majorGridlines>
          <c:spPr>
            <a:ln w="9524"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4"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1"/>
        <c:axPos val="l"/>
        <c:title>
          <c:tx>
            <c:rich>
              <a:bodyPr/>
              <a:lstStyle/>
              <a:p>
                <a:pPr>
                  <a:defRPr sz="900" b="0" i="0" u="none" strike="noStrike" baseline="0">
                    <a:solidFill>
                      <a:srgbClr val="333333"/>
                    </a:solidFill>
                    <a:latin typeface="Calibri"/>
                    <a:ea typeface="Calibri"/>
                    <a:cs typeface="Calibri"/>
                  </a:defRPr>
                </a:pPr>
                <a:r>
                  <a:rPr lang="en-GB"/>
                  <a:t>CONCENTRATIONS</a:t>
                </a:r>
              </a:p>
            </c:rich>
          </c:tx>
          <c:overlay val="0"/>
          <c:spPr>
            <a:noFill/>
            <a:ln>
              <a:noFill/>
            </a:ln>
            <a:effectLst/>
          </c:spPr>
        </c:title>
        <c:numFmt formatCode="General" sourceLinked="1"/>
        <c:majorTickMark val="out"/>
        <c:minorTickMark val="none"/>
        <c:tickLblPos val="nextTo"/>
        <c:crossAx val="631153071"/>
        <c:crosses val="autoZero"/>
        <c:crossBetween val="between"/>
      </c:valAx>
      <c:spPr>
        <a:noFill/>
        <a:ln w="25397">
          <a:noFill/>
        </a:ln>
      </c:spPr>
    </c:plotArea>
    <c:legend>
      <c:legendPos val="t"/>
      <c:layout>
        <c:manualLayout>
          <c:xMode val="edge"/>
          <c:yMode val="edge"/>
          <c:x val="3.7136455504037602E-2"/>
          <c:y val="0.78099662809052794"/>
          <c:w val="0.94424574976908371"/>
          <c:h val="0.2181313456814339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a:noFill/>
    </a:ln>
    <a:effectLst/>
  </c:spPr>
  <c:txPr>
    <a:bodyPr/>
    <a:lstStyle/>
    <a:p>
      <a:pPr>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GB" cap="none" baseline="0"/>
              <a:t>Sodium</a:t>
            </a:r>
            <a:r>
              <a:rPr lang="en-GB" baseline="0"/>
              <a:t> </a:t>
            </a:r>
            <a:r>
              <a:rPr lang="en-GB" sz="1600" b="1" i="0" u="none" strike="noStrike" cap="none" normalizeH="0" baseline="0">
                <a:effectLst/>
              </a:rPr>
              <a:t>(mg/l)</a:t>
            </a:r>
            <a:endParaRPr lang="en-GB"/>
          </a:p>
        </c:rich>
      </c:tx>
      <c:layout>
        <c:manualLayout>
          <c:xMode val="edge"/>
          <c:yMode val="edge"/>
          <c:x val="0.36773391130986677"/>
          <c:y val="2.1621755613881598E-2"/>
        </c:manualLayout>
      </c:layout>
      <c:overlay val="0"/>
      <c:spPr>
        <a:noFill/>
        <a:ln>
          <a:noFill/>
        </a:ln>
        <a:effectLst/>
      </c:spPr>
    </c:title>
    <c:autoTitleDeleted val="0"/>
    <c:plotArea>
      <c:layout>
        <c:manualLayout>
          <c:layoutTarget val="inner"/>
          <c:xMode val="edge"/>
          <c:yMode val="edge"/>
          <c:x val="4.6296296296296294E-2"/>
          <c:y val="0.12611204849393823"/>
          <c:w val="0.94907407407407407"/>
          <c:h val="0.58903253372398212"/>
        </c:manualLayout>
      </c:layout>
      <c:barChart>
        <c:barDir val="col"/>
        <c:grouping val="clustered"/>
        <c:varyColors val="0"/>
        <c:ser>
          <c:idx val="0"/>
          <c:order val="0"/>
          <c:tx>
            <c:strRef>
              <c:f>Sheet1!$B$1</c:f>
              <c:strCache>
                <c:ptCount val="1"/>
                <c:pt idx="0">
                  <c:v>BH1</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Sodium</c:v>
                </c:pt>
              </c:strCache>
            </c:strRef>
          </c:cat>
          <c:val>
            <c:numRef>
              <c:f>Sheet1!$B$2</c:f>
              <c:numCache>
                <c:formatCode>General</c:formatCode>
                <c:ptCount val="1"/>
                <c:pt idx="0">
                  <c:v>8.7999999999999995E-2</c:v>
                </c:pt>
              </c:numCache>
            </c:numRef>
          </c:val>
          <c:extLst>
            <c:ext xmlns:c16="http://schemas.microsoft.com/office/drawing/2014/chart" uri="{C3380CC4-5D6E-409C-BE32-E72D297353CC}">
              <c16:uniqueId val="{00000000-22E0-47B7-8B78-716C1711DA20}"/>
            </c:ext>
          </c:extLst>
        </c:ser>
        <c:ser>
          <c:idx val="1"/>
          <c:order val="1"/>
          <c:tx>
            <c:strRef>
              <c:f>Sheet1!$C$1</c:f>
              <c:strCache>
                <c:ptCount val="1"/>
                <c:pt idx="0">
                  <c:v>BH2</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Sodium</c:v>
                </c:pt>
              </c:strCache>
            </c:strRef>
          </c:cat>
          <c:val>
            <c:numRef>
              <c:f>Sheet1!$C$2</c:f>
              <c:numCache>
                <c:formatCode>General</c:formatCode>
                <c:ptCount val="1"/>
                <c:pt idx="0">
                  <c:v>0.121</c:v>
                </c:pt>
              </c:numCache>
            </c:numRef>
          </c:val>
          <c:extLst>
            <c:ext xmlns:c16="http://schemas.microsoft.com/office/drawing/2014/chart" uri="{C3380CC4-5D6E-409C-BE32-E72D297353CC}">
              <c16:uniqueId val="{00000001-22E0-47B7-8B78-716C1711DA20}"/>
            </c:ext>
          </c:extLst>
        </c:ser>
        <c:ser>
          <c:idx val="2"/>
          <c:order val="2"/>
          <c:tx>
            <c:strRef>
              <c:f>Sheet1!$D$1</c:f>
              <c:strCache>
                <c:ptCount val="1"/>
                <c:pt idx="0">
                  <c:v>BH3</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Sodium</c:v>
                </c:pt>
              </c:strCache>
            </c:strRef>
          </c:cat>
          <c:val>
            <c:numRef>
              <c:f>Sheet1!$D$2</c:f>
              <c:numCache>
                <c:formatCode>General</c:formatCode>
                <c:ptCount val="1"/>
                <c:pt idx="0">
                  <c:v>6.2E-2</c:v>
                </c:pt>
              </c:numCache>
            </c:numRef>
          </c:val>
          <c:extLst>
            <c:ext xmlns:c16="http://schemas.microsoft.com/office/drawing/2014/chart" uri="{C3380CC4-5D6E-409C-BE32-E72D297353CC}">
              <c16:uniqueId val="{00000002-22E0-47B7-8B78-716C1711DA20}"/>
            </c:ext>
          </c:extLst>
        </c:ser>
        <c:ser>
          <c:idx val="3"/>
          <c:order val="3"/>
          <c:tx>
            <c:strRef>
              <c:f>Sheet1!$E$1</c:f>
              <c:strCache>
                <c:ptCount val="1"/>
                <c:pt idx="0">
                  <c:v>BH4</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Sodium</c:v>
                </c:pt>
              </c:strCache>
            </c:strRef>
          </c:cat>
          <c:val>
            <c:numRef>
              <c:f>Sheet1!$E$2</c:f>
              <c:numCache>
                <c:formatCode>General</c:formatCode>
                <c:ptCount val="1"/>
                <c:pt idx="0">
                  <c:v>7.9000000000000001E-2</c:v>
                </c:pt>
              </c:numCache>
            </c:numRef>
          </c:val>
          <c:extLst>
            <c:ext xmlns:c16="http://schemas.microsoft.com/office/drawing/2014/chart" uri="{C3380CC4-5D6E-409C-BE32-E72D297353CC}">
              <c16:uniqueId val="{00000003-22E0-47B7-8B78-716C1711DA20}"/>
            </c:ext>
          </c:extLst>
        </c:ser>
        <c:ser>
          <c:idx val="4"/>
          <c:order val="4"/>
          <c:tx>
            <c:strRef>
              <c:f>Sheet1!$F$1</c:f>
              <c:strCache>
                <c:ptCount val="1"/>
                <c:pt idx="0">
                  <c:v>BH5</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Sodium</c:v>
                </c:pt>
              </c:strCache>
            </c:strRef>
          </c:cat>
          <c:val>
            <c:numRef>
              <c:f>Sheet1!$F$2</c:f>
              <c:numCache>
                <c:formatCode>General</c:formatCode>
                <c:ptCount val="1"/>
                <c:pt idx="0">
                  <c:v>6.3E-2</c:v>
                </c:pt>
              </c:numCache>
            </c:numRef>
          </c:val>
          <c:extLst>
            <c:ext xmlns:c16="http://schemas.microsoft.com/office/drawing/2014/chart" uri="{C3380CC4-5D6E-409C-BE32-E72D297353CC}">
              <c16:uniqueId val="{00000004-22E0-47B7-8B78-716C1711DA20}"/>
            </c:ext>
          </c:extLst>
        </c:ser>
        <c:ser>
          <c:idx val="5"/>
          <c:order val="5"/>
          <c:tx>
            <c:strRef>
              <c:f>Sheet1!$G$1</c:f>
              <c:strCache>
                <c:ptCount val="1"/>
                <c:pt idx="0">
                  <c:v>BH6</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Sodium</c:v>
                </c:pt>
              </c:strCache>
            </c:strRef>
          </c:cat>
          <c:val>
            <c:numRef>
              <c:f>Sheet1!$G$2</c:f>
              <c:numCache>
                <c:formatCode>General</c:formatCode>
                <c:ptCount val="1"/>
                <c:pt idx="0">
                  <c:v>0.104</c:v>
                </c:pt>
              </c:numCache>
            </c:numRef>
          </c:val>
          <c:extLst>
            <c:ext xmlns:c16="http://schemas.microsoft.com/office/drawing/2014/chart" uri="{C3380CC4-5D6E-409C-BE32-E72D297353CC}">
              <c16:uniqueId val="{00000005-22E0-47B7-8B78-716C1711DA20}"/>
            </c:ext>
          </c:extLst>
        </c:ser>
        <c:ser>
          <c:idx val="6"/>
          <c:order val="6"/>
          <c:tx>
            <c:strRef>
              <c:f>Sheet1!$H$1</c:f>
              <c:strCache>
                <c:ptCount val="1"/>
                <c:pt idx="0">
                  <c:v>BH7</c:v>
                </c:pt>
              </c:strCache>
            </c:strRef>
          </c:tx>
          <c:spPr>
            <a:solidFill>
              <a:schemeClr val="accent1">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Sodium</c:v>
                </c:pt>
              </c:strCache>
            </c:strRef>
          </c:cat>
          <c:val>
            <c:numRef>
              <c:f>Sheet1!$H$2</c:f>
              <c:numCache>
                <c:formatCode>General</c:formatCode>
                <c:ptCount val="1"/>
                <c:pt idx="0">
                  <c:v>6.9000000000000006E-2</c:v>
                </c:pt>
              </c:numCache>
            </c:numRef>
          </c:val>
          <c:extLst>
            <c:ext xmlns:c16="http://schemas.microsoft.com/office/drawing/2014/chart" uri="{C3380CC4-5D6E-409C-BE32-E72D297353CC}">
              <c16:uniqueId val="{00000006-22E0-47B7-8B78-716C1711DA20}"/>
            </c:ext>
          </c:extLst>
        </c:ser>
        <c:ser>
          <c:idx val="7"/>
          <c:order val="7"/>
          <c:tx>
            <c:strRef>
              <c:f>Sheet1!$I$1</c:f>
              <c:strCache>
                <c:ptCount val="1"/>
                <c:pt idx="0">
                  <c:v>BH8</c:v>
                </c:pt>
              </c:strCache>
            </c:strRef>
          </c:tx>
          <c:spPr>
            <a:solidFill>
              <a:schemeClr val="accent2">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Sodium</c:v>
                </c:pt>
              </c:strCache>
            </c:strRef>
          </c:cat>
          <c:val>
            <c:numRef>
              <c:f>Sheet1!$I$2</c:f>
              <c:numCache>
                <c:formatCode>General</c:formatCode>
                <c:ptCount val="1"/>
                <c:pt idx="0">
                  <c:v>8.4000000000000005E-2</c:v>
                </c:pt>
              </c:numCache>
            </c:numRef>
          </c:val>
          <c:extLst>
            <c:ext xmlns:c16="http://schemas.microsoft.com/office/drawing/2014/chart" uri="{C3380CC4-5D6E-409C-BE32-E72D297353CC}">
              <c16:uniqueId val="{00000007-22E0-47B7-8B78-716C1711DA20}"/>
            </c:ext>
          </c:extLst>
        </c:ser>
        <c:ser>
          <c:idx val="8"/>
          <c:order val="8"/>
          <c:tx>
            <c:strRef>
              <c:f>Sheet1!$J$1</c:f>
              <c:strCache>
                <c:ptCount val="1"/>
                <c:pt idx="0">
                  <c:v>BH9</c:v>
                </c:pt>
              </c:strCache>
            </c:strRef>
          </c:tx>
          <c:spPr>
            <a:solidFill>
              <a:schemeClr val="accent3">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Sodium</c:v>
                </c:pt>
              </c:strCache>
            </c:strRef>
          </c:cat>
          <c:val>
            <c:numRef>
              <c:f>Sheet1!$J$2</c:f>
              <c:numCache>
                <c:formatCode>General</c:formatCode>
                <c:ptCount val="1"/>
                <c:pt idx="0">
                  <c:v>8.9999999999999993E-3</c:v>
                </c:pt>
              </c:numCache>
            </c:numRef>
          </c:val>
          <c:extLst>
            <c:ext xmlns:c16="http://schemas.microsoft.com/office/drawing/2014/chart" uri="{C3380CC4-5D6E-409C-BE32-E72D297353CC}">
              <c16:uniqueId val="{00000008-22E0-47B7-8B78-716C1711DA20}"/>
            </c:ext>
          </c:extLst>
        </c:ser>
        <c:ser>
          <c:idx val="9"/>
          <c:order val="9"/>
          <c:tx>
            <c:strRef>
              <c:f>Sheet1!$K$1</c:f>
              <c:strCache>
                <c:ptCount val="1"/>
                <c:pt idx="0">
                  <c:v>BH10</c:v>
                </c:pt>
              </c:strCache>
            </c:strRef>
          </c:tx>
          <c:spPr>
            <a:solidFill>
              <a:schemeClr val="accent4">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Sodium</c:v>
                </c:pt>
              </c:strCache>
            </c:strRef>
          </c:cat>
          <c:val>
            <c:numRef>
              <c:f>Sheet1!$K$2</c:f>
              <c:numCache>
                <c:formatCode>General</c:formatCode>
                <c:ptCount val="1"/>
                <c:pt idx="0">
                  <c:v>7.2999999999999995E-2</c:v>
                </c:pt>
              </c:numCache>
            </c:numRef>
          </c:val>
          <c:extLst>
            <c:ext xmlns:c16="http://schemas.microsoft.com/office/drawing/2014/chart" uri="{C3380CC4-5D6E-409C-BE32-E72D297353CC}">
              <c16:uniqueId val="{00000009-22E0-47B7-8B78-716C1711DA20}"/>
            </c:ext>
          </c:extLst>
        </c:ser>
        <c:ser>
          <c:idx val="10"/>
          <c:order val="10"/>
          <c:tx>
            <c:strRef>
              <c:f>Sheet1!$L$1</c:f>
              <c:strCache>
                <c:ptCount val="1"/>
                <c:pt idx="0">
                  <c:v>BH11</c:v>
                </c:pt>
              </c:strCache>
            </c:strRef>
          </c:tx>
          <c:spPr>
            <a:solidFill>
              <a:schemeClr val="accent5">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Sodium</c:v>
                </c:pt>
              </c:strCache>
            </c:strRef>
          </c:cat>
          <c:val>
            <c:numRef>
              <c:f>Sheet1!$L$2</c:f>
              <c:numCache>
                <c:formatCode>General</c:formatCode>
                <c:ptCount val="1"/>
                <c:pt idx="0">
                  <c:v>5.1999999999999998E-2</c:v>
                </c:pt>
              </c:numCache>
            </c:numRef>
          </c:val>
          <c:extLst>
            <c:ext xmlns:c16="http://schemas.microsoft.com/office/drawing/2014/chart" uri="{C3380CC4-5D6E-409C-BE32-E72D297353CC}">
              <c16:uniqueId val="{0000000A-22E0-47B7-8B78-716C1711DA20}"/>
            </c:ext>
          </c:extLst>
        </c:ser>
        <c:ser>
          <c:idx val="11"/>
          <c:order val="11"/>
          <c:tx>
            <c:strRef>
              <c:f>Sheet1!$M$1</c:f>
              <c:strCache>
                <c:ptCount val="1"/>
                <c:pt idx="0">
                  <c:v>B12</c:v>
                </c:pt>
              </c:strCache>
            </c:strRef>
          </c:tx>
          <c:spPr>
            <a:solidFill>
              <a:schemeClr val="accent6">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Sodium</c:v>
                </c:pt>
              </c:strCache>
            </c:strRef>
          </c:cat>
          <c:val>
            <c:numRef>
              <c:f>Sheet1!$M$2</c:f>
              <c:numCache>
                <c:formatCode>General</c:formatCode>
                <c:ptCount val="1"/>
                <c:pt idx="0">
                  <c:v>7.1999999999999995E-2</c:v>
                </c:pt>
              </c:numCache>
            </c:numRef>
          </c:val>
          <c:extLst>
            <c:ext xmlns:c16="http://schemas.microsoft.com/office/drawing/2014/chart" uri="{C3380CC4-5D6E-409C-BE32-E72D297353CC}">
              <c16:uniqueId val="{0000000B-22E0-47B7-8B78-716C1711DA20}"/>
            </c:ext>
          </c:extLst>
        </c:ser>
        <c:ser>
          <c:idx val="12"/>
          <c:order val="12"/>
          <c:tx>
            <c:strRef>
              <c:f>Sheet1!$N$1</c:f>
              <c:strCache>
                <c:ptCount val="1"/>
                <c:pt idx="0">
                  <c:v>BH13</c:v>
                </c:pt>
              </c:strCache>
            </c:strRef>
          </c:tx>
          <c:spPr>
            <a:solidFill>
              <a:schemeClr val="accent1">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Sodium</c:v>
                </c:pt>
              </c:strCache>
            </c:strRef>
          </c:cat>
          <c:val>
            <c:numRef>
              <c:f>Sheet1!$N$2</c:f>
              <c:numCache>
                <c:formatCode>General</c:formatCode>
                <c:ptCount val="1"/>
                <c:pt idx="0">
                  <c:v>4.3999999999999997E-2</c:v>
                </c:pt>
              </c:numCache>
            </c:numRef>
          </c:val>
          <c:extLst>
            <c:ext xmlns:c16="http://schemas.microsoft.com/office/drawing/2014/chart" uri="{C3380CC4-5D6E-409C-BE32-E72D297353CC}">
              <c16:uniqueId val="{0000000C-22E0-47B7-8B78-716C1711DA20}"/>
            </c:ext>
          </c:extLst>
        </c:ser>
        <c:ser>
          <c:idx val="13"/>
          <c:order val="13"/>
          <c:tx>
            <c:strRef>
              <c:f>Sheet1!$O$1</c:f>
              <c:strCache>
                <c:ptCount val="1"/>
                <c:pt idx="0">
                  <c:v>BH14</c:v>
                </c:pt>
              </c:strCache>
            </c:strRef>
          </c:tx>
          <c:spPr>
            <a:solidFill>
              <a:schemeClr val="accent2">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Sodium</c:v>
                </c:pt>
              </c:strCache>
            </c:strRef>
          </c:cat>
          <c:val>
            <c:numRef>
              <c:f>Sheet1!$O$2</c:f>
              <c:numCache>
                <c:formatCode>General</c:formatCode>
                <c:ptCount val="1"/>
                <c:pt idx="0">
                  <c:v>6.0999999999999999E-2</c:v>
                </c:pt>
              </c:numCache>
            </c:numRef>
          </c:val>
          <c:extLst>
            <c:ext xmlns:c16="http://schemas.microsoft.com/office/drawing/2014/chart" uri="{C3380CC4-5D6E-409C-BE32-E72D297353CC}">
              <c16:uniqueId val="{0000000D-22E0-47B7-8B78-716C1711DA20}"/>
            </c:ext>
          </c:extLst>
        </c:ser>
        <c:ser>
          <c:idx val="14"/>
          <c:order val="14"/>
          <c:tx>
            <c:strRef>
              <c:f>Sheet1!$P$1</c:f>
              <c:strCache>
                <c:ptCount val="1"/>
                <c:pt idx="0">
                  <c:v>BH15</c:v>
                </c:pt>
              </c:strCache>
            </c:strRef>
          </c:tx>
          <c:spPr>
            <a:solidFill>
              <a:schemeClr val="accent3">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Sodium</c:v>
                </c:pt>
              </c:strCache>
            </c:strRef>
          </c:cat>
          <c:val>
            <c:numRef>
              <c:f>Sheet1!$P$2</c:f>
              <c:numCache>
                <c:formatCode>General</c:formatCode>
                <c:ptCount val="1"/>
                <c:pt idx="0">
                  <c:v>4.3999999999999997E-2</c:v>
                </c:pt>
              </c:numCache>
            </c:numRef>
          </c:val>
          <c:extLst>
            <c:ext xmlns:c16="http://schemas.microsoft.com/office/drawing/2014/chart" uri="{C3380CC4-5D6E-409C-BE32-E72D297353CC}">
              <c16:uniqueId val="{0000000E-22E0-47B7-8B78-716C1711DA20}"/>
            </c:ext>
          </c:extLst>
        </c:ser>
        <c:ser>
          <c:idx val="15"/>
          <c:order val="15"/>
          <c:tx>
            <c:strRef>
              <c:f>Sheet1!$Q$1</c:f>
              <c:strCache>
                <c:ptCount val="1"/>
                <c:pt idx="0">
                  <c:v>CON</c:v>
                </c:pt>
              </c:strCache>
            </c:strRef>
          </c:tx>
          <c:spPr>
            <a:solidFill>
              <a:schemeClr val="accent4">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Sodium</c:v>
                </c:pt>
              </c:strCache>
            </c:strRef>
          </c:cat>
          <c:val>
            <c:numRef>
              <c:f>Sheet1!$Q$2</c:f>
              <c:numCache>
                <c:formatCode>General</c:formatCode>
                <c:ptCount val="1"/>
                <c:pt idx="0">
                  <c:v>5.1999999999999998E-2</c:v>
                </c:pt>
              </c:numCache>
            </c:numRef>
          </c:val>
          <c:extLst>
            <c:ext xmlns:c16="http://schemas.microsoft.com/office/drawing/2014/chart" uri="{C3380CC4-5D6E-409C-BE32-E72D297353CC}">
              <c16:uniqueId val="{0000000F-22E0-47B7-8B78-716C1711DA20}"/>
            </c:ext>
          </c:extLst>
        </c:ser>
        <c:ser>
          <c:idx val="16"/>
          <c:order val="16"/>
          <c:tx>
            <c:strRef>
              <c:f>Sheet1!$R$1</c:f>
              <c:strCache>
                <c:ptCount val="1"/>
                <c:pt idx="0">
                  <c:v>Mean</c:v>
                </c:pt>
              </c:strCache>
            </c:strRef>
          </c:tx>
          <c:spPr>
            <a:solidFill>
              <a:schemeClr val="accent5">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Sodium</c:v>
                </c:pt>
              </c:strCache>
            </c:strRef>
          </c:cat>
          <c:val>
            <c:numRef>
              <c:f>Sheet1!$R$2</c:f>
              <c:numCache>
                <c:formatCode>General</c:formatCode>
                <c:ptCount val="1"/>
                <c:pt idx="0">
                  <c:v>7.0000000000000007E-2</c:v>
                </c:pt>
              </c:numCache>
            </c:numRef>
          </c:val>
          <c:extLst>
            <c:ext xmlns:c16="http://schemas.microsoft.com/office/drawing/2014/chart" uri="{C3380CC4-5D6E-409C-BE32-E72D297353CC}">
              <c16:uniqueId val="{00000010-22E0-47B7-8B78-716C1711DA20}"/>
            </c:ext>
          </c:extLst>
        </c:ser>
        <c:dLbls>
          <c:showLegendKey val="0"/>
          <c:showVal val="0"/>
          <c:showCatName val="0"/>
          <c:showSerName val="0"/>
          <c:showPercent val="0"/>
          <c:showBubbleSize val="0"/>
        </c:dLbls>
        <c:gapWidth val="444"/>
        <c:overlap val="-90"/>
        <c:axId val="558351903"/>
        <c:axId val="1"/>
      </c:barChart>
      <c:catAx>
        <c:axId val="558351903"/>
        <c:scaling>
          <c:orientation val="minMax"/>
        </c:scaling>
        <c:delete val="0"/>
        <c:axPos val="b"/>
        <c:majorGridlines>
          <c:spPr>
            <a:ln w="9524"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4"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1"/>
        <c:axPos val="l"/>
        <c:title>
          <c:tx>
            <c:rich>
              <a:bodyPr/>
              <a:lstStyle/>
              <a:p>
                <a:pPr>
                  <a:defRPr sz="900" b="0" i="0" u="none" strike="noStrike" baseline="0">
                    <a:solidFill>
                      <a:srgbClr val="333333"/>
                    </a:solidFill>
                    <a:latin typeface="Calibri"/>
                    <a:ea typeface="Calibri"/>
                    <a:cs typeface="Calibri"/>
                  </a:defRPr>
                </a:pPr>
                <a:r>
                  <a:rPr lang="en-GB"/>
                  <a:t>CONCENTRATIONS</a:t>
                </a:r>
              </a:p>
            </c:rich>
          </c:tx>
          <c:overlay val="0"/>
          <c:spPr>
            <a:noFill/>
            <a:ln>
              <a:noFill/>
            </a:ln>
            <a:effectLst/>
          </c:spPr>
        </c:title>
        <c:numFmt formatCode="General" sourceLinked="1"/>
        <c:majorTickMark val="out"/>
        <c:minorTickMark val="none"/>
        <c:tickLblPos val="nextTo"/>
        <c:crossAx val="558351903"/>
        <c:crosses val="autoZero"/>
        <c:crossBetween val="between"/>
      </c:valAx>
      <c:spPr>
        <a:noFill/>
        <a:ln w="25397">
          <a:noFill/>
        </a:ln>
      </c:spPr>
    </c:plotArea>
    <c:legend>
      <c:legendPos val="t"/>
      <c:layout>
        <c:manualLayout>
          <c:xMode val="edge"/>
          <c:yMode val="edge"/>
          <c:x val="3.7136455504037602E-2"/>
          <c:y val="0.78846324442002891"/>
          <c:w val="0.94424574976908371"/>
          <c:h val="0.2106647134224501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a:noFill/>
    </a:ln>
    <a:effectLst/>
  </c:spPr>
  <c:txPr>
    <a:bodyPr/>
    <a:lstStyle/>
    <a:p>
      <a:pPr>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GB" cap="none" baseline="0"/>
              <a:t>Calcium</a:t>
            </a:r>
            <a:r>
              <a:rPr lang="en-GB" baseline="0"/>
              <a:t> </a:t>
            </a:r>
            <a:r>
              <a:rPr lang="en-GB" sz="1600" b="1" i="0" u="none" strike="noStrike" cap="none" normalizeH="0" baseline="0">
                <a:effectLst/>
              </a:rPr>
              <a:t>(mg/l)</a:t>
            </a:r>
            <a:endParaRPr lang="en-GB"/>
          </a:p>
        </c:rich>
      </c:tx>
      <c:layout>
        <c:manualLayout>
          <c:xMode val="edge"/>
          <c:yMode val="edge"/>
          <c:x val="0.36773391130986677"/>
          <c:y val="2.1621755613881598E-2"/>
        </c:manualLayout>
      </c:layout>
      <c:overlay val="0"/>
      <c:spPr>
        <a:noFill/>
        <a:ln>
          <a:noFill/>
        </a:ln>
        <a:effectLst/>
      </c:spPr>
    </c:title>
    <c:autoTitleDeleted val="0"/>
    <c:plotArea>
      <c:layout>
        <c:manualLayout>
          <c:layoutTarget val="inner"/>
          <c:xMode val="edge"/>
          <c:yMode val="edge"/>
          <c:x val="4.6296296296296294E-2"/>
          <c:y val="0.12611204849393823"/>
          <c:w val="0.94907407407407407"/>
          <c:h val="0.59706245882611286"/>
        </c:manualLayout>
      </c:layout>
      <c:barChart>
        <c:barDir val="col"/>
        <c:grouping val="clustered"/>
        <c:varyColors val="0"/>
        <c:ser>
          <c:idx val="0"/>
          <c:order val="0"/>
          <c:tx>
            <c:strRef>
              <c:f>Sheet1!$B$1</c:f>
              <c:strCache>
                <c:ptCount val="1"/>
                <c:pt idx="0">
                  <c:v>BH1</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Calcium</c:v>
                </c:pt>
              </c:strCache>
            </c:strRef>
          </c:cat>
          <c:val>
            <c:numRef>
              <c:f>Sheet1!$B$2</c:f>
              <c:numCache>
                <c:formatCode>General</c:formatCode>
                <c:ptCount val="1"/>
                <c:pt idx="0">
                  <c:v>0.221</c:v>
                </c:pt>
              </c:numCache>
            </c:numRef>
          </c:val>
          <c:extLst>
            <c:ext xmlns:c16="http://schemas.microsoft.com/office/drawing/2014/chart" uri="{C3380CC4-5D6E-409C-BE32-E72D297353CC}">
              <c16:uniqueId val="{00000000-972F-4064-8664-1CEF5DB067FB}"/>
            </c:ext>
          </c:extLst>
        </c:ser>
        <c:ser>
          <c:idx val="1"/>
          <c:order val="1"/>
          <c:tx>
            <c:strRef>
              <c:f>Sheet1!$C$1</c:f>
              <c:strCache>
                <c:ptCount val="1"/>
                <c:pt idx="0">
                  <c:v>BH2</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Calcium</c:v>
                </c:pt>
              </c:strCache>
            </c:strRef>
          </c:cat>
          <c:val>
            <c:numRef>
              <c:f>Sheet1!$C$2</c:f>
              <c:numCache>
                <c:formatCode>General</c:formatCode>
                <c:ptCount val="1"/>
                <c:pt idx="0">
                  <c:v>0.28499999999999998</c:v>
                </c:pt>
              </c:numCache>
            </c:numRef>
          </c:val>
          <c:extLst>
            <c:ext xmlns:c16="http://schemas.microsoft.com/office/drawing/2014/chart" uri="{C3380CC4-5D6E-409C-BE32-E72D297353CC}">
              <c16:uniqueId val="{00000001-972F-4064-8664-1CEF5DB067FB}"/>
            </c:ext>
          </c:extLst>
        </c:ser>
        <c:ser>
          <c:idx val="2"/>
          <c:order val="2"/>
          <c:tx>
            <c:strRef>
              <c:f>Sheet1!$D$1</c:f>
              <c:strCache>
                <c:ptCount val="1"/>
                <c:pt idx="0">
                  <c:v>BH3</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Calcium</c:v>
                </c:pt>
              </c:strCache>
            </c:strRef>
          </c:cat>
          <c:val>
            <c:numRef>
              <c:f>Sheet1!$D$2</c:f>
              <c:numCache>
                <c:formatCode>General</c:formatCode>
                <c:ptCount val="1"/>
                <c:pt idx="0">
                  <c:v>0.21099999999999999</c:v>
                </c:pt>
              </c:numCache>
            </c:numRef>
          </c:val>
          <c:extLst>
            <c:ext xmlns:c16="http://schemas.microsoft.com/office/drawing/2014/chart" uri="{C3380CC4-5D6E-409C-BE32-E72D297353CC}">
              <c16:uniqueId val="{00000002-972F-4064-8664-1CEF5DB067FB}"/>
            </c:ext>
          </c:extLst>
        </c:ser>
        <c:ser>
          <c:idx val="3"/>
          <c:order val="3"/>
          <c:tx>
            <c:strRef>
              <c:f>Sheet1!$E$1</c:f>
              <c:strCache>
                <c:ptCount val="1"/>
                <c:pt idx="0">
                  <c:v>BH4</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Calcium</c:v>
                </c:pt>
              </c:strCache>
            </c:strRef>
          </c:cat>
          <c:val>
            <c:numRef>
              <c:f>Sheet1!$E$2</c:f>
              <c:numCache>
                <c:formatCode>General</c:formatCode>
                <c:ptCount val="1"/>
                <c:pt idx="0">
                  <c:v>0.27900000000000003</c:v>
                </c:pt>
              </c:numCache>
            </c:numRef>
          </c:val>
          <c:extLst>
            <c:ext xmlns:c16="http://schemas.microsoft.com/office/drawing/2014/chart" uri="{C3380CC4-5D6E-409C-BE32-E72D297353CC}">
              <c16:uniqueId val="{00000003-972F-4064-8664-1CEF5DB067FB}"/>
            </c:ext>
          </c:extLst>
        </c:ser>
        <c:ser>
          <c:idx val="4"/>
          <c:order val="4"/>
          <c:tx>
            <c:strRef>
              <c:f>Sheet1!$F$1</c:f>
              <c:strCache>
                <c:ptCount val="1"/>
                <c:pt idx="0">
                  <c:v>BH5</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Calcium</c:v>
                </c:pt>
              </c:strCache>
            </c:strRef>
          </c:cat>
          <c:val>
            <c:numRef>
              <c:f>Sheet1!$F$2</c:f>
              <c:numCache>
                <c:formatCode>General</c:formatCode>
                <c:ptCount val="1"/>
                <c:pt idx="0">
                  <c:v>0.187</c:v>
                </c:pt>
              </c:numCache>
            </c:numRef>
          </c:val>
          <c:extLst>
            <c:ext xmlns:c16="http://schemas.microsoft.com/office/drawing/2014/chart" uri="{C3380CC4-5D6E-409C-BE32-E72D297353CC}">
              <c16:uniqueId val="{00000004-972F-4064-8664-1CEF5DB067FB}"/>
            </c:ext>
          </c:extLst>
        </c:ser>
        <c:ser>
          <c:idx val="5"/>
          <c:order val="5"/>
          <c:tx>
            <c:strRef>
              <c:f>Sheet1!$G$1</c:f>
              <c:strCache>
                <c:ptCount val="1"/>
                <c:pt idx="0">
                  <c:v>BH6</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Calcium</c:v>
                </c:pt>
              </c:strCache>
            </c:strRef>
          </c:cat>
          <c:val>
            <c:numRef>
              <c:f>Sheet1!$G$2</c:f>
              <c:numCache>
                <c:formatCode>General</c:formatCode>
                <c:ptCount val="1"/>
                <c:pt idx="0">
                  <c:v>0.192</c:v>
                </c:pt>
              </c:numCache>
            </c:numRef>
          </c:val>
          <c:extLst>
            <c:ext xmlns:c16="http://schemas.microsoft.com/office/drawing/2014/chart" uri="{C3380CC4-5D6E-409C-BE32-E72D297353CC}">
              <c16:uniqueId val="{00000005-972F-4064-8664-1CEF5DB067FB}"/>
            </c:ext>
          </c:extLst>
        </c:ser>
        <c:ser>
          <c:idx val="6"/>
          <c:order val="6"/>
          <c:tx>
            <c:strRef>
              <c:f>Sheet1!$H$1</c:f>
              <c:strCache>
                <c:ptCount val="1"/>
                <c:pt idx="0">
                  <c:v>BH7</c:v>
                </c:pt>
              </c:strCache>
            </c:strRef>
          </c:tx>
          <c:spPr>
            <a:solidFill>
              <a:schemeClr val="accent1">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Calcium</c:v>
                </c:pt>
              </c:strCache>
            </c:strRef>
          </c:cat>
          <c:val>
            <c:numRef>
              <c:f>Sheet1!$H$2</c:f>
              <c:numCache>
                <c:formatCode>General</c:formatCode>
                <c:ptCount val="1"/>
                <c:pt idx="0">
                  <c:v>0.20300000000000001</c:v>
                </c:pt>
              </c:numCache>
            </c:numRef>
          </c:val>
          <c:extLst>
            <c:ext xmlns:c16="http://schemas.microsoft.com/office/drawing/2014/chart" uri="{C3380CC4-5D6E-409C-BE32-E72D297353CC}">
              <c16:uniqueId val="{00000006-972F-4064-8664-1CEF5DB067FB}"/>
            </c:ext>
          </c:extLst>
        </c:ser>
        <c:ser>
          <c:idx val="7"/>
          <c:order val="7"/>
          <c:tx>
            <c:strRef>
              <c:f>Sheet1!$I$1</c:f>
              <c:strCache>
                <c:ptCount val="1"/>
                <c:pt idx="0">
                  <c:v>BH8</c:v>
                </c:pt>
              </c:strCache>
            </c:strRef>
          </c:tx>
          <c:spPr>
            <a:solidFill>
              <a:schemeClr val="accent2">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Calcium</c:v>
                </c:pt>
              </c:strCache>
            </c:strRef>
          </c:cat>
          <c:val>
            <c:numRef>
              <c:f>Sheet1!$I$2</c:f>
              <c:numCache>
                <c:formatCode>General</c:formatCode>
                <c:ptCount val="1"/>
                <c:pt idx="0">
                  <c:v>0.21099999999999999</c:v>
                </c:pt>
              </c:numCache>
            </c:numRef>
          </c:val>
          <c:extLst>
            <c:ext xmlns:c16="http://schemas.microsoft.com/office/drawing/2014/chart" uri="{C3380CC4-5D6E-409C-BE32-E72D297353CC}">
              <c16:uniqueId val="{00000007-972F-4064-8664-1CEF5DB067FB}"/>
            </c:ext>
          </c:extLst>
        </c:ser>
        <c:ser>
          <c:idx val="8"/>
          <c:order val="8"/>
          <c:tx>
            <c:strRef>
              <c:f>Sheet1!$J$1</c:f>
              <c:strCache>
                <c:ptCount val="1"/>
                <c:pt idx="0">
                  <c:v>BH9</c:v>
                </c:pt>
              </c:strCache>
            </c:strRef>
          </c:tx>
          <c:spPr>
            <a:solidFill>
              <a:schemeClr val="accent3">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Calcium</c:v>
                </c:pt>
              </c:strCache>
            </c:strRef>
          </c:cat>
          <c:val>
            <c:numRef>
              <c:f>Sheet1!$J$2</c:f>
              <c:numCache>
                <c:formatCode>General</c:formatCode>
                <c:ptCount val="1"/>
                <c:pt idx="0">
                  <c:v>4.8000000000000001E-2</c:v>
                </c:pt>
              </c:numCache>
            </c:numRef>
          </c:val>
          <c:extLst>
            <c:ext xmlns:c16="http://schemas.microsoft.com/office/drawing/2014/chart" uri="{C3380CC4-5D6E-409C-BE32-E72D297353CC}">
              <c16:uniqueId val="{00000008-972F-4064-8664-1CEF5DB067FB}"/>
            </c:ext>
          </c:extLst>
        </c:ser>
        <c:ser>
          <c:idx val="9"/>
          <c:order val="9"/>
          <c:tx>
            <c:strRef>
              <c:f>Sheet1!$K$1</c:f>
              <c:strCache>
                <c:ptCount val="1"/>
                <c:pt idx="0">
                  <c:v>BH10</c:v>
                </c:pt>
              </c:strCache>
            </c:strRef>
          </c:tx>
          <c:spPr>
            <a:solidFill>
              <a:schemeClr val="accent4">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Calcium</c:v>
                </c:pt>
              </c:strCache>
            </c:strRef>
          </c:cat>
          <c:val>
            <c:numRef>
              <c:f>Sheet1!$K$2</c:f>
              <c:numCache>
                <c:formatCode>General</c:formatCode>
                <c:ptCount val="1"/>
                <c:pt idx="0">
                  <c:v>7.5999999999999998E-2</c:v>
                </c:pt>
              </c:numCache>
            </c:numRef>
          </c:val>
          <c:extLst>
            <c:ext xmlns:c16="http://schemas.microsoft.com/office/drawing/2014/chart" uri="{C3380CC4-5D6E-409C-BE32-E72D297353CC}">
              <c16:uniqueId val="{00000009-972F-4064-8664-1CEF5DB067FB}"/>
            </c:ext>
          </c:extLst>
        </c:ser>
        <c:ser>
          <c:idx val="10"/>
          <c:order val="10"/>
          <c:tx>
            <c:strRef>
              <c:f>Sheet1!$L$1</c:f>
              <c:strCache>
                <c:ptCount val="1"/>
                <c:pt idx="0">
                  <c:v>BH11</c:v>
                </c:pt>
              </c:strCache>
            </c:strRef>
          </c:tx>
          <c:spPr>
            <a:solidFill>
              <a:schemeClr val="accent5">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Calcium</c:v>
                </c:pt>
              </c:strCache>
            </c:strRef>
          </c:cat>
          <c:val>
            <c:numRef>
              <c:f>Sheet1!$L$2</c:f>
              <c:numCache>
                <c:formatCode>General</c:formatCode>
                <c:ptCount val="1"/>
                <c:pt idx="0">
                  <c:v>6.0999999999999999E-2</c:v>
                </c:pt>
              </c:numCache>
            </c:numRef>
          </c:val>
          <c:extLst>
            <c:ext xmlns:c16="http://schemas.microsoft.com/office/drawing/2014/chart" uri="{C3380CC4-5D6E-409C-BE32-E72D297353CC}">
              <c16:uniqueId val="{0000000A-972F-4064-8664-1CEF5DB067FB}"/>
            </c:ext>
          </c:extLst>
        </c:ser>
        <c:ser>
          <c:idx val="11"/>
          <c:order val="11"/>
          <c:tx>
            <c:strRef>
              <c:f>Sheet1!$M$1</c:f>
              <c:strCache>
                <c:ptCount val="1"/>
                <c:pt idx="0">
                  <c:v>B12</c:v>
                </c:pt>
              </c:strCache>
            </c:strRef>
          </c:tx>
          <c:spPr>
            <a:solidFill>
              <a:schemeClr val="accent6">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Calcium</c:v>
                </c:pt>
              </c:strCache>
            </c:strRef>
          </c:cat>
          <c:val>
            <c:numRef>
              <c:f>Sheet1!$M$2</c:f>
              <c:numCache>
                <c:formatCode>General</c:formatCode>
                <c:ptCount val="1"/>
                <c:pt idx="0">
                  <c:v>5.1999999999999998E-2</c:v>
                </c:pt>
              </c:numCache>
            </c:numRef>
          </c:val>
          <c:extLst>
            <c:ext xmlns:c16="http://schemas.microsoft.com/office/drawing/2014/chart" uri="{C3380CC4-5D6E-409C-BE32-E72D297353CC}">
              <c16:uniqueId val="{0000000B-972F-4064-8664-1CEF5DB067FB}"/>
            </c:ext>
          </c:extLst>
        </c:ser>
        <c:ser>
          <c:idx val="12"/>
          <c:order val="12"/>
          <c:tx>
            <c:strRef>
              <c:f>Sheet1!$N$1</c:f>
              <c:strCache>
                <c:ptCount val="1"/>
                <c:pt idx="0">
                  <c:v>BH13</c:v>
                </c:pt>
              </c:strCache>
            </c:strRef>
          </c:tx>
          <c:spPr>
            <a:solidFill>
              <a:schemeClr val="accent1">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Calcium</c:v>
                </c:pt>
              </c:strCache>
            </c:strRef>
          </c:cat>
          <c:val>
            <c:numRef>
              <c:f>Sheet1!$N$2</c:f>
              <c:numCache>
                <c:formatCode>General</c:formatCode>
                <c:ptCount val="1"/>
                <c:pt idx="0">
                  <c:v>6.0999999999999999E-2</c:v>
                </c:pt>
              </c:numCache>
            </c:numRef>
          </c:val>
          <c:extLst>
            <c:ext xmlns:c16="http://schemas.microsoft.com/office/drawing/2014/chart" uri="{C3380CC4-5D6E-409C-BE32-E72D297353CC}">
              <c16:uniqueId val="{0000000C-972F-4064-8664-1CEF5DB067FB}"/>
            </c:ext>
          </c:extLst>
        </c:ser>
        <c:ser>
          <c:idx val="13"/>
          <c:order val="13"/>
          <c:tx>
            <c:strRef>
              <c:f>Sheet1!$O$1</c:f>
              <c:strCache>
                <c:ptCount val="1"/>
                <c:pt idx="0">
                  <c:v>BH14</c:v>
                </c:pt>
              </c:strCache>
            </c:strRef>
          </c:tx>
          <c:spPr>
            <a:solidFill>
              <a:schemeClr val="accent2">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Calcium</c:v>
                </c:pt>
              </c:strCache>
            </c:strRef>
          </c:cat>
          <c:val>
            <c:numRef>
              <c:f>Sheet1!$O$2</c:f>
              <c:numCache>
                <c:formatCode>General</c:formatCode>
                <c:ptCount val="1"/>
                <c:pt idx="0">
                  <c:v>8.2000000000000003E-2</c:v>
                </c:pt>
              </c:numCache>
            </c:numRef>
          </c:val>
          <c:extLst>
            <c:ext xmlns:c16="http://schemas.microsoft.com/office/drawing/2014/chart" uri="{C3380CC4-5D6E-409C-BE32-E72D297353CC}">
              <c16:uniqueId val="{0000000D-972F-4064-8664-1CEF5DB067FB}"/>
            </c:ext>
          </c:extLst>
        </c:ser>
        <c:ser>
          <c:idx val="14"/>
          <c:order val="14"/>
          <c:tx>
            <c:strRef>
              <c:f>Sheet1!$P$1</c:f>
              <c:strCache>
                <c:ptCount val="1"/>
                <c:pt idx="0">
                  <c:v>BH15</c:v>
                </c:pt>
              </c:strCache>
            </c:strRef>
          </c:tx>
          <c:spPr>
            <a:solidFill>
              <a:schemeClr val="accent3">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Calcium</c:v>
                </c:pt>
              </c:strCache>
            </c:strRef>
          </c:cat>
          <c:val>
            <c:numRef>
              <c:f>Sheet1!$P$2</c:f>
              <c:numCache>
                <c:formatCode>General</c:formatCode>
                <c:ptCount val="1"/>
                <c:pt idx="0">
                  <c:v>7.6999999999999999E-2</c:v>
                </c:pt>
              </c:numCache>
            </c:numRef>
          </c:val>
          <c:extLst>
            <c:ext xmlns:c16="http://schemas.microsoft.com/office/drawing/2014/chart" uri="{C3380CC4-5D6E-409C-BE32-E72D297353CC}">
              <c16:uniqueId val="{0000000E-972F-4064-8664-1CEF5DB067FB}"/>
            </c:ext>
          </c:extLst>
        </c:ser>
        <c:ser>
          <c:idx val="15"/>
          <c:order val="15"/>
          <c:tx>
            <c:strRef>
              <c:f>Sheet1!$Q$1</c:f>
              <c:strCache>
                <c:ptCount val="1"/>
                <c:pt idx="0">
                  <c:v>CON</c:v>
                </c:pt>
              </c:strCache>
            </c:strRef>
          </c:tx>
          <c:spPr>
            <a:solidFill>
              <a:schemeClr val="accent4">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Calcium</c:v>
                </c:pt>
              </c:strCache>
            </c:strRef>
          </c:cat>
          <c:val>
            <c:numRef>
              <c:f>Sheet1!$Q$2</c:f>
              <c:numCache>
                <c:formatCode>General</c:formatCode>
                <c:ptCount val="1"/>
                <c:pt idx="0">
                  <c:v>8.1000000000000003E-2</c:v>
                </c:pt>
              </c:numCache>
            </c:numRef>
          </c:val>
          <c:extLst>
            <c:ext xmlns:c16="http://schemas.microsoft.com/office/drawing/2014/chart" uri="{C3380CC4-5D6E-409C-BE32-E72D297353CC}">
              <c16:uniqueId val="{0000000F-972F-4064-8664-1CEF5DB067FB}"/>
            </c:ext>
          </c:extLst>
        </c:ser>
        <c:ser>
          <c:idx val="16"/>
          <c:order val="16"/>
          <c:tx>
            <c:strRef>
              <c:f>Sheet1!$R$1</c:f>
              <c:strCache>
                <c:ptCount val="1"/>
                <c:pt idx="0">
                  <c:v>Mean</c:v>
                </c:pt>
              </c:strCache>
            </c:strRef>
          </c:tx>
          <c:spPr>
            <a:solidFill>
              <a:schemeClr val="accent5">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Calcium</c:v>
                </c:pt>
              </c:strCache>
            </c:strRef>
          </c:cat>
          <c:val>
            <c:numRef>
              <c:f>Sheet1!$R$2</c:f>
              <c:numCache>
                <c:formatCode>General</c:formatCode>
                <c:ptCount val="1"/>
                <c:pt idx="0">
                  <c:v>0.15</c:v>
                </c:pt>
              </c:numCache>
            </c:numRef>
          </c:val>
          <c:extLst>
            <c:ext xmlns:c16="http://schemas.microsoft.com/office/drawing/2014/chart" uri="{C3380CC4-5D6E-409C-BE32-E72D297353CC}">
              <c16:uniqueId val="{00000010-972F-4064-8664-1CEF5DB067FB}"/>
            </c:ext>
          </c:extLst>
        </c:ser>
        <c:dLbls>
          <c:showLegendKey val="0"/>
          <c:showVal val="0"/>
          <c:showCatName val="0"/>
          <c:showSerName val="0"/>
          <c:showPercent val="0"/>
          <c:showBubbleSize val="0"/>
        </c:dLbls>
        <c:gapWidth val="444"/>
        <c:overlap val="-90"/>
        <c:axId val="558347103"/>
        <c:axId val="1"/>
      </c:barChart>
      <c:catAx>
        <c:axId val="558347103"/>
        <c:scaling>
          <c:orientation val="minMax"/>
        </c:scaling>
        <c:delete val="0"/>
        <c:axPos val="b"/>
        <c:majorGridlines>
          <c:spPr>
            <a:ln w="9524"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4"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1"/>
        <c:axPos val="l"/>
        <c:title>
          <c:tx>
            <c:rich>
              <a:bodyPr/>
              <a:lstStyle/>
              <a:p>
                <a:pPr>
                  <a:defRPr sz="900" b="0" i="0" u="none" strike="noStrike" baseline="0">
                    <a:solidFill>
                      <a:srgbClr val="333333"/>
                    </a:solidFill>
                    <a:latin typeface="Calibri"/>
                    <a:ea typeface="Calibri"/>
                    <a:cs typeface="Calibri"/>
                  </a:defRPr>
                </a:pPr>
                <a:r>
                  <a:rPr lang="en-GB"/>
                  <a:t>CONCENTRATIONS</a:t>
                </a:r>
              </a:p>
            </c:rich>
          </c:tx>
          <c:overlay val="0"/>
          <c:spPr>
            <a:noFill/>
            <a:ln>
              <a:noFill/>
            </a:ln>
            <a:effectLst/>
          </c:spPr>
        </c:title>
        <c:numFmt formatCode="General" sourceLinked="1"/>
        <c:majorTickMark val="out"/>
        <c:minorTickMark val="none"/>
        <c:tickLblPos val="nextTo"/>
        <c:crossAx val="558347103"/>
        <c:crosses val="autoZero"/>
        <c:crossBetween val="between"/>
      </c:valAx>
      <c:spPr>
        <a:noFill/>
        <a:ln w="25397">
          <a:noFill/>
        </a:ln>
      </c:spPr>
    </c:plotArea>
    <c:legend>
      <c:legendPos val="t"/>
      <c:layout>
        <c:manualLayout>
          <c:xMode val="edge"/>
          <c:yMode val="edge"/>
          <c:x val="3.7136455504037602E-2"/>
          <c:y val="0.80265774997303418"/>
          <c:w val="0.94424574976908371"/>
          <c:h val="0.1964703555891129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a:noFill/>
    </a:ln>
    <a:effectLst/>
  </c:spPr>
  <c:txPr>
    <a:bodyPr/>
    <a:lstStyle/>
    <a:p>
      <a:pPr>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GB" cap="none" baseline="0"/>
              <a:t>Magnesium</a:t>
            </a:r>
            <a:r>
              <a:rPr lang="en-GB" baseline="0"/>
              <a:t> </a:t>
            </a:r>
            <a:r>
              <a:rPr lang="en-GB" sz="1600" b="1" i="0" u="none" strike="noStrike" cap="none" normalizeH="0" baseline="0">
                <a:effectLst/>
              </a:rPr>
              <a:t>(mg/l)</a:t>
            </a:r>
            <a:endParaRPr lang="en-GB"/>
          </a:p>
        </c:rich>
      </c:tx>
      <c:layout>
        <c:manualLayout>
          <c:xMode val="edge"/>
          <c:yMode val="edge"/>
          <c:x val="0.36773391130986677"/>
          <c:y val="2.1621755613881598E-2"/>
        </c:manualLayout>
      </c:layout>
      <c:overlay val="0"/>
      <c:spPr>
        <a:noFill/>
        <a:ln>
          <a:noFill/>
        </a:ln>
        <a:effectLst/>
      </c:spPr>
    </c:title>
    <c:autoTitleDeleted val="0"/>
    <c:plotArea>
      <c:layout>
        <c:manualLayout>
          <c:layoutTarget val="inner"/>
          <c:xMode val="edge"/>
          <c:yMode val="edge"/>
          <c:x val="4.6296296296296294E-2"/>
          <c:y val="0.12611204849393823"/>
          <c:w val="0.94907407407407407"/>
          <c:h val="0.58848828107012929"/>
        </c:manualLayout>
      </c:layout>
      <c:barChart>
        <c:barDir val="col"/>
        <c:grouping val="clustered"/>
        <c:varyColors val="0"/>
        <c:ser>
          <c:idx val="0"/>
          <c:order val="0"/>
          <c:tx>
            <c:strRef>
              <c:f>Sheet1!$B$1</c:f>
              <c:strCache>
                <c:ptCount val="1"/>
                <c:pt idx="0">
                  <c:v>BH1</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Magnesium</c:v>
                </c:pt>
              </c:strCache>
            </c:strRef>
          </c:cat>
          <c:val>
            <c:numRef>
              <c:f>Sheet1!$B$2</c:f>
              <c:numCache>
                <c:formatCode>General</c:formatCode>
                <c:ptCount val="1"/>
                <c:pt idx="0">
                  <c:v>1.2999999999999999E-2</c:v>
                </c:pt>
              </c:numCache>
            </c:numRef>
          </c:val>
          <c:extLst>
            <c:ext xmlns:c16="http://schemas.microsoft.com/office/drawing/2014/chart" uri="{C3380CC4-5D6E-409C-BE32-E72D297353CC}">
              <c16:uniqueId val="{00000000-6317-407C-9960-61CABF8777C7}"/>
            </c:ext>
          </c:extLst>
        </c:ser>
        <c:ser>
          <c:idx val="1"/>
          <c:order val="1"/>
          <c:tx>
            <c:strRef>
              <c:f>Sheet1!$C$1</c:f>
              <c:strCache>
                <c:ptCount val="1"/>
                <c:pt idx="0">
                  <c:v>BH2</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Magnesium</c:v>
                </c:pt>
              </c:strCache>
            </c:strRef>
          </c:cat>
          <c:val>
            <c:numRef>
              <c:f>Sheet1!$C$2</c:f>
              <c:numCache>
                <c:formatCode>General</c:formatCode>
                <c:ptCount val="1"/>
                <c:pt idx="0">
                  <c:v>2.7E-2</c:v>
                </c:pt>
              </c:numCache>
            </c:numRef>
          </c:val>
          <c:extLst>
            <c:ext xmlns:c16="http://schemas.microsoft.com/office/drawing/2014/chart" uri="{C3380CC4-5D6E-409C-BE32-E72D297353CC}">
              <c16:uniqueId val="{00000001-6317-407C-9960-61CABF8777C7}"/>
            </c:ext>
          </c:extLst>
        </c:ser>
        <c:ser>
          <c:idx val="2"/>
          <c:order val="2"/>
          <c:tx>
            <c:strRef>
              <c:f>Sheet1!$D$1</c:f>
              <c:strCache>
                <c:ptCount val="1"/>
                <c:pt idx="0">
                  <c:v>BH3</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Magnesium</c:v>
                </c:pt>
              </c:strCache>
            </c:strRef>
          </c:cat>
          <c:val>
            <c:numRef>
              <c:f>Sheet1!$D$2</c:f>
              <c:numCache>
                <c:formatCode>General</c:formatCode>
                <c:ptCount val="1"/>
                <c:pt idx="0">
                  <c:v>3.1E-2</c:v>
                </c:pt>
              </c:numCache>
            </c:numRef>
          </c:val>
          <c:extLst>
            <c:ext xmlns:c16="http://schemas.microsoft.com/office/drawing/2014/chart" uri="{C3380CC4-5D6E-409C-BE32-E72D297353CC}">
              <c16:uniqueId val="{00000002-6317-407C-9960-61CABF8777C7}"/>
            </c:ext>
          </c:extLst>
        </c:ser>
        <c:ser>
          <c:idx val="3"/>
          <c:order val="3"/>
          <c:tx>
            <c:strRef>
              <c:f>Sheet1!$E$1</c:f>
              <c:strCache>
                <c:ptCount val="1"/>
                <c:pt idx="0">
                  <c:v>BH4</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Magnesium</c:v>
                </c:pt>
              </c:strCache>
            </c:strRef>
          </c:cat>
          <c:val>
            <c:numRef>
              <c:f>Sheet1!$E$2</c:f>
              <c:numCache>
                <c:formatCode>General</c:formatCode>
                <c:ptCount val="1"/>
                <c:pt idx="0">
                  <c:v>1.2E-2</c:v>
                </c:pt>
              </c:numCache>
            </c:numRef>
          </c:val>
          <c:extLst>
            <c:ext xmlns:c16="http://schemas.microsoft.com/office/drawing/2014/chart" uri="{C3380CC4-5D6E-409C-BE32-E72D297353CC}">
              <c16:uniqueId val="{00000003-6317-407C-9960-61CABF8777C7}"/>
            </c:ext>
          </c:extLst>
        </c:ser>
        <c:ser>
          <c:idx val="4"/>
          <c:order val="4"/>
          <c:tx>
            <c:strRef>
              <c:f>Sheet1!$F$1</c:f>
              <c:strCache>
                <c:ptCount val="1"/>
                <c:pt idx="0">
                  <c:v>BH5</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Magnesium</c:v>
                </c:pt>
              </c:strCache>
            </c:strRef>
          </c:cat>
          <c:val>
            <c:numRef>
              <c:f>Sheet1!$F$2</c:f>
              <c:numCache>
                <c:formatCode>General</c:formatCode>
                <c:ptCount val="1"/>
                <c:pt idx="0">
                  <c:v>3.4000000000000002E-2</c:v>
                </c:pt>
              </c:numCache>
            </c:numRef>
          </c:val>
          <c:extLst>
            <c:ext xmlns:c16="http://schemas.microsoft.com/office/drawing/2014/chart" uri="{C3380CC4-5D6E-409C-BE32-E72D297353CC}">
              <c16:uniqueId val="{00000004-6317-407C-9960-61CABF8777C7}"/>
            </c:ext>
          </c:extLst>
        </c:ser>
        <c:ser>
          <c:idx val="5"/>
          <c:order val="5"/>
          <c:tx>
            <c:strRef>
              <c:f>Sheet1!$G$1</c:f>
              <c:strCache>
                <c:ptCount val="1"/>
                <c:pt idx="0">
                  <c:v>BH6</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Magnesium</c:v>
                </c:pt>
              </c:strCache>
            </c:strRef>
          </c:cat>
          <c:val>
            <c:numRef>
              <c:f>Sheet1!$G$2</c:f>
              <c:numCache>
                <c:formatCode>General</c:formatCode>
                <c:ptCount val="1"/>
                <c:pt idx="0">
                  <c:v>4.1000000000000002E-2</c:v>
                </c:pt>
              </c:numCache>
            </c:numRef>
          </c:val>
          <c:extLst>
            <c:ext xmlns:c16="http://schemas.microsoft.com/office/drawing/2014/chart" uri="{C3380CC4-5D6E-409C-BE32-E72D297353CC}">
              <c16:uniqueId val="{00000005-6317-407C-9960-61CABF8777C7}"/>
            </c:ext>
          </c:extLst>
        </c:ser>
        <c:ser>
          <c:idx val="6"/>
          <c:order val="6"/>
          <c:tx>
            <c:strRef>
              <c:f>Sheet1!$H$1</c:f>
              <c:strCache>
                <c:ptCount val="1"/>
                <c:pt idx="0">
                  <c:v>BH7</c:v>
                </c:pt>
              </c:strCache>
            </c:strRef>
          </c:tx>
          <c:spPr>
            <a:solidFill>
              <a:schemeClr val="accent1">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Magnesium</c:v>
                </c:pt>
              </c:strCache>
            </c:strRef>
          </c:cat>
          <c:val>
            <c:numRef>
              <c:f>Sheet1!$H$2</c:f>
              <c:numCache>
                <c:formatCode>General</c:formatCode>
                <c:ptCount val="1"/>
                <c:pt idx="0">
                  <c:v>3.7999999999999999E-2</c:v>
                </c:pt>
              </c:numCache>
            </c:numRef>
          </c:val>
          <c:extLst>
            <c:ext xmlns:c16="http://schemas.microsoft.com/office/drawing/2014/chart" uri="{C3380CC4-5D6E-409C-BE32-E72D297353CC}">
              <c16:uniqueId val="{00000006-6317-407C-9960-61CABF8777C7}"/>
            </c:ext>
          </c:extLst>
        </c:ser>
        <c:ser>
          <c:idx val="7"/>
          <c:order val="7"/>
          <c:tx>
            <c:strRef>
              <c:f>Sheet1!$I$1</c:f>
              <c:strCache>
                <c:ptCount val="1"/>
                <c:pt idx="0">
                  <c:v>BH8</c:v>
                </c:pt>
              </c:strCache>
            </c:strRef>
          </c:tx>
          <c:spPr>
            <a:solidFill>
              <a:schemeClr val="accent2">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Magnesium</c:v>
                </c:pt>
              </c:strCache>
            </c:strRef>
          </c:cat>
          <c:val>
            <c:numRef>
              <c:f>Sheet1!$I$2</c:f>
              <c:numCache>
                <c:formatCode>General</c:formatCode>
                <c:ptCount val="1"/>
                <c:pt idx="0">
                  <c:v>2.5999999999999999E-2</c:v>
                </c:pt>
              </c:numCache>
            </c:numRef>
          </c:val>
          <c:extLst>
            <c:ext xmlns:c16="http://schemas.microsoft.com/office/drawing/2014/chart" uri="{C3380CC4-5D6E-409C-BE32-E72D297353CC}">
              <c16:uniqueId val="{00000007-6317-407C-9960-61CABF8777C7}"/>
            </c:ext>
          </c:extLst>
        </c:ser>
        <c:ser>
          <c:idx val="8"/>
          <c:order val="8"/>
          <c:tx>
            <c:strRef>
              <c:f>Sheet1!$J$1</c:f>
              <c:strCache>
                <c:ptCount val="1"/>
                <c:pt idx="0">
                  <c:v>BH9</c:v>
                </c:pt>
              </c:strCache>
            </c:strRef>
          </c:tx>
          <c:spPr>
            <a:solidFill>
              <a:schemeClr val="accent3">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Magnesium</c:v>
                </c:pt>
              </c:strCache>
            </c:strRef>
          </c:cat>
          <c:val>
            <c:numRef>
              <c:f>Sheet1!$J$2</c:f>
              <c:numCache>
                <c:formatCode>General</c:formatCode>
                <c:ptCount val="1"/>
                <c:pt idx="0">
                  <c:v>1.2E-2</c:v>
                </c:pt>
              </c:numCache>
            </c:numRef>
          </c:val>
          <c:extLst>
            <c:ext xmlns:c16="http://schemas.microsoft.com/office/drawing/2014/chart" uri="{C3380CC4-5D6E-409C-BE32-E72D297353CC}">
              <c16:uniqueId val="{00000008-6317-407C-9960-61CABF8777C7}"/>
            </c:ext>
          </c:extLst>
        </c:ser>
        <c:ser>
          <c:idx val="9"/>
          <c:order val="9"/>
          <c:tx>
            <c:strRef>
              <c:f>Sheet1!$K$1</c:f>
              <c:strCache>
                <c:ptCount val="1"/>
                <c:pt idx="0">
                  <c:v>BH10</c:v>
                </c:pt>
              </c:strCache>
            </c:strRef>
          </c:tx>
          <c:spPr>
            <a:solidFill>
              <a:schemeClr val="accent4">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Magnesium</c:v>
                </c:pt>
              </c:strCache>
            </c:strRef>
          </c:cat>
          <c:val>
            <c:numRef>
              <c:f>Sheet1!$K$2</c:f>
              <c:numCache>
                <c:formatCode>General</c:formatCode>
                <c:ptCount val="1"/>
                <c:pt idx="0">
                  <c:v>2.7E-2</c:v>
                </c:pt>
              </c:numCache>
            </c:numRef>
          </c:val>
          <c:extLst>
            <c:ext xmlns:c16="http://schemas.microsoft.com/office/drawing/2014/chart" uri="{C3380CC4-5D6E-409C-BE32-E72D297353CC}">
              <c16:uniqueId val="{00000009-6317-407C-9960-61CABF8777C7}"/>
            </c:ext>
          </c:extLst>
        </c:ser>
        <c:ser>
          <c:idx val="10"/>
          <c:order val="10"/>
          <c:tx>
            <c:strRef>
              <c:f>Sheet1!$L$1</c:f>
              <c:strCache>
                <c:ptCount val="1"/>
                <c:pt idx="0">
                  <c:v>BH11</c:v>
                </c:pt>
              </c:strCache>
            </c:strRef>
          </c:tx>
          <c:spPr>
            <a:solidFill>
              <a:schemeClr val="accent5">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Magnesium</c:v>
                </c:pt>
              </c:strCache>
            </c:strRef>
          </c:cat>
          <c:val>
            <c:numRef>
              <c:f>Sheet1!$L$2</c:f>
              <c:numCache>
                <c:formatCode>General</c:formatCode>
                <c:ptCount val="1"/>
                <c:pt idx="0">
                  <c:v>3.3000000000000002E-2</c:v>
                </c:pt>
              </c:numCache>
            </c:numRef>
          </c:val>
          <c:extLst>
            <c:ext xmlns:c16="http://schemas.microsoft.com/office/drawing/2014/chart" uri="{C3380CC4-5D6E-409C-BE32-E72D297353CC}">
              <c16:uniqueId val="{0000000A-6317-407C-9960-61CABF8777C7}"/>
            </c:ext>
          </c:extLst>
        </c:ser>
        <c:ser>
          <c:idx val="11"/>
          <c:order val="11"/>
          <c:tx>
            <c:strRef>
              <c:f>Sheet1!$M$1</c:f>
              <c:strCache>
                <c:ptCount val="1"/>
                <c:pt idx="0">
                  <c:v>B12</c:v>
                </c:pt>
              </c:strCache>
            </c:strRef>
          </c:tx>
          <c:spPr>
            <a:solidFill>
              <a:schemeClr val="accent6">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Magnesium</c:v>
                </c:pt>
              </c:strCache>
            </c:strRef>
          </c:cat>
          <c:val>
            <c:numRef>
              <c:f>Sheet1!$M$2</c:f>
              <c:numCache>
                <c:formatCode>General</c:formatCode>
                <c:ptCount val="1"/>
                <c:pt idx="0">
                  <c:v>1.2E-2</c:v>
                </c:pt>
              </c:numCache>
            </c:numRef>
          </c:val>
          <c:extLst>
            <c:ext xmlns:c16="http://schemas.microsoft.com/office/drawing/2014/chart" uri="{C3380CC4-5D6E-409C-BE32-E72D297353CC}">
              <c16:uniqueId val="{0000000B-6317-407C-9960-61CABF8777C7}"/>
            </c:ext>
          </c:extLst>
        </c:ser>
        <c:ser>
          <c:idx val="12"/>
          <c:order val="12"/>
          <c:tx>
            <c:strRef>
              <c:f>Sheet1!$N$1</c:f>
              <c:strCache>
                <c:ptCount val="1"/>
                <c:pt idx="0">
                  <c:v>BH13</c:v>
                </c:pt>
              </c:strCache>
            </c:strRef>
          </c:tx>
          <c:spPr>
            <a:solidFill>
              <a:schemeClr val="accent1">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Magnesium</c:v>
                </c:pt>
              </c:strCache>
            </c:strRef>
          </c:cat>
          <c:val>
            <c:numRef>
              <c:f>Sheet1!$N$2</c:f>
              <c:numCache>
                <c:formatCode>General</c:formatCode>
                <c:ptCount val="1"/>
                <c:pt idx="0">
                  <c:v>1.7999999999999999E-2</c:v>
                </c:pt>
              </c:numCache>
            </c:numRef>
          </c:val>
          <c:extLst>
            <c:ext xmlns:c16="http://schemas.microsoft.com/office/drawing/2014/chart" uri="{C3380CC4-5D6E-409C-BE32-E72D297353CC}">
              <c16:uniqueId val="{0000000C-6317-407C-9960-61CABF8777C7}"/>
            </c:ext>
          </c:extLst>
        </c:ser>
        <c:ser>
          <c:idx val="13"/>
          <c:order val="13"/>
          <c:tx>
            <c:strRef>
              <c:f>Sheet1!$O$1</c:f>
              <c:strCache>
                <c:ptCount val="1"/>
                <c:pt idx="0">
                  <c:v>BH14</c:v>
                </c:pt>
              </c:strCache>
            </c:strRef>
          </c:tx>
          <c:spPr>
            <a:solidFill>
              <a:schemeClr val="accent2">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Magnesium</c:v>
                </c:pt>
              </c:strCache>
            </c:strRef>
          </c:cat>
          <c:val>
            <c:numRef>
              <c:f>Sheet1!$O$2</c:f>
              <c:numCache>
                <c:formatCode>General</c:formatCode>
                <c:ptCount val="1"/>
                <c:pt idx="0">
                  <c:v>3.2000000000000001E-2</c:v>
                </c:pt>
              </c:numCache>
            </c:numRef>
          </c:val>
          <c:extLst>
            <c:ext xmlns:c16="http://schemas.microsoft.com/office/drawing/2014/chart" uri="{C3380CC4-5D6E-409C-BE32-E72D297353CC}">
              <c16:uniqueId val="{0000000D-6317-407C-9960-61CABF8777C7}"/>
            </c:ext>
          </c:extLst>
        </c:ser>
        <c:ser>
          <c:idx val="14"/>
          <c:order val="14"/>
          <c:tx>
            <c:strRef>
              <c:f>Sheet1!$P$1</c:f>
              <c:strCache>
                <c:ptCount val="1"/>
                <c:pt idx="0">
                  <c:v>BH15</c:v>
                </c:pt>
              </c:strCache>
            </c:strRef>
          </c:tx>
          <c:spPr>
            <a:solidFill>
              <a:schemeClr val="accent3">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Magnesium</c:v>
                </c:pt>
              </c:strCache>
            </c:strRef>
          </c:cat>
          <c:val>
            <c:numRef>
              <c:f>Sheet1!$P$2</c:f>
              <c:numCache>
                <c:formatCode>General</c:formatCode>
                <c:ptCount val="1"/>
                <c:pt idx="0">
                  <c:v>3.9E-2</c:v>
                </c:pt>
              </c:numCache>
            </c:numRef>
          </c:val>
          <c:extLst>
            <c:ext xmlns:c16="http://schemas.microsoft.com/office/drawing/2014/chart" uri="{C3380CC4-5D6E-409C-BE32-E72D297353CC}">
              <c16:uniqueId val="{0000000E-6317-407C-9960-61CABF8777C7}"/>
            </c:ext>
          </c:extLst>
        </c:ser>
        <c:ser>
          <c:idx val="15"/>
          <c:order val="15"/>
          <c:tx>
            <c:strRef>
              <c:f>Sheet1!$Q$1</c:f>
              <c:strCache>
                <c:ptCount val="1"/>
                <c:pt idx="0">
                  <c:v>CON</c:v>
                </c:pt>
              </c:strCache>
            </c:strRef>
          </c:tx>
          <c:spPr>
            <a:solidFill>
              <a:schemeClr val="accent4">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Magnesium</c:v>
                </c:pt>
              </c:strCache>
            </c:strRef>
          </c:cat>
          <c:val>
            <c:numRef>
              <c:f>Sheet1!$Q$2</c:f>
              <c:numCache>
                <c:formatCode>General</c:formatCode>
                <c:ptCount val="1"/>
                <c:pt idx="0">
                  <c:v>2.7E-2</c:v>
                </c:pt>
              </c:numCache>
            </c:numRef>
          </c:val>
          <c:extLst>
            <c:ext xmlns:c16="http://schemas.microsoft.com/office/drawing/2014/chart" uri="{C3380CC4-5D6E-409C-BE32-E72D297353CC}">
              <c16:uniqueId val="{0000000F-6317-407C-9960-61CABF8777C7}"/>
            </c:ext>
          </c:extLst>
        </c:ser>
        <c:ser>
          <c:idx val="16"/>
          <c:order val="16"/>
          <c:tx>
            <c:strRef>
              <c:f>Sheet1!$R$1</c:f>
              <c:strCache>
                <c:ptCount val="1"/>
                <c:pt idx="0">
                  <c:v>Mean</c:v>
                </c:pt>
              </c:strCache>
            </c:strRef>
          </c:tx>
          <c:spPr>
            <a:solidFill>
              <a:schemeClr val="accent5">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Magnesium</c:v>
                </c:pt>
              </c:strCache>
            </c:strRef>
          </c:cat>
          <c:val>
            <c:numRef>
              <c:f>Sheet1!$R$2</c:f>
              <c:numCache>
                <c:formatCode>General</c:formatCode>
                <c:ptCount val="1"/>
                <c:pt idx="0">
                  <c:v>0.02</c:v>
                </c:pt>
              </c:numCache>
            </c:numRef>
          </c:val>
          <c:extLst>
            <c:ext xmlns:c16="http://schemas.microsoft.com/office/drawing/2014/chart" uri="{C3380CC4-5D6E-409C-BE32-E72D297353CC}">
              <c16:uniqueId val="{00000010-6317-407C-9960-61CABF8777C7}"/>
            </c:ext>
          </c:extLst>
        </c:ser>
        <c:dLbls>
          <c:showLegendKey val="0"/>
          <c:showVal val="0"/>
          <c:showCatName val="0"/>
          <c:showSerName val="0"/>
          <c:showPercent val="0"/>
          <c:showBubbleSize val="0"/>
        </c:dLbls>
        <c:gapWidth val="444"/>
        <c:overlap val="-90"/>
        <c:axId val="558701103"/>
        <c:axId val="1"/>
      </c:barChart>
      <c:catAx>
        <c:axId val="558701103"/>
        <c:scaling>
          <c:orientation val="minMax"/>
        </c:scaling>
        <c:delete val="0"/>
        <c:axPos val="b"/>
        <c:majorGridlines>
          <c:spPr>
            <a:ln w="9524"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4"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1"/>
        <c:axPos val="l"/>
        <c:title>
          <c:tx>
            <c:rich>
              <a:bodyPr/>
              <a:lstStyle/>
              <a:p>
                <a:pPr>
                  <a:defRPr sz="900" b="0" i="0" u="none" strike="noStrike" baseline="0">
                    <a:solidFill>
                      <a:srgbClr val="333333"/>
                    </a:solidFill>
                    <a:latin typeface="Calibri"/>
                    <a:ea typeface="Calibri"/>
                    <a:cs typeface="Calibri"/>
                  </a:defRPr>
                </a:pPr>
                <a:r>
                  <a:rPr lang="en-GB"/>
                  <a:t>CONCENTRATIONS</a:t>
                </a:r>
              </a:p>
            </c:rich>
          </c:tx>
          <c:overlay val="0"/>
          <c:spPr>
            <a:noFill/>
            <a:ln>
              <a:noFill/>
            </a:ln>
            <a:effectLst/>
          </c:spPr>
        </c:title>
        <c:numFmt formatCode="General" sourceLinked="1"/>
        <c:majorTickMark val="out"/>
        <c:minorTickMark val="none"/>
        <c:tickLblPos val="nextTo"/>
        <c:crossAx val="558701103"/>
        <c:crosses val="autoZero"/>
        <c:crossBetween val="between"/>
      </c:valAx>
      <c:spPr>
        <a:noFill/>
        <a:ln w="25397">
          <a:noFill/>
        </a:ln>
      </c:spPr>
    </c:plotArea>
    <c:legend>
      <c:legendPos val="t"/>
      <c:layout>
        <c:manualLayout>
          <c:xMode val="edge"/>
          <c:yMode val="edge"/>
          <c:x val="3.7136455504037602E-2"/>
          <c:y val="0.79161873186904264"/>
          <c:w val="0.94424574976908371"/>
          <c:h val="0.207509324492333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a:noFill/>
    </a:ln>
    <a:effectLst/>
  </c:spPr>
  <c:txPr>
    <a:bodyPr/>
    <a:lstStyle/>
    <a:p>
      <a:pPr>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GB" cap="none" baseline="0"/>
              <a:t>Copper</a:t>
            </a:r>
            <a:r>
              <a:rPr lang="en-GB" baseline="0"/>
              <a:t> </a:t>
            </a:r>
            <a:r>
              <a:rPr lang="en-GB" sz="1600" b="1" i="0" u="none" strike="noStrike" cap="none" normalizeH="0" baseline="0">
                <a:effectLst/>
              </a:rPr>
              <a:t>(mg/l)</a:t>
            </a:r>
            <a:endParaRPr lang="en-GB"/>
          </a:p>
        </c:rich>
      </c:tx>
      <c:layout>
        <c:manualLayout>
          <c:xMode val="edge"/>
          <c:yMode val="edge"/>
          <c:x val="0.36773391130986677"/>
          <c:y val="2.1621755613881598E-2"/>
        </c:manualLayout>
      </c:layout>
      <c:overlay val="0"/>
      <c:spPr>
        <a:noFill/>
        <a:ln>
          <a:noFill/>
        </a:ln>
        <a:effectLst/>
      </c:spPr>
    </c:title>
    <c:autoTitleDeleted val="0"/>
    <c:plotArea>
      <c:layout>
        <c:manualLayout>
          <c:layoutTarget val="inner"/>
          <c:xMode val="edge"/>
          <c:yMode val="edge"/>
          <c:x val="4.6296296296296294E-2"/>
          <c:y val="0.12611204849393823"/>
          <c:w val="0.94907407407407407"/>
          <c:h val="0.58848828107012929"/>
        </c:manualLayout>
      </c:layout>
      <c:barChart>
        <c:barDir val="col"/>
        <c:grouping val="clustered"/>
        <c:varyColors val="0"/>
        <c:ser>
          <c:idx val="0"/>
          <c:order val="0"/>
          <c:tx>
            <c:strRef>
              <c:f>Sheet1!$B$1</c:f>
              <c:strCache>
                <c:ptCount val="1"/>
                <c:pt idx="0">
                  <c:v>BH1</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Copper</c:v>
                </c:pt>
              </c:strCache>
            </c:strRef>
          </c:cat>
          <c:val>
            <c:numRef>
              <c:f>Sheet1!$B$2</c:f>
              <c:numCache>
                <c:formatCode>General</c:formatCode>
                <c:ptCount val="1"/>
                <c:pt idx="0">
                  <c:v>2.1999999999999999E-2</c:v>
                </c:pt>
              </c:numCache>
            </c:numRef>
          </c:val>
          <c:extLst>
            <c:ext xmlns:c16="http://schemas.microsoft.com/office/drawing/2014/chart" uri="{C3380CC4-5D6E-409C-BE32-E72D297353CC}">
              <c16:uniqueId val="{00000000-CB53-438F-985C-D47F51DF9550}"/>
            </c:ext>
          </c:extLst>
        </c:ser>
        <c:ser>
          <c:idx val="1"/>
          <c:order val="1"/>
          <c:tx>
            <c:strRef>
              <c:f>Sheet1!$C$1</c:f>
              <c:strCache>
                <c:ptCount val="1"/>
                <c:pt idx="0">
                  <c:v>BH2</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Copper</c:v>
                </c:pt>
              </c:strCache>
            </c:strRef>
          </c:cat>
          <c:val>
            <c:numRef>
              <c:f>Sheet1!$C$2</c:f>
              <c:numCache>
                <c:formatCode>General</c:formatCode>
                <c:ptCount val="1"/>
                <c:pt idx="0">
                  <c:v>1.6E-2</c:v>
                </c:pt>
              </c:numCache>
            </c:numRef>
          </c:val>
          <c:extLst>
            <c:ext xmlns:c16="http://schemas.microsoft.com/office/drawing/2014/chart" uri="{C3380CC4-5D6E-409C-BE32-E72D297353CC}">
              <c16:uniqueId val="{00000001-CB53-438F-985C-D47F51DF9550}"/>
            </c:ext>
          </c:extLst>
        </c:ser>
        <c:ser>
          <c:idx val="2"/>
          <c:order val="2"/>
          <c:tx>
            <c:strRef>
              <c:f>Sheet1!$D$1</c:f>
              <c:strCache>
                <c:ptCount val="1"/>
                <c:pt idx="0">
                  <c:v>BH3</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Copper</c:v>
                </c:pt>
              </c:strCache>
            </c:strRef>
          </c:cat>
          <c:val>
            <c:numRef>
              <c:f>Sheet1!$D$2</c:f>
              <c:numCache>
                <c:formatCode>General</c:formatCode>
                <c:ptCount val="1"/>
                <c:pt idx="0">
                  <c:v>0</c:v>
                </c:pt>
              </c:numCache>
            </c:numRef>
          </c:val>
          <c:extLst>
            <c:ext xmlns:c16="http://schemas.microsoft.com/office/drawing/2014/chart" uri="{C3380CC4-5D6E-409C-BE32-E72D297353CC}">
              <c16:uniqueId val="{00000002-CB53-438F-985C-D47F51DF9550}"/>
            </c:ext>
          </c:extLst>
        </c:ser>
        <c:ser>
          <c:idx val="3"/>
          <c:order val="3"/>
          <c:tx>
            <c:strRef>
              <c:f>Sheet1!$E$1</c:f>
              <c:strCache>
                <c:ptCount val="1"/>
                <c:pt idx="0">
                  <c:v>BH4</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Copper</c:v>
                </c:pt>
              </c:strCache>
            </c:strRef>
          </c:cat>
          <c:val>
            <c:numRef>
              <c:f>Sheet1!$E$2</c:f>
              <c:numCache>
                <c:formatCode>General</c:formatCode>
                <c:ptCount val="1"/>
                <c:pt idx="0">
                  <c:v>8.9999999999999993E-3</c:v>
                </c:pt>
              </c:numCache>
            </c:numRef>
          </c:val>
          <c:extLst>
            <c:ext xmlns:c16="http://schemas.microsoft.com/office/drawing/2014/chart" uri="{C3380CC4-5D6E-409C-BE32-E72D297353CC}">
              <c16:uniqueId val="{00000003-CB53-438F-985C-D47F51DF9550}"/>
            </c:ext>
          </c:extLst>
        </c:ser>
        <c:ser>
          <c:idx val="4"/>
          <c:order val="4"/>
          <c:tx>
            <c:strRef>
              <c:f>Sheet1!$F$1</c:f>
              <c:strCache>
                <c:ptCount val="1"/>
                <c:pt idx="0">
                  <c:v>BH5</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Copper</c:v>
                </c:pt>
              </c:strCache>
            </c:strRef>
          </c:cat>
          <c:val>
            <c:numRef>
              <c:f>Sheet1!$F$2</c:f>
              <c:numCache>
                <c:formatCode>General</c:formatCode>
                <c:ptCount val="1"/>
                <c:pt idx="0">
                  <c:v>1.6E-2</c:v>
                </c:pt>
              </c:numCache>
            </c:numRef>
          </c:val>
          <c:extLst>
            <c:ext xmlns:c16="http://schemas.microsoft.com/office/drawing/2014/chart" uri="{C3380CC4-5D6E-409C-BE32-E72D297353CC}">
              <c16:uniqueId val="{00000004-CB53-438F-985C-D47F51DF9550}"/>
            </c:ext>
          </c:extLst>
        </c:ser>
        <c:ser>
          <c:idx val="5"/>
          <c:order val="5"/>
          <c:tx>
            <c:strRef>
              <c:f>Sheet1!$G$1</c:f>
              <c:strCache>
                <c:ptCount val="1"/>
                <c:pt idx="0">
                  <c:v>BH6</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Copper</c:v>
                </c:pt>
              </c:strCache>
            </c:strRef>
          </c:cat>
          <c:val>
            <c:numRef>
              <c:f>Sheet1!$G$2</c:f>
              <c:numCache>
                <c:formatCode>General</c:formatCode>
                <c:ptCount val="1"/>
                <c:pt idx="0">
                  <c:v>2.7E-2</c:v>
                </c:pt>
              </c:numCache>
            </c:numRef>
          </c:val>
          <c:extLst>
            <c:ext xmlns:c16="http://schemas.microsoft.com/office/drawing/2014/chart" uri="{C3380CC4-5D6E-409C-BE32-E72D297353CC}">
              <c16:uniqueId val="{00000005-CB53-438F-985C-D47F51DF9550}"/>
            </c:ext>
          </c:extLst>
        </c:ser>
        <c:ser>
          <c:idx val="6"/>
          <c:order val="6"/>
          <c:tx>
            <c:strRef>
              <c:f>Sheet1!$H$1</c:f>
              <c:strCache>
                <c:ptCount val="1"/>
                <c:pt idx="0">
                  <c:v>BH7</c:v>
                </c:pt>
              </c:strCache>
            </c:strRef>
          </c:tx>
          <c:spPr>
            <a:solidFill>
              <a:schemeClr val="accent1">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Copper</c:v>
                </c:pt>
              </c:strCache>
            </c:strRef>
          </c:cat>
          <c:val>
            <c:numRef>
              <c:f>Sheet1!$H$2</c:f>
              <c:numCache>
                <c:formatCode>General</c:formatCode>
                <c:ptCount val="1"/>
                <c:pt idx="0">
                  <c:v>0</c:v>
                </c:pt>
              </c:numCache>
            </c:numRef>
          </c:val>
          <c:extLst>
            <c:ext xmlns:c16="http://schemas.microsoft.com/office/drawing/2014/chart" uri="{C3380CC4-5D6E-409C-BE32-E72D297353CC}">
              <c16:uniqueId val="{00000006-CB53-438F-985C-D47F51DF9550}"/>
            </c:ext>
          </c:extLst>
        </c:ser>
        <c:ser>
          <c:idx val="7"/>
          <c:order val="7"/>
          <c:tx>
            <c:strRef>
              <c:f>Sheet1!$I$1</c:f>
              <c:strCache>
                <c:ptCount val="1"/>
                <c:pt idx="0">
                  <c:v>BH8</c:v>
                </c:pt>
              </c:strCache>
            </c:strRef>
          </c:tx>
          <c:spPr>
            <a:solidFill>
              <a:schemeClr val="accent2">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Copper</c:v>
                </c:pt>
              </c:strCache>
            </c:strRef>
          </c:cat>
          <c:val>
            <c:numRef>
              <c:f>Sheet1!$I$2</c:f>
              <c:numCache>
                <c:formatCode>General</c:formatCode>
                <c:ptCount val="1"/>
                <c:pt idx="0">
                  <c:v>1.0999999999999999E-2</c:v>
                </c:pt>
              </c:numCache>
            </c:numRef>
          </c:val>
          <c:extLst>
            <c:ext xmlns:c16="http://schemas.microsoft.com/office/drawing/2014/chart" uri="{C3380CC4-5D6E-409C-BE32-E72D297353CC}">
              <c16:uniqueId val="{00000007-CB53-438F-985C-D47F51DF9550}"/>
            </c:ext>
          </c:extLst>
        </c:ser>
        <c:ser>
          <c:idx val="8"/>
          <c:order val="8"/>
          <c:tx>
            <c:strRef>
              <c:f>Sheet1!$J$1</c:f>
              <c:strCache>
                <c:ptCount val="1"/>
                <c:pt idx="0">
                  <c:v>BH9</c:v>
                </c:pt>
              </c:strCache>
            </c:strRef>
          </c:tx>
          <c:spPr>
            <a:solidFill>
              <a:schemeClr val="accent3">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Copper</c:v>
                </c:pt>
              </c:strCache>
            </c:strRef>
          </c:cat>
          <c:val>
            <c:numRef>
              <c:f>Sheet1!$J$2</c:f>
              <c:numCache>
                <c:formatCode>General</c:formatCode>
                <c:ptCount val="1"/>
                <c:pt idx="0">
                  <c:v>8.9999999999999993E-3</c:v>
                </c:pt>
              </c:numCache>
            </c:numRef>
          </c:val>
          <c:extLst>
            <c:ext xmlns:c16="http://schemas.microsoft.com/office/drawing/2014/chart" uri="{C3380CC4-5D6E-409C-BE32-E72D297353CC}">
              <c16:uniqueId val="{00000008-CB53-438F-985C-D47F51DF9550}"/>
            </c:ext>
          </c:extLst>
        </c:ser>
        <c:ser>
          <c:idx val="9"/>
          <c:order val="9"/>
          <c:tx>
            <c:strRef>
              <c:f>Sheet1!$K$1</c:f>
              <c:strCache>
                <c:ptCount val="1"/>
                <c:pt idx="0">
                  <c:v>BH10</c:v>
                </c:pt>
              </c:strCache>
            </c:strRef>
          </c:tx>
          <c:spPr>
            <a:solidFill>
              <a:schemeClr val="accent4">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Copper</c:v>
                </c:pt>
              </c:strCache>
            </c:strRef>
          </c:cat>
          <c:val>
            <c:numRef>
              <c:f>Sheet1!$K$2</c:f>
              <c:numCache>
                <c:formatCode>General</c:formatCode>
                <c:ptCount val="1"/>
                <c:pt idx="0">
                  <c:v>1.0999999999999999E-2</c:v>
                </c:pt>
              </c:numCache>
            </c:numRef>
          </c:val>
          <c:extLst>
            <c:ext xmlns:c16="http://schemas.microsoft.com/office/drawing/2014/chart" uri="{C3380CC4-5D6E-409C-BE32-E72D297353CC}">
              <c16:uniqueId val="{00000009-CB53-438F-985C-D47F51DF9550}"/>
            </c:ext>
          </c:extLst>
        </c:ser>
        <c:ser>
          <c:idx val="10"/>
          <c:order val="10"/>
          <c:tx>
            <c:strRef>
              <c:f>Sheet1!$L$1</c:f>
              <c:strCache>
                <c:ptCount val="1"/>
                <c:pt idx="0">
                  <c:v>BH11</c:v>
                </c:pt>
              </c:strCache>
            </c:strRef>
          </c:tx>
          <c:spPr>
            <a:solidFill>
              <a:schemeClr val="accent5">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Copper</c:v>
                </c:pt>
              </c:strCache>
            </c:strRef>
          </c:cat>
          <c:val>
            <c:numRef>
              <c:f>Sheet1!$L$2</c:f>
              <c:numCache>
                <c:formatCode>General</c:formatCode>
                <c:ptCount val="1"/>
                <c:pt idx="0">
                  <c:v>0</c:v>
                </c:pt>
              </c:numCache>
            </c:numRef>
          </c:val>
          <c:extLst>
            <c:ext xmlns:c16="http://schemas.microsoft.com/office/drawing/2014/chart" uri="{C3380CC4-5D6E-409C-BE32-E72D297353CC}">
              <c16:uniqueId val="{0000000A-CB53-438F-985C-D47F51DF9550}"/>
            </c:ext>
          </c:extLst>
        </c:ser>
        <c:ser>
          <c:idx val="11"/>
          <c:order val="11"/>
          <c:tx>
            <c:strRef>
              <c:f>Sheet1!$M$1</c:f>
              <c:strCache>
                <c:ptCount val="1"/>
                <c:pt idx="0">
                  <c:v>B12</c:v>
                </c:pt>
              </c:strCache>
            </c:strRef>
          </c:tx>
          <c:spPr>
            <a:solidFill>
              <a:schemeClr val="accent6">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Copper</c:v>
                </c:pt>
              </c:strCache>
            </c:strRef>
          </c:cat>
          <c:val>
            <c:numRef>
              <c:f>Sheet1!$M$2</c:f>
              <c:numCache>
                <c:formatCode>General</c:formatCode>
                <c:ptCount val="1"/>
                <c:pt idx="0">
                  <c:v>7.0000000000000001E-3</c:v>
                </c:pt>
              </c:numCache>
            </c:numRef>
          </c:val>
          <c:extLst>
            <c:ext xmlns:c16="http://schemas.microsoft.com/office/drawing/2014/chart" uri="{C3380CC4-5D6E-409C-BE32-E72D297353CC}">
              <c16:uniqueId val="{0000000B-CB53-438F-985C-D47F51DF9550}"/>
            </c:ext>
          </c:extLst>
        </c:ser>
        <c:ser>
          <c:idx val="12"/>
          <c:order val="12"/>
          <c:tx>
            <c:strRef>
              <c:f>Sheet1!$N$1</c:f>
              <c:strCache>
                <c:ptCount val="1"/>
                <c:pt idx="0">
                  <c:v>BH13</c:v>
                </c:pt>
              </c:strCache>
            </c:strRef>
          </c:tx>
          <c:spPr>
            <a:solidFill>
              <a:schemeClr val="accent1">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Copper</c:v>
                </c:pt>
              </c:strCache>
            </c:strRef>
          </c:cat>
          <c:val>
            <c:numRef>
              <c:f>Sheet1!$N$2</c:f>
              <c:numCache>
                <c:formatCode>General</c:formatCode>
                <c:ptCount val="1"/>
                <c:pt idx="0">
                  <c:v>1.2999999999999999E-2</c:v>
                </c:pt>
              </c:numCache>
            </c:numRef>
          </c:val>
          <c:extLst>
            <c:ext xmlns:c16="http://schemas.microsoft.com/office/drawing/2014/chart" uri="{C3380CC4-5D6E-409C-BE32-E72D297353CC}">
              <c16:uniqueId val="{0000000C-CB53-438F-985C-D47F51DF9550}"/>
            </c:ext>
          </c:extLst>
        </c:ser>
        <c:ser>
          <c:idx val="13"/>
          <c:order val="13"/>
          <c:tx>
            <c:strRef>
              <c:f>Sheet1!$O$1</c:f>
              <c:strCache>
                <c:ptCount val="1"/>
                <c:pt idx="0">
                  <c:v>BH14</c:v>
                </c:pt>
              </c:strCache>
            </c:strRef>
          </c:tx>
          <c:spPr>
            <a:solidFill>
              <a:schemeClr val="accent2">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Copper</c:v>
                </c:pt>
              </c:strCache>
            </c:strRef>
          </c:cat>
          <c:val>
            <c:numRef>
              <c:f>Sheet1!$O$2</c:f>
              <c:numCache>
                <c:formatCode>General</c:formatCode>
                <c:ptCount val="1"/>
                <c:pt idx="0">
                  <c:v>1.4999999999999999E-2</c:v>
                </c:pt>
              </c:numCache>
            </c:numRef>
          </c:val>
          <c:extLst>
            <c:ext xmlns:c16="http://schemas.microsoft.com/office/drawing/2014/chart" uri="{C3380CC4-5D6E-409C-BE32-E72D297353CC}">
              <c16:uniqueId val="{0000000D-CB53-438F-985C-D47F51DF9550}"/>
            </c:ext>
          </c:extLst>
        </c:ser>
        <c:ser>
          <c:idx val="14"/>
          <c:order val="14"/>
          <c:tx>
            <c:strRef>
              <c:f>Sheet1!$P$1</c:f>
              <c:strCache>
                <c:ptCount val="1"/>
                <c:pt idx="0">
                  <c:v>BH15</c:v>
                </c:pt>
              </c:strCache>
            </c:strRef>
          </c:tx>
          <c:spPr>
            <a:solidFill>
              <a:schemeClr val="accent3">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Copper</c:v>
                </c:pt>
              </c:strCache>
            </c:strRef>
          </c:cat>
          <c:val>
            <c:numRef>
              <c:f>Sheet1!$P$2</c:f>
              <c:numCache>
                <c:formatCode>General</c:formatCode>
                <c:ptCount val="1"/>
                <c:pt idx="0">
                  <c:v>0</c:v>
                </c:pt>
              </c:numCache>
            </c:numRef>
          </c:val>
          <c:extLst>
            <c:ext xmlns:c16="http://schemas.microsoft.com/office/drawing/2014/chart" uri="{C3380CC4-5D6E-409C-BE32-E72D297353CC}">
              <c16:uniqueId val="{0000000E-CB53-438F-985C-D47F51DF9550}"/>
            </c:ext>
          </c:extLst>
        </c:ser>
        <c:ser>
          <c:idx val="15"/>
          <c:order val="15"/>
          <c:tx>
            <c:strRef>
              <c:f>Sheet1!$Q$1</c:f>
              <c:strCache>
                <c:ptCount val="1"/>
                <c:pt idx="0">
                  <c:v>CON</c:v>
                </c:pt>
              </c:strCache>
            </c:strRef>
          </c:tx>
          <c:spPr>
            <a:solidFill>
              <a:schemeClr val="accent4">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Copper</c:v>
                </c:pt>
              </c:strCache>
            </c:strRef>
          </c:cat>
          <c:val>
            <c:numRef>
              <c:f>Sheet1!$Q$2</c:f>
              <c:numCache>
                <c:formatCode>General</c:formatCode>
                <c:ptCount val="1"/>
                <c:pt idx="0">
                  <c:v>0</c:v>
                </c:pt>
              </c:numCache>
            </c:numRef>
          </c:val>
          <c:extLst>
            <c:ext xmlns:c16="http://schemas.microsoft.com/office/drawing/2014/chart" uri="{C3380CC4-5D6E-409C-BE32-E72D297353CC}">
              <c16:uniqueId val="{0000000F-CB53-438F-985C-D47F51DF9550}"/>
            </c:ext>
          </c:extLst>
        </c:ser>
        <c:ser>
          <c:idx val="16"/>
          <c:order val="16"/>
          <c:tx>
            <c:strRef>
              <c:f>Sheet1!$R$1</c:f>
              <c:strCache>
                <c:ptCount val="1"/>
                <c:pt idx="0">
                  <c:v>Mean</c:v>
                </c:pt>
              </c:strCache>
            </c:strRef>
          </c:tx>
          <c:spPr>
            <a:solidFill>
              <a:schemeClr val="accent5">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Copper</c:v>
                </c:pt>
              </c:strCache>
            </c:strRef>
          </c:cat>
          <c:val>
            <c:numRef>
              <c:f>Sheet1!$R$2</c:f>
              <c:numCache>
                <c:formatCode>General</c:formatCode>
                <c:ptCount val="1"/>
                <c:pt idx="0">
                  <c:v>1.4E-2</c:v>
                </c:pt>
              </c:numCache>
            </c:numRef>
          </c:val>
          <c:extLst>
            <c:ext xmlns:c16="http://schemas.microsoft.com/office/drawing/2014/chart" uri="{C3380CC4-5D6E-409C-BE32-E72D297353CC}">
              <c16:uniqueId val="{00000010-CB53-438F-985C-D47F51DF9550}"/>
            </c:ext>
          </c:extLst>
        </c:ser>
        <c:dLbls>
          <c:showLegendKey val="0"/>
          <c:showVal val="0"/>
          <c:showCatName val="0"/>
          <c:showSerName val="0"/>
          <c:showPercent val="0"/>
          <c:showBubbleSize val="0"/>
        </c:dLbls>
        <c:gapWidth val="444"/>
        <c:overlap val="-90"/>
        <c:axId val="558701103"/>
        <c:axId val="1"/>
      </c:barChart>
      <c:catAx>
        <c:axId val="558701103"/>
        <c:scaling>
          <c:orientation val="minMax"/>
        </c:scaling>
        <c:delete val="0"/>
        <c:axPos val="b"/>
        <c:majorGridlines>
          <c:spPr>
            <a:ln w="9524"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4"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1"/>
        <c:axPos val="l"/>
        <c:title>
          <c:tx>
            <c:rich>
              <a:bodyPr/>
              <a:lstStyle/>
              <a:p>
                <a:pPr>
                  <a:defRPr sz="900" b="0" i="0" u="none" strike="noStrike" baseline="0">
                    <a:solidFill>
                      <a:srgbClr val="333333"/>
                    </a:solidFill>
                    <a:latin typeface="Calibri"/>
                    <a:ea typeface="Calibri"/>
                    <a:cs typeface="Calibri"/>
                  </a:defRPr>
                </a:pPr>
                <a:r>
                  <a:rPr lang="en-GB"/>
                  <a:t>CONCENTRATIONS</a:t>
                </a:r>
              </a:p>
            </c:rich>
          </c:tx>
          <c:overlay val="0"/>
          <c:spPr>
            <a:noFill/>
            <a:ln>
              <a:noFill/>
            </a:ln>
            <a:effectLst/>
          </c:spPr>
        </c:title>
        <c:numFmt formatCode="General" sourceLinked="1"/>
        <c:majorTickMark val="out"/>
        <c:minorTickMark val="none"/>
        <c:tickLblPos val="nextTo"/>
        <c:crossAx val="558701103"/>
        <c:crosses val="autoZero"/>
        <c:crossBetween val="between"/>
      </c:valAx>
      <c:spPr>
        <a:noFill/>
        <a:ln w="25397">
          <a:noFill/>
        </a:ln>
      </c:spPr>
    </c:plotArea>
    <c:legend>
      <c:legendPos val="t"/>
      <c:layout>
        <c:manualLayout>
          <c:xMode val="edge"/>
          <c:yMode val="edge"/>
          <c:x val="3.7136455504037602E-2"/>
          <c:y val="0.79161873186904264"/>
          <c:w val="0.94424574976908371"/>
          <c:h val="0.207509324492333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a:noFill/>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cap="all" spc="120" normalizeH="0" baseline="0">
                <a:solidFill>
                  <a:schemeClr val="tx1">
                    <a:lumMod val="65000"/>
                    <a:lumOff val="35000"/>
                  </a:schemeClr>
                </a:solidFill>
                <a:latin typeface="+mn-lt"/>
                <a:ea typeface="+mn-ea"/>
                <a:cs typeface="+mn-cs"/>
              </a:defRPr>
            </a:pPr>
            <a:r>
              <a:rPr lang="en-GB" sz="1000" cap="none"/>
              <a:t>Temperature </a:t>
            </a:r>
            <a:r>
              <a:rPr lang="en-GB" sz="1000" b="1" i="0" u="none" strike="noStrike" cap="all" normalizeH="0" baseline="0">
                <a:effectLst/>
                <a:latin typeface="Trebuchet MS" panose="020B0603020202020204" pitchFamily="34" charset="0"/>
              </a:rPr>
              <a:t>°</a:t>
            </a:r>
            <a:r>
              <a:rPr lang="en-GB" sz="1000" b="1" i="0" u="none" strike="noStrike" cap="all" normalizeH="0" baseline="0">
                <a:effectLst/>
              </a:rPr>
              <a:t>C</a:t>
            </a:r>
            <a:endParaRPr lang="en-GB" sz="1000" cap="none"/>
          </a:p>
        </c:rich>
      </c:tx>
      <c:layout>
        <c:manualLayout>
          <c:xMode val="edge"/>
          <c:yMode val="edge"/>
          <c:x val="1.9333440462799299E-2"/>
          <c:y val="3.4042553191489362E-2"/>
        </c:manualLayout>
      </c:layout>
      <c:overlay val="0"/>
      <c:spPr>
        <a:noFill/>
        <a:ln>
          <a:noFill/>
        </a:ln>
        <a:effectLst/>
      </c:spPr>
    </c:title>
    <c:autoTitleDeleted val="0"/>
    <c:plotArea>
      <c:layout>
        <c:manualLayout>
          <c:layoutTarget val="inner"/>
          <c:xMode val="edge"/>
          <c:yMode val="edge"/>
          <c:x val="4.6296296296296294E-2"/>
          <c:y val="0.12611204849393823"/>
          <c:w val="0.94907407407407407"/>
          <c:h val="0.58169728783902008"/>
        </c:manualLayout>
      </c:layout>
      <c:barChart>
        <c:barDir val="col"/>
        <c:grouping val="clustered"/>
        <c:varyColors val="0"/>
        <c:ser>
          <c:idx val="0"/>
          <c:order val="0"/>
          <c:tx>
            <c:strRef>
              <c:f>Sheet1!$B$1</c:f>
              <c:strCache>
                <c:ptCount val="1"/>
                <c:pt idx="0">
                  <c:v>BH1</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Temperature</c:v>
                </c:pt>
              </c:strCache>
            </c:strRef>
          </c:cat>
          <c:val>
            <c:numRef>
              <c:f>Sheet1!$B$2</c:f>
              <c:numCache>
                <c:formatCode>General</c:formatCode>
                <c:ptCount val="1"/>
                <c:pt idx="0">
                  <c:v>27.8</c:v>
                </c:pt>
              </c:numCache>
            </c:numRef>
          </c:val>
          <c:extLst>
            <c:ext xmlns:c16="http://schemas.microsoft.com/office/drawing/2014/chart" uri="{C3380CC4-5D6E-409C-BE32-E72D297353CC}">
              <c16:uniqueId val="{00000000-88C9-4CFD-9CC5-B08BF5486D18}"/>
            </c:ext>
          </c:extLst>
        </c:ser>
        <c:ser>
          <c:idx val="1"/>
          <c:order val="1"/>
          <c:tx>
            <c:strRef>
              <c:f>Sheet1!$C$1</c:f>
              <c:strCache>
                <c:ptCount val="1"/>
                <c:pt idx="0">
                  <c:v>BH2</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Temperature</c:v>
                </c:pt>
              </c:strCache>
            </c:strRef>
          </c:cat>
          <c:val>
            <c:numRef>
              <c:f>Sheet1!$C$2</c:f>
              <c:numCache>
                <c:formatCode>General</c:formatCode>
                <c:ptCount val="1"/>
                <c:pt idx="0">
                  <c:v>27.9</c:v>
                </c:pt>
              </c:numCache>
            </c:numRef>
          </c:val>
          <c:extLst>
            <c:ext xmlns:c16="http://schemas.microsoft.com/office/drawing/2014/chart" uri="{C3380CC4-5D6E-409C-BE32-E72D297353CC}">
              <c16:uniqueId val="{00000001-88C9-4CFD-9CC5-B08BF5486D18}"/>
            </c:ext>
          </c:extLst>
        </c:ser>
        <c:ser>
          <c:idx val="2"/>
          <c:order val="2"/>
          <c:tx>
            <c:strRef>
              <c:f>Sheet1!$D$1</c:f>
              <c:strCache>
                <c:ptCount val="1"/>
                <c:pt idx="0">
                  <c:v>BH3</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Temperature</c:v>
                </c:pt>
              </c:strCache>
            </c:strRef>
          </c:cat>
          <c:val>
            <c:numRef>
              <c:f>Sheet1!$D$2</c:f>
              <c:numCache>
                <c:formatCode>General</c:formatCode>
                <c:ptCount val="1"/>
                <c:pt idx="0">
                  <c:v>27</c:v>
                </c:pt>
              </c:numCache>
            </c:numRef>
          </c:val>
          <c:extLst>
            <c:ext xmlns:c16="http://schemas.microsoft.com/office/drawing/2014/chart" uri="{C3380CC4-5D6E-409C-BE32-E72D297353CC}">
              <c16:uniqueId val="{00000002-88C9-4CFD-9CC5-B08BF5486D18}"/>
            </c:ext>
          </c:extLst>
        </c:ser>
        <c:ser>
          <c:idx val="3"/>
          <c:order val="3"/>
          <c:tx>
            <c:strRef>
              <c:f>Sheet1!$E$1</c:f>
              <c:strCache>
                <c:ptCount val="1"/>
                <c:pt idx="0">
                  <c:v>BH4</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Temperature</c:v>
                </c:pt>
              </c:strCache>
            </c:strRef>
          </c:cat>
          <c:val>
            <c:numRef>
              <c:f>Sheet1!$E$2</c:f>
              <c:numCache>
                <c:formatCode>General</c:formatCode>
                <c:ptCount val="1"/>
                <c:pt idx="0">
                  <c:v>27.2</c:v>
                </c:pt>
              </c:numCache>
            </c:numRef>
          </c:val>
          <c:extLst>
            <c:ext xmlns:c16="http://schemas.microsoft.com/office/drawing/2014/chart" uri="{C3380CC4-5D6E-409C-BE32-E72D297353CC}">
              <c16:uniqueId val="{00000003-88C9-4CFD-9CC5-B08BF5486D18}"/>
            </c:ext>
          </c:extLst>
        </c:ser>
        <c:ser>
          <c:idx val="4"/>
          <c:order val="4"/>
          <c:tx>
            <c:strRef>
              <c:f>Sheet1!$F$1</c:f>
              <c:strCache>
                <c:ptCount val="1"/>
                <c:pt idx="0">
                  <c:v>BH5</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Temperature</c:v>
                </c:pt>
              </c:strCache>
            </c:strRef>
          </c:cat>
          <c:val>
            <c:numRef>
              <c:f>Sheet1!$F$2</c:f>
              <c:numCache>
                <c:formatCode>General</c:formatCode>
                <c:ptCount val="1"/>
                <c:pt idx="0">
                  <c:v>27.7</c:v>
                </c:pt>
              </c:numCache>
            </c:numRef>
          </c:val>
          <c:extLst>
            <c:ext xmlns:c16="http://schemas.microsoft.com/office/drawing/2014/chart" uri="{C3380CC4-5D6E-409C-BE32-E72D297353CC}">
              <c16:uniqueId val="{00000004-88C9-4CFD-9CC5-B08BF5486D18}"/>
            </c:ext>
          </c:extLst>
        </c:ser>
        <c:ser>
          <c:idx val="5"/>
          <c:order val="5"/>
          <c:tx>
            <c:strRef>
              <c:f>Sheet1!$G$1</c:f>
              <c:strCache>
                <c:ptCount val="1"/>
                <c:pt idx="0">
                  <c:v>BH6</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Temperature</c:v>
                </c:pt>
              </c:strCache>
            </c:strRef>
          </c:cat>
          <c:val>
            <c:numRef>
              <c:f>Sheet1!$G$2</c:f>
              <c:numCache>
                <c:formatCode>General</c:formatCode>
                <c:ptCount val="1"/>
                <c:pt idx="0">
                  <c:v>24.4</c:v>
                </c:pt>
              </c:numCache>
            </c:numRef>
          </c:val>
          <c:extLst>
            <c:ext xmlns:c16="http://schemas.microsoft.com/office/drawing/2014/chart" uri="{C3380CC4-5D6E-409C-BE32-E72D297353CC}">
              <c16:uniqueId val="{00000005-88C9-4CFD-9CC5-B08BF5486D18}"/>
            </c:ext>
          </c:extLst>
        </c:ser>
        <c:ser>
          <c:idx val="6"/>
          <c:order val="6"/>
          <c:tx>
            <c:strRef>
              <c:f>Sheet1!$H$1</c:f>
              <c:strCache>
                <c:ptCount val="1"/>
                <c:pt idx="0">
                  <c:v>BH7</c:v>
                </c:pt>
              </c:strCache>
            </c:strRef>
          </c:tx>
          <c:spPr>
            <a:solidFill>
              <a:schemeClr val="accent1">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Temperature</c:v>
                </c:pt>
              </c:strCache>
            </c:strRef>
          </c:cat>
          <c:val>
            <c:numRef>
              <c:f>Sheet1!$H$2</c:f>
              <c:numCache>
                <c:formatCode>General</c:formatCode>
                <c:ptCount val="1"/>
                <c:pt idx="0">
                  <c:v>28.4</c:v>
                </c:pt>
              </c:numCache>
            </c:numRef>
          </c:val>
          <c:extLst>
            <c:ext xmlns:c16="http://schemas.microsoft.com/office/drawing/2014/chart" uri="{C3380CC4-5D6E-409C-BE32-E72D297353CC}">
              <c16:uniqueId val="{00000006-88C9-4CFD-9CC5-B08BF5486D18}"/>
            </c:ext>
          </c:extLst>
        </c:ser>
        <c:ser>
          <c:idx val="7"/>
          <c:order val="7"/>
          <c:tx>
            <c:strRef>
              <c:f>Sheet1!$I$1</c:f>
              <c:strCache>
                <c:ptCount val="1"/>
                <c:pt idx="0">
                  <c:v>BH8</c:v>
                </c:pt>
              </c:strCache>
            </c:strRef>
          </c:tx>
          <c:spPr>
            <a:solidFill>
              <a:schemeClr val="accent2">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Temperature</c:v>
                </c:pt>
              </c:strCache>
            </c:strRef>
          </c:cat>
          <c:val>
            <c:numRef>
              <c:f>Sheet1!$I$2</c:f>
              <c:numCache>
                <c:formatCode>General</c:formatCode>
                <c:ptCount val="1"/>
                <c:pt idx="0">
                  <c:v>33.799999999999997</c:v>
                </c:pt>
              </c:numCache>
            </c:numRef>
          </c:val>
          <c:extLst>
            <c:ext xmlns:c16="http://schemas.microsoft.com/office/drawing/2014/chart" uri="{C3380CC4-5D6E-409C-BE32-E72D297353CC}">
              <c16:uniqueId val="{00000007-88C9-4CFD-9CC5-B08BF5486D18}"/>
            </c:ext>
          </c:extLst>
        </c:ser>
        <c:ser>
          <c:idx val="8"/>
          <c:order val="8"/>
          <c:tx>
            <c:strRef>
              <c:f>Sheet1!$J$1</c:f>
              <c:strCache>
                <c:ptCount val="1"/>
                <c:pt idx="0">
                  <c:v>BH9</c:v>
                </c:pt>
              </c:strCache>
            </c:strRef>
          </c:tx>
          <c:spPr>
            <a:solidFill>
              <a:schemeClr val="accent3">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Temperature</c:v>
                </c:pt>
              </c:strCache>
            </c:strRef>
          </c:cat>
          <c:val>
            <c:numRef>
              <c:f>Sheet1!$J$2</c:f>
              <c:numCache>
                <c:formatCode>General</c:formatCode>
                <c:ptCount val="1"/>
                <c:pt idx="0">
                  <c:v>30</c:v>
                </c:pt>
              </c:numCache>
            </c:numRef>
          </c:val>
          <c:extLst>
            <c:ext xmlns:c16="http://schemas.microsoft.com/office/drawing/2014/chart" uri="{C3380CC4-5D6E-409C-BE32-E72D297353CC}">
              <c16:uniqueId val="{00000008-88C9-4CFD-9CC5-B08BF5486D18}"/>
            </c:ext>
          </c:extLst>
        </c:ser>
        <c:ser>
          <c:idx val="9"/>
          <c:order val="9"/>
          <c:tx>
            <c:strRef>
              <c:f>Sheet1!$K$1</c:f>
              <c:strCache>
                <c:ptCount val="1"/>
                <c:pt idx="0">
                  <c:v>BH10</c:v>
                </c:pt>
              </c:strCache>
            </c:strRef>
          </c:tx>
          <c:spPr>
            <a:solidFill>
              <a:schemeClr val="accent4">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Temperature</c:v>
                </c:pt>
              </c:strCache>
            </c:strRef>
          </c:cat>
          <c:val>
            <c:numRef>
              <c:f>Sheet1!$K$2</c:f>
              <c:numCache>
                <c:formatCode>General</c:formatCode>
                <c:ptCount val="1"/>
                <c:pt idx="0">
                  <c:v>30.1</c:v>
                </c:pt>
              </c:numCache>
            </c:numRef>
          </c:val>
          <c:extLst>
            <c:ext xmlns:c16="http://schemas.microsoft.com/office/drawing/2014/chart" uri="{C3380CC4-5D6E-409C-BE32-E72D297353CC}">
              <c16:uniqueId val="{00000009-88C9-4CFD-9CC5-B08BF5486D18}"/>
            </c:ext>
          </c:extLst>
        </c:ser>
        <c:ser>
          <c:idx val="10"/>
          <c:order val="10"/>
          <c:tx>
            <c:strRef>
              <c:f>Sheet1!$L$1</c:f>
              <c:strCache>
                <c:ptCount val="1"/>
                <c:pt idx="0">
                  <c:v>BH11</c:v>
                </c:pt>
              </c:strCache>
            </c:strRef>
          </c:tx>
          <c:spPr>
            <a:solidFill>
              <a:schemeClr val="accent5">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Temperature</c:v>
                </c:pt>
              </c:strCache>
            </c:strRef>
          </c:cat>
          <c:val>
            <c:numRef>
              <c:f>Sheet1!$L$2</c:f>
              <c:numCache>
                <c:formatCode>General</c:formatCode>
                <c:ptCount val="1"/>
                <c:pt idx="0">
                  <c:v>30.3</c:v>
                </c:pt>
              </c:numCache>
            </c:numRef>
          </c:val>
          <c:extLst>
            <c:ext xmlns:c16="http://schemas.microsoft.com/office/drawing/2014/chart" uri="{C3380CC4-5D6E-409C-BE32-E72D297353CC}">
              <c16:uniqueId val="{0000000A-88C9-4CFD-9CC5-B08BF5486D18}"/>
            </c:ext>
          </c:extLst>
        </c:ser>
        <c:ser>
          <c:idx val="11"/>
          <c:order val="11"/>
          <c:tx>
            <c:strRef>
              <c:f>Sheet1!$M$1</c:f>
              <c:strCache>
                <c:ptCount val="1"/>
                <c:pt idx="0">
                  <c:v>B12</c:v>
                </c:pt>
              </c:strCache>
            </c:strRef>
          </c:tx>
          <c:spPr>
            <a:solidFill>
              <a:schemeClr val="accent6">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Temperature</c:v>
                </c:pt>
              </c:strCache>
            </c:strRef>
          </c:cat>
          <c:val>
            <c:numRef>
              <c:f>Sheet1!$M$2</c:f>
              <c:numCache>
                <c:formatCode>General</c:formatCode>
                <c:ptCount val="1"/>
                <c:pt idx="0">
                  <c:v>29.9</c:v>
                </c:pt>
              </c:numCache>
            </c:numRef>
          </c:val>
          <c:extLst>
            <c:ext xmlns:c16="http://schemas.microsoft.com/office/drawing/2014/chart" uri="{C3380CC4-5D6E-409C-BE32-E72D297353CC}">
              <c16:uniqueId val="{0000000B-88C9-4CFD-9CC5-B08BF5486D18}"/>
            </c:ext>
          </c:extLst>
        </c:ser>
        <c:ser>
          <c:idx val="12"/>
          <c:order val="12"/>
          <c:tx>
            <c:strRef>
              <c:f>Sheet1!$N$1</c:f>
              <c:strCache>
                <c:ptCount val="1"/>
                <c:pt idx="0">
                  <c:v>BH13</c:v>
                </c:pt>
              </c:strCache>
            </c:strRef>
          </c:tx>
          <c:spPr>
            <a:solidFill>
              <a:schemeClr val="accent1">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Temperature</c:v>
                </c:pt>
              </c:strCache>
            </c:strRef>
          </c:cat>
          <c:val>
            <c:numRef>
              <c:f>Sheet1!$N$2</c:f>
              <c:numCache>
                <c:formatCode>General</c:formatCode>
                <c:ptCount val="1"/>
                <c:pt idx="0">
                  <c:v>30.2</c:v>
                </c:pt>
              </c:numCache>
            </c:numRef>
          </c:val>
          <c:extLst>
            <c:ext xmlns:c16="http://schemas.microsoft.com/office/drawing/2014/chart" uri="{C3380CC4-5D6E-409C-BE32-E72D297353CC}">
              <c16:uniqueId val="{0000000C-88C9-4CFD-9CC5-B08BF5486D18}"/>
            </c:ext>
          </c:extLst>
        </c:ser>
        <c:ser>
          <c:idx val="13"/>
          <c:order val="13"/>
          <c:tx>
            <c:strRef>
              <c:f>Sheet1!$O$1</c:f>
              <c:strCache>
                <c:ptCount val="1"/>
                <c:pt idx="0">
                  <c:v>BH14</c:v>
                </c:pt>
              </c:strCache>
            </c:strRef>
          </c:tx>
          <c:spPr>
            <a:solidFill>
              <a:schemeClr val="accent2">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Temperature</c:v>
                </c:pt>
              </c:strCache>
            </c:strRef>
          </c:cat>
          <c:val>
            <c:numRef>
              <c:f>Sheet1!$O$2</c:f>
              <c:numCache>
                <c:formatCode>General</c:formatCode>
                <c:ptCount val="1"/>
                <c:pt idx="0">
                  <c:v>30</c:v>
                </c:pt>
              </c:numCache>
            </c:numRef>
          </c:val>
          <c:extLst>
            <c:ext xmlns:c16="http://schemas.microsoft.com/office/drawing/2014/chart" uri="{C3380CC4-5D6E-409C-BE32-E72D297353CC}">
              <c16:uniqueId val="{0000000D-88C9-4CFD-9CC5-B08BF5486D18}"/>
            </c:ext>
          </c:extLst>
        </c:ser>
        <c:ser>
          <c:idx val="14"/>
          <c:order val="14"/>
          <c:tx>
            <c:strRef>
              <c:f>Sheet1!$P$1</c:f>
              <c:strCache>
                <c:ptCount val="1"/>
                <c:pt idx="0">
                  <c:v>BH15</c:v>
                </c:pt>
              </c:strCache>
            </c:strRef>
          </c:tx>
          <c:spPr>
            <a:solidFill>
              <a:schemeClr val="accent3">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Temperature</c:v>
                </c:pt>
              </c:strCache>
            </c:strRef>
          </c:cat>
          <c:val>
            <c:numRef>
              <c:f>Sheet1!$P$2</c:f>
              <c:numCache>
                <c:formatCode>General</c:formatCode>
                <c:ptCount val="1"/>
                <c:pt idx="0">
                  <c:v>21.2</c:v>
                </c:pt>
              </c:numCache>
            </c:numRef>
          </c:val>
          <c:extLst>
            <c:ext xmlns:c16="http://schemas.microsoft.com/office/drawing/2014/chart" uri="{C3380CC4-5D6E-409C-BE32-E72D297353CC}">
              <c16:uniqueId val="{0000000E-88C9-4CFD-9CC5-B08BF5486D18}"/>
            </c:ext>
          </c:extLst>
        </c:ser>
        <c:ser>
          <c:idx val="15"/>
          <c:order val="15"/>
          <c:tx>
            <c:strRef>
              <c:f>Sheet1!$Q$1</c:f>
              <c:strCache>
                <c:ptCount val="1"/>
                <c:pt idx="0">
                  <c:v>CON</c:v>
                </c:pt>
              </c:strCache>
            </c:strRef>
          </c:tx>
          <c:spPr>
            <a:solidFill>
              <a:schemeClr val="accent4">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Temperature</c:v>
                </c:pt>
              </c:strCache>
            </c:strRef>
          </c:cat>
          <c:val>
            <c:numRef>
              <c:f>Sheet1!$Q$2</c:f>
              <c:numCache>
                <c:formatCode>General</c:formatCode>
                <c:ptCount val="1"/>
                <c:pt idx="0">
                  <c:v>29.9</c:v>
                </c:pt>
              </c:numCache>
            </c:numRef>
          </c:val>
          <c:extLst>
            <c:ext xmlns:c16="http://schemas.microsoft.com/office/drawing/2014/chart" uri="{C3380CC4-5D6E-409C-BE32-E72D297353CC}">
              <c16:uniqueId val="{0000000F-88C9-4CFD-9CC5-B08BF5486D18}"/>
            </c:ext>
          </c:extLst>
        </c:ser>
        <c:ser>
          <c:idx val="16"/>
          <c:order val="16"/>
          <c:tx>
            <c:strRef>
              <c:f>Sheet1!$R$1</c:f>
              <c:strCache>
                <c:ptCount val="1"/>
                <c:pt idx="0">
                  <c:v>Mean</c:v>
                </c:pt>
              </c:strCache>
            </c:strRef>
          </c:tx>
          <c:spPr>
            <a:solidFill>
              <a:schemeClr val="accent5">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Temperature</c:v>
                </c:pt>
              </c:strCache>
            </c:strRef>
          </c:cat>
          <c:val>
            <c:numRef>
              <c:f>Sheet1!$R$2</c:f>
              <c:numCache>
                <c:formatCode>General</c:formatCode>
                <c:ptCount val="1"/>
                <c:pt idx="0">
                  <c:v>28.39</c:v>
                </c:pt>
              </c:numCache>
            </c:numRef>
          </c:val>
          <c:extLst>
            <c:ext xmlns:c16="http://schemas.microsoft.com/office/drawing/2014/chart" uri="{C3380CC4-5D6E-409C-BE32-E72D297353CC}">
              <c16:uniqueId val="{00000010-88C9-4CFD-9CC5-B08BF5486D18}"/>
            </c:ext>
          </c:extLst>
        </c:ser>
        <c:dLbls>
          <c:showLegendKey val="0"/>
          <c:showVal val="0"/>
          <c:showCatName val="0"/>
          <c:showSerName val="0"/>
          <c:showPercent val="0"/>
          <c:showBubbleSize val="0"/>
        </c:dLbls>
        <c:gapWidth val="444"/>
        <c:overlap val="-90"/>
        <c:axId val="636780591"/>
        <c:axId val="1"/>
      </c:barChart>
      <c:catAx>
        <c:axId val="636780591"/>
        <c:scaling>
          <c:orientation val="minMax"/>
        </c:scaling>
        <c:delete val="0"/>
        <c:axPos val="b"/>
        <c:majorGridlines>
          <c:spPr>
            <a:ln w="9524"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4"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1"/>
        <c:axPos val="l"/>
        <c:title>
          <c:tx>
            <c:rich>
              <a:bodyPr/>
              <a:lstStyle/>
              <a:p>
                <a:pPr>
                  <a:defRPr sz="900" b="0" i="0" u="none" strike="noStrike" baseline="0">
                    <a:solidFill>
                      <a:srgbClr val="333333"/>
                    </a:solidFill>
                    <a:latin typeface="Calibri"/>
                    <a:ea typeface="Calibri"/>
                    <a:cs typeface="Calibri"/>
                  </a:defRPr>
                </a:pPr>
                <a:r>
                  <a:rPr lang="en-GB"/>
                  <a:t>CONCENTRATIONS</a:t>
                </a:r>
              </a:p>
            </c:rich>
          </c:tx>
          <c:overlay val="0"/>
          <c:spPr>
            <a:noFill/>
            <a:ln>
              <a:noFill/>
            </a:ln>
            <a:effectLst/>
          </c:spPr>
        </c:title>
        <c:numFmt formatCode="General" sourceLinked="1"/>
        <c:majorTickMark val="out"/>
        <c:minorTickMark val="none"/>
        <c:tickLblPos val="nextTo"/>
        <c:crossAx val="636780591"/>
        <c:crosses val="autoZero"/>
        <c:crossBetween val="between"/>
      </c:valAx>
      <c:spPr>
        <a:noFill/>
        <a:ln w="25397">
          <a:noFill/>
        </a:ln>
      </c:spPr>
    </c:plotArea>
    <c:legend>
      <c:legendPos val="t"/>
      <c:layout>
        <c:manualLayout>
          <c:xMode val="edge"/>
          <c:yMode val="edge"/>
          <c:x val="3.7136455504037602E-2"/>
          <c:y val="0.7899080894458087"/>
          <c:w val="0.94424574976908371"/>
          <c:h val="0.2092196539948635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a:noFill/>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mn-lt"/>
                <a:ea typeface="+mn-ea"/>
                <a:cs typeface="+mn-cs"/>
              </a:defRPr>
            </a:pPr>
            <a:r>
              <a:rPr lang="en-GB" sz="1200" b="1" i="0" u="none" strike="noStrike" cap="all" normalizeH="0" baseline="0">
                <a:effectLst/>
              </a:rPr>
              <a:t>EC </a:t>
            </a:r>
            <a:r>
              <a:rPr lang="en-GB" sz="1200" b="1" i="0" u="none" strike="noStrike" cap="none" normalizeH="0" baseline="0">
                <a:effectLst/>
              </a:rPr>
              <a:t>(µs/cm)</a:t>
            </a:r>
            <a:endParaRPr lang="en-GB" sz="1200" cap="none"/>
          </a:p>
        </c:rich>
      </c:tx>
      <c:layout>
        <c:manualLayout>
          <c:xMode val="edge"/>
          <c:yMode val="edge"/>
          <c:x val="0.17598793363499249"/>
          <c:y val="0.17937219730941703"/>
        </c:manualLayout>
      </c:layout>
      <c:overlay val="0"/>
      <c:spPr>
        <a:noFill/>
        <a:ln>
          <a:noFill/>
        </a:ln>
        <a:effectLst/>
      </c:spPr>
    </c:title>
    <c:autoTitleDeleted val="0"/>
    <c:plotArea>
      <c:layout>
        <c:manualLayout>
          <c:layoutTarget val="inner"/>
          <c:xMode val="edge"/>
          <c:yMode val="edge"/>
          <c:x val="4.6296362275982474E-2"/>
          <c:y val="4.2404811506185046E-2"/>
          <c:w val="0.94907407407407407"/>
          <c:h val="0.58041123783293902"/>
        </c:manualLayout>
      </c:layout>
      <c:barChart>
        <c:barDir val="col"/>
        <c:grouping val="clustered"/>
        <c:varyColors val="0"/>
        <c:ser>
          <c:idx val="0"/>
          <c:order val="0"/>
          <c:tx>
            <c:strRef>
              <c:f>Sheet1!$B$1</c:f>
              <c:strCache>
                <c:ptCount val="1"/>
                <c:pt idx="0">
                  <c:v>BH1</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EC</c:v>
                </c:pt>
              </c:strCache>
            </c:strRef>
          </c:cat>
          <c:val>
            <c:numRef>
              <c:f>Sheet1!$B$2</c:f>
              <c:numCache>
                <c:formatCode>General</c:formatCode>
                <c:ptCount val="1"/>
                <c:pt idx="0">
                  <c:v>166.2</c:v>
                </c:pt>
              </c:numCache>
            </c:numRef>
          </c:val>
          <c:extLst>
            <c:ext xmlns:c16="http://schemas.microsoft.com/office/drawing/2014/chart" uri="{C3380CC4-5D6E-409C-BE32-E72D297353CC}">
              <c16:uniqueId val="{00000000-AF72-4BCD-A897-8F3107540DE9}"/>
            </c:ext>
          </c:extLst>
        </c:ser>
        <c:ser>
          <c:idx val="1"/>
          <c:order val="1"/>
          <c:tx>
            <c:strRef>
              <c:f>Sheet1!$C$1</c:f>
              <c:strCache>
                <c:ptCount val="1"/>
                <c:pt idx="0">
                  <c:v>BH2</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EC</c:v>
                </c:pt>
              </c:strCache>
            </c:strRef>
          </c:cat>
          <c:val>
            <c:numRef>
              <c:f>Sheet1!$C$2</c:f>
              <c:numCache>
                <c:formatCode>General</c:formatCode>
                <c:ptCount val="1"/>
                <c:pt idx="0">
                  <c:v>156.9</c:v>
                </c:pt>
              </c:numCache>
            </c:numRef>
          </c:val>
          <c:extLst>
            <c:ext xmlns:c16="http://schemas.microsoft.com/office/drawing/2014/chart" uri="{C3380CC4-5D6E-409C-BE32-E72D297353CC}">
              <c16:uniqueId val="{00000001-AF72-4BCD-A897-8F3107540DE9}"/>
            </c:ext>
          </c:extLst>
        </c:ser>
        <c:ser>
          <c:idx val="2"/>
          <c:order val="2"/>
          <c:tx>
            <c:strRef>
              <c:f>Sheet1!$D$1</c:f>
              <c:strCache>
                <c:ptCount val="1"/>
                <c:pt idx="0">
                  <c:v>BH3</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EC</c:v>
                </c:pt>
              </c:strCache>
            </c:strRef>
          </c:cat>
          <c:val>
            <c:numRef>
              <c:f>Sheet1!$D$2</c:f>
              <c:numCache>
                <c:formatCode>General</c:formatCode>
                <c:ptCount val="1"/>
                <c:pt idx="0">
                  <c:v>123.1</c:v>
                </c:pt>
              </c:numCache>
            </c:numRef>
          </c:val>
          <c:extLst>
            <c:ext xmlns:c16="http://schemas.microsoft.com/office/drawing/2014/chart" uri="{C3380CC4-5D6E-409C-BE32-E72D297353CC}">
              <c16:uniqueId val="{00000002-AF72-4BCD-A897-8F3107540DE9}"/>
            </c:ext>
          </c:extLst>
        </c:ser>
        <c:ser>
          <c:idx val="3"/>
          <c:order val="3"/>
          <c:tx>
            <c:strRef>
              <c:f>Sheet1!$E$1</c:f>
              <c:strCache>
                <c:ptCount val="1"/>
                <c:pt idx="0">
                  <c:v>BH4</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EC</c:v>
                </c:pt>
              </c:strCache>
            </c:strRef>
          </c:cat>
          <c:val>
            <c:numRef>
              <c:f>Sheet1!$E$2</c:f>
              <c:numCache>
                <c:formatCode>General</c:formatCode>
                <c:ptCount val="1"/>
                <c:pt idx="0">
                  <c:v>126.2</c:v>
                </c:pt>
              </c:numCache>
            </c:numRef>
          </c:val>
          <c:extLst>
            <c:ext xmlns:c16="http://schemas.microsoft.com/office/drawing/2014/chart" uri="{C3380CC4-5D6E-409C-BE32-E72D297353CC}">
              <c16:uniqueId val="{00000003-AF72-4BCD-A897-8F3107540DE9}"/>
            </c:ext>
          </c:extLst>
        </c:ser>
        <c:ser>
          <c:idx val="4"/>
          <c:order val="4"/>
          <c:tx>
            <c:strRef>
              <c:f>Sheet1!$F$1</c:f>
              <c:strCache>
                <c:ptCount val="1"/>
                <c:pt idx="0">
                  <c:v>BH5</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EC</c:v>
                </c:pt>
              </c:strCache>
            </c:strRef>
          </c:cat>
          <c:val>
            <c:numRef>
              <c:f>Sheet1!$F$2</c:f>
              <c:numCache>
                <c:formatCode>General</c:formatCode>
                <c:ptCount val="1"/>
                <c:pt idx="0">
                  <c:v>101.9</c:v>
                </c:pt>
              </c:numCache>
            </c:numRef>
          </c:val>
          <c:extLst>
            <c:ext xmlns:c16="http://schemas.microsoft.com/office/drawing/2014/chart" uri="{C3380CC4-5D6E-409C-BE32-E72D297353CC}">
              <c16:uniqueId val="{00000004-AF72-4BCD-A897-8F3107540DE9}"/>
            </c:ext>
          </c:extLst>
        </c:ser>
        <c:ser>
          <c:idx val="5"/>
          <c:order val="5"/>
          <c:tx>
            <c:strRef>
              <c:f>Sheet1!$G$1</c:f>
              <c:strCache>
                <c:ptCount val="1"/>
                <c:pt idx="0">
                  <c:v>BH6</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EC</c:v>
                </c:pt>
              </c:strCache>
            </c:strRef>
          </c:cat>
          <c:val>
            <c:numRef>
              <c:f>Sheet1!$G$2</c:f>
              <c:numCache>
                <c:formatCode>General</c:formatCode>
                <c:ptCount val="1"/>
                <c:pt idx="0">
                  <c:v>132.69999999999999</c:v>
                </c:pt>
              </c:numCache>
            </c:numRef>
          </c:val>
          <c:extLst>
            <c:ext xmlns:c16="http://schemas.microsoft.com/office/drawing/2014/chart" uri="{C3380CC4-5D6E-409C-BE32-E72D297353CC}">
              <c16:uniqueId val="{00000005-AF72-4BCD-A897-8F3107540DE9}"/>
            </c:ext>
          </c:extLst>
        </c:ser>
        <c:ser>
          <c:idx val="6"/>
          <c:order val="6"/>
          <c:tx>
            <c:strRef>
              <c:f>Sheet1!$H$1</c:f>
              <c:strCache>
                <c:ptCount val="1"/>
                <c:pt idx="0">
                  <c:v>BH7</c:v>
                </c:pt>
              </c:strCache>
            </c:strRef>
          </c:tx>
          <c:spPr>
            <a:solidFill>
              <a:schemeClr val="accent1">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EC</c:v>
                </c:pt>
              </c:strCache>
            </c:strRef>
          </c:cat>
          <c:val>
            <c:numRef>
              <c:f>Sheet1!$H$2</c:f>
              <c:numCache>
                <c:formatCode>General</c:formatCode>
                <c:ptCount val="1"/>
                <c:pt idx="0">
                  <c:v>77.709999999999994</c:v>
                </c:pt>
              </c:numCache>
            </c:numRef>
          </c:val>
          <c:extLst>
            <c:ext xmlns:c16="http://schemas.microsoft.com/office/drawing/2014/chart" uri="{C3380CC4-5D6E-409C-BE32-E72D297353CC}">
              <c16:uniqueId val="{00000006-AF72-4BCD-A897-8F3107540DE9}"/>
            </c:ext>
          </c:extLst>
        </c:ser>
        <c:ser>
          <c:idx val="7"/>
          <c:order val="7"/>
          <c:tx>
            <c:strRef>
              <c:f>Sheet1!$I$1</c:f>
              <c:strCache>
                <c:ptCount val="1"/>
                <c:pt idx="0">
                  <c:v>BH8</c:v>
                </c:pt>
              </c:strCache>
            </c:strRef>
          </c:tx>
          <c:spPr>
            <a:solidFill>
              <a:schemeClr val="accent2">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EC</c:v>
                </c:pt>
              </c:strCache>
            </c:strRef>
          </c:cat>
          <c:val>
            <c:numRef>
              <c:f>Sheet1!$I$2</c:f>
              <c:numCache>
                <c:formatCode>General</c:formatCode>
                <c:ptCount val="1"/>
                <c:pt idx="0">
                  <c:v>99.2</c:v>
                </c:pt>
              </c:numCache>
            </c:numRef>
          </c:val>
          <c:extLst>
            <c:ext xmlns:c16="http://schemas.microsoft.com/office/drawing/2014/chart" uri="{C3380CC4-5D6E-409C-BE32-E72D297353CC}">
              <c16:uniqueId val="{00000007-AF72-4BCD-A897-8F3107540DE9}"/>
            </c:ext>
          </c:extLst>
        </c:ser>
        <c:ser>
          <c:idx val="8"/>
          <c:order val="8"/>
          <c:tx>
            <c:strRef>
              <c:f>Sheet1!$J$1</c:f>
              <c:strCache>
                <c:ptCount val="1"/>
                <c:pt idx="0">
                  <c:v>BH9</c:v>
                </c:pt>
              </c:strCache>
            </c:strRef>
          </c:tx>
          <c:spPr>
            <a:solidFill>
              <a:schemeClr val="accent3">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EC</c:v>
                </c:pt>
              </c:strCache>
            </c:strRef>
          </c:cat>
          <c:val>
            <c:numRef>
              <c:f>Sheet1!$J$2</c:f>
              <c:numCache>
                <c:formatCode>General</c:formatCode>
                <c:ptCount val="1"/>
                <c:pt idx="0">
                  <c:v>15.67</c:v>
                </c:pt>
              </c:numCache>
            </c:numRef>
          </c:val>
          <c:extLst>
            <c:ext xmlns:c16="http://schemas.microsoft.com/office/drawing/2014/chart" uri="{C3380CC4-5D6E-409C-BE32-E72D297353CC}">
              <c16:uniqueId val="{00000008-AF72-4BCD-A897-8F3107540DE9}"/>
            </c:ext>
          </c:extLst>
        </c:ser>
        <c:ser>
          <c:idx val="9"/>
          <c:order val="9"/>
          <c:tx>
            <c:strRef>
              <c:f>Sheet1!$K$1</c:f>
              <c:strCache>
                <c:ptCount val="1"/>
                <c:pt idx="0">
                  <c:v>BH10</c:v>
                </c:pt>
              </c:strCache>
            </c:strRef>
          </c:tx>
          <c:spPr>
            <a:solidFill>
              <a:schemeClr val="accent4">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EC</c:v>
                </c:pt>
              </c:strCache>
            </c:strRef>
          </c:cat>
          <c:val>
            <c:numRef>
              <c:f>Sheet1!$K$2</c:f>
              <c:numCache>
                <c:formatCode>General</c:formatCode>
                <c:ptCount val="1"/>
                <c:pt idx="0">
                  <c:v>16.73</c:v>
                </c:pt>
              </c:numCache>
            </c:numRef>
          </c:val>
          <c:extLst>
            <c:ext xmlns:c16="http://schemas.microsoft.com/office/drawing/2014/chart" uri="{C3380CC4-5D6E-409C-BE32-E72D297353CC}">
              <c16:uniqueId val="{00000009-AF72-4BCD-A897-8F3107540DE9}"/>
            </c:ext>
          </c:extLst>
        </c:ser>
        <c:ser>
          <c:idx val="10"/>
          <c:order val="10"/>
          <c:tx>
            <c:strRef>
              <c:f>Sheet1!$L$1</c:f>
              <c:strCache>
                <c:ptCount val="1"/>
                <c:pt idx="0">
                  <c:v>BH11</c:v>
                </c:pt>
              </c:strCache>
            </c:strRef>
          </c:tx>
          <c:spPr>
            <a:solidFill>
              <a:schemeClr val="accent5">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EC</c:v>
                </c:pt>
              </c:strCache>
            </c:strRef>
          </c:cat>
          <c:val>
            <c:numRef>
              <c:f>Sheet1!$L$2</c:f>
              <c:numCache>
                <c:formatCode>General</c:formatCode>
                <c:ptCount val="1"/>
                <c:pt idx="0">
                  <c:v>33.89</c:v>
                </c:pt>
              </c:numCache>
            </c:numRef>
          </c:val>
          <c:extLst>
            <c:ext xmlns:c16="http://schemas.microsoft.com/office/drawing/2014/chart" uri="{C3380CC4-5D6E-409C-BE32-E72D297353CC}">
              <c16:uniqueId val="{0000000A-AF72-4BCD-A897-8F3107540DE9}"/>
            </c:ext>
          </c:extLst>
        </c:ser>
        <c:ser>
          <c:idx val="11"/>
          <c:order val="11"/>
          <c:tx>
            <c:strRef>
              <c:f>Sheet1!$M$1</c:f>
              <c:strCache>
                <c:ptCount val="1"/>
                <c:pt idx="0">
                  <c:v>B12</c:v>
                </c:pt>
              </c:strCache>
            </c:strRef>
          </c:tx>
          <c:spPr>
            <a:solidFill>
              <a:schemeClr val="accent6">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EC</c:v>
                </c:pt>
              </c:strCache>
            </c:strRef>
          </c:cat>
          <c:val>
            <c:numRef>
              <c:f>Sheet1!$M$2</c:f>
              <c:numCache>
                <c:formatCode>General</c:formatCode>
                <c:ptCount val="1"/>
                <c:pt idx="0">
                  <c:v>428.5</c:v>
                </c:pt>
              </c:numCache>
            </c:numRef>
          </c:val>
          <c:extLst>
            <c:ext xmlns:c16="http://schemas.microsoft.com/office/drawing/2014/chart" uri="{C3380CC4-5D6E-409C-BE32-E72D297353CC}">
              <c16:uniqueId val="{0000000B-AF72-4BCD-A897-8F3107540DE9}"/>
            </c:ext>
          </c:extLst>
        </c:ser>
        <c:ser>
          <c:idx val="12"/>
          <c:order val="12"/>
          <c:tx>
            <c:strRef>
              <c:f>Sheet1!$N$1</c:f>
              <c:strCache>
                <c:ptCount val="1"/>
                <c:pt idx="0">
                  <c:v>BH13</c:v>
                </c:pt>
              </c:strCache>
            </c:strRef>
          </c:tx>
          <c:spPr>
            <a:solidFill>
              <a:schemeClr val="accent1">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EC</c:v>
                </c:pt>
              </c:strCache>
            </c:strRef>
          </c:cat>
          <c:val>
            <c:numRef>
              <c:f>Sheet1!$N$2</c:f>
              <c:numCache>
                <c:formatCode>General</c:formatCode>
                <c:ptCount val="1"/>
                <c:pt idx="0">
                  <c:v>37</c:v>
                </c:pt>
              </c:numCache>
            </c:numRef>
          </c:val>
          <c:extLst>
            <c:ext xmlns:c16="http://schemas.microsoft.com/office/drawing/2014/chart" uri="{C3380CC4-5D6E-409C-BE32-E72D297353CC}">
              <c16:uniqueId val="{0000000C-AF72-4BCD-A897-8F3107540DE9}"/>
            </c:ext>
          </c:extLst>
        </c:ser>
        <c:ser>
          <c:idx val="13"/>
          <c:order val="13"/>
          <c:tx>
            <c:strRef>
              <c:f>Sheet1!$O$1</c:f>
              <c:strCache>
                <c:ptCount val="1"/>
                <c:pt idx="0">
                  <c:v>BH14</c:v>
                </c:pt>
              </c:strCache>
            </c:strRef>
          </c:tx>
          <c:spPr>
            <a:solidFill>
              <a:schemeClr val="accent2">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EC</c:v>
                </c:pt>
              </c:strCache>
            </c:strRef>
          </c:cat>
          <c:val>
            <c:numRef>
              <c:f>Sheet1!$O$2</c:f>
              <c:numCache>
                <c:formatCode>General</c:formatCode>
                <c:ptCount val="1"/>
                <c:pt idx="0">
                  <c:v>57.47</c:v>
                </c:pt>
              </c:numCache>
            </c:numRef>
          </c:val>
          <c:extLst>
            <c:ext xmlns:c16="http://schemas.microsoft.com/office/drawing/2014/chart" uri="{C3380CC4-5D6E-409C-BE32-E72D297353CC}">
              <c16:uniqueId val="{0000000D-AF72-4BCD-A897-8F3107540DE9}"/>
            </c:ext>
          </c:extLst>
        </c:ser>
        <c:ser>
          <c:idx val="14"/>
          <c:order val="14"/>
          <c:tx>
            <c:strRef>
              <c:f>Sheet1!$P$1</c:f>
              <c:strCache>
                <c:ptCount val="1"/>
                <c:pt idx="0">
                  <c:v>BH15</c:v>
                </c:pt>
              </c:strCache>
            </c:strRef>
          </c:tx>
          <c:spPr>
            <a:solidFill>
              <a:schemeClr val="accent3">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EC</c:v>
                </c:pt>
              </c:strCache>
            </c:strRef>
          </c:cat>
          <c:val>
            <c:numRef>
              <c:f>Sheet1!$P$2</c:f>
              <c:numCache>
                <c:formatCode>General</c:formatCode>
                <c:ptCount val="1"/>
                <c:pt idx="0">
                  <c:v>39.53</c:v>
                </c:pt>
              </c:numCache>
            </c:numRef>
          </c:val>
          <c:extLst>
            <c:ext xmlns:c16="http://schemas.microsoft.com/office/drawing/2014/chart" uri="{C3380CC4-5D6E-409C-BE32-E72D297353CC}">
              <c16:uniqueId val="{0000000E-AF72-4BCD-A897-8F3107540DE9}"/>
            </c:ext>
          </c:extLst>
        </c:ser>
        <c:ser>
          <c:idx val="15"/>
          <c:order val="15"/>
          <c:tx>
            <c:strRef>
              <c:f>Sheet1!$Q$1</c:f>
              <c:strCache>
                <c:ptCount val="1"/>
                <c:pt idx="0">
                  <c:v>CON</c:v>
                </c:pt>
              </c:strCache>
            </c:strRef>
          </c:tx>
          <c:spPr>
            <a:solidFill>
              <a:schemeClr val="accent4">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EC</c:v>
                </c:pt>
              </c:strCache>
            </c:strRef>
          </c:cat>
          <c:val>
            <c:numRef>
              <c:f>Sheet1!$Q$2</c:f>
              <c:numCache>
                <c:formatCode>General</c:formatCode>
                <c:ptCount val="1"/>
                <c:pt idx="0">
                  <c:v>82.95</c:v>
                </c:pt>
              </c:numCache>
            </c:numRef>
          </c:val>
          <c:extLst>
            <c:ext xmlns:c16="http://schemas.microsoft.com/office/drawing/2014/chart" uri="{C3380CC4-5D6E-409C-BE32-E72D297353CC}">
              <c16:uniqueId val="{0000000F-AF72-4BCD-A897-8F3107540DE9}"/>
            </c:ext>
          </c:extLst>
        </c:ser>
        <c:ser>
          <c:idx val="16"/>
          <c:order val="16"/>
          <c:tx>
            <c:strRef>
              <c:f>Sheet1!$R$1</c:f>
              <c:strCache>
                <c:ptCount val="1"/>
                <c:pt idx="0">
                  <c:v>Mean</c:v>
                </c:pt>
              </c:strCache>
            </c:strRef>
          </c:tx>
          <c:spPr>
            <a:solidFill>
              <a:schemeClr val="accent5">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EC</c:v>
                </c:pt>
              </c:strCache>
            </c:strRef>
          </c:cat>
          <c:val>
            <c:numRef>
              <c:f>Sheet1!$R$2</c:f>
              <c:numCache>
                <c:formatCode>General</c:formatCode>
                <c:ptCount val="1"/>
                <c:pt idx="0">
                  <c:v>107.51</c:v>
                </c:pt>
              </c:numCache>
            </c:numRef>
          </c:val>
          <c:extLst>
            <c:ext xmlns:c16="http://schemas.microsoft.com/office/drawing/2014/chart" uri="{C3380CC4-5D6E-409C-BE32-E72D297353CC}">
              <c16:uniqueId val="{00000010-AF72-4BCD-A897-8F3107540DE9}"/>
            </c:ext>
          </c:extLst>
        </c:ser>
        <c:dLbls>
          <c:showLegendKey val="0"/>
          <c:showVal val="0"/>
          <c:showCatName val="0"/>
          <c:showSerName val="0"/>
          <c:showPercent val="0"/>
          <c:showBubbleSize val="0"/>
        </c:dLbls>
        <c:gapWidth val="444"/>
        <c:overlap val="-90"/>
        <c:axId val="636778191"/>
        <c:axId val="1"/>
      </c:barChart>
      <c:catAx>
        <c:axId val="636778191"/>
        <c:scaling>
          <c:orientation val="minMax"/>
        </c:scaling>
        <c:delete val="0"/>
        <c:axPos val="b"/>
        <c:majorGridlines>
          <c:spPr>
            <a:ln w="9524"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4"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1"/>
        <c:axPos val="l"/>
        <c:title>
          <c:tx>
            <c:rich>
              <a:bodyPr/>
              <a:lstStyle/>
              <a:p>
                <a:pPr>
                  <a:defRPr sz="900" b="0" i="0" u="none" strike="noStrike" baseline="0">
                    <a:solidFill>
                      <a:srgbClr val="333333"/>
                    </a:solidFill>
                    <a:latin typeface="Calibri"/>
                    <a:ea typeface="Calibri"/>
                    <a:cs typeface="Calibri"/>
                  </a:defRPr>
                </a:pPr>
                <a:r>
                  <a:rPr lang="en-GB"/>
                  <a:t>CONCENTRATIONS</a:t>
                </a:r>
              </a:p>
            </c:rich>
          </c:tx>
          <c:overlay val="0"/>
          <c:spPr>
            <a:noFill/>
            <a:ln>
              <a:noFill/>
            </a:ln>
            <a:effectLst/>
          </c:spPr>
        </c:title>
        <c:numFmt formatCode="General" sourceLinked="1"/>
        <c:majorTickMark val="out"/>
        <c:minorTickMark val="none"/>
        <c:tickLblPos val="nextTo"/>
        <c:crossAx val="636778191"/>
        <c:crosses val="autoZero"/>
        <c:crossBetween val="between"/>
      </c:valAx>
      <c:spPr>
        <a:noFill/>
        <a:ln w="25397">
          <a:noFill/>
        </a:ln>
      </c:spPr>
    </c:plotArea>
    <c:legend>
      <c:legendPos val="t"/>
      <c:layout>
        <c:manualLayout>
          <c:xMode val="edge"/>
          <c:yMode val="edge"/>
          <c:x val="3.7136455504037602E-2"/>
          <c:y val="0.69463576089133439"/>
          <c:w val="0.94424574976908371"/>
          <c:h val="0.3044918782742518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a:noFill/>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GB" cap="none"/>
              <a:t>Salinity</a:t>
            </a:r>
            <a:endParaRPr lang="en-GB"/>
          </a:p>
        </c:rich>
      </c:tx>
      <c:overlay val="0"/>
      <c:spPr>
        <a:noFill/>
        <a:ln>
          <a:noFill/>
        </a:ln>
        <a:effectLst/>
      </c:spPr>
    </c:title>
    <c:autoTitleDeleted val="0"/>
    <c:plotArea>
      <c:layout>
        <c:manualLayout>
          <c:layoutTarget val="inner"/>
          <c:xMode val="edge"/>
          <c:yMode val="edge"/>
          <c:x val="4.6296461850565622E-2"/>
          <c:y val="4.380761046844453E-2"/>
          <c:w val="0.94907407407407407"/>
          <c:h val="0.60523811066826527"/>
        </c:manualLayout>
      </c:layout>
      <c:barChart>
        <c:barDir val="col"/>
        <c:grouping val="clustered"/>
        <c:varyColors val="0"/>
        <c:ser>
          <c:idx val="0"/>
          <c:order val="0"/>
          <c:tx>
            <c:strRef>
              <c:f>Sheet1!$B$1</c:f>
              <c:strCache>
                <c:ptCount val="1"/>
                <c:pt idx="0">
                  <c:v>BH1</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Salinity</c:v>
                </c:pt>
              </c:strCache>
            </c:strRef>
          </c:cat>
          <c:val>
            <c:numRef>
              <c:f>Sheet1!$B$2</c:f>
              <c:numCache>
                <c:formatCode>General</c:formatCode>
                <c:ptCount val="1"/>
                <c:pt idx="0">
                  <c:v>0.01</c:v>
                </c:pt>
              </c:numCache>
            </c:numRef>
          </c:val>
          <c:extLst>
            <c:ext xmlns:c16="http://schemas.microsoft.com/office/drawing/2014/chart" uri="{C3380CC4-5D6E-409C-BE32-E72D297353CC}">
              <c16:uniqueId val="{00000000-9E82-45E0-B68E-DD5F9CD22BE3}"/>
            </c:ext>
          </c:extLst>
        </c:ser>
        <c:ser>
          <c:idx val="1"/>
          <c:order val="1"/>
          <c:tx>
            <c:strRef>
              <c:f>Sheet1!$C$1</c:f>
              <c:strCache>
                <c:ptCount val="1"/>
                <c:pt idx="0">
                  <c:v>BH2</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Salinity</c:v>
                </c:pt>
              </c:strCache>
            </c:strRef>
          </c:cat>
          <c:val>
            <c:numRef>
              <c:f>Sheet1!$C$2</c:f>
              <c:numCache>
                <c:formatCode>General</c:formatCode>
                <c:ptCount val="1"/>
                <c:pt idx="0">
                  <c:v>0.01</c:v>
                </c:pt>
              </c:numCache>
            </c:numRef>
          </c:val>
          <c:extLst>
            <c:ext xmlns:c16="http://schemas.microsoft.com/office/drawing/2014/chart" uri="{C3380CC4-5D6E-409C-BE32-E72D297353CC}">
              <c16:uniqueId val="{00000001-9E82-45E0-B68E-DD5F9CD22BE3}"/>
            </c:ext>
          </c:extLst>
        </c:ser>
        <c:ser>
          <c:idx val="2"/>
          <c:order val="2"/>
          <c:tx>
            <c:strRef>
              <c:f>Sheet1!$D$1</c:f>
              <c:strCache>
                <c:ptCount val="1"/>
                <c:pt idx="0">
                  <c:v>BH3</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Salinity</c:v>
                </c:pt>
              </c:strCache>
            </c:strRef>
          </c:cat>
          <c:val>
            <c:numRef>
              <c:f>Sheet1!$D$2</c:f>
              <c:numCache>
                <c:formatCode>General</c:formatCode>
                <c:ptCount val="1"/>
                <c:pt idx="0">
                  <c:v>0.01</c:v>
                </c:pt>
              </c:numCache>
            </c:numRef>
          </c:val>
          <c:extLst>
            <c:ext xmlns:c16="http://schemas.microsoft.com/office/drawing/2014/chart" uri="{C3380CC4-5D6E-409C-BE32-E72D297353CC}">
              <c16:uniqueId val="{00000002-9E82-45E0-B68E-DD5F9CD22BE3}"/>
            </c:ext>
          </c:extLst>
        </c:ser>
        <c:ser>
          <c:idx val="3"/>
          <c:order val="3"/>
          <c:tx>
            <c:strRef>
              <c:f>Sheet1!$E$1</c:f>
              <c:strCache>
                <c:ptCount val="1"/>
                <c:pt idx="0">
                  <c:v>BH4</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Salinity</c:v>
                </c:pt>
              </c:strCache>
            </c:strRef>
          </c:cat>
          <c:val>
            <c:numRef>
              <c:f>Sheet1!$E$2</c:f>
              <c:numCache>
                <c:formatCode>General</c:formatCode>
                <c:ptCount val="1"/>
                <c:pt idx="0">
                  <c:v>0.01</c:v>
                </c:pt>
              </c:numCache>
            </c:numRef>
          </c:val>
          <c:extLst>
            <c:ext xmlns:c16="http://schemas.microsoft.com/office/drawing/2014/chart" uri="{C3380CC4-5D6E-409C-BE32-E72D297353CC}">
              <c16:uniqueId val="{00000003-9E82-45E0-B68E-DD5F9CD22BE3}"/>
            </c:ext>
          </c:extLst>
        </c:ser>
        <c:ser>
          <c:idx val="4"/>
          <c:order val="4"/>
          <c:tx>
            <c:strRef>
              <c:f>Sheet1!$F$1</c:f>
              <c:strCache>
                <c:ptCount val="1"/>
                <c:pt idx="0">
                  <c:v>BH5</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Salinity</c:v>
                </c:pt>
              </c:strCache>
            </c:strRef>
          </c:cat>
          <c:val>
            <c:numRef>
              <c:f>Sheet1!$F$2</c:f>
              <c:numCache>
                <c:formatCode>General</c:formatCode>
                <c:ptCount val="1"/>
                <c:pt idx="0">
                  <c:v>0.01</c:v>
                </c:pt>
              </c:numCache>
            </c:numRef>
          </c:val>
          <c:extLst>
            <c:ext xmlns:c16="http://schemas.microsoft.com/office/drawing/2014/chart" uri="{C3380CC4-5D6E-409C-BE32-E72D297353CC}">
              <c16:uniqueId val="{00000004-9E82-45E0-B68E-DD5F9CD22BE3}"/>
            </c:ext>
          </c:extLst>
        </c:ser>
        <c:ser>
          <c:idx val="5"/>
          <c:order val="5"/>
          <c:tx>
            <c:strRef>
              <c:f>Sheet1!$G$1</c:f>
              <c:strCache>
                <c:ptCount val="1"/>
                <c:pt idx="0">
                  <c:v>BH6</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Salinity</c:v>
                </c:pt>
              </c:strCache>
            </c:strRef>
          </c:cat>
          <c:val>
            <c:numRef>
              <c:f>Sheet1!$G$2</c:f>
              <c:numCache>
                <c:formatCode>General</c:formatCode>
                <c:ptCount val="1"/>
                <c:pt idx="0">
                  <c:v>0.02</c:v>
                </c:pt>
              </c:numCache>
            </c:numRef>
          </c:val>
          <c:extLst>
            <c:ext xmlns:c16="http://schemas.microsoft.com/office/drawing/2014/chart" uri="{C3380CC4-5D6E-409C-BE32-E72D297353CC}">
              <c16:uniqueId val="{00000005-9E82-45E0-B68E-DD5F9CD22BE3}"/>
            </c:ext>
          </c:extLst>
        </c:ser>
        <c:ser>
          <c:idx val="6"/>
          <c:order val="6"/>
          <c:tx>
            <c:strRef>
              <c:f>Sheet1!$H$1</c:f>
              <c:strCache>
                <c:ptCount val="1"/>
                <c:pt idx="0">
                  <c:v>BH7</c:v>
                </c:pt>
              </c:strCache>
            </c:strRef>
          </c:tx>
          <c:spPr>
            <a:solidFill>
              <a:schemeClr val="accent1">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Salinity</c:v>
                </c:pt>
              </c:strCache>
            </c:strRef>
          </c:cat>
          <c:val>
            <c:numRef>
              <c:f>Sheet1!$H$2</c:f>
              <c:numCache>
                <c:formatCode>General</c:formatCode>
                <c:ptCount val="1"/>
                <c:pt idx="0">
                  <c:v>0.01</c:v>
                </c:pt>
              </c:numCache>
            </c:numRef>
          </c:val>
          <c:extLst>
            <c:ext xmlns:c16="http://schemas.microsoft.com/office/drawing/2014/chart" uri="{C3380CC4-5D6E-409C-BE32-E72D297353CC}">
              <c16:uniqueId val="{00000006-9E82-45E0-B68E-DD5F9CD22BE3}"/>
            </c:ext>
          </c:extLst>
        </c:ser>
        <c:ser>
          <c:idx val="7"/>
          <c:order val="7"/>
          <c:tx>
            <c:strRef>
              <c:f>Sheet1!$I$1</c:f>
              <c:strCache>
                <c:ptCount val="1"/>
                <c:pt idx="0">
                  <c:v>BH8</c:v>
                </c:pt>
              </c:strCache>
            </c:strRef>
          </c:tx>
          <c:spPr>
            <a:solidFill>
              <a:schemeClr val="accent2">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Salinity</c:v>
                </c:pt>
              </c:strCache>
            </c:strRef>
          </c:cat>
          <c:val>
            <c:numRef>
              <c:f>Sheet1!$I$2</c:f>
              <c:numCache>
                <c:formatCode>General</c:formatCode>
                <c:ptCount val="1"/>
                <c:pt idx="0">
                  <c:v>0</c:v>
                </c:pt>
              </c:numCache>
            </c:numRef>
          </c:val>
          <c:extLst>
            <c:ext xmlns:c16="http://schemas.microsoft.com/office/drawing/2014/chart" uri="{C3380CC4-5D6E-409C-BE32-E72D297353CC}">
              <c16:uniqueId val="{00000007-9E82-45E0-B68E-DD5F9CD22BE3}"/>
            </c:ext>
          </c:extLst>
        </c:ser>
        <c:ser>
          <c:idx val="8"/>
          <c:order val="8"/>
          <c:tx>
            <c:strRef>
              <c:f>Sheet1!$J$1</c:f>
              <c:strCache>
                <c:ptCount val="1"/>
                <c:pt idx="0">
                  <c:v>BH9</c:v>
                </c:pt>
              </c:strCache>
            </c:strRef>
          </c:tx>
          <c:spPr>
            <a:solidFill>
              <a:schemeClr val="accent3">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Salinity</c:v>
                </c:pt>
              </c:strCache>
            </c:strRef>
          </c:cat>
          <c:val>
            <c:numRef>
              <c:f>Sheet1!$J$2</c:f>
              <c:numCache>
                <c:formatCode>General</c:formatCode>
                <c:ptCount val="1"/>
                <c:pt idx="0">
                  <c:v>0.01</c:v>
                </c:pt>
              </c:numCache>
            </c:numRef>
          </c:val>
          <c:extLst>
            <c:ext xmlns:c16="http://schemas.microsoft.com/office/drawing/2014/chart" uri="{C3380CC4-5D6E-409C-BE32-E72D297353CC}">
              <c16:uniqueId val="{00000008-9E82-45E0-B68E-DD5F9CD22BE3}"/>
            </c:ext>
          </c:extLst>
        </c:ser>
        <c:ser>
          <c:idx val="9"/>
          <c:order val="9"/>
          <c:tx>
            <c:strRef>
              <c:f>Sheet1!$K$1</c:f>
              <c:strCache>
                <c:ptCount val="1"/>
                <c:pt idx="0">
                  <c:v>BH10</c:v>
                </c:pt>
              </c:strCache>
            </c:strRef>
          </c:tx>
          <c:spPr>
            <a:solidFill>
              <a:schemeClr val="accent4">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Salinity</c:v>
                </c:pt>
              </c:strCache>
            </c:strRef>
          </c:cat>
          <c:val>
            <c:numRef>
              <c:f>Sheet1!$K$2</c:f>
              <c:numCache>
                <c:formatCode>General</c:formatCode>
                <c:ptCount val="1"/>
                <c:pt idx="0">
                  <c:v>0.01</c:v>
                </c:pt>
              </c:numCache>
            </c:numRef>
          </c:val>
          <c:extLst>
            <c:ext xmlns:c16="http://schemas.microsoft.com/office/drawing/2014/chart" uri="{C3380CC4-5D6E-409C-BE32-E72D297353CC}">
              <c16:uniqueId val="{00000009-9E82-45E0-B68E-DD5F9CD22BE3}"/>
            </c:ext>
          </c:extLst>
        </c:ser>
        <c:ser>
          <c:idx val="10"/>
          <c:order val="10"/>
          <c:tx>
            <c:strRef>
              <c:f>Sheet1!$L$1</c:f>
              <c:strCache>
                <c:ptCount val="1"/>
                <c:pt idx="0">
                  <c:v>BH11</c:v>
                </c:pt>
              </c:strCache>
            </c:strRef>
          </c:tx>
          <c:spPr>
            <a:solidFill>
              <a:schemeClr val="accent5">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Salinity</c:v>
                </c:pt>
              </c:strCache>
            </c:strRef>
          </c:cat>
          <c:val>
            <c:numRef>
              <c:f>Sheet1!$L$2</c:f>
              <c:numCache>
                <c:formatCode>General</c:formatCode>
                <c:ptCount val="1"/>
                <c:pt idx="0">
                  <c:v>0.01</c:v>
                </c:pt>
              </c:numCache>
            </c:numRef>
          </c:val>
          <c:extLst>
            <c:ext xmlns:c16="http://schemas.microsoft.com/office/drawing/2014/chart" uri="{C3380CC4-5D6E-409C-BE32-E72D297353CC}">
              <c16:uniqueId val="{0000000A-9E82-45E0-B68E-DD5F9CD22BE3}"/>
            </c:ext>
          </c:extLst>
        </c:ser>
        <c:ser>
          <c:idx val="11"/>
          <c:order val="11"/>
          <c:tx>
            <c:strRef>
              <c:f>Sheet1!$M$1</c:f>
              <c:strCache>
                <c:ptCount val="1"/>
                <c:pt idx="0">
                  <c:v>B12</c:v>
                </c:pt>
              </c:strCache>
            </c:strRef>
          </c:tx>
          <c:spPr>
            <a:solidFill>
              <a:schemeClr val="accent6">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Salinity</c:v>
                </c:pt>
              </c:strCache>
            </c:strRef>
          </c:cat>
          <c:val>
            <c:numRef>
              <c:f>Sheet1!$M$2</c:f>
              <c:numCache>
                <c:formatCode>General</c:formatCode>
                <c:ptCount val="1"/>
                <c:pt idx="0">
                  <c:v>0</c:v>
                </c:pt>
              </c:numCache>
            </c:numRef>
          </c:val>
          <c:extLst>
            <c:ext xmlns:c16="http://schemas.microsoft.com/office/drawing/2014/chart" uri="{C3380CC4-5D6E-409C-BE32-E72D297353CC}">
              <c16:uniqueId val="{0000000B-9E82-45E0-B68E-DD5F9CD22BE3}"/>
            </c:ext>
          </c:extLst>
        </c:ser>
        <c:ser>
          <c:idx val="12"/>
          <c:order val="12"/>
          <c:tx>
            <c:strRef>
              <c:f>Sheet1!$N$1</c:f>
              <c:strCache>
                <c:ptCount val="1"/>
                <c:pt idx="0">
                  <c:v>BH13</c:v>
                </c:pt>
              </c:strCache>
            </c:strRef>
          </c:tx>
          <c:spPr>
            <a:solidFill>
              <a:schemeClr val="accent1">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Salinity</c:v>
                </c:pt>
              </c:strCache>
            </c:strRef>
          </c:cat>
          <c:val>
            <c:numRef>
              <c:f>Sheet1!$N$2</c:f>
              <c:numCache>
                <c:formatCode>General</c:formatCode>
                <c:ptCount val="1"/>
                <c:pt idx="0">
                  <c:v>0.01</c:v>
                </c:pt>
              </c:numCache>
            </c:numRef>
          </c:val>
          <c:extLst>
            <c:ext xmlns:c16="http://schemas.microsoft.com/office/drawing/2014/chart" uri="{C3380CC4-5D6E-409C-BE32-E72D297353CC}">
              <c16:uniqueId val="{0000000C-9E82-45E0-B68E-DD5F9CD22BE3}"/>
            </c:ext>
          </c:extLst>
        </c:ser>
        <c:ser>
          <c:idx val="13"/>
          <c:order val="13"/>
          <c:tx>
            <c:strRef>
              <c:f>Sheet1!$O$1</c:f>
              <c:strCache>
                <c:ptCount val="1"/>
                <c:pt idx="0">
                  <c:v>BH14</c:v>
                </c:pt>
              </c:strCache>
            </c:strRef>
          </c:tx>
          <c:spPr>
            <a:solidFill>
              <a:schemeClr val="accent2">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Salinity</c:v>
                </c:pt>
              </c:strCache>
            </c:strRef>
          </c:cat>
          <c:val>
            <c:numRef>
              <c:f>Sheet1!$O$2</c:f>
              <c:numCache>
                <c:formatCode>General</c:formatCode>
                <c:ptCount val="1"/>
                <c:pt idx="0">
                  <c:v>0.01</c:v>
                </c:pt>
              </c:numCache>
            </c:numRef>
          </c:val>
          <c:extLst>
            <c:ext xmlns:c16="http://schemas.microsoft.com/office/drawing/2014/chart" uri="{C3380CC4-5D6E-409C-BE32-E72D297353CC}">
              <c16:uniqueId val="{0000000D-9E82-45E0-B68E-DD5F9CD22BE3}"/>
            </c:ext>
          </c:extLst>
        </c:ser>
        <c:ser>
          <c:idx val="14"/>
          <c:order val="14"/>
          <c:tx>
            <c:strRef>
              <c:f>Sheet1!$P$1</c:f>
              <c:strCache>
                <c:ptCount val="1"/>
                <c:pt idx="0">
                  <c:v>BH15</c:v>
                </c:pt>
              </c:strCache>
            </c:strRef>
          </c:tx>
          <c:spPr>
            <a:solidFill>
              <a:schemeClr val="accent3">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Salinity</c:v>
                </c:pt>
              </c:strCache>
            </c:strRef>
          </c:cat>
          <c:val>
            <c:numRef>
              <c:f>Sheet1!$P$2</c:f>
              <c:numCache>
                <c:formatCode>General</c:formatCode>
                <c:ptCount val="1"/>
                <c:pt idx="0">
                  <c:v>0.02</c:v>
                </c:pt>
              </c:numCache>
            </c:numRef>
          </c:val>
          <c:extLst>
            <c:ext xmlns:c16="http://schemas.microsoft.com/office/drawing/2014/chart" uri="{C3380CC4-5D6E-409C-BE32-E72D297353CC}">
              <c16:uniqueId val="{0000000E-9E82-45E0-B68E-DD5F9CD22BE3}"/>
            </c:ext>
          </c:extLst>
        </c:ser>
        <c:ser>
          <c:idx val="15"/>
          <c:order val="15"/>
          <c:tx>
            <c:strRef>
              <c:f>Sheet1!$Q$1</c:f>
              <c:strCache>
                <c:ptCount val="1"/>
                <c:pt idx="0">
                  <c:v>CON</c:v>
                </c:pt>
              </c:strCache>
            </c:strRef>
          </c:tx>
          <c:spPr>
            <a:solidFill>
              <a:schemeClr val="accent4">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Salinity</c:v>
                </c:pt>
              </c:strCache>
            </c:strRef>
          </c:cat>
          <c:val>
            <c:numRef>
              <c:f>Sheet1!$Q$2</c:f>
              <c:numCache>
                <c:formatCode>General</c:formatCode>
                <c:ptCount val="1"/>
                <c:pt idx="0">
                  <c:v>0</c:v>
                </c:pt>
              </c:numCache>
            </c:numRef>
          </c:val>
          <c:extLst>
            <c:ext xmlns:c16="http://schemas.microsoft.com/office/drawing/2014/chart" uri="{C3380CC4-5D6E-409C-BE32-E72D297353CC}">
              <c16:uniqueId val="{0000000F-9E82-45E0-B68E-DD5F9CD22BE3}"/>
            </c:ext>
          </c:extLst>
        </c:ser>
        <c:ser>
          <c:idx val="16"/>
          <c:order val="16"/>
          <c:tx>
            <c:strRef>
              <c:f>Sheet1!$R$1</c:f>
              <c:strCache>
                <c:ptCount val="1"/>
                <c:pt idx="0">
                  <c:v>Mean</c:v>
                </c:pt>
              </c:strCache>
            </c:strRef>
          </c:tx>
          <c:spPr>
            <a:solidFill>
              <a:schemeClr val="accent5">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Salinity</c:v>
                </c:pt>
              </c:strCache>
            </c:strRef>
          </c:cat>
          <c:val>
            <c:numRef>
              <c:f>Sheet1!$R$2</c:f>
              <c:numCache>
                <c:formatCode>General</c:formatCode>
                <c:ptCount val="1"/>
                <c:pt idx="0">
                  <c:v>0.01</c:v>
                </c:pt>
              </c:numCache>
            </c:numRef>
          </c:val>
          <c:extLst>
            <c:ext xmlns:c16="http://schemas.microsoft.com/office/drawing/2014/chart" uri="{C3380CC4-5D6E-409C-BE32-E72D297353CC}">
              <c16:uniqueId val="{00000010-9E82-45E0-B68E-DD5F9CD22BE3}"/>
            </c:ext>
          </c:extLst>
        </c:ser>
        <c:dLbls>
          <c:showLegendKey val="0"/>
          <c:showVal val="0"/>
          <c:showCatName val="0"/>
          <c:showSerName val="0"/>
          <c:showPercent val="0"/>
          <c:showBubbleSize val="0"/>
        </c:dLbls>
        <c:gapWidth val="444"/>
        <c:overlap val="-90"/>
        <c:axId val="559453055"/>
        <c:axId val="1"/>
      </c:barChart>
      <c:catAx>
        <c:axId val="559453055"/>
        <c:scaling>
          <c:orientation val="minMax"/>
        </c:scaling>
        <c:delete val="0"/>
        <c:axPos val="b"/>
        <c:majorGridlines>
          <c:spPr>
            <a:ln w="9523"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3"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1"/>
        <c:axPos val="l"/>
        <c:title>
          <c:tx>
            <c:rich>
              <a:bodyPr/>
              <a:lstStyle/>
              <a:p>
                <a:pPr>
                  <a:defRPr sz="900" b="0" i="0" u="none" strike="noStrike" baseline="0">
                    <a:solidFill>
                      <a:srgbClr val="333333"/>
                    </a:solidFill>
                    <a:latin typeface="Calibri"/>
                    <a:ea typeface="Calibri"/>
                    <a:cs typeface="Calibri"/>
                  </a:defRPr>
                </a:pPr>
                <a:r>
                  <a:rPr lang="en-GB"/>
                  <a:t>CONCENTRATIONS</a:t>
                </a:r>
              </a:p>
            </c:rich>
          </c:tx>
          <c:overlay val="0"/>
          <c:spPr>
            <a:noFill/>
            <a:ln>
              <a:noFill/>
            </a:ln>
            <a:effectLst/>
          </c:spPr>
        </c:title>
        <c:numFmt formatCode="General" sourceLinked="1"/>
        <c:majorTickMark val="out"/>
        <c:minorTickMark val="none"/>
        <c:tickLblPos val="nextTo"/>
        <c:crossAx val="559453055"/>
        <c:crosses val="autoZero"/>
        <c:crossBetween val="between"/>
      </c:valAx>
      <c:spPr>
        <a:noFill/>
        <a:ln w="25396">
          <a:noFill/>
        </a:ln>
      </c:spPr>
    </c:plotArea>
    <c:legend>
      <c:legendPos val="t"/>
      <c:layout>
        <c:manualLayout>
          <c:xMode val="edge"/>
          <c:yMode val="edge"/>
          <c:x val="3.7136455504037602E-2"/>
          <c:y val="0.75592452178045633"/>
          <c:w val="0.94424574976908371"/>
          <c:h val="0.2432036118941921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a:noFill/>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mn-lt"/>
                <a:ea typeface="+mn-ea"/>
                <a:cs typeface="+mn-cs"/>
              </a:defRPr>
            </a:pPr>
            <a:r>
              <a:rPr lang="en-GB" sz="1200"/>
              <a:t>TDS</a:t>
            </a:r>
            <a:r>
              <a:rPr lang="en-GB" sz="1200" baseline="0"/>
              <a:t> </a:t>
            </a:r>
            <a:r>
              <a:rPr lang="en-GB" sz="1200" cap="none" baseline="0"/>
              <a:t>(mg/l)</a:t>
            </a:r>
            <a:endParaRPr lang="en-GB" sz="1200"/>
          </a:p>
        </c:rich>
      </c:tx>
      <c:overlay val="0"/>
      <c:spPr>
        <a:noFill/>
        <a:ln>
          <a:noFill/>
        </a:ln>
        <a:effectLst/>
      </c:spPr>
    </c:title>
    <c:autoTitleDeleted val="0"/>
    <c:plotArea>
      <c:layout>
        <c:manualLayout>
          <c:layoutTarget val="inner"/>
          <c:xMode val="edge"/>
          <c:yMode val="edge"/>
          <c:x val="4.6296188285106336E-2"/>
          <c:y val="2.3984363656670574E-2"/>
          <c:w val="0.94907407407407407"/>
          <c:h val="0.64233919696208175"/>
        </c:manualLayout>
      </c:layout>
      <c:barChart>
        <c:barDir val="col"/>
        <c:grouping val="clustered"/>
        <c:varyColors val="0"/>
        <c:ser>
          <c:idx val="0"/>
          <c:order val="0"/>
          <c:tx>
            <c:strRef>
              <c:f>Sheet1!$B$1</c:f>
              <c:strCache>
                <c:ptCount val="1"/>
                <c:pt idx="0">
                  <c:v>BH1</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TDS</c:v>
                </c:pt>
              </c:strCache>
            </c:strRef>
          </c:cat>
          <c:val>
            <c:numRef>
              <c:f>Sheet1!$B$2</c:f>
              <c:numCache>
                <c:formatCode>General</c:formatCode>
                <c:ptCount val="1"/>
                <c:pt idx="0">
                  <c:v>105</c:v>
                </c:pt>
              </c:numCache>
            </c:numRef>
          </c:val>
          <c:extLst>
            <c:ext xmlns:c16="http://schemas.microsoft.com/office/drawing/2014/chart" uri="{C3380CC4-5D6E-409C-BE32-E72D297353CC}">
              <c16:uniqueId val="{00000000-4DA2-4397-93F3-5E3AC3622142}"/>
            </c:ext>
          </c:extLst>
        </c:ser>
        <c:ser>
          <c:idx val="1"/>
          <c:order val="1"/>
          <c:tx>
            <c:strRef>
              <c:f>Sheet1!$C$1</c:f>
              <c:strCache>
                <c:ptCount val="1"/>
                <c:pt idx="0">
                  <c:v>BH2</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TDS</c:v>
                </c:pt>
              </c:strCache>
            </c:strRef>
          </c:cat>
          <c:val>
            <c:numRef>
              <c:f>Sheet1!$C$2</c:f>
              <c:numCache>
                <c:formatCode>General</c:formatCode>
                <c:ptCount val="1"/>
                <c:pt idx="0">
                  <c:v>98.74</c:v>
                </c:pt>
              </c:numCache>
            </c:numRef>
          </c:val>
          <c:extLst>
            <c:ext xmlns:c16="http://schemas.microsoft.com/office/drawing/2014/chart" uri="{C3380CC4-5D6E-409C-BE32-E72D297353CC}">
              <c16:uniqueId val="{00000001-4DA2-4397-93F3-5E3AC3622142}"/>
            </c:ext>
          </c:extLst>
        </c:ser>
        <c:ser>
          <c:idx val="2"/>
          <c:order val="2"/>
          <c:tx>
            <c:strRef>
              <c:f>Sheet1!$D$1</c:f>
              <c:strCache>
                <c:ptCount val="1"/>
                <c:pt idx="0">
                  <c:v>BH3</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TDS</c:v>
                </c:pt>
              </c:strCache>
            </c:strRef>
          </c:cat>
          <c:val>
            <c:numRef>
              <c:f>Sheet1!$D$2</c:f>
              <c:numCache>
                <c:formatCode>General</c:formatCode>
                <c:ptCount val="1"/>
                <c:pt idx="0">
                  <c:v>79.25</c:v>
                </c:pt>
              </c:numCache>
            </c:numRef>
          </c:val>
          <c:extLst>
            <c:ext xmlns:c16="http://schemas.microsoft.com/office/drawing/2014/chart" uri="{C3380CC4-5D6E-409C-BE32-E72D297353CC}">
              <c16:uniqueId val="{00000002-4DA2-4397-93F3-5E3AC3622142}"/>
            </c:ext>
          </c:extLst>
        </c:ser>
        <c:ser>
          <c:idx val="3"/>
          <c:order val="3"/>
          <c:tx>
            <c:strRef>
              <c:f>Sheet1!$E$1</c:f>
              <c:strCache>
                <c:ptCount val="1"/>
                <c:pt idx="0">
                  <c:v>BH4</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TDS</c:v>
                </c:pt>
              </c:strCache>
            </c:strRef>
          </c:cat>
          <c:val>
            <c:numRef>
              <c:f>Sheet1!$E$2</c:f>
              <c:numCache>
                <c:formatCode>General</c:formatCode>
                <c:ptCount val="1"/>
                <c:pt idx="0">
                  <c:v>79.47</c:v>
                </c:pt>
              </c:numCache>
            </c:numRef>
          </c:val>
          <c:extLst>
            <c:ext xmlns:c16="http://schemas.microsoft.com/office/drawing/2014/chart" uri="{C3380CC4-5D6E-409C-BE32-E72D297353CC}">
              <c16:uniqueId val="{00000003-4DA2-4397-93F3-5E3AC3622142}"/>
            </c:ext>
          </c:extLst>
        </c:ser>
        <c:ser>
          <c:idx val="4"/>
          <c:order val="4"/>
          <c:tx>
            <c:strRef>
              <c:f>Sheet1!$F$1</c:f>
              <c:strCache>
                <c:ptCount val="1"/>
                <c:pt idx="0">
                  <c:v>BH5</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TDS</c:v>
                </c:pt>
              </c:strCache>
            </c:strRef>
          </c:cat>
          <c:val>
            <c:numRef>
              <c:f>Sheet1!$F$2</c:f>
              <c:numCache>
                <c:formatCode>General</c:formatCode>
                <c:ptCount val="1"/>
                <c:pt idx="0">
                  <c:v>64.06</c:v>
                </c:pt>
              </c:numCache>
            </c:numRef>
          </c:val>
          <c:extLst>
            <c:ext xmlns:c16="http://schemas.microsoft.com/office/drawing/2014/chart" uri="{C3380CC4-5D6E-409C-BE32-E72D297353CC}">
              <c16:uniqueId val="{00000004-4DA2-4397-93F3-5E3AC3622142}"/>
            </c:ext>
          </c:extLst>
        </c:ser>
        <c:ser>
          <c:idx val="5"/>
          <c:order val="5"/>
          <c:tx>
            <c:strRef>
              <c:f>Sheet1!$G$1</c:f>
              <c:strCache>
                <c:ptCount val="1"/>
                <c:pt idx="0">
                  <c:v>BH6</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TDS</c:v>
                </c:pt>
              </c:strCache>
            </c:strRef>
          </c:cat>
          <c:val>
            <c:numRef>
              <c:f>Sheet1!$G$2</c:f>
              <c:numCache>
                <c:formatCode>General</c:formatCode>
                <c:ptCount val="1"/>
                <c:pt idx="0">
                  <c:v>83.12</c:v>
                </c:pt>
              </c:numCache>
            </c:numRef>
          </c:val>
          <c:extLst>
            <c:ext xmlns:c16="http://schemas.microsoft.com/office/drawing/2014/chart" uri="{C3380CC4-5D6E-409C-BE32-E72D297353CC}">
              <c16:uniqueId val="{00000005-4DA2-4397-93F3-5E3AC3622142}"/>
            </c:ext>
          </c:extLst>
        </c:ser>
        <c:ser>
          <c:idx val="6"/>
          <c:order val="6"/>
          <c:tx>
            <c:strRef>
              <c:f>Sheet1!$H$1</c:f>
              <c:strCache>
                <c:ptCount val="1"/>
                <c:pt idx="0">
                  <c:v>BH7</c:v>
                </c:pt>
              </c:strCache>
            </c:strRef>
          </c:tx>
          <c:spPr>
            <a:solidFill>
              <a:schemeClr val="accent1">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TDS</c:v>
                </c:pt>
              </c:strCache>
            </c:strRef>
          </c:cat>
          <c:val>
            <c:numRef>
              <c:f>Sheet1!$H$2</c:f>
              <c:numCache>
                <c:formatCode>General</c:formatCode>
                <c:ptCount val="1"/>
                <c:pt idx="0">
                  <c:v>49.9</c:v>
                </c:pt>
              </c:numCache>
            </c:numRef>
          </c:val>
          <c:extLst>
            <c:ext xmlns:c16="http://schemas.microsoft.com/office/drawing/2014/chart" uri="{C3380CC4-5D6E-409C-BE32-E72D297353CC}">
              <c16:uniqueId val="{00000006-4DA2-4397-93F3-5E3AC3622142}"/>
            </c:ext>
          </c:extLst>
        </c:ser>
        <c:ser>
          <c:idx val="7"/>
          <c:order val="7"/>
          <c:tx>
            <c:strRef>
              <c:f>Sheet1!$I$1</c:f>
              <c:strCache>
                <c:ptCount val="1"/>
                <c:pt idx="0">
                  <c:v>BH8</c:v>
                </c:pt>
              </c:strCache>
            </c:strRef>
          </c:tx>
          <c:spPr>
            <a:solidFill>
              <a:schemeClr val="accent2">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TDS</c:v>
                </c:pt>
              </c:strCache>
            </c:strRef>
          </c:cat>
          <c:val>
            <c:numRef>
              <c:f>Sheet1!$I$2</c:f>
              <c:numCache>
                <c:formatCode>General</c:formatCode>
                <c:ptCount val="1"/>
                <c:pt idx="0">
                  <c:v>57.99</c:v>
                </c:pt>
              </c:numCache>
            </c:numRef>
          </c:val>
          <c:extLst>
            <c:ext xmlns:c16="http://schemas.microsoft.com/office/drawing/2014/chart" uri="{C3380CC4-5D6E-409C-BE32-E72D297353CC}">
              <c16:uniqueId val="{00000007-4DA2-4397-93F3-5E3AC3622142}"/>
            </c:ext>
          </c:extLst>
        </c:ser>
        <c:ser>
          <c:idx val="8"/>
          <c:order val="8"/>
          <c:tx>
            <c:strRef>
              <c:f>Sheet1!$J$1</c:f>
              <c:strCache>
                <c:ptCount val="1"/>
                <c:pt idx="0">
                  <c:v>BH9</c:v>
                </c:pt>
              </c:strCache>
            </c:strRef>
          </c:tx>
          <c:spPr>
            <a:solidFill>
              <a:schemeClr val="accent3">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TDS</c:v>
                </c:pt>
              </c:strCache>
            </c:strRef>
          </c:cat>
          <c:val>
            <c:numRef>
              <c:f>Sheet1!$J$2</c:f>
              <c:numCache>
                <c:formatCode>General</c:formatCode>
                <c:ptCount val="1"/>
                <c:pt idx="0">
                  <c:v>8.7100000000000009</c:v>
                </c:pt>
              </c:numCache>
            </c:numRef>
          </c:val>
          <c:extLst>
            <c:ext xmlns:c16="http://schemas.microsoft.com/office/drawing/2014/chart" uri="{C3380CC4-5D6E-409C-BE32-E72D297353CC}">
              <c16:uniqueId val="{00000008-4DA2-4397-93F3-5E3AC3622142}"/>
            </c:ext>
          </c:extLst>
        </c:ser>
        <c:ser>
          <c:idx val="9"/>
          <c:order val="9"/>
          <c:tx>
            <c:strRef>
              <c:f>Sheet1!$K$1</c:f>
              <c:strCache>
                <c:ptCount val="1"/>
                <c:pt idx="0">
                  <c:v>BH10</c:v>
                </c:pt>
              </c:strCache>
            </c:strRef>
          </c:tx>
          <c:spPr>
            <a:solidFill>
              <a:schemeClr val="accent4">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TDS</c:v>
                </c:pt>
              </c:strCache>
            </c:strRef>
          </c:cat>
          <c:val>
            <c:numRef>
              <c:f>Sheet1!$K$2</c:f>
              <c:numCache>
                <c:formatCode>General</c:formatCode>
                <c:ptCount val="1"/>
                <c:pt idx="0">
                  <c:v>10.33</c:v>
                </c:pt>
              </c:numCache>
            </c:numRef>
          </c:val>
          <c:extLst>
            <c:ext xmlns:c16="http://schemas.microsoft.com/office/drawing/2014/chart" uri="{C3380CC4-5D6E-409C-BE32-E72D297353CC}">
              <c16:uniqueId val="{00000009-4DA2-4397-93F3-5E3AC3622142}"/>
            </c:ext>
          </c:extLst>
        </c:ser>
        <c:ser>
          <c:idx val="10"/>
          <c:order val="10"/>
          <c:tx>
            <c:strRef>
              <c:f>Sheet1!$L$1</c:f>
              <c:strCache>
                <c:ptCount val="1"/>
                <c:pt idx="0">
                  <c:v>BH11</c:v>
                </c:pt>
              </c:strCache>
            </c:strRef>
          </c:tx>
          <c:spPr>
            <a:solidFill>
              <a:schemeClr val="accent5">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TDS</c:v>
                </c:pt>
              </c:strCache>
            </c:strRef>
          </c:cat>
          <c:val>
            <c:numRef>
              <c:f>Sheet1!$L$2</c:f>
              <c:numCache>
                <c:formatCode>General</c:formatCode>
                <c:ptCount val="1"/>
                <c:pt idx="0">
                  <c:v>21.18</c:v>
                </c:pt>
              </c:numCache>
            </c:numRef>
          </c:val>
          <c:extLst>
            <c:ext xmlns:c16="http://schemas.microsoft.com/office/drawing/2014/chart" uri="{C3380CC4-5D6E-409C-BE32-E72D297353CC}">
              <c16:uniqueId val="{0000000A-4DA2-4397-93F3-5E3AC3622142}"/>
            </c:ext>
          </c:extLst>
        </c:ser>
        <c:ser>
          <c:idx val="11"/>
          <c:order val="11"/>
          <c:tx>
            <c:strRef>
              <c:f>Sheet1!$M$1</c:f>
              <c:strCache>
                <c:ptCount val="1"/>
                <c:pt idx="0">
                  <c:v>B12</c:v>
                </c:pt>
              </c:strCache>
            </c:strRef>
          </c:tx>
          <c:spPr>
            <a:solidFill>
              <a:schemeClr val="accent6">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TDS</c:v>
                </c:pt>
              </c:strCache>
            </c:strRef>
          </c:cat>
          <c:val>
            <c:numRef>
              <c:f>Sheet1!$M$2</c:f>
              <c:numCache>
                <c:formatCode>General</c:formatCode>
                <c:ptCount val="1"/>
                <c:pt idx="0">
                  <c:v>281</c:v>
                </c:pt>
              </c:numCache>
            </c:numRef>
          </c:val>
          <c:extLst>
            <c:ext xmlns:c16="http://schemas.microsoft.com/office/drawing/2014/chart" uri="{C3380CC4-5D6E-409C-BE32-E72D297353CC}">
              <c16:uniqueId val="{0000000B-4DA2-4397-93F3-5E3AC3622142}"/>
            </c:ext>
          </c:extLst>
        </c:ser>
        <c:ser>
          <c:idx val="12"/>
          <c:order val="12"/>
          <c:tx>
            <c:strRef>
              <c:f>Sheet1!$N$1</c:f>
              <c:strCache>
                <c:ptCount val="1"/>
                <c:pt idx="0">
                  <c:v>BH13</c:v>
                </c:pt>
              </c:strCache>
            </c:strRef>
          </c:tx>
          <c:spPr>
            <a:solidFill>
              <a:schemeClr val="accent1">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TDS</c:v>
                </c:pt>
              </c:strCache>
            </c:strRef>
          </c:cat>
          <c:val>
            <c:numRef>
              <c:f>Sheet1!$N$2</c:f>
              <c:numCache>
                <c:formatCode>General</c:formatCode>
                <c:ptCount val="1"/>
                <c:pt idx="0">
                  <c:v>45.29</c:v>
                </c:pt>
              </c:numCache>
            </c:numRef>
          </c:val>
          <c:extLst>
            <c:ext xmlns:c16="http://schemas.microsoft.com/office/drawing/2014/chart" uri="{C3380CC4-5D6E-409C-BE32-E72D297353CC}">
              <c16:uniqueId val="{0000000C-4DA2-4397-93F3-5E3AC3622142}"/>
            </c:ext>
          </c:extLst>
        </c:ser>
        <c:ser>
          <c:idx val="13"/>
          <c:order val="13"/>
          <c:tx>
            <c:strRef>
              <c:f>Sheet1!$O$1</c:f>
              <c:strCache>
                <c:ptCount val="1"/>
                <c:pt idx="0">
                  <c:v>BH14</c:v>
                </c:pt>
              </c:strCache>
            </c:strRef>
          </c:tx>
          <c:spPr>
            <a:solidFill>
              <a:schemeClr val="accent2">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TDS</c:v>
                </c:pt>
              </c:strCache>
            </c:strRef>
          </c:cat>
          <c:val>
            <c:numRef>
              <c:f>Sheet1!$O$2</c:f>
              <c:numCache>
                <c:formatCode>General</c:formatCode>
                <c:ptCount val="1"/>
                <c:pt idx="0">
                  <c:v>36.5</c:v>
                </c:pt>
              </c:numCache>
            </c:numRef>
          </c:val>
          <c:extLst>
            <c:ext xmlns:c16="http://schemas.microsoft.com/office/drawing/2014/chart" uri="{C3380CC4-5D6E-409C-BE32-E72D297353CC}">
              <c16:uniqueId val="{0000000D-4DA2-4397-93F3-5E3AC3622142}"/>
            </c:ext>
          </c:extLst>
        </c:ser>
        <c:ser>
          <c:idx val="14"/>
          <c:order val="14"/>
          <c:tx>
            <c:strRef>
              <c:f>Sheet1!$P$1</c:f>
              <c:strCache>
                <c:ptCount val="1"/>
                <c:pt idx="0">
                  <c:v>BH15</c:v>
                </c:pt>
              </c:strCache>
            </c:strRef>
          </c:tx>
          <c:spPr>
            <a:solidFill>
              <a:schemeClr val="accent3">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TDS</c:v>
                </c:pt>
              </c:strCache>
            </c:strRef>
          </c:cat>
          <c:val>
            <c:numRef>
              <c:f>Sheet1!$P$2</c:f>
              <c:numCache>
                <c:formatCode>General</c:formatCode>
                <c:ptCount val="1"/>
                <c:pt idx="0">
                  <c:v>25.38</c:v>
                </c:pt>
              </c:numCache>
            </c:numRef>
          </c:val>
          <c:extLst>
            <c:ext xmlns:c16="http://schemas.microsoft.com/office/drawing/2014/chart" uri="{C3380CC4-5D6E-409C-BE32-E72D297353CC}">
              <c16:uniqueId val="{0000000E-4DA2-4397-93F3-5E3AC3622142}"/>
            </c:ext>
          </c:extLst>
        </c:ser>
        <c:ser>
          <c:idx val="15"/>
          <c:order val="15"/>
          <c:tx>
            <c:strRef>
              <c:f>Sheet1!$Q$1</c:f>
              <c:strCache>
                <c:ptCount val="1"/>
                <c:pt idx="0">
                  <c:v>CON</c:v>
                </c:pt>
              </c:strCache>
            </c:strRef>
          </c:tx>
          <c:spPr>
            <a:solidFill>
              <a:schemeClr val="accent4">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TDS</c:v>
                </c:pt>
              </c:strCache>
            </c:strRef>
          </c:cat>
          <c:val>
            <c:numRef>
              <c:f>Sheet1!$Q$2</c:f>
              <c:numCache>
                <c:formatCode>General</c:formatCode>
                <c:ptCount val="1"/>
                <c:pt idx="0">
                  <c:v>82.92</c:v>
                </c:pt>
              </c:numCache>
            </c:numRef>
          </c:val>
          <c:extLst>
            <c:ext xmlns:c16="http://schemas.microsoft.com/office/drawing/2014/chart" uri="{C3380CC4-5D6E-409C-BE32-E72D297353CC}">
              <c16:uniqueId val="{0000000F-4DA2-4397-93F3-5E3AC3622142}"/>
            </c:ext>
          </c:extLst>
        </c:ser>
        <c:ser>
          <c:idx val="16"/>
          <c:order val="16"/>
          <c:tx>
            <c:strRef>
              <c:f>Sheet1!$R$1</c:f>
              <c:strCache>
                <c:ptCount val="1"/>
                <c:pt idx="0">
                  <c:v>Mean</c:v>
                </c:pt>
              </c:strCache>
            </c:strRef>
          </c:tx>
          <c:spPr>
            <a:solidFill>
              <a:schemeClr val="accent5">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TDS</c:v>
                </c:pt>
              </c:strCache>
            </c:strRef>
          </c:cat>
          <c:val>
            <c:numRef>
              <c:f>Sheet1!$R$2</c:f>
              <c:numCache>
                <c:formatCode>General</c:formatCode>
                <c:ptCount val="1"/>
                <c:pt idx="0">
                  <c:v>69.73</c:v>
                </c:pt>
              </c:numCache>
            </c:numRef>
          </c:val>
          <c:extLst>
            <c:ext xmlns:c16="http://schemas.microsoft.com/office/drawing/2014/chart" uri="{C3380CC4-5D6E-409C-BE32-E72D297353CC}">
              <c16:uniqueId val="{00000010-4DA2-4397-93F3-5E3AC3622142}"/>
            </c:ext>
          </c:extLst>
        </c:ser>
        <c:dLbls>
          <c:showLegendKey val="0"/>
          <c:showVal val="0"/>
          <c:showCatName val="0"/>
          <c:showSerName val="0"/>
          <c:showPercent val="0"/>
          <c:showBubbleSize val="0"/>
        </c:dLbls>
        <c:gapWidth val="444"/>
        <c:overlap val="-90"/>
        <c:axId val="559859311"/>
        <c:axId val="1"/>
      </c:barChart>
      <c:catAx>
        <c:axId val="559859311"/>
        <c:scaling>
          <c:orientation val="minMax"/>
        </c:scaling>
        <c:delete val="0"/>
        <c:axPos val="b"/>
        <c:majorGridlines>
          <c:spPr>
            <a:ln w="9524"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4"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1"/>
        <c:axPos val="l"/>
        <c:title>
          <c:tx>
            <c:rich>
              <a:bodyPr/>
              <a:lstStyle/>
              <a:p>
                <a:pPr>
                  <a:defRPr sz="900" b="0" i="0" u="none" strike="noStrike" baseline="0">
                    <a:solidFill>
                      <a:srgbClr val="333333"/>
                    </a:solidFill>
                    <a:latin typeface="Calibri"/>
                    <a:ea typeface="Calibri"/>
                    <a:cs typeface="Calibri"/>
                  </a:defRPr>
                </a:pPr>
                <a:r>
                  <a:rPr lang="en-GB"/>
                  <a:t>CONCENTRATIONS</a:t>
                </a:r>
              </a:p>
            </c:rich>
          </c:tx>
          <c:overlay val="0"/>
          <c:spPr>
            <a:noFill/>
            <a:ln>
              <a:noFill/>
            </a:ln>
            <a:effectLst/>
          </c:spPr>
        </c:title>
        <c:numFmt formatCode="General" sourceLinked="1"/>
        <c:majorTickMark val="out"/>
        <c:minorTickMark val="none"/>
        <c:tickLblPos val="nextTo"/>
        <c:crossAx val="559859311"/>
        <c:crosses val="autoZero"/>
        <c:crossBetween val="between"/>
      </c:valAx>
      <c:spPr>
        <a:noFill/>
        <a:ln w="25397">
          <a:noFill/>
        </a:ln>
      </c:spPr>
    </c:plotArea>
    <c:legend>
      <c:legendPos val="t"/>
      <c:layout>
        <c:manualLayout>
          <c:xMode val="edge"/>
          <c:yMode val="edge"/>
          <c:x val="3.7136455504037602E-2"/>
          <c:y val="0.76334930474116269"/>
          <c:w val="0.94424574976908371"/>
          <c:h val="0.2357786340537220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a:noFill/>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mn-lt"/>
                <a:ea typeface="+mn-ea"/>
                <a:cs typeface="+mn-cs"/>
              </a:defRPr>
            </a:pPr>
            <a:r>
              <a:rPr lang="en-GB" sz="1200"/>
              <a:t>DO</a:t>
            </a:r>
            <a:r>
              <a:rPr lang="en-GB" sz="1200" baseline="0"/>
              <a:t> </a:t>
            </a:r>
            <a:r>
              <a:rPr lang="en-GB" sz="1200" b="1" i="0" u="none" strike="noStrike" cap="none" normalizeH="0" baseline="0">
                <a:effectLst/>
              </a:rPr>
              <a:t>(mg/l)</a:t>
            </a:r>
            <a:endParaRPr lang="en-GB" sz="1200"/>
          </a:p>
        </c:rich>
      </c:tx>
      <c:overlay val="0"/>
      <c:spPr>
        <a:noFill/>
        <a:ln>
          <a:noFill/>
        </a:ln>
        <a:effectLst/>
      </c:spPr>
    </c:title>
    <c:autoTitleDeleted val="0"/>
    <c:plotArea>
      <c:layout>
        <c:manualLayout>
          <c:layoutTarget val="inner"/>
          <c:xMode val="edge"/>
          <c:yMode val="edge"/>
          <c:x val="2.8980468350547087E-2"/>
          <c:y val="1.8585217170434338E-2"/>
          <c:w val="0.94907407407407407"/>
          <c:h val="0.62829226991787313"/>
        </c:manualLayout>
      </c:layout>
      <c:barChart>
        <c:barDir val="col"/>
        <c:grouping val="clustered"/>
        <c:varyColors val="0"/>
        <c:ser>
          <c:idx val="0"/>
          <c:order val="0"/>
          <c:tx>
            <c:strRef>
              <c:f>Sheet1!$B$1</c:f>
              <c:strCache>
                <c:ptCount val="1"/>
                <c:pt idx="0">
                  <c:v>BH1</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DO</c:v>
                </c:pt>
              </c:strCache>
            </c:strRef>
          </c:cat>
          <c:val>
            <c:numRef>
              <c:f>Sheet1!$B$2</c:f>
              <c:numCache>
                <c:formatCode>General</c:formatCode>
                <c:ptCount val="1"/>
                <c:pt idx="0">
                  <c:v>5.61</c:v>
                </c:pt>
              </c:numCache>
            </c:numRef>
          </c:val>
          <c:extLst>
            <c:ext xmlns:c16="http://schemas.microsoft.com/office/drawing/2014/chart" uri="{C3380CC4-5D6E-409C-BE32-E72D297353CC}">
              <c16:uniqueId val="{00000000-9CBC-4EFC-9ADF-F95AF331A9FB}"/>
            </c:ext>
          </c:extLst>
        </c:ser>
        <c:ser>
          <c:idx val="1"/>
          <c:order val="1"/>
          <c:tx>
            <c:strRef>
              <c:f>Sheet1!$C$1</c:f>
              <c:strCache>
                <c:ptCount val="1"/>
                <c:pt idx="0">
                  <c:v>BH2</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DO</c:v>
                </c:pt>
              </c:strCache>
            </c:strRef>
          </c:cat>
          <c:val>
            <c:numRef>
              <c:f>Sheet1!$C$2</c:f>
              <c:numCache>
                <c:formatCode>General</c:formatCode>
                <c:ptCount val="1"/>
                <c:pt idx="0">
                  <c:v>6.12</c:v>
                </c:pt>
              </c:numCache>
            </c:numRef>
          </c:val>
          <c:extLst>
            <c:ext xmlns:c16="http://schemas.microsoft.com/office/drawing/2014/chart" uri="{C3380CC4-5D6E-409C-BE32-E72D297353CC}">
              <c16:uniqueId val="{00000001-9CBC-4EFC-9ADF-F95AF331A9FB}"/>
            </c:ext>
          </c:extLst>
        </c:ser>
        <c:ser>
          <c:idx val="2"/>
          <c:order val="2"/>
          <c:tx>
            <c:strRef>
              <c:f>Sheet1!$D$1</c:f>
              <c:strCache>
                <c:ptCount val="1"/>
                <c:pt idx="0">
                  <c:v>BH3</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DO</c:v>
                </c:pt>
              </c:strCache>
            </c:strRef>
          </c:cat>
          <c:val>
            <c:numRef>
              <c:f>Sheet1!$D$2</c:f>
              <c:numCache>
                <c:formatCode>General</c:formatCode>
                <c:ptCount val="1"/>
                <c:pt idx="0">
                  <c:v>5.0999999999999996</c:v>
                </c:pt>
              </c:numCache>
            </c:numRef>
          </c:val>
          <c:extLst>
            <c:ext xmlns:c16="http://schemas.microsoft.com/office/drawing/2014/chart" uri="{C3380CC4-5D6E-409C-BE32-E72D297353CC}">
              <c16:uniqueId val="{00000002-9CBC-4EFC-9ADF-F95AF331A9FB}"/>
            </c:ext>
          </c:extLst>
        </c:ser>
        <c:ser>
          <c:idx val="3"/>
          <c:order val="3"/>
          <c:tx>
            <c:strRef>
              <c:f>Sheet1!$E$1</c:f>
              <c:strCache>
                <c:ptCount val="1"/>
                <c:pt idx="0">
                  <c:v>BH4</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DO</c:v>
                </c:pt>
              </c:strCache>
            </c:strRef>
          </c:cat>
          <c:val>
            <c:numRef>
              <c:f>Sheet1!$E$2</c:f>
              <c:numCache>
                <c:formatCode>General</c:formatCode>
                <c:ptCount val="1"/>
                <c:pt idx="0">
                  <c:v>4.72</c:v>
                </c:pt>
              </c:numCache>
            </c:numRef>
          </c:val>
          <c:extLst>
            <c:ext xmlns:c16="http://schemas.microsoft.com/office/drawing/2014/chart" uri="{C3380CC4-5D6E-409C-BE32-E72D297353CC}">
              <c16:uniqueId val="{00000003-9CBC-4EFC-9ADF-F95AF331A9FB}"/>
            </c:ext>
          </c:extLst>
        </c:ser>
        <c:ser>
          <c:idx val="4"/>
          <c:order val="4"/>
          <c:tx>
            <c:strRef>
              <c:f>Sheet1!$F$1</c:f>
              <c:strCache>
                <c:ptCount val="1"/>
                <c:pt idx="0">
                  <c:v>BH5</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DO</c:v>
                </c:pt>
              </c:strCache>
            </c:strRef>
          </c:cat>
          <c:val>
            <c:numRef>
              <c:f>Sheet1!$F$2</c:f>
              <c:numCache>
                <c:formatCode>General</c:formatCode>
                <c:ptCount val="1"/>
                <c:pt idx="0">
                  <c:v>5.4</c:v>
                </c:pt>
              </c:numCache>
            </c:numRef>
          </c:val>
          <c:extLst>
            <c:ext xmlns:c16="http://schemas.microsoft.com/office/drawing/2014/chart" uri="{C3380CC4-5D6E-409C-BE32-E72D297353CC}">
              <c16:uniqueId val="{00000004-9CBC-4EFC-9ADF-F95AF331A9FB}"/>
            </c:ext>
          </c:extLst>
        </c:ser>
        <c:ser>
          <c:idx val="5"/>
          <c:order val="5"/>
          <c:tx>
            <c:strRef>
              <c:f>Sheet1!$G$1</c:f>
              <c:strCache>
                <c:ptCount val="1"/>
                <c:pt idx="0">
                  <c:v>BH6</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DO</c:v>
                </c:pt>
              </c:strCache>
            </c:strRef>
          </c:cat>
          <c:val>
            <c:numRef>
              <c:f>Sheet1!$G$2</c:f>
              <c:numCache>
                <c:formatCode>General</c:formatCode>
                <c:ptCount val="1"/>
                <c:pt idx="0">
                  <c:v>5.2</c:v>
                </c:pt>
              </c:numCache>
            </c:numRef>
          </c:val>
          <c:extLst>
            <c:ext xmlns:c16="http://schemas.microsoft.com/office/drawing/2014/chart" uri="{C3380CC4-5D6E-409C-BE32-E72D297353CC}">
              <c16:uniqueId val="{00000005-9CBC-4EFC-9ADF-F95AF331A9FB}"/>
            </c:ext>
          </c:extLst>
        </c:ser>
        <c:ser>
          <c:idx val="6"/>
          <c:order val="6"/>
          <c:tx>
            <c:strRef>
              <c:f>Sheet1!$H$1</c:f>
              <c:strCache>
                <c:ptCount val="1"/>
                <c:pt idx="0">
                  <c:v>BH7</c:v>
                </c:pt>
              </c:strCache>
            </c:strRef>
          </c:tx>
          <c:spPr>
            <a:solidFill>
              <a:schemeClr val="accent1">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DO</c:v>
                </c:pt>
              </c:strCache>
            </c:strRef>
          </c:cat>
          <c:val>
            <c:numRef>
              <c:f>Sheet1!$H$2</c:f>
              <c:numCache>
                <c:formatCode>General</c:formatCode>
                <c:ptCount val="1"/>
                <c:pt idx="0">
                  <c:v>5.0999999999999996</c:v>
                </c:pt>
              </c:numCache>
            </c:numRef>
          </c:val>
          <c:extLst>
            <c:ext xmlns:c16="http://schemas.microsoft.com/office/drawing/2014/chart" uri="{C3380CC4-5D6E-409C-BE32-E72D297353CC}">
              <c16:uniqueId val="{00000006-9CBC-4EFC-9ADF-F95AF331A9FB}"/>
            </c:ext>
          </c:extLst>
        </c:ser>
        <c:ser>
          <c:idx val="7"/>
          <c:order val="7"/>
          <c:tx>
            <c:strRef>
              <c:f>Sheet1!$I$1</c:f>
              <c:strCache>
                <c:ptCount val="1"/>
                <c:pt idx="0">
                  <c:v>BH8</c:v>
                </c:pt>
              </c:strCache>
            </c:strRef>
          </c:tx>
          <c:spPr>
            <a:solidFill>
              <a:schemeClr val="accent2">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DO</c:v>
                </c:pt>
              </c:strCache>
            </c:strRef>
          </c:cat>
          <c:val>
            <c:numRef>
              <c:f>Sheet1!$I$2</c:f>
              <c:numCache>
                <c:formatCode>General</c:formatCode>
                <c:ptCount val="1"/>
                <c:pt idx="0">
                  <c:v>4.7</c:v>
                </c:pt>
              </c:numCache>
            </c:numRef>
          </c:val>
          <c:extLst>
            <c:ext xmlns:c16="http://schemas.microsoft.com/office/drawing/2014/chart" uri="{C3380CC4-5D6E-409C-BE32-E72D297353CC}">
              <c16:uniqueId val="{00000007-9CBC-4EFC-9ADF-F95AF331A9FB}"/>
            </c:ext>
          </c:extLst>
        </c:ser>
        <c:ser>
          <c:idx val="8"/>
          <c:order val="8"/>
          <c:tx>
            <c:strRef>
              <c:f>Sheet1!$J$1</c:f>
              <c:strCache>
                <c:ptCount val="1"/>
                <c:pt idx="0">
                  <c:v>BH9</c:v>
                </c:pt>
              </c:strCache>
            </c:strRef>
          </c:tx>
          <c:spPr>
            <a:solidFill>
              <a:schemeClr val="accent3">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DO</c:v>
                </c:pt>
              </c:strCache>
            </c:strRef>
          </c:cat>
          <c:val>
            <c:numRef>
              <c:f>Sheet1!$J$2</c:f>
              <c:numCache>
                <c:formatCode>General</c:formatCode>
                <c:ptCount val="1"/>
                <c:pt idx="0">
                  <c:v>6.62</c:v>
                </c:pt>
              </c:numCache>
            </c:numRef>
          </c:val>
          <c:extLst>
            <c:ext xmlns:c16="http://schemas.microsoft.com/office/drawing/2014/chart" uri="{C3380CC4-5D6E-409C-BE32-E72D297353CC}">
              <c16:uniqueId val="{00000008-9CBC-4EFC-9ADF-F95AF331A9FB}"/>
            </c:ext>
          </c:extLst>
        </c:ser>
        <c:ser>
          <c:idx val="9"/>
          <c:order val="9"/>
          <c:tx>
            <c:strRef>
              <c:f>Sheet1!$K$1</c:f>
              <c:strCache>
                <c:ptCount val="1"/>
                <c:pt idx="0">
                  <c:v>BH10</c:v>
                </c:pt>
              </c:strCache>
            </c:strRef>
          </c:tx>
          <c:spPr>
            <a:solidFill>
              <a:schemeClr val="accent4">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DO</c:v>
                </c:pt>
              </c:strCache>
            </c:strRef>
          </c:cat>
          <c:val>
            <c:numRef>
              <c:f>Sheet1!$K$2</c:f>
              <c:numCache>
                <c:formatCode>General</c:formatCode>
                <c:ptCount val="1"/>
                <c:pt idx="0">
                  <c:v>4.99</c:v>
                </c:pt>
              </c:numCache>
            </c:numRef>
          </c:val>
          <c:extLst>
            <c:ext xmlns:c16="http://schemas.microsoft.com/office/drawing/2014/chart" uri="{C3380CC4-5D6E-409C-BE32-E72D297353CC}">
              <c16:uniqueId val="{00000009-9CBC-4EFC-9ADF-F95AF331A9FB}"/>
            </c:ext>
          </c:extLst>
        </c:ser>
        <c:ser>
          <c:idx val="10"/>
          <c:order val="10"/>
          <c:tx>
            <c:strRef>
              <c:f>Sheet1!$L$1</c:f>
              <c:strCache>
                <c:ptCount val="1"/>
                <c:pt idx="0">
                  <c:v>BH11</c:v>
                </c:pt>
              </c:strCache>
            </c:strRef>
          </c:tx>
          <c:spPr>
            <a:solidFill>
              <a:schemeClr val="accent5">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DO</c:v>
                </c:pt>
              </c:strCache>
            </c:strRef>
          </c:cat>
          <c:val>
            <c:numRef>
              <c:f>Sheet1!$L$2</c:f>
              <c:numCache>
                <c:formatCode>General</c:formatCode>
                <c:ptCount val="1"/>
                <c:pt idx="0">
                  <c:v>4.78</c:v>
                </c:pt>
              </c:numCache>
            </c:numRef>
          </c:val>
          <c:extLst>
            <c:ext xmlns:c16="http://schemas.microsoft.com/office/drawing/2014/chart" uri="{C3380CC4-5D6E-409C-BE32-E72D297353CC}">
              <c16:uniqueId val="{0000000A-9CBC-4EFC-9ADF-F95AF331A9FB}"/>
            </c:ext>
          </c:extLst>
        </c:ser>
        <c:ser>
          <c:idx val="11"/>
          <c:order val="11"/>
          <c:tx>
            <c:strRef>
              <c:f>Sheet1!$M$1</c:f>
              <c:strCache>
                <c:ptCount val="1"/>
                <c:pt idx="0">
                  <c:v>B12</c:v>
                </c:pt>
              </c:strCache>
            </c:strRef>
          </c:tx>
          <c:spPr>
            <a:solidFill>
              <a:schemeClr val="accent6">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DO</c:v>
                </c:pt>
              </c:strCache>
            </c:strRef>
          </c:cat>
          <c:val>
            <c:numRef>
              <c:f>Sheet1!$M$2</c:f>
              <c:numCache>
                <c:formatCode>General</c:formatCode>
                <c:ptCount val="1"/>
                <c:pt idx="0">
                  <c:v>5.0999999999999996</c:v>
                </c:pt>
              </c:numCache>
            </c:numRef>
          </c:val>
          <c:extLst>
            <c:ext xmlns:c16="http://schemas.microsoft.com/office/drawing/2014/chart" uri="{C3380CC4-5D6E-409C-BE32-E72D297353CC}">
              <c16:uniqueId val="{0000000B-9CBC-4EFC-9ADF-F95AF331A9FB}"/>
            </c:ext>
          </c:extLst>
        </c:ser>
        <c:ser>
          <c:idx val="12"/>
          <c:order val="12"/>
          <c:tx>
            <c:strRef>
              <c:f>Sheet1!$N$1</c:f>
              <c:strCache>
                <c:ptCount val="1"/>
                <c:pt idx="0">
                  <c:v>BH13</c:v>
                </c:pt>
              </c:strCache>
            </c:strRef>
          </c:tx>
          <c:spPr>
            <a:solidFill>
              <a:schemeClr val="accent1">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DO</c:v>
                </c:pt>
              </c:strCache>
            </c:strRef>
          </c:cat>
          <c:val>
            <c:numRef>
              <c:f>Sheet1!$N$2</c:f>
              <c:numCache>
                <c:formatCode>General</c:formatCode>
                <c:ptCount val="1"/>
                <c:pt idx="0">
                  <c:v>4.71</c:v>
                </c:pt>
              </c:numCache>
            </c:numRef>
          </c:val>
          <c:extLst>
            <c:ext xmlns:c16="http://schemas.microsoft.com/office/drawing/2014/chart" uri="{C3380CC4-5D6E-409C-BE32-E72D297353CC}">
              <c16:uniqueId val="{0000000C-9CBC-4EFC-9ADF-F95AF331A9FB}"/>
            </c:ext>
          </c:extLst>
        </c:ser>
        <c:ser>
          <c:idx val="13"/>
          <c:order val="13"/>
          <c:tx>
            <c:strRef>
              <c:f>Sheet1!$O$1</c:f>
              <c:strCache>
                <c:ptCount val="1"/>
                <c:pt idx="0">
                  <c:v>BH14</c:v>
                </c:pt>
              </c:strCache>
            </c:strRef>
          </c:tx>
          <c:spPr>
            <a:solidFill>
              <a:schemeClr val="accent2">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DO</c:v>
                </c:pt>
              </c:strCache>
            </c:strRef>
          </c:cat>
          <c:val>
            <c:numRef>
              <c:f>Sheet1!$O$2</c:f>
              <c:numCache>
                <c:formatCode>General</c:formatCode>
                <c:ptCount val="1"/>
                <c:pt idx="0">
                  <c:v>5</c:v>
                </c:pt>
              </c:numCache>
            </c:numRef>
          </c:val>
          <c:extLst>
            <c:ext xmlns:c16="http://schemas.microsoft.com/office/drawing/2014/chart" uri="{C3380CC4-5D6E-409C-BE32-E72D297353CC}">
              <c16:uniqueId val="{0000000D-9CBC-4EFC-9ADF-F95AF331A9FB}"/>
            </c:ext>
          </c:extLst>
        </c:ser>
        <c:ser>
          <c:idx val="14"/>
          <c:order val="14"/>
          <c:tx>
            <c:strRef>
              <c:f>Sheet1!$P$1</c:f>
              <c:strCache>
                <c:ptCount val="1"/>
                <c:pt idx="0">
                  <c:v>BH15</c:v>
                </c:pt>
              </c:strCache>
            </c:strRef>
          </c:tx>
          <c:spPr>
            <a:solidFill>
              <a:schemeClr val="accent3">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DO</c:v>
                </c:pt>
              </c:strCache>
            </c:strRef>
          </c:cat>
          <c:val>
            <c:numRef>
              <c:f>Sheet1!$P$2</c:f>
              <c:numCache>
                <c:formatCode>General</c:formatCode>
                <c:ptCount val="1"/>
                <c:pt idx="0">
                  <c:v>6.7</c:v>
                </c:pt>
              </c:numCache>
            </c:numRef>
          </c:val>
          <c:extLst>
            <c:ext xmlns:c16="http://schemas.microsoft.com/office/drawing/2014/chart" uri="{C3380CC4-5D6E-409C-BE32-E72D297353CC}">
              <c16:uniqueId val="{0000000E-9CBC-4EFC-9ADF-F95AF331A9FB}"/>
            </c:ext>
          </c:extLst>
        </c:ser>
        <c:ser>
          <c:idx val="15"/>
          <c:order val="15"/>
          <c:tx>
            <c:strRef>
              <c:f>Sheet1!$Q$1</c:f>
              <c:strCache>
                <c:ptCount val="1"/>
                <c:pt idx="0">
                  <c:v>CON</c:v>
                </c:pt>
              </c:strCache>
            </c:strRef>
          </c:tx>
          <c:spPr>
            <a:solidFill>
              <a:schemeClr val="accent4">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DO</c:v>
                </c:pt>
              </c:strCache>
            </c:strRef>
          </c:cat>
          <c:val>
            <c:numRef>
              <c:f>Sheet1!$Q$2</c:f>
              <c:numCache>
                <c:formatCode>General</c:formatCode>
                <c:ptCount val="1"/>
                <c:pt idx="0">
                  <c:v>5.46</c:v>
                </c:pt>
              </c:numCache>
            </c:numRef>
          </c:val>
          <c:extLst>
            <c:ext xmlns:c16="http://schemas.microsoft.com/office/drawing/2014/chart" uri="{C3380CC4-5D6E-409C-BE32-E72D297353CC}">
              <c16:uniqueId val="{0000000F-9CBC-4EFC-9ADF-F95AF331A9FB}"/>
            </c:ext>
          </c:extLst>
        </c:ser>
        <c:ser>
          <c:idx val="16"/>
          <c:order val="16"/>
          <c:tx>
            <c:strRef>
              <c:f>Sheet1!$R$1</c:f>
              <c:strCache>
                <c:ptCount val="1"/>
                <c:pt idx="0">
                  <c:v>Mean</c:v>
                </c:pt>
              </c:strCache>
            </c:strRef>
          </c:tx>
          <c:spPr>
            <a:solidFill>
              <a:schemeClr val="accent5">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DO</c:v>
                </c:pt>
              </c:strCache>
            </c:strRef>
          </c:cat>
          <c:val>
            <c:numRef>
              <c:f>Sheet1!$R$2</c:f>
              <c:numCache>
                <c:formatCode>General</c:formatCode>
                <c:ptCount val="1"/>
                <c:pt idx="0">
                  <c:v>5.32</c:v>
                </c:pt>
              </c:numCache>
            </c:numRef>
          </c:val>
          <c:extLst>
            <c:ext xmlns:c16="http://schemas.microsoft.com/office/drawing/2014/chart" uri="{C3380CC4-5D6E-409C-BE32-E72D297353CC}">
              <c16:uniqueId val="{00000010-9CBC-4EFC-9ADF-F95AF331A9FB}"/>
            </c:ext>
          </c:extLst>
        </c:ser>
        <c:dLbls>
          <c:showLegendKey val="0"/>
          <c:showVal val="0"/>
          <c:showCatName val="0"/>
          <c:showSerName val="0"/>
          <c:showPercent val="0"/>
          <c:showBubbleSize val="0"/>
        </c:dLbls>
        <c:gapWidth val="444"/>
        <c:overlap val="-90"/>
        <c:axId val="559274911"/>
        <c:axId val="1"/>
      </c:barChart>
      <c:catAx>
        <c:axId val="559274911"/>
        <c:scaling>
          <c:orientation val="minMax"/>
        </c:scaling>
        <c:delete val="0"/>
        <c:axPos val="b"/>
        <c:majorGridlines>
          <c:spPr>
            <a:ln w="9524"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4"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1"/>
        <c:axPos val="l"/>
        <c:title>
          <c:tx>
            <c:rich>
              <a:bodyPr/>
              <a:lstStyle/>
              <a:p>
                <a:pPr>
                  <a:defRPr sz="900" b="0" i="0" u="none" strike="noStrike" baseline="0">
                    <a:solidFill>
                      <a:srgbClr val="333333"/>
                    </a:solidFill>
                    <a:latin typeface="Calibri"/>
                    <a:ea typeface="Calibri"/>
                    <a:cs typeface="Calibri"/>
                  </a:defRPr>
                </a:pPr>
                <a:r>
                  <a:rPr lang="en-GB"/>
                  <a:t>CONCENTRATIONS</a:t>
                </a:r>
              </a:p>
            </c:rich>
          </c:tx>
          <c:overlay val="0"/>
          <c:spPr>
            <a:noFill/>
            <a:ln>
              <a:noFill/>
            </a:ln>
            <a:effectLst/>
          </c:spPr>
        </c:title>
        <c:numFmt formatCode="General" sourceLinked="1"/>
        <c:majorTickMark val="out"/>
        <c:minorTickMark val="none"/>
        <c:tickLblPos val="nextTo"/>
        <c:crossAx val="559274911"/>
        <c:crosses val="autoZero"/>
        <c:crossBetween val="between"/>
      </c:valAx>
      <c:spPr>
        <a:noFill/>
        <a:ln w="25397">
          <a:noFill/>
        </a:ln>
      </c:spPr>
    </c:plotArea>
    <c:legend>
      <c:legendPos val="t"/>
      <c:layout>
        <c:manualLayout>
          <c:xMode val="edge"/>
          <c:yMode val="edge"/>
          <c:x val="3.7136455504037602E-2"/>
          <c:y val="0.7206129878926425"/>
          <c:w val="0.94424574976908371"/>
          <c:h val="0.2785145203623740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a:noFill/>
    </a:ln>
    <a:effectLst/>
  </c:spPr>
  <c:txPr>
    <a:bodyPr/>
    <a:lstStyle/>
    <a:p>
      <a:pPr>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599" b="1" i="0" u="none" strike="noStrike" kern="1200" cap="all" spc="120" normalizeH="0" baseline="0">
                <a:solidFill>
                  <a:schemeClr val="tx1">
                    <a:lumMod val="65000"/>
                    <a:lumOff val="35000"/>
                  </a:schemeClr>
                </a:solidFill>
                <a:latin typeface="+mn-lt"/>
                <a:ea typeface="+mn-ea"/>
                <a:cs typeface="+mn-cs"/>
              </a:defRPr>
            </a:pPr>
            <a:r>
              <a:rPr lang="en-GB" sz="1200" cap="none" baseline="0"/>
              <a:t>Nitrate</a:t>
            </a:r>
            <a:r>
              <a:rPr lang="en-GB" sz="1200" baseline="0"/>
              <a:t> </a:t>
            </a:r>
            <a:r>
              <a:rPr lang="en-GB" sz="1200" b="1" i="0" u="none" strike="noStrike" cap="none" normalizeH="0" baseline="0">
                <a:effectLst/>
              </a:rPr>
              <a:t>(mg/l)</a:t>
            </a:r>
            <a:endParaRPr lang="en-GB" sz="1200"/>
          </a:p>
        </c:rich>
      </c:tx>
      <c:overlay val="0"/>
      <c:spPr>
        <a:noFill/>
        <a:ln>
          <a:noFill/>
        </a:ln>
        <a:effectLst/>
      </c:spPr>
    </c:title>
    <c:autoTitleDeleted val="0"/>
    <c:plotArea>
      <c:layout>
        <c:manualLayout>
          <c:layoutTarget val="inner"/>
          <c:xMode val="edge"/>
          <c:yMode val="edge"/>
          <c:x val="4.6296296296296294E-2"/>
          <c:y val="0.12611204849393823"/>
          <c:w val="0.94907407407407407"/>
          <c:h val="0.54749917728173891"/>
        </c:manualLayout>
      </c:layout>
      <c:barChart>
        <c:barDir val="col"/>
        <c:grouping val="clustered"/>
        <c:varyColors val="0"/>
        <c:ser>
          <c:idx val="0"/>
          <c:order val="0"/>
          <c:tx>
            <c:strRef>
              <c:f>Sheet1!$B$1</c:f>
              <c:strCache>
                <c:ptCount val="1"/>
                <c:pt idx="0">
                  <c:v>BH1</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99"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Nitrate</c:v>
                </c:pt>
              </c:strCache>
            </c:strRef>
          </c:cat>
          <c:val>
            <c:numRef>
              <c:f>Sheet1!$B$2</c:f>
              <c:numCache>
                <c:formatCode>General</c:formatCode>
                <c:ptCount val="1"/>
                <c:pt idx="0">
                  <c:v>3.6999999999999998E-2</c:v>
                </c:pt>
              </c:numCache>
            </c:numRef>
          </c:val>
          <c:extLst>
            <c:ext xmlns:c16="http://schemas.microsoft.com/office/drawing/2014/chart" uri="{C3380CC4-5D6E-409C-BE32-E72D297353CC}">
              <c16:uniqueId val="{00000000-11A2-4355-877D-AB1D75601DD3}"/>
            </c:ext>
          </c:extLst>
        </c:ser>
        <c:ser>
          <c:idx val="1"/>
          <c:order val="1"/>
          <c:tx>
            <c:strRef>
              <c:f>Sheet1!$C$1</c:f>
              <c:strCache>
                <c:ptCount val="1"/>
                <c:pt idx="0">
                  <c:v>BH2</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99"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Nitrate</c:v>
                </c:pt>
              </c:strCache>
            </c:strRef>
          </c:cat>
          <c:val>
            <c:numRef>
              <c:f>Sheet1!$C$2</c:f>
              <c:numCache>
                <c:formatCode>General</c:formatCode>
                <c:ptCount val="1"/>
                <c:pt idx="0">
                  <c:v>4.1000000000000002E-2</c:v>
                </c:pt>
              </c:numCache>
            </c:numRef>
          </c:val>
          <c:extLst>
            <c:ext xmlns:c16="http://schemas.microsoft.com/office/drawing/2014/chart" uri="{C3380CC4-5D6E-409C-BE32-E72D297353CC}">
              <c16:uniqueId val="{00000001-11A2-4355-877D-AB1D75601DD3}"/>
            </c:ext>
          </c:extLst>
        </c:ser>
        <c:ser>
          <c:idx val="2"/>
          <c:order val="2"/>
          <c:tx>
            <c:strRef>
              <c:f>Sheet1!$D$1</c:f>
              <c:strCache>
                <c:ptCount val="1"/>
                <c:pt idx="0">
                  <c:v>BH3</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99"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Nitrate</c:v>
                </c:pt>
              </c:strCache>
            </c:strRef>
          </c:cat>
          <c:val>
            <c:numRef>
              <c:f>Sheet1!$D$2</c:f>
              <c:numCache>
                <c:formatCode>General</c:formatCode>
                <c:ptCount val="1"/>
                <c:pt idx="0">
                  <c:v>3.1E-2</c:v>
                </c:pt>
              </c:numCache>
            </c:numRef>
          </c:val>
          <c:extLst>
            <c:ext xmlns:c16="http://schemas.microsoft.com/office/drawing/2014/chart" uri="{C3380CC4-5D6E-409C-BE32-E72D297353CC}">
              <c16:uniqueId val="{00000002-11A2-4355-877D-AB1D75601DD3}"/>
            </c:ext>
          </c:extLst>
        </c:ser>
        <c:ser>
          <c:idx val="3"/>
          <c:order val="3"/>
          <c:tx>
            <c:strRef>
              <c:f>Sheet1!$E$1</c:f>
              <c:strCache>
                <c:ptCount val="1"/>
                <c:pt idx="0">
                  <c:v>BH4</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99"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Nitrate</c:v>
                </c:pt>
              </c:strCache>
            </c:strRef>
          </c:cat>
          <c:val>
            <c:numRef>
              <c:f>Sheet1!$E$2</c:f>
              <c:numCache>
                <c:formatCode>General</c:formatCode>
                <c:ptCount val="1"/>
                <c:pt idx="0">
                  <c:v>2.3E-2</c:v>
                </c:pt>
              </c:numCache>
            </c:numRef>
          </c:val>
          <c:extLst>
            <c:ext xmlns:c16="http://schemas.microsoft.com/office/drawing/2014/chart" uri="{C3380CC4-5D6E-409C-BE32-E72D297353CC}">
              <c16:uniqueId val="{00000003-11A2-4355-877D-AB1D75601DD3}"/>
            </c:ext>
          </c:extLst>
        </c:ser>
        <c:ser>
          <c:idx val="4"/>
          <c:order val="4"/>
          <c:tx>
            <c:strRef>
              <c:f>Sheet1!$F$1</c:f>
              <c:strCache>
                <c:ptCount val="1"/>
                <c:pt idx="0">
                  <c:v>BH5</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99"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Nitrate</c:v>
                </c:pt>
              </c:strCache>
            </c:strRef>
          </c:cat>
          <c:val>
            <c:numRef>
              <c:f>Sheet1!$F$2</c:f>
              <c:numCache>
                <c:formatCode>General</c:formatCode>
                <c:ptCount val="1"/>
                <c:pt idx="0">
                  <c:v>0.02</c:v>
                </c:pt>
              </c:numCache>
            </c:numRef>
          </c:val>
          <c:extLst>
            <c:ext xmlns:c16="http://schemas.microsoft.com/office/drawing/2014/chart" uri="{C3380CC4-5D6E-409C-BE32-E72D297353CC}">
              <c16:uniqueId val="{00000004-11A2-4355-877D-AB1D75601DD3}"/>
            </c:ext>
          </c:extLst>
        </c:ser>
        <c:ser>
          <c:idx val="5"/>
          <c:order val="5"/>
          <c:tx>
            <c:strRef>
              <c:f>Sheet1!$G$1</c:f>
              <c:strCache>
                <c:ptCount val="1"/>
                <c:pt idx="0">
                  <c:v>BH6</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99"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Nitrate</c:v>
                </c:pt>
              </c:strCache>
            </c:strRef>
          </c:cat>
          <c:val>
            <c:numRef>
              <c:f>Sheet1!$G$2</c:f>
              <c:numCache>
                <c:formatCode>General</c:formatCode>
                <c:ptCount val="1"/>
                <c:pt idx="0">
                  <c:v>2.9000000000000001E-2</c:v>
                </c:pt>
              </c:numCache>
            </c:numRef>
          </c:val>
          <c:extLst>
            <c:ext xmlns:c16="http://schemas.microsoft.com/office/drawing/2014/chart" uri="{C3380CC4-5D6E-409C-BE32-E72D297353CC}">
              <c16:uniqueId val="{00000005-11A2-4355-877D-AB1D75601DD3}"/>
            </c:ext>
          </c:extLst>
        </c:ser>
        <c:ser>
          <c:idx val="6"/>
          <c:order val="6"/>
          <c:tx>
            <c:strRef>
              <c:f>Sheet1!$H$1</c:f>
              <c:strCache>
                <c:ptCount val="1"/>
                <c:pt idx="0">
                  <c:v>BH7</c:v>
                </c:pt>
              </c:strCache>
            </c:strRef>
          </c:tx>
          <c:spPr>
            <a:solidFill>
              <a:schemeClr val="accent1">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99"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Nitrate</c:v>
                </c:pt>
              </c:strCache>
            </c:strRef>
          </c:cat>
          <c:val>
            <c:numRef>
              <c:f>Sheet1!$H$2</c:f>
              <c:numCache>
                <c:formatCode>General</c:formatCode>
                <c:ptCount val="1"/>
                <c:pt idx="0">
                  <c:v>1.7000000000000001E-2</c:v>
                </c:pt>
              </c:numCache>
            </c:numRef>
          </c:val>
          <c:extLst>
            <c:ext xmlns:c16="http://schemas.microsoft.com/office/drawing/2014/chart" uri="{C3380CC4-5D6E-409C-BE32-E72D297353CC}">
              <c16:uniqueId val="{00000006-11A2-4355-877D-AB1D75601DD3}"/>
            </c:ext>
          </c:extLst>
        </c:ser>
        <c:ser>
          <c:idx val="7"/>
          <c:order val="7"/>
          <c:tx>
            <c:strRef>
              <c:f>Sheet1!$I$1</c:f>
              <c:strCache>
                <c:ptCount val="1"/>
                <c:pt idx="0">
                  <c:v>BH8</c:v>
                </c:pt>
              </c:strCache>
            </c:strRef>
          </c:tx>
          <c:spPr>
            <a:solidFill>
              <a:schemeClr val="accent2">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99"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Nitrate</c:v>
                </c:pt>
              </c:strCache>
            </c:strRef>
          </c:cat>
          <c:val>
            <c:numRef>
              <c:f>Sheet1!$I$2</c:f>
              <c:numCache>
                <c:formatCode>General</c:formatCode>
                <c:ptCount val="1"/>
                <c:pt idx="0">
                  <c:v>1.7999999999999999E-2</c:v>
                </c:pt>
              </c:numCache>
            </c:numRef>
          </c:val>
          <c:extLst>
            <c:ext xmlns:c16="http://schemas.microsoft.com/office/drawing/2014/chart" uri="{C3380CC4-5D6E-409C-BE32-E72D297353CC}">
              <c16:uniqueId val="{00000007-11A2-4355-877D-AB1D75601DD3}"/>
            </c:ext>
          </c:extLst>
        </c:ser>
        <c:ser>
          <c:idx val="8"/>
          <c:order val="8"/>
          <c:tx>
            <c:strRef>
              <c:f>Sheet1!$J$1</c:f>
              <c:strCache>
                <c:ptCount val="1"/>
                <c:pt idx="0">
                  <c:v>BH9</c:v>
                </c:pt>
              </c:strCache>
            </c:strRef>
          </c:tx>
          <c:spPr>
            <a:solidFill>
              <a:schemeClr val="accent3">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99"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Nitrate</c:v>
                </c:pt>
              </c:strCache>
            </c:strRef>
          </c:cat>
          <c:val>
            <c:numRef>
              <c:f>Sheet1!$J$2</c:f>
              <c:numCache>
                <c:formatCode>General</c:formatCode>
                <c:ptCount val="1"/>
                <c:pt idx="0">
                  <c:v>0</c:v>
                </c:pt>
              </c:numCache>
            </c:numRef>
          </c:val>
          <c:extLst>
            <c:ext xmlns:c16="http://schemas.microsoft.com/office/drawing/2014/chart" uri="{C3380CC4-5D6E-409C-BE32-E72D297353CC}">
              <c16:uniqueId val="{00000008-11A2-4355-877D-AB1D75601DD3}"/>
            </c:ext>
          </c:extLst>
        </c:ser>
        <c:ser>
          <c:idx val="9"/>
          <c:order val="9"/>
          <c:tx>
            <c:strRef>
              <c:f>Sheet1!$K$1</c:f>
              <c:strCache>
                <c:ptCount val="1"/>
                <c:pt idx="0">
                  <c:v>BH10</c:v>
                </c:pt>
              </c:strCache>
            </c:strRef>
          </c:tx>
          <c:spPr>
            <a:solidFill>
              <a:schemeClr val="accent4">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99"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Nitrate</c:v>
                </c:pt>
              </c:strCache>
            </c:strRef>
          </c:cat>
          <c:val>
            <c:numRef>
              <c:f>Sheet1!$K$2</c:f>
              <c:numCache>
                <c:formatCode>General</c:formatCode>
                <c:ptCount val="1"/>
                <c:pt idx="0">
                  <c:v>0</c:v>
                </c:pt>
              </c:numCache>
            </c:numRef>
          </c:val>
          <c:extLst>
            <c:ext xmlns:c16="http://schemas.microsoft.com/office/drawing/2014/chart" uri="{C3380CC4-5D6E-409C-BE32-E72D297353CC}">
              <c16:uniqueId val="{00000009-11A2-4355-877D-AB1D75601DD3}"/>
            </c:ext>
          </c:extLst>
        </c:ser>
        <c:ser>
          <c:idx val="10"/>
          <c:order val="10"/>
          <c:tx>
            <c:strRef>
              <c:f>Sheet1!$L$1</c:f>
              <c:strCache>
                <c:ptCount val="1"/>
                <c:pt idx="0">
                  <c:v>BH11</c:v>
                </c:pt>
              </c:strCache>
            </c:strRef>
          </c:tx>
          <c:spPr>
            <a:solidFill>
              <a:schemeClr val="accent5">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99"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Nitrate</c:v>
                </c:pt>
              </c:strCache>
            </c:strRef>
          </c:cat>
          <c:val>
            <c:numRef>
              <c:f>Sheet1!$L$2</c:f>
              <c:numCache>
                <c:formatCode>General</c:formatCode>
                <c:ptCount val="1"/>
                <c:pt idx="0">
                  <c:v>0</c:v>
                </c:pt>
              </c:numCache>
            </c:numRef>
          </c:val>
          <c:extLst>
            <c:ext xmlns:c16="http://schemas.microsoft.com/office/drawing/2014/chart" uri="{C3380CC4-5D6E-409C-BE32-E72D297353CC}">
              <c16:uniqueId val="{0000000A-11A2-4355-877D-AB1D75601DD3}"/>
            </c:ext>
          </c:extLst>
        </c:ser>
        <c:ser>
          <c:idx val="11"/>
          <c:order val="11"/>
          <c:tx>
            <c:strRef>
              <c:f>Sheet1!$M$1</c:f>
              <c:strCache>
                <c:ptCount val="1"/>
                <c:pt idx="0">
                  <c:v>B12</c:v>
                </c:pt>
              </c:strCache>
            </c:strRef>
          </c:tx>
          <c:spPr>
            <a:solidFill>
              <a:schemeClr val="accent6">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99"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Nitrate</c:v>
                </c:pt>
              </c:strCache>
            </c:strRef>
          </c:cat>
          <c:val>
            <c:numRef>
              <c:f>Sheet1!$M$2</c:f>
              <c:numCache>
                <c:formatCode>General</c:formatCode>
                <c:ptCount val="1"/>
                <c:pt idx="0">
                  <c:v>0</c:v>
                </c:pt>
              </c:numCache>
            </c:numRef>
          </c:val>
          <c:extLst>
            <c:ext xmlns:c16="http://schemas.microsoft.com/office/drawing/2014/chart" uri="{C3380CC4-5D6E-409C-BE32-E72D297353CC}">
              <c16:uniqueId val="{0000000B-11A2-4355-877D-AB1D75601DD3}"/>
            </c:ext>
          </c:extLst>
        </c:ser>
        <c:ser>
          <c:idx val="12"/>
          <c:order val="12"/>
          <c:tx>
            <c:strRef>
              <c:f>Sheet1!$N$1</c:f>
              <c:strCache>
                <c:ptCount val="1"/>
                <c:pt idx="0">
                  <c:v>BH13</c:v>
                </c:pt>
              </c:strCache>
            </c:strRef>
          </c:tx>
          <c:spPr>
            <a:solidFill>
              <a:schemeClr val="accent1">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99"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Nitrate</c:v>
                </c:pt>
              </c:strCache>
            </c:strRef>
          </c:cat>
          <c:val>
            <c:numRef>
              <c:f>Sheet1!$N$2</c:f>
              <c:numCache>
                <c:formatCode>General</c:formatCode>
                <c:ptCount val="1"/>
                <c:pt idx="0">
                  <c:v>0</c:v>
                </c:pt>
              </c:numCache>
            </c:numRef>
          </c:val>
          <c:extLst>
            <c:ext xmlns:c16="http://schemas.microsoft.com/office/drawing/2014/chart" uri="{C3380CC4-5D6E-409C-BE32-E72D297353CC}">
              <c16:uniqueId val="{0000000C-11A2-4355-877D-AB1D75601DD3}"/>
            </c:ext>
          </c:extLst>
        </c:ser>
        <c:ser>
          <c:idx val="13"/>
          <c:order val="13"/>
          <c:tx>
            <c:strRef>
              <c:f>Sheet1!$O$1</c:f>
              <c:strCache>
                <c:ptCount val="1"/>
                <c:pt idx="0">
                  <c:v>BH14</c:v>
                </c:pt>
              </c:strCache>
            </c:strRef>
          </c:tx>
          <c:spPr>
            <a:solidFill>
              <a:schemeClr val="accent2">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99"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Nitrate</c:v>
                </c:pt>
              </c:strCache>
            </c:strRef>
          </c:cat>
          <c:val>
            <c:numRef>
              <c:f>Sheet1!$O$2</c:f>
              <c:numCache>
                <c:formatCode>General</c:formatCode>
                <c:ptCount val="1"/>
                <c:pt idx="0">
                  <c:v>0</c:v>
                </c:pt>
              </c:numCache>
            </c:numRef>
          </c:val>
          <c:extLst>
            <c:ext xmlns:c16="http://schemas.microsoft.com/office/drawing/2014/chart" uri="{C3380CC4-5D6E-409C-BE32-E72D297353CC}">
              <c16:uniqueId val="{0000000D-11A2-4355-877D-AB1D75601DD3}"/>
            </c:ext>
          </c:extLst>
        </c:ser>
        <c:ser>
          <c:idx val="14"/>
          <c:order val="14"/>
          <c:tx>
            <c:strRef>
              <c:f>Sheet1!$P$1</c:f>
              <c:strCache>
                <c:ptCount val="1"/>
                <c:pt idx="0">
                  <c:v>BH15</c:v>
                </c:pt>
              </c:strCache>
            </c:strRef>
          </c:tx>
          <c:spPr>
            <a:solidFill>
              <a:schemeClr val="accent3">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99"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Nitrate</c:v>
                </c:pt>
              </c:strCache>
            </c:strRef>
          </c:cat>
          <c:val>
            <c:numRef>
              <c:f>Sheet1!$P$2</c:f>
              <c:numCache>
                <c:formatCode>General</c:formatCode>
                <c:ptCount val="1"/>
                <c:pt idx="0">
                  <c:v>1.2E-2</c:v>
                </c:pt>
              </c:numCache>
            </c:numRef>
          </c:val>
          <c:extLst>
            <c:ext xmlns:c16="http://schemas.microsoft.com/office/drawing/2014/chart" uri="{C3380CC4-5D6E-409C-BE32-E72D297353CC}">
              <c16:uniqueId val="{0000000E-11A2-4355-877D-AB1D75601DD3}"/>
            </c:ext>
          </c:extLst>
        </c:ser>
        <c:ser>
          <c:idx val="15"/>
          <c:order val="15"/>
          <c:tx>
            <c:strRef>
              <c:f>Sheet1!$Q$1</c:f>
              <c:strCache>
                <c:ptCount val="1"/>
                <c:pt idx="0">
                  <c:v>CON</c:v>
                </c:pt>
              </c:strCache>
            </c:strRef>
          </c:tx>
          <c:spPr>
            <a:solidFill>
              <a:schemeClr val="accent4">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99"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Nitrate</c:v>
                </c:pt>
              </c:strCache>
            </c:strRef>
          </c:cat>
          <c:val>
            <c:numRef>
              <c:f>Sheet1!$Q$2</c:f>
              <c:numCache>
                <c:formatCode>General</c:formatCode>
                <c:ptCount val="1"/>
                <c:pt idx="0">
                  <c:v>0</c:v>
                </c:pt>
              </c:numCache>
            </c:numRef>
          </c:val>
          <c:extLst>
            <c:ext xmlns:c16="http://schemas.microsoft.com/office/drawing/2014/chart" uri="{C3380CC4-5D6E-409C-BE32-E72D297353CC}">
              <c16:uniqueId val="{0000000F-11A2-4355-877D-AB1D75601DD3}"/>
            </c:ext>
          </c:extLst>
        </c:ser>
        <c:ser>
          <c:idx val="16"/>
          <c:order val="16"/>
          <c:tx>
            <c:strRef>
              <c:f>Sheet1!$R$1</c:f>
              <c:strCache>
                <c:ptCount val="1"/>
                <c:pt idx="0">
                  <c:v>Mean</c:v>
                </c:pt>
              </c:strCache>
            </c:strRef>
          </c:tx>
          <c:spPr>
            <a:solidFill>
              <a:schemeClr val="accent5">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99"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Nitrate</c:v>
                </c:pt>
              </c:strCache>
            </c:strRef>
          </c:cat>
          <c:val>
            <c:numRef>
              <c:f>Sheet1!$R$2</c:f>
              <c:numCache>
                <c:formatCode>General</c:formatCode>
                <c:ptCount val="1"/>
                <c:pt idx="0">
                  <c:v>0.02</c:v>
                </c:pt>
              </c:numCache>
            </c:numRef>
          </c:val>
          <c:extLst>
            <c:ext xmlns:c16="http://schemas.microsoft.com/office/drawing/2014/chart" uri="{C3380CC4-5D6E-409C-BE32-E72D297353CC}">
              <c16:uniqueId val="{00000010-11A2-4355-877D-AB1D75601DD3}"/>
            </c:ext>
          </c:extLst>
        </c:ser>
        <c:dLbls>
          <c:showLegendKey val="0"/>
          <c:showVal val="0"/>
          <c:showCatName val="0"/>
          <c:showSerName val="0"/>
          <c:showPercent val="0"/>
          <c:showBubbleSize val="0"/>
        </c:dLbls>
        <c:gapWidth val="444"/>
        <c:overlap val="-90"/>
        <c:axId val="558958911"/>
        <c:axId val="1"/>
      </c:barChart>
      <c:catAx>
        <c:axId val="558958911"/>
        <c:scaling>
          <c:orientation val="minMax"/>
        </c:scaling>
        <c:delete val="0"/>
        <c:axPos val="b"/>
        <c:majorGridlines>
          <c:spPr>
            <a:ln w="9518"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18" cap="flat" cmpd="sng" algn="ctr">
            <a:solidFill>
              <a:schemeClr val="tx1">
                <a:lumMod val="15000"/>
                <a:lumOff val="85000"/>
              </a:schemeClr>
            </a:solidFill>
            <a:round/>
          </a:ln>
          <a:effectLst/>
        </c:spPr>
        <c:txPr>
          <a:bodyPr rot="-60000000" spcFirstLastPara="1" vertOverflow="ellipsis" vert="horz" wrap="square" anchor="ctr" anchorCtr="1"/>
          <a:lstStyle/>
          <a:p>
            <a:pPr>
              <a:defRPr sz="799" b="0" i="0" u="none" strike="noStrike" kern="1200" cap="all" spc="120" normalizeH="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1"/>
        <c:axPos val="l"/>
        <c:title>
          <c:tx>
            <c:rich>
              <a:bodyPr/>
              <a:lstStyle/>
              <a:p>
                <a:pPr>
                  <a:defRPr sz="899" b="0" i="0" u="none" strike="noStrike" baseline="0">
                    <a:solidFill>
                      <a:srgbClr val="333333"/>
                    </a:solidFill>
                    <a:latin typeface="Calibri"/>
                    <a:ea typeface="Calibri"/>
                    <a:cs typeface="Calibri"/>
                  </a:defRPr>
                </a:pPr>
                <a:r>
                  <a:rPr lang="en-GB"/>
                  <a:t>CONCENTRATIONS</a:t>
                </a:r>
              </a:p>
            </c:rich>
          </c:tx>
          <c:overlay val="0"/>
          <c:spPr>
            <a:noFill/>
            <a:ln>
              <a:noFill/>
            </a:ln>
            <a:effectLst/>
          </c:spPr>
        </c:title>
        <c:numFmt formatCode="General" sourceLinked="1"/>
        <c:majorTickMark val="out"/>
        <c:minorTickMark val="none"/>
        <c:tickLblPos val="nextTo"/>
        <c:crossAx val="558958911"/>
        <c:crosses val="autoZero"/>
        <c:crossBetween val="between"/>
      </c:valAx>
      <c:spPr>
        <a:noFill/>
        <a:ln w="25380">
          <a:noFill/>
        </a:ln>
      </c:spPr>
    </c:plotArea>
    <c:legend>
      <c:legendPos val="t"/>
      <c:layout>
        <c:manualLayout>
          <c:xMode val="edge"/>
          <c:yMode val="edge"/>
          <c:x val="3.7136455504037602E-2"/>
          <c:y val="0.74629025886814315"/>
          <c:w val="0.94424574976908371"/>
          <c:h val="0.25283789359106029"/>
        </c:manualLayout>
      </c:layout>
      <c:overlay val="0"/>
      <c:spPr>
        <a:noFill/>
        <a:ln>
          <a:noFill/>
        </a:ln>
        <a:effectLst/>
      </c:spPr>
      <c:txPr>
        <a:bodyPr rot="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a:noFill/>
    </a:ln>
    <a:effectLst/>
  </c:spPr>
  <c:txPr>
    <a:bodyPr/>
    <a:lstStyle/>
    <a:p>
      <a:pPr>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GB" cap="none" baseline="0"/>
              <a:t>Chloride</a:t>
            </a:r>
            <a:r>
              <a:rPr lang="en-GB" baseline="0"/>
              <a:t> </a:t>
            </a:r>
            <a:r>
              <a:rPr lang="en-GB" sz="1600" b="1" i="0" u="none" strike="noStrike" cap="none" normalizeH="0" baseline="0">
                <a:effectLst/>
              </a:rPr>
              <a:t>(mg/l)</a:t>
            </a:r>
            <a:endParaRPr lang="en-GB"/>
          </a:p>
        </c:rich>
      </c:tx>
      <c:overlay val="0"/>
      <c:spPr>
        <a:noFill/>
        <a:ln>
          <a:noFill/>
        </a:ln>
        <a:effectLst/>
      </c:spPr>
    </c:title>
    <c:autoTitleDeleted val="0"/>
    <c:plotArea>
      <c:layout>
        <c:manualLayout>
          <c:layoutTarget val="inner"/>
          <c:xMode val="edge"/>
          <c:yMode val="edge"/>
          <c:x val="4.6296296296296294E-2"/>
          <c:y val="0.12611204849393823"/>
          <c:w val="0.94907407407407407"/>
          <c:h val="0.68205568053993249"/>
        </c:manualLayout>
      </c:layout>
      <c:barChart>
        <c:barDir val="col"/>
        <c:grouping val="clustered"/>
        <c:varyColors val="0"/>
        <c:ser>
          <c:idx val="0"/>
          <c:order val="0"/>
          <c:tx>
            <c:strRef>
              <c:f>Sheet1!$B$1</c:f>
              <c:strCache>
                <c:ptCount val="1"/>
                <c:pt idx="0">
                  <c:v>BH1</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Chloride</c:v>
                </c:pt>
              </c:strCache>
            </c:strRef>
          </c:cat>
          <c:val>
            <c:numRef>
              <c:f>Sheet1!$B$2</c:f>
              <c:numCache>
                <c:formatCode>General</c:formatCode>
                <c:ptCount val="1"/>
                <c:pt idx="0">
                  <c:v>7.99</c:v>
                </c:pt>
              </c:numCache>
            </c:numRef>
          </c:val>
          <c:extLst>
            <c:ext xmlns:c16="http://schemas.microsoft.com/office/drawing/2014/chart" uri="{C3380CC4-5D6E-409C-BE32-E72D297353CC}">
              <c16:uniqueId val="{00000000-F734-40E5-9DA0-9C67ED8DBA59}"/>
            </c:ext>
          </c:extLst>
        </c:ser>
        <c:ser>
          <c:idx val="1"/>
          <c:order val="1"/>
          <c:tx>
            <c:strRef>
              <c:f>Sheet1!$C$1</c:f>
              <c:strCache>
                <c:ptCount val="1"/>
                <c:pt idx="0">
                  <c:v>BH2</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Chloride</c:v>
                </c:pt>
              </c:strCache>
            </c:strRef>
          </c:cat>
          <c:val>
            <c:numRef>
              <c:f>Sheet1!$C$2</c:f>
              <c:numCache>
                <c:formatCode>General</c:formatCode>
                <c:ptCount val="1"/>
                <c:pt idx="0">
                  <c:v>7.99</c:v>
                </c:pt>
              </c:numCache>
            </c:numRef>
          </c:val>
          <c:extLst>
            <c:ext xmlns:c16="http://schemas.microsoft.com/office/drawing/2014/chart" uri="{C3380CC4-5D6E-409C-BE32-E72D297353CC}">
              <c16:uniqueId val="{00000001-F734-40E5-9DA0-9C67ED8DBA59}"/>
            </c:ext>
          </c:extLst>
        </c:ser>
        <c:ser>
          <c:idx val="2"/>
          <c:order val="2"/>
          <c:tx>
            <c:strRef>
              <c:f>Sheet1!$D$1</c:f>
              <c:strCache>
                <c:ptCount val="1"/>
                <c:pt idx="0">
                  <c:v>BH3</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Chloride</c:v>
                </c:pt>
              </c:strCache>
            </c:strRef>
          </c:cat>
          <c:val>
            <c:numRef>
              <c:f>Sheet1!$D$2</c:f>
              <c:numCache>
                <c:formatCode>General</c:formatCode>
                <c:ptCount val="1"/>
                <c:pt idx="0">
                  <c:v>5.99</c:v>
                </c:pt>
              </c:numCache>
            </c:numRef>
          </c:val>
          <c:extLst>
            <c:ext xmlns:c16="http://schemas.microsoft.com/office/drawing/2014/chart" uri="{C3380CC4-5D6E-409C-BE32-E72D297353CC}">
              <c16:uniqueId val="{00000002-F734-40E5-9DA0-9C67ED8DBA59}"/>
            </c:ext>
          </c:extLst>
        </c:ser>
        <c:ser>
          <c:idx val="3"/>
          <c:order val="3"/>
          <c:tx>
            <c:strRef>
              <c:f>Sheet1!$E$1</c:f>
              <c:strCache>
                <c:ptCount val="1"/>
                <c:pt idx="0">
                  <c:v>BH4</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Chloride</c:v>
                </c:pt>
              </c:strCache>
            </c:strRef>
          </c:cat>
          <c:val>
            <c:numRef>
              <c:f>Sheet1!$E$2</c:f>
              <c:numCache>
                <c:formatCode>General</c:formatCode>
                <c:ptCount val="1"/>
                <c:pt idx="0">
                  <c:v>6.99</c:v>
                </c:pt>
              </c:numCache>
            </c:numRef>
          </c:val>
          <c:extLst>
            <c:ext xmlns:c16="http://schemas.microsoft.com/office/drawing/2014/chart" uri="{C3380CC4-5D6E-409C-BE32-E72D297353CC}">
              <c16:uniqueId val="{00000003-F734-40E5-9DA0-9C67ED8DBA59}"/>
            </c:ext>
          </c:extLst>
        </c:ser>
        <c:ser>
          <c:idx val="4"/>
          <c:order val="4"/>
          <c:tx>
            <c:strRef>
              <c:f>Sheet1!$F$1</c:f>
              <c:strCache>
                <c:ptCount val="1"/>
                <c:pt idx="0">
                  <c:v>BH5</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Chloride</c:v>
                </c:pt>
              </c:strCache>
            </c:strRef>
          </c:cat>
          <c:val>
            <c:numRef>
              <c:f>Sheet1!$F$2</c:f>
              <c:numCache>
                <c:formatCode>General</c:formatCode>
                <c:ptCount val="1"/>
                <c:pt idx="0">
                  <c:v>4.99</c:v>
                </c:pt>
              </c:numCache>
            </c:numRef>
          </c:val>
          <c:extLst>
            <c:ext xmlns:c16="http://schemas.microsoft.com/office/drawing/2014/chart" uri="{C3380CC4-5D6E-409C-BE32-E72D297353CC}">
              <c16:uniqueId val="{00000004-F734-40E5-9DA0-9C67ED8DBA59}"/>
            </c:ext>
          </c:extLst>
        </c:ser>
        <c:ser>
          <c:idx val="5"/>
          <c:order val="5"/>
          <c:tx>
            <c:strRef>
              <c:f>Sheet1!$G$1</c:f>
              <c:strCache>
                <c:ptCount val="1"/>
                <c:pt idx="0">
                  <c:v>BH6</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Chloride</c:v>
                </c:pt>
              </c:strCache>
            </c:strRef>
          </c:cat>
          <c:val>
            <c:numRef>
              <c:f>Sheet1!$G$2</c:f>
              <c:numCache>
                <c:formatCode>General</c:formatCode>
                <c:ptCount val="1"/>
                <c:pt idx="0">
                  <c:v>7.99</c:v>
                </c:pt>
              </c:numCache>
            </c:numRef>
          </c:val>
          <c:extLst>
            <c:ext xmlns:c16="http://schemas.microsoft.com/office/drawing/2014/chart" uri="{C3380CC4-5D6E-409C-BE32-E72D297353CC}">
              <c16:uniqueId val="{00000005-F734-40E5-9DA0-9C67ED8DBA59}"/>
            </c:ext>
          </c:extLst>
        </c:ser>
        <c:ser>
          <c:idx val="6"/>
          <c:order val="6"/>
          <c:tx>
            <c:strRef>
              <c:f>Sheet1!$H$1</c:f>
              <c:strCache>
                <c:ptCount val="1"/>
                <c:pt idx="0">
                  <c:v>BH7</c:v>
                </c:pt>
              </c:strCache>
            </c:strRef>
          </c:tx>
          <c:spPr>
            <a:solidFill>
              <a:schemeClr val="accent1">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Chloride</c:v>
                </c:pt>
              </c:strCache>
            </c:strRef>
          </c:cat>
          <c:val>
            <c:numRef>
              <c:f>Sheet1!$H$2</c:f>
              <c:numCache>
                <c:formatCode>General</c:formatCode>
                <c:ptCount val="1"/>
                <c:pt idx="0">
                  <c:v>3.99</c:v>
                </c:pt>
              </c:numCache>
            </c:numRef>
          </c:val>
          <c:extLst>
            <c:ext xmlns:c16="http://schemas.microsoft.com/office/drawing/2014/chart" uri="{C3380CC4-5D6E-409C-BE32-E72D297353CC}">
              <c16:uniqueId val="{00000006-F734-40E5-9DA0-9C67ED8DBA59}"/>
            </c:ext>
          </c:extLst>
        </c:ser>
        <c:ser>
          <c:idx val="7"/>
          <c:order val="7"/>
          <c:tx>
            <c:strRef>
              <c:f>Sheet1!$I$1</c:f>
              <c:strCache>
                <c:ptCount val="1"/>
                <c:pt idx="0">
                  <c:v>BH8</c:v>
                </c:pt>
              </c:strCache>
            </c:strRef>
          </c:tx>
          <c:spPr>
            <a:solidFill>
              <a:schemeClr val="accent2">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Chloride</c:v>
                </c:pt>
              </c:strCache>
            </c:strRef>
          </c:cat>
          <c:val>
            <c:numRef>
              <c:f>Sheet1!$I$2</c:f>
              <c:numCache>
                <c:formatCode>General</c:formatCode>
                <c:ptCount val="1"/>
                <c:pt idx="0">
                  <c:v>3.99</c:v>
                </c:pt>
              </c:numCache>
            </c:numRef>
          </c:val>
          <c:extLst>
            <c:ext xmlns:c16="http://schemas.microsoft.com/office/drawing/2014/chart" uri="{C3380CC4-5D6E-409C-BE32-E72D297353CC}">
              <c16:uniqueId val="{00000007-F734-40E5-9DA0-9C67ED8DBA59}"/>
            </c:ext>
          </c:extLst>
        </c:ser>
        <c:ser>
          <c:idx val="8"/>
          <c:order val="8"/>
          <c:tx>
            <c:strRef>
              <c:f>Sheet1!$J$1</c:f>
              <c:strCache>
                <c:ptCount val="1"/>
                <c:pt idx="0">
                  <c:v>BH9</c:v>
                </c:pt>
              </c:strCache>
            </c:strRef>
          </c:tx>
          <c:spPr>
            <a:solidFill>
              <a:schemeClr val="accent3">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Chloride</c:v>
                </c:pt>
              </c:strCache>
            </c:strRef>
          </c:cat>
          <c:val>
            <c:numRef>
              <c:f>Sheet1!$J$2</c:f>
              <c:numCache>
                <c:formatCode>General</c:formatCode>
                <c:ptCount val="1"/>
                <c:pt idx="0">
                  <c:v>0.99</c:v>
                </c:pt>
              </c:numCache>
            </c:numRef>
          </c:val>
          <c:extLst>
            <c:ext xmlns:c16="http://schemas.microsoft.com/office/drawing/2014/chart" uri="{C3380CC4-5D6E-409C-BE32-E72D297353CC}">
              <c16:uniqueId val="{00000008-F734-40E5-9DA0-9C67ED8DBA59}"/>
            </c:ext>
          </c:extLst>
        </c:ser>
        <c:ser>
          <c:idx val="9"/>
          <c:order val="9"/>
          <c:tx>
            <c:strRef>
              <c:f>Sheet1!$K$1</c:f>
              <c:strCache>
                <c:ptCount val="1"/>
                <c:pt idx="0">
                  <c:v>BH10</c:v>
                </c:pt>
              </c:strCache>
            </c:strRef>
          </c:tx>
          <c:spPr>
            <a:solidFill>
              <a:schemeClr val="accent4">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Chloride</c:v>
                </c:pt>
              </c:strCache>
            </c:strRef>
          </c:cat>
          <c:val>
            <c:numRef>
              <c:f>Sheet1!$K$2</c:f>
              <c:numCache>
                <c:formatCode>General</c:formatCode>
                <c:ptCount val="1"/>
                <c:pt idx="0">
                  <c:v>1.99</c:v>
                </c:pt>
              </c:numCache>
            </c:numRef>
          </c:val>
          <c:extLst>
            <c:ext xmlns:c16="http://schemas.microsoft.com/office/drawing/2014/chart" uri="{C3380CC4-5D6E-409C-BE32-E72D297353CC}">
              <c16:uniqueId val="{00000009-F734-40E5-9DA0-9C67ED8DBA59}"/>
            </c:ext>
          </c:extLst>
        </c:ser>
        <c:ser>
          <c:idx val="10"/>
          <c:order val="10"/>
          <c:tx>
            <c:strRef>
              <c:f>Sheet1!$L$1</c:f>
              <c:strCache>
                <c:ptCount val="1"/>
                <c:pt idx="0">
                  <c:v>BH11</c:v>
                </c:pt>
              </c:strCache>
            </c:strRef>
          </c:tx>
          <c:spPr>
            <a:solidFill>
              <a:schemeClr val="accent5">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Chloride</c:v>
                </c:pt>
              </c:strCache>
            </c:strRef>
          </c:cat>
          <c:val>
            <c:numRef>
              <c:f>Sheet1!$L$2</c:f>
              <c:numCache>
                <c:formatCode>General</c:formatCode>
                <c:ptCount val="1"/>
                <c:pt idx="0">
                  <c:v>1.99</c:v>
                </c:pt>
              </c:numCache>
            </c:numRef>
          </c:val>
          <c:extLst>
            <c:ext xmlns:c16="http://schemas.microsoft.com/office/drawing/2014/chart" uri="{C3380CC4-5D6E-409C-BE32-E72D297353CC}">
              <c16:uniqueId val="{0000000A-F734-40E5-9DA0-9C67ED8DBA59}"/>
            </c:ext>
          </c:extLst>
        </c:ser>
        <c:ser>
          <c:idx val="11"/>
          <c:order val="11"/>
          <c:tx>
            <c:strRef>
              <c:f>Sheet1!$M$1</c:f>
              <c:strCache>
                <c:ptCount val="1"/>
                <c:pt idx="0">
                  <c:v>B12</c:v>
                </c:pt>
              </c:strCache>
            </c:strRef>
          </c:tx>
          <c:spPr>
            <a:solidFill>
              <a:schemeClr val="accent6">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Chloride</c:v>
                </c:pt>
              </c:strCache>
            </c:strRef>
          </c:cat>
          <c:val>
            <c:numRef>
              <c:f>Sheet1!$M$2</c:f>
              <c:numCache>
                <c:formatCode>General</c:formatCode>
                <c:ptCount val="1"/>
                <c:pt idx="0">
                  <c:v>2.99</c:v>
                </c:pt>
              </c:numCache>
            </c:numRef>
          </c:val>
          <c:extLst>
            <c:ext xmlns:c16="http://schemas.microsoft.com/office/drawing/2014/chart" uri="{C3380CC4-5D6E-409C-BE32-E72D297353CC}">
              <c16:uniqueId val="{0000000B-F734-40E5-9DA0-9C67ED8DBA59}"/>
            </c:ext>
          </c:extLst>
        </c:ser>
        <c:ser>
          <c:idx val="12"/>
          <c:order val="12"/>
          <c:tx>
            <c:strRef>
              <c:f>Sheet1!$N$1</c:f>
              <c:strCache>
                <c:ptCount val="1"/>
                <c:pt idx="0">
                  <c:v>BH13</c:v>
                </c:pt>
              </c:strCache>
            </c:strRef>
          </c:tx>
          <c:spPr>
            <a:solidFill>
              <a:schemeClr val="accent1">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Chloride</c:v>
                </c:pt>
              </c:strCache>
            </c:strRef>
          </c:cat>
          <c:val>
            <c:numRef>
              <c:f>Sheet1!$N$2</c:f>
              <c:numCache>
                <c:formatCode>General</c:formatCode>
                <c:ptCount val="1"/>
                <c:pt idx="0">
                  <c:v>2.99</c:v>
                </c:pt>
              </c:numCache>
            </c:numRef>
          </c:val>
          <c:extLst>
            <c:ext xmlns:c16="http://schemas.microsoft.com/office/drawing/2014/chart" uri="{C3380CC4-5D6E-409C-BE32-E72D297353CC}">
              <c16:uniqueId val="{0000000C-F734-40E5-9DA0-9C67ED8DBA59}"/>
            </c:ext>
          </c:extLst>
        </c:ser>
        <c:ser>
          <c:idx val="13"/>
          <c:order val="13"/>
          <c:tx>
            <c:strRef>
              <c:f>Sheet1!$O$1</c:f>
              <c:strCache>
                <c:ptCount val="1"/>
                <c:pt idx="0">
                  <c:v>BH14</c:v>
                </c:pt>
              </c:strCache>
            </c:strRef>
          </c:tx>
          <c:spPr>
            <a:solidFill>
              <a:schemeClr val="accent2">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Chloride</c:v>
                </c:pt>
              </c:strCache>
            </c:strRef>
          </c:cat>
          <c:val>
            <c:numRef>
              <c:f>Sheet1!$O$2</c:f>
              <c:numCache>
                <c:formatCode>General</c:formatCode>
                <c:ptCount val="1"/>
                <c:pt idx="0">
                  <c:v>2.99</c:v>
                </c:pt>
              </c:numCache>
            </c:numRef>
          </c:val>
          <c:extLst>
            <c:ext xmlns:c16="http://schemas.microsoft.com/office/drawing/2014/chart" uri="{C3380CC4-5D6E-409C-BE32-E72D297353CC}">
              <c16:uniqueId val="{0000000D-F734-40E5-9DA0-9C67ED8DBA59}"/>
            </c:ext>
          </c:extLst>
        </c:ser>
        <c:ser>
          <c:idx val="14"/>
          <c:order val="14"/>
          <c:tx>
            <c:strRef>
              <c:f>Sheet1!$P$1</c:f>
              <c:strCache>
                <c:ptCount val="1"/>
                <c:pt idx="0">
                  <c:v>BH15</c:v>
                </c:pt>
              </c:strCache>
            </c:strRef>
          </c:tx>
          <c:spPr>
            <a:solidFill>
              <a:schemeClr val="accent3">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Chloride</c:v>
                </c:pt>
              </c:strCache>
            </c:strRef>
          </c:cat>
          <c:val>
            <c:numRef>
              <c:f>Sheet1!$P$2</c:f>
              <c:numCache>
                <c:formatCode>General</c:formatCode>
                <c:ptCount val="1"/>
                <c:pt idx="0">
                  <c:v>3.99</c:v>
                </c:pt>
              </c:numCache>
            </c:numRef>
          </c:val>
          <c:extLst>
            <c:ext xmlns:c16="http://schemas.microsoft.com/office/drawing/2014/chart" uri="{C3380CC4-5D6E-409C-BE32-E72D297353CC}">
              <c16:uniqueId val="{0000000E-F734-40E5-9DA0-9C67ED8DBA59}"/>
            </c:ext>
          </c:extLst>
        </c:ser>
        <c:ser>
          <c:idx val="15"/>
          <c:order val="15"/>
          <c:tx>
            <c:strRef>
              <c:f>Sheet1!$Q$1</c:f>
              <c:strCache>
                <c:ptCount val="1"/>
                <c:pt idx="0">
                  <c:v>CON</c:v>
                </c:pt>
              </c:strCache>
            </c:strRef>
          </c:tx>
          <c:spPr>
            <a:solidFill>
              <a:schemeClr val="accent4">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Chloride</c:v>
                </c:pt>
              </c:strCache>
            </c:strRef>
          </c:cat>
          <c:val>
            <c:numRef>
              <c:f>Sheet1!$Q$2</c:f>
              <c:numCache>
                <c:formatCode>General</c:formatCode>
                <c:ptCount val="1"/>
                <c:pt idx="0">
                  <c:v>2.99</c:v>
                </c:pt>
              </c:numCache>
            </c:numRef>
          </c:val>
          <c:extLst>
            <c:ext xmlns:c16="http://schemas.microsoft.com/office/drawing/2014/chart" uri="{C3380CC4-5D6E-409C-BE32-E72D297353CC}">
              <c16:uniqueId val="{0000000F-F734-40E5-9DA0-9C67ED8DBA59}"/>
            </c:ext>
          </c:extLst>
        </c:ser>
        <c:ser>
          <c:idx val="16"/>
          <c:order val="16"/>
          <c:tx>
            <c:strRef>
              <c:f>Sheet1!$R$1</c:f>
              <c:strCache>
                <c:ptCount val="1"/>
                <c:pt idx="0">
                  <c:v>Mean</c:v>
                </c:pt>
              </c:strCache>
            </c:strRef>
          </c:tx>
          <c:spPr>
            <a:solidFill>
              <a:schemeClr val="accent5">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Chloride</c:v>
                </c:pt>
              </c:strCache>
            </c:strRef>
          </c:cat>
          <c:val>
            <c:numRef>
              <c:f>Sheet1!$R$2</c:f>
              <c:numCache>
                <c:formatCode>General</c:formatCode>
                <c:ptCount val="1"/>
                <c:pt idx="0">
                  <c:v>4.5199999999999996</c:v>
                </c:pt>
              </c:numCache>
            </c:numRef>
          </c:val>
          <c:extLst>
            <c:ext xmlns:c16="http://schemas.microsoft.com/office/drawing/2014/chart" uri="{C3380CC4-5D6E-409C-BE32-E72D297353CC}">
              <c16:uniqueId val="{00000010-F734-40E5-9DA0-9C67ED8DBA59}"/>
            </c:ext>
          </c:extLst>
        </c:ser>
        <c:dLbls>
          <c:showLegendKey val="0"/>
          <c:showVal val="0"/>
          <c:showCatName val="0"/>
          <c:showSerName val="0"/>
          <c:showPercent val="0"/>
          <c:showBubbleSize val="0"/>
        </c:dLbls>
        <c:gapWidth val="444"/>
        <c:overlap val="-90"/>
        <c:axId val="558958911"/>
        <c:axId val="1"/>
      </c:barChart>
      <c:catAx>
        <c:axId val="558958911"/>
        <c:scaling>
          <c:orientation val="minMax"/>
        </c:scaling>
        <c:delete val="0"/>
        <c:axPos val="b"/>
        <c:majorGridlines>
          <c:spPr>
            <a:ln w="9524"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4"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1"/>
        <c:axPos val="l"/>
        <c:title>
          <c:tx>
            <c:rich>
              <a:bodyPr/>
              <a:lstStyle/>
              <a:p>
                <a:pPr>
                  <a:defRPr sz="900" b="0" i="0" u="none" strike="noStrike" baseline="0">
                    <a:solidFill>
                      <a:srgbClr val="333333"/>
                    </a:solidFill>
                    <a:latin typeface="Calibri"/>
                    <a:ea typeface="Calibri"/>
                    <a:cs typeface="Calibri"/>
                  </a:defRPr>
                </a:pPr>
                <a:r>
                  <a:rPr lang="en-GB"/>
                  <a:t>CONCENTRATIONS</a:t>
                </a:r>
              </a:p>
            </c:rich>
          </c:tx>
          <c:overlay val="0"/>
          <c:spPr>
            <a:noFill/>
            <a:ln>
              <a:noFill/>
            </a:ln>
            <a:effectLst/>
          </c:spPr>
        </c:title>
        <c:numFmt formatCode="General" sourceLinked="1"/>
        <c:majorTickMark val="out"/>
        <c:minorTickMark val="none"/>
        <c:tickLblPos val="nextTo"/>
        <c:crossAx val="558958911"/>
        <c:crosses val="autoZero"/>
        <c:crossBetween val="between"/>
      </c:valAx>
      <c:spPr>
        <a:noFill/>
        <a:ln w="25397">
          <a:noFill/>
        </a:ln>
      </c:spPr>
    </c:plotArea>
    <c:legend>
      <c:legendPos val="t"/>
      <c:layout>
        <c:manualLayout>
          <c:xMode val="edge"/>
          <c:yMode val="edge"/>
          <c:x val="3.7136455504037602E-2"/>
          <c:y val="0.87115082836867619"/>
          <c:w val="0.94424574976908371"/>
          <c:h val="0.1279770584232526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a:noFill/>
    </a:ln>
    <a:effectLst/>
  </c:spPr>
  <c:txPr>
    <a:bodyPr/>
    <a:lstStyle/>
    <a:p>
      <a:pPr>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GB" cap="none" baseline="0"/>
              <a:t>Sulphate</a:t>
            </a:r>
            <a:r>
              <a:rPr lang="en-GB" baseline="0"/>
              <a:t> </a:t>
            </a:r>
            <a:r>
              <a:rPr lang="en-GB" sz="1600" b="1" i="0" u="none" strike="noStrike" cap="none" normalizeH="0" baseline="0">
                <a:effectLst/>
              </a:rPr>
              <a:t>(mg/l)</a:t>
            </a:r>
            <a:endParaRPr lang="en-GB"/>
          </a:p>
        </c:rich>
      </c:tx>
      <c:overlay val="0"/>
      <c:spPr>
        <a:noFill/>
        <a:ln>
          <a:noFill/>
        </a:ln>
        <a:effectLst/>
      </c:spPr>
    </c:title>
    <c:autoTitleDeleted val="0"/>
    <c:plotArea>
      <c:layout>
        <c:manualLayout>
          <c:layoutTarget val="inner"/>
          <c:xMode val="edge"/>
          <c:yMode val="edge"/>
          <c:x val="4.6296296296296294E-2"/>
          <c:y val="0.12611204849393823"/>
          <c:w val="0.94907407407407407"/>
          <c:h val="0.55250087666167236"/>
        </c:manualLayout>
      </c:layout>
      <c:barChart>
        <c:barDir val="col"/>
        <c:grouping val="clustered"/>
        <c:varyColors val="0"/>
        <c:ser>
          <c:idx val="0"/>
          <c:order val="0"/>
          <c:tx>
            <c:strRef>
              <c:f>Sheet1!$B$1</c:f>
              <c:strCache>
                <c:ptCount val="1"/>
                <c:pt idx="0">
                  <c:v>BH1</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Sulphate</c:v>
                </c:pt>
              </c:strCache>
            </c:strRef>
          </c:cat>
          <c:val>
            <c:numRef>
              <c:f>Sheet1!$B$2</c:f>
              <c:numCache>
                <c:formatCode>General</c:formatCode>
                <c:ptCount val="1"/>
                <c:pt idx="0">
                  <c:v>4.9000000000000002E-2</c:v>
                </c:pt>
              </c:numCache>
            </c:numRef>
          </c:val>
          <c:extLst>
            <c:ext xmlns:c16="http://schemas.microsoft.com/office/drawing/2014/chart" uri="{C3380CC4-5D6E-409C-BE32-E72D297353CC}">
              <c16:uniqueId val="{00000000-F51E-47F4-87D2-C3682D08D1B1}"/>
            </c:ext>
          </c:extLst>
        </c:ser>
        <c:ser>
          <c:idx val="1"/>
          <c:order val="1"/>
          <c:tx>
            <c:strRef>
              <c:f>Sheet1!$C$1</c:f>
              <c:strCache>
                <c:ptCount val="1"/>
                <c:pt idx="0">
                  <c:v>BH2</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Sulphate</c:v>
                </c:pt>
              </c:strCache>
            </c:strRef>
          </c:cat>
          <c:val>
            <c:numRef>
              <c:f>Sheet1!$C$2</c:f>
              <c:numCache>
                <c:formatCode>General</c:formatCode>
                <c:ptCount val="1"/>
                <c:pt idx="0">
                  <c:v>5.2999999999999999E-2</c:v>
                </c:pt>
              </c:numCache>
            </c:numRef>
          </c:val>
          <c:extLst>
            <c:ext xmlns:c16="http://schemas.microsoft.com/office/drawing/2014/chart" uri="{C3380CC4-5D6E-409C-BE32-E72D297353CC}">
              <c16:uniqueId val="{00000001-F51E-47F4-87D2-C3682D08D1B1}"/>
            </c:ext>
          </c:extLst>
        </c:ser>
        <c:ser>
          <c:idx val="2"/>
          <c:order val="2"/>
          <c:tx>
            <c:strRef>
              <c:f>Sheet1!$D$1</c:f>
              <c:strCache>
                <c:ptCount val="1"/>
                <c:pt idx="0">
                  <c:v>BH3</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Sulphate</c:v>
                </c:pt>
              </c:strCache>
            </c:strRef>
          </c:cat>
          <c:val>
            <c:numRef>
              <c:f>Sheet1!$D$2</c:f>
              <c:numCache>
                <c:formatCode>General</c:formatCode>
                <c:ptCount val="1"/>
                <c:pt idx="0">
                  <c:v>4.7E-2</c:v>
                </c:pt>
              </c:numCache>
            </c:numRef>
          </c:val>
          <c:extLst>
            <c:ext xmlns:c16="http://schemas.microsoft.com/office/drawing/2014/chart" uri="{C3380CC4-5D6E-409C-BE32-E72D297353CC}">
              <c16:uniqueId val="{00000002-F51E-47F4-87D2-C3682D08D1B1}"/>
            </c:ext>
          </c:extLst>
        </c:ser>
        <c:ser>
          <c:idx val="3"/>
          <c:order val="3"/>
          <c:tx>
            <c:strRef>
              <c:f>Sheet1!$E$1</c:f>
              <c:strCache>
                <c:ptCount val="1"/>
                <c:pt idx="0">
                  <c:v>BH4</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Sulphate</c:v>
                </c:pt>
              </c:strCache>
            </c:strRef>
          </c:cat>
          <c:val>
            <c:numRef>
              <c:f>Sheet1!$E$2</c:f>
              <c:numCache>
                <c:formatCode>General</c:formatCode>
                <c:ptCount val="1"/>
                <c:pt idx="0">
                  <c:v>4.2000000000000003E-2</c:v>
                </c:pt>
              </c:numCache>
            </c:numRef>
          </c:val>
          <c:extLst>
            <c:ext xmlns:c16="http://schemas.microsoft.com/office/drawing/2014/chart" uri="{C3380CC4-5D6E-409C-BE32-E72D297353CC}">
              <c16:uniqueId val="{00000003-F51E-47F4-87D2-C3682D08D1B1}"/>
            </c:ext>
          </c:extLst>
        </c:ser>
        <c:ser>
          <c:idx val="4"/>
          <c:order val="4"/>
          <c:tx>
            <c:strRef>
              <c:f>Sheet1!$F$1</c:f>
              <c:strCache>
                <c:ptCount val="1"/>
                <c:pt idx="0">
                  <c:v>BH5</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Sulphate</c:v>
                </c:pt>
              </c:strCache>
            </c:strRef>
          </c:cat>
          <c:val>
            <c:numRef>
              <c:f>Sheet1!$F$2</c:f>
              <c:numCache>
                <c:formatCode>General</c:formatCode>
                <c:ptCount val="1"/>
                <c:pt idx="0">
                  <c:v>3.6999999999999998E-2</c:v>
                </c:pt>
              </c:numCache>
            </c:numRef>
          </c:val>
          <c:extLst>
            <c:ext xmlns:c16="http://schemas.microsoft.com/office/drawing/2014/chart" uri="{C3380CC4-5D6E-409C-BE32-E72D297353CC}">
              <c16:uniqueId val="{00000004-F51E-47F4-87D2-C3682D08D1B1}"/>
            </c:ext>
          </c:extLst>
        </c:ser>
        <c:ser>
          <c:idx val="5"/>
          <c:order val="5"/>
          <c:tx>
            <c:strRef>
              <c:f>Sheet1!$G$1</c:f>
              <c:strCache>
                <c:ptCount val="1"/>
                <c:pt idx="0">
                  <c:v>BH6</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Sulphate</c:v>
                </c:pt>
              </c:strCache>
            </c:strRef>
          </c:cat>
          <c:val>
            <c:numRef>
              <c:f>Sheet1!$G$2</c:f>
              <c:numCache>
                <c:formatCode>General</c:formatCode>
                <c:ptCount val="1"/>
                <c:pt idx="0">
                  <c:v>4.2000000000000003E-2</c:v>
                </c:pt>
              </c:numCache>
            </c:numRef>
          </c:val>
          <c:extLst>
            <c:ext xmlns:c16="http://schemas.microsoft.com/office/drawing/2014/chart" uri="{C3380CC4-5D6E-409C-BE32-E72D297353CC}">
              <c16:uniqueId val="{00000005-F51E-47F4-87D2-C3682D08D1B1}"/>
            </c:ext>
          </c:extLst>
        </c:ser>
        <c:ser>
          <c:idx val="6"/>
          <c:order val="6"/>
          <c:tx>
            <c:strRef>
              <c:f>Sheet1!$H$1</c:f>
              <c:strCache>
                <c:ptCount val="1"/>
                <c:pt idx="0">
                  <c:v>BH7</c:v>
                </c:pt>
              </c:strCache>
            </c:strRef>
          </c:tx>
          <c:spPr>
            <a:solidFill>
              <a:schemeClr val="accent1">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Sulphate</c:v>
                </c:pt>
              </c:strCache>
            </c:strRef>
          </c:cat>
          <c:val>
            <c:numRef>
              <c:f>Sheet1!$H$2</c:f>
              <c:numCache>
                <c:formatCode>General</c:formatCode>
                <c:ptCount val="1"/>
                <c:pt idx="0">
                  <c:v>3.3000000000000002E-2</c:v>
                </c:pt>
              </c:numCache>
            </c:numRef>
          </c:val>
          <c:extLst>
            <c:ext xmlns:c16="http://schemas.microsoft.com/office/drawing/2014/chart" uri="{C3380CC4-5D6E-409C-BE32-E72D297353CC}">
              <c16:uniqueId val="{00000006-F51E-47F4-87D2-C3682D08D1B1}"/>
            </c:ext>
          </c:extLst>
        </c:ser>
        <c:ser>
          <c:idx val="7"/>
          <c:order val="7"/>
          <c:tx>
            <c:strRef>
              <c:f>Sheet1!$I$1</c:f>
              <c:strCache>
                <c:ptCount val="1"/>
                <c:pt idx="0">
                  <c:v>BH8</c:v>
                </c:pt>
              </c:strCache>
            </c:strRef>
          </c:tx>
          <c:spPr>
            <a:solidFill>
              <a:schemeClr val="accent2">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Sulphate</c:v>
                </c:pt>
              </c:strCache>
            </c:strRef>
          </c:cat>
          <c:val>
            <c:numRef>
              <c:f>Sheet1!$I$2</c:f>
              <c:numCache>
                <c:formatCode>General</c:formatCode>
                <c:ptCount val="1"/>
                <c:pt idx="0">
                  <c:v>3.5999999999999997E-2</c:v>
                </c:pt>
              </c:numCache>
            </c:numRef>
          </c:val>
          <c:extLst>
            <c:ext xmlns:c16="http://schemas.microsoft.com/office/drawing/2014/chart" uri="{C3380CC4-5D6E-409C-BE32-E72D297353CC}">
              <c16:uniqueId val="{00000007-F51E-47F4-87D2-C3682D08D1B1}"/>
            </c:ext>
          </c:extLst>
        </c:ser>
        <c:ser>
          <c:idx val="8"/>
          <c:order val="8"/>
          <c:tx>
            <c:strRef>
              <c:f>Sheet1!$J$1</c:f>
              <c:strCache>
                <c:ptCount val="1"/>
                <c:pt idx="0">
                  <c:v>BH9</c:v>
                </c:pt>
              </c:strCache>
            </c:strRef>
          </c:tx>
          <c:spPr>
            <a:solidFill>
              <a:schemeClr val="accent3">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Sulphate</c:v>
                </c:pt>
              </c:strCache>
            </c:strRef>
          </c:cat>
          <c:val>
            <c:numRef>
              <c:f>Sheet1!$J$2</c:f>
              <c:numCache>
                <c:formatCode>General</c:formatCode>
                <c:ptCount val="1"/>
                <c:pt idx="0">
                  <c:v>2E-3</c:v>
                </c:pt>
              </c:numCache>
            </c:numRef>
          </c:val>
          <c:extLst>
            <c:ext xmlns:c16="http://schemas.microsoft.com/office/drawing/2014/chart" uri="{C3380CC4-5D6E-409C-BE32-E72D297353CC}">
              <c16:uniqueId val="{00000008-F51E-47F4-87D2-C3682D08D1B1}"/>
            </c:ext>
          </c:extLst>
        </c:ser>
        <c:ser>
          <c:idx val="9"/>
          <c:order val="9"/>
          <c:tx>
            <c:strRef>
              <c:f>Sheet1!$K$1</c:f>
              <c:strCache>
                <c:ptCount val="1"/>
                <c:pt idx="0">
                  <c:v>BH10</c:v>
                </c:pt>
              </c:strCache>
            </c:strRef>
          </c:tx>
          <c:spPr>
            <a:solidFill>
              <a:schemeClr val="accent4">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Sulphate</c:v>
                </c:pt>
              </c:strCache>
            </c:strRef>
          </c:cat>
          <c:val>
            <c:numRef>
              <c:f>Sheet1!$K$2</c:f>
              <c:numCache>
                <c:formatCode>General</c:formatCode>
                <c:ptCount val="1"/>
                <c:pt idx="0">
                  <c:v>1.2999999999999999E-2</c:v>
                </c:pt>
              </c:numCache>
            </c:numRef>
          </c:val>
          <c:extLst>
            <c:ext xmlns:c16="http://schemas.microsoft.com/office/drawing/2014/chart" uri="{C3380CC4-5D6E-409C-BE32-E72D297353CC}">
              <c16:uniqueId val="{00000009-F51E-47F4-87D2-C3682D08D1B1}"/>
            </c:ext>
          </c:extLst>
        </c:ser>
        <c:ser>
          <c:idx val="10"/>
          <c:order val="10"/>
          <c:tx>
            <c:strRef>
              <c:f>Sheet1!$L$1</c:f>
              <c:strCache>
                <c:ptCount val="1"/>
                <c:pt idx="0">
                  <c:v>BH11</c:v>
                </c:pt>
              </c:strCache>
            </c:strRef>
          </c:tx>
          <c:spPr>
            <a:solidFill>
              <a:schemeClr val="accent5">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Sulphate</c:v>
                </c:pt>
              </c:strCache>
            </c:strRef>
          </c:cat>
          <c:val>
            <c:numRef>
              <c:f>Sheet1!$L$2</c:f>
              <c:numCache>
                <c:formatCode>General</c:formatCode>
                <c:ptCount val="1"/>
                <c:pt idx="0">
                  <c:v>1.6E-2</c:v>
                </c:pt>
              </c:numCache>
            </c:numRef>
          </c:val>
          <c:extLst>
            <c:ext xmlns:c16="http://schemas.microsoft.com/office/drawing/2014/chart" uri="{C3380CC4-5D6E-409C-BE32-E72D297353CC}">
              <c16:uniqueId val="{0000000A-F51E-47F4-87D2-C3682D08D1B1}"/>
            </c:ext>
          </c:extLst>
        </c:ser>
        <c:ser>
          <c:idx val="11"/>
          <c:order val="11"/>
          <c:tx>
            <c:strRef>
              <c:f>Sheet1!$M$1</c:f>
              <c:strCache>
                <c:ptCount val="1"/>
                <c:pt idx="0">
                  <c:v>B12</c:v>
                </c:pt>
              </c:strCache>
            </c:strRef>
          </c:tx>
          <c:spPr>
            <a:solidFill>
              <a:schemeClr val="accent6">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Sulphate</c:v>
                </c:pt>
              </c:strCache>
            </c:strRef>
          </c:cat>
          <c:val>
            <c:numRef>
              <c:f>Sheet1!$M$2</c:f>
              <c:numCache>
                <c:formatCode>General</c:formatCode>
                <c:ptCount val="1"/>
                <c:pt idx="0">
                  <c:v>1.7999999999999999E-2</c:v>
                </c:pt>
              </c:numCache>
            </c:numRef>
          </c:val>
          <c:extLst>
            <c:ext xmlns:c16="http://schemas.microsoft.com/office/drawing/2014/chart" uri="{C3380CC4-5D6E-409C-BE32-E72D297353CC}">
              <c16:uniqueId val="{0000000B-F51E-47F4-87D2-C3682D08D1B1}"/>
            </c:ext>
          </c:extLst>
        </c:ser>
        <c:ser>
          <c:idx val="12"/>
          <c:order val="12"/>
          <c:tx>
            <c:strRef>
              <c:f>Sheet1!$N$1</c:f>
              <c:strCache>
                <c:ptCount val="1"/>
                <c:pt idx="0">
                  <c:v>BH13</c:v>
                </c:pt>
              </c:strCache>
            </c:strRef>
          </c:tx>
          <c:spPr>
            <a:solidFill>
              <a:schemeClr val="accent1">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Sulphate</c:v>
                </c:pt>
              </c:strCache>
            </c:strRef>
          </c:cat>
          <c:val>
            <c:numRef>
              <c:f>Sheet1!$N$2</c:f>
              <c:numCache>
                <c:formatCode>General</c:formatCode>
                <c:ptCount val="1"/>
                <c:pt idx="0">
                  <c:v>2.5999999999999999E-2</c:v>
                </c:pt>
              </c:numCache>
            </c:numRef>
          </c:val>
          <c:extLst>
            <c:ext xmlns:c16="http://schemas.microsoft.com/office/drawing/2014/chart" uri="{C3380CC4-5D6E-409C-BE32-E72D297353CC}">
              <c16:uniqueId val="{0000000C-F51E-47F4-87D2-C3682D08D1B1}"/>
            </c:ext>
          </c:extLst>
        </c:ser>
        <c:ser>
          <c:idx val="13"/>
          <c:order val="13"/>
          <c:tx>
            <c:strRef>
              <c:f>Sheet1!$O$1</c:f>
              <c:strCache>
                <c:ptCount val="1"/>
                <c:pt idx="0">
                  <c:v>BH14</c:v>
                </c:pt>
              </c:strCache>
            </c:strRef>
          </c:tx>
          <c:spPr>
            <a:solidFill>
              <a:schemeClr val="accent2">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Sulphate</c:v>
                </c:pt>
              </c:strCache>
            </c:strRef>
          </c:cat>
          <c:val>
            <c:numRef>
              <c:f>Sheet1!$O$2</c:f>
              <c:numCache>
                <c:formatCode>General</c:formatCode>
                <c:ptCount val="1"/>
                <c:pt idx="0">
                  <c:v>2.1999999999999999E-2</c:v>
                </c:pt>
              </c:numCache>
            </c:numRef>
          </c:val>
          <c:extLst>
            <c:ext xmlns:c16="http://schemas.microsoft.com/office/drawing/2014/chart" uri="{C3380CC4-5D6E-409C-BE32-E72D297353CC}">
              <c16:uniqueId val="{0000000D-F51E-47F4-87D2-C3682D08D1B1}"/>
            </c:ext>
          </c:extLst>
        </c:ser>
        <c:ser>
          <c:idx val="14"/>
          <c:order val="14"/>
          <c:tx>
            <c:strRef>
              <c:f>Sheet1!$P$1</c:f>
              <c:strCache>
                <c:ptCount val="1"/>
                <c:pt idx="0">
                  <c:v>BH15</c:v>
                </c:pt>
              </c:strCache>
            </c:strRef>
          </c:tx>
          <c:spPr>
            <a:solidFill>
              <a:schemeClr val="accent3">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Sulphate</c:v>
                </c:pt>
              </c:strCache>
            </c:strRef>
          </c:cat>
          <c:val>
            <c:numRef>
              <c:f>Sheet1!$P$2</c:f>
              <c:numCache>
                <c:formatCode>General</c:formatCode>
                <c:ptCount val="1"/>
                <c:pt idx="0">
                  <c:v>3.5000000000000003E-2</c:v>
                </c:pt>
              </c:numCache>
            </c:numRef>
          </c:val>
          <c:extLst>
            <c:ext xmlns:c16="http://schemas.microsoft.com/office/drawing/2014/chart" uri="{C3380CC4-5D6E-409C-BE32-E72D297353CC}">
              <c16:uniqueId val="{0000000E-F51E-47F4-87D2-C3682D08D1B1}"/>
            </c:ext>
          </c:extLst>
        </c:ser>
        <c:ser>
          <c:idx val="15"/>
          <c:order val="15"/>
          <c:tx>
            <c:strRef>
              <c:f>Sheet1!$Q$1</c:f>
              <c:strCache>
                <c:ptCount val="1"/>
                <c:pt idx="0">
                  <c:v>CON</c:v>
                </c:pt>
              </c:strCache>
            </c:strRef>
          </c:tx>
          <c:spPr>
            <a:solidFill>
              <a:schemeClr val="accent4">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Sulphate</c:v>
                </c:pt>
              </c:strCache>
            </c:strRef>
          </c:cat>
          <c:val>
            <c:numRef>
              <c:f>Sheet1!$Q$2</c:f>
              <c:numCache>
                <c:formatCode>General</c:formatCode>
                <c:ptCount val="1"/>
                <c:pt idx="0">
                  <c:v>1.4E-2</c:v>
                </c:pt>
              </c:numCache>
            </c:numRef>
          </c:val>
          <c:extLst>
            <c:ext xmlns:c16="http://schemas.microsoft.com/office/drawing/2014/chart" uri="{C3380CC4-5D6E-409C-BE32-E72D297353CC}">
              <c16:uniqueId val="{0000000F-F51E-47F4-87D2-C3682D08D1B1}"/>
            </c:ext>
          </c:extLst>
        </c:ser>
        <c:ser>
          <c:idx val="16"/>
          <c:order val="16"/>
          <c:tx>
            <c:strRef>
              <c:f>Sheet1!$R$1</c:f>
              <c:strCache>
                <c:ptCount val="1"/>
                <c:pt idx="0">
                  <c:v>Mean</c:v>
                </c:pt>
              </c:strCache>
            </c:strRef>
          </c:tx>
          <c:spPr>
            <a:solidFill>
              <a:schemeClr val="accent5">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Sulphate</c:v>
                </c:pt>
              </c:strCache>
            </c:strRef>
          </c:cat>
          <c:val>
            <c:numRef>
              <c:f>Sheet1!$R$2</c:f>
              <c:numCache>
                <c:formatCode>General</c:formatCode>
                <c:ptCount val="1"/>
                <c:pt idx="0">
                  <c:v>0.03</c:v>
                </c:pt>
              </c:numCache>
            </c:numRef>
          </c:val>
          <c:extLst>
            <c:ext xmlns:c16="http://schemas.microsoft.com/office/drawing/2014/chart" uri="{C3380CC4-5D6E-409C-BE32-E72D297353CC}">
              <c16:uniqueId val="{00000010-F51E-47F4-87D2-C3682D08D1B1}"/>
            </c:ext>
          </c:extLst>
        </c:ser>
        <c:dLbls>
          <c:showLegendKey val="0"/>
          <c:showVal val="0"/>
          <c:showCatName val="0"/>
          <c:showSerName val="0"/>
          <c:showPercent val="0"/>
          <c:showBubbleSize val="0"/>
        </c:dLbls>
        <c:gapWidth val="444"/>
        <c:overlap val="-90"/>
        <c:axId val="632749599"/>
        <c:axId val="1"/>
      </c:barChart>
      <c:catAx>
        <c:axId val="632749599"/>
        <c:scaling>
          <c:orientation val="minMax"/>
        </c:scaling>
        <c:delete val="0"/>
        <c:axPos val="b"/>
        <c:majorGridlines>
          <c:spPr>
            <a:ln w="9524"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4"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1"/>
        <c:axPos val="l"/>
        <c:title>
          <c:tx>
            <c:rich>
              <a:bodyPr/>
              <a:lstStyle/>
              <a:p>
                <a:pPr>
                  <a:defRPr sz="900" b="0" i="0" u="none" strike="noStrike" baseline="0">
                    <a:solidFill>
                      <a:srgbClr val="333333"/>
                    </a:solidFill>
                    <a:latin typeface="Calibri"/>
                    <a:ea typeface="Calibri"/>
                    <a:cs typeface="Calibri"/>
                  </a:defRPr>
                </a:pPr>
                <a:r>
                  <a:rPr lang="en-GB"/>
                  <a:t>CONCENTRATIONS</a:t>
                </a:r>
              </a:p>
            </c:rich>
          </c:tx>
          <c:overlay val="0"/>
          <c:spPr>
            <a:noFill/>
            <a:ln>
              <a:noFill/>
            </a:ln>
            <a:effectLst/>
          </c:spPr>
        </c:title>
        <c:numFmt formatCode="General" sourceLinked="1"/>
        <c:majorTickMark val="out"/>
        <c:minorTickMark val="none"/>
        <c:tickLblPos val="nextTo"/>
        <c:crossAx val="632749599"/>
        <c:crosses val="autoZero"/>
        <c:crossBetween val="between"/>
      </c:valAx>
      <c:spPr>
        <a:noFill/>
        <a:ln w="25397">
          <a:noFill/>
        </a:ln>
      </c:spPr>
    </c:plotArea>
    <c:legend>
      <c:legendPos val="t"/>
      <c:layout>
        <c:manualLayout>
          <c:xMode val="edge"/>
          <c:yMode val="edge"/>
          <c:x val="3.7136455504037602E-2"/>
          <c:y val="0.75779060006163201"/>
          <c:w val="0.94424574976908371"/>
          <c:h val="0.2413376263189773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a:noFill/>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61</TotalTime>
  <Pages>15</Pages>
  <Words>3481</Words>
  <Characters>19291</Characters>
  <Application>Microsoft Office Word</Application>
  <DocSecurity>0</DocSecurity>
  <Lines>964</Lines>
  <Paragraphs>569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UBU .</dc:creator>
  <cp:keywords/>
  <dc:description/>
  <cp:lastModifiedBy>UBU .</cp:lastModifiedBy>
  <cp:revision>10</cp:revision>
  <dcterms:created xsi:type="dcterms:W3CDTF">2025-05-24T04:54:00Z</dcterms:created>
  <dcterms:modified xsi:type="dcterms:W3CDTF">2025-05-27T04:49:00Z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515f4a85-7250-4db4-aba9-f1201e1a4504</vt:lpwstr>
  </property>
</Properties>
</file>