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BC236" w14:textId="623EA984" w:rsidR="00303585" w:rsidRDefault="00303585">
      <w:pPr>
        <w:spacing w:line="360" w:lineRule="auto"/>
        <w:jc w:val="center"/>
        <w:rPr>
          <w:rFonts w:ascii="Times New Roman" w:eastAsia="Times New Roman" w:hAnsi="Times New Roman" w:cs="Times New Roman"/>
          <w:b/>
          <w:sz w:val="28"/>
          <w:szCs w:val="28"/>
        </w:rPr>
      </w:pPr>
      <w:r w:rsidRPr="00303585">
        <w:rPr>
          <w:rFonts w:ascii="Times New Roman" w:eastAsia="Times New Roman" w:hAnsi="Times New Roman" w:cs="Times New Roman"/>
          <w:b/>
          <w:bCs/>
          <w:i/>
          <w:iCs/>
          <w:sz w:val="28"/>
          <w:szCs w:val="28"/>
          <w:u w:val="single"/>
          <w:lang w:val="en-US"/>
        </w:rPr>
        <w:t>Original Research Article</w:t>
      </w:r>
    </w:p>
    <w:p w14:paraId="44F5C68B" w14:textId="21C4D2E8" w:rsidR="0000009C" w:rsidRDefault="00EB25A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From Shelves to Syllabi: Exploring Dual Identities in Librarianship</w:t>
      </w:r>
    </w:p>
    <w:p w14:paraId="23CE95F8"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Abstract</w:t>
      </w:r>
    </w:p>
    <w:p w14:paraId="475C0BE8" w14:textId="77777777" w:rsidR="0000009C" w:rsidRDefault="00EB25AC">
      <w:pPr>
        <w:spacing w:line="360" w:lineRule="auto"/>
        <w:jc w:val="both"/>
        <w:rPr>
          <w:rFonts w:ascii="Times New Roman" w:eastAsia="Times New Roman" w:hAnsi="Times New Roman" w:cs="Times New Roman"/>
          <w:i/>
        </w:rPr>
      </w:pPr>
      <w:r>
        <w:rPr>
          <w:rFonts w:ascii="Times New Roman" w:eastAsia="Times New Roman" w:hAnsi="Times New Roman" w:cs="Times New Roman"/>
        </w:rPr>
        <w:t>The National Education Policy (NEP) 2020 presents a transformative opportunity to redefine librarianship in Indian higher education, shifting librarians’ roles from passive information managers to active educators contributing to curriculum development, research mentorship, and digital literacy instruction. While global models—such as those in the U.S., U.K., and Australia—recognize librarians as instructional faculty, India lacks formal policy frameworks enabling their integration into teaching roles. This study critically examines the dual identity of librarians, highlighting existing institutional barriers, regulatory limitations, and gaps in LIS education that restrict their pedagogical involvement. It proposes a structured librarian-teaching model (LTM) to facilitate interdisciplinary learning and enhance student research competencies. The study also presents policy recommendations advocating for formal recognition of librarians as faculty, credit-bearing librarian-led courses, curriculum development participation, and faculty collaboration. By synthesizing global best practices and conducting a comparative analysis, this research contributes to LIS education reform discourse, aligning with NEP 2020’s vision for skill-driven, research-intensive higher education.</w:t>
      </w:r>
    </w:p>
    <w:p w14:paraId="3141A1B1" w14:textId="77777777" w:rsidR="0000009C" w:rsidRDefault="00EB25AC">
      <w:pPr>
        <w:spacing w:line="360" w:lineRule="auto"/>
        <w:jc w:val="both"/>
        <w:rPr>
          <w:rFonts w:ascii="Times New Roman" w:eastAsia="Times New Roman" w:hAnsi="Times New Roman" w:cs="Times New Roman"/>
          <w:i/>
        </w:rPr>
      </w:pPr>
      <w:r>
        <w:rPr>
          <w:rFonts w:ascii="Times New Roman" w:eastAsia="Times New Roman" w:hAnsi="Times New Roman" w:cs="Times New Roman"/>
          <w:b/>
          <w:i/>
        </w:rPr>
        <w:t>Keywords:</w:t>
      </w:r>
      <w:r>
        <w:rPr>
          <w:rFonts w:ascii="Times New Roman" w:eastAsia="Times New Roman" w:hAnsi="Times New Roman" w:cs="Times New Roman"/>
          <w:i/>
        </w:rPr>
        <w:t xml:space="preserve"> Librarianship, Dual Identity, Higher Education, Information Literacy, Pedagogy, Digital Literacy, Research Mentorship, Faculty-Librarian Collaboration, LIS Education, Institutional Barriers, Scholarly Communication, Interdisciplinary Learning.</w:t>
      </w:r>
    </w:p>
    <w:p w14:paraId="3DE4D80C"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 Introduction</w:t>
      </w:r>
    </w:p>
    <w:p w14:paraId="0F41088C"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Librarianship in India has traditionally been positioned as a support function rather than an integral component of academia. However, The National Education Policy (NEP) 2020 signifies a substantial transformation in the prospective functions of librarians, broadening their duties considerably beyond conventional information stewardship. advocating interdisciplinary learning, research-driven pedagogy, and digital literacy instruction. While global models recognize librarians as instructional faculty, India's higher education system continues to classify them under administrative roles, restricting their engagement in formal teaching.</w:t>
      </w:r>
    </w:p>
    <w:p w14:paraId="4CF1A193"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This study analyses the dual identity of librarians, assessing the impact of NEP 2020 on their pedagogical roles. By exploring institutional challenges and policy opportunities, it proposes a structured librarian-teaching model and outlines key reforms for integrating librarians into academia. The study focuses exclusively on academic librarians in higher education institutions, with qualitative policy recommendations requiring empirical validation.</w:t>
      </w:r>
    </w:p>
    <w:p w14:paraId="6CD05F83"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India’s HEIs have historically limited librarians to non-teaching roles due to rigid faculty classifications and administrative resistance, unlike U.S., U.K., and Australian models, where librarians actively contribute to curriculum development. The absence of empirical studies evaluating student outcomes from librarian-led instruction restricts informed policy decisions. Additionally, existing regulatory barriers hinder faculty-librarian collaboration, preventing librarians from co-teaching, mentoring student research, or shaping academic coursework. Addressing these institutional limitations is essential for recognizing librarians as educators under the evolving framework of NEP 2020.</w:t>
      </w:r>
    </w:p>
    <w:p w14:paraId="10ED2000"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 Historical Evolution of Librarianship in India</w:t>
      </w:r>
    </w:p>
    <w:p w14:paraId="73F159C4" w14:textId="4E89BD4C"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Tracing its roots to ancient learning centres such as Nalanda and </w:t>
      </w:r>
      <w:proofErr w:type="spellStart"/>
      <w:r>
        <w:rPr>
          <w:rFonts w:ascii="Times New Roman" w:eastAsia="Times New Roman" w:hAnsi="Times New Roman" w:cs="Times New Roman"/>
        </w:rPr>
        <w:t>Takshashila</w:t>
      </w:r>
      <w:proofErr w:type="spellEnd"/>
      <w:r>
        <w:rPr>
          <w:rFonts w:ascii="Times New Roman" w:eastAsia="Times New Roman" w:hAnsi="Times New Roman" w:cs="Times New Roman"/>
        </w:rPr>
        <w:t>, Indian librarianship evolved into a structured profession during British colonial rule. Post-independence, the field saw institutional advancements through the establishment of the National Library of India and LIS academic programs. However, despite the professionalization of the discipline, librarians remained excluded from formal teaching roles, reinforcing hierarchical distinctions between faculty and library professionals.</w:t>
      </w:r>
    </w:p>
    <w:p w14:paraId="0D0DB622"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3. Theoretical Perspectives on Librarianship as Pedagogy</w:t>
      </w:r>
    </w:p>
    <w:p w14:paraId="6210E8A0" w14:textId="3874011B"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Librarianship is not merely a custodial function; it embodies aspects of knowledge facilitation, academic integrity, and research mentorship. Foucault</w:t>
      </w:r>
      <w:r w:rsidR="00E6134D">
        <w:rPr>
          <w:rFonts w:ascii="Times New Roman" w:eastAsia="Times New Roman" w:hAnsi="Times New Roman" w:cs="Times New Roman"/>
          <w:vertAlign w:val="superscript"/>
        </w:rPr>
        <w:t>19</w:t>
      </w:r>
      <w:r>
        <w:rPr>
          <w:rFonts w:ascii="Times New Roman" w:eastAsia="Times New Roman" w:hAnsi="Times New Roman" w:cs="Times New Roman"/>
        </w:rPr>
        <w:t xml:space="preserve"> posits that control over information equates to power, underscoring librarians' role in shaping knowledge production. Contemporary academic librarians increasingly serve as research guides, information literacy instructors, and digital resource navigators, enhancing student engagement with credible academic sources. </w:t>
      </w:r>
    </w:p>
    <w:p w14:paraId="3DB93DC2"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Constructivist Learning Theory underpins librarian-led pedagogy by emphasizing active learning, where students construct knowledge through guided exploration of information sources. This approach aligns with librarians' role in teaching information literacy, research skills, and critical evaluation of sources. The Cognitive Apprenticeship Model explains </w:t>
      </w:r>
      <w:r>
        <w:rPr>
          <w:rFonts w:ascii="Times New Roman" w:eastAsia="Times New Roman" w:hAnsi="Times New Roman" w:cs="Times New Roman"/>
        </w:rPr>
        <w:lastRenderedPageBreak/>
        <w:t>faculty-librarian teaching collaborations, where librarians serve as mentors, helping students navigate academic databases, refine research methods, and develop scholarly communication skills. Finally, Information Behaviour Models assess student engagement with research databases, analysing how learners search, evaluate, and utilize digital resources. Integrating these theories strengthens the academic justification for librarians' involvement in formal teaching.</w:t>
      </w:r>
    </w:p>
    <w:p w14:paraId="06830A15"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 NEP 2020: A Catalyst for Librarian Integration</w:t>
      </w:r>
    </w:p>
    <w:p w14:paraId="6C26697E" w14:textId="59D1B6E9"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NEP 2020 emphasizes experiential and skill-based learning, encouraging flexible curricular frameworks that align with librarians' expertise. Courses in information literacy, digital citizenship, and research methodologies require specialized instruction, providing an avenue for librarians to engage in structured teaching (Government of India, 2020)</w:t>
      </w:r>
      <w:r w:rsidR="00717C4F">
        <w:rPr>
          <w:rFonts w:ascii="Times New Roman" w:eastAsia="Times New Roman" w:hAnsi="Times New Roman" w:cs="Times New Roman"/>
          <w:vertAlign w:val="superscript"/>
        </w:rPr>
        <w:t>20</w:t>
      </w:r>
      <w:r>
        <w:rPr>
          <w:rFonts w:ascii="Times New Roman" w:eastAsia="Times New Roman" w:hAnsi="Times New Roman" w:cs="Times New Roman"/>
        </w:rPr>
        <w:t>.</w:t>
      </w:r>
    </w:p>
    <w:p w14:paraId="18AA0AE0"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5. Literature Review:</w:t>
      </w:r>
    </w:p>
    <w:p w14:paraId="08DC2504" w14:textId="77777777" w:rsidR="00E6134D" w:rsidRPr="00054F36" w:rsidRDefault="00E6134D" w:rsidP="00E6134D">
      <w:pPr>
        <w:jc w:val="both"/>
        <w:rPr>
          <w:color w:val="EE0000"/>
        </w:rPr>
      </w:pPr>
      <w:r w:rsidRPr="00054F36">
        <w:rPr>
          <w:color w:val="EE0000"/>
        </w:rPr>
        <w:t>Librarianship has undergone a significant transformation from being primarily custodial to embracing roles as educators, curriculum collaborators, and digital literacy facilitators. Julien and Genuis¹ emphasize the importance of academic librarians in curriculum development and teaching, highlighting their evolving instructional identity. Corrall² discusses the emergence of blended professionals in academic libraries who balance traditional and instructional roles. Bronstein³ further supports this shift, examining how librarians contribute meaningfully to the research process through information guidance.</w:t>
      </w:r>
    </w:p>
    <w:p w14:paraId="0084B2C5" w14:textId="77777777" w:rsidR="00E6134D" w:rsidRPr="00054F36" w:rsidRDefault="00E6134D" w:rsidP="00E6134D">
      <w:pPr>
        <w:jc w:val="both"/>
        <w:rPr>
          <w:color w:val="EE0000"/>
        </w:rPr>
      </w:pPr>
      <w:r w:rsidRPr="00054F36">
        <w:rPr>
          <w:color w:val="EE0000"/>
        </w:rPr>
        <w:t>In India, Sharma and Naithani⁴ argue that while LIS education has evolved, it often fails to equip professionals with pedagogical skills. Ramesh and Nisha⁵ explore how NEP 2020 presents an opportunity for academic librarians to become integral to higher education. Julien and Given⁶ report that strong librarian-faculty partnerships are key to developing information literacy programs in universities.</w:t>
      </w:r>
    </w:p>
    <w:p w14:paraId="7DCAD866" w14:textId="77777777" w:rsidR="00E6134D" w:rsidRPr="00054F36" w:rsidRDefault="00E6134D" w:rsidP="00E6134D">
      <w:pPr>
        <w:jc w:val="both"/>
        <w:rPr>
          <w:color w:val="EE0000"/>
        </w:rPr>
      </w:pPr>
      <w:r w:rsidRPr="00054F36">
        <w:rPr>
          <w:color w:val="EE0000"/>
        </w:rPr>
        <w:t>Globally, McGuinness⁷ identifies barriers such as faculty perception and lack of policy support as obstacles to librarian-led instruction. Huvila⁸ conceptualizes digital librarianship as an evolving domain requiring active learner engagement and technological fluency. Julien and Tan⁹ report that librarians experience growing teaching responsibilities but require more institutional support to thrive in instructional roles.</w:t>
      </w:r>
    </w:p>
    <w:p w14:paraId="69DCC108" w14:textId="77777777" w:rsidR="00E6134D" w:rsidRPr="00054F36" w:rsidRDefault="00E6134D" w:rsidP="00E6134D">
      <w:pPr>
        <w:jc w:val="both"/>
        <w:rPr>
          <w:color w:val="EE0000"/>
        </w:rPr>
      </w:pPr>
      <w:r w:rsidRPr="00054F36">
        <w:rPr>
          <w:color w:val="EE0000"/>
        </w:rPr>
        <w:t xml:space="preserve">Secker and Coonan¹⁰ present a curriculum framework emphasizing information literacy as a core academic competence. </w:t>
      </w:r>
      <w:proofErr w:type="spellStart"/>
      <w:r w:rsidRPr="00054F36">
        <w:rPr>
          <w:color w:val="EE0000"/>
        </w:rPr>
        <w:t>Corrall</w:t>
      </w:r>
      <w:proofErr w:type="spellEnd"/>
      <w:r w:rsidRPr="00054F36">
        <w:rPr>
          <w:color w:val="EE0000"/>
        </w:rPr>
        <w:t xml:space="preserve">, Kennan, and Afzal¹¹ highlight librarians’ growing involvement in research data management and bibliometric instruction. </w:t>
      </w:r>
      <w:r w:rsidRPr="00054F36">
        <w:rPr>
          <w:color w:val="EE0000"/>
        </w:rPr>
        <w:lastRenderedPageBreak/>
        <w:t xml:space="preserve">Given¹² explores how students’ everyday information-seeking </w:t>
      </w:r>
      <w:r w:rsidRPr="00E6134D">
        <w:rPr>
          <w:color w:val="EE0000"/>
        </w:rPr>
        <w:t>behaviour</w:t>
      </w:r>
      <w:r w:rsidRPr="00054F36">
        <w:rPr>
          <w:color w:val="EE0000"/>
        </w:rPr>
        <w:t xml:space="preserve"> overlaps with academic research, reinforcing the value of librarian-led learning support.</w:t>
      </w:r>
    </w:p>
    <w:p w14:paraId="54E63E93" w14:textId="77777777" w:rsidR="00E6134D" w:rsidRPr="00054F36" w:rsidRDefault="00E6134D" w:rsidP="00E6134D">
      <w:pPr>
        <w:jc w:val="both"/>
        <w:rPr>
          <w:color w:val="EE0000"/>
        </w:rPr>
      </w:pPr>
      <w:r w:rsidRPr="00054F36">
        <w:rPr>
          <w:color w:val="EE0000"/>
        </w:rPr>
        <w:t>Julien, Tan, and Merillat¹³ note that librarians’ teaching experiences are diverse but often under-recognized in formal academic systems. Ghosh¹⁴ asserts that NEP 2020 mandates a broader role for librarians in digital literacy and research mentoring in India. Mehta and Shah¹⁵ show that librarian well-being affects their instructional effectiveness, especially during disruptions like the COVID-19 pandemic.</w:t>
      </w:r>
    </w:p>
    <w:p w14:paraId="1FFB721C" w14:textId="77777777" w:rsidR="00E6134D" w:rsidRPr="00054F36" w:rsidRDefault="00E6134D" w:rsidP="00E6134D">
      <w:pPr>
        <w:jc w:val="both"/>
        <w:rPr>
          <w:color w:val="EE0000"/>
        </w:rPr>
      </w:pPr>
      <w:r w:rsidRPr="00054F36">
        <w:rPr>
          <w:color w:val="EE0000"/>
        </w:rPr>
        <w:t xml:space="preserve">Chowdhury¹⁶ advocates for integrating information literacy across disciplines, enabling librarians to teach in diverse academic settings. </w:t>
      </w:r>
      <w:proofErr w:type="spellStart"/>
      <w:r w:rsidRPr="00054F36">
        <w:rPr>
          <w:color w:val="EE0000"/>
        </w:rPr>
        <w:t>Lwoga</w:t>
      </w:r>
      <w:proofErr w:type="spellEnd"/>
      <w:r w:rsidRPr="00054F36">
        <w:rPr>
          <w:color w:val="EE0000"/>
        </w:rPr>
        <w:t xml:space="preserve"> and Sife¹⁷ emphasize the importance of developing instructional competencies for effective library services. Hider¹⁸ explores how goal-oriented search </w:t>
      </w:r>
      <w:r w:rsidRPr="00E6134D">
        <w:rPr>
          <w:color w:val="EE0000"/>
        </w:rPr>
        <w:t>behaviours</w:t>
      </w:r>
      <w:r w:rsidRPr="00054F36">
        <w:rPr>
          <w:color w:val="EE0000"/>
        </w:rPr>
        <w:t xml:space="preserve"> can be supported through librarian-guided information retrieval.</w:t>
      </w:r>
    </w:p>
    <w:p w14:paraId="0C555472" w14:textId="77777777" w:rsidR="00E6134D" w:rsidRPr="00054F36" w:rsidRDefault="00E6134D" w:rsidP="00E6134D">
      <w:pPr>
        <w:jc w:val="both"/>
        <w:rPr>
          <w:color w:val="EE0000"/>
        </w:rPr>
      </w:pPr>
      <w:r w:rsidRPr="00054F36">
        <w:rPr>
          <w:color w:val="EE0000"/>
        </w:rPr>
        <w:t>These studies collectively affirm that librarians are central to academic teaching, particularly in fostering research skills, digital literacy, and scholarly ethics. Recognizing librarians as educators aligns with NEP 2020’s vision for a skill-based, research-oriented academic environment.</w:t>
      </w:r>
    </w:p>
    <w:p w14:paraId="3750FB59" w14:textId="72482EB1" w:rsidR="0000009C" w:rsidRPr="00717C4F" w:rsidRDefault="00EB25AC">
      <w:pPr>
        <w:spacing w:line="360" w:lineRule="auto"/>
        <w:jc w:val="both"/>
        <w:rPr>
          <w:rFonts w:ascii="Times New Roman" w:eastAsia="Times New Roman" w:hAnsi="Times New Roman" w:cs="Times New Roman"/>
          <w:b/>
          <w:color w:val="000000" w:themeColor="text1"/>
        </w:rPr>
      </w:pPr>
      <w:r w:rsidRPr="00717C4F">
        <w:rPr>
          <w:rFonts w:ascii="Times New Roman" w:eastAsia="Times New Roman" w:hAnsi="Times New Roman" w:cs="Times New Roman"/>
          <w:b/>
          <w:color w:val="000000" w:themeColor="text1"/>
        </w:rPr>
        <w:t>6. Methodology:</w:t>
      </w:r>
    </w:p>
    <w:p w14:paraId="38C762EB"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This study adopts a mixed-methods research design, incorporating comparative analysis, content review, and institutional case studies to examine librarian-teaching integration under NEP 2020. Primary data sources include expert interviews with faculty and librarians, surveys assessing perceptions of librarian-led pedagogy, and institutional reports analysing existing librarian-teacher models. Secondary sources involve policy reviews, academic publications, and international frameworks guiding librarian involvement in education. Analytical methods include thematic coding for qualitative insights from interviews and case studies, while statistical evaluation assesses student learning outcomes, such as improvements in research skills, citation accuracy, and academic integrity after librarian-led instruction.</w:t>
      </w:r>
    </w:p>
    <w:p w14:paraId="542AA630"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7. Librarians as Educators: The Dual Identity Model</w:t>
      </w:r>
    </w:p>
    <w:p w14:paraId="033670F5"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7.1 Proposed Librarian Teaching Model (LTM)</w:t>
      </w:r>
    </w:p>
    <w:p w14:paraId="5A982199"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 operationalize librarians' expanded roles, the </w:t>
      </w:r>
      <w:r>
        <w:rPr>
          <w:rFonts w:ascii="Times New Roman" w:eastAsia="Times New Roman" w:hAnsi="Times New Roman" w:cs="Times New Roman"/>
          <w:b/>
        </w:rPr>
        <w:t>Librarian Teaching Model (LTM)</w:t>
      </w:r>
      <w:r>
        <w:rPr>
          <w:rFonts w:ascii="Times New Roman" w:eastAsia="Times New Roman" w:hAnsi="Times New Roman" w:cs="Times New Roman"/>
        </w:rPr>
        <w:t xml:space="preserve"> outlines structured involvement in classroom instruction, credit-bearing courses, and faculty collaboration:</w:t>
      </w:r>
    </w:p>
    <w:p w14:paraId="207225D0" w14:textId="30A0A73A" w:rsidR="00F46A6D" w:rsidRDefault="00F46A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Table </w:t>
      </w: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w:t>
      </w:r>
      <w:r w:rsidR="00EB25AC" w:rsidRPr="00EB25AC">
        <w:rPr>
          <w:rFonts w:ascii="Times New Roman" w:eastAsia="Times New Roman" w:hAnsi="Times New Roman" w:cs="Times New Roman"/>
        </w:rPr>
        <w:t>Librarian Teaching Model</w:t>
      </w:r>
    </w:p>
    <w:tbl>
      <w:tblPr>
        <w:tblStyle w:val="a"/>
        <w:tblW w:w="9026" w:type="dxa"/>
        <w:jc w:val="center"/>
        <w:tblBorders>
          <w:top w:val="single" w:sz="4" w:space="0" w:color="7F7F7F"/>
          <w:bottom w:val="single" w:sz="4" w:space="0" w:color="7F7F7F"/>
        </w:tblBorders>
        <w:tblLayout w:type="fixed"/>
        <w:tblLook w:val="04A0" w:firstRow="1" w:lastRow="0" w:firstColumn="1" w:lastColumn="0" w:noHBand="0" w:noVBand="1"/>
      </w:tblPr>
      <w:tblGrid>
        <w:gridCol w:w="1985"/>
        <w:gridCol w:w="7041"/>
      </w:tblGrid>
      <w:tr w:rsidR="0000009C" w14:paraId="43FB1390" w14:textId="77777777" w:rsidTr="000000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194DC613" w14:textId="77777777" w:rsidR="0000009C" w:rsidRDefault="00EB25AC">
            <w:pPr>
              <w:spacing w:after="160" w:line="360" w:lineRule="auto"/>
              <w:jc w:val="right"/>
              <w:rPr>
                <w:rFonts w:ascii="Times New Roman" w:eastAsia="Times New Roman" w:hAnsi="Times New Roman" w:cs="Times New Roman"/>
              </w:rPr>
            </w:pPr>
            <w:r>
              <w:rPr>
                <w:rFonts w:ascii="Times New Roman" w:eastAsia="Times New Roman" w:hAnsi="Times New Roman" w:cs="Times New Roman"/>
              </w:rPr>
              <w:lastRenderedPageBreak/>
              <w:t>Component</w:t>
            </w:r>
          </w:p>
        </w:tc>
        <w:tc>
          <w:tcPr>
            <w:tcW w:w="7041" w:type="dxa"/>
          </w:tcPr>
          <w:p w14:paraId="57B48910" w14:textId="77777777" w:rsidR="0000009C" w:rsidRDefault="00EB25AC">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Details</w:t>
            </w:r>
          </w:p>
        </w:tc>
      </w:tr>
      <w:tr w:rsidR="0000009C" w14:paraId="7FAE2335" w14:textId="77777777" w:rsidTr="00000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122A529B" w14:textId="77777777" w:rsidR="0000009C" w:rsidRDefault="00EB25AC">
            <w:pPr>
              <w:spacing w:after="160" w:line="360" w:lineRule="auto"/>
              <w:jc w:val="right"/>
              <w:rPr>
                <w:rFonts w:ascii="Times New Roman" w:eastAsia="Times New Roman" w:hAnsi="Times New Roman" w:cs="Times New Roman"/>
              </w:rPr>
            </w:pPr>
            <w:r>
              <w:rPr>
                <w:rFonts w:ascii="Times New Roman" w:eastAsia="Times New Roman" w:hAnsi="Times New Roman" w:cs="Times New Roman"/>
              </w:rPr>
              <w:t>Teaching Load</w:t>
            </w:r>
          </w:p>
        </w:tc>
        <w:tc>
          <w:tcPr>
            <w:tcW w:w="7041" w:type="dxa"/>
          </w:tcPr>
          <w:p w14:paraId="7CAFCF3C" w14:textId="77777777" w:rsidR="0000009C" w:rsidRDefault="00EB25AC">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 hours/week</w:t>
            </w:r>
          </w:p>
        </w:tc>
      </w:tr>
      <w:tr w:rsidR="0000009C" w14:paraId="5D4BD50D" w14:textId="77777777" w:rsidTr="0000009C">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5689B68B" w14:textId="77777777" w:rsidR="0000009C" w:rsidRDefault="00EB25AC">
            <w:pPr>
              <w:spacing w:after="160" w:line="360" w:lineRule="auto"/>
              <w:jc w:val="right"/>
              <w:rPr>
                <w:rFonts w:ascii="Times New Roman" w:eastAsia="Times New Roman" w:hAnsi="Times New Roman" w:cs="Times New Roman"/>
              </w:rPr>
            </w:pPr>
            <w:r>
              <w:rPr>
                <w:rFonts w:ascii="Times New Roman" w:eastAsia="Times New Roman" w:hAnsi="Times New Roman" w:cs="Times New Roman"/>
              </w:rPr>
              <w:t>Subjects</w:t>
            </w:r>
          </w:p>
        </w:tc>
        <w:tc>
          <w:tcPr>
            <w:tcW w:w="7041" w:type="dxa"/>
          </w:tcPr>
          <w:p w14:paraId="7C2CC9EF" w14:textId="77777777" w:rsidR="0000009C" w:rsidRDefault="00EB25AC">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Library and Information Science, Information Literacy, Research Skills, Citation Ethics, Digital Resource Management</w:t>
            </w:r>
          </w:p>
        </w:tc>
      </w:tr>
      <w:tr w:rsidR="0000009C" w14:paraId="554FA2E2" w14:textId="77777777" w:rsidTr="00000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41393E0C" w14:textId="77777777" w:rsidR="0000009C" w:rsidRDefault="00EB25AC">
            <w:pPr>
              <w:spacing w:after="160" w:line="360" w:lineRule="auto"/>
              <w:jc w:val="right"/>
              <w:rPr>
                <w:rFonts w:ascii="Times New Roman" w:eastAsia="Times New Roman" w:hAnsi="Times New Roman" w:cs="Times New Roman"/>
              </w:rPr>
            </w:pPr>
            <w:r>
              <w:rPr>
                <w:rFonts w:ascii="Times New Roman" w:eastAsia="Times New Roman" w:hAnsi="Times New Roman" w:cs="Times New Roman"/>
              </w:rPr>
              <w:t>Target Audience</w:t>
            </w:r>
          </w:p>
        </w:tc>
        <w:tc>
          <w:tcPr>
            <w:tcW w:w="7041" w:type="dxa"/>
          </w:tcPr>
          <w:p w14:paraId="4C0E2288" w14:textId="77777777" w:rsidR="0000009C" w:rsidRDefault="00EB25AC">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Undergraduate First Semester students, Postgraduates</w:t>
            </w:r>
          </w:p>
        </w:tc>
      </w:tr>
      <w:tr w:rsidR="0000009C" w14:paraId="7C8262CE" w14:textId="77777777" w:rsidTr="0000009C">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6B288C05" w14:textId="77777777" w:rsidR="0000009C" w:rsidRDefault="00EB25AC">
            <w:pPr>
              <w:spacing w:after="160" w:line="360" w:lineRule="auto"/>
              <w:jc w:val="right"/>
              <w:rPr>
                <w:rFonts w:ascii="Times New Roman" w:eastAsia="Times New Roman" w:hAnsi="Times New Roman" w:cs="Times New Roman"/>
              </w:rPr>
            </w:pPr>
            <w:r>
              <w:rPr>
                <w:rFonts w:ascii="Times New Roman" w:eastAsia="Times New Roman" w:hAnsi="Times New Roman" w:cs="Times New Roman"/>
              </w:rPr>
              <w:t>Delivery Mode</w:t>
            </w:r>
          </w:p>
        </w:tc>
        <w:tc>
          <w:tcPr>
            <w:tcW w:w="7041" w:type="dxa"/>
          </w:tcPr>
          <w:p w14:paraId="0D908671" w14:textId="77777777" w:rsidR="0000009C" w:rsidRDefault="00EB25AC">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Co-teaching, workshops, blended learning</w:t>
            </w:r>
          </w:p>
        </w:tc>
      </w:tr>
      <w:tr w:rsidR="0000009C" w14:paraId="6BA97773" w14:textId="77777777" w:rsidTr="00000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31157D29" w14:textId="77777777" w:rsidR="0000009C" w:rsidRDefault="00EB25AC">
            <w:pPr>
              <w:spacing w:after="160" w:line="360" w:lineRule="auto"/>
              <w:jc w:val="right"/>
              <w:rPr>
                <w:rFonts w:ascii="Times New Roman" w:eastAsia="Times New Roman" w:hAnsi="Times New Roman" w:cs="Times New Roman"/>
              </w:rPr>
            </w:pPr>
            <w:r>
              <w:rPr>
                <w:rFonts w:ascii="Times New Roman" w:eastAsia="Times New Roman" w:hAnsi="Times New Roman" w:cs="Times New Roman"/>
              </w:rPr>
              <w:t>Outcomes</w:t>
            </w:r>
          </w:p>
        </w:tc>
        <w:tc>
          <w:tcPr>
            <w:tcW w:w="7041" w:type="dxa"/>
          </w:tcPr>
          <w:p w14:paraId="206F5F58" w14:textId="77777777" w:rsidR="0000009C" w:rsidRDefault="00EB25AC">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Improved research skills, digital literacy, academic integrity</w:t>
            </w:r>
          </w:p>
        </w:tc>
      </w:tr>
    </w:tbl>
    <w:p w14:paraId="5F5877BA" w14:textId="77777777" w:rsidR="0000009C" w:rsidRDefault="00EB25AC">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Empirical validation of librarian-led teaching can be assessed through student surveys measuring research preparedness before and after librarian instruction, evaluating improvements in information literacy and resource utilization. Citation analysis can track students’ adherence to proper referencing standards, comparing accuracy levels prior to and following librarian-led training sessions. Additionally, plagiarism reduction metrics can highlight the effectiveness of academic integrity workshops facilitated by librarians, examining decreases in improper citations and unauthorized content usage. These data-driven approaches provide tangible evidence supporting the integration of librarians into formal pedagogy within higher education institutions.</w:t>
      </w:r>
    </w:p>
    <w:p w14:paraId="5FF60BA3"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8. Challenges Hindering Librarian Pedagogy</w:t>
      </w:r>
    </w:p>
    <w:p w14:paraId="7D2949B9"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The integration of librarians into academic teaching faces multiple barriers:</w:t>
      </w:r>
    </w:p>
    <w:p w14:paraId="4F88A135" w14:textId="3ABFDC8C" w:rsidR="00F46A6D" w:rsidRDefault="00F46A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Table </w:t>
      </w:r>
      <w:proofErr w:type="gramStart"/>
      <w:r>
        <w:rPr>
          <w:rFonts w:ascii="Times New Roman" w:eastAsia="Times New Roman" w:hAnsi="Times New Roman" w:cs="Times New Roman"/>
        </w:rPr>
        <w:t>2 :</w:t>
      </w:r>
      <w:proofErr w:type="gramEnd"/>
      <w:r>
        <w:rPr>
          <w:rFonts w:ascii="Times New Roman" w:eastAsia="Times New Roman" w:hAnsi="Times New Roman" w:cs="Times New Roman"/>
        </w:rPr>
        <w:t xml:space="preserve"> </w:t>
      </w:r>
      <w:r w:rsidR="00EB25AC" w:rsidRPr="00EB25AC">
        <w:rPr>
          <w:rFonts w:ascii="Times New Roman" w:eastAsia="Times New Roman" w:hAnsi="Times New Roman" w:cs="Times New Roman"/>
        </w:rPr>
        <w:t>Challenges Hindering Librarian Pedagogy</w:t>
      </w:r>
    </w:p>
    <w:tbl>
      <w:tblPr>
        <w:tblStyle w:val="a0"/>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10"/>
        <w:gridCol w:w="2953"/>
        <w:gridCol w:w="3553"/>
      </w:tblGrid>
      <w:tr w:rsidR="0000009C" w14:paraId="3605C51A" w14:textId="77777777" w:rsidTr="00000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33FE326C" w14:textId="77777777" w:rsidR="0000009C" w:rsidRDefault="00EB25AC">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Challenge</w:t>
            </w:r>
          </w:p>
        </w:tc>
        <w:tc>
          <w:tcPr>
            <w:tcW w:w="2953" w:type="dxa"/>
          </w:tcPr>
          <w:p w14:paraId="39E12896" w14:textId="77777777" w:rsidR="0000009C" w:rsidRDefault="00EB25AC">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Implication</w:t>
            </w:r>
          </w:p>
        </w:tc>
        <w:tc>
          <w:tcPr>
            <w:tcW w:w="3553" w:type="dxa"/>
          </w:tcPr>
          <w:p w14:paraId="0DDEC3AF" w14:textId="77777777" w:rsidR="0000009C" w:rsidRDefault="00EB25AC">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Proposed Solution</w:t>
            </w:r>
          </w:p>
        </w:tc>
      </w:tr>
      <w:tr w:rsidR="0000009C" w14:paraId="29D65F7B" w14:textId="77777777" w:rsidTr="0000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16673696" w14:textId="77777777" w:rsidR="0000009C" w:rsidRDefault="00EB25AC">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Ph.D. Requirement</w:t>
            </w:r>
          </w:p>
        </w:tc>
        <w:tc>
          <w:tcPr>
            <w:tcW w:w="2953" w:type="dxa"/>
          </w:tcPr>
          <w:p w14:paraId="10A5DE8E" w14:textId="77777777" w:rsidR="0000009C" w:rsidRDefault="00EB25AC">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Excludes experienced LIS professionals</w:t>
            </w:r>
          </w:p>
        </w:tc>
        <w:tc>
          <w:tcPr>
            <w:tcW w:w="3553" w:type="dxa"/>
          </w:tcPr>
          <w:p w14:paraId="46579AB1" w14:textId="77777777" w:rsidR="0000009C" w:rsidRDefault="00EB25AC">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Policy revision for eligibility based on expertise</w:t>
            </w:r>
          </w:p>
        </w:tc>
      </w:tr>
      <w:tr w:rsidR="0000009C" w14:paraId="55AF99C5" w14:textId="77777777" w:rsidTr="0000009C">
        <w:tc>
          <w:tcPr>
            <w:cnfStyle w:val="001000000000" w:firstRow="0" w:lastRow="0" w:firstColumn="1" w:lastColumn="0" w:oddVBand="0" w:evenVBand="0" w:oddHBand="0" w:evenHBand="0" w:firstRowFirstColumn="0" w:firstRowLastColumn="0" w:lastRowFirstColumn="0" w:lastRowLastColumn="0"/>
            <w:tcW w:w="2510" w:type="dxa"/>
          </w:tcPr>
          <w:p w14:paraId="2019A9BB" w14:textId="77777777" w:rsidR="0000009C" w:rsidRDefault="00EB25AC">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Institutional Resistance</w:t>
            </w:r>
          </w:p>
        </w:tc>
        <w:tc>
          <w:tcPr>
            <w:tcW w:w="2953" w:type="dxa"/>
          </w:tcPr>
          <w:p w14:paraId="13913FAE" w14:textId="77777777" w:rsidR="0000009C" w:rsidRDefault="00EB25AC">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Librarians seen as support staff</w:t>
            </w:r>
          </w:p>
        </w:tc>
        <w:tc>
          <w:tcPr>
            <w:tcW w:w="3553" w:type="dxa"/>
          </w:tcPr>
          <w:p w14:paraId="4644BA65" w14:textId="77777777" w:rsidR="0000009C" w:rsidRDefault="00EB25AC">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Advocacy &amp; policy directives for faculty inclusion</w:t>
            </w:r>
          </w:p>
        </w:tc>
      </w:tr>
      <w:tr w:rsidR="0000009C" w14:paraId="6E3E9513" w14:textId="77777777" w:rsidTr="0000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4CAAF5AE" w14:textId="77777777" w:rsidR="0000009C" w:rsidRDefault="00EB25AC">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Workload Constraints</w:t>
            </w:r>
          </w:p>
        </w:tc>
        <w:tc>
          <w:tcPr>
            <w:tcW w:w="2953" w:type="dxa"/>
          </w:tcPr>
          <w:p w14:paraId="559FE941" w14:textId="77777777" w:rsidR="0000009C" w:rsidRDefault="00EB25AC">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Limited time for teaching</w:t>
            </w:r>
          </w:p>
        </w:tc>
        <w:tc>
          <w:tcPr>
            <w:tcW w:w="3553" w:type="dxa"/>
          </w:tcPr>
          <w:p w14:paraId="72C442AB" w14:textId="77777777" w:rsidR="0000009C" w:rsidRDefault="00EB25AC">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Strategic recruitment &amp; workload redistribution</w:t>
            </w:r>
          </w:p>
        </w:tc>
      </w:tr>
      <w:tr w:rsidR="0000009C" w14:paraId="2F026798" w14:textId="77777777" w:rsidTr="0000009C">
        <w:tc>
          <w:tcPr>
            <w:cnfStyle w:val="001000000000" w:firstRow="0" w:lastRow="0" w:firstColumn="1" w:lastColumn="0" w:oddVBand="0" w:evenVBand="0" w:oddHBand="0" w:evenHBand="0" w:firstRowFirstColumn="0" w:firstRowLastColumn="0" w:lastRowFirstColumn="0" w:lastRowLastColumn="0"/>
            <w:tcW w:w="2510" w:type="dxa"/>
          </w:tcPr>
          <w:p w14:paraId="71E9FCF3" w14:textId="77777777" w:rsidR="0000009C" w:rsidRDefault="00EB25AC">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Lack of Pedagogical </w:t>
            </w:r>
            <w:r>
              <w:rPr>
                <w:rFonts w:ascii="Times New Roman" w:eastAsia="Times New Roman" w:hAnsi="Times New Roman" w:cs="Times New Roman"/>
              </w:rPr>
              <w:lastRenderedPageBreak/>
              <w:t>Training</w:t>
            </w:r>
          </w:p>
        </w:tc>
        <w:tc>
          <w:tcPr>
            <w:tcW w:w="2953" w:type="dxa"/>
          </w:tcPr>
          <w:p w14:paraId="3899EAA4" w14:textId="77777777" w:rsidR="0000009C" w:rsidRDefault="00EB25AC">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 xml:space="preserve">Informal teaching </w:t>
            </w:r>
            <w:r>
              <w:rPr>
                <w:rFonts w:ascii="Times New Roman" w:eastAsia="Times New Roman" w:hAnsi="Times New Roman" w:cs="Times New Roman"/>
              </w:rPr>
              <w:lastRenderedPageBreak/>
              <w:t>experience only</w:t>
            </w:r>
          </w:p>
        </w:tc>
        <w:tc>
          <w:tcPr>
            <w:tcW w:w="3553" w:type="dxa"/>
          </w:tcPr>
          <w:p w14:paraId="03CB72DE" w14:textId="77777777" w:rsidR="0000009C" w:rsidRDefault="00EB25AC">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Faculty development programs</w:t>
            </w:r>
          </w:p>
        </w:tc>
      </w:tr>
    </w:tbl>
    <w:p w14:paraId="0A4D0DDC" w14:textId="77777777" w:rsidR="0000009C" w:rsidRDefault="00EB25AC">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Institutional resistance from faculty and administrators remains a significant challenge in integrating librarians into formal teaching, as traditional academic hierarchies often limit librarians' roles to support services rather than instructional faculty. Many institutions lack clear policies recognizing librarians as educators, leading to reluctance in granting teaching responsibilities. Budget constraints further restrict librarian-led instructional development, with limited financial resources allocated for training, curriculum expansion, and classroom infrastructure tailored for librarian-led courses. Additionally, accreditation challenges prevent librarians from being formally recognized in faculty rosters, as existing regulations mandate strict faculty qualifications—often requiring a Ph.D. for teaching eligibility, excluding experienced librarians with advanced LIS degrees. Addressing these barriers through policy reforms, structured teaching frameworks, and institutional advocacy is essential for librarian integration within higher education pedagogy.</w:t>
      </w:r>
    </w:p>
    <w:p w14:paraId="49196A04"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9. Global Best Practices: Librarians in Pedagogical Roles</w:t>
      </w:r>
    </w:p>
    <w:p w14:paraId="6F050506" w14:textId="161A0E6F"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Internationally, academic librarians serve as instructional faculty across disciplines. In the United States, universities integrate librarians into formal credit courses under the ACRL Information Literacy framework. UK LIS programs mandate pedagogical training for librarians, ensuring structured teaching methodologies. Adopting similar models in India could provide a framework for policy adaptation.</w:t>
      </w:r>
    </w:p>
    <w:p w14:paraId="2E9EB4C3"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Harvard, Oxford, and Australian National University exemplify structured librarian-teaching models, where librarians lead credit-bearing courses in information literacy, research methodologies, and academic integrity. Harvard’s Embedded Librarianship Framework integrates librarians into undergraduate research programs, ensuring structured faculty-librarian collaborations in scholarly instruction. Oxford University mandates formal librarian-led research training, recognizing librarians as essential contributors to interdisciplinary coursework. In Australia, librarians at ANU co-teach digital literacy and research skills, actively participating in curriculum design. Higher education regulations in the U.S., U.K., and Australia acknowledge librarians as academic educators, ensuring they receive formal teaching responsibilities, research mentorship roles, and structured faculty engagement. Comparative analysis shows integrated faculty-librarian teaching models enhance student </w:t>
      </w:r>
      <w:r>
        <w:rPr>
          <w:rFonts w:ascii="Times New Roman" w:eastAsia="Times New Roman" w:hAnsi="Times New Roman" w:cs="Times New Roman"/>
        </w:rPr>
        <w:lastRenderedPageBreak/>
        <w:t>research preparedness, providing a strong case for similar policy adoption in Indian HEIs under NEP 2020.</w:t>
      </w:r>
    </w:p>
    <w:p w14:paraId="798B1780" w14:textId="77777777" w:rsidR="00717C4F" w:rsidRDefault="00717C4F">
      <w:pPr>
        <w:spacing w:line="360" w:lineRule="auto"/>
        <w:jc w:val="both"/>
        <w:rPr>
          <w:rFonts w:ascii="Times New Roman" w:eastAsia="Times New Roman" w:hAnsi="Times New Roman" w:cs="Times New Roman"/>
        </w:rPr>
      </w:pPr>
    </w:p>
    <w:p w14:paraId="198960CD"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10. Policy Recommendations for Librarian Teaching Integration</w:t>
      </w:r>
    </w:p>
    <w:p w14:paraId="465368A5"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10.1.</w:t>
      </w:r>
      <w:r>
        <w:rPr>
          <w:rFonts w:ascii="Times New Roman" w:eastAsia="Times New Roman" w:hAnsi="Times New Roman" w:cs="Times New Roman"/>
          <w:b/>
        </w:rPr>
        <w:t xml:space="preserve"> </w:t>
      </w:r>
      <w:r>
        <w:rPr>
          <w:rFonts w:ascii="Times New Roman" w:eastAsia="Times New Roman" w:hAnsi="Times New Roman" w:cs="Times New Roman"/>
          <w:b/>
          <w:i/>
        </w:rPr>
        <w:t>Formal Recognition of Librarians as Academic teaching Faculty</w:t>
      </w:r>
    </w:p>
    <w:p w14:paraId="08E2696C"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Librarians should be officially classified as academic teaching faculty, allowing them to engage in structured teaching roles in HEIs. This will eliminate institutional restrictions limiting them to support services and ensure equitable recognition alongside professors and lecturers.</w:t>
      </w:r>
    </w:p>
    <w:p w14:paraId="70F301CA"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10.2. Mandatory Undergraduate Courses in Information Literacy</w:t>
      </w:r>
    </w:p>
    <w:p w14:paraId="35988D02"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Every undergraduate student should receive credit-bearing instruction in information literacy, research methodology, and digital resource management, taught by librarians. This aligns with NEP 2020’s emphasis on interdisciplinary and skill-based education.</w:t>
      </w:r>
    </w:p>
    <w:p w14:paraId="476AB202"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10.3. Librarians as Co-Instructors in Research-Intensive Courses</w:t>
      </w:r>
    </w:p>
    <w:p w14:paraId="633BC806"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Librarians should be actively involved in teaching research skills, citation management, and academic integrity, co-teaching alongside disciplinary faculty. This will help bridge theoretical knowledge with practical information navigation.</w:t>
      </w:r>
    </w:p>
    <w:p w14:paraId="07756B18"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10.4. Faculty Development &amp; Teaching Certifications for Librarians</w:t>
      </w:r>
    </w:p>
    <w:p w14:paraId="3E9A3430"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Institutions must establish structured faculty training programs to equip librarians with pedagogical skills, assessment strategies, and course design competencies. This will institutionalize librarian-led instruction across disciplines.</w:t>
      </w:r>
    </w:p>
    <w:p w14:paraId="3CD0DF51"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10.5. Dedicated Budget for Librarian Teaching Infrastructure</w:t>
      </w:r>
    </w:p>
    <w:p w14:paraId="34140403"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Government and institutional policies should allocate adequate funding for librarian-led teaching initiatives, ensuring classroom space, technology, and digital resources tailored to structured pedagogy.</w:t>
      </w:r>
    </w:p>
    <w:p w14:paraId="7EEABBE8"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10.6. Inclusion of Librarians in Curriculum Committees</w:t>
      </w:r>
    </w:p>
    <w:p w14:paraId="0E37A4CD"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Librarians should have formal roles in curriculum development, shaping coursework in academic integrity, research skills, digital literacy, and scholarly communication. This will institutionalize their expertise within academic course planning.</w:t>
      </w:r>
    </w:p>
    <w:p w14:paraId="07BA0725"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10.7. Career Progression Pathways for Librarian-Teachers</w:t>
      </w:r>
    </w:p>
    <w:p w14:paraId="06B0D28A"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Librarians taking active teaching roles should have defined career progression opportunities, ensuring promotion criteria recognize teaching contributions, research involvement, and student mentorship.</w:t>
      </w:r>
    </w:p>
    <w:p w14:paraId="48899F2C"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10.8. Librarians as Research Supervisors &amp; Co-PIs</w:t>
      </w:r>
    </w:p>
    <w:p w14:paraId="62AC26CF"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Qualified librarians should be eligible as co-supervisors for student research projects, guiding literature reviews, citation accuracy, and research methodology. They should also be recognized as (Co-Principal Investigators) Co-PIs in funded research projects under UGC and ICSSR guidelines.</w:t>
      </w:r>
    </w:p>
    <w:p w14:paraId="0159CC83"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10.9. Integration of Librarians into Faculty Appraisal Systems</w:t>
      </w:r>
    </w:p>
    <w:p w14:paraId="6D0773FC"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Teaching contributions by librarians should be formally evaluated in faculty performance assessments, ensuring institutional recognition, research leave provisions, and conference funding for librarian educators.</w:t>
      </w:r>
    </w:p>
    <w:p w14:paraId="51F985CE" w14:textId="77777777" w:rsidR="0000009C" w:rsidRDefault="00EB25AC">
      <w:pPr>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10.10. National-Level Policy Endorsement for Librarian-Led Instruction</w:t>
      </w:r>
    </w:p>
    <w:p w14:paraId="6C8F0D92"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The University Grants Commission (UGC) and AICTE should issue clear directives recognizing librarians as educators, mandating structured involvement in teaching, curriculum planning, student evaluation, and research mentorship across HEIs.</w:t>
      </w:r>
    </w:p>
    <w:p w14:paraId="47087CCB" w14:textId="77777777"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These recommendations will ensure that librarians transition from passive knowledge custodians to active educators, strengthening higher education pedagogy, research training, and interdisciplinary learning. </w:t>
      </w:r>
    </w:p>
    <w:p w14:paraId="2BA8612C"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11. Conclusion</w:t>
      </w:r>
    </w:p>
    <w:p w14:paraId="75A49E43" w14:textId="0E51D401" w:rsidR="0000009C" w:rsidRDefault="00EB25A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NEP 2020 presents a paradigm shift, repositioning librarians from passive knowledge custodians to active educators and research mentors. The formal recognition and academic integration of librarians into structured teaching roles not only enhance student learning outcomes but also enrich the broader institutional academic ecosystem. By bridging the gap between theory and practice, librarians can play a transformative role in interdisciplinary </w:t>
      </w:r>
      <w:r>
        <w:rPr>
          <w:rFonts w:ascii="Times New Roman" w:eastAsia="Times New Roman" w:hAnsi="Times New Roman" w:cs="Times New Roman"/>
        </w:rPr>
        <w:lastRenderedPageBreak/>
        <w:t>education, research facilitation, and academic integrity promotion within Indian HEIs. Future research should focus on pilot studies in Indian HEIs to evaluate the effectiveness of librarian-led courses, measuring improvements in student research skills, citation accuracy, and academic integrity. Additionally, longitudinal studies are needed to assess how librarian instruction impacts students' referencing standards, research competency, and digital literacy over time. To formalize librarians’ teaching roles, research should explore policy lobbying strategies that advocate for their academic faculty status under NEP 2020, ensuring institutional recognition and structured pedagogy integration within higher education.</w:t>
      </w:r>
    </w:p>
    <w:p w14:paraId="13A38738" w14:textId="77777777" w:rsidR="00C41849" w:rsidRPr="00046C34" w:rsidRDefault="00C41849" w:rsidP="00C41849">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Disclaimer (Artificial intelligence)</w:t>
      </w:r>
    </w:p>
    <w:p w14:paraId="3186D628" w14:textId="2B45334E" w:rsidR="005853D7" w:rsidRPr="005853D7" w:rsidRDefault="005853D7" w:rsidP="005853D7">
      <w:pPr>
        <w:spacing w:line="360" w:lineRule="auto"/>
        <w:jc w:val="both"/>
        <w:rPr>
          <w:rFonts w:ascii="Times New Roman" w:eastAsia="Times New Roman" w:hAnsi="Times New Roman" w:cs="Times New Roman"/>
          <w:color w:val="EE0000"/>
        </w:rPr>
      </w:pPr>
      <w:r w:rsidRPr="005853D7">
        <w:rPr>
          <w:rFonts w:ascii="Times New Roman" w:eastAsia="Times New Roman" w:hAnsi="Times New Roman" w:cs="Times New Roman"/>
          <w:color w:val="EE0000"/>
        </w:rPr>
        <w:t xml:space="preserve">The </w:t>
      </w:r>
      <w:proofErr w:type="gramStart"/>
      <w:r w:rsidRPr="005853D7">
        <w:rPr>
          <w:rFonts w:ascii="Times New Roman" w:eastAsia="Times New Roman" w:hAnsi="Times New Roman" w:cs="Times New Roman"/>
          <w:color w:val="EE0000"/>
        </w:rPr>
        <w:t>Author  hereby</w:t>
      </w:r>
      <w:proofErr w:type="gramEnd"/>
      <w:r w:rsidRPr="005853D7">
        <w:rPr>
          <w:rFonts w:ascii="Times New Roman" w:eastAsia="Times New Roman" w:hAnsi="Times New Roman" w:cs="Times New Roman"/>
          <w:color w:val="EE0000"/>
        </w:rPr>
        <w:t xml:space="preserve"> declare that </w:t>
      </w:r>
      <w:r w:rsidRPr="005853D7">
        <w:rPr>
          <w:rFonts w:ascii="Times New Roman" w:eastAsia="Times New Roman" w:hAnsi="Times New Roman" w:cs="Times New Roman"/>
          <w:b/>
          <w:bCs/>
          <w:color w:val="EE0000"/>
        </w:rPr>
        <w:t>generative AI technologies such as Large Language Models</w:t>
      </w:r>
      <w:r w:rsidRPr="005853D7">
        <w:rPr>
          <w:rFonts w:ascii="Times New Roman" w:eastAsia="Times New Roman" w:hAnsi="Times New Roman" w:cs="Times New Roman"/>
          <w:color w:val="EE0000"/>
        </w:rPr>
        <w:t xml:space="preserve"> were used during the writing or editing of this manuscript. The following details include the name, version, model, and source of the AI technology used, as well as the nature of its usage and input prompts provided:</w:t>
      </w:r>
    </w:p>
    <w:p w14:paraId="1CD28211" w14:textId="77777777" w:rsidR="005853D7" w:rsidRPr="005853D7" w:rsidRDefault="005853D7" w:rsidP="005853D7">
      <w:pPr>
        <w:numPr>
          <w:ilvl w:val="0"/>
          <w:numId w:val="2"/>
        </w:numPr>
        <w:spacing w:line="360" w:lineRule="auto"/>
        <w:jc w:val="both"/>
        <w:rPr>
          <w:rFonts w:ascii="Times New Roman" w:eastAsia="Times New Roman" w:hAnsi="Times New Roman" w:cs="Times New Roman"/>
          <w:color w:val="EE0000"/>
        </w:rPr>
      </w:pPr>
      <w:r w:rsidRPr="005853D7">
        <w:rPr>
          <w:rFonts w:ascii="Times New Roman" w:eastAsia="Times New Roman" w:hAnsi="Times New Roman" w:cs="Times New Roman"/>
          <w:b/>
          <w:bCs/>
          <w:color w:val="EE0000"/>
        </w:rPr>
        <w:t>Name of AI Tool</w:t>
      </w:r>
      <w:r w:rsidRPr="005853D7">
        <w:rPr>
          <w:rFonts w:ascii="Times New Roman" w:eastAsia="Times New Roman" w:hAnsi="Times New Roman" w:cs="Times New Roman"/>
          <w:color w:val="EE0000"/>
        </w:rPr>
        <w:t>: ChatGPT</w:t>
      </w:r>
    </w:p>
    <w:p w14:paraId="52D48F3B" w14:textId="77777777" w:rsidR="005853D7" w:rsidRPr="005853D7" w:rsidRDefault="005853D7" w:rsidP="005853D7">
      <w:pPr>
        <w:numPr>
          <w:ilvl w:val="0"/>
          <w:numId w:val="2"/>
        </w:numPr>
        <w:spacing w:line="360" w:lineRule="auto"/>
        <w:jc w:val="both"/>
        <w:rPr>
          <w:rFonts w:ascii="Times New Roman" w:eastAsia="Times New Roman" w:hAnsi="Times New Roman" w:cs="Times New Roman"/>
          <w:color w:val="EE0000"/>
        </w:rPr>
      </w:pPr>
      <w:r w:rsidRPr="005853D7">
        <w:rPr>
          <w:rFonts w:ascii="Times New Roman" w:eastAsia="Times New Roman" w:hAnsi="Times New Roman" w:cs="Times New Roman"/>
          <w:b/>
          <w:bCs/>
          <w:color w:val="EE0000"/>
        </w:rPr>
        <w:t>Version/Model</w:t>
      </w:r>
      <w:r w:rsidRPr="005853D7">
        <w:rPr>
          <w:rFonts w:ascii="Times New Roman" w:eastAsia="Times New Roman" w:hAnsi="Times New Roman" w:cs="Times New Roman"/>
          <w:color w:val="EE0000"/>
        </w:rPr>
        <w:t>: GPT-4o</w:t>
      </w:r>
    </w:p>
    <w:p w14:paraId="3F87A818" w14:textId="77777777" w:rsidR="005853D7" w:rsidRPr="005853D7" w:rsidRDefault="005853D7" w:rsidP="005853D7">
      <w:pPr>
        <w:numPr>
          <w:ilvl w:val="0"/>
          <w:numId w:val="2"/>
        </w:numPr>
        <w:spacing w:line="360" w:lineRule="auto"/>
        <w:jc w:val="both"/>
        <w:rPr>
          <w:rFonts w:ascii="Times New Roman" w:eastAsia="Times New Roman" w:hAnsi="Times New Roman" w:cs="Times New Roman"/>
          <w:color w:val="EE0000"/>
        </w:rPr>
      </w:pPr>
      <w:r w:rsidRPr="005853D7">
        <w:rPr>
          <w:rFonts w:ascii="Times New Roman" w:eastAsia="Times New Roman" w:hAnsi="Times New Roman" w:cs="Times New Roman"/>
          <w:b/>
          <w:bCs/>
          <w:color w:val="EE0000"/>
        </w:rPr>
        <w:t>Source</w:t>
      </w:r>
      <w:r w:rsidRPr="005853D7">
        <w:rPr>
          <w:rFonts w:ascii="Times New Roman" w:eastAsia="Times New Roman" w:hAnsi="Times New Roman" w:cs="Times New Roman"/>
          <w:color w:val="EE0000"/>
        </w:rPr>
        <w:t>: OpenAI (</w:t>
      </w:r>
      <w:hyperlink r:id="rId8" w:tgtFrame="_new" w:history="1">
        <w:r w:rsidRPr="005853D7">
          <w:rPr>
            <w:rStyle w:val="Hyperlink"/>
            <w:rFonts w:ascii="Times New Roman" w:eastAsia="Times New Roman" w:hAnsi="Times New Roman" w:cs="Times New Roman"/>
            <w:color w:val="EE0000"/>
          </w:rPr>
          <w:t>https://chat.openai.com</w:t>
        </w:r>
      </w:hyperlink>
      <w:r w:rsidRPr="005853D7">
        <w:rPr>
          <w:rFonts w:ascii="Times New Roman" w:eastAsia="Times New Roman" w:hAnsi="Times New Roman" w:cs="Times New Roman"/>
          <w:color w:val="EE0000"/>
        </w:rPr>
        <w:t>)</w:t>
      </w:r>
    </w:p>
    <w:p w14:paraId="52487C81" w14:textId="77777777" w:rsidR="005853D7" w:rsidRPr="005853D7" w:rsidRDefault="005853D7" w:rsidP="005853D7">
      <w:pPr>
        <w:numPr>
          <w:ilvl w:val="0"/>
          <w:numId w:val="2"/>
        </w:numPr>
        <w:spacing w:line="360" w:lineRule="auto"/>
        <w:jc w:val="both"/>
        <w:rPr>
          <w:rFonts w:ascii="Times New Roman" w:eastAsia="Times New Roman" w:hAnsi="Times New Roman" w:cs="Times New Roman"/>
          <w:color w:val="EE0000"/>
        </w:rPr>
      </w:pPr>
      <w:r w:rsidRPr="005853D7">
        <w:rPr>
          <w:rFonts w:ascii="Times New Roman" w:eastAsia="Times New Roman" w:hAnsi="Times New Roman" w:cs="Times New Roman"/>
          <w:b/>
          <w:bCs/>
          <w:color w:val="EE0000"/>
        </w:rPr>
        <w:t>Purpose of Use</w:t>
      </w:r>
      <w:r w:rsidRPr="005853D7">
        <w:rPr>
          <w:rFonts w:ascii="Times New Roman" w:eastAsia="Times New Roman" w:hAnsi="Times New Roman" w:cs="Times New Roman"/>
          <w:color w:val="EE0000"/>
        </w:rPr>
        <w:t>: The AI tool was used for language refinement, reference formatting (APA 7th edition), grammar correction, and the structuring of some content sections based on author-provided ideas and drafts.</w:t>
      </w:r>
    </w:p>
    <w:p w14:paraId="41DD4E42" w14:textId="77777777" w:rsidR="005853D7" w:rsidRPr="005853D7" w:rsidRDefault="005853D7" w:rsidP="005853D7">
      <w:pPr>
        <w:spacing w:line="360" w:lineRule="auto"/>
        <w:jc w:val="both"/>
        <w:rPr>
          <w:rFonts w:ascii="Times New Roman" w:eastAsia="Times New Roman" w:hAnsi="Times New Roman" w:cs="Times New Roman"/>
          <w:color w:val="EE0000"/>
        </w:rPr>
      </w:pPr>
      <w:r w:rsidRPr="005853D7">
        <w:rPr>
          <w:rFonts w:ascii="Times New Roman" w:eastAsia="Times New Roman" w:hAnsi="Times New Roman" w:cs="Times New Roman"/>
          <w:b/>
          <w:bCs/>
          <w:color w:val="EE0000"/>
        </w:rPr>
        <w:t>Details of the AI Usage:</w:t>
      </w:r>
    </w:p>
    <w:p w14:paraId="62101B4F" w14:textId="77777777" w:rsidR="005853D7" w:rsidRPr="005853D7" w:rsidRDefault="005853D7" w:rsidP="005853D7">
      <w:pPr>
        <w:numPr>
          <w:ilvl w:val="0"/>
          <w:numId w:val="3"/>
        </w:numPr>
        <w:spacing w:line="360" w:lineRule="auto"/>
        <w:jc w:val="both"/>
        <w:rPr>
          <w:rFonts w:ascii="Times New Roman" w:eastAsia="Times New Roman" w:hAnsi="Times New Roman" w:cs="Times New Roman"/>
          <w:color w:val="EE0000"/>
        </w:rPr>
      </w:pPr>
      <w:r w:rsidRPr="005853D7">
        <w:rPr>
          <w:rFonts w:ascii="Times New Roman" w:eastAsia="Times New Roman" w:hAnsi="Times New Roman" w:cs="Times New Roman"/>
          <w:color w:val="EE0000"/>
        </w:rPr>
        <w:t>Drafted abstract and introduction based on author’s notes and keywords.</w:t>
      </w:r>
    </w:p>
    <w:p w14:paraId="1EF47DAB" w14:textId="77777777" w:rsidR="005853D7" w:rsidRPr="005853D7" w:rsidRDefault="005853D7" w:rsidP="005853D7">
      <w:pPr>
        <w:numPr>
          <w:ilvl w:val="0"/>
          <w:numId w:val="3"/>
        </w:numPr>
        <w:spacing w:line="360" w:lineRule="auto"/>
        <w:jc w:val="both"/>
        <w:rPr>
          <w:rFonts w:ascii="Times New Roman" w:eastAsia="Times New Roman" w:hAnsi="Times New Roman" w:cs="Times New Roman"/>
          <w:color w:val="EE0000"/>
        </w:rPr>
      </w:pPr>
      <w:r w:rsidRPr="005853D7">
        <w:rPr>
          <w:rFonts w:ascii="Times New Roman" w:eastAsia="Times New Roman" w:hAnsi="Times New Roman" w:cs="Times New Roman"/>
          <w:color w:val="EE0000"/>
        </w:rPr>
        <w:t>Assisted in organizing references and citations in APA style.</w:t>
      </w:r>
    </w:p>
    <w:p w14:paraId="2485C60A" w14:textId="3F3B107F" w:rsidR="005853D7" w:rsidRPr="005853D7" w:rsidRDefault="005853D7" w:rsidP="005853D7">
      <w:pPr>
        <w:numPr>
          <w:ilvl w:val="0"/>
          <w:numId w:val="3"/>
        </w:numPr>
        <w:spacing w:line="360" w:lineRule="auto"/>
        <w:jc w:val="both"/>
        <w:rPr>
          <w:rFonts w:ascii="Times New Roman" w:eastAsia="Times New Roman" w:hAnsi="Times New Roman" w:cs="Times New Roman"/>
          <w:color w:val="EE0000"/>
        </w:rPr>
      </w:pPr>
      <w:r w:rsidRPr="005853D7">
        <w:rPr>
          <w:rFonts w:ascii="Times New Roman" w:eastAsia="Times New Roman" w:hAnsi="Times New Roman" w:cs="Times New Roman"/>
          <w:color w:val="EE0000"/>
        </w:rPr>
        <w:t>Provided suggestions for paraphrasing and clarity improvements in certain sections (methodology, conclusion).</w:t>
      </w:r>
    </w:p>
    <w:p w14:paraId="3B0B3AF6" w14:textId="77777777" w:rsidR="005853D7" w:rsidRPr="005853D7" w:rsidRDefault="005853D7" w:rsidP="005853D7">
      <w:pPr>
        <w:spacing w:line="360" w:lineRule="auto"/>
        <w:jc w:val="both"/>
        <w:rPr>
          <w:rFonts w:ascii="Times New Roman" w:eastAsia="Times New Roman" w:hAnsi="Times New Roman" w:cs="Times New Roman"/>
          <w:color w:val="EE0000"/>
        </w:rPr>
      </w:pPr>
      <w:r w:rsidRPr="005853D7">
        <w:rPr>
          <w:rFonts w:ascii="Times New Roman" w:eastAsia="Times New Roman" w:hAnsi="Times New Roman" w:cs="Times New Roman"/>
          <w:color w:val="EE0000"/>
        </w:rPr>
        <w:t>The authors confirm that all intellectual and conceptual contributions are original, and the final content has been thoroughly reviewed and approved by the authors.</w:t>
      </w:r>
    </w:p>
    <w:p w14:paraId="38613BC7" w14:textId="77777777" w:rsidR="005853D7" w:rsidRDefault="005853D7">
      <w:pPr>
        <w:spacing w:line="360" w:lineRule="auto"/>
        <w:jc w:val="both"/>
        <w:rPr>
          <w:rFonts w:ascii="Times New Roman" w:eastAsia="Times New Roman" w:hAnsi="Times New Roman" w:cs="Times New Roman"/>
        </w:rPr>
      </w:pPr>
    </w:p>
    <w:p w14:paraId="475862E8" w14:textId="77777777" w:rsidR="0000009C" w:rsidRDefault="00EB25AC">
      <w:pPr>
        <w:spacing w:line="36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36653959" w14:textId="77777777" w:rsidR="00543F21" w:rsidRPr="00543F21" w:rsidRDefault="00543F21" w:rsidP="00300A22">
      <w:pPr>
        <w:pStyle w:val="ListParagraph"/>
        <w:numPr>
          <w:ilvl w:val="0"/>
          <w:numId w:val="5"/>
        </w:numPr>
        <w:spacing w:line="276" w:lineRule="auto"/>
        <w:jc w:val="both"/>
        <w:rPr>
          <w:highlight w:val="yellow"/>
        </w:rPr>
      </w:pPr>
      <w:r w:rsidRPr="00543F21">
        <w:lastRenderedPageBreak/>
        <w:t xml:space="preserve">Julien, H., &amp; </w:t>
      </w:r>
      <w:proofErr w:type="spellStart"/>
      <w:r w:rsidRPr="00543F21">
        <w:t>Genuis</w:t>
      </w:r>
      <w:proofErr w:type="spellEnd"/>
      <w:r w:rsidRPr="00543F21">
        <w:t>, S. K. (2011). Librarians' experiences of the teaching role: A national survey of librarians. Library &amp; Information Science Research, 33(2), 103-111.</w:t>
      </w:r>
    </w:p>
    <w:p w14:paraId="54C3F4A4" w14:textId="251A9099" w:rsidR="00E6134D" w:rsidRPr="003A7A0E" w:rsidRDefault="00E6134D" w:rsidP="00300A22">
      <w:pPr>
        <w:pStyle w:val="ListParagraph"/>
        <w:numPr>
          <w:ilvl w:val="0"/>
          <w:numId w:val="5"/>
        </w:numPr>
        <w:spacing w:line="276" w:lineRule="auto"/>
        <w:jc w:val="both"/>
        <w:rPr>
          <w:rStyle w:val="Hyperlink"/>
          <w:color w:val="auto"/>
          <w:highlight w:val="yellow"/>
          <w:u w:val="none"/>
        </w:rPr>
      </w:pPr>
      <w:proofErr w:type="spellStart"/>
      <w:r w:rsidRPr="004E09DA">
        <w:rPr>
          <w:highlight w:val="yellow"/>
        </w:rPr>
        <w:t>Corrall</w:t>
      </w:r>
      <w:proofErr w:type="spellEnd"/>
      <w:r w:rsidRPr="004E09DA">
        <w:rPr>
          <w:highlight w:val="yellow"/>
        </w:rPr>
        <w:t xml:space="preserve">, S. (2010). Educating the academic librarian as a blended professional. </w:t>
      </w:r>
      <w:r w:rsidRPr="004E09DA">
        <w:rPr>
          <w:i/>
          <w:iCs/>
          <w:highlight w:val="yellow"/>
        </w:rPr>
        <w:t>Library Management, 31</w:t>
      </w:r>
      <w:r w:rsidRPr="004E09DA">
        <w:rPr>
          <w:highlight w:val="yellow"/>
        </w:rPr>
        <w:t xml:space="preserve">(8/9), 567–593. </w:t>
      </w:r>
      <w:hyperlink r:id="rId9" w:history="1">
        <w:r w:rsidRPr="004E09DA">
          <w:rPr>
            <w:rStyle w:val="Hyperlink"/>
            <w:highlight w:val="yellow"/>
          </w:rPr>
          <w:t>https://doi.org/10.1108/01435121011093360</w:t>
        </w:r>
      </w:hyperlink>
    </w:p>
    <w:p w14:paraId="072A0465" w14:textId="4E181E00" w:rsidR="003A7A0E" w:rsidRPr="004E09DA" w:rsidRDefault="003A7A0E" w:rsidP="00300A22">
      <w:pPr>
        <w:pStyle w:val="ListParagraph"/>
        <w:numPr>
          <w:ilvl w:val="0"/>
          <w:numId w:val="5"/>
        </w:numPr>
        <w:spacing w:line="276" w:lineRule="auto"/>
        <w:jc w:val="both"/>
        <w:rPr>
          <w:highlight w:val="yellow"/>
        </w:rPr>
      </w:pPr>
      <w:r w:rsidRPr="003A7A0E">
        <w:t>Bronstein, J. L. (2009). The evolution of facilitation and mutualism. Journal of Ecology, 97(6), 1160-1170.</w:t>
      </w:r>
    </w:p>
    <w:p w14:paraId="1046AE53" w14:textId="77777777" w:rsidR="003A7A0E" w:rsidRDefault="003A7A0E" w:rsidP="0044605F">
      <w:pPr>
        <w:pStyle w:val="ListParagraph"/>
        <w:numPr>
          <w:ilvl w:val="0"/>
          <w:numId w:val="5"/>
        </w:numPr>
        <w:spacing w:line="276" w:lineRule="auto"/>
        <w:jc w:val="both"/>
        <w:rPr>
          <w:highlight w:val="red"/>
        </w:rPr>
      </w:pPr>
      <w:r w:rsidRPr="003A7A0E">
        <w:t>Kaur, T. (2015). Challenges and concerns for library and information science (LIS) education in India and South Asia. Journal of education for library and information science, 56(s1), 6-16.</w:t>
      </w:r>
      <w:r w:rsidRPr="003A7A0E">
        <w:rPr>
          <w:highlight w:val="red"/>
        </w:rPr>
        <w:t xml:space="preserve"> </w:t>
      </w:r>
    </w:p>
    <w:p w14:paraId="653FD9BA" w14:textId="77777777" w:rsidR="003A7A0E" w:rsidRDefault="003A7A0E" w:rsidP="00031399">
      <w:pPr>
        <w:pStyle w:val="ListParagraph"/>
        <w:numPr>
          <w:ilvl w:val="0"/>
          <w:numId w:val="5"/>
        </w:numPr>
        <w:spacing w:line="276" w:lineRule="auto"/>
        <w:jc w:val="both"/>
        <w:rPr>
          <w:highlight w:val="red"/>
        </w:rPr>
      </w:pPr>
      <w:r w:rsidRPr="003A7A0E">
        <w:t>Vaidya, S. P. (2023). National Education Policy for Libraries. Library Scholar, 3(1), 103-108.</w:t>
      </w:r>
      <w:r w:rsidRPr="003A7A0E">
        <w:rPr>
          <w:highlight w:val="red"/>
        </w:rPr>
        <w:t xml:space="preserve"> </w:t>
      </w:r>
    </w:p>
    <w:p w14:paraId="07212A61" w14:textId="5A6131FE" w:rsidR="00E6134D" w:rsidRPr="003A7A0E" w:rsidRDefault="00E6134D" w:rsidP="00031399">
      <w:pPr>
        <w:pStyle w:val="ListParagraph"/>
        <w:numPr>
          <w:ilvl w:val="0"/>
          <w:numId w:val="5"/>
        </w:numPr>
        <w:spacing w:line="276" w:lineRule="auto"/>
        <w:jc w:val="both"/>
        <w:rPr>
          <w:highlight w:val="yellow"/>
        </w:rPr>
      </w:pPr>
      <w:r w:rsidRPr="003A7A0E">
        <w:rPr>
          <w:highlight w:val="yellow"/>
        </w:rPr>
        <w:t xml:space="preserve">Julien, H., &amp; Given, L. M. (2003). </w:t>
      </w:r>
      <w:r w:rsidR="003A7A0E" w:rsidRPr="003A7A0E">
        <w:rPr>
          <w:highlight w:val="yellow"/>
        </w:rPr>
        <w:t xml:space="preserve">Faculty-Librarian Relationships in the Information Literacy Context: A Content Analysis of Librarians' Expressed Attitudes and Experiences. </w:t>
      </w:r>
      <w:r w:rsidRPr="003A7A0E">
        <w:rPr>
          <w:i/>
          <w:iCs/>
          <w:highlight w:val="yellow"/>
        </w:rPr>
        <w:t>Canadian Journal of Information and Library Science, 27</w:t>
      </w:r>
      <w:r w:rsidRPr="003A7A0E">
        <w:rPr>
          <w:highlight w:val="yellow"/>
        </w:rPr>
        <w:t xml:space="preserve">(3), 65–87. </w:t>
      </w:r>
      <w:hyperlink r:id="rId10" w:history="1">
        <w:r w:rsidRPr="003A7A0E">
          <w:rPr>
            <w:rStyle w:val="Hyperlink"/>
            <w:highlight w:val="yellow"/>
          </w:rPr>
          <w:t>https://doi.org/10.29173/cais592</w:t>
        </w:r>
      </w:hyperlink>
      <w:r w:rsidRPr="003A7A0E">
        <w:rPr>
          <w:highlight w:val="yellow"/>
        </w:rPr>
        <w:t xml:space="preserve"> </w:t>
      </w:r>
    </w:p>
    <w:p w14:paraId="7BD06CD0" w14:textId="77777777" w:rsidR="00E6134D" w:rsidRPr="003A7A0E" w:rsidRDefault="00E6134D" w:rsidP="00F30868">
      <w:pPr>
        <w:pStyle w:val="ListParagraph"/>
        <w:numPr>
          <w:ilvl w:val="0"/>
          <w:numId w:val="5"/>
        </w:numPr>
        <w:spacing w:line="276" w:lineRule="auto"/>
        <w:jc w:val="both"/>
        <w:rPr>
          <w:highlight w:val="yellow"/>
        </w:rPr>
      </w:pPr>
      <w:r w:rsidRPr="008750FA">
        <w:rPr>
          <w:highlight w:val="yellow"/>
        </w:rPr>
        <w:t xml:space="preserve">McGuinness, C. (2006). What faculty think – Exploring the barriers to information literacy development in undergraduate education. </w:t>
      </w:r>
      <w:r w:rsidRPr="008750FA">
        <w:rPr>
          <w:i/>
          <w:iCs/>
          <w:highlight w:val="yellow"/>
        </w:rPr>
        <w:t xml:space="preserve">Journal of Academic </w:t>
      </w:r>
      <w:r w:rsidRPr="003A7A0E">
        <w:rPr>
          <w:i/>
          <w:iCs/>
          <w:highlight w:val="yellow"/>
        </w:rPr>
        <w:t>Librarianship, 32</w:t>
      </w:r>
      <w:r w:rsidRPr="003A7A0E">
        <w:rPr>
          <w:highlight w:val="yellow"/>
        </w:rPr>
        <w:t xml:space="preserve">(6), 573–582. </w:t>
      </w:r>
      <w:hyperlink r:id="rId11" w:history="1">
        <w:r w:rsidRPr="003A7A0E">
          <w:rPr>
            <w:rStyle w:val="Hyperlink"/>
            <w:highlight w:val="yellow"/>
          </w:rPr>
          <w:t>https://doi.org/10.1016/j.acalib.2006.06.002</w:t>
        </w:r>
      </w:hyperlink>
      <w:r w:rsidRPr="003A7A0E">
        <w:rPr>
          <w:highlight w:val="yellow"/>
        </w:rPr>
        <w:t xml:space="preserve"> </w:t>
      </w:r>
    </w:p>
    <w:p w14:paraId="35EB7184" w14:textId="55189F0E" w:rsidR="00E6134D" w:rsidRPr="003A7A0E" w:rsidRDefault="00E6134D" w:rsidP="00B45281">
      <w:pPr>
        <w:pStyle w:val="ListParagraph"/>
        <w:numPr>
          <w:ilvl w:val="0"/>
          <w:numId w:val="5"/>
        </w:numPr>
        <w:spacing w:line="276" w:lineRule="auto"/>
        <w:jc w:val="both"/>
        <w:rPr>
          <w:highlight w:val="yellow"/>
        </w:rPr>
      </w:pPr>
      <w:r w:rsidRPr="003A7A0E">
        <w:rPr>
          <w:highlight w:val="yellow"/>
        </w:rPr>
        <w:t xml:space="preserve">Huvila, I. (2012). What is librarianship in the digital age? </w:t>
      </w:r>
      <w:r w:rsidRPr="003A7A0E">
        <w:rPr>
          <w:i/>
          <w:iCs/>
          <w:highlight w:val="yellow"/>
        </w:rPr>
        <w:t>Journal of Documentation, 68</w:t>
      </w:r>
      <w:r w:rsidRPr="003A7A0E">
        <w:rPr>
          <w:highlight w:val="yellow"/>
        </w:rPr>
        <w:t xml:space="preserve">(4), 472–490. </w:t>
      </w:r>
    </w:p>
    <w:p w14:paraId="502FF7B6" w14:textId="77777777" w:rsidR="003A7A0E" w:rsidRDefault="003A7A0E" w:rsidP="002900C1">
      <w:pPr>
        <w:pStyle w:val="ListParagraph"/>
        <w:numPr>
          <w:ilvl w:val="0"/>
          <w:numId w:val="5"/>
        </w:numPr>
        <w:spacing w:line="276" w:lineRule="auto"/>
        <w:jc w:val="both"/>
        <w:rPr>
          <w:highlight w:val="red"/>
        </w:rPr>
      </w:pPr>
      <w:r w:rsidRPr="003A7A0E">
        <w:t xml:space="preserve">Julien, H., &amp; </w:t>
      </w:r>
      <w:proofErr w:type="spellStart"/>
      <w:r w:rsidRPr="003A7A0E">
        <w:t>Genuis</w:t>
      </w:r>
      <w:proofErr w:type="spellEnd"/>
      <w:r w:rsidRPr="003A7A0E">
        <w:t>, S. K. (2011). Librarians' experiences of the teaching role: A national survey of librarians. Library &amp; Information Science Research, 33(2), 103-111.</w:t>
      </w:r>
      <w:r w:rsidRPr="003A7A0E">
        <w:rPr>
          <w:highlight w:val="red"/>
        </w:rPr>
        <w:t xml:space="preserve"> </w:t>
      </w:r>
    </w:p>
    <w:p w14:paraId="56A6BA7E" w14:textId="746B3728" w:rsidR="00E6134D" w:rsidRPr="003A7A0E" w:rsidRDefault="00E6134D" w:rsidP="002900C1">
      <w:pPr>
        <w:pStyle w:val="ListParagraph"/>
        <w:numPr>
          <w:ilvl w:val="0"/>
          <w:numId w:val="5"/>
        </w:numPr>
        <w:spacing w:line="276" w:lineRule="auto"/>
        <w:jc w:val="both"/>
        <w:rPr>
          <w:highlight w:val="yellow"/>
        </w:rPr>
      </w:pPr>
      <w:r w:rsidRPr="003A7A0E">
        <w:rPr>
          <w:highlight w:val="yellow"/>
        </w:rPr>
        <w:t xml:space="preserve">Secker, J., &amp; Coonan, E. (2013). </w:t>
      </w:r>
      <w:r w:rsidRPr="003A7A0E">
        <w:rPr>
          <w:i/>
          <w:iCs/>
          <w:highlight w:val="yellow"/>
        </w:rPr>
        <w:t>A new curriculum for information literacy</w:t>
      </w:r>
      <w:r w:rsidRPr="003A7A0E">
        <w:rPr>
          <w:highlight w:val="yellow"/>
        </w:rPr>
        <w:t xml:space="preserve">. Arcadia Project. </w:t>
      </w:r>
      <w:hyperlink r:id="rId12" w:history="1">
        <w:r w:rsidRPr="003A7A0E">
          <w:rPr>
            <w:rStyle w:val="Hyperlink"/>
            <w:highlight w:val="yellow"/>
          </w:rPr>
          <w:t>https://doi.org/10.5281/zenodo.1326511</w:t>
        </w:r>
      </w:hyperlink>
    </w:p>
    <w:p w14:paraId="23F894F9" w14:textId="442BC86F" w:rsidR="00E6134D" w:rsidRPr="00A42F0B" w:rsidRDefault="00E6134D" w:rsidP="00FE0CDB">
      <w:pPr>
        <w:pStyle w:val="ListParagraph"/>
        <w:numPr>
          <w:ilvl w:val="0"/>
          <w:numId w:val="5"/>
        </w:numPr>
        <w:spacing w:line="276" w:lineRule="auto"/>
        <w:jc w:val="both"/>
        <w:rPr>
          <w:highlight w:val="yellow"/>
        </w:rPr>
      </w:pPr>
      <w:proofErr w:type="spellStart"/>
      <w:r w:rsidRPr="00A42F0B">
        <w:rPr>
          <w:highlight w:val="yellow"/>
        </w:rPr>
        <w:t>Corrall</w:t>
      </w:r>
      <w:proofErr w:type="spellEnd"/>
      <w:r w:rsidRPr="00A42F0B">
        <w:rPr>
          <w:highlight w:val="yellow"/>
        </w:rPr>
        <w:t xml:space="preserve">, S., Kennan, M. A., &amp; Afzal, W. (2013). Bibliometrics and research data management services: Emerging trends in library support for research. </w:t>
      </w:r>
      <w:r w:rsidRPr="00A42F0B">
        <w:rPr>
          <w:i/>
          <w:iCs/>
          <w:highlight w:val="yellow"/>
        </w:rPr>
        <w:t>Library Trends, 61</w:t>
      </w:r>
      <w:r w:rsidRPr="00A42F0B">
        <w:rPr>
          <w:highlight w:val="yellow"/>
        </w:rPr>
        <w:t xml:space="preserve">(3), 636–674. </w:t>
      </w:r>
      <w:hyperlink r:id="rId13" w:history="1">
        <w:r w:rsidRPr="00A42F0B">
          <w:rPr>
            <w:rStyle w:val="Hyperlink"/>
            <w:highlight w:val="yellow"/>
          </w:rPr>
          <w:t>https://doi.org/10.1353/lib.2013.0005</w:t>
        </w:r>
      </w:hyperlink>
    </w:p>
    <w:p w14:paraId="23032DB0" w14:textId="4D0535A5" w:rsidR="00E6134D" w:rsidRDefault="00E6134D" w:rsidP="00782A56">
      <w:pPr>
        <w:pStyle w:val="ListParagraph"/>
        <w:numPr>
          <w:ilvl w:val="0"/>
          <w:numId w:val="5"/>
        </w:numPr>
        <w:spacing w:line="276" w:lineRule="auto"/>
        <w:jc w:val="both"/>
      </w:pPr>
      <w:r w:rsidRPr="00F36389">
        <w:rPr>
          <w:highlight w:val="yellow"/>
        </w:rPr>
        <w:t xml:space="preserve">Given, L. M. (2002). The academic and the everyday: Investigating the overlap in mature undergraduates’ information–seeking </w:t>
      </w:r>
      <w:proofErr w:type="spellStart"/>
      <w:r w:rsidRPr="00F36389">
        <w:rPr>
          <w:highlight w:val="yellow"/>
        </w:rPr>
        <w:t>behaviors</w:t>
      </w:r>
      <w:proofErr w:type="spellEnd"/>
      <w:r w:rsidRPr="00F36389">
        <w:rPr>
          <w:highlight w:val="yellow"/>
        </w:rPr>
        <w:t xml:space="preserve">. </w:t>
      </w:r>
      <w:r w:rsidRPr="00F36389">
        <w:rPr>
          <w:i/>
          <w:iCs/>
          <w:highlight w:val="yellow"/>
        </w:rPr>
        <w:t>Library &amp; Information Science Research, 24</w:t>
      </w:r>
      <w:r w:rsidRPr="00F36389">
        <w:rPr>
          <w:highlight w:val="yellow"/>
        </w:rPr>
        <w:t xml:space="preserve">(1), 17–29. </w:t>
      </w:r>
      <w:hyperlink r:id="rId14" w:history="1">
        <w:r w:rsidRPr="00F36389">
          <w:rPr>
            <w:rStyle w:val="Hyperlink"/>
            <w:highlight w:val="yellow"/>
          </w:rPr>
          <w:t>https://doi.org/10.1016/S0740-8188(01)00102-5</w:t>
        </w:r>
      </w:hyperlink>
    </w:p>
    <w:p w14:paraId="08732F6D" w14:textId="77777777" w:rsidR="003A7A0E" w:rsidRPr="003A7A0E" w:rsidRDefault="003A7A0E" w:rsidP="00BE0FCF">
      <w:pPr>
        <w:pStyle w:val="ListParagraph"/>
        <w:numPr>
          <w:ilvl w:val="0"/>
          <w:numId w:val="5"/>
        </w:numPr>
        <w:spacing w:line="276" w:lineRule="auto"/>
        <w:jc w:val="both"/>
        <w:rPr>
          <w:highlight w:val="red"/>
        </w:rPr>
      </w:pPr>
      <w:proofErr w:type="spellStart"/>
      <w:r w:rsidRPr="003A7A0E">
        <w:t>Lahkar</w:t>
      </w:r>
      <w:proofErr w:type="spellEnd"/>
      <w:r w:rsidRPr="003A7A0E">
        <w:t xml:space="preserve">, B. M. (Ed.). (2024). Souvenir: 69th ILA International Conference on Building the Future: Transforming Libraries for Sustainability through Capacity Building. Department of Library and Information Science, </w:t>
      </w:r>
      <w:proofErr w:type="spellStart"/>
      <w:r w:rsidRPr="003A7A0E">
        <w:t>Gauhati</w:t>
      </w:r>
      <w:proofErr w:type="spellEnd"/>
      <w:r w:rsidRPr="003A7A0E">
        <w:t xml:space="preserve"> University. </w:t>
      </w:r>
    </w:p>
    <w:p w14:paraId="2648985A" w14:textId="34D91E7B" w:rsidR="003A7A0E" w:rsidRDefault="003A7A0E" w:rsidP="00BE0FCF">
      <w:pPr>
        <w:pStyle w:val="ListParagraph"/>
        <w:numPr>
          <w:ilvl w:val="0"/>
          <w:numId w:val="5"/>
        </w:numPr>
        <w:spacing w:line="276" w:lineRule="auto"/>
        <w:jc w:val="both"/>
        <w:rPr>
          <w:highlight w:val="red"/>
        </w:rPr>
      </w:pPr>
      <w:r w:rsidRPr="003A7A0E">
        <w:t>Hasan, N. (2023). Digital Humanities and Librarianship. DESIDOC Journal of Library &amp; Information Technology, 43(4), 205-207.</w:t>
      </w:r>
      <w:r w:rsidRPr="003A7A0E">
        <w:rPr>
          <w:highlight w:val="red"/>
        </w:rPr>
        <w:t xml:space="preserve"> </w:t>
      </w:r>
    </w:p>
    <w:p w14:paraId="067BFA5D" w14:textId="77777777" w:rsidR="00CB515E" w:rsidRPr="00CB515E" w:rsidRDefault="00CB515E" w:rsidP="00F16701">
      <w:pPr>
        <w:pStyle w:val="ListParagraph"/>
        <w:numPr>
          <w:ilvl w:val="0"/>
          <w:numId w:val="5"/>
        </w:numPr>
        <w:spacing w:line="276" w:lineRule="auto"/>
        <w:jc w:val="both"/>
        <w:rPr>
          <w:highlight w:val="red"/>
        </w:rPr>
      </w:pPr>
      <w:r w:rsidRPr="00CB515E">
        <w:t xml:space="preserve">Gokhale, Y., Mehta, R., Kulkarni, U., </w:t>
      </w:r>
      <w:proofErr w:type="spellStart"/>
      <w:r w:rsidRPr="00CB515E">
        <w:t>Karnik</w:t>
      </w:r>
      <w:proofErr w:type="spellEnd"/>
      <w:r w:rsidRPr="00CB515E">
        <w:t xml:space="preserve">, N., Gokhale, S., Sundar, U., ... &amp; Bhavsar, P. (2021). Tocilizumab improves survival in severe COVID-19 </w:t>
      </w:r>
      <w:r w:rsidRPr="00CB515E">
        <w:lastRenderedPageBreak/>
        <w:t>pneumonia with persistent hypoxia: a retrospective cohort study with follow-up from Mumbai, India. BMC infectious diseases, 21, 1-10.</w:t>
      </w:r>
    </w:p>
    <w:p w14:paraId="430E0FE9" w14:textId="77777777" w:rsidR="007C7C9B" w:rsidRPr="007C7C9B" w:rsidRDefault="007C7C9B" w:rsidP="00BD0E19">
      <w:pPr>
        <w:pStyle w:val="ListParagraph"/>
        <w:numPr>
          <w:ilvl w:val="0"/>
          <w:numId w:val="5"/>
        </w:numPr>
        <w:spacing w:line="276" w:lineRule="auto"/>
        <w:jc w:val="both"/>
        <w:rPr>
          <w:highlight w:val="red"/>
        </w:rPr>
      </w:pPr>
      <w:proofErr w:type="spellStart"/>
      <w:r w:rsidRPr="007C7C9B">
        <w:t>Sulyman</w:t>
      </w:r>
      <w:proofErr w:type="spellEnd"/>
      <w:r w:rsidRPr="007C7C9B">
        <w:t xml:space="preserve">, S. A., </w:t>
      </w:r>
      <w:proofErr w:type="spellStart"/>
      <w:r w:rsidRPr="007C7C9B">
        <w:t>Adeyefa</w:t>
      </w:r>
      <w:proofErr w:type="spellEnd"/>
      <w:r w:rsidRPr="007C7C9B">
        <w:t xml:space="preserve">, S. A., &amp; </w:t>
      </w:r>
      <w:proofErr w:type="spellStart"/>
      <w:r w:rsidRPr="007C7C9B">
        <w:t>Amzat</w:t>
      </w:r>
      <w:proofErr w:type="spellEnd"/>
      <w:r w:rsidRPr="007C7C9B">
        <w:t>, B. (2021). The interdisciplinary, multidisciplinary and transdisciplinary natures of library and information science: An analysis. Library Philosophy and Practice, 6044.</w:t>
      </w:r>
    </w:p>
    <w:p w14:paraId="3B626EB5" w14:textId="77777777" w:rsidR="007C7C9B" w:rsidRPr="007C7C9B" w:rsidRDefault="007C7C9B" w:rsidP="00E6134D">
      <w:pPr>
        <w:pStyle w:val="ListParagraph"/>
        <w:numPr>
          <w:ilvl w:val="0"/>
          <w:numId w:val="5"/>
        </w:numPr>
        <w:spacing w:line="360" w:lineRule="auto"/>
        <w:jc w:val="both"/>
        <w:rPr>
          <w:rFonts w:ascii="Times New Roman" w:eastAsia="Times New Roman" w:hAnsi="Times New Roman" w:cs="Times New Roman"/>
          <w:b/>
          <w:highlight w:val="yellow"/>
        </w:rPr>
      </w:pPr>
      <w:proofErr w:type="spellStart"/>
      <w:r w:rsidRPr="007C7C9B">
        <w:t>Lwoga</w:t>
      </w:r>
      <w:proofErr w:type="spellEnd"/>
      <w:r w:rsidRPr="007C7C9B">
        <w:t xml:space="preserve">, E. T., &amp; </w:t>
      </w:r>
      <w:proofErr w:type="spellStart"/>
      <w:r w:rsidRPr="007C7C9B">
        <w:t>Sife</w:t>
      </w:r>
      <w:proofErr w:type="spellEnd"/>
      <w:r w:rsidRPr="007C7C9B">
        <w:t>, A. S. (2018). Impacts of quality antecedents on faculty members’ acceptance of electronic resources. Library Hi Tech, 36(2), 289-305.</w:t>
      </w:r>
      <w:r w:rsidRPr="007C7C9B">
        <w:rPr>
          <w:highlight w:val="yellow"/>
        </w:rPr>
        <w:t xml:space="preserve"> </w:t>
      </w:r>
    </w:p>
    <w:p w14:paraId="1FA376E6" w14:textId="1EBFB3D3" w:rsidR="00E6134D" w:rsidRPr="000807C1" w:rsidRDefault="00E6134D" w:rsidP="00E6134D">
      <w:pPr>
        <w:pStyle w:val="ListParagraph"/>
        <w:numPr>
          <w:ilvl w:val="0"/>
          <w:numId w:val="5"/>
        </w:numPr>
        <w:spacing w:line="360" w:lineRule="auto"/>
        <w:jc w:val="both"/>
        <w:rPr>
          <w:rFonts w:ascii="Times New Roman" w:eastAsia="Times New Roman" w:hAnsi="Times New Roman" w:cs="Times New Roman"/>
          <w:b/>
          <w:highlight w:val="yellow"/>
        </w:rPr>
      </w:pPr>
      <w:bookmarkStart w:id="0" w:name="_GoBack"/>
      <w:bookmarkEnd w:id="0"/>
      <w:r w:rsidRPr="000807C1">
        <w:rPr>
          <w:highlight w:val="yellow"/>
        </w:rPr>
        <w:t xml:space="preserve">Hider, P. (2006). Search goal revision in models of information retrieval. </w:t>
      </w:r>
      <w:r w:rsidRPr="000807C1">
        <w:rPr>
          <w:i/>
          <w:iCs/>
          <w:highlight w:val="yellow"/>
        </w:rPr>
        <w:t>Journal of the American Society for Information Science and Technology, 57</w:t>
      </w:r>
      <w:r w:rsidRPr="000807C1">
        <w:rPr>
          <w:highlight w:val="yellow"/>
        </w:rPr>
        <w:t xml:space="preserve">(5), 603–609. </w:t>
      </w:r>
      <w:hyperlink r:id="rId15" w:history="1">
        <w:r w:rsidRPr="000807C1">
          <w:rPr>
            <w:rStyle w:val="Hyperlink"/>
            <w:highlight w:val="yellow"/>
          </w:rPr>
          <w:t>https://doi.org/10.1002/asi.20323</w:t>
        </w:r>
      </w:hyperlink>
    </w:p>
    <w:p w14:paraId="184B7262" w14:textId="5D151B29" w:rsidR="00E6134D" w:rsidRPr="008D298E" w:rsidRDefault="00EB25AC" w:rsidP="00E6134D">
      <w:pPr>
        <w:pStyle w:val="ListParagraph"/>
        <w:numPr>
          <w:ilvl w:val="0"/>
          <w:numId w:val="5"/>
        </w:numPr>
        <w:spacing w:line="360" w:lineRule="auto"/>
        <w:jc w:val="both"/>
        <w:rPr>
          <w:rFonts w:ascii="Times New Roman" w:eastAsia="Times New Roman" w:hAnsi="Times New Roman" w:cs="Times New Roman"/>
          <w:b/>
          <w:highlight w:val="yellow"/>
        </w:rPr>
      </w:pPr>
      <w:r w:rsidRPr="008D298E">
        <w:rPr>
          <w:rFonts w:ascii="Times New Roman" w:eastAsia="Times New Roman" w:hAnsi="Times New Roman" w:cs="Times New Roman"/>
          <w:highlight w:val="yellow"/>
        </w:rPr>
        <w:t xml:space="preserve">Foucault, M. (1977). </w:t>
      </w:r>
      <w:r w:rsidRPr="008D298E">
        <w:rPr>
          <w:rFonts w:ascii="Times New Roman" w:eastAsia="Times New Roman" w:hAnsi="Times New Roman" w:cs="Times New Roman"/>
          <w:i/>
          <w:highlight w:val="yellow"/>
        </w:rPr>
        <w:t>Discipline and punish: The birth of the prison</w:t>
      </w:r>
      <w:r w:rsidRPr="008D298E">
        <w:rPr>
          <w:rFonts w:ascii="Times New Roman" w:eastAsia="Times New Roman" w:hAnsi="Times New Roman" w:cs="Times New Roman"/>
          <w:highlight w:val="yellow"/>
        </w:rPr>
        <w:t>. Pantheon Books.</w:t>
      </w:r>
      <w:r w:rsidR="00E6134D" w:rsidRPr="008D298E">
        <w:rPr>
          <w:rFonts w:ascii="Times New Roman" w:eastAsia="Times New Roman" w:hAnsi="Times New Roman" w:cs="Times New Roman"/>
          <w:highlight w:val="yellow"/>
        </w:rPr>
        <w:t xml:space="preserve"> </w:t>
      </w:r>
    </w:p>
    <w:p w14:paraId="6096F8EE" w14:textId="27BECFEA" w:rsidR="0000009C" w:rsidRPr="00F559FB" w:rsidRDefault="00EB25AC" w:rsidP="00E6134D">
      <w:pPr>
        <w:pStyle w:val="ListParagraph"/>
        <w:numPr>
          <w:ilvl w:val="0"/>
          <w:numId w:val="5"/>
        </w:numPr>
        <w:spacing w:line="360" w:lineRule="auto"/>
        <w:jc w:val="both"/>
        <w:rPr>
          <w:rFonts w:ascii="Times New Roman" w:eastAsia="Times New Roman" w:hAnsi="Times New Roman" w:cs="Times New Roman"/>
          <w:highlight w:val="yellow"/>
        </w:rPr>
      </w:pPr>
      <w:r w:rsidRPr="00F559FB">
        <w:rPr>
          <w:rFonts w:ascii="Times New Roman" w:eastAsia="Times New Roman" w:hAnsi="Times New Roman" w:cs="Times New Roman"/>
          <w:highlight w:val="yellow"/>
        </w:rPr>
        <w:t xml:space="preserve">Government of India. (2020). </w:t>
      </w:r>
      <w:r w:rsidRPr="00F559FB">
        <w:rPr>
          <w:rFonts w:ascii="Times New Roman" w:eastAsia="Times New Roman" w:hAnsi="Times New Roman" w:cs="Times New Roman"/>
          <w:i/>
          <w:highlight w:val="yellow"/>
        </w:rPr>
        <w:t>National Education Policy 2020</w:t>
      </w:r>
      <w:r w:rsidRPr="00F559FB">
        <w:rPr>
          <w:rFonts w:ascii="Times New Roman" w:eastAsia="Times New Roman" w:hAnsi="Times New Roman" w:cs="Times New Roman"/>
          <w:highlight w:val="yellow"/>
        </w:rPr>
        <w:t>. Ministry of Education. https://www.education.gov.in</w:t>
      </w:r>
    </w:p>
    <w:sectPr w:rsidR="0000009C" w:rsidRPr="00F559F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36AF3" w14:textId="77777777" w:rsidR="005F5F77" w:rsidRDefault="005F5F77" w:rsidP="00C2473E">
      <w:pPr>
        <w:spacing w:after="0" w:line="240" w:lineRule="auto"/>
      </w:pPr>
      <w:r>
        <w:separator/>
      </w:r>
    </w:p>
  </w:endnote>
  <w:endnote w:type="continuationSeparator" w:id="0">
    <w:p w14:paraId="38CDAE7A" w14:textId="77777777" w:rsidR="005F5F77" w:rsidRDefault="005F5F77" w:rsidP="00C2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6F38E5F-ACD6-4014-B6E6-FD38058F8D8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embedRegular r:id="rId2" w:fontKey="{453D073E-71DA-4D5C-B19F-5FA450A2745B}"/>
    <w:embedBold r:id="rId3" w:fontKey="{F4F76D33-20D0-4678-A605-67D619DE39BB}"/>
    <w:embedItalic r:id="rId4" w:fontKey="{717064D6-D432-4495-91BA-102F67DABE53}"/>
  </w:font>
  <w:font w:name="Aptos Display">
    <w:charset w:val="00"/>
    <w:family w:val="swiss"/>
    <w:pitch w:val="variable"/>
    <w:sig w:usb0="20000287" w:usb1="00000003" w:usb2="00000000" w:usb3="00000000" w:csb0="0000019F" w:csb1="00000000"/>
    <w:embedRegular r:id="rId5" w:fontKey="{D37851B3-E6BC-44E3-A286-B45D41D22A81}"/>
  </w:font>
  <w:font w:name="Calibri">
    <w:panose1 w:val="020F0502020204030204"/>
    <w:charset w:val="00"/>
    <w:family w:val="swiss"/>
    <w:pitch w:val="variable"/>
    <w:sig w:usb0="E4002EFF" w:usb1="C000247B" w:usb2="00000009" w:usb3="00000000" w:csb0="000001FF" w:csb1="00000000"/>
    <w:embedRegular r:id="rId6" w:fontKey="{5AA2FFFF-482A-4A28-A47F-0D6A4FA4BC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98367" w14:textId="77777777" w:rsidR="00C2473E" w:rsidRDefault="00C24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EC" w14:textId="77777777" w:rsidR="00C2473E" w:rsidRDefault="00C24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B9F83" w14:textId="77777777" w:rsidR="00C2473E" w:rsidRDefault="00C24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40F15" w14:textId="77777777" w:rsidR="005F5F77" w:rsidRDefault="005F5F77" w:rsidP="00C2473E">
      <w:pPr>
        <w:spacing w:after="0" w:line="240" w:lineRule="auto"/>
      </w:pPr>
      <w:r>
        <w:separator/>
      </w:r>
    </w:p>
  </w:footnote>
  <w:footnote w:type="continuationSeparator" w:id="0">
    <w:p w14:paraId="0D7029C3" w14:textId="77777777" w:rsidR="005F5F77" w:rsidRDefault="005F5F77" w:rsidP="00C24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170C3" w14:textId="70708714" w:rsidR="00C2473E" w:rsidRDefault="007C7C9B">
    <w:pPr>
      <w:pStyle w:val="Header"/>
    </w:pPr>
    <w:r>
      <w:rPr>
        <w:noProof/>
      </w:rPr>
      <w:pict w14:anchorId="3ED44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012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4A167" w14:textId="1E88DE2A" w:rsidR="00C2473E" w:rsidRDefault="007C7C9B">
    <w:pPr>
      <w:pStyle w:val="Header"/>
    </w:pPr>
    <w:r>
      <w:rPr>
        <w:noProof/>
      </w:rPr>
      <w:pict w14:anchorId="15C415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012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91F62" w14:textId="6DCB63F7" w:rsidR="00C2473E" w:rsidRDefault="007C7C9B">
    <w:pPr>
      <w:pStyle w:val="Header"/>
    </w:pPr>
    <w:r>
      <w:rPr>
        <w:noProof/>
      </w:rPr>
      <w:pict w14:anchorId="2FEB3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012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638E8"/>
    <w:multiLevelType w:val="multilevel"/>
    <w:tmpl w:val="FEFA6828"/>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5BB1759"/>
    <w:multiLevelType w:val="multilevel"/>
    <w:tmpl w:val="CDF02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303E28"/>
    <w:multiLevelType w:val="multilevel"/>
    <w:tmpl w:val="9EE0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DC0C45"/>
    <w:multiLevelType w:val="hybridMultilevel"/>
    <w:tmpl w:val="202458D8"/>
    <w:lvl w:ilvl="0" w:tplc="C0760BDE">
      <w:start w:val="1"/>
      <w:numFmt w:val="decimal"/>
      <w:lvlText w:val="%1."/>
      <w:lvlJc w:val="left"/>
      <w:pPr>
        <w:ind w:left="644"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D4E7E8A"/>
    <w:multiLevelType w:val="multilevel"/>
    <w:tmpl w:val="9A88CC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yNzY2MTSzNDQ0NzRV0lEKTi0uzszPAykwrAUAFelBoywAAAA="/>
  </w:docVars>
  <w:rsids>
    <w:rsidRoot w:val="0000009C"/>
    <w:rsid w:val="0000009C"/>
    <w:rsid w:val="000807C1"/>
    <w:rsid w:val="000B03E3"/>
    <w:rsid w:val="000B09A8"/>
    <w:rsid w:val="000D497A"/>
    <w:rsid w:val="0018128D"/>
    <w:rsid w:val="001A4E5E"/>
    <w:rsid w:val="00240157"/>
    <w:rsid w:val="00303585"/>
    <w:rsid w:val="003057D9"/>
    <w:rsid w:val="003A7A0E"/>
    <w:rsid w:val="003E2A63"/>
    <w:rsid w:val="004179AD"/>
    <w:rsid w:val="00474D3D"/>
    <w:rsid w:val="004C6DFD"/>
    <w:rsid w:val="004E09DA"/>
    <w:rsid w:val="00543F21"/>
    <w:rsid w:val="005853D7"/>
    <w:rsid w:val="00593E33"/>
    <w:rsid w:val="005C5888"/>
    <w:rsid w:val="005F3431"/>
    <w:rsid w:val="005F5F77"/>
    <w:rsid w:val="00717C4F"/>
    <w:rsid w:val="007C7C9B"/>
    <w:rsid w:val="007E0592"/>
    <w:rsid w:val="00844120"/>
    <w:rsid w:val="008750FA"/>
    <w:rsid w:val="008C5D5B"/>
    <w:rsid w:val="008D298E"/>
    <w:rsid w:val="008D7483"/>
    <w:rsid w:val="00903567"/>
    <w:rsid w:val="009E0A76"/>
    <w:rsid w:val="009F2874"/>
    <w:rsid w:val="00A41A6B"/>
    <w:rsid w:val="00A42F0B"/>
    <w:rsid w:val="00AC5423"/>
    <w:rsid w:val="00AE3710"/>
    <w:rsid w:val="00AF5359"/>
    <w:rsid w:val="00AF7F5C"/>
    <w:rsid w:val="00B11412"/>
    <w:rsid w:val="00B67B05"/>
    <w:rsid w:val="00B8457D"/>
    <w:rsid w:val="00BC7B6F"/>
    <w:rsid w:val="00C2473E"/>
    <w:rsid w:val="00C30067"/>
    <w:rsid w:val="00C41849"/>
    <w:rsid w:val="00C8339F"/>
    <w:rsid w:val="00CB515E"/>
    <w:rsid w:val="00CC60C1"/>
    <w:rsid w:val="00D82DF8"/>
    <w:rsid w:val="00DF6D82"/>
    <w:rsid w:val="00E6134D"/>
    <w:rsid w:val="00EB25AC"/>
    <w:rsid w:val="00F23BD5"/>
    <w:rsid w:val="00F36389"/>
    <w:rsid w:val="00F46A6D"/>
    <w:rsid w:val="00F5387B"/>
    <w:rsid w:val="00F559FB"/>
    <w:rsid w:val="00F60EC4"/>
    <w:rsid w:val="00F763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6A7A43"/>
  <w15:docId w15:val="{E4B6F668-1F81-4D73-9F78-73F8D2E67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IN" w:eastAsia="en-IN"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4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34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34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34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34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34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34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34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34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34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634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34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34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34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34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34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34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34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3482"/>
    <w:rPr>
      <w:rFonts w:eastAsiaTheme="majorEastAsia" w:cstheme="majorBidi"/>
      <w:color w:val="272727" w:themeColor="text1" w:themeTint="D8"/>
    </w:rPr>
  </w:style>
  <w:style w:type="character" w:customStyle="1" w:styleId="TitleChar">
    <w:name w:val="Title Char"/>
    <w:basedOn w:val="DefaultParagraphFont"/>
    <w:link w:val="Title"/>
    <w:uiPriority w:val="10"/>
    <w:rsid w:val="00D634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634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3482"/>
    <w:pPr>
      <w:spacing w:before="160"/>
      <w:jc w:val="center"/>
    </w:pPr>
    <w:rPr>
      <w:i/>
      <w:iCs/>
      <w:color w:val="404040" w:themeColor="text1" w:themeTint="BF"/>
    </w:rPr>
  </w:style>
  <w:style w:type="character" w:customStyle="1" w:styleId="QuoteChar">
    <w:name w:val="Quote Char"/>
    <w:basedOn w:val="DefaultParagraphFont"/>
    <w:link w:val="Quote"/>
    <w:uiPriority w:val="29"/>
    <w:rsid w:val="00D63482"/>
    <w:rPr>
      <w:i/>
      <w:iCs/>
      <w:color w:val="404040" w:themeColor="text1" w:themeTint="BF"/>
    </w:rPr>
  </w:style>
  <w:style w:type="paragraph" w:styleId="ListParagraph">
    <w:name w:val="List Paragraph"/>
    <w:basedOn w:val="Normal"/>
    <w:uiPriority w:val="34"/>
    <w:qFormat/>
    <w:rsid w:val="00D63482"/>
    <w:pPr>
      <w:ind w:left="720"/>
      <w:contextualSpacing/>
    </w:pPr>
  </w:style>
  <w:style w:type="character" w:styleId="IntenseEmphasis">
    <w:name w:val="Intense Emphasis"/>
    <w:basedOn w:val="DefaultParagraphFont"/>
    <w:uiPriority w:val="21"/>
    <w:qFormat/>
    <w:rsid w:val="00D63482"/>
    <w:rPr>
      <w:i/>
      <w:iCs/>
      <w:color w:val="0F4761" w:themeColor="accent1" w:themeShade="BF"/>
    </w:rPr>
  </w:style>
  <w:style w:type="paragraph" w:styleId="IntenseQuote">
    <w:name w:val="Intense Quote"/>
    <w:basedOn w:val="Normal"/>
    <w:next w:val="Normal"/>
    <w:link w:val="IntenseQuoteChar"/>
    <w:uiPriority w:val="30"/>
    <w:qFormat/>
    <w:rsid w:val="00D634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3482"/>
    <w:rPr>
      <w:i/>
      <w:iCs/>
      <w:color w:val="0F4761" w:themeColor="accent1" w:themeShade="BF"/>
    </w:rPr>
  </w:style>
  <w:style w:type="character" w:styleId="IntenseReference">
    <w:name w:val="Intense Reference"/>
    <w:basedOn w:val="DefaultParagraphFont"/>
    <w:uiPriority w:val="32"/>
    <w:qFormat/>
    <w:rsid w:val="00D63482"/>
    <w:rPr>
      <w:b/>
      <w:bCs/>
      <w:smallCaps/>
      <w:color w:val="0F4761" w:themeColor="accent1" w:themeShade="BF"/>
      <w:spacing w:val="5"/>
    </w:rPr>
  </w:style>
  <w:style w:type="table" w:customStyle="1" w:styleId="PlainTable21">
    <w:name w:val="Plain Table 21"/>
    <w:basedOn w:val="TableNormal"/>
    <w:uiPriority w:val="42"/>
    <w:rsid w:val="00D6348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D634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rsid w:val="009F2874"/>
    <w:rPr>
      <w:color w:val="467886" w:themeColor="hyperlink"/>
      <w:u w:val="single"/>
    </w:rPr>
  </w:style>
  <w:style w:type="character" w:customStyle="1" w:styleId="UnresolvedMention1">
    <w:name w:val="Unresolved Mention1"/>
    <w:basedOn w:val="DefaultParagraphFont"/>
    <w:uiPriority w:val="99"/>
    <w:semiHidden/>
    <w:unhideWhenUsed/>
    <w:rsid w:val="009F2874"/>
    <w:rPr>
      <w:color w:val="605E5C"/>
      <w:shd w:val="clear" w:color="auto" w:fill="E1DFDD"/>
    </w:rPr>
  </w:style>
  <w:style w:type="paragraph" w:styleId="Header">
    <w:name w:val="header"/>
    <w:basedOn w:val="Normal"/>
    <w:link w:val="HeaderChar"/>
    <w:uiPriority w:val="99"/>
    <w:unhideWhenUsed/>
    <w:rsid w:val="00C24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73E"/>
  </w:style>
  <w:style w:type="paragraph" w:styleId="Footer">
    <w:name w:val="footer"/>
    <w:basedOn w:val="Normal"/>
    <w:link w:val="FooterChar"/>
    <w:uiPriority w:val="99"/>
    <w:unhideWhenUsed/>
    <w:rsid w:val="00C24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5163">
      <w:bodyDiv w:val="1"/>
      <w:marLeft w:val="0"/>
      <w:marRight w:val="0"/>
      <w:marTop w:val="0"/>
      <w:marBottom w:val="0"/>
      <w:divBdr>
        <w:top w:val="none" w:sz="0" w:space="0" w:color="auto"/>
        <w:left w:val="none" w:sz="0" w:space="0" w:color="auto"/>
        <w:bottom w:val="none" w:sz="0" w:space="0" w:color="auto"/>
        <w:right w:val="none" w:sz="0" w:space="0" w:color="auto"/>
      </w:divBdr>
    </w:div>
    <w:div w:id="215774266">
      <w:bodyDiv w:val="1"/>
      <w:marLeft w:val="0"/>
      <w:marRight w:val="0"/>
      <w:marTop w:val="0"/>
      <w:marBottom w:val="0"/>
      <w:divBdr>
        <w:top w:val="none" w:sz="0" w:space="0" w:color="auto"/>
        <w:left w:val="none" w:sz="0" w:space="0" w:color="auto"/>
        <w:bottom w:val="none" w:sz="0" w:space="0" w:color="auto"/>
        <w:right w:val="none" w:sz="0" w:space="0" w:color="auto"/>
      </w:divBdr>
    </w:div>
    <w:div w:id="569585166">
      <w:bodyDiv w:val="1"/>
      <w:marLeft w:val="0"/>
      <w:marRight w:val="0"/>
      <w:marTop w:val="0"/>
      <w:marBottom w:val="0"/>
      <w:divBdr>
        <w:top w:val="none" w:sz="0" w:space="0" w:color="auto"/>
        <w:left w:val="none" w:sz="0" w:space="0" w:color="auto"/>
        <w:bottom w:val="none" w:sz="0" w:space="0" w:color="auto"/>
        <w:right w:val="none" w:sz="0" w:space="0" w:color="auto"/>
      </w:divBdr>
    </w:div>
    <w:div w:id="1346861165">
      <w:bodyDiv w:val="1"/>
      <w:marLeft w:val="0"/>
      <w:marRight w:val="0"/>
      <w:marTop w:val="0"/>
      <w:marBottom w:val="0"/>
      <w:divBdr>
        <w:top w:val="none" w:sz="0" w:space="0" w:color="auto"/>
        <w:left w:val="none" w:sz="0" w:space="0" w:color="auto"/>
        <w:bottom w:val="none" w:sz="0" w:space="0" w:color="auto"/>
        <w:right w:val="none" w:sz="0" w:space="0" w:color="auto"/>
      </w:divBdr>
    </w:div>
    <w:div w:id="1680741302">
      <w:bodyDiv w:val="1"/>
      <w:marLeft w:val="0"/>
      <w:marRight w:val="0"/>
      <w:marTop w:val="0"/>
      <w:marBottom w:val="0"/>
      <w:divBdr>
        <w:top w:val="none" w:sz="0" w:space="0" w:color="auto"/>
        <w:left w:val="none" w:sz="0" w:space="0" w:color="auto"/>
        <w:bottom w:val="none" w:sz="0" w:space="0" w:color="auto"/>
        <w:right w:val="none" w:sz="0" w:space="0" w:color="auto"/>
      </w:divBdr>
    </w:div>
    <w:div w:id="208549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openai.com" TargetMode="External"/><Relationship Id="rId13" Type="http://schemas.openxmlformats.org/officeDocument/2006/relationships/hyperlink" Target="https://doi.org/10.1353/lib.2013.000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5281/zenodo.132651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acalib.2006.06.002" TargetMode="External"/><Relationship Id="rId5" Type="http://schemas.openxmlformats.org/officeDocument/2006/relationships/webSettings" Target="webSettings.xml"/><Relationship Id="rId15" Type="http://schemas.openxmlformats.org/officeDocument/2006/relationships/hyperlink" Target="https://doi.org/10.1002/asi.20323" TargetMode="External"/><Relationship Id="rId23" Type="http://schemas.openxmlformats.org/officeDocument/2006/relationships/theme" Target="theme/theme1.xml"/><Relationship Id="rId10" Type="http://schemas.openxmlformats.org/officeDocument/2006/relationships/hyperlink" Target="https://doi.org/10.29173/cais59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108/01435121011093360" TargetMode="External"/><Relationship Id="rId14" Type="http://schemas.openxmlformats.org/officeDocument/2006/relationships/hyperlink" Target="https://doi.org/10.1016/S0740-8188(01)00102-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hObnHRmil8HtNYGqnVXU8jL38w==">CgMxLjA4AHIhMTJqZllOZmNES1R3aUpNaU82VFFHeGx5SzJIVzNUSWJl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Pages>
  <Words>3548</Words>
  <Characters>20229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SDI PC New 16</cp:lastModifiedBy>
  <cp:revision>43</cp:revision>
  <dcterms:created xsi:type="dcterms:W3CDTF">2025-05-28T09:57:00Z</dcterms:created>
  <dcterms:modified xsi:type="dcterms:W3CDTF">2025-06-13T07:36:00Z</dcterms:modified>
</cp:coreProperties>
</file>