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5E799" w14:textId="77777777" w:rsidR="00D473E3" w:rsidRPr="00D473E3" w:rsidRDefault="00D473E3" w:rsidP="00D473E3">
      <w:pPr>
        <w:spacing w:line="360" w:lineRule="auto"/>
        <w:jc w:val="center"/>
        <w:rPr>
          <w:rFonts w:asciiTheme="majorBidi" w:hAnsiTheme="majorBidi" w:cstheme="majorBidi"/>
          <w:b/>
          <w:bCs/>
          <w:i/>
          <w:iCs/>
          <w:sz w:val="28"/>
          <w:szCs w:val="28"/>
          <w:u w:val="single"/>
          <w:lang w:val="en-US"/>
        </w:rPr>
      </w:pPr>
      <w:r w:rsidRPr="00D473E3">
        <w:rPr>
          <w:rFonts w:asciiTheme="majorBidi" w:hAnsiTheme="majorBidi" w:cstheme="majorBidi"/>
          <w:b/>
          <w:bCs/>
          <w:i/>
          <w:iCs/>
          <w:sz w:val="28"/>
          <w:szCs w:val="28"/>
          <w:u w:val="single"/>
          <w:lang w:val="en-US"/>
        </w:rPr>
        <w:t>Review Article</w:t>
      </w:r>
    </w:p>
    <w:p w14:paraId="5DE546B0" w14:textId="77777777" w:rsidR="00D473E3" w:rsidRDefault="00D473E3" w:rsidP="008376C6">
      <w:pPr>
        <w:spacing w:line="360" w:lineRule="auto"/>
        <w:jc w:val="center"/>
        <w:rPr>
          <w:rFonts w:asciiTheme="majorBidi" w:hAnsiTheme="majorBidi" w:cstheme="majorBidi"/>
          <w:b/>
          <w:bCs/>
          <w:sz w:val="28"/>
          <w:szCs w:val="28"/>
          <w:lang w:val="en-US"/>
        </w:rPr>
      </w:pPr>
    </w:p>
    <w:p w14:paraId="0CB268D9" w14:textId="0B3A7D4A" w:rsidR="004369A8" w:rsidRPr="00403727" w:rsidRDefault="004369A8" w:rsidP="008376C6">
      <w:pPr>
        <w:spacing w:line="360" w:lineRule="auto"/>
        <w:jc w:val="center"/>
        <w:rPr>
          <w:rFonts w:asciiTheme="majorBidi" w:hAnsiTheme="majorBidi" w:cstheme="majorBidi"/>
          <w:b/>
          <w:bCs/>
          <w:sz w:val="28"/>
          <w:szCs w:val="28"/>
          <w:lang w:val="en-US"/>
        </w:rPr>
      </w:pPr>
      <w:r w:rsidRPr="00403727">
        <w:rPr>
          <w:rFonts w:asciiTheme="majorBidi" w:hAnsiTheme="majorBidi" w:cstheme="majorBidi"/>
          <w:b/>
          <w:bCs/>
          <w:sz w:val="28"/>
          <w:szCs w:val="28"/>
          <w:lang w:val="en-US"/>
        </w:rPr>
        <w:t>The Factors Influencing the Disparity in the Distribution of Medical Doctors in Rural and Urban Areas</w:t>
      </w:r>
    </w:p>
    <w:p w14:paraId="336CF645" w14:textId="705B415C" w:rsidR="0004122E" w:rsidRPr="00494151" w:rsidRDefault="008376C6" w:rsidP="0004122E">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ABSTRACT</w:t>
      </w:r>
    </w:p>
    <w:p w14:paraId="763079B3" w14:textId="77777777" w:rsidR="0004122E" w:rsidRPr="00494151" w:rsidRDefault="0004122E" w:rsidP="0004122E">
      <w:pPr>
        <w:spacing w:line="360" w:lineRule="auto"/>
        <w:jc w:val="both"/>
        <w:rPr>
          <w:rFonts w:asciiTheme="majorBidi" w:hAnsiTheme="majorBidi" w:cstheme="majorBidi"/>
          <w:sz w:val="24"/>
          <w:szCs w:val="24"/>
          <w:lang w:val="en-US"/>
        </w:rPr>
      </w:pPr>
      <w:r w:rsidRPr="00494151">
        <w:rPr>
          <w:rFonts w:asciiTheme="majorBidi" w:hAnsiTheme="majorBidi" w:cstheme="majorBidi"/>
          <w:b/>
          <w:bCs/>
          <w:sz w:val="24"/>
          <w:szCs w:val="24"/>
          <w:lang w:val="en-US"/>
        </w:rPr>
        <w:t>Background:</w:t>
      </w:r>
      <w:r w:rsidRPr="00494151">
        <w:rPr>
          <w:rFonts w:asciiTheme="majorBidi" w:hAnsiTheme="majorBidi" w:cstheme="majorBidi"/>
          <w:sz w:val="24"/>
          <w:szCs w:val="24"/>
          <w:lang w:val="en-US"/>
        </w:rPr>
        <w:t xml:space="preserve"> The global disparity in the distribution of medical doctors between rural and urban areas remains a significant challenge, particularly in developing countries like Ghana. Despite policies aimed at improving salaries and retention, rural areas continue to face severe shortages of healthcare providers. This study examines the preferences of medical students in Ghana regarding rural versus urban practice and identifies key factors influencing their decisions</w:t>
      </w:r>
      <w:bookmarkStart w:id="0" w:name="_GoBack"/>
      <w:bookmarkEnd w:id="0"/>
      <w:r w:rsidRPr="00494151">
        <w:rPr>
          <w:rFonts w:asciiTheme="majorBidi" w:hAnsiTheme="majorBidi" w:cstheme="majorBidi"/>
          <w:sz w:val="24"/>
          <w:szCs w:val="24"/>
          <w:lang w:val="en-US"/>
        </w:rPr>
        <w:t xml:space="preserve">.  </w:t>
      </w:r>
    </w:p>
    <w:p w14:paraId="3CB9B08E" w14:textId="77777777" w:rsidR="0004122E" w:rsidRPr="00494151" w:rsidRDefault="0004122E" w:rsidP="0004122E">
      <w:pPr>
        <w:spacing w:line="360" w:lineRule="auto"/>
        <w:jc w:val="both"/>
        <w:rPr>
          <w:rFonts w:asciiTheme="majorBidi" w:hAnsiTheme="majorBidi" w:cstheme="majorBidi"/>
          <w:sz w:val="24"/>
          <w:szCs w:val="24"/>
          <w:lang w:val="en-US"/>
        </w:rPr>
      </w:pPr>
      <w:r w:rsidRPr="00494151">
        <w:rPr>
          <w:rFonts w:asciiTheme="majorBidi" w:hAnsiTheme="majorBidi" w:cstheme="majorBidi"/>
          <w:b/>
          <w:bCs/>
          <w:sz w:val="24"/>
          <w:szCs w:val="24"/>
          <w:lang w:val="en-US"/>
        </w:rPr>
        <w:t>Method:</w:t>
      </w:r>
      <w:r w:rsidRPr="00494151">
        <w:rPr>
          <w:rFonts w:asciiTheme="majorBidi" w:hAnsiTheme="majorBidi" w:cstheme="majorBidi"/>
          <w:sz w:val="24"/>
          <w:szCs w:val="24"/>
          <w:lang w:val="en-US"/>
        </w:rPr>
        <w:t xml:space="preserve"> A cross-sectional study was conducted among 150 clinical-year medical students at the University of Ghana Medical School. Data were collected using a structured questionnaire, capturing demographic details, rural exposure, career aspirations, and motivational factors. Quota sampling ensured equal representation across clinical years. Descriptive statistics and chi-square tests were employed for analysis, with significance set at p &lt; 0.05.  </w:t>
      </w:r>
    </w:p>
    <w:p w14:paraId="3AB6FA0C" w14:textId="77777777" w:rsidR="0004122E" w:rsidRPr="00494151" w:rsidRDefault="0004122E" w:rsidP="0004122E">
      <w:pPr>
        <w:spacing w:line="360" w:lineRule="auto"/>
        <w:jc w:val="both"/>
        <w:rPr>
          <w:rFonts w:asciiTheme="majorBidi" w:hAnsiTheme="majorBidi" w:cstheme="majorBidi"/>
          <w:sz w:val="24"/>
          <w:szCs w:val="24"/>
          <w:lang w:val="en-US"/>
        </w:rPr>
      </w:pPr>
      <w:r w:rsidRPr="00494151">
        <w:rPr>
          <w:rFonts w:asciiTheme="majorBidi" w:hAnsiTheme="majorBidi" w:cstheme="majorBidi"/>
          <w:b/>
          <w:bCs/>
          <w:sz w:val="24"/>
          <w:szCs w:val="24"/>
          <w:lang w:val="en-US"/>
        </w:rPr>
        <w:t>Results:</w:t>
      </w:r>
      <w:r w:rsidRPr="00494151">
        <w:rPr>
          <w:rFonts w:asciiTheme="majorBidi" w:hAnsiTheme="majorBidi" w:cstheme="majorBidi"/>
          <w:sz w:val="24"/>
          <w:szCs w:val="24"/>
          <w:lang w:val="en-US"/>
        </w:rPr>
        <w:t xml:space="preserve"> Surprisingly, 60% of respondents expressed a preference for rural practice, though only 18% had rural clinical experience. Good working conditions (78%) and social recognition (77%) ranked higher than salary (67%) as influencing factors. Older students and those in advanced clinical years showed greater rural practice inclination (p = 0.001 and p = 0.023, respectively). Notably, 69.1% planned to pursue </w:t>
      </w:r>
      <w:proofErr w:type="spellStart"/>
      <w:r w:rsidRPr="00494151">
        <w:rPr>
          <w:rFonts w:asciiTheme="majorBidi" w:hAnsiTheme="majorBidi" w:cstheme="majorBidi"/>
          <w:sz w:val="24"/>
          <w:szCs w:val="24"/>
          <w:lang w:val="en-US"/>
        </w:rPr>
        <w:t>speciality</w:t>
      </w:r>
      <w:proofErr w:type="spellEnd"/>
      <w:r w:rsidRPr="00494151">
        <w:rPr>
          <w:rFonts w:asciiTheme="majorBidi" w:hAnsiTheme="majorBidi" w:cstheme="majorBidi"/>
          <w:sz w:val="24"/>
          <w:szCs w:val="24"/>
          <w:lang w:val="en-US"/>
        </w:rPr>
        <w:t xml:space="preserve"> training, with only 8.7% opting for general practice.  </w:t>
      </w:r>
    </w:p>
    <w:p w14:paraId="18A37C9F" w14:textId="77777777" w:rsidR="0004122E" w:rsidRPr="00494151" w:rsidRDefault="0004122E" w:rsidP="00D94EDF">
      <w:pPr>
        <w:spacing w:line="360" w:lineRule="auto"/>
        <w:jc w:val="both"/>
        <w:rPr>
          <w:rFonts w:asciiTheme="majorBidi" w:hAnsiTheme="majorBidi" w:cstheme="majorBidi"/>
          <w:sz w:val="24"/>
          <w:szCs w:val="24"/>
          <w:lang w:val="en-US"/>
        </w:rPr>
      </w:pPr>
      <w:r w:rsidRPr="00494151">
        <w:rPr>
          <w:rFonts w:asciiTheme="majorBidi" w:hAnsiTheme="majorBidi" w:cstheme="majorBidi"/>
          <w:b/>
          <w:bCs/>
          <w:sz w:val="24"/>
          <w:szCs w:val="24"/>
          <w:lang w:val="en-US"/>
        </w:rPr>
        <w:t>Conclusion:</w:t>
      </w:r>
      <w:r w:rsidRPr="00494151">
        <w:rPr>
          <w:rFonts w:asciiTheme="majorBidi" w:hAnsiTheme="majorBidi" w:cstheme="majorBidi"/>
          <w:sz w:val="24"/>
          <w:szCs w:val="24"/>
          <w:lang w:val="en-US"/>
        </w:rPr>
        <w:t xml:space="preserve"> While medical students demonstrate a willingness to work in rural areas, limited exposure and systemic challenges hinder actual retention. Non-monetary factors, such as career development and working conditions, are </w:t>
      </w:r>
      <w:r w:rsidR="00D94EDF" w:rsidRPr="00494151">
        <w:rPr>
          <w:rFonts w:asciiTheme="majorBidi" w:hAnsiTheme="majorBidi" w:cstheme="majorBidi"/>
          <w:sz w:val="24"/>
          <w:szCs w:val="24"/>
          <w:lang w:val="en-US"/>
        </w:rPr>
        <w:t>significant</w:t>
      </w:r>
      <w:r w:rsidRPr="00494151">
        <w:rPr>
          <w:rFonts w:asciiTheme="majorBidi" w:hAnsiTheme="majorBidi" w:cstheme="majorBidi"/>
          <w:sz w:val="24"/>
          <w:szCs w:val="24"/>
          <w:lang w:val="en-US"/>
        </w:rPr>
        <w:t xml:space="preserve"> in shaping preferences. Strategies to enhance rural infrastructure, structured clinical rotations, and targeted incentives are recommended to address workforce disparities.  </w:t>
      </w:r>
    </w:p>
    <w:p w14:paraId="52F0A691" w14:textId="77777777" w:rsidR="008376C6" w:rsidRPr="00494151" w:rsidRDefault="0004122E" w:rsidP="0004122E">
      <w:pPr>
        <w:spacing w:line="360" w:lineRule="auto"/>
        <w:jc w:val="center"/>
        <w:rPr>
          <w:rFonts w:asciiTheme="majorBidi" w:hAnsiTheme="majorBidi" w:cstheme="majorBidi"/>
          <w:sz w:val="24"/>
          <w:szCs w:val="24"/>
          <w:lang w:val="en-US"/>
        </w:rPr>
      </w:pPr>
      <w:r w:rsidRPr="00494151">
        <w:rPr>
          <w:rFonts w:asciiTheme="majorBidi" w:hAnsiTheme="majorBidi" w:cstheme="majorBidi"/>
          <w:i/>
          <w:iCs/>
          <w:sz w:val="24"/>
          <w:szCs w:val="24"/>
          <w:lang w:val="en-US"/>
        </w:rPr>
        <w:t>Keywords</w:t>
      </w:r>
      <w:r w:rsidRPr="00494151">
        <w:rPr>
          <w:rFonts w:asciiTheme="majorBidi" w:hAnsiTheme="majorBidi" w:cstheme="majorBidi"/>
          <w:sz w:val="24"/>
          <w:szCs w:val="24"/>
          <w:lang w:val="en-US"/>
        </w:rPr>
        <w:t xml:space="preserve">: </w:t>
      </w:r>
      <w:r w:rsidRPr="00494151">
        <w:rPr>
          <w:rFonts w:asciiTheme="majorBidi" w:hAnsiTheme="majorBidi" w:cstheme="majorBidi"/>
          <w:i/>
          <w:iCs/>
          <w:sz w:val="24"/>
          <w:szCs w:val="24"/>
          <w:lang w:val="en-US"/>
        </w:rPr>
        <w:t>Medical doctors, rural-urban disparity, Ghana, workforce distribution, medical students, retention strategies, healthcare access.</w:t>
      </w:r>
    </w:p>
    <w:p w14:paraId="4800E861" w14:textId="77777777" w:rsidR="004369A8" w:rsidRPr="00494151" w:rsidRDefault="00142642" w:rsidP="00142642">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lastRenderedPageBreak/>
        <w:t xml:space="preserve">1.0 </w:t>
      </w:r>
      <w:r w:rsidR="004369A8" w:rsidRPr="00494151">
        <w:rPr>
          <w:rFonts w:asciiTheme="majorBidi" w:hAnsiTheme="majorBidi" w:cstheme="majorBidi"/>
          <w:b/>
          <w:bCs/>
          <w:sz w:val="24"/>
          <w:szCs w:val="24"/>
          <w:lang w:val="en-US"/>
        </w:rPr>
        <w:t>INTRODUCTION</w:t>
      </w:r>
    </w:p>
    <w:p w14:paraId="65DFB0FF" w14:textId="77777777" w:rsidR="004369A8" w:rsidRPr="00494151" w:rsidRDefault="004369A8" w:rsidP="00142642">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problem of insufficient numbers of health personnel to cater for the constantly growing populations around the world has been an issue of immense concern all over the world, though different countries experience this problem to varying degrees [1]. Even worse, there is the imbalance in the distribution of health personnel between rural and urban areas within individual countries, with the former being at a great disadvantage [2]. Almost all developing countries suffer the most from inequality as a result of various reasons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including the massive emigration of health personnel to foreign countries, usually the western developed countries, to seek greener pastures [3]. The interrelation of several factors, including improper management of the health workforce and health systems have contributed to the existing imbalances. This is made evident by the fact that not only developing countries, but also developed countries are facing the challenge.</w:t>
      </w:r>
    </w:p>
    <w:p w14:paraId="519605B8" w14:textId="77777777" w:rsidR="004369A8" w:rsidRPr="00494151" w:rsidRDefault="004369A8" w:rsidP="00E410CF">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In Ghana, recent health sector policies resulting in increasing doctors’ salaries have contributed to decreasing the rate of resettlement of doctors out of the country, but the problem of gross disparities in the rural and urban distribution has not been significantly affected by these policies [4]. The inability of the various stakeholders in health to adequately recruit and retain qualified health personnel leads to deficiencies in the human resource base</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whereas unsatisfactory remuneration for those already in the system causes low productivity [5]. Concerning this problem, as stated already, Ghana is not an exception, and the need to identify the fundamental causes of this headache and to design and implement appropriate interventions to upturn the trend cannot be overstressed.</w:t>
      </w:r>
    </w:p>
    <w:p w14:paraId="036650F2" w14:textId="77777777" w:rsidR="004369A8" w:rsidRPr="00494151" w:rsidRDefault="004369A8" w:rsidP="00E410CF">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Doctors are the health care providers in greatest shortage and yet highest demand compared to nurses and other health workers, and this makes the situation very disturbing because they head any healthcare delivery team and take direct responsibility for all patients [6]. In developing countries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including Ghana</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this shortage of doctors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especially where </w:t>
      </w:r>
      <w:r w:rsidR="00E410CF" w:rsidRPr="00494151">
        <w:rPr>
          <w:rFonts w:asciiTheme="majorBidi" w:hAnsiTheme="majorBidi" w:cstheme="majorBidi"/>
          <w:sz w:val="24"/>
          <w:szCs w:val="24"/>
          <w:lang w:val="en-US"/>
        </w:rPr>
        <w:t xml:space="preserve">it </w:t>
      </w:r>
      <w:r w:rsidRPr="00494151">
        <w:rPr>
          <w:rFonts w:asciiTheme="majorBidi" w:hAnsiTheme="majorBidi" w:cstheme="majorBidi"/>
          <w:sz w:val="24"/>
          <w:szCs w:val="24"/>
          <w:lang w:val="en-US"/>
        </w:rPr>
        <w:t xml:space="preserve">is notable and has become a major setback to the attainment of the proposed </w:t>
      </w:r>
      <w:r w:rsidR="00E410CF" w:rsidRPr="00494151">
        <w:rPr>
          <w:rFonts w:asciiTheme="majorBidi" w:hAnsiTheme="majorBidi" w:cstheme="majorBidi"/>
          <w:sz w:val="24"/>
          <w:szCs w:val="24"/>
          <w:lang w:val="en-US"/>
        </w:rPr>
        <w:t>health-related</w:t>
      </w:r>
      <w:r w:rsidRPr="00494151">
        <w:rPr>
          <w:rFonts w:asciiTheme="majorBidi" w:hAnsiTheme="majorBidi" w:cstheme="majorBidi"/>
          <w:sz w:val="24"/>
          <w:szCs w:val="24"/>
          <w:lang w:val="en-US"/>
        </w:rPr>
        <w:t xml:space="preserve"> </w:t>
      </w:r>
      <w:r w:rsidR="00E410CF" w:rsidRPr="00494151">
        <w:rPr>
          <w:rFonts w:asciiTheme="majorBidi" w:hAnsiTheme="majorBidi" w:cstheme="majorBidi"/>
          <w:sz w:val="24"/>
          <w:szCs w:val="24"/>
          <w:lang w:val="en-US"/>
        </w:rPr>
        <w:t>Millennium Development Goals</w:t>
      </w:r>
      <w:r w:rsidRPr="00494151">
        <w:rPr>
          <w:rFonts w:asciiTheme="majorBidi" w:hAnsiTheme="majorBidi" w:cstheme="majorBidi"/>
          <w:sz w:val="24"/>
          <w:szCs w:val="24"/>
          <w:lang w:val="en-US"/>
        </w:rPr>
        <w:t xml:space="preserve"> (MDGs)</w:t>
      </w:r>
      <w:r w:rsidR="00DD18E1" w:rsidRPr="00494151">
        <w:rPr>
          <w:rFonts w:asciiTheme="majorBidi" w:hAnsiTheme="majorBidi" w:cstheme="majorBidi"/>
          <w:sz w:val="24"/>
          <w:szCs w:val="24"/>
          <w:lang w:val="en-US"/>
        </w:rPr>
        <w:t xml:space="preserve"> [7]</w:t>
      </w:r>
      <w:r w:rsidRPr="00494151">
        <w:rPr>
          <w:rFonts w:asciiTheme="majorBidi" w:hAnsiTheme="majorBidi" w:cstheme="majorBidi"/>
          <w:sz w:val="24"/>
          <w:szCs w:val="24"/>
          <w:lang w:val="en-US"/>
        </w:rPr>
        <w:t>. According to the World Health Organi</w:t>
      </w:r>
      <w:r w:rsidR="00E410CF" w:rsidRPr="00494151">
        <w:rPr>
          <w:rFonts w:asciiTheme="majorBidi" w:hAnsiTheme="majorBidi" w:cstheme="majorBidi"/>
          <w:sz w:val="24"/>
          <w:szCs w:val="24"/>
          <w:lang w:val="en-US"/>
        </w:rPr>
        <w:t>zation’</w:t>
      </w:r>
      <w:r w:rsidRPr="00494151">
        <w:rPr>
          <w:rFonts w:asciiTheme="majorBidi" w:hAnsiTheme="majorBidi" w:cstheme="majorBidi"/>
          <w:sz w:val="24"/>
          <w:szCs w:val="24"/>
          <w:lang w:val="en-US"/>
        </w:rPr>
        <w:t>s (WHO) World Health Report 2006</w:t>
      </w:r>
      <w:r w:rsidR="00DD18E1" w:rsidRPr="00494151">
        <w:rPr>
          <w:rFonts w:asciiTheme="majorBidi" w:hAnsiTheme="majorBidi" w:cstheme="majorBidi"/>
          <w:sz w:val="24"/>
          <w:szCs w:val="24"/>
          <w:lang w:val="en-US"/>
        </w:rPr>
        <w:t xml:space="preserve"> [8]</w:t>
      </w:r>
      <w:r w:rsidRPr="00494151">
        <w:rPr>
          <w:rFonts w:asciiTheme="majorBidi" w:hAnsiTheme="majorBidi" w:cstheme="majorBidi"/>
          <w:sz w:val="24"/>
          <w:szCs w:val="24"/>
          <w:lang w:val="en-US"/>
        </w:rPr>
        <w:t>, there are at least 4 million health workers needed for the minimum level of health outcomes to be achieved. Basically, the problem is with the inadequate production capacity for these health workers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especially doctors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and the inability to maintain those trained in the places where their services are most required</w:t>
      </w:r>
      <w:r w:rsidR="00DD18E1" w:rsidRPr="00494151">
        <w:rPr>
          <w:rFonts w:asciiTheme="majorBidi" w:hAnsiTheme="majorBidi" w:cstheme="majorBidi"/>
          <w:sz w:val="24"/>
          <w:szCs w:val="24"/>
          <w:lang w:val="en-US"/>
        </w:rPr>
        <w:t xml:space="preserve"> [9]</w:t>
      </w:r>
      <w:r w:rsidRPr="00494151">
        <w:rPr>
          <w:rFonts w:asciiTheme="majorBidi" w:hAnsiTheme="majorBidi" w:cstheme="majorBidi"/>
          <w:sz w:val="24"/>
          <w:szCs w:val="24"/>
          <w:lang w:val="en-US"/>
        </w:rPr>
        <w:t>. Therefore</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whatever plans are put in place to address the problem </w:t>
      </w:r>
      <w:r w:rsidRPr="00494151">
        <w:rPr>
          <w:rFonts w:asciiTheme="majorBidi" w:hAnsiTheme="majorBidi" w:cstheme="majorBidi"/>
          <w:sz w:val="24"/>
          <w:szCs w:val="24"/>
          <w:lang w:val="en-US"/>
        </w:rPr>
        <w:lastRenderedPageBreak/>
        <w:t>must be aimed at increasing the number of doctors to be trained and also to develop strategies to attract and retain both existing and newly trained doctors in places where their services are mostly needed.</w:t>
      </w:r>
    </w:p>
    <w:p w14:paraId="073BF303" w14:textId="77777777" w:rsidR="004369A8" w:rsidRPr="00494151" w:rsidRDefault="004369A8" w:rsidP="00E410CF">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demographic context of Ghana presents compelling evidence of this disparity. WHO figures for 2009 i</w:t>
      </w:r>
      <w:r w:rsidR="00E410CF" w:rsidRPr="00494151">
        <w:rPr>
          <w:rFonts w:asciiTheme="majorBidi" w:hAnsiTheme="majorBidi" w:cstheme="majorBidi"/>
          <w:sz w:val="24"/>
          <w:szCs w:val="24"/>
          <w:lang w:val="en-US"/>
        </w:rPr>
        <w:t>ndicate that 51% of the country’</w:t>
      </w:r>
      <w:r w:rsidRPr="00494151">
        <w:rPr>
          <w:rFonts w:asciiTheme="majorBidi" w:hAnsiTheme="majorBidi" w:cstheme="majorBidi"/>
          <w:sz w:val="24"/>
          <w:szCs w:val="24"/>
          <w:lang w:val="en-US"/>
        </w:rPr>
        <w:t>s population lives in urban areas compared to the global average of 50% while 49%, a significant portion</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live in rural communities</w:t>
      </w:r>
      <w:r w:rsidR="00DD18E1" w:rsidRPr="00494151">
        <w:rPr>
          <w:rFonts w:asciiTheme="majorBidi" w:hAnsiTheme="majorBidi" w:cstheme="majorBidi"/>
          <w:sz w:val="24"/>
          <w:szCs w:val="24"/>
          <w:lang w:val="en-US"/>
        </w:rPr>
        <w:t xml:space="preserve"> [10]</w:t>
      </w:r>
      <w:r w:rsidRPr="00494151">
        <w:rPr>
          <w:rFonts w:asciiTheme="majorBidi" w:hAnsiTheme="majorBidi" w:cstheme="majorBidi"/>
          <w:sz w:val="24"/>
          <w:szCs w:val="24"/>
          <w:lang w:val="en-US"/>
        </w:rPr>
        <w:t>. In addition, according to the WHO figures for 2008, to population ratio (per 10,000 population) for Ghana was 0.9 compared to the Africa regional average</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which was 2.3</w:t>
      </w:r>
      <w:r w:rsidR="00DD18E1" w:rsidRPr="00494151">
        <w:rPr>
          <w:rFonts w:asciiTheme="majorBidi" w:hAnsiTheme="majorBidi" w:cstheme="majorBidi"/>
          <w:sz w:val="24"/>
          <w:szCs w:val="24"/>
          <w:lang w:val="en-US"/>
        </w:rPr>
        <w:t xml:space="preserve"> [11]</w:t>
      </w:r>
      <w:r w:rsidRPr="00494151">
        <w:rPr>
          <w:rFonts w:asciiTheme="majorBidi" w:hAnsiTheme="majorBidi" w:cstheme="majorBidi"/>
          <w:sz w:val="24"/>
          <w:szCs w:val="24"/>
          <w:lang w:val="en-US"/>
        </w:rPr>
        <w:t>. The Africa Health Workforce Observatory (AHWO) 2010 country profile for Ghana also shows that out of the total of 1945 general medical practitioners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1362 work in urban areas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whereas only 538 work in rural areas</w:t>
      </w:r>
      <w:r w:rsidR="00DD18E1" w:rsidRPr="00494151">
        <w:rPr>
          <w:rFonts w:asciiTheme="majorBidi" w:hAnsiTheme="majorBidi" w:cstheme="majorBidi"/>
          <w:sz w:val="24"/>
          <w:szCs w:val="24"/>
          <w:lang w:val="en-US"/>
        </w:rPr>
        <w:t xml:space="preserve"> [12]</w:t>
      </w:r>
      <w:r w:rsidRPr="00494151">
        <w:rPr>
          <w:rFonts w:asciiTheme="majorBidi" w:hAnsiTheme="majorBidi" w:cstheme="majorBidi"/>
          <w:sz w:val="24"/>
          <w:szCs w:val="24"/>
          <w:lang w:val="en-US"/>
        </w:rPr>
        <w:t>. From the same source, all 695 specialist medical practitioners are in urban areas</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with none in rural areas. These statistics paint a stark picture of the magnitude of inequality in healthcare provision between urban and rural populations.</w:t>
      </w:r>
    </w:p>
    <w:p w14:paraId="21E67C2E" w14:textId="77777777" w:rsidR="004369A8" w:rsidRPr="00494151" w:rsidRDefault="004369A8" w:rsidP="00E410CF">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 xml:space="preserve">From a global perspective, worldwide, only 24% of the total </w:t>
      </w:r>
      <w:r w:rsidR="00E410CF" w:rsidRPr="00494151">
        <w:rPr>
          <w:rFonts w:asciiTheme="majorBidi" w:hAnsiTheme="majorBidi" w:cstheme="majorBidi"/>
          <w:sz w:val="24"/>
          <w:szCs w:val="24"/>
          <w:lang w:val="en-US"/>
        </w:rPr>
        <w:t>number</w:t>
      </w:r>
      <w:r w:rsidRPr="00494151">
        <w:rPr>
          <w:rFonts w:asciiTheme="majorBidi" w:hAnsiTheme="majorBidi" w:cstheme="majorBidi"/>
          <w:sz w:val="24"/>
          <w:szCs w:val="24"/>
          <w:lang w:val="en-US"/>
        </w:rPr>
        <w:t xml:space="preserve"> of physicians take care of the 50% of the world population living in rural areas</w:t>
      </w:r>
      <w:r w:rsidR="00DD18E1" w:rsidRPr="00494151">
        <w:rPr>
          <w:rFonts w:asciiTheme="majorBidi" w:hAnsiTheme="majorBidi" w:cstheme="majorBidi"/>
          <w:sz w:val="24"/>
          <w:szCs w:val="24"/>
          <w:lang w:val="en-US"/>
        </w:rPr>
        <w:t xml:space="preserve"> [13, 14]</w:t>
      </w:r>
      <w:r w:rsidRPr="00494151">
        <w:rPr>
          <w:rFonts w:asciiTheme="majorBidi" w:hAnsiTheme="majorBidi" w:cstheme="majorBidi"/>
          <w:sz w:val="24"/>
          <w:szCs w:val="24"/>
          <w:lang w:val="en-US"/>
        </w:rPr>
        <w:t>. The other 76% are all concentrated in the urban areas. It is really interesting to note however, that even though at the national level, especially in sub-Saharan Africa and other developing nations these shortages are reflected due to inadequate numbers of health workforce, some countries have the situation where there is high rate of production of health workers with many of them unemployed in the urban areas, and yet with severe shortages in the rural areas</w:t>
      </w:r>
      <w:r w:rsidR="00EA101E" w:rsidRPr="00494151">
        <w:rPr>
          <w:rFonts w:asciiTheme="majorBidi" w:hAnsiTheme="majorBidi" w:cstheme="majorBidi"/>
          <w:sz w:val="24"/>
          <w:szCs w:val="24"/>
          <w:lang w:val="en-US"/>
        </w:rPr>
        <w:t xml:space="preserve"> [15]</w:t>
      </w:r>
      <w:r w:rsidRPr="00494151">
        <w:rPr>
          <w:rFonts w:asciiTheme="majorBidi" w:hAnsiTheme="majorBidi" w:cstheme="majorBidi"/>
          <w:sz w:val="24"/>
          <w:szCs w:val="24"/>
          <w:lang w:val="en-US"/>
        </w:rPr>
        <w:t xml:space="preserve">. Examples include </w:t>
      </w:r>
      <w:r w:rsidR="007A617A" w:rsidRPr="00494151">
        <w:rPr>
          <w:rFonts w:asciiTheme="majorBidi" w:hAnsiTheme="majorBidi" w:cstheme="majorBidi"/>
          <w:sz w:val="24"/>
          <w:szCs w:val="24"/>
          <w:lang w:val="en-US"/>
        </w:rPr>
        <w:t>Côte d'Ivoire</w:t>
      </w:r>
      <w:r w:rsidRPr="00494151">
        <w:rPr>
          <w:rFonts w:asciiTheme="majorBidi" w:hAnsiTheme="majorBidi" w:cstheme="majorBidi"/>
          <w:sz w:val="24"/>
          <w:szCs w:val="24"/>
          <w:lang w:val="en-US"/>
        </w:rPr>
        <w:t>, Mali</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and </w:t>
      </w:r>
      <w:r w:rsidR="00142642" w:rsidRPr="00494151">
        <w:rPr>
          <w:rFonts w:asciiTheme="majorBidi" w:hAnsiTheme="majorBidi" w:cstheme="majorBidi"/>
          <w:sz w:val="24"/>
          <w:szCs w:val="24"/>
          <w:lang w:val="en-US"/>
        </w:rPr>
        <w:t xml:space="preserve">the </w:t>
      </w:r>
      <w:r w:rsidRPr="00494151">
        <w:rPr>
          <w:rFonts w:asciiTheme="majorBidi" w:hAnsiTheme="majorBidi" w:cstheme="majorBidi"/>
          <w:sz w:val="24"/>
          <w:szCs w:val="24"/>
          <w:lang w:val="en-US"/>
        </w:rPr>
        <w:t>Democratic Republic of Congo. Some countries have sufficient numbers on average, but with marked deficiencies in the rural areas. Examples include Germany and France. By and large</w:t>
      </w:r>
      <w:r w:rsidR="00E410C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the effects of these shortages mitigate against the achievement of the Millennium Development Goals.</w:t>
      </w:r>
    </w:p>
    <w:p w14:paraId="2236AC22" w14:textId="77777777" w:rsidR="004369A8" w:rsidRPr="00494151" w:rsidRDefault="004369A8" w:rsidP="00142642">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understanding of factors motivating healthcare workers has evolved significantly over time. It is also important to state that over the years</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some of the perceived or indeed scientifically determined factors accounting for the imbalances in rural/urban distribution of health workforce, especially doctors, have changed and are therefore no longer valid. For instance</w:t>
      </w:r>
      <w:r w:rsidR="0049542D"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it has been a widely held view that once doctors are given larger salaries and other monetary benefits</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they would be happy to accept a posting to any remote area, but this is not exactly so from more recent studies</w:t>
      </w:r>
      <w:r w:rsidR="0049542D" w:rsidRPr="00494151">
        <w:rPr>
          <w:rFonts w:asciiTheme="majorBidi" w:hAnsiTheme="majorBidi" w:cstheme="majorBidi"/>
          <w:sz w:val="24"/>
          <w:szCs w:val="24"/>
          <w:lang w:val="en-US"/>
        </w:rPr>
        <w:t xml:space="preserve"> [16]</w:t>
      </w:r>
      <w:r w:rsidRPr="00494151">
        <w:rPr>
          <w:rFonts w:asciiTheme="majorBidi" w:hAnsiTheme="majorBidi" w:cstheme="majorBidi"/>
          <w:sz w:val="24"/>
          <w:szCs w:val="24"/>
          <w:lang w:val="en-US"/>
        </w:rPr>
        <w:t>. More doctors, and indeed other healthcare professionals</w:t>
      </w:r>
      <w:r w:rsidR="0049542D"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are moving more towards a </w:t>
      </w:r>
      <w:r w:rsidRPr="00494151">
        <w:rPr>
          <w:rFonts w:asciiTheme="majorBidi" w:hAnsiTheme="majorBidi" w:cstheme="majorBidi"/>
          <w:sz w:val="24"/>
          <w:szCs w:val="24"/>
          <w:lang w:val="en-US"/>
        </w:rPr>
        <w:lastRenderedPageBreak/>
        <w:t>work/life balance phenomenon. In other words</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they would consider things like having a satisfactory social life and access to desired recreational activities/facilities for themselves and their families before making a decision</w:t>
      </w:r>
      <w:r w:rsidR="0049542D" w:rsidRPr="00494151">
        <w:rPr>
          <w:rFonts w:asciiTheme="majorBidi" w:hAnsiTheme="majorBidi" w:cstheme="majorBidi"/>
          <w:sz w:val="24"/>
          <w:szCs w:val="24"/>
          <w:lang w:val="en-US"/>
        </w:rPr>
        <w:t xml:space="preserve"> [17]</w:t>
      </w:r>
      <w:r w:rsidRPr="00494151">
        <w:rPr>
          <w:rFonts w:asciiTheme="majorBidi" w:hAnsiTheme="majorBidi" w:cstheme="majorBidi"/>
          <w:sz w:val="24"/>
          <w:szCs w:val="24"/>
          <w:lang w:val="en-US"/>
        </w:rPr>
        <w:t>.</w:t>
      </w:r>
      <w:r w:rsidR="00142642" w:rsidRPr="00494151">
        <w:rPr>
          <w:rFonts w:asciiTheme="majorBidi" w:hAnsiTheme="majorBidi" w:cstheme="majorBidi"/>
          <w:sz w:val="24"/>
          <w:szCs w:val="24"/>
          <w:lang w:val="en-US"/>
        </w:rPr>
        <w:t xml:space="preserve"> </w:t>
      </w:r>
    </w:p>
    <w:p w14:paraId="26764967" w14:textId="77777777" w:rsidR="004369A8" w:rsidRPr="00494151" w:rsidRDefault="0049542D" w:rsidP="00142642">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 xml:space="preserve">So, it has been obvious </w:t>
      </w:r>
      <w:r w:rsidR="004369A8" w:rsidRPr="00494151">
        <w:rPr>
          <w:rFonts w:asciiTheme="majorBidi" w:hAnsiTheme="majorBidi" w:cstheme="majorBidi"/>
          <w:sz w:val="24"/>
          <w:szCs w:val="24"/>
          <w:lang w:val="en-US"/>
        </w:rPr>
        <w:t>that motivation for health workers</w:t>
      </w:r>
      <w:r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xml:space="preserve"> including doctors</w:t>
      </w:r>
      <w:r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xml:space="preserve"> has become quite complex, involving different things with non-monetary benefits becoming increasingly important. People </w:t>
      </w:r>
      <w:r w:rsidR="00DF28E4" w:rsidRPr="00494151">
        <w:rPr>
          <w:rFonts w:asciiTheme="majorBidi" w:hAnsiTheme="majorBidi" w:cstheme="majorBidi"/>
          <w:sz w:val="24"/>
          <w:szCs w:val="24"/>
          <w:lang w:val="en-US"/>
        </w:rPr>
        <w:t>may</w:t>
      </w:r>
      <w:r w:rsidR="004369A8" w:rsidRPr="00494151">
        <w:rPr>
          <w:rFonts w:asciiTheme="majorBidi" w:hAnsiTheme="majorBidi" w:cstheme="majorBidi"/>
          <w:sz w:val="24"/>
          <w:szCs w:val="24"/>
          <w:lang w:val="en-US"/>
        </w:rPr>
        <w:t xml:space="preserve"> let g</w:t>
      </w:r>
      <w:r w:rsidR="00DF28E4" w:rsidRPr="00494151">
        <w:rPr>
          <w:rFonts w:asciiTheme="majorBidi" w:hAnsiTheme="majorBidi" w:cstheme="majorBidi"/>
          <w:sz w:val="24"/>
          <w:szCs w:val="24"/>
          <w:lang w:val="en-US"/>
        </w:rPr>
        <w:t>o of a job</w:t>
      </w:r>
      <w:r w:rsidR="004369A8" w:rsidRPr="00494151">
        <w:rPr>
          <w:rFonts w:asciiTheme="majorBidi" w:hAnsiTheme="majorBidi" w:cstheme="majorBidi"/>
          <w:sz w:val="24"/>
          <w:szCs w:val="24"/>
          <w:lang w:val="en-US"/>
        </w:rPr>
        <w:t xml:space="preserve"> </w:t>
      </w:r>
      <w:r w:rsidRPr="00494151">
        <w:rPr>
          <w:rFonts w:asciiTheme="majorBidi" w:hAnsiTheme="majorBidi" w:cstheme="majorBidi"/>
          <w:sz w:val="24"/>
          <w:szCs w:val="24"/>
          <w:lang w:val="en-US"/>
        </w:rPr>
        <w:t xml:space="preserve">if </w:t>
      </w:r>
      <w:r w:rsidR="004369A8" w:rsidRPr="00494151">
        <w:rPr>
          <w:rFonts w:asciiTheme="majorBidi" w:hAnsiTheme="majorBidi" w:cstheme="majorBidi"/>
          <w:sz w:val="24"/>
          <w:szCs w:val="24"/>
          <w:lang w:val="en-US"/>
        </w:rPr>
        <w:t xml:space="preserve">their expectations are not met </w:t>
      </w:r>
      <w:r w:rsidR="00DF28E4" w:rsidRPr="00494151">
        <w:rPr>
          <w:rFonts w:asciiTheme="majorBidi" w:hAnsiTheme="majorBidi" w:cstheme="majorBidi"/>
          <w:sz w:val="24"/>
          <w:szCs w:val="24"/>
          <w:lang w:val="en-US"/>
        </w:rPr>
        <w:t>[18</w:t>
      </w:r>
      <w:r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Generally</w:t>
      </w:r>
      <w:r w:rsidR="00DF28E4"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xml:space="preserve"> factors that attract health workers to a new </w:t>
      </w:r>
      <w:r w:rsidRPr="00494151">
        <w:rPr>
          <w:rFonts w:asciiTheme="majorBidi" w:hAnsiTheme="majorBidi" w:cstheme="majorBidi"/>
          <w:sz w:val="24"/>
          <w:szCs w:val="24"/>
          <w:lang w:val="en-US"/>
        </w:rPr>
        <w:t>work location are known as the “pull”</w:t>
      </w:r>
      <w:r w:rsidR="004369A8" w:rsidRPr="00494151">
        <w:rPr>
          <w:rFonts w:asciiTheme="majorBidi" w:hAnsiTheme="majorBidi" w:cstheme="majorBidi"/>
          <w:sz w:val="24"/>
          <w:szCs w:val="24"/>
          <w:lang w:val="en-US"/>
        </w:rPr>
        <w:t xml:space="preserve"> factors</w:t>
      </w:r>
      <w:r w:rsidR="00DF28E4"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xml:space="preserve"> whereas those motivating them to leave the current workplace are known as the </w:t>
      </w:r>
      <w:r w:rsidRPr="00494151">
        <w:rPr>
          <w:rFonts w:asciiTheme="majorBidi" w:hAnsiTheme="majorBidi" w:cstheme="majorBidi"/>
          <w:sz w:val="24"/>
          <w:szCs w:val="24"/>
          <w:lang w:val="en-US"/>
        </w:rPr>
        <w:t>“push”</w:t>
      </w:r>
      <w:r w:rsidR="004369A8" w:rsidRPr="00494151">
        <w:rPr>
          <w:rFonts w:asciiTheme="majorBidi" w:hAnsiTheme="majorBidi" w:cstheme="majorBidi"/>
          <w:sz w:val="24"/>
          <w:szCs w:val="24"/>
          <w:lang w:val="en-US"/>
        </w:rPr>
        <w:t xml:space="preserve"> factors </w:t>
      </w:r>
      <w:r w:rsidR="00DF28E4" w:rsidRPr="00494151">
        <w:rPr>
          <w:rFonts w:asciiTheme="majorBidi" w:hAnsiTheme="majorBidi" w:cstheme="majorBidi"/>
          <w:sz w:val="24"/>
          <w:szCs w:val="24"/>
          <w:lang w:val="en-US"/>
        </w:rPr>
        <w:t>[19</w:t>
      </w:r>
      <w:r w:rsidRPr="00494151">
        <w:rPr>
          <w:rFonts w:asciiTheme="majorBidi" w:hAnsiTheme="majorBidi" w:cstheme="majorBidi"/>
          <w:sz w:val="24"/>
          <w:szCs w:val="24"/>
          <w:lang w:val="en-US"/>
        </w:rPr>
        <w:t>]. Different “measuring scales"</w:t>
      </w:r>
      <w:r w:rsidR="004369A8" w:rsidRPr="00494151">
        <w:rPr>
          <w:rFonts w:asciiTheme="majorBidi" w:hAnsiTheme="majorBidi" w:cstheme="majorBidi"/>
          <w:sz w:val="24"/>
          <w:szCs w:val="24"/>
          <w:lang w:val="en-US"/>
        </w:rPr>
        <w:t xml:space="preserve"> can be used to assess the extent of these imbalances and deficiencies in health worker distribution</w:t>
      </w:r>
      <w:r w:rsidR="00DF28E4"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xml:space="preserve"> including health worker densities, vacancy rates (defined as </w:t>
      </w:r>
      <w:r w:rsidR="00E410CF" w:rsidRPr="00494151">
        <w:rPr>
          <w:rFonts w:asciiTheme="majorBidi" w:hAnsiTheme="majorBidi" w:cstheme="majorBidi"/>
          <w:sz w:val="24"/>
          <w:szCs w:val="24"/>
          <w:lang w:val="en-US"/>
        </w:rPr>
        <w:t xml:space="preserve">the </w:t>
      </w:r>
      <w:r w:rsidR="004369A8" w:rsidRPr="00494151">
        <w:rPr>
          <w:rFonts w:asciiTheme="majorBidi" w:hAnsiTheme="majorBidi" w:cstheme="majorBidi"/>
          <w:sz w:val="24"/>
          <w:szCs w:val="24"/>
          <w:lang w:val="en-US"/>
        </w:rPr>
        <w:t xml:space="preserve">percentage of unfilled posts), </w:t>
      </w:r>
      <w:r w:rsidR="00DF28E4" w:rsidRPr="00494151">
        <w:rPr>
          <w:rFonts w:asciiTheme="majorBidi" w:hAnsiTheme="majorBidi" w:cstheme="majorBidi"/>
          <w:sz w:val="24"/>
          <w:szCs w:val="24"/>
          <w:lang w:val="en-US"/>
        </w:rPr>
        <w:t>turnover</w:t>
      </w:r>
      <w:r w:rsidR="004369A8" w:rsidRPr="00494151">
        <w:rPr>
          <w:rFonts w:asciiTheme="majorBidi" w:hAnsiTheme="majorBidi" w:cstheme="majorBidi"/>
          <w:sz w:val="24"/>
          <w:szCs w:val="24"/>
          <w:lang w:val="en-US"/>
        </w:rPr>
        <w:t xml:space="preserve"> rates, attrition rates, unemployment rates</w:t>
      </w:r>
      <w:r w:rsidR="00142642" w:rsidRPr="00494151">
        <w:rPr>
          <w:rFonts w:asciiTheme="majorBidi" w:hAnsiTheme="majorBidi" w:cstheme="majorBidi"/>
          <w:sz w:val="24"/>
          <w:szCs w:val="24"/>
          <w:lang w:val="en-US"/>
        </w:rPr>
        <w:t>,</w:t>
      </w:r>
      <w:r w:rsidR="004369A8" w:rsidRPr="00494151">
        <w:rPr>
          <w:rFonts w:asciiTheme="majorBidi" w:hAnsiTheme="majorBidi" w:cstheme="majorBidi"/>
          <w:sz w:val="24"/>
          <w:szCs w:val="24"/>
          <w:lang w:val="en-US"/>
        </w:rPr>
        <w:t xml:space="preserve"> and absenteeism.</w:t>
      </w:r>
    </w:p>
    <w:p w14:paraId="22EABEF9" w14:textId="77777777" w:rsidR="004369A8" w:rsidRPr="00494151" w:rsidRDefault="004369A8" w:rsidP="00142642">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 xml:space="preserve">Only </w:t>
      </w:r>
      <w:r w:rsidR="00DF28E4" w:rsidRPr="00494151">
        <w:rPr>
          <w:rFonts w:asciiTheme="majorBidi" w:hAnsiTheme="majorBidi" w:cstheme="majorBidi"/>
          <w:sz w:val="24"/>
          <w:szCs w:val="24"/>
          <w:lang w:val="en-US"/>
        </w:rPr>
        <w:t xml:space="preserve">a </w:t>
      </w:r>
      <w:r w:rsidRPr="00494151">
        <w:rPr>
          <w:rFonts w:asciiTheme="majorBidi" w:hAnsiTheme="majorBidi" w:cstheme="majorBidi"/>
          <w:sz w:val="24"/>
          <w:szCs w:val="24"/>
          <w:lang w:val="en-US"/>
        </w:rPr>
        <w:t xml:space="preserve">few countries have developed and implemented </w:t>
      </w:r>
      <w:r w:rsidR="00DF28E4" w:rsidRPr="00494151">
        <w:rPr>
          <w:rFonts w:asciiTheme="majorBidi" w:hAnsiTheme="majorBidi" w:cstheme="majorBidi"/>
          <w:sz w:val="24"/>
          <w:szCs w:val="24"/>
          <w:lang w:val="en-US"/>
        </w:rPr>
        <w:t>large-scale</w:t>
      </w:r>
      <w:r w:rsidRPr="00494151">
        <w:rPr>
          <w:rFonts w:asciiTheme="majorBidi" w:hAnsiTheme="majorBidi" w:cstheme="majorBidi"/>
          <w:sz w:val="24"/>
          <w:szCs w:val="24"/>
          <w:lang w:val="en-US"/>
        </w:rPr>
        <w:t xml:space="preserve"> interventions aimed at upgrading infrastructure in rural areas and improving </w:t>
      </w:r>
      <w:r w:rsidR="00DF28E4" w:rsidRPr="00494151">
        <w:rPr>
          <w:rFonts w:asciiTheme="majorBidi" w:hAnsiTheme="majorBidi" w:cstheme="majorBidi"/>
          <w:sz w:val="24"/>
          <w:szCs w:val="24"/>
          <w:lang w:val="en-US"/>
        </w:rPr>
        <w:t xml:space="preserve">the </w:t>
      </w:r>
      <w:r w:rsidRPr="00494151">
        <w:rPr>
          <w:rFonts w:asciiTheme="majorBidi" w:hAnsiTheme="majorBidi" w:cstheme="majorBidi"/>
          <w:sz w:val="24"/>
          <w:szCs w:val="24"/>
          <w:lang w:val="en-US"/>
        </w:rPr>
        <w:t>general living conditions of health workers in such places. Thailand, Mali</w:t>
      </w:r>
      <w:r w:rsidR="00DF28E4"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and Zambia are typical examples. Facto</w:t>
      </w:r>
      <w:r w:rsidR="00DF28E4" w:rsidRPr="00494151">
        <w:rPr>
          <w:rFonts w:asciiTheme="majorBidi" w:hAnsiTheme="majorBidi" w:cstheme="majorBidi"/>
          <w:sz w:val="24"/>
          <w:szCs w:val="24"/>
          <w:lang w:val="en-US"/>
        </w:rPr>
        <w:t>rs that rank highest in workers’</w:t>
      </w:r>
      <w:r w:rsidRPr="00494151">
        <w:rPr>
          <w:rFonts w:asciiTheme="majorBidi" w:hAnsiTheme="majorBidi" w:cstheme="majorBidi"/>
          <w:sz w:val="24"/>
          <w:szCs w:val="24"/>
          <w:lang w:val="en-US"/>
        </w:rPr>
        <w:t xml:space="preserve"> considerations of choice of location are those directly related to infrastructure and working conditions </w:t>
      </w:r>
      <w:r w:rsidR="00DF28E4" w:rsidRPr="00494151">
        <w:rPr>
          <w:rFonts w:asciiTheme="majorBidi" w:hAnsiTheme="majorBidi" w:cstheme="majorBidi"/>
          <w:sz w:val="24"/>
          <w:szCs w:val="24"/>
          <w:lang w:val="en-US"/>
        </w:rPr>
        <w:t>[20].</w:t>
      </w:r>
      <w:r w:rsidRPr="00494151">
        <w:rPr>
          <w:rFonts w:asciiTheme="majorBidi" w:hAnsiTheme="majorBidi" w:cstheme="majorBidi"/>
          <w:sz w:val="24"/>
          <w:szCs w:val="24"/>
          <w:lang w:val="en-US"/>
        </w:rPr>
        <w:t xml:space="preserve"> In Ghana</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the Ministry of Health proposed some incentives</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including a 10% benefit for accommodation, free boarding school placement for one child</w:t>
      </w:r>
      <w:r w:rsidR="00142642"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and reduced </w:t>
      </w:r>
      <w:r w:rsidR="00142642" w:rsidRPr="00494151">
        <w:rPr>
          <w:rFonts w:asciiTheme="majorBidi" w:hAnsiTheme="majorBidi" w:cstheme="majorBidi"/>
          <w:sz w:val="24"/>
          <w:szCs w:val="24"/>
          <w:lang w:val="en-US"/>
        </w:rPr>
        <w:t>years</w:t>
      </w:r>
      <w:r w:rsidRPr="00494151">
        <w:rPr>
          <w:rFonts w:asciiTheme="majorBidi" w:hAnsiTheme="majorBidi" w:cstheme="majorBidi"/>
          <w:sz w:val="24"/>
          <w:szCs w:val="24"/>
          <w:lang w:val="en-US"/>
        </w:rPr>
        <w:t xml:space="preserve"> of service before promotion</w:t>
      </w:r>
      <w:r w:rsidR="00DF28E4" w:rsidRPr="00494151">
        <w:rPr>
          <w:rFonts w:asciiTheme="majorBidi" w:hAnsiTheme="majorBidi" w:cstheme="majorBidi"/>
          <w:sz w:val="24"/>
          <w:szCs w:val="24"/>
          <w:lang w:val="en-US"/>
        </w:rPr>
        <w:t xml:space="preserve"> [21]. In a study by Snow et al [4], it was revealed that “</w:t>
      </w:r>
      <w:r w:rsidRPr="00494151">
        <w:rPr>
          <w:rFonts w:asciiTheme="majorBidi" w:hAnsiTheme="majorBidi" w:cstheme="majorBidi"/>
          <w:sz w:val="24"/>
          <w:szCs w:val="24"/>
          <w:lang w:val="en-US"/>
        </w:rPr>
        <w:t>career advancement incentives will be critical to an</w:t>
      </w:r>
      <w:r w:rsidR="00DF28E4" w:rsidRPr="00494151">
        <w:rPr>
          <w:rFonts w:asciiTheme="majorBidi" w:hAnsiTheme="majorBidi" w:cstheme="majorBidi"/>
          <w:sz w:val="24"/>
          <w:szCs w:val="24"/>
          <w:lang w:val="en-US"/>
        </w:rPr>
        <w:t>y successful incentive package.”</w:t>
      </w:r>
      <w:r w:rsidRPr="00494151">
        <w:rPr>
          <w:rFonts w:asciiTheme="majorBidi" w:hAnsiTheme="majorBidi" w:cstheme="majorBidi"/>
          <w:sz w:val="24"/>
          <w:szCs w:val="24"/>
          <w:lang w:val="en-US"/>
        </w:rPr>
        <w:t xml:space="preserve"> Proposed incentives included </w:t>
      </w:r>
      <w:r w:rsidR="0005415F" w:rsidRPr="00494151">
        <w:rPr>
          <w:rFonts w:asciiTheme="majorBidi" w:hAnsiTheme="majorBidi" w:cstheme="majorBidi"/>
          <w:sz w:val="24"/>
          <w:szCs w:val="24"/>
          <w:lang w:val="en-US"/>
        </w:rPr>
        <w:t xml:space="preserve">a </w:t>
      </w:r>
      <w:r w:rsidRPr="00494151">
        <w:rPr>
          <w:rFonts w:asciiTheme="majorBidi" w:hAnsiTheme="majorBidi" w:cstheme="majorBidi"/>
          <w:sz w:val="24"/>
          <w:szCs w:val="24"/>
          <w:lang w:val="en-US"/>
        </w:rPr>
        <w:t>guaranteed promotion or study opportunity after years of serving in hardship</w:t>
      </w:r>
      <w:r w:rsidR="00DF28E4" w:rsidRPr="00494151">
        <w:rPr>
          <w:rFonts w:asciiTheme="majorBidi" w:hAnsiTheme="majorBidi" w:cstheme="majorBidi"/>
          <w:sz w:val="24"/>
          <w:szCs w:val="24"/>
          <w:lang w:val="en-US"/>
        </w:rPr>
        <w:t xml:space="preserve"> areas.</w:t>
      </w:r>
    </w:p>
    <w:p w14:paraId="6798D6FF" w14:textId="29687607" w:rsidR="00494151" w:rsidRPr="009837BC" w:rsidRDefault="004369A8" w:rsidP="00142642">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Having laid this background, it is already evident why this study is important, because it seeks to find important underlying factors of the current trends in the c</w:t>
      </w:r>
      <w:r w:rsidR="0005415F" w:rsidRPr="00494151">
        <w:rPr>
          <w:rFonts w:asciiTheme="majorBidi" w:hAnsiTheme="majorBidi" w:cstheme="majorBidi"/>
          <w:sz w:val="24"/>
          <w:szCs w:val="24"/>
          <w:lang w:val="en-US"/>
        </w:rPr>
        <w:t>ountry at the very basic level;</w:t>
      </w:r>
      <w:r w:rsidRPr="00494151">
        <w:rPr>
          <w:rFonts w:asciiTheme="majorBidi" w:hAnsiTheme="majorBidi" w:cstheme="majorBidi"/>
          <w:sz w:val="24"/>
          <w:szCs w:val="24"/>
          <w:lang w:val="en-US"/>
        </w:rPr>
        <w:t xml:space="preserve"> young undergraduate students of medicine who are yet to join the health workforce. This study looks at the broad areas of personal factors, career prospects</w:t>
      </w:r>
      <w:r w:rsidR="0005415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remuneration</w:t>
      </w:r>
      <w:r w:rsidR="0005415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and how these affect the choices of young medics when it comes to whether to work in a rural or urban setting. This study is aimed at determining the preferences of medical students in the clinical years of their training with respect to practicing in a rural or urban setting, the factors influencing these preferences</w:t>
      </w:r>
      <w:r w:rsidR="0005415F" w:rsidRPr="00494151">
        <w:rPr>
          <w:rFonts w:asciiTheme="majorBidi" w:hAnsiTheme="majorBidi" w:cstheme="majorBidi"/>
          <w:sz w:val="24"/>
          <w:szCs w:val="24"/>
          <w:lang w:val="en-US"/>
        </w:rPr>
        <w:t>,</w:t>
      </w:r>
      <w:r w:rsidRPr="00494151">
        <w:rPr>
          <w:rFonts w:asciiTheme="majorBidi" w:hAnsiTheme="majorBidi" w:cstheme="majorBidi"/>
          <w:sz w:val="24"/>
          <w:szCs w:val="24"/>
          <w:lang w:val="en-US"/>
        </w:rPr>
        <w:t xml:space="preserve"> and possible interventions that could improve interest and retention of doctors in rural communities.</w:t>
      </w:r>
    </w:p>
    <w:p w14:paraId="6D7CE986" w14:textId="77777777" w:rsidR="00142642" w:rsidRPr="00494151" w:rsidRDefault="00142642" w:rsidP="00142642">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2.0 METHOD</w:t>
      </w:r>
    </w:p>
    <w:p w14:paraId="6C17A14E" w14:textId="77777777" w:rsidR="00263BF2" w:rsidRPr="00494151" w:rsidRDefault="005108E9" w:rsidP="00263BF2">
      <w:pPr>
        <w:spacing w:line="360" w:lineRule="auto"/>
        <w:rPr>
          <w:rFonts w:asciiTheme="majorBidi" w:hAnsiTheme="majorBidi" w:cstheme="majorBidi"/>
          <w:b/>
          <w:bCs/>
          <w:sz w:val="24"/>
          <w:szCs w:val="24"/>
          <w:lang w:val="en-US"/>
        </w:rPr>
      </w:pPr>
      <w:r w:rsidRPr="00494151">
        <w:rPr>
          <w:rFonts w:asciiTheme="majorBidi" w:hAnsiTheme="majorBidi" w:cstheme="majorBidi"/>
          <w:b/>
          <w:bCs/>
          <w:sz w:val="24"/>
          <w:szCs w:val="24"/>
          <w:lang w:val="en-US"/>
        </w:rPr>
        <w:lastRenderedPageBreak/>
        <w:t xml:space="preserve">2.1 </w:t>
      </w:r>
      <w:r w:rsidR="00263BF2" w:rsidRPr="00494151">
        <w:rPr>
          <w:rFonts w:asciiTheme="majorBidi" w:hAnsiTheme="majorBidi" w:cstheme="majorBidi"/>
          <w:b/>
          <w:bCs/>
          <w:sz w:val="24"/>
          <w:szCs w:val="24"/>
          <w:lang w:val="en-US"/>
        </w:rPr>
        <w:t>Study Design</w:t>
      </w:r>
    </w:p>
    <w:p w14:paraId="61940F44" w14:textId="77777777" w:rsidR="00263BF2" w:rsidRPr="00494151" w:rsidRDefault="00263BF2"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This study employed a cross-sectional design to assess medical students’ preferences regarding rural versus urban medical practice. A cross-sectional approach was chosen because it allowed for the efficient collection of data at a single point in time, providing a snapshot of students’ attitudes and intentions during their clinical training years [22]. This design was particularly suitable as it enabled the examination of associations between variables such as demographic characteristics, rural exposure, and career preferences without the need for long-term follow-up [23]. The choice of this design aligns with similar studies on healthcare workforce distribution, which have successfully used cross-sectional surveys to identify factors influencing practice location decisions [24].</w:t>
      </w:r>
    </w:p>
    <w:p w14:paraId="081A8D22" w14:textId="77777777" w:rsidR="00263BF2" w:rsidRPr="00494151" w:rsidRDefault="005108E9"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 xml:space="preserve">2.2 </w:t>
      </w:r>
      <w:r w:rsidR="00263BF2" w:rsidRPr="00494151">
        <w:rPr>
          <w:rFonts w:asciiTheme="majorBidi" w:hAnsiTheme="majorBidi" w:cstheme="majorBidi"/>
          <w:b/>
          <w:bCs/>
          <w:sz w:val="24"/>
          <w:szCs w:val="24"/>
          <w:lang w:val="en-US"/>
        </w:rPr>
        <w:t>Study Location and Population</w:t>
      </w:r>
    </w:p>
    <w:p w14:paraId="7DA4F444" w14:textId="77777777" w:rsidR="00263BF2" w:rsidRPr="00494151" w:rsidRDefault="00263BF2"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study was conducted at the University of Ghana Medical School (UGMS), located within the Korle Bu Teaching Hospital in Accra. This setting was</w:t>
      </w:r>
      <w:r w:rsidR="005108E9" w:rsidRPr="00494151">
        <w:rPr>
          <w:rFonts w:asciiTheme="majorBidi" w:hAnsiTheme="majorBidi" w:cstheme="majorBidi"/>
          <w:sz w:val="24"/>
          <w:szCs w:val="24"/>
          <w:lang w:val="en-US"/>
        </w:rPr>
        <w:t xml:space="preserve"> selected because UGMS is Ghana’</w:t>
      </w:r>
      <w:r w:rsidRPr="00494151">
        <w:rPr>
          <w:rFonts w:asciiTheme="majorBidi" w:hAnsiTheme="majorBidi" w:cstheme="majorBidi"/>
          <w:sz w:val="24"/>
          <w:szCs w:val="24"/>
          <w:lang w:val="en-US"/>
        </w:rPr>
        <w:t>s premier medical training institution, producing a signif</w:t>
      </w:r>
      <w:r w:rsidR="005108E9" w:rsidRPr="00494151">
        <w:rPr>
          <w:rFonts w:asciiTheme="majorBidi" w:hAnsiTheme="majorBidi" w:cstheme="majorBidi"/>
          <w:sz w:val="24"/>
          <w:szCs w:val="24"/>
          <w:lang w:val="en-US"/>
        </w:rPr>
        <w:t>icant proportion of the country’</w:t>
      </w:r>
      <w:r w:rsidRPr="00494151">
        <w:rPr>
          <w:rFonts w:asciiTheme="majorBidi" w:hAnsiTheme="majorBidi" w:cstheme="majorBidi"/>
          <w:sz w:val="24"/>
          <w:szCs w:val="24"/>
          <w:lang w:val="en-US"/>
        </w:rPr>
        <w:t>s doctors. The target population comprised medical students in their clinical years (third, fourth, and fifth years) of study. These students were chosen because their clinical exposure provided them with sufficient experience to form informed opinions a</w:t>
      </w:r>
      <w:r w:rsidR="005108E9" w:rsidRPr="00494151">
        <w:rPr>
          <w:rFonts w:asciiTheme="majorBidi" w:hAnsiTheme="majorBidi" w:cstheme="majorBidi"/>
          <w:sz w:val="24"/>
          <w:szCs w:val="24"/>
          <w:lang w:val="en-US"/>
        </w:rPr>
        <w:t>bout future practice locations</w:t>
      </w:r>
      <w:r w:rsidRPr="00494151">
        <w:rPr>
          <w:rFonts w:asciiTheme="majorBidi" w:hAnsiTheme="majorBidi" w:cstheme="majorBidi"/>
          <w:sz w:val="24"/>
          <w:szCs w:val="24"/>
          <w:lang w:val="en-US"/>
        </w:rPr>
        <w:t>. At the time of data collection, the total population of clinical-year students was 602.</w:t>
      </w:r>
    </w:p>
    <w:p w14:paraId="3C3BC745" w14:textId="77777777" w:rsidR="00263BF2" w:rsidRPr="00494151" w:rsidRDefault="005108E9"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 xml:space="preserve">2.3 </w:t>
      </w:r>
      <w:r w:rsidR="00263BF2" w:rsidRPr="00494151">
        <w:rPr>
          <w:rFonts w:asciiTheme="majorBidi" w:hAnsiTheme="majorBidi" w:cstheme="majorBidi"/>
          <w:b/>
          <w:bCs/>
          <w:sz w:val="24"/>
          <w:szCs w:val="24"/>
          <w:lang w:val="en-US"/>
        </w:rPr>
        <w:t>Sampling Technique and Sample Size</w:t>
      </w:r>
    </w:p>
    <w:p w14:paraId="5C587190" w14:textId="77777777" w:rsidR="00263BF2" w:rsidRPr="00494151" w:rsidRDefault="00263BF2"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 xml:space="preserve">A quota sampling method was used to ensure equal representation across the three clinical years. Fifty students were selected from each year group, resulting in a total sample size of 150 students. Quota sampling was preferred because it guaranteed balanced representation from all clinical levels, allowing for comparisons across different stages of training </w:t>
      </w:r>
      <w:r w:rsidR="005108E9" w:rsidRPr="00494151">
        <w:rPr>
          <w:rFonts w:asciiTheme="majorBidi" w:hAnsiTheme="majorBidi" w:cstheme="majorBidi"/>
          <w:sz w:val="24"/>
          <w:szCs w:val="24"/>
          <w:lang w:val="en-US"/>
        </w:rPr>
        <w:t>[25].</w:t>
      </w:r>
    </w:p>
    <w:p w14:paraId="3CB7B62F" w14:textId="77777777" w:rsidR="00263BF2" w:rsidRPr="00494151" w:rsidRDefault="00263BF2"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Inclusion and Exclusion Criteria</w:t>
      </w:r>
    </w:p>
    <w:p w14:paraId="6ED4F9C5" w14:textId="77777777" w:rsidR="00263BF2" w:rsidRPr="00494151" w:rsidRDefault="00263BF2"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study included:</w:t>
      </w:r>
    </w:p>
    <w:p w14:paraId="7B7EEC74" w14:textId="77777777" w:rsidR="00263BF2" w:rsidRPr="00494151" w:rsidRDefault="00263BF2" w:rsidP="00494151">
      <w:pPr>
        <w:pStyle w:val="ListParagraph"/>
        <w:numPr>
          <w:ilvl w:val="0"/>
          <w:numId w:val="1"/>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Medical students in their first, second, or third clinical year (equivalent to third, fourth, and fifth years of the MBChB program).</w:t>
      </w:r>
    </w:p>
    <w:p w14:paraId="4F4221F0" w14:textId="77777777" w:rsidR="00263BF2" w:rsidRPr="00494151" w:rsidRDefault="00263BF2" w:rsidP="00494151">
      <w:pPr>
        <w:pStyle w:val="ListParagraph"/>
        <w:numPr>
          <w:ilvl w:val="0"/>
          <w:numId w:val="1"/>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Ghanaian students, as the study focused on domestic workforce distribution.</w:t>
      </w:r>
    </w:p>
    <w:p w14:paraId="371CE182" w14:textId="77777777" w:rsidR="005108E9" w:rsidRPr="00494151" w:rsidRDefault="005108E9"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lastRenderedPageBreak/>
        <w:t>Exclusion Criteria</w:t>
      </w:r>
    </w:p>
    <w:p w14:paraId="6A041296" w14:textId="77777777" w:rsidR="005108E9" w:rsidRPr="00494151" w:rsidRDefault="005108E9" w:rsidP="00494151">
      <w:pPr>
        <w:pStyle w:val="ListParagraph"/>
        <w:numPr>
          <w:ilvl w:val="0"/>
          <w:numId w:val="2"/>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Medical students in basic science or paraclinical years</w:t>
      </w:r>
    </w:p>
    <w:p w14:paraId="394A06F1" w14:textId="77777777" w:rsidR="00263BF2" w:rsidRPr="00494151" w:rsidRDefault="005108E9" w:rsidP="00494151">
      <w:pPr>
        <w:pStyle w:val="ListParagraph"/>
        <w:numPr>
          <w:ilvl w:val="0"/>
          <w:numId w:val="2"/>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Non-Ghanaian medical students</w:t>
      </w:r>
    </w:p>
    <w:p w14:paraId="67F92E74" w14:textId="77777777" w:rsidR="00263BF2" w:rsidRPr="00494151" w:rsidRDefault="005108E9"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 xml:space="preserve">2.4 </w:t>
      </w:r>
      <w:r w:rsidR="00263BF2" w:rsidRPr="00494151">
        <w:rPr>
          <w:rFonts w:asciiTheme="majorBidi" w:hAnsiTheme="majorBidi" w:cstheme="majorBidi"/>
          <w:b/>
          <w:bCs/>
          <w:sz w:val="24"/>
          <w:szCs w:val="24"/>
          <w:lang w:val="en-US"/>
        </w:rPr>
        <w:t>Data Collection Tools and Procedures</w:t>
      </w:r>
    </w:p>
    <w:p w14:paraId="5D780F5A" w14:textId="77777777" w:rsidR="00263BF2" w:rsidRPr="00494151" w:rsidRDefault="00263BF2"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Data were collected using a structured questionnaire containing 18 questions. The instrument captured:</w:t>
      </w:r>
    </w:p>
    <w:p w14:paraId="61F1C928" w14:textId="77777777" w:rsidR="00263BF2" w:rsidRPr="00494151" w:rsidRDefault="00263BF2" w:rsidP="00494151">
      <w:pPr>
        <w:pStyle w:val="ListParagraph"/>
        <w:numPr>
          <w:ilvl w:val="0"/>
          <w:numId w:val="3"/>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Demographic information: Age, sex, class, and marital status.</w:t>
      </w:r>
    </w:p>
    <w:p w14:paraId="13BEFF17" w14:textId="77777777" w:rsidR="00263BF2" w:rsidRPr="00494151" w:rsidRDefault="00263BF2" w:rsidP="00494151">
      <w:pPr>
        <w:pStyle w:val="ListParagraph"/>
        <w:numPr>
          <w:ilvl w:val="0"/>
          <w:numId w:val="3"/>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Rural exposure: Previous living experiences and clinical rotations in rural areas.</w:t>
      </w:r>
    </w:p>
    <w:p w14:paraId="214CDCFD" w14:textId="77777777" w:rsidR="00263BF2" w:rsidRPr="00494151" w:rsidRDefault="00263BF2" w:rsidP="00494151">
      <w:pPr>
        <w:pStyle w:val="ListParagraph"/>
        <w:numPr>
          <w:ilvl w:val="0"/>
          <w:numId w:val="3"/>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Career plans: Postgraduate aspirations and preferences for public or private practice.</w:t>
      </w:r>
    </w:p>
    <w:p w14:paraId="1CC6A244" w14:textId="77777777" w:rsidR="00263BF2" w:rsidRPr="00494151" w:rsidRDefault="00263BF2" w:rsidP="00494151">
      <w:pPr>
        <w:pStyle w:val="ListParagraph"/>
        <w:numPr>
          <w:ilvl w:val="0"/>
          <w:numId w:val="3"/>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Motivational factors: Rankings of factors influencing practice location choices (e.g., salary, working conditions, career development).</w:t>
      </w:r>
    </w:p>
    <w:p w14:paraId="0B4BC1B4" w14:textId="77777777" w:rsidR="00263BF2" w:rsidRPr="00494151" w:rsidRDefault="00B17EA6"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Trained</w:t>
      </w:r>
      <w:r w:rsidR="00263BF2" w:rsidRPr="00494151">
        <w:rPr>
          <w:rFonts w:asciiTheme="majorBidi" w:hAnsiTheme="majorBidi" w:cstheme="majorBidi"/>
          <w:sz w:val="24"/>
          <w:szCs w:val="24"/>
          <w:lang w:val="en-US"/>
        </w:rPr>
        <w:t xml:space="preserve"> facilitators administered the questionnaires during school hours at lecture halls and clinical wards. The facilitators underwent a one-da</w:t>
      </w:r>
      <w:r w:rsidRPr="00494151">
        <w:rPr>
          <w:rFonts w:asciiTheme="majorBidi" w:hAnsiTheme="majorBidi" w:cstheme="majorBidi"/>
          <w:sz w:val="24"/>
          <w:szCs w:val="24"/>
          <w:lang w:val="en-US"/>
        </w:rPr>
        <w:t xml:space="preserve">y training session to </w:t>
      </w:r>
      <w:proofErr w:type="spellStart"/>
      <w:r w:rsidRPr="00494151">
        <w:rPr>
          <w:rFonts w:asciiTheme="majorBidi" w:hAnsiTheme="majorBidi" w:cstheme="majorBidi"/>
          <w:sz w:val="24"/>
          <w:szCs w:val="24"/>
          <w:lang w:val="en-US"/>
        </w:rPr>
        <w:t>standardis</w:t>
      </w:r>
      <w:r w:rsidR="00263BF2" w:rsidRPr="00494151">
        <w:rPr>
          <w:rFonts w:asciiTheme="majorBidi" w:hAnsiTheme="majorBidi" w:cstheme="majorBidi"/>
          <w:sz w:val="24"/>
          <w:szCs w:val="24"/>
          <w:lang w:val="en-US"/>
        </w:rPr>
        <w:t>e</w:t>
      </w:r>
      <w:proofErr w:type="spellEnd"/>
      <w:r w:rsidR="00263BF2" w:rsidRPr="00494151">
        <w:rPr>
          <w:rFonts w:asciiTheme="majorBidi" w:hAnsiTheme="majorBidi" w:cstheme="majorBidi"/>
          <w:sz w:val="24"/>
          <w:szCs w:val="24"/>
          <w:lang w:val="en-US"/>
        </w:rPr>
        <w:t xml:space="preserve"> data c</w:t>
      </w:r>
      <w:r w:rsidRPr="00494151">
        <w:rPr>
          <w:rFonts w:asciiTheme="majorBidi" w:hAnsiTheme="majorBidi" w:cstheme="majorBidi"/>
          <w:sz w:val="24"/>
          <w:szCs w:val="24"/>
          <w:lang w:val="en-US"/>
        </w:rPr>
        <w:t xml:space="preserve">ollection procedures and </w:t>
      </w:r>
      <w:proofErr w:type="spellStart"/>
      <w:r w:rsidRPr="00494151">
        <w:rPr>
          <w:rFonts w:asciiTheme="majorBidi" w:hAnsiTheme="majorBidi" w:cstheme="majorBidi"/>
          <w:sz w:val="24"/>
          <w:szCs w:val="24"/>
          <w:lang w:val="en-US"/>
        </w:rPr>
        <w:t>minimis</w:t>
      </w:r>
      <w:r w:rsidR="00263BF2" w:rsidRPr="00494151">
        <w:rPr>
          <w:rFonts w:asciiTheme="majorBidi" w:hAnsiTheme="majorBidi" w:cstheme="majorBidi"/>
          <w:sz w:val="24"/>
          <w:szCs w:val="24"/>
          <w:lang w:val="en-US"/>
        </w:rPr>
        <w:t>e</w:t>
      </w:r>
      <w:proofErr w:type="spellEnd"/>
      <w:r w:rsidR="00263BF2" w:rsidRPr="00494151">
        <w:rPr>
          <w:rFonts w:asciiTheme="majorBidi" w:hAnsiTheme="majorBidi" w:cstheme="majorBidi"/>
          <w:sz w:val="24"/>
          <w:szCs w:val="24"/>
          <w:lang w:val="en-US"/>
        </w:rPr>
        <w:t xml:space="preserve"> bias. No incentives were provided to participants to avoid coercion.</w:t>
      </w:r>
    </w:p>
    <w:p w14:paraId="7452D64D" w14:textId="77777777" w:rsidR="00263BF2" w:rsidRPr="00494151" w:rsidRDefault="00B17EA6"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 xml:space="preserve">2.5 </w:t>
      </w:r>
      <w:r w:rsidR="00263BF2" w:rsidRPr="00494151">
        <w:rPr>
          <w:rFonts w:asciiTheme="majorBidi" w:hAnsiTheme="majorBidi" w:cstheme="majorBidi"/>
          <w:b/>
          <w:bCs/>
          <w:sz w:val="24"/>
          <w:szCs w:val="24"/>
          <w:lang w:val="en-US"/>
        </w:rPr>
        <w:t>Variables and Measurements</w:t>
      </w:r>
    </w:p>
    <w:p w14:paraId="28F445DB" w14:textId="77777777" w:rsidR="00263BF2" w:rsidRPr="00494151" w:rsidRDefault="00263BF2" w:rsidP="00494151">
      <w:pPr>
        <w:pStyle w:val="ListParagraph"/>
        <w:numPr>
          <w:ilvl w:val="0"/>
          <w:numId w:val="4"/>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Independent variables: Demographic characteristics (age, sex, class), rural experience (residence, clinical attachments), and career plans.</w:t>
      </w:r>
    </w:p>
    <w:p w14:paraId="3E289C07" w14:textId="77777777" w:rsidR="00263BF2" w:rsidRPr="00494151" w:rsidRDefault="00263BF2" w:rsidP="00494151">
      <w:pPr>
        <w:pStyle w:val="ListParagraph"/>
        <w:numPr>
          <w:ilvl w:val="0"/>
          <w:numId w:val="4"/>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Dependent variables: Preferences for rural or urban practice, ranked factors influencing location choices (rated on a 5-point scale, where 1 = most important).</w:t>
      </w:r>
    </w:p>
    <w:p w14:paraId="36F69E99" w14:textId="77777777" w:rsidR="00263BF2" w:rsidRPr="00494151" w:rsidRDefault="00263BF2" w:rsidP="00494151">
      <w:pPr>
        <w:spacing w:line="360" w:lineRule="auto"/>
        <w:jc w:val="both"/>
        <w:rPr>
          <w:rFonts w:asciiTheme="majorBidi" w:hAnsiTheme="majorBidi" w:cstheme="majorBidi"/>
          <w:sz w:val="24"/>
          <w:szCs w:val="24"/>
          <w:lang w:val="en-US"/>
        </w:rPr>
      </w:pPr>
    </w:p>
    <w:p w14:paraId="2E2F1632" w14:textId="77777777" w:rsidR="007F5309" w:rsidRPr="00494151" w:rsidRDefault="007F5309" w:rsidP="00494151">
      <w:pPr>
        <w:spacing w:line="360" w:lineRule="auto"/>
        <w:jc w:val="both"/>
        <w:rPr>
          <w:rFonts w:asciiTheme="majorBidi" w:hAnsiTheme="majorBidi" w:cstheme="majorBidi"/>
          <w:sz w:val="24"/>
          <w:szCs w:val="24"/>
          <w:lang w:val="en-US"/>
        </w:rPr>
      </w:pPr>
    </w:p>
    <w:p w14:paraId="5F7341FF" w14:textId="77777777" w:rsidR="00263BF2" w:rsidRPr="00494151" w:rsidRDefault="007F5309"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 xml:space="preserve">2.6 </w:t>
      </w:r>
      <w:r w:rsidR="00263BF2" w:rsidRPr="00494151">
        <w:rPr>
          <w:rFonts w:asciiTheme="majorBidi" w:hAnsiTheme="majorBidi" w:cstheme="majorBidi"/>
          <w:b/>
          <w:bCs/>
          <w:sz w:val="24"/>
          <w:szCs w:val="24"/>
          <w:lang w:val="en-US"/>
        </w:rPr>
        <w:t>Data Analysis</w:t>
      </w:r>
    </w:p>
    <w:p w14:paraId="63B7B890" w14:textId="77777777" w:rsidR="00263BF2" w:rsidRPr="00494151" w:rsidRDefault="007F5309"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 xml:space="preserve">Data were </w:t>
      </w:r>
      <w:proofErr w:type="spellStart"/>
      <w:r w:rsidRPr="00494151">
        <w:rPr>
          <w:rFonts w:asciiTheme="majorBidi" w:hAnsiTheme="majorBidi" w:cstheme="majorBidi"/>
          <w:sz w:val="24"/>
          <w:szCs w:val="24"/>
          <w:lang w:val="en-US"/>
        </w:rPr>
        <w:t>analys</w:t>
      </w:r>
      <w:r w:rsidR="00263BF2" w:rsidRPr="00494151">
        <w:rPr>
          <w:rFonts w:asciiTheme="majorBidi" w:hAnsiTheme="majorBidi" w:cstheme="majorBidi"/>
          <w:sz w:val="24"/>
          <w:szCs w:val="24"/>
          <w:lang w:val="en-US"/>
        </w:rPr>
        <w:t>ed</w:t>
      </w:r>
      <w:proofErr w:type="spellEnd"/>
      <w:r w:rsidR="00263BF2" w:rsidRPr="00494151">
        <w:rPr>
          <w:rFonts w:asciiTheme="majorBidi" w:hAnsiTheme="majorBidi" w:cstheme="majorBidi"/>
          <w:sz w:val="24"/>
          <w:szCs w:val="24"/>
          <w:lang w:val="en-US"/>
        </w:rPr>
        <w:t xml:space="preserve"> using SPSS version 20.0. Descriptive statistics (frequencies, percentages, means, and standard deviations) summarized demographic and preference data. Pearson’s chi-square test examined associations between demographic variables and practice location preferences, with s</w:t>
      </w:r>
      <w:r w:rsidRPr="00494151">
        <w:rPr>
          <w:rFonts w:asciiTheme="majorBidi" w:hAnsiTheme="majorBidi" w:cstheme="majorBidi"/>
          <w:sz w:val="24"/>
          <w:szCs w:val="24"/>
          <w:lang w:val="en-US"/>
        </w:rPr>
        <w:t>tatistical significance set at p</w:t>
      </w:r>
      <w:r w:rsidR="00263BF2" w:rsidRPr="00494151">
        <w:rPr>
          <w:rFonts w:asciiTheme="majorBidi" w:hAnsiTheme="majorBidi" w:cstheme="majorBidi"/>
          <w:sz w:val="24"/>
          <w:szCs w:val="24"/>
          <w:lang w:val="en-US"/>
        </w:rPr>
        <w:t xml:space="preserve"> &lt; 0.05. </w:t>
      </w:r>
      <w:r w:rsidRPr="00494151">
        <w:rPr>
          <w:rFonts w:asciiTheme="majorBidi" w:hAnsiTheme="majorBidi" w:cstheme="majorBidi"/>
          <w:sz w:val="24"/>
          <w:szCs w:val="24"/>
          <w:lang w:val="en-US"/>
        </w:rPr>
        <w:t xml:space="preserve">Open-ended responses were </w:t>
      </w:r>
      <w:proofErr w:type="spellStart"/>
      <w:r w:rsidRPr="00494151">
        <w:rPr>
          <w:rFonts w:asciiTheme="majorBidi" w:hAnsiTheme="majorBidi" w:cstheme="majorBidi"/>
          <w:sz w:val="24"/>
          <w:szCs w:val="24"/>
          <w:lang w:val="en-US"/>
        </w:rPr>
        <w:t>analys</w:t>
      </w:r>
      <w:r w:rsidR="00263BF2" w:rsidRPr="00494151">
        <w:rPr>
          <w:rFonts w:asciiTheme="majorBidi" w:hAnsiTheme="majorBidi" w:cstheme="majorBidi"/>
          <w:sz w:val="24"/>
          <w:szCs w:val="24"/>
          <w:lang w:val="en-US"/>
        </w:rPr>
        <w:t>ed</w:t>
      </w:r>
      <w:proofErr w:type="spellEnd"/>
      <w:r w:rsidR="00263BF2" w:rsidRPr="00494151">
        <w:rPr>
          <w:rFonts w:asciiTheme="majorBidi" w:hAnsiTheme="majorBidi" w:cstheme="majorBidi"/>
          <w:sz w:val="24"/>
          <w:szCs w:val="24"/>
          <w:lang w:val="en-US"/>
        </w:rPr>
        <w:t xml:space="preserve"> thematically.</w:t>
      </w:r>
    </w:p>
    <w:p w14:paraId="1A305FDB" w14:textId="77777777" w:rsidR="00263BF2" w:rsidRPr="00494151" w:rsidRDefault="00263BF2"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lastRenderedPageBreak/>
        <w:t>Quality Control</w:t>
      </w:r>
    </w:p>
    <w:p w14:paraId="4CDA0B7B" w14:textId="77777777" w:rsidR="00263BF2" w:rsidRPr="00494151" w:rsidRDefault="00263BF2"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To ensure reliability:</w:t>
      </w:r>
    </w:p>
    <w:p w14:paraId="63F74CFE" w14:textId="77777777" w:rsidR="00263BF2" w:rsidRPr="00494151" w:rsidRDefault="00263BF2" w:rsidP="00494151">
      <w:pPr>
        <w:pStyle w:val="ListParagraph"/>
        <w:numPr>
          <w:ilvl w:val="0"/>
          <w:numId w:val="5"/>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questionnaire was pre-tested and refined.</w:t>
      </w:r>
    </w:p>
    <w:p w14:paraId="215187EA" w14:textId="77777777" w:rsidR="00263BF2" w:rsidRPr="00494151" w:rsidRDefault="00263BF2" w:rsidP="00494151">
      <w:pPr>
        <w:pStyle w:val="ListParagraph"/>
        <w:numPr>
          <w:ilvl w:val="0"/>
          <w:numId w:val="5"/>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Facilitators were trained and monitored.</w:t>
      </w:r>
    </w:p>
    <w:p w14:paraId="4FD7D51A" w14:textId="77777777" w:rsidR="00263BF2" w:rsidRPr="00494151" w:rsidRDefault="00263BF2" w:rsidP="00494151">
      <w:pPr>
        <w:pStyle w:val="ListParagraph"/>
        <w:numPr>
          <w:ilvl w:val="0"/>
          <w:numId w:val="5"/>
        </w:num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Data entry was performed twice to verify accuracy.</w:t>
      </w:r>
    </w:p>
    <w:p w14:paraId="26173005" w14:textId="77777777" w:rsidR="00263BF2" w:rsidRPr="00494151" w:rsidRDefault="007F5309"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 xml:space="preserve">2.7 </w:t>
      </w:r>
      <w:r w:rsidR="00263BF2" w:rsidRPr="00494151">
        <w:rPr>
          <w:rFonts w:asciiTheme="majorBidi" w:hAnsiTheme="majorBidi" w:cstheme="majorBidi"/>
          <w:b/>
          <w:bCs/>
          <w:sz w:val="24"/>
          <w:szCs w:val="24"/>
          <w:lang w:val="en-US"/>
        </w:rPr>
        <w:t>Ethical Considerations</w:t>
      </w:r>
    </w:p>
    <w:p w14:paraId="629A0708" w14:textId="77777777" w:rsidR="007F5309" w:rsidRPr="00494151" w:rsidRDefault="002173D4"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study does not require any formal ethical approval</w:t>
      </w:r>
      <w:r w:rsidR="007F5309" w:rsidRPr="00494151">
        <w:rPr>
          <w:rFonts w:asciiTheme="majorBidi" w:hAnsiTheme="majorBidi" w:cstheme="majorBidi"/>
          <w:sz w:val="24"/>
          <w:szCs w:val="24"/>
          <w:lang w:val="en-US"/>
        </w:rPr>
        <w:t>, as no formal ethics committee review was required for this academic exercise. All participants provided written informed consent after receiving comple</w:t>
      </w:r>
      <w:r w:rsidRPr="00494151">
        <w:rPr>
          <w:rFonts w:asciiTheme="majorBidi" w:hAnsiTheme="majorBidi" w:cstheme="majorBidi"/>
          <w:sz w:val="24"/>
          <w:szCs w:val="24"/>
          <w:lang w:val="en-US"/>
        </w:rPr>
        <w:t>te explanations about the study’</w:t>
      </w:r>
      <w:r w:rsidR="007F5309" w:rsidRPr="00494151">
        <w:rPr>
          <w:rFonts w:asciiTheme="majorBidi" w:hAnsiTheme="majorBidi" w:cstheme="majorBidi"/>
          <w:sz w:val="24"/>
          <w:szCs w:val="24"/>
          <w:lang w:val="en-US"/>
        </w:rPr>
        <w:t>s purpose and their rights as particip</w:t>
      </w:r>
      <w:r w:rsidRPr="00494151">
        <w:rPr>
          <w:rFonts w:asciiTheme="majorBidi" w:hAnsiTheme="majorBidi" w:cstheme="majorBidi"/>
          <w:sz w:val="24"/>
          <w:szCs w:val="24"/>
          <w:lang w:val="en-US"/>
        </w:rPr>
        <w:t xml:space="preserve">ants. The consent forms </w:t>
      </w:r>
      <w:proofErr w:type="spellStart"/>
      <w:r w:rsidRPr="00494151">
        <w:rPr>
          <w:rFonts w:asciiTheme="majorBidi" w:hAnsiTheme="majorBidi" w:cstheme="majorBidi"/>
          <w:sz w:val="24"/>
          <w:szCs w:val="24"/>
          <w:lang w:val="en-US"/>
        </w:rPr>
        <w:t>emphasis</w:t>
      </w:r>
      <w:r w:rsidR="007F5309" w:rsidRPr="00494151">
        <w:rPr>
          <w:rFonts w:asciiTheme="majorBidi" w:hAnsiTheme="majorBidi" w:cstheme="majorBidi"/>
          <w:sz w:val="24"/>
          <w:szCs w:val="24"/>
          <w:lang w:val="en-US"/>
        </w:rPr>
        <w:t>ed</w:t>
      </w:r>
      <w:proofErr w:type="spellEnd"/>
      <w:r w:rsidR="007F5309" w:rsidRPr="00494151">
        <w:rPr>
          <w:rFonts w:asciiTheme="majorBidi" w:hAnsiTheme="majorBidi" w:cstheme="majorBidi"/>
          <w:sz w:val="24"/>
          <w:szCs w:val="24"/>
          <w:lang w:val="en-US"/>
        </w:rPr>
        <w:t xml:space="preserve"> voluntary participation, with students free to withdraw at any time without consequence.</w:t>
      </w:r>
    </w:p>
    <w:p w14:paraId="75882758" w14:textId="77777777" w:rsidR="00946F38" w:rsidRPr="00494151" w:rsidRDefault="00946F38"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3.0 RESULTS</w:t>
      </w:r>
    </w:p>
    <w:p w14:paraId="035A44C6" w14:textId="77777777" w:rsidR="00490A9E" w:rsidRPr="00494151" w:rsidRDefault="00490A9E"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study yielded important findings across four key areas: demographic characteristics of respondents, rural experiences, career development plans, and factors influencing practice location choices. These results provide valuable insights into medical students’ preferences regarding rural versus urban medical practice.</w:t>
      </w:r>
    </w:p>
    <w:p w14:paraId="390CFF53" w14:textId="77777777" w:rsidR="00946F38" w:rsidRPr="00494151" w:rsidRDefault="00490A9E" w:rsidP="00494151">
      <w:pPr>
        <w:spacing w:line="360" w:lineRule="auto"/>
        <w:jc w:val="both"/>
        <w:rPr>
          <w:rFonts w:asciiTheme="majorBidi" w:hAnsiTheme="majorBidi" w:cstheme="majorBidi"/>
          <w:b/>
          <w:bCs/>
          <w:sz w:val="24"/>
          <w:szCs w:val="24"/>
          <w:lang w:val="en-US"/>
        </w:rPr>
      </w:pPr>
      <w:r w:rsidRPr="00494151">
        <w:rPr>
          <w:rFonts w:asciiTheme="majorBidi" w:hAnsiTheme="majorBidi" w:cstheme="majorBidi"/>
          <w:b/>
          <w:bCs/>
          <w:sz w:val="24"/>
          <w:szCs w:val="24"/>
          <w:lang w:val="en-US"/>
        </w:rPr>
        <w:t>3.1 Demographic Characteristics</w:t>
      </w:r>
    </w:p>
    <w:p w14:paraId="42ABF11D" w14:textId="77777777" w:rsidR="00B660D9" w:rsidRPr="00494151" w:rsidRDefault="00B660D9"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The study surveyed 150 clinical-year medical students from the University of Ghana Medical School. The respondents’ ages ranged from 19 to 29 years, with a mean age of 22.7 ± 1.74 years. The majority (82%) fell within the 21-23 age group, while smaller proportions were aged 18-20 (2%), 24-26 (9.3%), and 27-29 years (6.7%). This distribution reflects the typical age range of medical students in their clinical training years.</w:t>
      </w:r>
    </w:p>
    <w:p w14:paraId="594DB6D5" w14:textId="77777777" w:rsidR="00B660D9" w:rsidRPr="00494151" w:rsidRDefault="00B660D9"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Regarding sex distribution, male students slightly outnumbered females (53.3% vs. 46.7%), consistent with historical enrollment patterns in Ghanaian medical schools. The sample included equal representation across class years due to the quota sampling method with 50 students each from the first (33.3%), second (33.3%), and third (33.3%) clinical years.</w:t>
      </w:r>
    </w:p>
    <w:p w14:paraId="156BE64B" w14:textId="77777777" w:rsidR="00490A9E" w:rsidRPr="00494151" w:rsidRDefault="00B660D9" w:rsidP="00494151">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lastRenderedPageBreak/>
        <w:t xml:space="preserve">Marital status data revealed that nearly all respondents (96%) were single, with only 4% married and no divorced or widowed participants. This predominance of single students is expected given their stage in professional training and typical age range. </w:t>
      </w:r>
      <w:r w:rsidR="00490A9E" w:rsidRPr="00494151">
        <w:rPr>
          <w:rFonts w:asciiTheme="majorBidi" w:hAnsiTheme="majorBidi" w:cstheme="majorBidi"/>
          <w:sz w:val="24"/>
          <w:szCs w:val="24"/>
          <w:lang w:val="en-US"/>
        </w:rPr>
        <w:t>(Table 1).</w:t>
      </w:r>
    </w:p>
    <w:tbl>
      <w:tblPr>
        <w:tblW w:w="5000" w:type="pct"/>
        <w:tblLook w:val="04A0" w:firstRow="1" w:lastRow="0" w:firstColumn="1" w:lastColumn="0" w:noHBand="0" w:noVBand="1"/>
      </w:tblPr>
      <w:tblGrid>
        <w:gridCol w:w="2971"/>
        <w:gridCol w:w="3443"/>
        <w:gridCol w:w="2936"/>
      </w:tblGrid>
      <w:tr w:rsidR="00490A9E" w:rsidRPr="00494151" w14:paraId="1659415D" w14:textId="77777777" w:rsidTr="00490A9E">
        <w:trPr>
          <w:trHeight w:val="162"/>
        </w:trPr>
        <w:tc>
          <w:tcPr>
            <w:tcW w:w="5000" w:type="pct"/>
            <w:gridSpan w:val="3"/>
            <w:tcBorders>
              <w:top w:val="single" w:sz="4" w:space="0" w:color="auto"/>
              <w:left w:val="single" w:sz="4" w:space="0" w:color="auto"/>
              <w:bottom w:val="single" w:sz="4" w:space="0" w:color="auto"/>
              <w:right w:val="single" w:sz="4" w:space="0" w:color="auto"/>
            </w:tcBorders>
            <w:noWrap/>
            <w:vAlign w:val="bottom"/>
          </w:tcPr>
          <w:p w14:paraId="676E87B6" w14:textId="77777777" w:rsidR="00490A9E" w:rsidRPr="00494151" w:rsidRDefault="00490A9E" w:rsidP="00490A9E">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Table 1: Demographic Characteristics</w:t>
            </w:r>
          </w:p>
        </w:tc>
      </w:tr>
      <w:tr w:rsidR="00490A9E" w:rsidRPr="00494151" w14:paraId="4E647F0C" w14:textId="77777777" w:rsidTr="00490A9E">
        <w:trPr>
          <w:trHeight w:val="162"/>
        </w:trPr>
        <w:tc>
          <w:tcPr>
            <w:tcW w:w="1589" w:type="pct"/>
            <w:tcBorders>
              <w:top w:val="single" w:sz="4" w:space="0" w:color="auto"/>
              <w:left w:val="single" w:sz="4" w:space="0" w:color="auto"/>
              <w:bottom w:val="single" w:sz="4" w:space="0" w:color="auto"/>
              <w:right w:val="single" w:sz="4" w:space="0" w:color="auto"/>
            </w:tcBorders>
            <w:noWrap/>
            <w:vAlign w:val="bottom"/>
            <w:hideMark/>
          </w:tcPr>
          <w:p w14:paraId="792D4401" w14:textId="77777777" w:rsidR="00490A9E" w:rsidRPr="00494151" w:rsidRDefault="00490A9E">
            <w:pPr>
              <w:spacing w:after="0" w:line="360" w:lineRule="auto"/>
              <w:jc w:val="both"/>
              <w:rPr>
                <w:rFonts w:asciiTheme="majorBidi" w:eastAsia="Times New Roman" w:hAnsiTheme="majorBidi" w:cstheme="majorBidi"/>
                <w:b/>
                <w:bCs/>
                <w:color w:val="000000"/>
                <w:sz w:val="24"/>
                <w:szCs w:val="24"/>
                <w:lang w:val="en-US"/>
              </w:rPr>
            </w:pPr>
            <w:r w:rsidRPr="00494151">
              <w:rPr>
                <w:rFonts w:asciiTheme="majorBidi" w:eastAsia="Times New Roman" w:hAnsiTheme="majorBidi" w:cstheme="majorBidi"/>
                <w:b/>
                <w:bCs/>
                <w:color w:val="000000"/>
                <w:sz w:val="24"/>
                <w:szCs w:val="24"/>
              </w:rPr>
              <w:t>Age group</w:t>
            </w:r>
          </w:p>
        </w:tc>
        <w:tc>
          <w:tcPr>
            <w:tcW w:w="1841" w:type="pct"/>
            <w:tcBorders>
              <w:top w:val="single" w:sz="4" w:space="0" w:color="auto"/>
              <w:left w:val="nil"/>
              <w:bottom w:val="single" w:sz="4" w:space="0" w:color="auto"/>
              <w:right w:val="single" w:sz="4" w:space="0" w:color="auto"/>
            </w:tcBorders>
            <w:noWrap/>
            <w:vAlign w:val="bottom"/>
            <w:hideMark/>
          </w:tcPr>
          <w:p w14:paraId="5896D58B" w14:textId="77777777" w:rsidR="00490A9E" w:rsidRPr="00494151" w:rsidRDefault="00490A9E">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Frequency</w:t>
            </w:r>
          </w:p>
        </w:tc>
        <w:tc>
          <w:tcPr>
            <w:tcW w:w="1570" w:type="pct"/>
            <w:tcBorders>
              <w:top w:val="single" w:sz="4" w:space="0" w:color="auto"/>
              <w:left w:val="nil"/>
              <w:bottom w:val="single" w:sz="4" w:space="0" w:color="auto"/>
              <w:right w:val="single" w:sz="4" w:space="0" w:color="auto"/>
            </w:tcBorders>
            <w:noWrap/>
            <w:vAlign w:val="bottom"/>
            <w:hideMark/>
          </w:tcPr>
          <w:p w14:paraId="2D8B2704" w14:textId="77777777" w:rsidR="00490A9E" w:rsidRPr="00494151" w:rsidRDefault="00490A9E">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Percentage (%)</w:t>
            </w:r>
          </w:p>
        </w:tc>
      </w:tr>
      <w:tr w:rsidR="00490A9E" w:rsidRPr="00494151" w14:paraId="470AF18F"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006ACADA"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18-20</w:t>
            </w:r>
          </w:p>
        </w:tc>
        <w:tc>
          <w:tcPr>
            <w:tcW w:w="1841" w:type="pct"/>
            <w:tcBorders>
              <w:top w:val="nil"/>
              <w:left w:val="nil"/>
              <w:bottom w:val="single" w:sz="4" w:space="0" w:color="auto"/>
              <w:right w:val="single" w:sz="4" w:space="0" w:color="auto"/>
            </w:tcBorders>
            <w:noWrap/>
            <w:vAlign w:val="bottom"/>
            <w:hideMark/>
          </w:tcPr>
          <w:p w14:paraId="1BF4B85B"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w:t>
            </w:r>
          </w:p>
        </w:tc>
        <w:tc>
          <w:tcPr>
            <w:tcW w:w="1570" w:type="pct"/>
            <w:tcBorders>
              <w:top w:val="nil"/>
              <w:left w:val="nil"/>
              <w:bottom w:val="single" w:sz="4" w:space="0" w:color="auto"/>
              <w:right w:val="single" w:sz="4" w:space="0" w:color="auto"/>
            </w:tcBorders>
            <w:noWrap/>
            <w:vAlign w:val="bottom"/>
            <w:hideMark/>
          </w:tcPr>
          <w:p w14:paraId="16514684"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2.0</w:t>
            </w:r>
          </w:p>
        </w:tc>
      </w:tr>
      <w:tr w:rsidR="00490A9E" w:rsidRPr="00494151" w14:paraId="3F369FFC"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09E1D49B"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21-23</w:t>
            </w:r>
          </w:p>
        </w:tc>
        <w:tc>
          <w:tcPr>
            <w:tcW w:w="1841" w:type="pct"/>
            <w:tcBorders>
              <w:top w:val="nil"/>
              <w:left w:val="nil"/>
              <w:bottom w:val="single" w:sz="4" w:space="0" w:color="auto"/>
              <w:right w:val="single" w:sz="4" w:space="0" w:color="auto"/>
            </w:tcBorders>
            <w:noWrap/>
            <w:vAlign w:val="bottom"/>
            <w:hideMark/>
          </w:tcPr>
          <w:p w14:paraId="37A5EB6B"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123</w:t>
            </w:r>
          </w:p>
        </w:tc>
        <w:tc>
          <w:tcPr>
            <w:tcW w:w="1570" w:type="pct"/>
            <w:tcBorders>
              <w:top w:val="nil"/>
              <w:left w:val="nil"/>
              <w:bottom w:val="single" w:sz="4" w:space="0" w:color="auto"/>
              <w:right w:val="single" w:sz="4" w:space="0" w:color="auto"/>
            </w:tcBorders>
            <w:noWrap/>
            <w:vAlign w:val="bottom"/>
            <w:hideMark/>
          </w:tcPr>
          <w:p w14:paraId="734528AE"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82</w:t>
            </w:r>
          </w:p>
        </w:tc>
      </w:tr>
      <w:tr w:rsidR="00490A9E" w:rsidRPr="00494151" w14:paraId="5B0427BF"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2DA45B4B"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24-26</w:t>
            </w:r>
          </w:p>
        </w:tc>
        <w:tc>
          <w:tcPr>
            <w:tcW w:w="1841" w:type="pct"/>
            <w:tcBorders>
              <w:top w:val="nil"/>
              <w:left w:val="nil"/>
              <w:bottom w:val="single" w:sz="4" w:space="0" w:color="auto"/>
              <w:right w:val="single" w:sz="4" w:space="0" w:color="auto"/>
            </w:tcBorders>
            <w:noWrap/>
            <w:vAlign w:val="bottom"/>
            <w:hideMark/>
          </w:tcPr>
          <w:p w14:paraId="154F106F"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14</w:t>
            </w:r>
          </w:p>
        </w:tc>
        <w:tc>
          <w:tcPr>
            <w:tcW w:w="1570" w:type="pct"/>
            <w:tcBorders>
              <w:top w:val="nil"/>
              <w:left w:val="nil"/>
              <w:bottom w:val="single" w:sz="4" w:space="0" w:color="auto"/>
              <w:right w:val="single" w:sz="4" w:space="0" w:color="auto"/>
            </w:tcBorders>
            <w:noWrap/>
            <w:vAlign w:val="bottom"/>
            <w:hideMark/>
          </w:tcPr>
          <w:p w14:paraId="1536310B"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9.3</w:t>
            </w:r>
          </w:p>
        </w:tc>
      </w:tr>
      <w:tr w:rsidR="00490A9E" w:rsidRPr="00494151" w14:paraId="6E80B3C1"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49759F6E"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27-29</w:t>
            </w:r>
          </w:p>
        </w:tc>
        <w:tc>
          <w:tcPr>
            <w:tcW w:w="1841" w:type="pct"/>
            <w:tcBorders>
              <w:top w:val="nil"/>
              <w:left w:val="nil"/>
              <w:bottom w:val="single" w:sz="4" w:space="0" w:color="auto"/>
              <w:right w:val="single" w:sz="4" w:space="0" w:color="auto"/>
            </w:tcBorders>
            <w:noWrap/>
            <w:vAlign w:val="bottom"/>
            <w:hideMark/>
          </w:tcPr>
          <w:p w14:paraId="40721F05"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10</w:t>
            </w:r>
          </w:p>
        </w:tc>
        <w:tc>
          <w:tcPr>
            <w:tcW w:w="1570" w:type="pct"/>
            <w:tcBorders>
              <w:top w:val="nil"/>
              <w:left w:val="nil"/>
              <w:bottom w:val="single" w:sz="4" w:space="0" w:color="auto"/>
              <w:right w:val="single" w:sz="4" w:space="0" w:color="auto"/>
            </w:tcBorders>
            <w:noWrap/>
            <w:vAlign w:val="bottom"/>
            <w:hideMark/>
          </w:tcPr>
          <w:p w14:paraId="751CD768"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6.7</w:t>
            </w:r>
          </w:p>
        </w:tc>
      </w:tr>
      <w:tr w:rsidR="00490A9E" w:rsidRPr="00494151" w14:paraId="3F9FBAFA"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5A7CE06F" w14:textId="77777777" w:rsidR="00490A9E" w:rsidRPr="00494151" w:rsidRDefault="00490A9E">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Sex</w:t>
            </w:r>
          </w:p>
        </w:tc>
        <w:tc>
          <w:tcPr>
            <w:tcW w:w="1841" w:type="pct"/>
            <w:tcBorders>
              <w:top w:val="nil"/>
              <w:left w:val="nil"/>
              <w:bottom w:val="single" w:sz="4" w:space="0" w:color="auto"/>
              <w:right w:val="single" w:sz="4" w:space="0" w:color="auto"/>
            </w:tcBorders>
            <w:noWrap/>
            <w:vAlign w:val="bottom"/>
          </w:tcPr>
          <w:p w14:paraId="03BADCC4"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p>
        </w:tc>
        <w:tc>
          <w:tcPr>
            <w:tcW w:w="1570" w:type="pct"/>
            <w:tcBorders>
              <w:top w:val="nil"/>
              <w:left w:val="nil"/>
              <w:bottom w:val="single" w:sz="4" w:space="0" w:color="auto"/>
              <w:right w:val="single" w:sz="4" w:space="0" w:color="auto"/>
            </w:tcBorders>
            <w:noWrap/>
            <w:vAlign w:val="bottom"/>
          </w:tcPr>
          <w:p w14:paraId="32B407E5"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p>
        </w:tc>
      </w:tr>
      <w:tr w:rsidR="00490A9E" w:rsidRPr="00494151" w14:paraId="0E6F8975"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6DD4DA0A"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Male</w:t>
            </w:r>
          </w:p>
        </w:tc>
        <w:tc>
          <w:tcPr>
            <w:tcW w:w="1841" w:type="pct"/>
            <w:tcBorders>
              <w:top w:val="nil"/>
              <w:left w:val="nil"/>
              <w:bottom w:val="single" w:sz="4" w:space="0" w:color="auto"/>
              <w:right w:val="single" w:sz="4" w:space="0" w:color="auto"/>
            </w:tcBorders>
            <w:noWrap/>
            <w:vAlign w:val="bottom"/>
            <w:hideMark/>
          </w:tcPr>
          <w:p w14:paraId="19BDADF1"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80</w:t>
            </w:r>
          </w:p>
        </w:tc>
        <w:tc>
          <w:tcPr>
            <w:tcW w:w="1570" w:type="pct"/>
            <w:tcBorders>
              <w:top w:val="nil"/>
              <w:left w:val="nil"/>
              <w:bottom w:val="single" w:sz="4" w:space="0" w:color="auto"/>
              <w:right w:val="single" w:sz="4" w:space="0" w:color="auto"/>
            </w:tcBorders>
            <w:noWrap/>
            <w:vAlign w:val="bottom"/>
            <w:hideMark/>
          </w:tcPr>
          <w:p w14:paraId="1CC6B737"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53.3</w:t>
            </w:r>
          </w:p>
        </w:tc>
      </w:tr>
      <w:tr w:rsidR="00490A9E" w:rsidRPr="00494151" w14:paraId="04348106" w14:textId="77777777" w:rsidTr="00490A9E">
        <w:trPr>
          <w:trHeight w:val="162"/>
        </w:trPr>
        <w:tc>
          <w:tcPr>
            <w:tcW w:w="1589" w:type="pct"/>
            <w:tcBorders>
              <w:top w:val="nil"/>
              <w:left w:val="single" w:sz="4" w:space="0" w:color="auto"/>
              <w:bottom w:val="single" w:sz="4" w:space="0" w:color="auto"/>
              <w:right w:val="single" w:sz="4" w:space="0" w:color="auto"/>
            </w:tcBorders>
            <w:noWrap/>
            <w:vAlign w:val="bottom"/>
            <w:hideMark/>
          </w:tcPr>
          <w:p w14:paraId="67F90420"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Female</w:t>
            </w:r>
          </w:p>
        </w:tc>
        <w:tc>
          <w:tcPr>
            <w:tcW w:w="1841" w:type="pct"/>
            <w:tcBorders>
              <w:top w:val="nil"/>
              <w:left w:val="nil"/>
              <w:bottom w:val="single" w:sz="4" w:space="0" w:color="auto"/>
              <w:right w:val="single" w:sz="4" w:space="0" w:color="auto"/>
            </w:tcBorders>
            <w:noWrap/>
            <w:vAlign w:val="bottom"/>
            <w:hideMark/>
          </w:tcPr>
          <w:p w14:paraId="5720296C"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70</w:t>
            </w:r>
          </w:p>
        </w:tc>
        <w:tc>
          <w:tcPr>
            <w:tcW w:w="1570" w:type="pct"/>
            <w:tcBorders>
              <w:top w:val="nil"/>
              <w:left w:val="nil"/>
              <w:bottom w:val="single" w:sz="4" w:space="0" w:color="auto"/>
              <w:right w:val="single" w:sz="4" w:space="0" w:color="auto"/>
            </w:tcBorders>
            <w:noWrap/>
            <w:vAlign w:val="bottom"/>
            <w:hideMark/>
          </w:tcPr>
          <w:p w14:paraId="07E2005C" w14:textId="77777777" w:rsidR="00490A9E" w:rsidRPr="00494151" w:rsidRDefault="00490A9E">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46.7</w:t>
            </w:r>
          </w:p>
        </w:tc>
      </w:tr>
      <w:tr w:rsidR="00490A9E" w:rsidRPr="00494151" w14:paraId="39BD15C4" w14:textId="77777777" w:rsidTr="00490A9E">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6D466E1C" w14:textId="77777777" w:rsidR="00490A9E" w:rsidRPr="00494151" w:rsidRDefault="00490A9E"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Class</w:t>
            </w:r>
          </w:p>
        </w:tc>
        <w:tc>
          <w:tcPr>
            <w:tcW w:w="1841" w:type="pct"/>
            <w:tcBorders>
              <w:top w:val="nil"/>
              <w:left w:val="nil"/>
              <w:bottom w:val="single" w:sz="4" w:space="0" w:color="auto"/>
              <w:right w:val="single" w:sz="4" w:space="0" w:color="auto"/>
            </w:tcBorders>
            <w:shd w:val="clear" w:color="auto" w:fill="auto"/>
            <w:noWrap/>
            <w:vAlign w:val="bottom"/>
          </w:tcPr>
          <w:p w14:paraId="41FB2B72"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p>
        </w:tc>
        <w:tc>
          <w:tcPr>
            <w:tcW w:w="1570" w:type="pct"/>
            <w:tcBorders>
              <w:top w:val="nil"/>
              <w:left w:val="nil"/>
              <w:bottom w:val="single" w:sz="4" w:space="0" w:color="auto"/>
              <w:right w:val="single" w:sz="4" w:space="0" w:color="auto"/>
            </w:tcBorders>
            <w:shd w:val="clear" w:color="auto" w:fill="auto"/>
            <w:noWrap/>
            <w:vAlign w:val="bottom"/>
          </w:tcPr>
          <w:p w14:paraId="5BBE973E"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p>
        </w:tc>
      </w:tr>
      <w:tr w:rsidR="00490A9E" w:rsidRPr="00494151" w14:paraId="5E5ABFF4" w14:textId="77777777" w:rsidTr="00490A9E">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5F8DDCA"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1st Clinical Year</w:t>
            </w:r>
          </w:p>
        </w:tc>
        <w:tc>
          <w:tcPr>
            <w:tcW w:w="1841" w:type="pct"/>
            <w:tcBorders>
              <w:top w:val="nil"/>
              <w:left w:val="nil"/>
              <w:bottom w:val="single" w:sz="4" w:space="0" w:color="auto"/>
              <w:right w:val="single" w:sz="4" w:space="0" w:color="auto"/>
            </w:tcBorders>
            <w:shd w:val="clear" w:color="auto" w:fill="auto"/>
            <w:noWrap/>
            <w:vAlign w:val="bottom"/>
            <w:hideMark/>
          </w:tcPr>
          <w:p w14:paraId="57616333"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50</w:t>
            </w:r>
          </w:p>
        </w:tc>
        <w:tc>
          <w:tcPr>
            <w:tcW w:w="1570" w:type="pct"/>
            <w:tcBorders>
              <w:top w:val="nil"/>
              <w:left w:val="nil"/>
              <w:bottom w:val="single" w:sz="4" w:space="0" w:color="auto"/>
              <w:right w:val="single" w:sz="4" w:space="0" w:color="auto"/>
            </w:tcBorders>
            <w:shd w:val="clear" w:color="auto" w:fill="auto"/>
            <w:noWrap/>
            <w:vAlign w:val="bottom"/>
            <w:hideMark/>
          </w:tcPr>
          <w:p w14:paraId="4E278D0B"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33.3</w:t>
            </w:r>
          </w:p>
        </w:tc>
      </w:tr>
      <w:tr w:rsidR="00490A9E" w:rsidRPr="00494151" w14:paraId="34333B77" w14:textId="77777777" w:rsidTr="00490A9E">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5A82CF20"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2nd Clinical Year</w:t>
            </w:r>
          </w:p>
        </w:tc>
        <w:tc>
          <w:tcPr>
            <w:tcW w:w="1841" w:type="pct"/>
            <w:tcBorders>
              <w:top w:val="nil"/>
              <w:left w:val="nil"/>
              <w:bottom w:val="single" w:sz="4" w:space="0" w:color="auto"/>
              <w:right w:val="single" w:sz="4" w:space="0" w:color="auto"/>
            </w:tcBorders>
            <w:shd w:val="clear" w:color="auto" w:fill="auto"/>
            <w:noWrap/>
            <w:vAlign w:val="bottom"/>
            <w:hideMark/>
          </w:tcPr>
          <w:p w14:paraId="6750F682"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50</w:t>
            </w:r>
          </w:p>
        </w:tc>
        <w:tc>
          <w:tcPr>
            <w:tcW w:w="1570" w:type="pct"/>
            <w:tcBorders>
              <w:top w:val="nil"/>
              <w:left w:val="nil"/>
              <w:bottom w:val="single" w:sz="4" w:space="0" w:color="auto"/>
              <w:right w:val="single" w:sz="4" w:space="0" w:color="auto"/>
            </w:tcBorders>
            <w:shd w:val="clear" w:color="auto" w:fill="auto"/>
            <w:noWrap/>
            <w:vAlign w:val="bottom"/>
            <w:hideMark/>
          </w:tcPr>
          <w:p w14:paraId="280DCB0B"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33.3</w:t>
            </w:r>
          </w:p>
        </w:tc>
      </w:tr>
      <w:tr w:rsidR="00490A9E" w:rsidRPr="00494151" w14:paraId="07ECD9CF" w14:textId="77777777" w:rsidTr="00490A9E">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C7D0F3C"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3rd Clinical Year</w:t>
            </w:r>
          </w:p>
        </w:tc>
        <w:tc>
          <w:tcPr>
            <w:tcW w:w="1841" w:type="pct"/>
            <w:tcBorders>
              <w:top w:val="nil"/>
              <w:left w:val="nil"/>
              <w:bottom w:val="single" w:sz="4" w:space="0" w:color="auto"/>
              <w:right w:val="single" w:sz="4" w:space="0" w:color="auto"/>
            </w:tcBorders>
            <w:shd w:val="clear" w:color="auto" w:fill="auto"/>
            <w:noWrap/>
            <w:vAlign w:val="bottom"/>
            <w:hideMark/>
          </w:tcPr>
          <w:p w14:paraId="54BE43D1"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50</w:t>
            </w:r>
          </w:p>
        </w:tc>
        <w:tc>
          <w:tcPr>
            <w:tcW w:w="1570" w:type="pct"/>
            <w:tcBorders>
              <w:top w:val="nil"/>
              <w:left w:val="nil"/>
              <w:bottom w:val="single" w:sz="4" w:space="0" w:color="auto"/>
              <w:right w:val="single" w:sz="4" w:space="0" w:color="auto"/>
            </w:tcBorders>
            <w:shd w:val="clear" w:color="auto" w:fill="auto"/>
            <w:noWrap/>
            <w:vAlign w:val="bottom"/>
            <w:hideMark/>
          </w:tcPr>
          <w:p w14:paraId="223C8CA8"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33.3</w:t>
            </w:r>
          </w:p>
        </w:tc>
      </w:tr>
      <w:tr w:rsidR="00490A9E" w:rsidRPr="00494151" w14:paraId="795B742E" w14:textId="77777777" w:rsidTr="00490A9E">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46C8656" w14:textId="77777777" w:rsidR="00490A9E" w:rsidRPr="00494151" w:rsidRDefault="004F5261"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Marital Status</w:t>
            </w:r>
          </w:p>
        </w:tc>
        <w:tc>
          <w:tcPr>
            <w:tcW w:w="1841" w:type="pct"/>
            <w:tcBorders>
              <w:top w:val="nil"/>
              <w:left w:val="nil"/>
              <w:bottom w:val="single" w:sz="4" w:space="0" w:color="auto"/>
              <w:right w:val="single" w:sz="4" w:space="0" w:color="auto"/>
            </w:tcBorders>
            <w:shd w:val="clear" w:color="auto" w:fill="auto"/>
            <w:noWrap/>
            <w:vAlign w:val="bottom"/>
          </w:tcPr>
          <w:p w14:paraId="726A4431"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p>
        </w:tc>
        <w:tc>
          <w:tcPr>
            <w:tcW w:w="1570" w:type="pct"/>
            <w:tcBorders>
              <w:top w:val="nil"/>
              <w:left w:val="nil"/>
              <w:bottom w:val="single" w:sz="4" w:space="0" w:color="auto"/>
              <w:right w:val="single" w:sz="4" w:space="0" w:color="auto"/>
            </w:tcBorders>
            <w:shd w:val="clear" w:color="auto" w:fill="auto"/>
            <w:noWrap/>
            <w:vAlign w:val="bottom"/>
          </w:tcPr>
          <w:p w14:paraId="71C6F96B" w14:textId="77777777" w:rsidR="00490A9E" w:rsidRPr="00494151" w:rsidRDefault="00490A9E" w:rsidP="00F64D3C">
            <w:pPr>
              <w:spacing w:after="0" w:line="360" w:lineRule="auto"/>
              <w:jc w:val="both"/>
              <w:rPr>
                <w:rFonts w:asciiTheme="majorBidi" w:eastAsia="Times New Roman" w:hAnsiTheme="majorBidi" w:cstheme="majorBidi"/>
                <w:color w:val="000000"/>
                <w:sz w:val="24"/>
                <w:szCs w:val="24"/>
              </w:rPr>
            </w:pPr>
          </w:p>
        </w:tc>
      </w:tr>
      <w:tr w:rsidR="004F5261" w:rsidRPr="00494151" w14:paraId="1E438E99" w14:textId="77777777" w:rsidTr="004F5261">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448501B8"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Single</w:t>
            </w:r>
          </w:p>
        </w:tc>
        <w:tc>
          <w:tcPr>
            <w:tcW w:w="1841" w:type="pct"/>
            <w:tcBorders>
              <w:top w:val="nil"/>
              <w:left w:val="nil"/>
              <w:bottom w:val="single" w:sz="4" w:space="0" w:color="auto"/>
              <w:right w:val="single" w:sz="4" w:space="0" w:color="auto"/>
            </w:tcBorders>
            <w:shd w:val="clear" w:color="auto" w:fill="auto"/>
            <w:noWrap/>
            <w:vAlign w:val="bottom"/>
          </w:tcPr>
          <w:p w14:paraId="3D9FD72C"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144</w:t>
            </w:r>
          </w:p>
        </w:tc>
        <w:tc>
          <w:tcPr>
            <w:tcW w:w="1570" w:type="pct"/>
            <w:tcBorders>
              <w:top w:val="nil"/>
              <w:left w:val="nil"/>
              <w:bottom w:val="single" w:sz="4" w:space="0" w:color="auto"/>
              <w:right w:val="single" w:sz="4" w:space="0" w:color="auto"/>
            </w:tcBorders>
            <w:shd w:val="clear" w:color="auto" w:fill="auto"/>
            <w:noWrap/>
            <w:vAlign w:val="bottom"/>
          </w:tcPr>
          <w:p w14:paraId="380E78F8"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96</w:t>
            </w:r>
          </w:p>
        </w:tc>
      </w:tr>
      <w:tr w:rsidR="004F5261" w:rsidRPr="00494151" w14:paraId="4ACE0623" w14:textId="77777777" w:rsidTr="004F5261">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20C24885"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Married</w:t>
            </w:r>
          </w:p>
        </w:tc>
        <w:tc>
          <w:tcPr>
            <w:tcW w:w="1841" w:type="pct"/>
            <w:tcBorders>
              <w:top w:val="nil"/>
              <w:left w:val="nil"/>
              <w:bottom w:val="single" w:sz="4" w:space="0" w:color="auto"/>
              <w:right w:val="single" w:sz="4" w:space="0" w:color="auto"/>
            </w:tcBorders>
            <w:shd w:val="clear" w:color="auto" w:fill="auto"/>
            <w:noWrap/>
            <w:vAlign w:val="bottom"/>
          </w:tcPr>
          <w:p w14:paraId="5864CDFD"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6</w:t>
            </w:r>
          </w:p>
        </w:tc>
        <w:tc>
          <w:tcPr>
            <w:tcW w:w="1570" w:type="pct"/>
            <w:tcBorders>
              <w:top w:val="nil"/>
              <w:left w:val="nil"/>
              <w:bottom w:val="single" w:sz="4" w:space="0" w:color="auto"/>
              <w:right w:val="single" w:sz="4" w:space="0" w:color="auto"/>
            </w:tcBorders>
            <w:shd w:val="clear" w:color="auto" w:fill="auto"/>
            <w:noWrap/>
            <w:vAlign w:val="bottom"/>
          </w:tcPr>
          <w:p w14:paraId="2E3F3B2D"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4</w:t>
            </w:r>
            <w:r w:rsidR="006D12F8" w:rsidRPr="00494151">
              <w:rPr>
                <w:rFonts w:asciiTheme="majorBidi" w:eastAsia="Times New Roman" w:hAnsiTheme="majorBidi" w:cstheme="majorBidi"/>
                <w:color w:val="000000"/>
                <w:sz w:val="24"/>
                <w:szCs w:val="24"/>
              </w:rPr>
              <w:t>.0</w:t>
            </w:r>
          </w:p>
        </w:tc>
      </w:tr>
      <w:tr w:rsidR="004F5261" w:rsidRPr="00494151" w14:paraId="38A0B5DF" w14:textId="77777777" w:rsidTr="004F5261">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5CCE4FEB"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Divorced</w:t>
            </w:r>
          </w:p>
        </w:tc>
        <w:tc>
          <w:tcPr>
            <w:tcW w:w="1841" w:type="pct"/>
            <w:tcBorders>
              <w:top w:val="nil"/>
              <w:left w:val="nil"/>
              <w:bottom w:val="single" w:sz="4" w:space="0" w:color="auto"/>
              <w:right w:val="single" w:sz="4" w:space="0" w:color="auto"/>
            </w:tcBorders>
            <w:shd w:val="clear" w:color="auto" w:fill="auto"/>
            <w:noWrap/>
            <w:vAlign w:val="bottom"/>
          </w:tcPr>
          <w:p w14:paraId="71DCD717"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w:t>
            </w:r>
          </w:p>
        </w:tc>
        <w:tc>
          <w:tcPr>
            <w:tcW w:w="1570" w:type="pct"/>
            <w:tcBorders>
              <w:top w:val="nil"/>
              <w:left w:val="nil"/>
              <w:bottom w:val="single" w:sz="4" w:space="0" w:color="auto"/>
              <w:right w:val="single" w:sz="4" w:space="0" w:color="auto"/>
            </w:tcBorders>
            <w:shd w:val="clear" w:color="auto" w:fill="auto"/>
            <w:noWrap/>
            <w:vAlign w:val="bottom"/>
          </w:tcPr>
          <w:p w14:paraId="40347CB3"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w:t>
            </w:r>
            <w:r w:rsidR="006D12F8" w:rsidRPr="00494151">
              <w:rPr>
                <w:rFonts w:asciiTheme="majorBidi" w:eastAsia="Times New Roman" w:hAnsiTheme="majorBidi" w:cstheme="majorBidi"/>
                <w:color w:val="000000"/>
                <w:sz w:val="24"/>
                <w:szCs w:val="24"/>
              </w:rPr>
              <w:t>.0</w:t>
            </w:r>
          </w:p>
        </w:tc>
      </w:tr>
      <w:tr w:rsidR="004F5261" w:rsidRPr="00494151" w14:paraId="578AE72E" w14:textId="77777777" w:rsidTr="004F5261">
        <w:trPr>
          <w:trHeight w:val="162"/>
        </w:trPr>
        <w:tc>
          <w:tcPr>
            <w:tcW w:w="1589" w:type="pct"/>
            <w:tcBorders>
              <w:top w:val="nil"/>
              <w:left w:val="single" w:sz="4" w:space="0" w:color="auto"/>
              <w:bottom w:val="single" w:sz="4" w:space="0" w:color="auto"/>
              <w:right w:val="single" w:sz="4" w:space="0" w:color="auto"/>
            </w:tcBorders>
            <w:shd w:val="clear" w:color="auto" w:fill="auto"/>
            <w:noWrap/>
            <w:vAlign w:val="bottom"/>
            <w:hideMark/>
          </w:tcPr>
          <w:p w14:paraId="086DF37F"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Widowed</w:t>
            </w:r>
          </w:p>
        </w:tc>
        <w:tc>
          <w:tcPr>
            <w:tcW w:w="1841" w:type="pct"/>
            <w:tcBorders>
              <w:top w:val="nil"/>
              <w:left w:val="nil"/>
              <w:bottom w:val="single" w:sz="4" w:space="0" w:color="auto"/>
              <w:right w:val="single" w:sz="4" w:space="0" w:color="auto"/>
            </w:tcBorders>
            <w:shd w:val="clear" w:color="auto" w:fill="auto"/>
            <w:noWrap/>
            <w:vAlign w:val="bottom"/>
          </w:tcPr>
          <w:p w14:paraId="7D230D8C"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w:t>
            </w:r>
          </w:p>
        </w:tc>
        <w:tc>
          <w:tcPr>
            <w:tcW w:w="1570" w:type="pct"/>
            <w:tcBorders>
              <w:top w:val="nil"/>
              <w:left w:val="nil"/>
              <w:bottom w:val="single" w:sz="4" w:space="0" w:color="auto"/>
              <w:right w:val="single" w:sz="4" w:space="0" w:color="auto"/>
            </w:tcBorders>
            <w:shd w:val="clear" w:color="auto" w:fill="auto"/>
            <w:noWrap/>
            <w:vAlign w:val="bottom"/>
          </w:tcPr>
          <w:p w14:paraId="44CBBFD3" w14:textId="77777777" w:rsidR="004F5261" w:rsidRPr="00494151" w:rsidRDefault="004F5261"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w:t>
            </w:r>
            <w:r w:rsidR="006D12F8" w:rsidRPr="00494151">
              <w:rPr>
                <w:rFonts w:asciiTheme="majorBidi" w:eastAsia="Times New Roman" w:hAnsiTheme="majorBidi" w:cstheme="majorBidi"/>
                <w:color w:val="000000"/>
                <w:sz w:val="24"/>
                <w:szCs w:val="24"/>
              </w:rPr>
              <w:t>.0</w:t>
            </w:r>
          </w:p>
        </w:tc>
      </w:tr>
    </w:tbl>
    <w:p w14:paraId="06D3AE46" w14:textId="77777777" w:rsidR="00490A9E" w:rsidRPr="00494151" w:rsidRDefault="00490A9E" w:rsidP="00490A9E">
      <w:pPr>
        <w:spacing w:line="360" w:lineRule="auto"/>
        <w:jc w:val="both"/>
        <w:rPr>
          <w:rFonts w:asciiTheme="majorBidi" w:hAnsiTheme="majorBidi" w:cstheme="majorBidi"/>
          <w:sz w:val="24"/>
          <w:szCs w:val="24"/>
          <w:lang w:val="en-US"/>
        </w:rPr>
      </w:pPr>
    </w:p>
    <w:p w14:paraId="01D16FC0" w14:textId="2784C236" w:rsidR="006D12F8" w:rsidRPr="00494151" w:rsidRDefault="009837BC" w:rsidP="006615A3">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br/>
      </w:r>
      <w:r w:rsidR="006615A3" w:rsidRPr="00494151">
        <w:rPr>
          <w:rFonts w:asciiTheme="majorBidi" w:hAnsiTheme="majorBidi" w:cstheme="majorBidi"/>
          <w:b/>
          <w:bCs/>
          <w:sz w:val="24"/>
          <w:szCs w:val="24"/>
          <w:lang w:val="en-US"/>
        </w:rPr>
        <w:t>3.2 Rural Experience and Practice Preferences</w:t>
      </w:r>
    </w:p>
    <w:p w14:paraId="5AB8D4B1" w14:textId="77777777" w:rsidR="006615A3" w:rsidRPr="00494151" w:rsidRDefault="006615A3" w:rsidP="00490A9E">
      <w:pPr>
        <w:spacing w:line="360" w:lineRule="auto"/>
        <w:jc w:val="both"/>
        <w:rPr>
          <w:rFonts w:asciiTheme="majorBidi" w:hAnsiTheme="majorBidi" w:cstheme="majorBidi"/>
          <w:sz w:val="24"/>
          <w:szCs w:val="24"/>
          <w:lang w:val="en-US"/>
        </w:rPr>
      </w:pPr>
      <w:r w:rsidRPr="00494151">
        <w:rPr>
          <w:rFonts w:asciiTheme="majorBidi" w:hAnsiTheme="majorBidi" w:cstheme="majorBidi"/>
          <w:b/>
          <w:noProof/>
          <w:sz w:val="24"/>
          <w:szCs w:val="24"/>
        </w:rPr>
        <w:lastRenderedPageBreak/>
        <w:drawing>
          <wp:anchor distT="0" distB="0" distL="114300" distR="114300" simplePos="0" relativeHeight="251658240" behindDoc="1" locked="0" layoutInCell="1" allowOverlap="1" wp14:anchorId="116ED880" wp14:editId="64746C2E">
            <wp:simplePos x="0" y="0"/>
            <wp:positionH relativeFrom="column">
              <wp:posOffset>222250</wp:posOffset>
            </wp:positionH>
            <wp:positionV relativeFrom="paragraph">
              <wp:posOffset>1174750</wp:posOffset>
            </wp:positionV>
            <wp:extent cx="5771087" cy="3476847"/>
            <wp:effectExtent l="0" t="0" r="1270" b="9525"/>
            <wp:wrapTight wrapText="bothSides">
              <wp:wrapPolygon edited="0">
                <wp:start x="0" y="0"/>
                <wp:lineTo x="0" y="21541"/>
                <wp:lineTo x="21533" y="21541"/>
                <wp:lineTo x="2153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494151">
        <w:rPr>
          <w:rFonts w:asciiTheme="majorBidi" w:hAnsiTheme="majorBidi" w:cstheme="majorBidi"/>
          <w:sz w:val="24"/>
          <w:szCs w:val="24"/>
          <w:shd w:val="clear" w:color="auto" w:fill="FFFFFF"/>
        </w:rPr>
        <w:t>Figure 1 presents the striking finding that 60% of respondents preferred to work in rural areas after graduation, while only 14% favoured urban practice. However, 26% remained undecided about their future practice location. This apparent willingness for rural service merits careful interpretation given other findings.</w:t>
      </w:r>
    </w:p>
    <w:p w14:paraId="7FC47021" w14:textId="77777777" w:rsidR="006615A3" w:rsidRPr="00494151" w:rsidRDefault="0066244F" w:rsidP="0066244F">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1: Distribution for preferred working centre</w:t>
      </w:r>
    </w:p>
    <w:p w14:paraId="2E0E8D10" w14:textId="77777777" w:rsidR="006615A3" w:rsidRPr="00494151" w:rsidRDefault="006615A3" w:rsidP="006615A3">
      <w:pPr>
        <w:spacing w:line="360" w:lineRule="auto"/>
        <w:jc w:val="both"/>
        <w:rPr>
          <w:rFonts w:asciiTheme="majorBidi" w:hAnsiTheme="majorBidi" w:cstheme="majorBidi"/>
          <w:sz w:val="24"/>
          <w:szCs w:val="24"/>
          <w:lang w:val="en-US"/>
        </w:rPr>
      </w:pPr>
      <w:r w:rsidRPr="00494151">
        <w:rPr>
          <w:rFonts w:asciiTheme="majorBidi" w:hAnsiTheme="majorBidi" w:cstheme="majorBidi"/>
          <w:sz w:val="24"/>
          <w:szCs w:val="24"/>
          <w:lang w:val="en-US"/>
        </w:rPr>
        <w:t xml:space="preserve">Furthermore, most respondents had lived predominantly in urban areas during their lives as related in Figure 2, though 64% reported some rural living experience at some point. </w:t>
      </w:r>
    </w:p>
    <w:p w14:paraId="7F466804" w14:textId="77777777" w:rsidR="006615A3" w:rsidRPr="00494151" w:rsidRDefault="006615A3" w:rsidP="00490A9E">
      <w:pPr>
        <w:spacing w:line="360" w:lineRule="auto"/>
        <w:jc w:val="both"/>
        <w:rPr>
          <w:rFonts w:asciiTheme="majorBidi" w:hAnsiTheme="majorBidi" w:cstheme="majorBidi"/>
          <w:sz w:val="24"/>
          <w:szCs w:val="24"/>
          <w:lang w:val="en-US"/>
        </w:rPr>
      </w:pPr>
      <w:r w:rsidRPr="00494151">
        <w:rPr>
          <w:rFonts w:asciiTheme="majorBidi" w:hAnsiTheme="majorBidi" w:cstheme="majorBidi"/>
          <w:b/>
          <w:noProof/>
          <w:sz w:val="24"/>
          <w:szCs w:val="24"/>
        </w:rPr>
        <w:lastRenderedPageBreak/>
        <w:drawing>
          <wp:inline distT="0" distB="0" distL="0" distR="0" wp14:anchorId="61671E10" wp14:editId="4BF94798">
            <wp:extent cx="5818224" cy="3899608"/>
            <wp:effectExtent l="0" t="0" r="1143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114D0D" w14:textId="77777777" w:rsidR="006615A3" w:rsidRPr="00494151" w:rsidRDefault="006615A3" w:rsidP="006615A3">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2: Distribution for respondents who have lived in a rural area before</w:t>
      </w:r>
    </w:p>
    <w:p w14:paraId="71C5BF44" w14:textId="77777777" w:rsidR="006615A3" w:rsidRPr="00494151" w:rsidRDefault="006615A3" w:rsidP="0051076E">
      <w:pPr>
        <w:spacing w:line="360" w:lineRule="auto"/>
        <w:jc w:val="both"/>
        <w:rPr>
          <w:rFonts w:asciiTheme="majorBidi" w:hAnsiTheme="majorBidi" w:cstheme="majorBidi"/>
          <w:sz w:val="24"/>
          <w:szCs w:val="24"/>
        </w:rPr>
      </w:pPr>
      <w:r w:rsidRPr="00494151">
        <w:rPr>
          <w:rFonts w:asciiTheme="majorBidi" w:hAnsiTheme="majorBidi" w:cstheme="majorBidi"/>
          <w:sz w:val="24"/>
          <w:szCs w:val="24"/>
          <w:lang w:val="en-US"/>
        </w:rPr>
        <w:t>Among those with rural exposure, 40.4% rated their experience as below expectations, while 35.4% said it met expectations (Table 2). Only 9.1% reported that their rural experience exceeded expectations.</w:t>
      </w:r>
    </w:p>
    <w:p w14:paraId="4A4781D9" w14:textId="77777777" w:rsidR="006615A3" w:rsidRPr="00494151" w:rsidRDefault="006615A3" w:rsidP="006615A3">
      <w:pPr>
        <w:spacing w:line="360" w:lineRule="auto"/>
        <w:jc w:val="both"/>
        <w:rPr>
          <w:rFonts w:asciiTheme="majorBidi" w:hAnsiTheme="majorBidi" w:cstheme="majorBidi"/>
          <w:b/>
          <w:sz w:val="24"/>
          <w:szCs w:val="24"/>
        </w:rPr>
      </w:pPr>
      <w:r w:rsidRPr="00494151">
        <w:rPr>
          <w:rFonts w:asciiTheme="majorBidi" w:hAnsiTheme="majorBidi" w:cstheme="majorBidi"/>
          <w:b/>
          <w:sz w:val="24"/>
          <w:szCs w:val="24"/>
        </w:rPr>
        <w:t>Table 2: Distribution of rural experience expectations</w:t>
      </w:r>
    </w:p>
    <w:tbl>
      <w:tblPr>
        <w:tblW w:w="5000" w:type="pct"/>
        <w:tblLook w:val="04A0" w:firstRow="1" w:lastRow="0" w:firstColumn="1" w:lastColumn="0" w:noHBand="0" w:noVBand="1"/>
      </w:tblPr>
      <w:tblGrid>
        <w:gridCol w:w="5242"/>
        <w:gridCol w:w="2326"/>
        <w:gridCol w:w="1782"/>
      </w:tblGrid>
      <w:tr w:rsidR="006615A3" w:rsidRPr="00494151" w14:paraId="0B744796" w14:textId="77777777" w:rsidTr="006B039D">
        <w:trPr>
          <w:trHeight w:val="300"/>
        </w:trPr>
        <w:tc>
          <w:tcPr>
            <w:tcW w:w="28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D3C46" w14:textId="77777777" w:rsidR="006615A3" w:rsidRPr="00494151" w:rsidRDefault="006615A3"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Rural Experience</w:t>
            </w:r>
          </w:p>
        </w:tc>
        <w:tc>
          <w:tcPr>
            <w:tcW w:w="1244" w:type="pct"/>
            <w:tcBorders>
              <w:top w:val="single" w:sz="4" w:space="0" w:color="auto"/>
              <w:left w:val="nil"/>
              <w:bottom w:val="single" w:sz="4" w:space="0" w:color="auto"/>
              <w:right w:val="single" w:sz="4" w:space="0" w:color="auto"/>
            </w:tcBorders>
            <w:shd w:val="clear" w:color="auto" w:fill="auto"/>
            <w:noWrap/>
            <w:vAlign w:val="bottom"/>
            <w:hideMark/>
          </w:tcPr>
          <w:p w14:paraId="120E0620" w14:textId="77777777" w:rsidR="006615A3" w:rsidRPr="00494151" w:rsidRDefault="006615A3"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Frequency</w:t>
            </w:r>
          </w:p>
        </w:tc>
        <w:tc>
          <w:tcPr>
            <w:tcW w:w="953" w:type="pct"/>
            <w:tcBorders>
              <w:top w:val="single" w:sz="4" w:space="0" w:color="auto"/>
              <w:left w:val="nil"/>
              <w:bottom w:val="single" w:sz="4" w:space="0" w:color="auto"/>
              <w:right w:val="single" w:sz="4" w:space="0" w:color="auto"/>
            </w:tcBorders>
            <w:shd w:val="clear" w:color="auto" w:fill="auto"/>
            <w:noWrap/>
            <w:vAlign w:val="bottom"/>
            <w:hideMark/>
          </w:tcPr>
          <w:p w14:paraId="3F0DB20C" w14:textId="77777777" w:rsidR="006615A3" w:rsidRPr="00494151" w:rsidRDefault="006615A3"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Percent</w:t>
            </w:r>
          </w:p>
        </w:tc>
      </w:tr>
      <w:tr w:rsidR="006615A3" w:rsidRPr="00494151" w14:paraId="342D8DFA" w14:textId="77777777" w:rsidTr="006B039D">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14:paraId="06EAF513"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Exceeds Expectation</w:t>
            </w:r>
          </w:p>
        </w:tc>
        <w:tc>
          <w:tcPr>
            <w:tcW w:w="1244" w:type="pct"/>
            <w:tcBorders>
              <w:top w:val="nil"/>
              <w:left w:val="nil"/>
              <w:bottom w:val="single" w:sz="4" w:space="0" w:color="auto"/>
              <w:right w:val="single" w:sz="4" w:space="0" w:color="auto"/>
            </w:tcBorders>
            <w:shd w:val="clear" w:color="auto" w:fill="auto"/>
            <w:noWrap/>
            <w:vAlign w:val="bottom"/>
            <w:hideMark/>
          </w:tcPr>
          <w:p w14:paraId="7EC89A7D"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9</w:t>
            </w:r>
          </w:p>
        </w:tc>
        <w:tc>
          <w:tcPr>
            <w:tcW w:w="953" w:type="pct"/>
            <w:tcBorders>
              <w:top w:val="nil"/>
              <w:left w:val="nil"/>
              <w:bottom w:val="single" w:sz="4" w:space="0" w:color="auto"/>
              <w:right w:val="single" w:sz="4" w:space="0" w:color="auto"/>
            </w:tcBorders>
            <w:shd w:val="clear" w:color="auto" w:fill="auto"/>
            <w:noWrap/>
            <w:vAlign w:val="bottom"/>
            <w:hideMark/>
          </w:tcPr>
          <w:p w14:paraId="70DB9D47"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9.1</w:t>
            </w:r>
          </w:p>
        </w:tc>
      </w:tr>
      <w:tr w:rsidR="006615A3" w:rsidRPr="00494151" w14:paraId="6CC92951" w14:textId="77777777" w:rsidTr="006B039D">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14:paraId="52AC79EC"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Meets Expectations</w:t>
            </w:r>
          </w:p>
        </w:tc>
        <w:tc>
          <w:tcPr>
            <w:tcW w:w="1244" w:type="pct"/>
            <w:tcBorders>
              <w:top w:val="nil"/>
              <w:left w:val="nil"/>
              <w:bottom w:val="single" w:sz="4" w:space="0" w:color="auto"/>
              <w:right w:val="single" w:sz="4" w:space="0" w:color="auto"/>
            </w:tcBorders>
            <w:shd w:val="clear" w:color="auto" w:fill="auto"/>
            <w:noWrap/>
            <w:vAlign w:val="bottom"/>
            <w:hideMark/>
          </w:tcPr>
          <w:p w14:paraId="3DCE453A"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35</w:t>
            </w:r>
          </w:p>
        </w:tc>
        <w:tc>
          <w:tcPr>
            <w:tcW w:w="953" w:type="pct"/>
            <w:tcBorders>
              <w:top w:val="nil"/>
              <w:left w:val="nil"/>
              <w:bottom w:val="single" w:sz="4" w:space="0" w:color="auto"/>
              <w:right w:val="single" w:sz="4" w:space="0" w:color="auto"/>
            </w:tcBorders>
            <w:shd w:val="clear" w:color="auto" w:fill="auto"/>
            <w:noWrap/>
            <w:vAlign w:val="bottom"/>
            <w:hideMark/>
          </w:tcPr>
          <w:p w14:paraId="2D428A87"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35.4</w:t>
            </w:r>
          </w:p>
        </w:tc>
      </w:tr>
      <w:tr w:rsidR="006615A3" w:rsidRPr="00494151" w14:paraId="21800F2E" w14:textId="77777777" w:rsidTr="006B039D">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14:paraId="7C43052E"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Below Expectations</w:t>
            </w:r>
          </w:p>
        </w:tc>
        <w:tc>
          <w:tcPr>
            <w:tcW w:w="1244" w:type="pct"/>
            <w:tcBorders>
              <w:top w:val="nil"/>
              <w:left w:val="nil"/>
              <w:bottom w:val="single" w:sz="4" w:space="0" w:color="auto"/>
              <w:right w:val="single" w:sz="4" w:space="0" w:color="auto"/>
            </w:tcBorders>
            <w:shd w:val="clear" w:color="auto" w:fill="auto"/>
            <w:noWrap/>
            <w:vAlign w:val="bottom"/>
            <w:hideMark/>
          </w:tcPr>
          <w:p w14:paraId="322AA02F"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40</w:t>
            </w:r>
          </w:p>
        </w:tc>
        <w:tc>
          <w:tcPr>
            <w:tcW w:w="953" w:type="pct"/>
            <w:tcBorders>
              <w:top w:val="nil"/>
              <w:left w:val="nil"/>
              <w:bottom w:val="single" w:sz="4" w:space="0" w:color="auto"/>
              <w:right w:val="single" w:sz="4" w:space="0" w:color="auto"/>
            </w:tcBorders>
            <w:shd w:val="clear" w:color="auto" w:fill="auto"/>
            <w:noWrap/>
            <w:vAlign w:val="bottom"/>
            <w:hideMark/>
          </w:tcPr>
          <w:p w14:paraId="28500943"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40.4</w:t>
            </w:r>
          </w:p>
        </w:tc>
      </w:tr>
      <w:tr w:rsidR="006615A3" w:rsidRPr="00494151" w14:paraId="1B438237" w14:textId="77777777" w:rsidTr="006B039D">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14:paraId="48D32842"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Indifferent</w:t>
            </w:r>
          </w:p>
        </w:tc>
        <w:tc>
          <w:tcPr>
            <w:tcW w:w="1244" w:type="pct"/>
            <w:tcBorders>
              <w:top w:val="nil"/>
              <w:left w:val="nil"/>
              <w:bottom w:val="single" w:sz="4" w:space="0" w:color="auto"/>
              <w:right w:val="single" w:sz="4" w:space="0" w:color="auto"/>
            </w:tcBorders>
            <w:shd w:val="clear" w:color="auto" w:fill="auto"/>
            <w:noWrap/>
            <w:vAlign w:val="bottom"/>
            <w:hideMark/>
          </w:tcPr>
          <w:p w14:paraId="67BC4FEE"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15</w:t>
            </w:r>
          </w:p>
        </w:tc>
        <w:tc>
          <w:tcPr>
            <w:tcW w:w="953" w:type="pct"/>
            <w:tcBorders>
              <w:top w:val="nil"/>
              <w:left w:val="nil"/>
              <w:bottom w:val="single" w:sz="4" w:space="0" w:color="auto"/>
              <w:right w:val="single" w:sz="4" w:space="0" w:color="auto"/>
            </w:tcBorders>
            <w:shd w:val="clear" w:color="auto" w:fill="auto"/>
            <w:noWrap/>
            <w:vAlign w:val="bottom"/>
            <w:hideMark/>
          </w:tcPr>
          <w:p w14:paraId="3E534324"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15.2</w:t>
            </w:r>
          </w:p>
        </w:tc>
      </w:tr>
      <w:tr w:rsidR="006615A3" w:rsidRPr="00494151" w14:paraId="7F75FE81" w14:textId="77777777" w:rsidTr="006B039D">
        <w:trPr>
          <w:trHeight w:val="300"/>
        </w:trPr>
        <w:tc>
          <w:tcPr>
            <w:tcW w:w="2803" w:type="pct"/>
            <w:tcBorders>
              <w:top w:val="nil"/>
              <w:left w:val="single" w:sz="4" w:space="0" w:color="auto"/>
              <w:bottom w:val="single" w:sz="4" w:space="0" w:color="auto"/>
              <w:right w:val="single" w:sz="4" w:space="0" w:color="auto"/>
            </w:tcBorders>
            <w:shd w:val="clear" w:color="auto" w:fill="auto"/>
            <w:noWrap/>
            <w:vAlign w:val="bottom"/>
            <w:hideMark/>
          </w:tcPr>
          <w:p w14:paraId="07E72C0F"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Total</w:t>
            </w:r>
          </w:p>
        </w:tc>
        <w:tc>
          <w:tcPr>
            <w:tcW w:w="1244" w:type="pct"/>
            <w:tcBorders>
              <w:top w:val="nil"/>
              <w:left w:val="nil"/>
              <w:bottom w:val="single" w:sz="4" w:space="0" w:color="auto"/>
              <w:right w:val="single" w:sz="4" w:space="0" w:color="auto"/>
            </w:tcBorders>
            <w:shd w:val="clear" w:color="auto" w:fill="auto"/>
            <w:noWrap/>
            <w:vAlign w:val="bottom"/>
            <w:hideMark/>
          </w:tcPr>
          <w:p w14:paraId="4A91F824"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99</w:t>
            </w:r>
          </w:p>
        </w:tc>
        <w:tc>
          <w:tcPr>
            <w:tcW w:w="953" w:type="pct"/>
            <w:tcBorders>
              <w:top w:val="nil"/>
              <w:left w:val="nil"/>
              <w:bottom w:val="single" w:sz="4" w:space="0" w:color="auto"/>
              <w:right w:val="single" w:sz="4" w:space="0" w:color="auto"/>
            </w:tcBorders>
            <w:shd w:val="clear" w:color="auto" w:fill="auto"/>
            <w:noWrap/>
            <w:vAlign w:val="bottom"/>
            <w:hideMark/>
          </w:tcPr>
          <w:p w14:paraId="5CE95BDC" w14:textId="77777777" w:rsidR="006615A3" w:rsidRPr="00494151" w:rsidRDefault="006615A3" w:rsidP="00F64D3C">
            <w:pPr>
              <w:spacing w:after="0" w:line="36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100</w:t>
            </w:r>
          </w:p>
        </w:tc>
      </w:tr>
    </w:tbl>
    <w:p w14:paraId="6CB1972B" w14:textId="77777777" w:rsidR="006615A3" w:rsidRPr="00494151" w:rsidRDefault="006615A3" w:rsidP="006615A3">
      <w:pPr>
        <w:spacing w:line="360" w:lineRule="auto"/>
        <w:rPr>
          <w:rFonts w:asciiTheme="majorBidi" w:hAnsiTheme="majorBidi" w:cstheme="majorBidi"/>
          <w:sz w:val="24"/>
          <w:szCs w:val="24"/>
        </w:rPr>
      </w:pPr>
    </w:p>
    <w:p w14:paraId="740133A5" w14:textId="77777777" w:rsidR="00BF413C" w:rsidRPr="00494151" w:rsidRDefault="00BF413C" w:rsidP="00BF413C">
      <w:pPr>
        <w:spacing w:line="360" w:lineRule="auto"/>
        <w:rPr>
          <w:rFonts w:asciiTheme="majorBidi" w:hAnsiTheme="majorBidi" w:cstheme="majorBidi"/>
          <w:noProof/>
          <w:sz w:val="24"/>
          <w:szCs w:val="24"/>
          <w:lang w:val="en-US"/>
        </w:rPr>
      </w:pPr>
      <w:r w:rsidRPr="00494151">
        <w:rPr>
          <w:rFonts w:asciiTheme="majorBidi" w:hAnsiTheme="majorBidi" w:cstheme="majorBidi"/>
          <w:noProof/>
          <w:sz w:val="24"/>
          <w:szCs w:val="24"/>
          <w:lang w:val="en-US"/>
        </w:rPr>
        <w:lastRenderedPageBreak/>
        <w:drawing>
          <wp:anchor distT="0" distB="0" distL="114300" distR="114300" simplePos="0" relativeHeight="251659264" behindDoc="1" locked="0" layoutInCell="1" allowOverlap="1" wp14:anchorId="353C6EC2" wp14:editId="6A71C877">
            <wp:simplePos x="0" y="0"/>
            <wp:positionH relativeFrom="column">
              <wp:posOffset>1022350</wp:posOffset>
            </wp:positionH>
            <wp:positionV relativeFrom="paragraph">
              <wp:posOffset>482600</wp:posOffset>
            </wp:positionV>
            <wp:extent cx="4356100" cy="2690495"/>
            <wp:effectExtent l="0" t="0" r="6350" b="0"/>
            <wp:wrapTight wrapText="bothSides">
              <wp:wrapPolygon edited="0">
                <wp:start x="0" y="0"/>
                <wp:lineTo x="0" y="21411"/>
                <wp:lineTo x="21537" y="21411"/>
                <wp:lineTo x="215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731" t="18960" r="6569" b="22488"/>
                    <a:stretch/>
                  </pic:blipFill>
                  <pic:spPr bwMode="auto">
                    <a:xfrm>
                      <a:off x="0" y="0"/>
                      <a:ext cx="4356100" cy="2690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4151">
        <w:rPr>
          <w:rFonts w:asciiTheme="majorBidi" w:hAnsiTheme="majorBidi" w:cstheme="majorBidi"/>
          <w:sz w:val="24"/>
          <w:szCs w:val="24"/>
        </w:rPr>
        <w:t xml:space="preserve">Clinical exposure to rural settings proved limited with 82% of students having never done clinical rotations in rural areas (Figure 3). </w:t>
      </w:r>
    </w:p>
    <w:p w14:paraId="6D2737DA" w14:textId="77777777" w:rsidR="00BF413C" w:rsidRPr="00494151" w:rsidRDefault="00BF413C" w:rsidP="00BF413C">
      <w:pPr>
        <w:spacing w:line="360" w:lineRule="auto"/>
        <w:rPr>
          <w:rFonts w:asciiTheme="majorBidi" w:hAnsiTheme="majorBidi" w:cstheme="majorBidi"/>
          <w:sz w:val="24"/>
          <w:szCs w:val="24"/>
        </w:rPr>
      </w:pPr>
    </w:p>
    <w:p w14:paraId="14968A3A" w14:textId="77777777" w:rsidR="00BF413C" w:rsidRPr="00494151" w:rsidRDefault="00BF413C" w:rsidP="00BF413C">
      <w:pPr>
        <w:spacing w:line="360" w:lineRule="auto"/>
        <w:rPr>
          <w:rFonts w:asciiTheme="majorBidi" w:hAnsiTheme="majorBidi" w:cstheme="majorBidi"/>
          <w:noProof/>
          <w:sz w:val="24"/>
          <w:szCs w:val="24"/>
          <w:lang w:val="en-US"/>
        </w:rPr>
      </w:pPr>
    </w:p>
    <w:p w14:paraId="6E41996D" w14:textId="77777777" w:rsidR="00BF413C" w:rsidRPr="00494151" w:rsidRDefault="00BF413C" w:rsidP="00BF413C">
      <w:pPr>
        <w:spacing w:line="360" w:lineRule="auto"/>
        <w:rPr>
          <w:rFonts w:asciiTheme="majorBidi" w:hAnsiTheme="majorBidi" w:cstheme="majorBidi"/>
          <w:sz w:val="24"/>
          <w:szCs w:val="24"/>
        </w:rPr>
      </w:pPr>
    </w:p>
    <w:p w14:paraId="65A7D9F0" w14:textId="77777777" w:rsidR="00BF413C" w:rsidRPr="00494151" w:rsidRDefault="00BF413C" w:rsidP="00BF413C">
      <w:pPr>
        <w:spacing w:line="360" w:lineRule="auto"/>
        <w:rPr>
          <w:rFonts w:asciiTheme="majorBidi" w:hAnsiTheme="majorBidi" w:cstheme="majorBidi"/>
          <w:sz w:val="24"/>
          <w:szCs w:val="24"/>
        </w:rPr>
      </w:pPr>
    </w:p>
    <w:p w14:paraId="7360C964" w14:textId="77777777" w:rsidR="00BF413C" w:rsidRPr="00494151" w:rsidRDefault="00BF413C" w:rsidP="00BF413C">
      <w:pPr>
        <w:spacing w:line="360" w:lineRule="auto"/>
        <w:rPr>
          <w:rFonts w:asciiTheme="majorBidi" w:hAnsiTheme="majorBidi" w:cstheme="majorBidi"/>
          <w:sz w:val="24"/>
          <w:szCs w:val="24"/>
        </w:rPr>
      </w:pPr>
    </w:p>
    <w:p w14:paraId="631AEF2C" w14:textId="77777777" w:rsidR="00BF413C" w:rsidRPr="00494151" w:rsidRDefault="00BF413C" w:rsidP="00BF413C">
      <w:pPr>
        <w:spacing w:line="360" w:lineRule="auto"/>
        <w:rPr>
          <w:rFonts w:asciiTheme="majorBidi" w:hAnsiTheme="majorBidi" w:cstheme="majorBidi"/>
          <w:sz w:val="24"/>
          <w:szCs w:val="24"/>
        </w:rPr>
      </w:pPr>
    </w:p>
    <w:p w14:paraId="1B564FEA" w14:textId="77777777" w:rsidR="00BF413C" w:rsidRPr="00494151" w:rsidRDefault="00BF413C" w:rsidP="00BF413C">
      <w:pPr>
        <w:spacing w:line="360" w:lineRule="auto"/>
        <w:rPr>
          <w:rFonts w:asciiTheme="majorBidi" w:hAnsiTheme="majorBidi" w:cstheme="majorBidi"/>
          <w:sz w:val="24"/>
          <w:szCs w:val="24"/>
        </w:rPr>
      </w:pPr>
    </w:p>
    <w:p w14:paraId="5944912F" w14:textId="77777777" w:rsidR="00BF413C" w:rsidRPr="00494151" w:rsidRDefault="00BF413C" w:rsidP="00BF413C">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3: Distribution for Respondents who have had a Clinical rotation in rural settings</w:t>
      </w:r>
    </w:p>
    <w:p w14:paraId="3682955C" w14:textId="77777777" w:rsidR="00BF413C" w:rsidRPr="00494151" w:rsidRDefault="00BF413C" w:rsidP="00A56322">
      <w:pPr>
        <w:spacing w:line="360" w:lineRule="auto"/>
        <w:rPr>
          <w:rFonts w:asciiTheme="majorBidi" w:hAnsiTheme="majorBidi" w:cstheme="majorBidi"/>
          <w:sz w:val="24"/>
          <w:szCs w:val="24"/>
        </w:rPr>
      </w:pPr>
      <w:r w:rsidRPr="00494151">
        <w:rPr>
          <w:rFonts w:asciiTheme="majorBidi" w:hAnsiTheme="majorBidi" w:cstheme="majorBidi"/>
          <w:sz w:val="24"/>
          <w:szCs w:val="24"/>
        </w:rPr>
        <w:t xml:space="preserve">However, among the 18% with rural rotation experience, 31% said it met expectations and 28.6% reported it exceeded expectations </w:t>
      </w:r>
      <w:r w:rsidR="00A56322" w:rsidRPr="00494151">
        <w:rPr>
          <w:rFonts w:asciiTheme="majorBidi" w:hAnsiTheme="majorBidi" w:cstheme="majorBidi"/>
          <w:sz w:val="24"/>
          <w:szCs w:val="24"/>
        </w:rPr>
        <w:t>as related in figure 4.</w:t>
      </w:r>
      <w:r w:rsidRPr="00494151">
        <w:rPr>
          <w:rFonts w:asciiTheme="majorBidi" w:hAnsiTheme="majorBidi" w:cstheme="majorBidi"/>
          <w:sz w:val="24"/>
          <w:szCs w:val="24"/>
        </w:rPr>
        <w:t xml:space="preserve"> This suggests that well-structured rural clinical exposures may positively influence perceptions.</w:t>
      </w:r>
    </w:p>
    <w:p w14:paraId="4AA8C9BB" w14:textId="77777777" w:rsidR="00A56322" w:rsidRPr="00494151" w:rsidRDefault="00093B46" w:rsidP="00A56322">
      <w:pPr>
        <w:spacing w:line="360" w:lineRule="auto"/>
        <w:rPr>
          <w:rFonts w:asciiTheme="majorBidi" w:hAnsiTheme="majorBidi" w:cstheme="majorBidi"/>
          <w:sz w:val="24"/>
          <w:szCs w:val="24"/>
        </w:rPr>
      </w:pPr>
      <w:r w:rsidRPr="00494151">
        <w:rPr>
          <w:rFonts w:asciiTheme="majorBidi" w:hAnsiTheme="majorBidi" w:cstheme="majorBidi"/>
          <w:noProof/>
          <w:sz w:val="24"/>
          <w:szCs w:val="24"/>
          <w:lang w:val="en-US"/>
        </w:rPr>
        <w:drawing>
          <wp:anchor distT="0" distB="0" distL="114300" distR="114300" simplePos="0" relativeHeight="251660288" behindDoc="1" locked="0" layoutInCell="1" allowOverlap="1" wp14:anchorId="2A245BB7" wp14:editId="4FDF5731">
            <wp:simplePos x="0" y="0"/>
            <wp:positionH relativeFrom="column">
              <wp:posOffset>693420</wp:posOffset>
            </wp:positionH>
            <wp:positionV relativeFrom="paragraph">
              <wp:posOffset>5080</wp:posOffset>
            </wp:positionV>
            <wp:extent cx="4480560" cy="2870200"/>
            <wp:effectExtent l="0" t="0" r="0" b="6350"/>
            <wp:wrapTight wrapText="bothSides">
              <wp:wrapPolygon edited="0">
                <wp:start x="0" y="0"/>
                <wp:lineTo x="0" y="21504"/>
                <wp:lineTo x="21490" y="21504"/>
                <wp:lineTo x="214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80560" cy="2870200"/>
                    </a:xfrm>
                    <a:prstGeom prst="rect">
                      <a:avLst/>
                    </a:prstGeom>
                  </pic:spPr>
                </pic:pic>
              </a:graphicData>
            </a:graphic>
            <wp14:sizeRelH relativeFrom="margin">
              <wp14:pctWidth>0</wp14:pctWidth>
            </wp14:sizeRelH>
            <wp14:sizeRelV relativeFrom="margin">
              <wp14:pctHeight>0</wp14:pctHeight>
            </wp14:sizeRelV>
          </wp:anchor>
        </w:drawing>
      </w:r>
    </w:p>
    <w:p w14:paraId="484FE692" w14:textId="77777777" w:rsidR="00093B46" w:rsidRPr="00494151" w:rsidRDefault="00093B46" w:rsidP="00A56322">
      <w:pPr>
        <w:spacing w:line="360" w:lineRule="auto"/>
        <w:rPr>
          <w:rFonts w:asciiTheme="majorBidi" w:hAnsiTheme="majorBidi" w:cstheme="majorBidi"/>
          <w:sz w:val="24"/>
          <w:szCs w:val="24"/>
        </w:rPr>
      </w:pPr>
    </w:p>
    <w:p w14:paraId="3C4D4E80" w14:textId="77777777" w:rsidR="00093B46" w:rsidRPr="00494151" w:rsidRDefault="00093B46" w:rsidP="00A56322">
      <w:pPr>
        <w:spacing w:line="360" w:lineRule="auto"/>
        <w:rPr>
          <w:rFonts w:asciiTheme="majorBidi" w:hAnsiTheme="majorBidi" w:cstheme="majorBidi"/>
          <w:sz w:val="24"/>
          <w:szCs w:val="24"/>
        </w:rPr>
      </w:pPr>
    </w:p>
    <w:p w14:paraId="7CC947B5" w14:textId="77777777" w:rsidR="00093B46" w:rsidRPr="00494151" w:rsidRDefault="00093B46" w:rsidP="00A56322">
      <w:pPr>
        <w:spacing w:line="360" w:lineRule="auto"/>
        <w:rPr>
          <w:rFonts w:asciiTheme="majorBidi" w:hAnsiTheme="majorBidi" w:cstheme="majorBidi"/>
          <w:sz w:val="24"/>
          <w:szCs w:val="24"/>
        </w:rPr>
      </w:pPr>
    </w:p>
    <w:p w14:paraId="50D0E855" w14:textId="77777777" w:rsidR="00093B46" w:rsidRPr="00494151" w:rsidRDefault="00093B46" w:rsidP="00093B46">
      <w:pPr>
        <w:spacing w:line="360" w:lineRule="auto"/>
        <w:jc w:val="both"/>
        <w:rPr>
          <w:rFonts w:asciiTheme="majorBidi" w:hAnsiTheme="majorBidi" w:cstheme="majorBidi"/>
          <w:b/>
          <w:sz w:val="24"/>
          <w:szCs w:val="24"/>
        </w:rPr>
      </w:pPr>
    </w:p>
    <w:p w14:paraId="796DEF33" w14:textId="77777777" w:rsidR="00093B46" w:rsidRPr="00494151" w:rsidRDefault="00093B46" w:rsidP="00093B46">
      <w:pPr>
        <w:spacing w:line="360" w:lineRule="auto"/>
        <w:jc w:val="both"/>
        <w:rPr>
          <w:rFonts w:asciiTheme="majorBidi" w:hAnsiTheme="majorBidi" w:cstheme="majorBidi"/>
          <w:b/>
          <w:sz w:val="24"/>
          <w:szCs w:val="24"/>
        </w:rPr>
      </w:pPr>
    </w:p>
    <w:p w14:paraId="097E6E11" w14:textId="77777777" w:rsidR="0051076E" w:rsidRDefault="0051076E" w:rsidP="00093B46">
      <w:pPr>
        <w:spacing w:line="360" w:lineRule="auto"/>
        <w:jc w:val="center"/>
        <w:rPr>
          <w:rFonts w:asciiTheme="majorBidi" w:hAnsiTheme="majorBidi" w:cstheme="majorBidi"/>
          <w:i/>
          <w:iCs/>
          <w:sz w:val="24"/>
          <w:szCs w:val="24"/>
        </w:rPr>
      </w:pPr>
    </w:p>
    <w:p w14:paraId="52514370" w14:textId="77777777" w:rsidR="0051076E" w:rsidRDefault="0051076E" w:rsidP="00093B46">
      <w:pPr>
        <w:spacing w:line="360" w:lineRule="auto"/>
        <w:jc w:val="center"/>
        <w:rPr>
          <w:rFonts w:asciiTheme="majorBidi" w:hAnsiTheme="majorBidi" w:cstheme="majorBidi"/>
          <w:i/>
          <w:iCs/>
          <w:sz w:val="24"/>
          <w:szCs w:val="24"/>
        </w:rPr>
      </w:pPr>
    </w:p>
    <w:p w14:paraId="1295018C" w14:textId="77777777" w:rsidR="00093B46" w:rsidRPr="00494151" w:rsidRDefault="00093B46" w:rsidP="00093B46">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4: Distributions for descriptions for rural experience</w:t>
      </w:r>
    </w:p>
    <w:p w14:paraId="796913E0" w14:textId="77777777" w:rsidR="00D87640" w:rsidRPr="00494151" w:rsidRDefault="00D87640" w:rsidP="00BF413C">
      <w:pPr>
        <w:spacing w:line="360" w:lineRule="auto"/>
        <w:rPr>
          <w:rFonts w:asciiTheme="majorBidi" w:hAnsiTheme="majorBidi" w:cstheme="majorBidi"/>
          <w:b/>
          <w:bCs/>
          <w:sz w:val="24"/>
          <w:szCs w:val="24"/>
        </w:rPr>
      </w:pPr>
    </w:p>
    <w:p w14:paraId="4F2C652C" w14:textId="77777777" w:rsidR="00BF413C" w:rsidRPr="00494151" w:rsidRDefault="00D87640" w:rsidP="00BF413C">
      <w:pPr>
        <w:spacing w:line="360" w:lineRule="auto"/>
        <w:rPr>
          <w:rFonts w:asciiTheme="majorBidi" w:hAnsiTheme="majorBidi" w:cstheme="majorBidi"/>
          <w:b/>
          <w:bCs/>
          <w:sz w:val="24"/>
          <w:szCs w:val="24"/>
        </w:rPr>
      </w:pPr>
      <w:r w:rsidRPr="00494151">
        <w:rPr>
          <w:rFonts w:asciiTheme="majorBidi" w:hAnsiTheme="majorBidi" w:cstheme="majorBidi"/>
          <w:b/>
          <w:bCs/>
          <w:sz w:val="24"/>
          <w:szCs w:val="24"/>
        </w:rPr>
        <w:lastRenderedPageBreak/>
        <w:t>3.3 Career Development Plans</w:t>
      </w:r>
    </w:p>
    <w:p w14:paraId="753218EE" w14:textId="77777777" w:rsidR="00D87640" w:rsidRPr="00494151" w:rsidRDefault="00D87640" w:rsidP="005A3D69">
      <w:pPr>
        <w:spacing w:line="360" w:lineRule="auto"/>
        <w:jc w:val="both"/>
        <w:rPr>
          <w:rFonts w:asciiTheme="majorBidi" w:hAnsiTheme="majorBidi" w:cstheme="majorBidi"/>
          <w:sz w:val="24"/>
          <w:szCs w:val="24"/>
        </w:rPr>
      </w:pPr>
      <w:r w:rsidRPr="00494151">
        <w:rPr>
          <w:rFonts w:asciiTheme="majorBidi" w:hAnsiTheme="majorBidi" w:cstheme="majorBidi"/>
          <w:noProof/>
          <w:sz w:val="24"/>
          <w:szCs w:val="24"/>
          <w:lang w:val="en-US"/>
        </w:rPr>
        <w:drawing>
          <wp:anchor distT="0" distB="0" distL="114300" distR="114300" simplePos="0" relativeHeight="251661312" behindDoc="1" locked="0" layoutInCell="1" allowOverlap="1" wp14:anchorId="4620D93A" wp14:editId="753A6B85">
            <wp:simplePos x="0" y="0"/>
            <wp:positionH relativeFrom="column">
              <wp:posOffset>1117600</wp:posOffset>
            </wp:positionH>
            <wp:positionV relativeFrom="paragraph">
              <wp:posOffset>854710</wp:posOffset>
            </wp:positionV>
            <wp:extent cx="3948430" cy="2581275"/>
            <wp:effectExtent l="0" t="0" r="0" b="9525"/>
            <wp:wrapTight wrapText="bothSides">
              <wp:wrapPolygon edited="0">
                <wp:start x="0" y="0"/>
                <wp:lineTo x="0" y="21520"/>
                <wp:lineTo x="21468" y="21520"/>
                <wp:lineTo x="214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48430" cy="2581275"/>
                    </a:xfrm>
                    <a:prstGeom prst="rect">
                      <a:avLst/>
                    </a:prstGeom>
                  </pic:spPr>
                </pic:pic>
              </a:graphicData>
            </a:graphic>
            <wp14:sizeRelH relativeFrom="margin">
              <wp14:pctWidth>0</wp14:pctWidth>
            </wp14:sizeRelH>
            <wp14:sizeRelV relativeFrom="margin">
              <wp14:pctHeight>0</wp14:pctHeight>
            </wp14:sizeRelV>
          </wp:anchor>
        </w:drawing>
      </w:r>
      <w:r w:rsidRPr="00494151">
        <w:rPr>
          <w:rFonts w:asciiTheme="majorBidi" w:hAnsiTheme="majorBidi" w:cstheme="majorBidi"/>
          <w:sz w:val="24"/>
          <w:szCs w:val="24"/>
        </w:rPr>
        <w:t>Postgraduate aspirations strongly featured in students’ plans, with 69.1% intending to pursue specialty training after graduation, as related in Figure 5. Only 8.7% planned to work as general practitioners, while 3.4% contemplated leaving medicine entirely.</w:t>
      </w:r>
    </w:p>
    <w:p w14:paraId="1DF35B66" w14:textId="77777777" w:rsidR="00D87640" w:rsidRPr="00494151" w:rsidRDefault="00D87640" w:rsidP="00D87640">
      <w:pPr>
        <w:spacing w:line="360" w:lineRule="auto"/>
        <w:rPr>
          <w:rFonts w:asciiTheme="majorBidi" w:hAnsiTheme="majorBidi" w:cstheme="majorBidi"/>
          <w:sz w:val="24"/>
          <w:szCs w:val="24"/>
        </w:rPr>
      </w:pPr>
    </w:p>
    <w:p w14:paraId="1C061220" w14:textId="77777777" w:rsidR="00D87640" w:rsidRPr="00494151" w:rsidRDefault="00D87640" w:rsidP="00D87640">
      <w:pPr>
        <w:spacing w:line="360" w:lineRule="auto"/>
        <w:rPr>
          <w:rFonts w:asciiTheme="majorBidi" w:hAnsiTheme="majorBidi" w:cstheme="majorBidi"/>
          <w:sz w:val="24"/>
          <w:szCs w:val="24"/>
        </w:rPr>
      </w:pPr>
    </w:p>
    <w:p w14:paraId="2FF226B3" w14:textId="77777777" w:rsidR="00D87640" w:rsidRPr="00494151" w:rsidRDefault="00D87640" w:rsidP="00D87640">
      <w:pPr>
        <w:spacing w:line="360" w:lineRule="auto"/>
        <w:rPr>
          <w:rFonts w:asciiTheme="majorBidi" w:hAnsiTheme="majorBidi" w:cstheme="majorBidi"/>
          <w:sz w:val="24"/>
          <w:szCs w:val="24"/>
        </w:rPr>
      </w:pPr>
    </w:p>
    <w:p w14:paraId="77C36908" w14:textId="77777777" w:rsidR="00D87640" w:rsidRPr="00494151" w:rsidRDefault="00D87640" w:rsidP="00D87640">
      <w:pPr>
        <w:spacing w:line="360" w:lineRule="auto"/>
        <w:rPr>
          <w:rFonts w:asciiTheme="majorBidi" w:hAnsiTheme="majorBidi" w:cstheme="majorBidi"/>
          <w:sz w:val="24"/>
          <w:szCs w:val="24"/>
        </w:rPr>
      </w:pPr>
    </w:p>
    <w:p w14:paraId="1EA1471A" w14:textId="77777777" w:rsidR="00D87640" w:rsidRPr="00494151" w:rsidRDefault="00D87640" w:rsidP="00D87640">
      <w:pPr>
        <w:spacing w:line="360" w:lineRule="auto"/>
        <w:rPr>
          <w:rFonts w:asciiTheme="majorBidi" w:hAnsiTheme="majorBidi" w:cstheme="majorBidi"/>
          <w:sz w:val="24"/>
          <w:szCs w:val="24"/>
        </w:rPr>
      </w:pPr>
    </w:p>
    <w:p w14:paraId="2C317934" w14:textId="77777777" w:rsidR="00D87640" w:rsidRPr="00494151" w:rsidRDefault="00D87640" w:rsidP="00D87640">
      <w:pPr>
        <w:spacing w:line="360" w:lineRule="auto"/>
        <w:rPr>
          <w:rFonts w:asciiTheme="majorBidi" w:hAnsiTheme="majorBidi" w:cstheme="majorBidi"/>
          <w:sz w:val="24"/>
          <w:szCs w:val="24"/>
        </w:rPr>
      </w:pPr>
    </w:p>
    <w:p w14:paraId="010381AF" w14:textId="77777777" w:rsidR="00D87640" w:rsidRPr="00494151" w:rsidRDefault="00D87640" w:rsidP="00D87640">
      <w:pPr>
        <w:spacing w:line="360" w:lineRule="auto"/>
        <w:rPr>
          <w:rFonts w:asciiTheme="majorBidi" w:hAnsiTheme="majorBidi" w:cstheme="majorBidi"/>
          <w:sz w:val="24"/>
          <w:szCs w:val="24"/>
        </w:rPr>
      </w:pPr>
    </w:p>
    <w:p w14:paraId="7E92B61E" w14:textId="77777777" w:rsidR="00D87640" w:rsidRPr="00494151" w:rsidRDefault="00D87640" w:rsidP="00D87640">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5: Distribution of individuals after graduation</w:t>
      </w:r>
    </w:p>
    <w:p w14:paraId="5D6188CB" w14:textId="77777777" w:rsidR="004F4F37" w:rsidRPr="00494151" w:rsidRDefault="00D37A3B" w:rsidP="00D37A3B">
      <w:pPr>
        <w:spacing w:line="360" w:lineRule="auto"/>
        <w:rPr>
          <w:rFonts w:asciiTheme="majorBidi" w:hAnsiTheme="majorBidi" w:cstheme="majorBidi"/>
          <w:sz w:val="24"/>
          <w:szCs w:val="24"/>
        </w:rPr>
      </w:pPr>
      <w:r w:rsidRPr="00494151">
        <w:rPr>
          <w:rFonts w:asciiTheme="majorBidi" w:hAnsiTheme="majorBidi" w:cstheme="majorBidi"/>
          <w:noProof/>
          <w:sz w:val="24"/>
          <w:szCs w:val="24"/>
          <w:lang w:val="en-US"/>
        </w:rPr>
        <w:drawing>
          <wp:anchor distT="0" distB="0" distL="114300" distR="114300" simplePos="0" relativeHeight="251662336" behindDoc="1" locked="0" layoutInCell="1" allowOverlap="1" wp14:anchorId="5D3BCB45" wp14:editId="59F1FCF1">
            <wp:simplePos x="0" y="0"/>
            <wp:positionH relativeFrom="column">
              <wp:posOffset>1117600</wp:posOffset>
            </wp:positionH>
            <wp:positionV relativeFrom="paragraph">
              <wp:posOffset>623570</wp:posOffset>
            </wp:positionV>
            <wp:extent cx="3893820" cy="2496820"/>
            <wp:effectExtent l="0" t="0" r="0" b="0"/>
            <wp:wrapTight wrapText="bothSides">
              <wp:wrapPolygon edited="0">
                <wp:start x="0" y="0"/>
                <wp:lineTo x="0" y="21424"/>
                <wp:lineTo x="21452" y="21424"/>
                <wp:lineTo x="214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93820" cy="2496820"/>
                    </a:xfrm>
                    <a:prstGeom prst="rect">
                      <a:avLst/>
                    </a:prstGeom>
                  </pic:spPr>
                </pic:pic>
              </a:graphicData>
            </a:graphic>
            <wp14:sizeRelH relativeFrom="margin">
              <wp14:pctWidth>0</wp14:pctWidth>
            </wp14:sizeRelH>
            <wp14:sizeRelV relativeFrom="margin">
              <wp14:pctHeight>0</wp14:pctHeight>
            </wp14:sizeRelV>
          </wp:anchor>
        </w:drawing>
      </w:r>
      <w:r w:rsidR="004F4F37" w:rsidRPr="00494151">
        <w:rPr>
          <w:rFonts w:asciiTheme="majorBidi" w:hAnsiTheme="majorBidi" w:cstheme="majorBidi"/>
          <w:sz w:val="24"/>
          <w:szCs w:val="24"/>
        </w:rPr>
        <w:t>Regarding practice type, 48.6% preferred public sector work, while 22.9% favou</w:t>
      </w:r>
      <w:r w:rsidRPr="00494151">
        <w:rPr>
          <w:rFonts w:asciiTheme="majorBidi" w:hAnsiTheme="majorBidi" w:cstheme="majorBidi"/>
          <w:sz w:val="24"/>
          <w:szCs w:val="24"/>
        </w:rPr>
        <w:t>red private practice (Figure 6</w:t>
      </w:r>
      <w:r w:rsidR="004F4F37" w:rsidRPr="00494151">
        <w:rPr>
          <w:rFonts w:asciiTheme="majorBidi" w:hAnsiTheme="majorBidi" w:cstheme="majorBidi"/>
          <w:sz w:val="24"/>
          <w:szCs w:val="24"/>
        </w:rPr>
        <w:t xml:space="preserve">). </w:t>
      </w:r>
    </w:p>
    <w:p w14:paraId="01C9CEB5" w14:textId="77777777" w:rsidR="00D37A3B" w:rsidRPr="00494151" w:rsidRDefault="00D37A3B" w:rsidP="004F4F37">
      <w:pPr>
        <w:spacing w:line="360" w:lineRule="auto"/>
        <w:rPr>
          <w:rFonts w:asciiTheme="majorBidi" w:hAnsiTheme="majorBidi" w:cstheme="majorBidi"/>
          <w:sz w:val="24"/>
          <w:szCs w:val="24"/>
        </w:rPr>
      </w:pPr>
    </w:p>
    <w:p w14:paraId="360BAC01" w14:textId="77777777" w:rsidR="00D37A3B" w:rsidRPr="00494151" w:rsidRDefault="00D37A3B" w:rsidP="004F4F37">
      <w:pPr>
        <w:spacing w:line="360" w:lineRule="auto"/>
        <w:rPr>
          <w:rFonts w:asciiTheme="majorBidi" w:hAnsiTheme="majorBidi" w:cstheme="majorBidi"/>
          <w:sz w:val="24"/>
          <w:szCs w:val="24"/>
        </w:rPr>
      </w:pPr>
    </w:p>
    <w:p w14:paraId="78D26952" w14:textId="77777777" w:rsidR="00D37A3B" w:rsidRPr="00494151" w:rsidRDefault="00D37A3B" w:rsidP="004F4F37">
      <w:pPr>
        <w:spacing w:line="360" w:lineRule="auto"/>
        <w:rPr>
          <w:rFonts w:asciiTheme="majorBidi" w:hAnsiTheme="majorBidi" w:cstheme="majorBidi"/>
          <w:sz w:val="24"/>
          <w:szCs w:val="24"/>
        </w:rPr>
      </w:pPr>
    </w:p>
    <w:p w14:paraId="3B1F6028" w14:textId="77777777" w:rsidR="00D37A3B" w:rsidRPr="00494151" w:rsidRDefault="00D37A3B" w:rsidP="004F4F37">
      <w:pPr>
        <w:spacing w:line="360" w:lineRule="auto"/>
        <w:rPr>
          <w:rFonts w:asciiTheme="majorBidi" w:hAnsiTheme="majorBidi" w:cstheme="majorBidi"/>
          <w:sz w:val="24"/>
          <w:szCs w:val="24"/>
        </w:rPr>
      </w:pPr>
    </w:p>
    <w:p w14:paraId="3DB8B1A1" w14:textId="77777777" w:rsidR="00D37A3B" w:rsidRPr="00494151" w:rsidRDefault="00D37A3B" w:rsidP="004F4F37">
      <w:pPr>
        <w:spacing w:line="360" w:lineRule="auto"/>
        <w:rPr>
          <w:rFonts w:asciiTheme="majorBidi" w:hAnsiTheme="majorBidi" w:cstheme="majorBidi"/>
          <w:sz w:val="24"/>
          <w:szCs w:val="24"/>
        </w:rPr>
      </w:pPr>
    </w:p>
    <w:p w14:paraId="718331D2" w14:textId="77777777" w:rsidR="00D37A3B" w:rsidRPr="00494151" w:rsidRDefault="00D37A3B" w:rsidP="004F4F37">
      <w:pPr>
        <w:spacing w:line="360" w:lineRule="auto"/>
        <w:rPr>
          <w:rFonts w:asciiTheme="majorBidi" w:hAnsiTheme="majorBidi" w:cstheme="majorBidi"/>
          <w:sz w:val="24"/>
          <w:szCs w:val="24"/>
        </w:rPr>
      </w:pPr>
    </w:p>
    <w:p w14:paraId="511B384E" w14:textId="77777777" w:rsidR="00D37A3B" w:rsidRPr="00494151" w:rsidRDefault="00D37A3B" w:rsidP="004F4F37">
      <w:pPr>
        <w:spacing w:line="360" w:lineRule="auto"/>
        <w:rPr>
          <w:rFonts w:asciiTheme="majorBidi" w:hAnsiTheme="majorBidi" w:cstheme="majorBidi"/>
          <w:sz w:val="24"/>
          <w:szCs w:val="24"/>
        </w:rPr>
      </w:pPr>
    </w:p>
    <w:p w14:paraId="1C4BDB49" w14:textId="77777777" w:rsidR="00D37A3B" w:rsidRPr="00494151" w:rsidRDefault="00A35FB8" w:rsidP="00D37A3B">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6</w:t>
      </w:r>
      <w:r w:rsidR="00D37A3B" w:rsidRPr="00494151">
        <w:rPr>
          <w:rFonts w:asciiTheme="majorBidi" w:hAnsiTheme="majorBidi" w:cstheme="majorBidi"/>
          <w:i/>
          <w:iCs/>
          <w:sz w:val="24"/>
          <w:szCs w:val="24"/>
        </w:rPr>
        <w:t>: Respondents preference for Public or Private Practice</w:t>
      </w:r>
    </w:p>
    <w:p w14:paraId="252835EB" w14:textId="77777777" w:rsidR="00D37A3B" w:rsidRPr="00494151" w:rsidRDefault="00D37A3B" w:rsidP="00D37A3B">
      <w:pPr>
        <w:spacing w:line="360" w:lineRule="auto"/>
        <w:rPr>
          <w:rFonts w:asciiTheme="majorBidi" w:hAnsiTheme="majorBidi" w:cstheme="majorBidi"/>
          <w:i/>
          <w:iCs/>
          <w:sz w:val="24"/>
          <w:szCs w:val="24"/>
        </w:rPr>
      </w:pPr>
    </w:p>
    <w:p w14:paraId="12A94D45" w14:textId="77777777" w:rsidR="00D37A3B" w:rsidRPr="00494151" w:rsidRDefault="00D37A3B" w:rsidP="00D37A3B">
      <w:pPr>
        <w:spacing w:line="360" w:lineRule="auto"/>
        <w:rPr>
          <w:rFonts w:asciiTheme="majorBidi" w:hAnsiTheme="majorBidi" w:cstheme="majorBidi"/>
          <w:sz w:val="24"/>
          <w:szCs w:val="24"/>
        </w:rPr>
      </w:pPr>
      <w:r w:rsidRPr="00494151">
        <w:rPr>
          <w:rFonts w:asciiTheme="majorBidi" w:hAnsiTheme="majorBidi" w:cstheme="majorBidi"/>
          <w:noProof/>
          <w:sz w:val="24"/>
          <w:szCs w:val="24"/>
          <w:lang w:val="en-US"/>
        </w:rPr>
        <w:lastRenderedPageBreak/>
        <w:drawing>
          <wp:anchor distT="0" distB="0" distL="114300" distR="114300" simplePos="0" relativeHeight="251663360" behindDoc="1" locked="0" layoutInCell="1" allowOverlap="1" wp14:anchorId="33819274" wp14:editId="0CDC2B02">
            <wp:simplePos x="0" y="0"/>
            <wp:positionH relativeFrom="column">
              <wp:posOffset>1441450</wp:posOffset>
            </wp:positionH>
            <wp:positionV relativeFrom="paragraph">
              <wp:posOffset>546100</wp:posOffset>
            </wp:positionV>
            <wp:extent cx="3213100" cy="2203449"/>
            <wp:effectExtent l="0" t="0" r="6350" b="6985"/>
            <wp:wrapTight wrapText="bothSides">
              <wp:wrapPolygon edited="0">
                <wp:start x="0" y="0"/>
                <wp:lineTo x="0" y="21482"/>
                <wp:lineTo x="21515" y="21482"/>
                <wp:lineTo x="2151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669" t="9095" r="1802" b="12006"/>
                    <a:stretch/>
                  </pic:blipFill>
                  <pic:spPr bwMode="auto">
                    <a:xfrm>
                      <a:off x="0" y="0"/>
                      <a:ext cx="3213100" cy="2203449"/>
                    </a:xfrm>
                    <a:prstGeom prst="rect">
                      <a:avLst/>
                    </a:prstGeom>
                    <a:ln>
                      <a:noFill/>
                    </a:ln>
                    <a:extLst>
                      <a:ext uri="{53640926-AAD7-44D8-BBD7-CCE9431645EC}">
                        <a14:shadowObscured xmlns:a14="http://schemas.microsoft.com/office/drawing/2010/main"/>
                      </a:ext>
                    </a:extLst>
                  </pic:spPr>
                </pic:pic>
              </a:graphicData>
            </a:graphic>
          </wp:anchor>
        </w:drawing>
      </w:r>
      <w:r w:rsidRPr="00494151">
        <w:rPr>
          <w:rFonts w:asciiTheme="majorBidi" w:hAnsiTheme="majorBidi" w:cstheme="majorBidi"/>
          <w:sz w:val="24"/>
          <w:szCs w:val="24"/>
        </w:rPr>
        <w:t>Notably, 51% reported their public/private preference was influenced by caree</w:t>
      </w:r>
      <w:r w:rsidR="00A35FB8" w:rsidRPr="00494151">
        <w:rPr>
          <w:rFonts w:asciiTheme="majorBidi" w:hAnsiTheme="majorBidi" w:cstheme="majorBidi"/>
          <w:sz w:val="24"/>
          <w:szCs w:val="24"/>
        </w:rPr>
        <w:t>r path considerations (Figure 7</w:t>
      </w:r>
      <w:r w:rsidRPr="00494151">
        <w:rPr>
          <w:rFonts w:asciiTheme="majorBidi" w:hAnsiTheme="majorBidi" w:cstheme="majorBidi"/>
          <w:sz w:val="24"/>
          <w:szCs w:val="24"/>
        </w:rPr>
        <w:t xml:space="preserve">). </w:t>
      </w:r>
    </w:p>
    <w:p w14:paraId="0405FBD4" w14:textId="77777777" w:rsidR="00D37A3B" w:rsidRPr="00494151" w:rsidRDefault="00D37A3B" w:rsidP="00D37A3B">
      <w:pPr>
        <w:spacing w:line="360" w:lineRule="auto"/>
        <w:rPr>
          <w:rFonts w:asciiTheme="majorBidi" w:hAnsiTheme="majorBidi" w:cstheme="majorBidi"/>
          <w:noProof/>
          <w:sz w:val="24"/>
          <w:szCs w:val="24"/>
          <w:lang w:val="en-US"/>
        </w:rPr>
      </w:pPr>
    </w:p>
    <w:p w14:paraId="749AAA7C" w14:textId="77777777" w:rsidR="00D37A3B" w:rsidRPr="00494151" w:rsidRDefault="00D37A3B" w:rsidP="00D37A3B">
      <w:pPr>
        <w:spacing w:line="360" w:lineRule="auto"/>
        <w:rPr>
          <w:rFonts w:asciiTheme="majorBidi" w:hAnsiTheme="majorBidi" w:cstheme="majorBidi"/>
          <w:sz w:val="24"/>
          <w:szCs w:val="24"/>
        </w:rPr>
      </w:pPr>
    </w:p>
    <w:p w14:paraId="6C8B5945" w14:textId="77777777" w:rsidR="00D37A3B" w:rsidRPr="00494151" w:rsidRDefault="00D37A3B" w:rsidP="00D37A3B">
      <w:pPr>
        <w:spacing w:line="360" w:lineRule="auto"/>
        <w:rPr>
          <w:rFonts w:asciiTheme="majorBidi" w:hAnsiTheme="majorBidi" w:cstheme="majorBidi"/>
          <w:sz w:val="24"/>
          <w:szCs w:val="24"/>
        </w:rPr>
      </w:pPr>
    </w:p>
    <w:p w14:paraId="38ECA095" w14:textId="77777777" w:rsidR="00D37A3B" w:rsidRPr="00494151" w:rsidRDefault="00D37A3B" w:rsidP="00D37A3B">
      <w:pPr>
        <w:spacing w:line="360" w:lineRule="auto"/>
        <w:rPr>
          <w:rFonts w:asciiTheme="majorBidi" w:hAnsiTheme="majorBidi" w:cstheme="majorBidi"/>
          <w:sz w:val="24"/>
          <w:szCs w:val="24"/>
        </w:rPr>
      </w:pPr>
    </w:p>
    <w:p w14:paraId="68D938FC" w14:textId="77777777" w:rsidR="00D37A3B" w:rsidRPr="00494151" w:rsidRDefault="00D37A3B" w:rsidP="00D37A3B">
      <w:pPr>
        <w:spacing w:line="360" w:lineRule="auto"/>
        <w:rPr>
          <w:rFonts w:asciiTheme="majorBidi" w:hAnsiTheme="majorBidi" w:cstheme="majorBidi"/>
          <w:sz w:val="24"/>
          <w:szCs w:val="24"/>
        </w:rPr>
      </w:pPr>
    </w:p>
    <w:p w14:paraId="706C18F9" w14:textId="77777777" w:rsidR="00D37A3B" w:rsidRPr="00494151" w:rsidRDefault="00D37A3B" w:rsidP="00D37A3B">
      <w:pPr>
        <w:spacing w:line="360" w:lineRule="auto"/>
        <w:rPr>
          <w:rFonts w:asciiTheme="majorBidi" w:hAnsiTheme="majorBidi" w:cstheme="majorBidi"/>
          <w:sz w:val="24"/>
          <w:szCs w:val="24"/>
        </w:rPr>
      </w:pPr>
    </w:p>
    <w:p w14:paraId="7E070B34" w14:textId="77777777" w:rsidR="00D37A3B" w:rsidRPr="00494151" w:rsidRDefault="00A35FB8" w:rsidP="00D37A3B">
      <w:pPr>
        <w:spacing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7</w:t>
      </w:r>
      <w:r w:rsidR="00D37A3B" w:rsidRPr="00494151">
        <w:rPr>
          <w:rFonts w:asciiTheme="majorBidi" w:hAnsiTheme="majorBidi" w:cstheme="majorBidi"/>
          <w:i/>
          <w:iCs/>
          <w:sz w:val="24"/>
          <w:szCs w:val="24"/>
        </w:rPr>
        <w:t>: Distribution for decisions influenced by career path</w:t>
      </w:r>
    </w:p>
    <w:p w14:paraId="6F45C8BE" w14:textId="77777777" w:rsidR="00D37A3B" w:rsidRPr="00494151" w:rsidRDefault="00D37A3B" w:rsidP="00C43679">
      <w:pPr>
        <w:spacing w:line="360" w:lineRule="auto"/>
        <w:rPr>
          <w:rFonts w:asciiTheme="majorBidi" w:hAnsiTheme="majorBidi" w:cstheme="majorBidi"/>
          <w:sz w:val="24"/>
          <w:szCs w:val="24"/>
        </w:rPr>
      </w:pPr>
      <w:r w:rsidRPr="00494151">
        <w:rPr>
          <w:rFonts w:asciiTheme="majorBidi" w:hAnsiTheme="majorBidi" w:cstheme="majorBidi"/>
          <w:sz w:val="24"/>
          <w:szCs w:val="24"/>
        </w:rPr>
        <w:t>Among those considering private practice, 39.4% would establish this in rural areas versus 3</w:t>
      </w:r>
      <w:r w:rsidR="00EF56BD" w:rsidRPr="00494151">
        <w:rPr>
          <w:rFonts w:asciiTheme="majorBidi" w:hAnsiTheme="majorBidi" w:cstheme="majorBidi"/>
          <w:sz w:val="24"/>
          <w:szCs w:val="24"/>
        </w:rPr>
        <w:t xml:space="preserve">5.4% in urban </w:t>
      </w:r>
      <w:r w:rsidR="00C43679" w:rsidRPr="00494151">
        <w:rPr>
          <w:rFonts w:asciiTheme="majorBidi" w:hAnsiTheme="majorBidi" w:cstheme="majorBidi"/>
          <w:sz w:val="24"/>
          <w:szCs w:val="24"/>
        </w:rPr>
        <w:t>centres</w:t>
      </w:r>
      <w:r w:rsidR="00EF56BD" w:rsidRPr="00494151">
        <w:rPr>
          <w:rFonts w:asciiTheme="majorBidi" w:hAnsiTheme="majorBidi" w:cstheme="majorBidi"/>
          <w:sz w:val="24"/>
          <w:szCs w:val="24"/>
        </w:rPr>
        <w:t xml:space="preserve"> (Table 3</w:t>
      </w:r>
      <w:r w:rsidRPr="00494151">
        <w:rPr>
          <w:rFonts w:asciiTheme="majorBidi" w:hAnsiTheme="majorBidi" w:cstheme="majorBidi"/>
          <w:sz w:val="24"/>
          <w:szCs w:val="24"/>
        </w:rPr>
        <w:t xml:space="preserve">). </w:t>
      </w:r>
    </w:p>
    <w:p w14:paraId="63330ECB" w14:textId="77777777" w:rsidR="00A35FB8" w:rsidRPr="00494151" w:rsidRDefault="00A35FB8" w:rsidP="00A35FB8">
      <w:pPr>
        <w:spacing w:line="360" w:lineRule="auto"/>
        <w:jc w:val="both"/>
        <w:rPr>
          <w:rFonts w:asciiTheme="majorBidi" w:hAnsiTheme="majorBidi" w:cstheme="majorBidi"/>
          <w:bCs/>
          <w:sz w:val="24"/>
          <w:szCs w:val="24"/>
        </w:rPr>
      </w:pPr>
      <w:r w:rsidRPr="00494151">
        <w:rPr>
          <w:rFonts w:asciiTheme="majorBidi" w:hAnsiTheme="majorBidi" w:cstheme="majorBidi"/>
          <w:bCs/>
          <w:sz w:val="24"/>
          <w:szCs w:val="24"/>
        </w:rPr>
        <w:t xml:space="preserve">Table </w:t>
      </w:r>
      <w:r w:rsidR="00C43679" w:rsidRPr="00494151">
        <w:rPr>
          <w:rFonts w:asciiTheme="majorBidi" w:hAnsiTheme="majorBidi" w:cstheme="majorBidi"/>
          <w:bCs/>
          <w:sz w:val="24"/>
          <w:szCs w:val="24"/>
        </w:rPr>
        <w:t xml:space="preserve">3: </w:t>
      </w:r>
      <w:r w:rsidRPr="00494151">
        <w:rPr>
          <w:rFonts w:asciiTheme="majorBidi" w:hAnsiTheme="majorBidi" w:cstheme="majorBidi"/>
          <w:bCs/>
          <w:sz w:val="24"/>
          <w:szCs w:val="24"/>
        </w:rPr>
        <w:t xml:space="preserve">Distribution </w:t>
      </w:r>
      <w:r w:rsidR="00C43679" w:rsidRPr="00494151">
        <w:rPr>
          <w:rFonts w:asciiTheme="majorBidi" w:hAnsiTheme="majorBidi" w:cstheme="majorBidi"/>
          <w:bCs/>
          <w:sz w:val="24"/>
          <w:szCs w:val="24"/>
        </w:rPr>
        <w:t>for Location of Private Practice</w:t>
      </w:r>
    </w:p>
    <w:tbl>
      <w:tblPr>
        <w:tblW w:w="5000" w:type="pct"/>
        <w:tblLook w:val="04A0" w:firstRow="1" w:lastRow="0" w:firstColumn="1" w:lastColumn="0" w:noHBand="0" w:noVBand="1"/>
      </w:tblPr>
      <w:tblGrid>
        <w:gridCol w:w="3776"/>
        <w:gridCol w:w="3134"/>
        <w:gridCol w:w="2440"/>
      </w:tblGrid>
      <w:tr w:rsidR="00A35FB8" w:rsidRPr="00494151" w14:paraId="086E208F" w14:textId="77777777" w:rsidTr="00A35FB8">
        <w:trPr>
          <w:trHeight w:val="300"/>
        </w:trPr>
        <w:tc>
          <w:tcPr>
            <w:tcW w:w="20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B5FA2" w14:textId="77777777" w:rsidR="00A35FB8" w:rsidRPr="00494151" w:rsidRDefault="00A35FB8" w:rsidP="00A35FB8">
            <w:pPr>
              <w:spacing w:after="0" w:line="24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Location</w:t>
            </w:r>
          </w:p>
        </w:tc>
        <w:tc>
          <w:tcPr>
            <w:tcW w:w="1676" w:type="pct"/>
            <w:tcBorders>
              <w:top w:val="single" w:sz="4" w:space="0" w:color="auto"/>
              <w:left w:val="nil"/>
              <w:bottom w:val="single" w:sz="4" w:space="0" w:color="auto"/>
              <w:right w:val="single" w:sz="4" w:space="0" w:color="auto"/>
            </w:tcBorders>
            <w:shd w:val="clear" w:color="auto" w:fill="auto"/>
            <w:noWrap/>
            <w:vAlign w:val="bottom"/>
            <w:hideMark/>
          </w:tcPr>
          <w:p w14:paraId="6D20942E" w14:textId="77777777" w:rsidR="00A35FB8" w:rsidRPr="00494151" w:rsidRDefault="00A35FB8" w:rsidP="00A35FB8">
            <w:pPr>
              <w:spacing w:after="0" w:line="24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Frequency</w:t>
            </w:r>
          </w:p>
        </w:tc>
        <w:tc>
          <w:tcPr>
            <w:tcW w:w="1305" w:type="pct"/>
            <w:tcBorders>
              <w:top w:val="single" w:sz="4" w:space="0" w:color="auto"/>
              <w:left w:val="nil"/>
              <w:bottom w:val="single" w:sz="4" w:space="0" w:color="auto"/>
              <w:right w:val="single" w:sz="4" w:space="0" w:color="auto"/>
            </w:tcBorders>
            <w:shd w:val="clear" w:color="auto" w:fill="auto"/>
            <w:noWrap/>
            <w:vAlign w:val="bottom"/>
            <w:hideMark/>
          </w:tcPr>
          <w:p w14:paraId="15E189BF" w14:textId="77777777" w:rsidR="00A35FB8" w:rsidRPr="00494151" w:rsidRDefault="00A35FB8" w:rsidP="00A35FB8">
            <w:pPr>
              <w:spacing w:after="0" w:line="24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Percent</w:t>
            </w:r>
            <w:r w:rsidR="00F84228" w:rsidRPr="00494151">
              <w:rPr>
                <w:rFonts w:asciiTheme="majorBidi" w:eastAsia="Times New Roman" w:hAnsiTheme="majorBidi" w:cstheme="majorBidi"/>
                <w:b/>
                <w:bCs/>
                <w:color w:val="000000"/>
                <w:sz w:val="24"/>
                <w:szCs w:val="24"/>
              </w:rPr>
              <w:t>age (%)</w:t>
            </w:r>
          </w:p>
        </w:tc>
      </w:tr>
      <w:tr w:rsidR="00A35FB8" w:rsidRPr="00494151" w14:paraId="70D14BED" w14:textId="77777777" w:rsidTr="00A35FB8">
        <w:trPr>
          <w:trHeight w:val="300"/>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14:paraId="03E3BBF6" w14:textId="77777777" w:rsidR="00A35FB8" w:rsidRPr="00494151" w:rsidRDefault="00A35FB8" w:rsidP="00A35FB8">
            <w:pPr>
              <w:spacing w:after="0" w:line="24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Rural Area</w:t>
            </w:r>
          </w:p>
        </w:tc>
        <w:tc>
          <w:tcPr>
            <w:tcW w:w="1676" w:type="pct"/>
            <w:tcBorders>
              <w:top w:val="nil"/>
              <w:left w:val="nil"/>
              <w:bottom w:val="single" w:sz="4" w:space="0" w:color="auto"/>
              <w:right w:val="single" w:sz="4" w:space="0" w:color="auto"/>
            </w:tcBorders>
            <w:shd w:val="clear" w:color="auto" w:fill="auto"/>
            <w:noWrap/>
            <w:vAlign w:val="bottom"/>
            <w:hideMark/>
          </w:tcPr>
          <w:p w14:paraId="52AE6DB6" w14:textId="77777777" w:rsidR="00A35FB8" w:rsidRPr="00494151" w:rsidRDefault="00A35FB8" w:rsidP="00A35FB8">
            <w:pPr>
              <w:spacing w:after="0" w:line="24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39</w:t>
            </w:r>
          </w:p>
        </w:tc>
        <w:tc>
          <w:tcPr>
            <w:tcW w:w="1305" w:type="pct"/>
            <w:tcBorders>
              <w:top w:val="nil"/>
              <w:left w:val="nil"/>
              <w:bottom w:val="single" w:sz="4" w:space="0" w:color="auto"/>
              <w:right w:val="single" w:sz="4" w:space="0" w:color="auto"/>
            </w:tcBorders>
            <w:shd w:val="clear" w:color="auto" w:fill="auto"/>
            <w:noWrap/>
            <w:vAlign w:val="bottom"/>
            <w:hideMark/>
          </w:tcPr>
          <w:p w14:paraId="08B3B271" w14:textId="77777777" w:rsidR="00A35FB8" w:rsidRPr="00494151" w:rsidRDefault="00A35FB8" w:rsidP="00A35FB8">
            <w:pPr>
              <w:spacing w:after="0" w:line="24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39.4</w:t>
            </w:r>
          </w:p>
        </w:tc>
      </w:tr>
      <w:tr w:rsidR="00A35FB8" w:rsidRPr="00494151" w14:paraId="14E432BF" w14:textId="77777777" w:rsidTr="00A35FB8">
        <w:trPr>
          <w:trHeight w:val="300"/>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14:paraId="285AA9C0" w14:textId="77777777" w:rsidR="00A35FB8" w:rsidRPr="00494151" w:rsidRDefault="00A35FB8" w:rsidP="00A35FB8">
            <w:pPr>
              <w:spacing w:after="0" w:line="24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Urban Area</w:t>
            </w:r>
          </w:p>
        </w:tc>
        <w:tc>
          <w:tcPr>
            <w:tcW w:w="1676" w:type="pct"/>
            <w:tcBorders>
              <w:top w:val="nil"/>
              <w:left w:val="nil"/>
              <w:bottom w:val="single" w:sz="4" w:space="0" w:color="auto"/>
              <w:right w:val="single" w:sz="4" w:space="0" w:color="auto"/>
            </w:tcBorders>
            <w:shd w:val="clear" w:color="auto" w:fill="auto"/>
            <w:noWrap/>
            <w:vAlign w:val="bottom"/>
            <w:hideMark/>
          </w:tcPr>
          <w:p w14:paraId="392EFEE5" w14:textId="77777777" w:rsidR="00A35FB8" w:rsidRPr="00494151" w:rsidRDefault="00A35FB8" w:rsidP="00A35FB8">
            <w:pPr>
              <w:spacing w:after="0" w:line="24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35</w:t>
            </w:r>
          </w:p>
        </w:tc>
        <w:tc>
          <w:tcPr>
            <w:tcW w:w="1305" w:type="pct"/>
            <w:tcBorders>
              <w:top w:val="nil"/>
              <w:left w:val="nil"/>
              <w:bottom w:val="single" w:sz="4" w:space="0" w:color="auto"/>
              <w:right w:val="single" w:sz="4" w:space="0" w:color="auto"/>
            </w:tcBorders>
            <w:shd w:val="clear" w:color="auto" w:fill="auto"/>
            <w:noWrap/>
            <w:vAlign w:val="bottom"/>
            <w:hideMark/>
          </w:tcPr>
          <w:p w14:paraId="5AF5705B" w14:textId="77777777" w:rsidR="00A35FB8" w:rsidRPr="00494151" w:rsidRDefault="00A35FB8" w:rsidP="00A35FB8">
            <w:pPr>
              <w:spacing w:after="0" w:line="24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35.4</w:t>
            </w:r>
          </w:p>
        </w:tc>
      </w:tr>
      <w:tr w:rsidR="00A35FB8" w:rsidRPr="00494151" w14:paraId="216F1F41" w14:textId="77777777" w:rsidTr="00A35FB8">
        <w:trPr>
          <w:trHeight w:val="300"/>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14:paraId="117B7B24" w14:textId="77777777" w:rsidR="00A35FB8" w:rsidRPr="00494151" w:rsidRDefault="00A35FB8" w:rsidP="00A35FB8">
            <w:pPr>
              <w:spacing w:after="0" w:line="24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Not Sure</w:t>
            </w:r>
          </w:p>
        </w:tc>
        <w:tc>
          <w:tcPr>
            <w:tcW w:w="1676" w:type="pct"/>
            <w:tcBorders>
              <w:top w:val="nil"/>
              <w:left w:val="nil"/>
              <w:bottom w:val="single" w:sz="4" w:space="0" w:color="auto"/>
              <w:right w:val="single" w:sz="4" w:space="0" w:color="auto"/>
            </w:tcBorders>
            <w:shd w:val="clear" w:color="auto" w:fill="auto"/>
            <w:noWrap/>
            <w:vAlign w:val="bottom"/>
            <w:hideMark/>
          </w:tcPr>
          <w:p w14:paraId="492FDEEE" w14:textId="77777777" w:rsidR="00A35FB8" w:rsidRPr="00494151" w:rsidRDefault="00A35FB8" w:rsidP="00A35FB8">
            <w:pPr>
              <w:spacing w:after="0" w:line="24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25</w:t>
            </w:r>
          </w:p>
        </w:tc>
        <w:tc>
          <w:tcPr>
            <w:tcW w:w="1305" w:type="pct"/>
            <w:tcBorders>
              <w:top w:val="nil"/>
              <w:left w:val="nil"/>
              <w:bottom w:val="single" w:sz="4" w:space="0" w:color="auto"/>
              <w:right w:val="single" w:sz="4" w:space="0" w:color="auto"/>
            </w:tcBorders>
            <w:shd w:val="clear" w:color="auto" w:fill="auto"/>
            <w:noWrap/>
            <w:vAlign w:val="bottom"/>
            <w:hideMark/>
          </w:tcPr>
          <w:p w14:paraId="4C883BE8" w14:textId="77777777" w:rsidR="00A35FB8" w:rsidRPr="00494151" w:rsidRDefault="00A35FB8" w:rsidP="00A35FB8">
            <w:pPr>
              <w:spacing w:after="0" w:line="240" w:lineRule="auto"/>
              <w:jc w:val="both"/>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25.3</w:t>
            </w:r>
          </w:p>
        </w:tc>
      </w:tr>
    </w:tbl>
    <w:p w14:paraId="3F0ED0A3" w14:textId="77777777" w:rsidR="00EF56BD" w:rsidRPr="00494151" w:rsidRDefault="00EF56BD" w:rsidP="00EF56BD">
      <w:pPr>
        <w:spacing w:after="0" w:line="360" w:lineRule="auto"/>
        <w:rPr>
          <w:rFonts w:asciiTheme="majorBidi" w:hAnsiTheme="majorBidi" w:cstheme="majorBidi"/>
          <w:sz w:val="24"/>
          <w:szCs w:val="24"/>
        </w:rPr>
      </w:pPr>
    </w:p>
    <w:p w14:paraId="3666D6C1" w14:textId="77777777" w:rsidR="003C3F7D" w:rsidRPr="00494151" w:rsidRDefault="00840A9E" w:rsidP="0009103D">
      <w:pPr>
        <w:spacing w:after="0" w:line="360" w:lineRule="auto"/>
        <w:rPr>
          <w:rFonts w:asciiTheme="majorBidi" w:hAnsiTheme="majorBidi" w:cstheme="majorBidi"/>
          <w:sz w:val="24"/>
          <w:szCs w:val="24"/>
        </w:rPr>
      </w:pPr>
      <w:r w:rsidRPr="00494151">
        <w:rPr>
          <w:rFonts w:asciiTheme="majorBidi" w:hAnsiTheme="majorBidi" w:cstheme="majorBidi"/>
          <w:noProof/>
          <w:sz w:val="24"/>
          <w:szCs w:val="24"/>
          <w:lang w:val="en-US"/>
        </w:rPr>
        <w:drawing>
          <wp:anchor distT="0" distB="0" distL="114300" distR="114300" simplePos="0" relativeHeight="251664384" behindDoc="1" locked="0" layoutInCell="1" allowOverlap="1" wp14:anchorId="756AAE69" wp14:editId="18B1E550">
            <wp:simplePos x="0" y="0"/>
            <wp:positionH relativeFrom="column">
              <wp:posOffset>1765300</wp:posOffset>
            </wp:positionH>
            <wp:positionV relativeFrom="paragraph">
              <wp:posOffset>605790</wp:posOffset>
            </wp:positionV>
            <wp:extent cx="2850515" cy="1978025"/>
            <wp:effectExtent l="0" t="0" r="6985" b="3175"/>
            <wp:wrapTight wrapText="bothSides">
              <wp:wrapPolygon edited="0">
                <wp:start x="0" y="0"/>
                <wp:lineTo x="0" y="21427"/>
                <wp:lineTo x="21509" y="21427"/>
                <wp:lineTo x="215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0515" cy="1978025"/>
                    </a:xfrm>
                    <a:prstGeom prst="rect">
                      <a:avLst/>
                    </a:prstGeom>
                    <a:noFill/>
                  </pic:spPr>
                </pic:pic>
              </a:graphicData>
            </a:graphic>
            <wp14:sizeRelH relativeFrom="margin">
              <wp14:pctWidth>0</wp14:pctWidth>
            </wp14:sizeRelH>
            <wp14:sizeRelV relativeFrom="margin">
              <wp14:pctHeight>0</wp14:pctHeight>
            </wp14:sizeRelV>
          </wp:anchor>
        </w:drawing>
      </w:r>
      <w:r w:rsidR="00A05CE7" w:rsidRPr="00494151">
        <w:rPr>
          <w:rFonts w:asciiTheme="majorBidi" w:hAnsiTheme="majorBidi" w:cstheme="majorBidi"/>
          <w:sz w:val="24"/>
          <w:szCs w:val="24"/>
        </w:rPr>
        <w:t>The data revealed an important pattern about practice types: while 58% of prospective specialists planned public sector work, only 36% of would-be general practitioners int</w:t>
      </w:r>
      <w:r w:rsidR="00210EF9" w:rsidRPr="00494151">
        <w:rPr>
          <w:rFonts w:asciiTheme="majorBidi" w:hAnsiTheme="majorBidi" w:cstheme="majorBidi"/>
          <w:sz w:val="24"/>
          <w:szCs w:val="24"/>
        </w:rPr>
        <w:t>ended public service (Figures 8-9</w:t>
      </w:r>
      <w:r w:rsidR="00A05CE7" w:rsidRPr="00494151">
        <w:rPr>
          <w:rFonts w:asciiTheme="majorBidi" w:hAnsiTheme="majorBidi" w:cstheme="majorBidi"/>
          <w:sz w:val="24"/>
          <w:szCs w:val="24"/>
        </w:rPr>
        <w:t xml:space="preserve">). </w:t>
      </w:r>
    </w:p>
    <w:p w14:paraId="22498647" w14:textId="77777777" w:rsidR="00A05CE7" w:rsidRPr="00494151" w:rsidRDefault="00A05CE7" w:rsidP="00EF56BD">
      <w:pPr>
        <w:spacing w:after="0" w:line="360" w:lineRule="auto"/>
        <w:rPr>
          <w:rFonts w:asciiTheme="majorBidi" w:hAnsiTheme="majorBidi" w:cstheme="majorBidi"/>
          <w:sz w:val="24"/>
          <w:szCs w:val="24"/>
        </w:rPr>
      </w:pPr>
    </w:p>
    <w:p w14:paraId="79B1154D" w14:textId="77777777" w:rsidR="00A05CE7" w:rsidRPr="00494151" w:rsidRDefault="00A05CE7" w:rsidP="00EF56BD">
      <w:pPr>
        <w:spacing w:after="0" w:line="360" w:lineRule="auto"/>
        <w:rPr>
          <w:rFonts w:asciiTheme="majorBidi" w:hAnsiTheme="majorBidi" w:cstheme="majorBidi"/>
          <w:sz w:val="24"/>
          <w:szCs w:val="24"/>
        </w:rPr>
      </w:pPr>
    </w:p>
    <w:p w14:paraId="198B1E11" w14:textId="77777777" w:rsidR="00A05CE7" w:rsidRPr="00494151" w:rsidRDefault="00A05CE7" w:rsidP="00EF56BD">
      <w:pPr>
        <w:spacing w:after="0" w:line="360" w:lineRule="auto"/>
        <w:rPr>
          <w:rFonts w:asciiTheme="majorBidi" w:hAnsiTheme="majorBidi" w:cstheme="majorBidi"/>
          <w:sz w:val="24"/>
          <w:szCs w:val="24"/>
        </w:rPr>
      </w:pPr>
    </w:p>
    <w:p w14:paraId="090D25A8" w14:textId="77777777" w:rsidR="00840A9E" w:rsidRPr="00494151" w:rsidRDefault="00840A9E" w:rsidP="00EF56BD">
      <w:pPr>
        <w:spacing w:after="0" w:line="360" w:lineRule="auto"/>
        <w:rPr>
          <w:rFonts w:asciiTheme="majorBidi" w:hAnsiTheme="majorBidi" w:cstheme="majorBidi"/>
          <w:sz w:val="24"/>
          <w:szCs w:val="24"/>
        </w:rPr>
      </w:pPr>
    </w:p>
    <w:p w14:paraId="586A4957" w14:textId="77777777" w:rsidR="00840A9E" w:rsidRPr="00494151" w:rsidRDefault="00840A9E" w:rsidP="00EF56BD">
      <w:pPr>
        <w:spacing w:after="0" w:line="360" w:lineRule="auto"/>
        <w:rPr>
          <w:rFonts w:asciiTheme="majorBidi" w:hAnsiTheme="majorBidi" w:cstheme="majorBidi"/>
          <w:sz w:val="24"/>
          <w:szCs w:val="24"/>
        </w:rPr>
      </w:pPr>
    </w:p>
    <w:p w14:paraId="008C6800" w14:textId="77777777" w:rsidR="00840A9E" w:rsidRPr="00494151" w:rsidRDefault="00840A9E" w:rsidP="00EF56BD">
      <w:pPr>
        <w:spacing w:after="0" w:line="360" w:lineRule="auto"/>
        <w:rPr>
          <w:rFonts w:asciiTheme="majorBidi" w:hAnsiTheme="majorBidi" w:cstheme="majorBidi"/>
          <w:sz w:val="24"/>
          <w:szCs w:val="24"/>
        </w:rPr>
      </w:pPr>
    </w:p>
    <w:p w14:paraId="257E6FDD" w14:textId="77777777" w:rsidR="00840A9E" w:rsidRPr="00494151" w:rsidRDefault="00840A9E" w:rsidP="00EF56BD">
      <w:pPr>
        <w:spacing w:after="0" w:line="360" w:lineRule="auto"/>
        <w:rPr>
          <w:rFonts w:asciiTheme="majorBidi" w:hAnsiTheme="majorBidi" w:cstheme="majorBidi"/>
          <w:sz w:val="24"/>
          <w:szCs w:val="24"/>
        </w:rPr>
      </w:pPr>
    </w:p>
    <w:p w14:paraId="7E963D09" w14:textId="77777777" w:rsidR="00840A9E" w:rsidRPr="00494151" w:rsidRDefault="00840A9E" w:rsidP="00840A9E">
      <w:pPr>
        <w:spacing w:after="0"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w:t>
      </w:r>
      <w:r w:rsidR="00210EF9" w:rsidRPr="00494151">
        <w:rPr>
          <w:rFonts w:asciiTheme="majorBidi" w:hAnsiTheme="majorBidi" w:cstheme="majorBidi"/>
          <w:i/>
          <w:iCs/>
          <w:sz w:val="24"/>
          <w:szCs w:val="24"/>
        </w:rPr>
        <w:t xml:space="preserve"> 8</w:t>
      </w:r>
      <w:r w:rsidRPr="00494151">
        <w:rPr>
          <w:rFonts w:asciiTheme="majorBidi" w:hAnsiTheme="majorBidi" w:cstheme="majorBidi"/>
          <w:i/>
          <w:iCs/>
          <w:sz w:val="24"/>
          <w:szCs w:val="24"/>
        </w:rPr>
        <w:t>: Distribution for public practice (General Practitioner)</w:t>
      </w:r>
    </w:p>
    <w:p w14:paraId="64B0801C" w14:textId="77777777" w:rsidR="00840A9E" w:rsidRPr="00494151" w:rsidRDefault="00840A9E" w:rsidP="00840A9E">
      <w:pPr>
        <w:spacing w:after="0" w:line="360" w:lineRule="auto"/>
        <w:rPr>
          <w:rFonts w:asciiTheme="majorBidi" w:hAnsiTheme="majorBidi" w:cstheme="majorBidi"/>
          <w:sz w:val="24"/>
          <w:szCs w:val="24"/>
        </w:rPr>
      </w:pPr>
    </w:p>
    <w:p w14:paraId="622FA1BD" w14:textId="77777777" w:rsidR="00840A9E" w:rsidRPr="00494151" w:rsidRDefault="00210EF9" w:rsidP="00840A9E">
      <w:pPr>
        <w:spacing w:after="0" w:line="360" w:lineRule="auto"/>
        <w:rPr>
          <w:rFonts w:asciiTheme="majorBidi" w:hAnsiTheme="majorBidi" w:cstheme="majorBidi"/>
          <w:sz w:val="24"/>
          <w:szCs w:val="24"/>
        </w:rPr>
      </w:pPr>
      <w:r w:rsidRPr="00494151">
        <w:rPr>
          <w:rFonts w:asciiTheme="majorBidi" w:hAnsiTheme="majorBidi" w:cstheme="majorBidi"/>
          <w:b/>
          <w:noProof/>
          <w:sz w:val="24"/>
          <w:szCs w:val="24"/>
        </w:rPr>
        <w:drawing>
          <wp:anchor distT="0" distB="0" distL="114300" distR="114300" simplePos="0" relativeHeight="251666432" behindDoc="1" locked="0" layoutInCell="1" allowOverlap="1" wp14:anchorId="7BB6E894" wp14:editId="330570A6">
            <wp:simplePos x="0" y="0"/>
            <wp:positionH relativeFrom="column">
              <wp:posOffset>1339850</wp:posOffset>
            </wp:positionH>
            <wp:positionV relativeFrom="paragraph">
              <wp:posOffset>124460</wp:posOffset>
            </wp:positionV>
            <wp:extent cx="3390900" cy="1866900"/>
            <wp:effectExtent l="0" t="0" r="0" b="0"/>
            <wp:wrapTight wrapText="bothSides">
              <wp:wrapPolygon edited="0">
                <wp:start x="0" y="0"/>
                <wp:lineTo x="0" y="21380"/>
                <wp:lineTo x="21479" y="21380"/>
                <wp:lineTo x="21479"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85CBB42" w14:textId="77777777" w:rsidR="00840A9E" w:rsidRPr="00494151" w:rsidRDefault="00840A9E" w:rsidP="00840A9E">
      <w:pPr>
        <w:spacing w:after="0" w:line="360" w:lineRule="auto"/>
        <w:rPr>
          <w:rFonts w:asciiTheme="majorBidi" w:hAnsiTheme="majorBidi" w:cstheme="majorBidi"/>
          <w:sz w:val="24"/>
          <w:szCs w:val="24"/>
        </w:rPr>
      </w:pPr>
    </w:p>
    <w:p w14:paraId="7888A685" w14:textId="77777777" w:rsidR="00840A9E" w:rsidRPr="00494151" w:rsidRDefault="00840A9E" w:rsidP="00840A9E">
      <w:pPr>
        <w:spacing w:after="0" w:line="360" w:lineRule="auto"/>
        <w:rPr>
          <w:rFonts w:asciiTheme="majorBidi" w:hAnsiTheme="majorBidi" w:cstheme="majorBidi"/>
          <w:sz w:val="24"/>
          <w:szCs w:val="24"/>
        </w:rPr>
      </w:pPr>
    </w:p>
    <w:p w14:paraId="2D692A76" w14:textId="77777777" w:rsidR="00840A9E" w:rsidRPr="00494151" w:rsidRDefault="00840A9E" w:rsidP="00840A9E">
      <w:pPr>
        <w:spacing w:after="0" w:line="360" w:lineRule="auto"/>
        <w:rPr>
          <w:rFonts w:asciiTheme="majorBidi" w:hAnsiTheme="majorBidi" w:cstheme="majorBidi"/>
          <w:sz w:val="24"/>
          <w:szCs w:val="24"/>
        </w:rPr>
      </w:pPr>
    </w:p>
    <w:p w14:paraId="368ECB4E" w14:textId="77777777" w:rsidR="00840A9E" w:rsidRPr="00494151" w:rsidRDefault="00840A9E" w:rsidP="00840A9E">
      <w:pPr>
        <w:spacing w:after="0" w:line="360" w:lineRule="auto"/>
        <w:rPr>
          <w:rFonts w:asciiTheme="majorBidi" w:hAnsiTheme="majorBidi" w:cstheme="majorBidi"/>
          <w:sz w:val="24"/>
          <w:szCs w:val="24"/>
        </w:rPr>
      </w:pPr>
    </w:p>
    <w:p w14:paraId="1F1A5265" w14:textId="77777777" w:rsidR="00840A9E" w:rsidRPr="00494151" w:rsidRDefault="00840A9E" w:rsidP="00840A9E">
      <w:pPr>
        <w:spacing w:after="0" w:line="360" w:lineRule="auto"/>
        <w:rPr>
          <w:rFonts w:asciiTheme="majorBidi" w:hAnsiTheme="majorBidi" w:cstheme="majorBidi"/>
          <w:sz w:val="24"/>
          <w:szCs w:val="24"/>
        </w:rPr>
      </w:pPr>
    </w:p>
    <w:p w14:paraId="4FD7A51D" w14:textId="77777777" w:rsidR="00840A9E" w:rsidRPr="00494151" w:rsidRDefault="00840A9E" w:rsidP="00840A9E">
      <w:pPr>
        <w:spacing w:after="0" w:line="360" w:lineRule="auto"/>
        <w:rPr>
          <w:rFonts w:asciiTheme="majorBidi" w:hAnsiTheme="majorBidi" w:cstheme="majorBidi"/>
          <w:sz w:val="24"/>
          <w:szCs w:val="24"/>
        </w:rPr>
      </w:pPr>
    </w:p>
    <w:p w14:paraId="1EE61AC3" w14:textId="77777777" w:rsidR="00840A9E" w:rsidRPr="00494151" w:rsidRDefault="00840A9E" w:rsidP="00840A9E">
      <w:pPr>
        <w:spacing w:after="0" w:line="360" w:lineRule="auto"/>
        <w:rPr>
          <w:rFonts w:asciiTheme="majorBidi" w:hAnsiTheme="majorBidi" w:cstheme="majorBidi"/>
          <w:sz w:val="24"/>
          <w:szCs w:val="24"/>
        </w:rPr>
      </w:pPr>
    </w:p>
    <w:p w14:paraId="7C9D5A6A" w14:textId="77777777" w:rsidR="0009103D" w:rsidRPr="00494151" w:rsidRDefault="00210EF9" w:rsidP="00210EF9">
      <w:pPr>
        <w:spacing w:after="0" w:line="360" w:lineRule="auto"/>
        <w:jc w:val="center"/>
        <w:rPr>
          <w:rFonts w:asciiTheme="majorBidi" w:hAnsiTheme="majorBidi" w:cstheme="majorBidi"/>
          <w:i/>
          <w:iCs/>
          <w:sz w:val="24"/>
          <w:szCs w:val="24"/>
        </w:rPr>
      </w:pPr>
      <w:r w:rsidRPr="00494151">
        <w:rPr>
          <w:rFonts w:asciiTheme="majorBidi" w:hAnsiTheme="majorBidi" w:cstheme="majorBidi"/>
          <w:i/>
          <w:iCs/>
          <w:sz w:val="24"/>
          <w:szCs w:val="24"/>
        </w:rPr>
        <w:t>Figure 9:</w:t>
      </w:r>
      <w:r w:rsidR="00840A9E" w:rsidRPr="00494151">
        <w:rPr>
          <w:rFonts w:asciiTheme="majorBidi" w:hAnsiTheme="majorBidi" w:cstheme="majorBidi"/>
          <w:i/>
          <w:iCs/>
          <w:sz w:val="24"/>
          <w:szCs w:val="24"/>
        </w:rPr>
        <w:t xml:space="preserve"> Distribution for public practice (Specialist)</w:t>
      </w:r>
    </w:p>
    <w:p w14:paraId="3BA2A1D3" w14:textId="77777777" w:rsidR="00840A9E" w:rsidRPr="00494151" w:rsidRDefault="00840A9E" w:rsidP="00EF56BD">
      <w:pPr>
        <w:spacing w:after="0" w:line="360" w:lineRule="auto"/>
        <w:rPr>
          <w:rFonts w:asciiTheme="majorBidi" w:hAnsiTheme="majorBidi" w:cstheme="majorBidi"/>
          <w:b/>
          <w:bCs/>
          <w:sz w:val="24"/>
          <w:szCs w:val="24"/>
        </w:rPr>
      </w:pPr>
    </w:p>
    <w:p w14:paraId="6926E54E" w14:textId="77777777" w:rsidR="00EF56BD" w:rsidRPr="00494151" w:rsidRDefault="00EF56BD" w:rsidP="00EF56BD">
      <w:pPr>
        <w:spacing w:after="0" w:line="360" w:lineRule="auto"/>
        <w:rPr>
          <w:rFonts w:asciiTheme="majorBidi" w:hAnsiTheme="majorBidi" w:cstheme="majorBidi"/>
          <w:b/>
          <w:bCs/>
          <w:sz w:val="24"/>
          <w:szCs w:val="24"/>
        </w:rPr>
      </w:pPr>
      <w:r w:rsidRPr="00494151">
        <w:rPr>
          <w:rFonts w:asciiTheme="majorBidi" w:hAnsiTheme="majorBidi" w:cstheme="majorBidi"/>
          <w:b/>
          <w:bCs/>
          <w:sz w:val="24"/>
          <w:szCs w:val="24"/>
        </w:rPr>
        <w:t>3.4 Factors Influencing Practice Location Choices</w:t>
      </w:r>
    </w:p>
    <w:p w14:paraId="1437D062" w14:textId="77777777" w:rsidR="00EF56BD" w:rsidRPr="00494151" w:rsidRDefault="003C3F7D" w:rsidP="00BE1386">
      <w:pPr>
        <w:spacing w:after="0" w:line="360" w:lineRule="auto"/>
        <w:jc w:val="both"/>
        <w:rPr>
          <w:rFonts w:asciiTheme="majorBidi" w:hAnsiTheme="majorBidi" w:cstheme="majorBidi"/>
          <w:sz w:val="24"/>
          <w:szCs w:val="24"/>
        </w:rPr>
      </w:pPr>
      <w:r w:rsidRPr="00494151">
        <w:rPr>
          <w:rFonts w:asciiTheme="majorBidi" w:hAnsiTheme="majorBidi" w:cstheme="majorBidi"/>
          <w:sz w:val="24"/>
          <w:szCs w:val="24"/>
        </w:rPr>
        <w:t>Table 4 details how students ranked 15 factors affecting their practice location decisions using a 5-point importance scale. Good working conditions emerged as most critical (78% ranking it as most important), followed by social recognition (77%), and demand for services (75%). Contrary to conventional assumptions, high salary ranked sixth (67%), below factors like good living conditions (70.5%) and professional development opportunities.</w:t>
      </w:r>
      <w:r w:rsidR="002C6E57" w:rsidRPr="00494151">
        <w:rPr>
          <w:rFonts w:asciiTheme="majorBidi" w:hAnsiTheme="majorBidi" w:cstheme="majorBidi"/>
          <w:sz w:val="24"/>
          <w:szCs w:val="24"/>
        </w:rPr>
        <w:t xml:space="preserve"> The table revealed that allowances and children’s education grants ranked moderately important, security and spousal employment opportunities ranked lower, while recreation and loan availability ranked least critical.</w:t>
      </w:r>
    </w:p>
    <w:p w14:paraId="3C41FA6C" w14:textId="77777777" w:rsidR="003C3F7D" w:rsidRPr="00494151" w:rsidRDefault="003C3F7D" w:rsidP="003C3F7D">
      <w:pPr>
        <w:spacing w:after="0" w:line="360" w:lineRule="auto"/>
        <w:rPr>
          <w:rFonts w:asciiTheme="majorBidi" w:hAnsiTheme="majorBidi" w:cstheme="majorBidi"/>
          <w:sz w:val="24"/>
          <w:szCs w:val="24"/>
        </w:rPr>
      </w:pPr>
    </w:p>
    <w:p w14:paraId="4A30CB43" w14:textId="77777777" w:rsidR="003C3F7D" w:rsidRPr="00494151" w:rsidRDefault="00D1009C" w:rsidP="003C3F7D">
      <w:pPr>
        <w:spacing w:line="360" w:lineRule="auto"/>
        <w:jc w:val="both"/>
        <w:rPr>
          <w:rFonts w:asciiTheme="majorBidi" w:hAnsiTheme="majorBidi" w:cstheme="majorBidi"/>
          <w:bCs/>
          <w:sz w:val="24"/>
          <w:szCs w:val="24"/>
        </w:rPr>
      </w:pPr>
      <w:r w:rsidRPr="00494151">
        <w:rPr>
          <w:rFonts w:asciiTheme="majorBidi" w:hAnsiTheme="majorBidi" w:cstheme="majorBidi"/>
          <w:bCs/>
          <w:sz w:val="24"/>
          <w:szCs w:val="24"/>
        </w:rPr>
        <w:t xml:space="preserve">Table </w:t>
      </w:r>
      <w:r w:rsidR="006B3C13" w:rsidRPr="00494151">
        <w:rPr>
          <w:rFonts w:asciiTheme="majorBidi" w:hAnsiTheme="majorBidi" w:cstheme="majorBidi"/>
          <w:bCs/>
          <w:sz w:val="24"/>
          <w:szCs w:val="24"/>
        </w:rPr>
        <w:t xml:space="preserve">4: </w:t>
      </w:r>
      <w:r w:rsidR="003C3F7D" w:rsidRPr="00494151">
        <w:rPr>
          <w:rFonts w:asciiTheme="majorBidi" w:hAnsiTheme="majorBidi" w:cstheme="majorBidi"/>
          <w:bCs/>
          <w:sz w:val="24"/>
          <w:szCs w:val="24"/>
        </w:rPr>
        <w:t xml:space="preserve">Factors </w:t>
      </w:r>
      <w:r w:rsidR="006B3C13" w:rsidRPr="00494151">
        <w:rPr>
          <w:rFonts w:asciiTheme="majorBidi" w:hAnsiTheme="majorBidi" w:cstheme="majorBidi"/>
          <w:bCs/>
          <w:sz w:val="24"/>
          <w:szCs w:val="24"/>
        </w:rPr>
        <w:t>Influencing Choice o</w:t>
      </w:r>
      <w:r w:rsidR="00B347CA" w:rsidRPr="00494151">
        <w:rPr>
          <w:rFonts w:asciiTheme="majorBidi" w:hAnsiTheme="majorBidi" w:cstheme="majorBidi"/>
          <w:bCs/>
          <w:sz w:val="24"/>
          <w:szCs w:val="24"/>
        </w:rPr>
        <w:t>f Rural o</w:t>
      </w:r>
      <w:r w:rsidR="006B3C13" w:rsidRPr="00494151">
        <w:rPr>
          <w:rFonts w:asciiTheme="majorBidi" w:hAnsiTheme="majorBidi" w:cstheme="majorBidi"/>
          <w:bCs/>
          <w:sz w:val="24"/>
          <w:szCs w:val="24"/>
        </w:rPr>
        <w:t>r Urban Areas</w:t>
      </w:r>
    </w:p>
    <w:tbl>
      <w:tblPr>
        <w:tblW w:w="5000" w:type="pct"/>
        <w:tblLook w:val="04A0" w:firstRow="1" w:lastRow="0" w:firstColumn="1" w:lastColumn="0" w:noHBand="0" w:noVBand="1"/>
      </w:tblPr>
      <w:tblGrid>
        <w:gridCol w:w="5426"/>
        <w:gridCol w:w="785"/>
        <w:gridCol w:w="785"/>
        <w:gridCol w:w="785"/>
        <w:gridCol w:w="785"/>
        <w:gridCol w:w="784"/>
      </w:tblGrid>
      <w:tr w:rsidR="003C3F7D" w:rsidRPr="00494151" w14:paraId="3A217C57" w14:textId="77777777" w:rsidTr="00D34C96">
        <w:trPr>
          <w:trHeight w:val="300"/>
        </w:trPr>
        <w:tc>
          <w:tcPr>
            <w:tcW w:w="29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2B4DD" w14:textId="77777777" w:rsidR="003C3F7D" w:rsidRPr="00494151" w:rsidRDefault="003C3F7D" w:rsidP="00D34C96">
            <w:pPr>
              <w:spacing w:after="0" w:line="360" w:lineRule="auto"/>
              <w:jc w:val="center"/>
              <w:rPr>
                <w:rFonts w:asciiTheme="majorBidi" w:eastAsia="Times New Roman" w:hAnsiTheme="majorBidi" w:cstheme="majorBidi"/>
                <w:b/>
                <w:color w:val="000000"/>
                <w:sz w:val="24"/>
                <w:szCs w:val="24"/>
              </w:rPr>
            </w:pPr>
            <w:r w:rsidRPr="00494151">
              <w:rPr>
                <w:rFonts w:asciiTheme="majorBidi" w:eastAsia="Times New Roman" w:hAnsiTheme="majorBidi" w:cstheme="majorBidi"/>
                <w:b/>
                <w:color w:val="000000"/>
                <w:sz w:val="24"/>
                <w:szCs w:val="24"/>
              </w:rPr>
              <w:t>Factors</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16114EDD" w14:textId="77777777" w:rsidR="003C3F7D" w:rsidRPr="00494151" w:rsidRDefault="003C3F7D" w:rsidP="00F64D3C">
            <w:pPr>
              <w:spacing w:after="0" w:line="360" w:lineRule="auto"/>
              <w:jc w:val="both"/>
              <w:rPr>
                <w:rFonts w:asciiTheme="majorBidi" w:eastAsia="Times New Roman" w:hAnsiTheme="majorBidi" w:cstheme="majorBidi"/>
                <w:b/>
                <w:color w:val="000000"/>
                <w:sz w:val="24"/>
                <w:szCs w:val="24"/>
              </w:rPr>
            </w:pPr>
            <w:r w:rsidRPr="00494151">
              <w:rPr>
                <w:rFonts w:asciiTheme="majorBidi" w:eastAsia="Times New Roman" w:hAnsiTheme="majorBidi" w:cstheme="majorBidi"/>
                <w:b/>
                <w:color w:val="000000"/>
                <w:sz w:val="24"/>
                <w:szCs w:val="24"/>
              </w:rPr>
              <w:t>1</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310B4030" w14:textId="77777777" w:rsidR="003C3F7D" w:rsidRPr="00494151" w:rsidRDefault="003C3F7D" w:rsidP="00F64D3C">
            <w:pPr>
              <w:spacing w:after="0" w:line="360" w:lineRule="auto"/>
              <w:jc w:val="both"/>
              <w:rPr>
                <w:rFonts w:asciiTheme="majorBidi" w:eastAsia="Times New Roman" w:hAnsiTheme="majorBidi" w:cstheme="majorBidi"/>
                <w:b/>
                <w:color w:val="000000"/>
                <w:sz w:val="24"/>
                <w:szCs w:val="24"/>
              </w:rPr>
            </w:pPr>
            <w:r w:rsidRPr="00494151">
              <w:rPr>
                <w:rFonts w:asciiTheme="majorBidi" w:eastAsia="Times New Roman" w:hAnsiTheme="majorBidi" w:cstheme="majorBidi"/>
                <w:b/>
                <w:color w:val="000000"/>
                <w:sz w:val="24"/>
                <w:szCs w:val="24"/>
              </w:rPr>
              <w:t>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17AA4B5B" w14:textId="77777777" w:rsidR="003C3F7D" w:rsidRPr="00494151" w:rsidRDefault="003C3F7D" w:rsidP="00F64D3C">
            <w:pPr>
              <w:spacing w:after="0" w:line="360" w:lineRule="auto"/>
              <w:jc w:val="both"/>
              <w:rPr>
                <w:rFonts w:asciiTheme="majorBidi" w:eastAsia="Times New Roman" w:hAnsiTheme="majorBidi" w:cstheme="majorBidi"/>
                <w:b/>
                <w:color w:val="000000"/>
                <w:sz w:val="24"/>
                <w:szCs w:val="24"/>
              </w:rPr>
            </w:pPr>
            <w:r w:rsidRPr="00494151">
              <w:rPr>
                <w:rFonts w:asciiTheme="majorBidi" w:eastAsia="Times New Roman" w:hAnsiTheme="majorBidi" w:cstheme="majorBidi"/>
                <w:b/>
                <w:color w:val="000000"/>
                <w:sz w:val="24"/>
                <w:szCs w:val="24"/>
              </w:rPr>
              <w:t>3</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7B199455" w14:textId="77777777" w:rsidR="003C3F7D" w:rsidRPr="00494151" w:rsidRDefault="003C3F7D" w:rsidP="00F64D3C">
            <w:pPr>
              <w:spacing w:after="0" w:line="360" w:lineRule="auto"/>
              <w:jc w:val="both"/>
              <w:rPr>
                <w:rFonts w:asciiTheme="majorBidi" w:eastAsia="Times New Roman" w:hAnsiTheme="majorBidi" w:cstheme="majorBidi"/>
                <w:b/>
                <w:color w:val="000000"/>
                <w:sz w:val="24"/>
                <w:szCs w:val="24"/>
              </w:rPr>
            </w:pPr>
            <w:r w:rsidRPr="00494151">
              <w:rPr>
                <w:rFonts w:asciiTheme="majorBidi" w:eastAsia="Times New Roman" w:hAnsiTheme="majorBidi" w:cstheme="majorBidi"/>
                <w:b/>
                <w:color w:val="000000"/>
                <w:sz w:val="24"/>
                <w:szCs w:val="24"/>
              </w:rPr>
              <w:t>4</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1F5C7C83" w14:textId="77777777" w:rsidR="003C3F7D" w:rsidRPr="00494151" w:rsidRDefault="003C3F7D" w:rsidP="00F64D3C">
            <w:pPr>
              <w:spacing w:after="0" w:line="360" w:lineRule="auto"/>
              <w:jc w:val="both"/>
              <w:rPr>
                <w:rFonts w:asciiTheme="majorBidi" w:eastAsia="Times New Roman" w:hAnsiTheme="majorBidi" w:cstheme="majorBidi"/>
                <w:b/>
                <w:color w:val="000000"/>
                <w:sz w:val="24"/>
                <w:szCs w:val="24"/>
              </w:rPr>
            </w:pPr>
            <w:r w:rsidRPr="00494151">
              <w:rPr>
                <w:rFonts w:asciiTheme="majorBidi" w:eastAsia="Times New Roman" w:hAnsiTheme="majorBidi" w:cstheme="majorBidi"/>
                <w:b/>
                <w:color w:val="000000"/>
                <w:sz w:val="24"/>
                <w:szCs w:val="24"/>
              </w:rPr>
              <w:t>5</w:t>
            </w:r>
          </w:p>
        </w:tc>
      </w:tr>
      <w:tr w:rsidR="003C3F7D" w:rsidRPr="00494151" w14:paraId="676B42E2"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31ABEBC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Demand</w:t>
            </w:r>
          </w:p>
        </w:tc>
        <w:tc>
          <w:tcPr>
            <w:tcW w:w="420" w:type="pct"/>
            <w:tcBorders>
              <w:top w:val="nil"/>
              <w:left w:val="nil"/>
              <w:bottom w:val="single" w:sz="4" w:space="0" w:color="auto"/>
              <w:right w:val="single" w:sz="4" w:space="0" w:color="auto"/>
            </w:tcBorders>
            <w:shd w:val="clear" w:color="auto" w:fill="auto"/>
            <w:noWrap/>
            <w:vAlign w:val="bottom"/>
            <w:hideMark/>
          </w:tcPr>
          <w:p w14:paraId="2B80E06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54.7</w:t>
            </w:r>
          </w:p>
        </w:tc>
        <w:tc>
          <w:tcPr>
            <w:tcW w:w="420" w:type="pct"/>
            <w:tcBorders>
              <w:top w:val="nil"/>
              <w:left w:val="nil"/>
              <w:bottom w:val="single" w:sz="4" w:space="0" w:color="auto"/>
              <w:right w:val="single" w:sz="4" w:space="0" w:color="auto"/>
            </w:tcBorders>
            <w:shd w:val="clear" w:color="auto" w:fill="auto"/>
            <w:noWrap/>
            <w:vAlign w:val="bottom"/>
            <w:hideMark/>
          </w:tcPr>
          <w:p w14:paraId="0A2E72B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14:paraId="32F49EE4"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32</w:t>
            </w:r>
          </w:p>
        </w:tc>
        <w:tc>
          <w:tcPr>
            <w:tcW w:w="420" w:type="pct"/>
            <w:tcBorders>
              <w:top w:val="nil"/>
              <w:left w:val="nil"/>
              <w:bottom w:val="single" w:sz="4" w:space="0" w:color="auto"/>
              <w:right w:val="single" w:sz="4" w:space="0" w:color="auto"/>
            </w:tcBorders>
            <w:shd w:val="clear" w:color="auto" w:fill="auto"/>
            <w:noWrap/>
            <w:vAlign w:val="bottom"/>
            <w:hideMark/>
          </w:tcPr>
          <w:p w14:paraId="6D806FA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7.3</w:t>
            </w:r>
          </w:p>
        </w:tc>
        <w:tc>
          <w:tcPr>
            <w:tcW w:w="420" w:type="pct"/>
            <w:tcBorders>
              <w:top w:val="nil"/>
              <w:left w:val="nil"/>
              <w:bottom w:val="single" w:sz="4" w:space="0" w:color="auto"/>
              <w:right w:val="single" w:sz="4" w:space="0" w:color="auto"/>
            </w:tcBorders>
            <w:shd w:val="clear" w:color="auto" w:fill="auto"/>
            <w:noWrap/>
            <w:vAlign w:val="bottom"/>
            <w:hideMark/>
          </w:tcPr>
          <w:p w14:paraId="73498B20"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12</w:t>
            </w:r>
          </w:p>
        </w:tc>
      </w:tr>
      <w:tr w:rsidR="003C3F7D" w:rsidRPr="00494151" w14:paraId="366BE31A"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18F1C679"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Socio-cultural setting</w:t>
            </w:r>
          </w:p>
        </w:tc>
        <w:tc>
          <w:tcPr>
            <w:tcW w:w="420" w:type="pct"/>
            <w:tcBorders>
              <w:top w:val="nil"/>
              <w:left w:val="nil"/>
              <w:bottom w:val="single" w:sz="4" w:space="0" w:color="auto"/>
              <w:right w:val="single" w:sz="4" w:space="0" w:color="auto"/>
            </w:tcBorders>
            <w:shd w:val="clear" w:color="auto" w:fill="auto"/>
            <w:noWrap/>
            <w:vAlign w:val="bottom"/>
            <w:hideMark/>
          </w:tcPr>
          <w:p w14:paraId="0E57D8CA"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38</w:t>
            </w:r>
          </w:p>
        </w:tc>
        <w:tc>
          <w:tcPr>
            <w:tcW w:w="420" w:type="pct"/>
            <w:tcBorders>
              <w:top w:val="nil"/>
              <w:left w:val="nil"/>
              <w:bottom w:val="single" w:sz="4" w:space="0" w:color="auto"/>
              <w:right w:val="single" w:sz="4" w:space="0" w:color="auto"/>
            </w:tcBorders>
            <w:shd w:val="clear" w:color="auto" w:fill="auto"/>
            <w:noWrap/>
            <w:vAlign w:val="bottom"/>
            <w:hideMark/>
          </w:tcPr>
          <w:p w14:paraId="5B248623"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14:paraId="233AD4D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21.3</w:t>
            </w:r>
          </w:p>
        </w:tc>
        <w:tc>
          <w:tcPr>
            <w:tcW w:w="420" w:type="pct"/>
            <w:tcBorders>
              <w:top w:val="nil"/>
              <w:left w:val="nil"/>
              <w:bottom w:val="single" w:sz="4" w:space="0" w:color="auto"/>
              <w:right w:val="single" w:sz="4" w:space="0" w:color="auto"/>
            </w:tcBorders>
            <w:shd w:val="clear" w:color="auto" w:fill="auto"/>
            <w:noWrap/>
            <w:vAlign w:val="bottom"/>
            <w:hideMark/>
          </w:tcPr>
          <w:p w14:paraId="23050E8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7.3</w:t>
            </w:r>
          </w:p>
        </w:tc>
        <w:tc>
          <w:tcPr>
            <w:tcW w:w="420" w:type="pct"/>
            <w:tcBorders>
              <w:top w:val="nil"/>
              <w:left w:val="nil"/>
              <w:bottom w:val="single" w:sz="4" w:space="0" w:color="auto"/>
              <w:right w:val="single" w:sz="4" w:space="0" w:color="auto"/>
            </w:tcBorders>
            <w:shd w:val="clear" w:color="auto" w:fill="auto"/>
            <w:noWrap/>
            <w:vAlign w:val="bottom"/>
            <w:hideMark/>
          </w:tcPr>
          <w:p w14:paraId="140C497C"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10.3</w:t>
            </w:r>
          </w:p>
        </w:tc>
      </w:tr>
      <w:tr w:rsidR="003C3F7D" w:rsidRPr="00494151" w14:paraId="4349658D"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63F43A1B"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Opportunity to continue medical education</w:t>
            </w:r>
          </w:p>
        </w:tc>
        <w:tc>
          <w:tcPr>
            <w:tcW w:w="420" w:type="pct"/>
            <w:tcBorders>
              <w:top w:val="nil"/>
              <w:left w:val="nil"/>
              <w:bottom w:val="single" w:sz="4" w:space="0" w:color="auto"/>
              <w:right w:val="single" w:sz="4" w:space="0" w:color="auto"/>
            </w:tcBorders>
            <w:shd w:val="clear" w:color="auto" w:fill="auto"/>
            <w:noWrap/>
            <w:vAlign w:val="bottom"/>
            <w:hideMark/>
          </w:tcPr>
          <w:p w14:paraId="2B65F999"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48</w:t>
            </w:r>
          </w:p>
        </w:tc>
        <w:tc>
          <w:tcPr>
            <w:tcW w:w="420" w:type="pct"/>
            <w:tcBorders>
              <w:top w:val="nil"/>
              <w:left w:val="nil"/>
              <w:bottom w:val="single" w:sz="4" w:space="0" w:color="auto"/>
              <w:right w:val="single" w:sz="4" w:space="0" w:color="auto"/>
            </w:tcBorders>
            <w:shd w:val="clear" w:color="auto" w:fill="auto"/>
            <w:noWrap/>
            <w:vAlign w:val="bottom"/>
            <w:hideMark/>
          </w:tcPr>
          <w:p w14:paraId="0225299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18</w:t>
            </w:r>
          </w:p>
        </w:tc>
        <w:tc>
          <w:tcPr>
            <w:tcW w:w="420" w:type="pct"/>
            <w:tcBorders>
              <w:top w:val="nil"/>
              <w:left w:val="nil"/>
              <w:bottom w:val="single" w:sz="4" w:space="0" w:color="auto"/>
              <w:right w:val="single" w:sz="4" w:space="0" w:color="auto"/>
            </w:tcBorders>
            <w:shd w:val="clear" w:color="auto" w:fill="auto"/>
            <w:noWrap/>
            <w:vAlign w:val="bottom"/>
            <w:hideMark/>
          </w:tcPr>
          <w:p w14:paraId="66BA4D5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21</w:t>
            </w:r>
          </w:p>
        </w:tc>
        <w:tc>
          <w:tcPr>
            <w:tcW w:w="420" w:type="pct"/>
            <w:tcBorders>
              <w:top w:val="nil"/>
              <w:left w:val="nil"/>
              <w:bottom w:val="single" w:sz="4" w:space="0" w:color="auto"/>
              <w:right w:val="single" w:sz="4" w:space="0" w:color="auto"/>
            </w:tcBorders>
            <w:shd w:val="clear" w:color="auto" w:fill="auto"/>
            <w:noWrap/>
            <w:vAlign w:val="bottom"/>
            <w:hideMark/>
          </w:tcPr>
          <w:p w14:paraId="1436E71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2.7</w:t>
            </w:r>
          </w:p>
        </w:tc>
        <w:tc>
          <w:tcPr>
            <w:tcW w:w="420" w:type="pct"/>
            <w:tcBorders>
              <w:top w:val="nil"/>
              <w:left w:val="nil"/>
              <w:bottom w:val="single" w:sz="4" w:space="0" w:color="auto"/>
              <w:right w:val="single" w:sz="4" w:space="0" w:color="auto"/>
            </w:tcBorders>
            <w:shd w:val="clear" w:color="auto" w:fill="auto"/>
            <w:noWrap/>
            <w:vAlign w:val="bottom"/>
            <w:hideMark/>
          </w:tcPr>
          <w:p w14:paraId="194D3DD2"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16.7</w:t>
            </w:r>
          </w:p>
        </w:tc>
      </w:tr>
      <w:tr w:rsidR="003C3F7D" w:rsidRPr="00494151" w14:paraId="7A74C3A0"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71C997E7"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Availability of adequate supervision</w:t>
            </w:r>
          </w:p>
        </w:tc>
        <w:tc>
          <w:tcPr>
            <w:tcW w:w="420" w:type="pct"/>
            <w:tcBorders>
              <w:top w:val="nil"/>
              <w:left w:val="nil"/>
              <w:bottom w:val="single" w:sz="4" w:space="0" w:color="auto"/>
              <w:right w:val="single" w:sz="4" w:space="0" w:color="auto"/>
            </w:tcBorders>
            <w:shd w:val="clear" w:color="auto" w:fill="auto"/>
            <w:noWrap/>
            <w:vAlign w:val="bottom"/>
            <w:hideMark/>
          </w:tcPr>
          <w:p w14:paraId="5DD5764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37</w:t>
            </w:r>
          </w:p>
        </w:tc>
        <w:tc>
          <w:tcPr>
            <w:tcW w:w="420" w:type="pct"/>
            <w:tcBorders>
              <w:top w:val="nil"/>
              <w:left w:val="nil"/>
              <w:bottom w:val="single" w:sz="4" w:space="0" w:color="auto"/>
              <w:right w:val="single" w:sz="4" w:space="0" w:color="auto"/>
            </w:tcBorders>
            <w:shd w:val="clear" w:color="auto" w:fill="auto"/>
            <w:noWrap/>
            <w:vAlign w:val="bottom"/>
            <w:hideMark/>
          </w:tcPr>
          <w:p w14:paraId="612730EC"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38</w:t>
            </w:r>
          </w:p>
        </w:tc>
        <w:tc>
          <w:tcPr>
            <w:tcW w:w="420" w:type="pct"/>
            <w:tcBorders>
              <w:top w:val="nil"/>
              <w:left w:val="nil"/>
              <w:bottom w:val="single" w:sz="4" w:space="0" w:color="auto"/>
              <w:right w:val="single" w:sz="4" w:space="0" w:color="auto"/>
            </w:tcBorders>
            <w:shd w:val="clear" w:color="auto" w:fill="auto"/>
            <w:noWrap/>
            <w:vAlign w:val="bottom"/>
            <w:hideMark/>
          </w:tcPr>
          <w:p w14:paraId="378CB13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15</w:t>
            </w:r>
          </w:p>
        </w:tc>
        <w:tc>
          <w:tcPr>
            <w:tcW w:w="420" w:type="pct"/>
            <w:tcBorders>
              <w:top w:val="nil"/>
              <w:left w:val="nil"/>
              <w:bottom w:val="single" w:sz="4" w:space="0" w:color="auto"/>
              <w:right w:val="single" w:sz="4" w:space="0" w:color="auto"/>
            </w:tcBorders>
            <w:shd w:val="clear" w:color="auto" w:fill="auto"/>
            <w:noWrap/>
            <w:vAlign w:val="bottom"/>
            <w:hideMark/>
          </w:tcPr>
          <w:p w14:paraId="2B785365"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w:t>
            </w:r>
          </w:p>
        </w:tc>
        <w:tc>
          <w:tcPr>
            <w:tcW w:w="420" w:type="pct"/>
            <w:tcBorders>
              <w:top w:val="nil"/>
              <w:left w:val="nil"/>
              <w:bottom w:val="single" w:sz="4" w:space="0" w:color="auto"/>
              <w:right w:val="single" w:sz="4" w:space="0" w:color="auto"/>
            </w:tcBorders>
            <w:shd w:val="clear" w:color="auto" w:fill="auto"/>
            <w:noWrap/>
            <w:vAlign w:val="bottom"/>
            <w:hideMark/>
          </w:tcPr>
          <w:p w14:paraId="42240230"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7.4</w:t>
            </w:r>
          </w:p>
        </w:tc>
      </w:tr>
      <w:tr w:rsidR="003C3F7D" w:rsidRPr="00494151" w14:paraId="0430202A"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6C81C94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Good working conditions</w:t>
            </w:r>
          </w:p>
        </w:tc>
        <w:tc>
          <w:tcPr>
            <w:tcW w:w="420" w:type="pct"/>
            <w:tcBorders>
              <w:top w:val="nil"/>
              <w:left w:val="nil"/>
              <w:bottom w:val="single" w:sz="4" w:space="0" w:color="auto"/>
              <w:right w:val="single" w:sz="4" w:space="0" w:color="auto"/>
            </w:tcBorders>
            <w:shd w:val="clear" w:color="auto" w:fill="auto"/>
            <w:noWrap/>
            <w:vAlign w:val="bottom"/>
            <w:hideMark/>
          </w:tcPr>
          <w:p w14:paraId="4A14C30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61.5</w:t>
            </w:r>
          </w:p>
        </w:tc>
        <w:tc>
          <w:tcPr>
            <w:tcW w:w="420" w:type="pct"/>
            <w:tcBorders>
              <w:top w:val="nil"/>
              <w:left w:val="nil"/>
              <w:bottom w:val="single" w:sz="4" w:space="0" w:color="auto"/>
              <w:right w:val="single" w:sz="4" w:space="0" w:color="auto"/>
            </w:tcBorders>
            <w:shd w:val="clear" w:color="auto" w:fill="auto"/>
            <w:noWrap/>
            <w:vAlign w:val="bottom"/>
            <w:hideMark/>
          </w:tcPr>
          <w:p w14:paraId="198AA99B"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16.2</w:t>
            </w:r>
          </w:p>
        </w:tc>
        <w:tc>
          <w:tcPr>
            <w:tcW w:w="420" w:type="pct"/>
            <w:tcBorders>
              <w:top w:val="nil"/>
              <w:left w:val="nil"/>
              <w:bottom w:val="single" w:sz="4" w:space="0" w:color="auto"/>
              <w:right w:val="single" w:sz="4" w:space="0" w:color="auto"/>
            </w:tcBorders>
            <w:shd w:val="clear" w:color="auto" w:fill="auto"/>
            <w:noWrap/>
            <w:vAlign w:val="bottom"/>
            <w:hideMark/>
          </w:tcPr>
          <w:p w14:paraId="77994C6A"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5.4</w:t>
            </w:r>
          </w:p>
        </w:tc>
        <w:tc>
          <w:tcPr>
            <w:tcW w:w="420" w:type="pct"/>
            <w:tcBorders>
              <w:top w:val="nil"/>
              <w:left w:val="nil"/>
              <w:bottom w:val="single" w:sz="4" w:space="0" w:color="auto"/>
              <w:right w:val="single" w:sz="4" w:space="0" w:color="auto"/>
            </w:tcBorders>
            <w:shd w:val="clear" w:color="auto" w:fill="auto"/>
            <w:noWrap/>
            <w:vAlign w:val="bottom"/>
            <w:hideMark/>
          </w:tcPr>
          <w:p w14:paraId="4F1565A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3.4</w:t>
            </w:r>
          </w:p>
        </w:tc>
        <w:tc>
          <w:tcPr>
            <w:tcW w:w="420" w:type="pct"/>
            <w:tcBorders>
              <w:top w:val="nil"/>
              <w:left w:val="nil"/>
              <w:bottom w:val="single" w:sz="4" w:space="0" w:color="auto"/>
              <w:right w:val="single" w:sz="4" w:space="0" w:color="auto"/>
            </w:tcBorders>
            <w:shd w:val="clear" w:color="auto" w:fill="auto"/>
            <w:noWrap/>
            <w:vAlign w:val="bottom"/>
            <w:hideMark/>
          </w:tcPr>
          <w:p w14:paraId="02EAC910"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13.5</w:t>
            </w:r>
          </w:p>
        </w:tc>
      </w:tr>
      <w:tr w:rsidR="003C3F7D" w:rsidRPr="00494151" w14:paraId="65DC85B4"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454EAB53"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High salary</w:t>
            </w:r>
          </w:p>
        </w:tc>
        <w:tc>
          <w:tcPr>
            <w:tcW w:w="420" w:type="pct"/>
            <w:tcBorders>
              <w:top w:val="nil"/>
              <w:left w:val="nil"/>
              <w:bottom w:val="single" w:sz="4" w:space="0" w:color="auto"/>
              <w:right w:val="single" w:sz="4" w:space="0" w:color="auto"/>
            </w:tcBorders>
            <w:shd w:val="clear" w:color="auto" w:fill="auto"/>
            <w:noWrap/>
            <w:vAlign w:val="bottom"/>
            <w:hideMark/>
          </w:tcPr>
          <w:p w14:paraId="760F653C"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42.6</w:t>
            </w:r>
          </w:p>
        </w:tc>
        <w:tc>
          <w:tcPr>
            <w:tcW w:w="420" w:type="pct"/>
            <w:tcBorders>
              <w:top w:val="nil"/>
              <w:left w:val="nil"/>
              <w:bottom w:val="single" w:sz="4" w:space="0" w:color="auto"/>
              <w:right w:val="single" w:sz="4" w:space="0" w:color="auto"/>
            </w:tcBorders>
            <w:shd w:val="clear" w:color="auto" w:fill="auto"/>
            <w:noWrap/>
            <w:vAlign w:val="bottom"/>
            <w:hideMark/>
          </w:tcPr>
          <w:p w14:paraId="47AB946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24.3</w:t>
            </w:r>
          </w:p>
        </w:tc>
        <w:tc>
          <w:tcPr>
            <w:tcW w:w="420" w:type="pct"/>
            <w:tcBorders>
              <w:top w:val="nil"/>
              <w:left w:val="nil"/>
              <w:bottom w:val="single" w:sz="4" w:space="0" w:color="auto"/>
              <w:right w:val="single" w:sz="4" w:space="0" w:color="auto"/>
            </w:tcBorders>
            <w:shd w:val="clear" w:color="auto" w:fill="auto"/>
            <w:noWrap/>
            <w:vAlign w:val="bottom"/>
            <w:hideMark/>
          </w:tcPr>
          <w:p w14:paraId="1C68F29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15.3</w:t>
            </w:r>
          </w:p>
        </w:tc>
        <w:tc>
          <w:tcPr>
            <w:tcW w:w="420" w:type="pct"/>
            <w:tcBorders>
              <w:top w:val="nil"/>
              <w:left w:val="nil"/>
              <w:bottom w:val="single" w:sz="4" w:space="0" w:color="auto"/>
              <w:right w:val="single" w:sz="4" w:space="0" w:color="auto"/>
            </w:tcBorders>
            <w:shd w:val="clear" w:color="auto" w:fill="auto"/>
            <w:noWrap/>
            <w:vAlign w:val="bottom"/>
            <w:hideMark/>
          </w:tcPr>
          <w:p w14:paraId="012F1CB1"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8.1</w:t>
            </w:r>
          </w:p>
        </w:tc>
        <w:tc>
          <w:tcPr>
            <w:tcW w:w="420" w:type="pct"/>
            <w:tcBorders>
              <w:top w:val="nil"/>
              <w:left w:val="nil"/>
              <w:bottom w:val="single" w:sz="4" w:space="0" w:color="auto"/>
              <w:right w:val="single" w:sz="4" w:space="0" w:color="auto"/>
            </w:tcBorders>
            <w:shd w:val="clear" w:color="auto" w:fill="auto"/>
            <w:noWrap/>
            <w:vAlign w:val="bottom"/>
            <w:hideMark/>
          </w:tcPr>
          <w:p w14:paraId="076C6E9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9.5</w:t>
            </w:r>
          </w:p>
        </w:tc>
      </w:tr>
      <w:tr w:rsidR="003C3F7D" w:rsidRPr="00494151" w14:paraId="363BF3E2"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58023BB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Allowances</w:t>
            </w:r>
          </w:p>
        </w:tc>
        <w:tc>
          <w:tcPr>
            <w:tcW w:w="420" w:type="pct"/>
            <w:tcBorders>
              <w:top w:val="nil"/>
              <w:left w:val="nil"/>
              <w:bottom w:val="single" w:sz="4" w:space="0" w:color="auto"/>
              <w:right w:val="single" w:sz="4" w:space="0" w:color="auto"/>
            </w:tcBorders>
            <w:shd w:val="clear" w:color="auto" w:fill="auto"/>
            <w:noWrap/>
            <w:vAlign w:val="bottom"/>
            <w:hideMark/>
          </w:tcPr>
          <w:p w14:paraId="68B9E499"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43</w:t>
            </w:r>
          </w:p>
        </w:tc>
        <w:tc>
          <w:tcPr>
            <w:tcW w:w="420" w:type="pct"/>
            <w:tcBorders>
              <w:top w:val="nil"/>
              <w:left w:val="nil"/>
              <w:bottom w:val="single" w:sz="4" w:space="0" w:color="auto"/>
              <w:right w:val="single" w:sz="4" w:space="0" w:color="auto"/>
            </w:tcBorders>
            <w:shd w:val="clear" w:color="auto" w:fill="auto"/>
            <w:noWrap/>
            <w:vAlign w:val="bottom"/>
            <w:hideMark/>
          </w:tcPr>
          <w:p w14:paraId="3E83AADB"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28</w:t>
            </w:r>
          </w:p>
        </w:tc>
        <w:tc>
          <w:tcPr>
            <w:tcW w:w="420" w:type="pct"/>
            <w:tcBorders>
              <w:top w:val="nil"/>
              <w:left w:val="nil"/>
              <w:bottom w:val="single" w:sz="4" w:space="0" w:color="auto"/>
              <w:right w:val="single" w:sz="4" w:space="0" w:color="auto"/>
            </w:tcBorders>
            <w:shd w:val="clear" w:color="auto" w:fill="auto"/>
            <w:noWrap/>
            <w:vAlign w:val="bottom"/>
            <w:hideMark/>
          </w:tcPr>
          <w:p w14:paraId="5C3E7544"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14:paraId="63258625"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14</w:t>
            </w:r>
          </w:p>
        </w:tc>
        <w:tc>
          <w:tcPr>
            <w:tcW w:w="420" w:type="pct"/>
            <w:tcBorders>
              <w:top w:val="nil"/>
              <w:left w:val="nil"/>
              <w:bottom w:val="single" w:sz="4" w:space="0" w:color="auto"/>
              <w:right w:val="single" w:sz="4" w:space="0" w:color="auto"/>
            </w:tcBorders>
            <w:shd w:val="clear" w:color="auto" w:fill="auto"/>
            <w:noWrap/>
            <w:vAlign w:val="bottom"/>
            <w:hideMark/>
          </w:tcPr>
          <w:p w14:paraId="31982E7B"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6</w:t>
            </w:r>
          </w:p>
        </w:tc>
      </w:tr>
      <w:tr w:rsidR="003C3F7D" w:rsidRPr="00494151" w14:paraId="68DCE615"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3507FEB7"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lastRenderedPageBreak/>
              <w:t> Grants for children’s</w:t>
            </w:r>
          </w:p>
        </w:tc>
        <w:tc>
          <w:tcPr>
            <w:tcW w:w="420" w:type="pct"/>
            <w:tcBorders>
              <w:top w:val="nil"/>
              <w:left w:val="nil"/>
              <w:bottom w:val="single" w:sz="4" w:space="0" w:color="auto"/>
              <w:right w:val="single" w:sz="4" w:space="0" w:color="auto"/>
            </w:tcBorders>
            <w:shd w:val="clear" w:color="auto" w:fill="auto"/>
            <w:noWrap/>
            <w:vAlign w:val="bottom"/>
            <w:hideMark/>
          </w:tcPr>
          <w:p w14:paraId="0EC3959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37.2</w:t>
            </w:r>
          </w:p>
        </w:tc>
        <w:tc>
          <w:tcPr>
            <w:tcW w:w="420" w:type="pct"/>
            <w:tcBorders>
              <w:top w:val="nil"/>
              <w:left w:val="nil"/>
              <w:bottom w:val="single" w:sz="4" w:space="0" w:color="auto"/>
              <w:right w:val="single" w:sz="4" w:space="0" w:color="auto"/>
            </w:tcBorders>
            <w:shd w:val="clear" w:color="auto" w:fill="auto"/>
            <w:noWrap/>
            <w:vAlign w:val="bottom"/>
            <w:hideMark/>
          </w:tcPr>
          <w:p w14:paraId="004F676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14:paraId="013F8DB4"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20.7</w:t>
            </w:r>
          </w:p>
        </w:tc>
        <w:tc>
          <w:tcPr>
            <w:tcW w:w="420" w:type="pct"/>
            <w:tcBorders>
              <w:top w:val="nil"/>
              <w:left w:val="nil"/>
              <w:bottom w:val="single" w:sz="4" w:space="0" w:color="auto"/>
              <w:right w:val="single" w:sz="4" w:space="0" w:color="auto"/>
            </w:tcBorders>
            <w:shd w:val="clear" w:color="auto" w:fill="auto"/>
            <w:noWrap/>
            <w:vAlign w:val="bottom"/>
            <w:hideMark/>
          </w:tcPr>
          <w:p w14:paraId="7E2BE25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10</w:t>
            </w:r>
          </w:p>
        </w:tc>
        <w:tc>
          <w:tcPr>
            <w:tcW w:w="420" w:type="pct"/>
            <w:tcBorders>
              <w:top w:val="nil"/>
              <w:left w:val="nil"/>
              <w:bottom w:val="single" w:sz="4" w:space="0" w:color="auto"/>
              <w:right w:val="single" w:sz="4" w:space="0" w:color="auto"/>
            </w:tcBorders>
            <w:shd w:val="clear" w:color="auto" w:fill="auto"/>
            <w:noWrap/>
            <w:vAlign w:val="bottom"/>
            <w:hideMark/>
          </w:tcPr>
          <w:p w14:paraId="74973BC5"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10.3</w:t>
            </w:r>
          </w:p>
        </w:tc>
      </w:tr>
      <w:tr w:rsidR="003C3F7D" w:rsidRPr="00494151" w14:paraId="236F1688"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7D7394A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Loans</w:t>
            </w:r>
          </w:p>
        </w:tc>
        <w:tc>
          <w:tcPr>
            <w:tcW w:w="420" w:type="pct"/>
            <w:tcBorders>
              <w:top w:val="nil"/>
              <w:left w:val="nil"/>
              <w:bottom w:val="single" w:sz="4" w:space="0" w:color="auto"/>
              <w:right w:val="single" w:sz="4" w:space="0" w:color="auto"/>
            </w:tcBorders>
            <w:shd w:val="clear" w:color="auto" w:fill="auto"/>
            <w:noWrap/>
            <w:vAlign w:val="bottom"/>
            <w:hideMark/>
          </w:tcPr>
          <w:p w14:paraId="561AF9D9"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31</w:t>
            </w:r>
          </w:p>
        </w:tc>
        <w:tc>
          <w:tcPr>
            <w:tcW w:w="420" w:type="pct"/>
            <w:tcBorders>
              <w:top w:val="nil"/>
              <w:left w:val="nil"/>
              <w:bottom w:val="single" w:sz="4" w:space="0" w:color="auto"/>
              <w:right w:val="single" w:sz="4" w:space="0" w:color="auto"/>
            </w:tcBorders>
            <w:shd w:val="clear" w:color="auto" w:fill="auto"/>
            <w:noWrap/>
            <w:vAlign w:val="bottom"/>
            <w:hideMark/>
          </w:tcPr>
          <w:p w14:paraId="63EFEDB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26</w:t>
            </w:r>
          </w:p>
        </w:tc>
        <w:tc>
          <w:tcPr>
            <w:tcW w:w="420" w:type="pct"/>
            <w:tcBorders>
              <w:top w:val="nil"/>
              <w:left w:val="nil"/>
              <w:bottom w:val="single" w:sz="4" w:space="0" w:color="auto"/>
              <w:right w:val="single" w:sz="4" w:space="0" w:color="auto"/>
            </w:tcBorders>
            <w:shd w:val="clear" w:color="auto" w:fill="auto"/>
            <w:noWrap/>
            <w:vAlign w:val="bottom"/>
            <w:hideMark/>
          </w:tcPr>
          <w:p w14:paraId="0680922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15</w:t>
            </w:r>
          </w:p>
        </w:tc>
        <w:tc>
          <w:tcPr>
            <w:tcW w:w="420" w:type="pct"/>
            <w:tcBorders>
              <w:top w:val="nil"/>
              <w:left w:val="nil"/>
              <w:bottom w:val="single" w:sz="4" w:space="0" w:color="auto"/>
              <w:right w:val="single" w:sz="4" w:space="0" w:color="auto"/>
            </w:tcBorders>
            <w:shd w:val="clear" w:color="auto" w:fill="auto"/>
            <w:noWrap/>
            <w:vAlign w:val="bottom"/>
            <w:hideMark/>
          </w:tcPr>
          <w:p w14:paraId="0D73ACE0"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20.8</w:t>
            </w:r>
          </w:p>
        </w:tc>
        <w:tc>
          <w:tcPr>
            <w:tcW w:w="420" w:type="pct"/>
            <w:tcBorders>
              <w:top w:val="nil"/>
              <w:left w:val="nil"/>
              <w:bottom w:val="single" w:sz="4" w:space="0" w:color="auto"/>
              <w:right w:val="single" w:sz="4" w:space="0" w:color="auto"/>
            </w:tcBorders>
            <w:shd w:val="clear" w:color="auto" w:fill="auto"/>
            <w:noWrap/>
            <w:vAlign w:val="bottom"/>
            <w:hideMark/>
          </w:tcPr>
          <w:p w14:paraId="29BBC48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7.4</w:t>
            </w:r>
          </w:p>
        </w:tc>
      </w:tr>
      <w:tr w:rsidR="003C3F7D" w:rsidRPr="00494151" w14:paraId="3A09D0FD"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77C02EA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Good living conditions</w:t>
            </w:r>
          </w:p>
        </w:tc>
        <w:tc>
          <w:tcPr>
            <w:tcW w:w="420" w:type="pct"/>
            <w:tcBorders>
              <w:top w:val="nil"/>
              <w:left w:val="nil"/>
              <w:bottom w:val="single" w:sz="4" w:space="0" w:color="auto"/>
              <w:right w:val="single" w:sz="4" w:space="0" w:color="auto"/>
            </w:tcBorders>
            <w:shd w:val="clear" w:color="auto" w:fill="auto"/>
            <w:noWrap/>
            <w:vAlign w:val="bottom"/>
            <w:hideMark/>
          </w:tcPr>
          <w:p w14:paraId="22CBA9CC"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49</w:t>
            </w:r>
          </w:p>
        </w:tc>
        <w:tc>
          <w:tcPr>
            <w:tcW w:w="420" w:type="pct"/>
            <w:tcBorders>
              <w:top w:val="nil"/>
              <w:left w:val="nil"/>
              <w:bottom w:val="single" w:sz="4" w:space="0" w:color="auto"/>
              <w:right w:val="single" w:sz="4" w:space="0" w:color="auto"/>
            </w:tcBorders>
            <w:shd w:val="clear" w:color="auto" w:fill="auto"/>
            <w:noWrap/>
            <w:vAlign w:val="bottom"/>
            <w:hideMark/>
          </w:tcPr>
          <w:p w14:paraId="7A3DAFD4"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21.5</w:t>
            </w:r>
          </w:p>
        </w:tc>
        <w:tc>
          <w:tcPr>
            <w:tcW w:w="420" w:type="pct"/>
            <w:tcBorders>
              <w:top w:val="nil"/>
              <w:left w:val="nil"/>
              <w:bottom w:val="single" w:sz="4" w:space="0" w:color="auto"/>
              <w:right w:val="single" w:sz="4" w:space="0" w:color="auto"/>
            </w:tcBorders>
            <w:shd w:val="clear" w:color="auto" w:fill="auto"/>
            <w:noWrap/>
            <w:vAlign w:val="bottom"/>
            <w:hideMark/>
          </w:tcPr>
          <w:p w14:paraId="2B8F451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5.4</w:t>
            </w:r>
          </w:p>
        </w:tc>
        <w:tc>
          <w:tcPr>
            <w:tcW w:w="420" w:type="pct"/>
            <w:tcBorders>
              <w:top w:val="nil"/>
              <w:left w:val="nil"/>
              <w:bottom w:val="single" w:sz="4" w:space="0" w:color="auto"/>
              <w:right w:val="single" w:sz="4" w:space="0" w:color="auto"/>
            </w:tcBorders>
            <w:shd w:val="clear" w:color="auto" w:fill="auto"/>
            <w:noWrap/>
            <w:vAlign w:val="bottom"/>
            <w:hideMark/>
          </w:tcPr>
          <w:p w14:paraId="325B2EF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8.7</w:t>
            </w:r>
          </w:p>
        </w:tc>
        <w:tc>
          <w:tcPr>
            <w:tcW w:w="420" w:type="pct"/>
            <w:tcBorders>
              <w:top w:val="nil"/>
              <w:left w:val="nil"/>
              <w:bottom w:val="single" w:sz="4" w:space="0" w:color="auto"/>
              <w:right w:val="single" w:sz="4" w:space="0" w:color="auto"/>
            </w:tcBorders>
            <w:shd w:val="clear" w:color="auto" w:fill="auto"/>
            <w:noWrap/>
            <w:vAlign w:val="bottom"/>
            <w:hideMark/>
          </w:tcPr>
          <w:p w14:paraId="6F26AEB9"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15.4</w:t>
            </w:r>
          </w:p>
        </w:tc>
      </w:tr>
      <w:tr w:rsidR="003C3F7D" w:rsidRPr="00494151" w14:paraId="235D9957"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25A3556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Adequate recreation</w:t>
            </w:r>
          </w:p>
        </w:tc>
        <w:tc>
          <w:tcPr>
            <w:tcW w:w="420" w:type="pct"/>
            <w:tcBorders>
              <w:top w:val="nil"/>
              <w:left w:val="nil"/>
              <w:bottom w:val="single" w:sz="4" w:space="0" w:color="auto"/>
              <w:right w:val="single" w:sz="4" w:space="0" w:color="auto"/>
            </w:tcBorders>
            <w:shd w:val="clear" w:color="auto" w:fill="auto"/>
            <w:noWrap/>
            <w:vAlign w:val="bottom"/>
            <w:hideMark/>
          </w:tcPr>
          <w:p w14:paraId="060FFB95"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37.6</w:t>
            </w:r>
          </w:p>
        </w:tc>
        <w:tc>
          <w:tcPr>
            <w:tcW w:w="420" w:type="pct"/>
            <w:tcBorders>
              <w:top w:val="nil"/>
              <w:left w:val="nil"/>
              <w:bottom w:val="single" w:sz="4" w:space="0" w:color="auto"/>
              <w:right w:val="single" w:sz="4" w:space="0" w:color="auto"/>
            </w:tcBorders>
            <w:shd w:val="clear" w:color="auto" w:fill="auto"/>
            <w:noWrap/>
            <w:vAlign w:val="bottom"/>
            <w:hideMark/>
          </w:tcPr>
          <w:p w14:paraId="2E33283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20.1</w:t>
            </w:r>
          </w:p>
        </w:tc>
        <w:tc>
          <w:tcPr>
            <w:tcW w:w="420" w:type="pct"/>
            <w:tcBorders>
              <w:top w:val="nil"/>
              <w:left w:val="nil"/>
              <w:bottom w:val="single" w:sz="4" w:space="0" w:color="auto"/>
              <w:right w:val="single" w:sz="4" w:space="0" w:color="auto"/>
            </w:tcBorders>
            <w:shd w:val="clear" w:color="auto" w:fill="auto"/>
            <w:noWrap/>
            <w:vAlign w:val="bottom"/>
            <w:hideMark/>
          </w:tcPr>
          <w:p w14:paraId="7B9AC2CF"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24.2</w:t>
            </w:r>
          </w:p>
        </w:tc>
        <w:tc>
          <w:tcPr>
            <w:tcW w:w="420" w:type="pct"/>
            <w:tcBorders>
              <w:top w:val="nil"/>
              <w:left w:val="nil"/>
              <w:bottom w:val="single" w:sz="4" w:space="0" w:color="auto"/>
              <w:right w:val="single" w:sz="4" w:space="0" w:color="auto"/>
            </w:tcBorders>
            <w:shd w:val="clear" w:color="auto" w:fill="auto"/>
            <w:noWrap/>
            <w:vAlign w:val="bottom"/>
            <w:hideMark/>
          </w:tcPr>
          <w:p w14:paraId="7B307090"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10.1</w:t>
            </w:r>
          </w:p>
        </w:tc>
        <w:tc>
          <w:tcPr>
            <w:tcW w:w="420" w:type="pct"/>
            <w:tcBorders>
              <w:top w:val="nil"/>
              <w:left w:val="nil"/>
              <w:bottom w:val="single" w:sz="4" w:space="0" w:color="auto"/>
              <w:right w:val="single" w:sz="4" w:space="0" w:color="auto"/>
            </w:tcBorders>
            <w:shd w:val="clear" w:color="auto" w:fill="auto"/>
            <w:noWrap/>
            <w:vAlign w:val="bottom"/>
            <w:hideMark/>
          </w:tcPr>
          <w:p w14:paraId="0C5B3DC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8.1</w:t>
            </w:r>
          </w:p>
        </w:tc>
      </w:tr>
      <w:tr w:rsidR="003C3F7D" w:rsidRPr="00494151" w14:paraId="3D8B1E8F"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58D07239"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Gainful employment opportunities</w:t>
            </w:r>
          </w:p>
        </w:tc>
        <w:tc>
          <w:tcPr>
            <w:tcW w:w="420" w:type="pct"/>
            <w:tcBorders>
              <w:top w:val="nil"/>
              <w:left w:val="nil"/>
              <w:bottom w:val="single" w:sz="4" w:space="0" w:color="auto"/>
              <w:right w:val="single" w:sz="4" w:space="0" w:color="auto"/>
            </w:tcBorders>
            <w:shd w:val="clear" w:color="auto" w:fill="auto"/>
            <w:noWrap/>
            <w:vAlign w:val="bottom"/>
            <w:hideMark/>
          </w:tcPr>
          <w:p w14:paraId="4FBAE9D2"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48.3</w:t>
            </w:r>
          </w:p>
        </w:tc>
        <w:tc>
          <w:tcPr>
            <w:tcW w:w="420" w:type="pct"/>
            <w:tcBorders>
              <w:top w:val="nil"/>
              <w:left w:val="nil"/>
              <w:bottom w:val="single" w:sz="4" w:space="0" w:color="auto"/>
              <w:right w:val="single" w:sz="4" w:space="0" w:color="auto"/>
            </w:tcBorders>
            <w:shd w:val="clear" w:color="auto" w:fill="auto"/>
            <w:noWrap/>
            <w:vAlign w:val="bottom"/>
            <w:hideMark/>
          </w:tcPr>
          <w:p w14:paraId="50A8F375"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13.4</w:t>
            </w:r>
          </w:p>
        </w:tc>
        <w:tc>
          <w:tcPr>
            <w:tcW w:w="420" w:type="pct"/>
            <w:tcBorders>
              <w:top w:val="nil"/>
              <w:left w:val="nil"/>
              <w:bottom w:val="single" w:sz="4" w:space="0" w:color="auto"/>
              <w:right w:val="single" w:sz="4" w:space="0" w:color="auto"/>
            </w:tcBorders>
            <w:shd w:val="clear" w:color="auto" w:fill="auto"/>
            <w:noWrap/>
            <w:vAlign w:val="bottom"/>
            <w:hideMark/>
          </w:tcPr>
          <w:p w14:paraId="7C90A4F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15.4</w:t>
            </w:r>
          </w:p>
        </w:tc>
        <w:tc>
          <w:tcPr>
            <w:tcW w:w="420" w:type="pct"/>
            <w:tcBorders>
              <w:top w:val="nil"/>
              <w:left w:val="nil"/>
              <w:bottom w:val="single" w:sz="4" w:space="0" w:color="auto"/>
              <w:right w:val="single" w:sz="4" w:space="0" w:color="auto"/>
            </w:tcBorders>
            <w:shd w:val="clear" w:color="auto" w:fill="auto"/>
            <w:noWrap/>
            <w:vAlign w:val="bottom"/>
            <w:hideMark/>
          </w:tcPr>
          <w:p w14:paraId="5416AE24"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7.4</w:t>
            </w:r>
          </w:p>
        </w:tc>
        <w:tc>
          <w:tcPr>
            <w:tcW w:w="420" w:type="pct"/>
            <w:tcBorders>
              <w:top w:val="nil"/>
              <w:left w:val="nil"/>
              <w:bottom w:val="single" w:sz="4" w:space="0" w:color="auto"/>
              <w:right w:val="single" w:sz="4" w:space="0" w:color="auto"/>
            </w:tcBorders>
            <w:shd w:val="clear" w:color="auto" w:fill="auto"/>
            <w:noWrap/>
            <w:vAlign w:val="bottom"/>
            <w:hideMark/>
          </w:tcPr>
          <w:p w14:paraId="05237D50"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15.4</w:t>
            </w:r>
          </w:p>
        </w:tc>
      </w:tr>
      <w:tr w:rsidR="003C3F7D" w:rsidRPr="00494151" w14:paraId="5AA72D84" w14:textId="77777777" w:rsidTr="00D34C96">
        <w:trPr>
          <w:trHeight w:val="300"/>
        </w:trPr>
        <w:tc>
          <w:tcPr>
            <w:tcW w:w="2901" w:type="pct"/>
            <w:tcBorders>
              <w:top w:val="nil"/>
              <w:left w:val="single" w:sz="4" w:space="0" w:color="auto"/>
              <w:bottom w:val="single" w:sz="4" w:space="0" w:color="auto"/>
              <w:right w:val="single" w:sz="4" w:space="0" w:color="auto"/>
            </w:tcBorders>
            <w:shd w:val="clear" w:color="auto" w:fill="auto"/>
            <w:noWrap/>
            <w:vAlign w:val="bottom"/>
            <w:hideMark/>
          </w:tcPr>
          <w:p w14:paraId="1D202C24"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Good schools for children to attend</w:t>
            </w:r>
          </w:p>
        </w:tc>
        <w:tc>
          <w:tcPr>
            <w:tcW w:w="420" w:type="pct"/>
            <w:tcBorders>
              <w:top w:val="nil"/>
              <w:left w:val="nil"/>
              <w:bottom w:val="single" w:sz="4" w:space="0" w:color="auto"/>
              <w:right w:val="single" w:sz="4" w:space="0" w:color="auto"/>
            </w:tcBorders>
            <w:shd w:val="clear" w:color="auto" w:fill="auto"/>
            <w:noWrap/>
            <w:vAlign w:val="bottom"/>
            <w:hideMark/>
          </w:tcPr>
          <w:p w14:paraId="764A32E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36</w:t>
            </w:r>
          </w:p>
        </w:tc>
        <w:tc>
          <w:tcPr>
            <w:tcW w:w="420" w:type="pct"/>
            <w:tcBorders>
              <w:top w:val="nil"/>
              <w:left w:val="nil"/>
              <w:bottom w:val="single" w:sz="4" w:space="0" w:color="auto"/>
              <w:right w:val="single" w:sz="4" w:space="0" w:color="auto"/>
            </w:tcBorders>
            <w:shd w:val="clear" w:color="auto" w:fill="auto"/>
            <w:noWrap/>
            <w:vAlign w:val="bottom"/>
            <w:hideMark/>
          </w:tcPr>
          <w:p w14:paraId="178F88E2"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w:t>
            </w:r>
          </w:p>
        </w:tc>
        <w:tc>
          <w:tcPr>
            <w:tcW w:w="420" w:type="pct"/>
            <w:tcBorders>
              <w:top w:val="nil"/>
              <w:left w:val="nil"/>
              <w:bottom w:val="single" w:sz="4" w:space="0" w:color="auto"/>
              <w:right w:val="single" w:sz="4" w:space="0" w:color="auto"/>
            </w:tcBorders>
            <w:shd w:val="clear" w:color="auto" w:fill="auto"/>
            <w:noWrap/>
            <w:vAlign w:val="bottom"/>
            <w:hideMark/>
          </w:tcPr>
          <w:p w14:paraId="78830C2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25</w:t>
            </w:r>
          </w:p>
        </w:tc>
        <w:tc>
          <w:tcPr>
            <w:tcW w:w="420" w:type="pct"/>
            <w:tcBorders>
              <w:top w:val="nil"/>
              <w:left w:val="nil"/>
              <w:bottom w:val="single" w:sz="4" w:space="0" w:color="auto"/>
              <w:right w:val="single" w:sz="4" w:space="0" w:color="auto"/>
            </w:tcBorders>
            <w:shd w:val="clear" w:color="auto" w:fill="auto"/>
            <w:noWrap/>
            <w:vAlign w:val="bottom"/>
            <w:hideMark/>
          </w:tcPr>
          <w:p w14:paraId="5676545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13</w:t>
            </w:r>
          </w:p>
        </w:tc>
        <w:tc>
          <w:tcPr>
            <w:tcW w:w="420" w:type="pct"/>
            <w:tcBorders>
              <w:top w:val="nil"/>
              <w:left w:val="nil"/>
              <w:bottom w:val="single" w:sz="4" w:space="0" w:color="auto"/>
              <w:right w:val="single" w:sz="4" w:space="0" w:color="auto"/>
            </w:tcBorders>
            <w:shd w:val="clear" w:color="auto" w:fill="auto"/>
            <w:noWrap/>
            <w:vAlign w:val="bottom"/>
            <w:hideMark/>
          </w:tcPr>
          <w:p w14:paraId="148F5B1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6</w:t>
            </w:r>
          </w:p>
        </w:tc>
      </w:tr>
      <w:tr w:rsidR="003C3F7D" w:rsidRPr="00494151" w14:paraId="46ED39AD" w14:textId="77777777" w:rsidTr="00D34C96">
        <w:trPr>
          <w:trHeight w:val="300"/>
        </w:trPr>
        <w:tc>
          <w:tcPr>
            <w:tcW w:w="2901" w:type="pct"/>
            <w:tcBorders>
              <w:top w:val="nil"/>
              <w:left w:val="single" w:sz="4" w:space="0" w:color="auto"/>
              <w:right w:val="single" w:sz="4" w:space="0" w:color="auto"/>
            </w:tcBorders>
            <w:shd w:val="clear" w:color="auto" w:fill="auto"/>
            <w:noWrap/>
            <w:vAlign w:val="bottom"/>
            <w:hideMark/>
          </w:tcPr>
          <w:p w14:paraId="5A8A13D1"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 Social recognition</w:t>
            </w:r>
          </w:p>
        </w:tc>
        <w:tc>
          <w:tcPr>
            <w:tcW w:w="420" w:type="pct"/>
            <w:tcBorders>
              <w:top w:val="nil"/>
              <w:left w:val="nil"/>
              <w:right w:val="single" w:sz="4" w:space="0" w:color="auto"/>
            </w:tcBorders>
            <w:shd w:val="clear" w:color="auto" w:fill="auto"/>
            <w:noWrap/>
            <w:vAlign w:val="bottom"/>
            <w:hideMark/>
          </w:tcPr>
          <w:p w14:paraId="7E272438"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49</w:t>
            </w:r>
          </w:p>
        </w:tc>
        <w:tc>
          <w:tcPr>
            <w:tcW w:w="420" w:type="pct"/>
            <w:tcBorders>
              <w:top w:val="nil"/>
              <w:left w:val="nil"/>
              <w:right w:val="single" w:sz="4" w:space="0" w:color="auto"/>
            </w:tcBorders>
            <w:shd w:val="clear" w:color="auto" w:fill="auto"/>
            <w:noWrap/>
            <w:vAlign w:val="bottom"/>
            <w:hideMark/>
          </w:tcPr>
          <w:p w14:paraId="3EA57CB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28</w:t>
            </w:r>
          </w:p>
        </w:tc>
        <w:tc>
          <w:tcPr>
            <w:tcW w:w="420" w:type="pct"/>
            <w:tcBorders>
              <w:top w:val="nil"/>
              <w:left w:val="nil"/>
              <w:right w:val="single" w:sz="4" w:space="0" w:color="auto"/>
            </w:tcBorders>
            <w:shd w:val="clear" w:color="auto" w:fill="auto"/>
            <w:noWrap/>
            <w:vAlign w:val="bottom"/>
            <w:hideMark/>
          </w:tcPr>
          <w:p w14:paraId="6DAF5D5D"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11</w:t>
            </w:r>
          </w:p>
        </w:tc>
        <w:tc>
          <w:tcPr>
            <w:tcW w:w="420" w:type="pct"/>
            <w:tcBorders>
              <w:top w:val="nil"/>
              <w:left w:val="nil"/>
              <w:right w:val="single" w:sz="4" w:space="0" w:color="auto"/>
            </w:tcBorders>
            <w:shd w:val="clear" w:color="auto" w:fill="auto"/>
            <w:noWrap/>
            <w:vAlign w:val="bottom"/>
            <w:hideMark/>
          </w:tcPr>
          <w:p w14:paraId="7B9D988A"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3.4</w:t>
            </w:r>
          </w:p>
        </w:tc>
        <w:tc>
          <w:tcPr>
            <w:tcW w:w="420" w:type="pct"/>
            <w:tcBorders>
              <w:top w:val="nil"/>
              <w:left w:val="nil"/>
              <w:right w:val="single" w:sz="4" w:space="0" w:color="auto"/>
            </w:tcBorders>
            <w:shd w:val="clear" w:color="auto" w:fill="auto"/>
            <w:noWrap/>
            <w:vAlign w:val="bottom"/>
            <w:hideMark/>
          </w:tcPr>
          <w:p w14:paraId="67F1EBBA"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9</w:t>
            </w:r>
          </w:p>
        </w:tc>
      </w:tr>
      <w:tr w:rsidR="003C3F7D" w:rsidRPr="00494151" w14:paraId="0A9B7EF5" w14:textId="77777777" w:rsidTr="00D34C96">
        <w:trPr>
          <w:trHeight w:val="300"/>
        </w:trPr>
        <w:tc>
          <w:tcPr>
            <w:tcW w:w="29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A8C6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Security</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1678E3C6"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37.6</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36C6D7AE"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20.1</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054D0342"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24.2</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7682B4AB"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10.1</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14:paraId="0F59FF15" w14:textId="77777777" w:rsidR="003C3F7D" w:rsidRPr="00494151" w:rsidRDefault="003C3F7D" w:rsidP="00F64D3C">
            <w:pPr>
              <w:spacing w:after="0" w:line="360" w:lineRule="auto"/>
              <w:jc w:val="both"/>
              <w:rPr>
                <w:rFonts w:asciiTheme="majorBidi" w:eastAsia="Times New Roman" w:hAnsiTheme="majorBidi" w:cstheme="majorBidi"/>
                <w:bCs/>
                <w:color w:val="000000"/>
                <w:sz w:val="24"/>
                <w:szCs w:val="24"/>
              </w:rPr>
            </w:pPr>
            <w:r w:rsidRPr="00494151">
              <w:rPr>
                <w:rFonts w:asciiTheme="majorBidi" w:eastAsia="Times New Roman" w:hAnsiTheme="majorBidi" w:cstheme="majorBidi"/>
                <w:bCs/>
                <w:color w:val="000000"/>
                <w:sz w:val="24"/>
                <w:szCs w:val="24"/>
              </w:rPr>
              <w:t>8.1</w:t>
            </w:r>
          </w:p>
        </w:tc>
      </w:tr>
    </w:tbl>
    <w:p w14:paraId="0A622492" w14:textId="77777777" w:rsidR="003C3F7D" w:rsidRPr="00494151" w:rsidRDefault="003C3F7D" w:rsidP="003C3F7D">
      <w:pPr>
        <w:spacing w:after="0" w:line="360" w:lineRule="auto"/>
        <w:rPr>
          <w:rFonts w:asciiTheme="majorBidi" w:hAnsiTheme="majorBidi" w:cstheme="majorBidi"/>
          <w:bCs/>
          <w:sz w:val="24"/>
          <w:szCs w:val="24"/>
        </w:rPr>
      </w:pPr>
    </w:p>
    <w:p w14:paraId="7221A4EA" w14:textId="77777777" w:rsidR="00D1009C" w:rsidRPr="00494151" w:rsidRDefault="00CD67DA" w:rsidP="003C3F7D">
      <w:pPr>
        <w:spacing w:after="0" w:line="360" w:lineRule="auto"/>
        <w:rPr>
          <w:rFonts w:asciiTheme="majorBidi" w:hAnsiTheme="majorBidi" w:cstheme="majorBidi"/>
          <w:b/>
          <w:sz w:val="24"/>
          <w:szCs w:val="24"/>
        </w:rPr>
      </w:pPr>
      <w:r w:rsidRPr="00494151">
        <w:rPr>
          <w:rFonts w:asciiTheme="majorBidi" w:hAnsiTheme="majorBidi" w:cstheme="majorBidi"/>
          <w:b/>
          <w:sz w:val="24"/>
          <w:szCs w:val="24"/>
        </w:rPr>
        <w:t xml:space="preserve">3.5 </w:t>
      </w:r>
      <w:r w:rsidR="00D1009C" w:rsidRPr="00494151">
        <w:rPr>
          <w:rFonts w:asciiTheme="majorBidi" w:hAnsiTheme="majorBidi" w:cstheme="majorBidi"/>
          <w:b/>
          <w:sz w:val="24"/>
          <w:szCs w:val="24"/>
        </w:rPr>
        <w:t xml:space="preserve">Association </w:t>
      </w:r>
      <w:r w:rsidRPr="00494151">
        <w:rPr>
          <w:rFonts w:asciiTheme="majorBidi" w:hAnsiTheme="majorBidi" w:cstheme="majorBidi"/>
          <w:b/>
          <w:sz w:val="24"/>
          <w:szCs w:val="24"/>
        </w:rPr>
        <w:t>between Demography and Choice of Working Area</w:t>
      </w:r>
    </w:p>
    <w:p w14:paraId="0FC0A7D6" w14:textId="77777777" w:rsidR="00CD67DA" w:rsidRPr="00494151" w:rsidRDefault="00CD67DA" w:rsidP="00BE138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The analysis of associations between demographic variables and practice location preferences revealed several </w:t>
      </w:r>
      <w:r w:rsidR="00570D57" w:rsidRPr="00494151">
        <w:rPr>
          <w:rFonts w:asciiTheme="majorBidi" w:hAnsiTheme="majorBidi" w:cstheme="majorBidi"/>
          <w:bCs/>
          <w:sz w:val="24"/>
          <w:szCs w:val="24"/>
          <w:lang w:val="en-US"/>
        </w:rPr>
        <w:t>important</w:t>
      </w:r>
      <w:r w:rsidRPr="00494151">
        <w:rPr>
          <w:rFonts w:asciiTheme="majorBidi" w:hAnsiTheme="majorBidi" w:cstheme="majorBidi"/>
          <w:bCs/>
          <w:sz w:val="24"/>
          <w:szCs w:val="24"/>
          <w:lang w:val="en-US"/>
        </w:rPr>
        <w:t xml:space="preserve"> findings</w:t>
      </w:r>
      <w:r w:rsidR="00ED6921" w:rsidRPr="00494151">
        <w:rPr>
          <w:rFonts w:asciiTheme="majorBidi" w:hAnsiTheme="majorBidi" w:cstheme="majorBidi"/>
          <w:bCs/>
          <w:sz w:val="24"/>
          <w:szCs w:val="24"/>
          <w:lang w:val="en-US"/>
        </w:rPr>
        <w:t>,</w:t>
      </w:r>
      <w:r w:rsidR="00BD1E58" w:rsidRPr="00494151">
        <w:rPr>
          <w:rFonts w:asciiTheme="majorBidi" w:hAnsiTheme="majorBidi" w:cstheme="majorBidi"/>
          <w:bCs/>
          <w:sz w:val="24"/>
          <w:szCs w:val="24"/>
          <w:lang w:val="en-US"/>
        </w:rPr>
        <w:t xml:space="preserve"> as shown in </w:t>
      </w:r>
      <w:r w:rsidR="00ED6921" w:rsidRPr="00494151">
        <w:rPr>
          <w:rFonts w:asciiTheme="majorBidi" w:hAnsiTheme="majorBidi" w:cstheme="majorBidi"/>
          <w:bCs/>
          <w:sz w:val="24"/>
          <w:szCs w:val="24"/>
          <w:lang w:val="en-US"/>
        </w:rPr>
        <w:t>Table</w:t>
      </w:r>
      <w:r w:rsidR="00BD1E58" w:rsidRPr="00494151">
        <w:rPr>
          <w:rFonts w:asciiTheme="majorBidi" w:hAnsiTheme="majorBidi" w:cstheme="majorBidi"/>
          <w:bCs/>
          <w:sz w:val="24"/>
          <w:szCs w:val="24"/>
          <w:lang w:val="en-US"/>
        </w:rPr>
        <w:t xml:space="preserve"> 5</w:t>
      </w:r>
      <w:r w:rsidRPr="00494151">
        <w:rPr>
          <w:rFonts w:asciiTheme="majorBidi" w:hAnsiTheme="majorBidi" w:cstheme="majorBidi"/>
          <w:bCs/>
          <w:sz w:val="24"/>
          <w:szCs w:val="24"/>
          <w:lang w:val="en-US"/>
        </w:rPr>
        <w:t>. A statistically significant relations</w:t>
      </w:r>
      <w:r w:rsidR="00570D57" w:rsidRPr="00494151">
        <w:rPr>
          <w:rFonts w:asciiTheme="majorBidi" w:hAnsiTheme="majorBidi" w:cstheme="majorBidi"/>
          <w:bCs/>
          <w:sz w:val="24"/>
          <w:szCs w:val="24"/>
          <w:lang w:val="en-US"/>
        </w:rPr>
        <w:t>hip emerged between respondents’</w:t>
      </w:r>
      <w:r w:rsidRPr="00494151">
        <w:rPr>
          <w:rFonts w:asciiTheme="majorBidi" w:hAnsiTheme="majorBidi" w:cstheme="majorBidi"/>
          <w:bCs/>
          <w:sz w:val="24"/>
          <w:szCs w:val="24"/>
          <w:lang w:val="en-US"/>
        </w:rPr>
        <w:t xml:space="preserve"> age and their choice of practice location (χ² = 14.562, p = 0.001). This strong association suggests th</w:t>
      </w:r>
      <w:r w:rsidR="00570D57" w:rsidRPr="00494151">
        <w:rPr>
          <w:rFonts w:asciiTheme="majorBidi" w:hAnsiTheme="majorBidi" w:cstheme="majorBidi"/>
          <w:bCs/>
          <w:sz w:val="24"/>
          <w:szCs w:val="24"/>
          <w:lang w:val="en-US"/>
        </w:rPr>
        <w:t xml:space="preserve">at age plays an important </w:t>
      </w:r>
      <w:r w:rsidRPr="00494151">
        <w:rPr>
          <w:rFonts w:asciiTheme="majorBidi" w:hAnsiTheme="majorBidi" w:cstheme="majorBidi"/>
          <w:bCs/>
          <w:sz w:val="24"/>
          <w:szCs w:val="24"/>
          <w:lang w:val="en-US"/>
        </w:rPr>
        <w:t>r</w:t>
      </w:r>
      <w:r w:rsidR="00570D57" w:rsidRPr="00494151">
        <w:rPr>
          <w:rFonts w:asciiTheme="majorBidi" w:hAnsiTheme="majorBidi" w:cstheme="majorBidi"/>
          <w:bCs/>
          <w:sz w:val="24"/>
          <w:szCs w:val="24"/>
          <w:lang w:val="en-US"/>
        </w:rPr>
        <w:t>ole in shaping medical students’</w:t>
      </w:r>
      <w:r w:rsidRPr="00494151">
        <w:rPr>
          <w:rFonts w:asciiTheme="majorBidi" w:hAnsiTheme="majorBidi" w:cstheme="majorBidi"/>
          <w:bCs/>
          <w:sz w:val="24"/>
          <w:szCs w:val="24"/>
          <w:lang w:val="en-US"/>
        </w:rPr>
        <w:t xml:space="preserve"> preferences for rural or urban practice, with older students demonstrating different location priorities compared to their younger counterparts.</w:t>
      </w:r>
      <w:r w:rsidR="00A66429" w:rsidRPr="00494151">
        <w:rPr>
          <w:rFonts w:asciiTheme="majorBidi" w:hAnsiTheme="majorBidi" w:cstheme="majorBidi"/>
          <w:bCs/>
          <w:sz w:val="24"/>
          <w:szCs w:val="24"/>
          <w:lang w:val="en-US"/>
        </w:rPr>
        <w:t xml:space="preserve"> </w:t>
      </w:r>
      <w:r w:rsidR="00570D57" w:rsidRPr="00494151">
        <w:rPr>
          <w:rFonts w:asciiTheme="majorBidi" w:hAnsiTheme="majorBidi" w:cstheme="majorBidi"/>
          <w:bCs/>
          <w:sz w:val="24"/>
          <w:szCs w:val="24"/>
          <w:lang w:val="en-US"/>
        </w:rPr>
        <w:t>Similarly, the students’</w:t>
      </w:r>
      <w:r w:rsidRPr="00494151">
        <w:rPr>
          <w:rFonts w:asciiTheme="majorBidi" w:hAnsiTheme="majorBidi" w:cstheme="majorBidi"/>
          <w:bCs/>
          <w:sz w:val="24"/>
          <w:szCs w:val="24"/>
          <w:lang w:val="en-US"/>
        </w:rPr>
        <w:t xml:space="preserve"> class year showed a significant association with practice location preference (χ² = 9.423, p = 0.023). This finding implies that as </w:t>
      </w:r>
      <w:proofErr w:type="spellStart"/>
      <w:r w:rsidR="00570D57" w:rsidRPr="00494151">
        <w:rPr>
          <w:rFonts w:asciiTheme="majorBidi" w:hAnsiTheme="majorBidi" w:cstheme="majorBidi"/>
          <w:bCs/>
          <w:sz w:val="24"/>
          <w:szCs w:val="24"/>
          <w:lang w:val="en-US"/>
        </w:rPr>
        <w:t>students</w:t>
      </w:r>
      <w:proofErr w:type="spellEnd"/>
      <w:r w:rsidRPr="00494151">
        <w:rPr>
          <w:rFonts w:asciiTheme="majorBidi" w:hAnsiTheme="majorBidi" w:cstheme="majorBidi"/>
          <w:bCs/>
          <w:sz w:val="24"/>
          <w:szCs w:val="24"/>
          <w:lang w:val="en-US"/>
        </w:rPr>
        <w:t xml:space="preserve"> progress through their clinical training, their attitudes toward practice locations evolve, possibly due to increased clinical exposure or changing professional aspirations during medical education.</w:t>
      </w:r>
    </w:p>
    <w:p w14:paraId="6CF375E9" w14:textId="77777777" w:rsidR="00CD67DA" w:rsidRPr="00494151" w:rsidRDefault="00CD67DA" w:rsidP="00BE1386">
      <w:pPr>
        <w:spacing w:after="0" w:line="360" w:lineRule="auto"/>
        <w:jc w:val="both"/>
        <w:rPr>
          <w:rFonts w:asciiTheme="majorBidi" w:hAnsiTheme="majorBidi" w:cstheme="majorBidi"/>
          <w:bCs/>
          <w:sz w:val="24"/>
          <w:szCs w:val="24"/>
          <w:lang w:val="en-US"/>
        </w:rPr>
      </w:pPr>
    </w:p>
    <w:p w14:paraId="52FF5C30" w14:textId="77777777" w:rsidR="00F83D9B" w:rsidRPr="00494151" w:rsidRDefault="00CD67DA" w:rsidP="00BE138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In contrast, the analysis revealed no statistically significant associations between practice location preferences and either sex (χ² = 2.369, p = 0.634) or marital status (χ² = 1.281, p = 0.734). These non-significant results suggest that gender and marital status may not be determining facto</w:t>
      </w:r>
      <w:r w:rsidR="00570D57" w:rsidRPr="00494151">
        <w:rPr>
          <w:rFonts w:asciiTheme="majorBidi" w:hAnsiTheme="majorBidi" w:cstheme="majorBidi"/>
          <w:bCs/>
          <w:sz w:val="24"/>
          <w:szCs w:val="24"/>
          <w:lang w:val="en-US"/>
        </w:rPr>
        <w:t>rs in Ghanaian medical students’</w:t>
      </w:r>
      <w:r w:rsidRPr="00494151">
        <w:rPr>
          <w:rFonts w:asciiTheme="majorBidi" w:hAnsiTheme="majorBidi" w:cstheme="majorBidi"/>
          <w:bCs/>
          <w:sz w:val="24"/>
          <w:szCs w:val="24"/>
          <w:lang w:val="en-US"/>
        </w:rPr>
        <w:t xml:space="preserve"> decisions about where to practice, at least at this stage of their career development.</w:t>
      </w:r>
    </w:p>
    <w:p w14:paraId="298070AF" w14:textId="77777777" w:rsidR="00A66429" w:rsidRPr="00494151" w:rsidRDefault="00A66429" w:rsidP="00BE1386">
      <w:pPr>
        <w:spacing w:after="0" w:line="360" w:lineRule="auto"/>
        <w:jc w:val="both"/>
        <w:rPr>
          <w:rFonts w:asciiTheme="majorBidi" w:hAnsiTheme="majorBidi" w:cstheme="majorBidi"/>
          <w:bCs/>
          <w:sz w:val="24"/>
          <w:szCs w:val="24"/>
          <w:lang w:val="en-US"/>
        </w:rPr>
      </w:pPr>
    </w:p>
    <w:p w14:paraId="3F6FBBD9" w14:textId="77777777" w:rsidR="00A66429" w:rsidRPr="00494151" w:rsidRDefault="00A66429" w:rsidP="00570D57">
      <w:pPr>
        <w:spacing w:after="0" w:line="360" w:lineRule="auto"/>
        <w:rPr>
          <w:rFonts w:asciiTheme="majorBidi" w:hAnsiTheme="majorBidi" w:cstheme="majorBidi"/>
          <w:bCs/>
          <w:sz w:val="24"/>
          <w:szCs w:val="24"/>
          <w:lang w:val="en-US"/>
        </w:rPr>
      </w:pPr>
    </w:p>
    <w:p w14:paraId="3C86383E" w14:textId="77777777" w:rsidR="00A66429" w:rsidRPr="00494151" w:rsidRDefault="00A66429" w:rsidP="00570D57">
      <w:pPr>
        <w:spacing w:after="0" w:line="360" w:lineRule="auto"/>
        <w:rPr>
          <w:rFonts w:asciiTheme="majorBidi" w:hAnsiTheme="majorBidi" w:cstheme="majorBidi"/>
          <w:bCs/>
          <w:sz w:val="24"/>
          <w:szCs w:val="24"/>
          <w:lang w:val="en-US"/>
        </w:rPr>
      </w:pPr>
    </w:p>
    <w:p w14:paraId="04287626" w14:textId="77777777" w:rsidR="00A66429" w:rsidRPr="00494151" w:rsidRDefault="00A66429" w:rsidP="00570D57">
      <w:pPr>
        <w:spacing w:after="0" w:line="360" w:lineRule="auto"/>
        <w:rPr>
          <w:rFonts w:asciiTheme="majorBidi" w:hAnsiTheme="majorBidi" w:cstheme="majorBidi"/>
          <w:bCs/>
          <w:sz w:val="24"/>
          <w:szCs w:val="24"/>
          <w:lang w:val="en-US"/>
        </w:rPr>
      </w:pPr>
    </w:p>
    <w:p w14:paraId="1F493832" w14:textId="77777777" w:rsidR="00F83D9B" w:rsidRPr="00494151" w:rsidRDefault="00F83D9B" w:rsidP="003C3F7D">
      <w:pPr>
        <w:spacing w:after="0" w:line="360" w:lineRule="auto"/>
        <w:rPr>
          <w:rFonts w:asciiTheme="majorBidi" w:hAnsiTheme="majorBidi" w:cstheme="majorBidi"/>
          <w:bCs/>
          <w:sz w:val="24"/>
          <w:szCs w:val="24"/>
        </w:rPr>
      </w:pPr>
    </w:p>
    <w:p w14:paraId="56FD85F8" w14:textId="77777777" w:rsidR="00F83D9B" w:rsidRPr="00494151" w:rsidRDefault="00F83D9B" w:rsidP="00CD67DA">
      <w:pPr>
        <w:spacing w:after="0" w:line="360" w:lineRule="auto"/>
        <w:rPr>
          <w:rFonts w:asciiTheme="majorBidi" w:hAnsiTheme="majorBidi" w:cstheme="majorBidi"/>
          <w:bCs/>
          <w:sz w:val="24"/>
          <w:szCs w:val="24"/>
        </w:rPr>
      </w:pPr>
      <w:r w:rsidRPr="00494151">
        <w:rPr>
          <w:rFonts w:asciiTheme="majorBidi" w:hAnsiTheme="majorBidi" w:cstheme="majorBidi"/>
          <w:bCs/>
          <w:sz w:val="24"/>
          <w:szCs w:val="24"/>
        </w:rPr>
        <w:lastRenderedPageBreak/>
        <w:t xml:space="preserve">Table 5: </w:t>
      </w:r>
      <w:r w:rsidR="00570D57" w:rsidRPr="00494151">
        <w:rPr>
          <w:rFonts w:asciiTheme="majorBidi" w:hAnsiTheme="majorBidi" w:cstheme="majorBidi"/>
          <w:bCs/>
          <w:sz w:val="24"/>
          <w:szCs w:val="24"/>
        </w:rPr>
        <w:t>Association b</w:t>
      </w:r>
      <w:r w:rsidR="00CD67DA" w:rsidRPr="00494151">
        <w:rPr>
          <w:rFonts w:asciiTheme="majorBidi" w:hAnsiTheme="majorBidi" w:cstheme="majorBidi"/>
          <w:bCs/>
          <w:sz w:val="24"/>
          <w:szCs w:val="24"/>
        </w:rPr>
        <w:t>etween Demographic Characteristics and Practice Location Preferences</w:t>
      </w:r>
    </w:p>
    <w:tbl>
      <w:tblPr>
        <w:tblW w:w="5000" w:type="pct"/>
        <w:tblLook w:val="04A0" w:firstRow="1" w:lastRow="0" w:firstColumn="1" w:lastColumn="0" w:noHBand="0" w:noVBand="1"/>
      </w:tblPr>
      <w:tblGrid>
        <w:gridCol w:w="3329"/>
        <w:gridCol w:w="1748"/>
        <w:gridCol w:w="2137"/>
        <w:gridCol w:w="2136"/>
      </w:tblGrid>
      <w:tr w:rsidR="00AB6FFE" w:rsidRPr="00494151" w14:paraId="6D0E036A" w14:textId="77777777" w:rsidTr="00AB6FFE">
        <w:trPr>
          <w:trHeight w:val="300"/>
        </w:trPr>
        <w:tc>
          <w:tcPr>
            <w:tcW w:w="1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95096" w14:textId="77777777" w:rsidR="00AB6FFE" w:rsidRPr="00494151" w:rsidRDefault="00AB6FFE"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Demography</w:t>
            </w:r>
          </w:p>
        </w:tc>
        <w:tc>
          <w:tcPr>
            <w:tcW w:w="935" w:type="pct"/>
            <w:tcBorders>
              <w:top w:val="single" w:sz="4" w:space="0" w:color="auto"/>
              <w:left w:val="nil"/>
              <w:bottom w:val="single" w:sz="4" w:space="0" w:color="auto"/>
              <w:right w:val="single" w:sz="4" w:space="0" w:color="auto"/>
            </w:tcBorders>
            <w:shd w:val="clear" w:color="auto" w:fill="auto"/>
            <w:noWrap/>
            <w:vAlign w:val="bottom"/>
            <w:hideMark/>
          </w:tcPr>
          <w:p w14:paraId="1B656E00" w14:textId="77777777" w:rsidR="00AB6FFE" w:rsidRPr="00494151" w:rsidRDefault="00AB6FFE" w:rsidP="00F83D9B">
            <w:pPr>
              <w:spacing w:after="0" w:line="360" w:lineRule="auto"/>
              <w:jc w:val="center"/>
              <w:rPr>
                <w:rFonts w:asciiTheme="majorBidi" w:eastAsia="Times New Roman" w:hAnsiTheme="majorBidi" w:cstheme="majorBidi"/>
                <w:b/>
                <w:bCs/>
                <w:color w:val="000000"/>
                <w:sz w:val="24"/>
                <w:szCs w:val="24"/>
              </w:rPr>
            </w:pPr>
            <w:r w:rsidRPr="00494151">
              <w:rPr>
                <w:rFonts w:asciiTheme="majorBidi" w:hAnsiTheme="majorBidi" w:cstheme="majorBidi"/>
                <w:b/>
                <w:bCs/>
                <w:color w:val="404040"/>
                <w:sz w:val="24"/>
                <w:szCs w:val="24"/>
                <w:shd w:val="clear" w:color="auto" w:fill="FFFFFF"/>
              </w:rPr>
              <w:t>χ²</w:t>
            </w:r>
          </w:p>
        </w:tc>
        <w:tc>
          <w:tcPr>
            <w:tcW w:w="1143" w:type="pct"/>
            <w:tcBorders>
              <w:top w:val="single" w:sz="4" w:space="0" w:color="auto"/>
              <w:left w:val="nil"/>
              <w:bottom w:val="single" w:sz="4" w:space="0" w:color="auto"/>
              <w:right w:val="single" w:sz="4" w:space="0" w:color="auto"/>
            </w:tcBorders>
            <w:shd w:val="clear" w:color="auto" w:fill="auto"/>
            <w:noWrap/>
            <w:vAlign w:val="bottom"/>
            <w:hideMark/>
          </w:tcPr>
          <w:p w14:paraId="1D39B1DF" w14:textId="77777777" w:rsidR="00AB6FFE" w:rsidRPr="00494151" w:rsidRDefault="00AB6FFE" w:rsidP="00F83D9B">
            <w:pPr>
              <w:spacing w:after="0" w:line="360" w:lineRule="auto"/>
              <w:jc w:val="center"/>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P-value</w:t>
            </w:r>
          </w:p>
        </w:tc>
        <w:tc>
          <w:tcPr>
            <w:tcW w:w="1143" w:type="pct"/>
            <w:tcBorders>
              <w:top w:val="single" w:sz="4" w:space="0" w:color="auto"/>
              <w:left w:val="nil"/>
              <w:bottom w:val="single" w:sz="4" w:space="0" w:color="auto"/>
              <w:right w:val="single" w:sz="4" w:space="0" w:color="auto"/>
            </w:tcBorders>
          </w:tcPr>
          <w:p w14:paraId="49697082" w14:textId="77777777" w:rsidR="00AB6FFE" w:rsidRPr="00494151" w:rsidRDefault="00AB6FFE" w:rsidP="00F83D9B">
            <w:pPr>
              <w:spacing w:after="0" w:line="360" w:lineRule="auto"/>
              <w:jc w:val="center"/>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Decision</w:t>
            </w:r>
          </w:p>
        </w:tc>
      </w:tr>
      <w:tr w:rsidR="00AB6FFE" w:rsidRPr="00494151" w14:paraId="28D9218B" w14:textId="77777777" w:rsidTr="00AB6FFE">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14:paraId="4DA5F1B1" w14:textId="77777777" w:rsidR="00AB6FFE" w:rsidRPr="00494151" w:rsidRDefault="00AB6FFE"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Age</w:t>
            </w:r>
          </w:p>
        </w:tc>
        <w:tc>
          <w:tcPr>
            <w:tcW w:w="935" w:type="pct"/>
            <w:tcBorders>
              <w:top w:val="nil"/>
              <w:left w:val="nil"/>
              <w:bottom w:val="single" w:sz="4" w:space="0" w:color="auto"/>
              <w:right w:val="single" w:sz="4" w:space="0" w:color="auto"/>
            </w:tcBorders>
            <w:shd w:val="clear" w:color="auto" w:fill="auto"/>
            <w:noWrap/>
            <w:vAlign w:val="bottom"/>
            <w:hideMark/>
          </w:tcPr>
          <w:p w14:paraId="7235FAA0"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14.562</w:t>
            </w:r>
          </w:p>
        </w:tc>
        <w:tc>
          <w:tcPr>
            <w:tcW w:w="1143" w:type="pct"/>
            <w:tcBorders>
              <w:top w:val="nil"/>
              <w:left w:val="nil"/>
              <w:bottom w:val="single" w:sz="4" w:space="0" w:color="auto"/>
              <w:right w:val="single" w:sz="4" w:space="0" w:color="auto"/>
            </w:tcBorders>
            <w:shd w:val="clear" w:color="auto" w:fill="auto"/>
            <w:noWrap/>
            <w:vAlign w:val="bottom"/>
            <w:hideMark/>
          </w:tcPr>
          <w:p w14:paraId="1BDCB879"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0.001</w:t>
            </w:r>
          </w:p>
        </w:tc>
        <w:tc>
          <w:tcPr>
            <w:tcW w:w="1143" w:type="pct"/>
            <w:tcBorders>
              <w:top w:val="nil"/>
              <w:left w:val="nil"/>
              <w:bottom w:val="single" w:sz="4" w:space="0" w:color="auto"/>
              <w:right w:val="single" w:sz="4" w:space="0" w:color="auto"/>
            </w:tcBorders>
          </w:tcPr>
          <w:p w14:paraId="7D9DC69B"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Significant</w:t>
            </w:r>
          </w:p>
        </w:tc>
      </w:tr>
      <w:tr w:rsidR="00AB6FFE" w:rsidRPr="00494151" w14:paraId="344EEAAB" w14:textId="77777777" w:rsidTr="00AB6FFE">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14:paraId="2CE8A771" w14:textId="77777777" w:rsidR="00AB6FFE" w:rsidRPr="00494151" w:rsidRDefault="00AB6FFE"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Sex</w:t>
            </w:r>
          </w:p>
        </w:tc>
        <w:tc>
          <w:tcPr>
            <w:tcW w:w="935" w:type="pct"/>
            <w:tcBorders>
              <w:top w:val="nil"/>
              <w:left w:val="nil"/>
              <w:bottom w:val="single" w:sz="4" w:space="0" w:color="auto"/>
              <w:right w:val="single" w:sz="4" w:space="0" w:color="auto"/>
            </w:tcBorders>
            <w:shd w:val="clear" w:color="auto" w:fill="auto"/>
            <w:noWrap/>
            <w:vAlign w:val="bottom"/>
            <w:hideMark/>
          </w:tcPr>
          <w:p w14:paraId="746C5AA3"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2.369</w:t>
            </w:r>
          </w:p>
        </w:tc>
        <w:tc>
          <w:tcPr>
            <w:tcW w:w="1143" w:type="pct"/>
            <w:tcBorders>
              <w:top w:val="nil"/>
              <w:left w:val="nil"/>
              <w:bottom w:val="single" w:sz="4" w:space="0" w:color="auto"/>
              <w:right w:val="single" w:sz="4" w:space="0" w:color="auto"/>
            </w:tcBorders>
            <w:shd w:val="clear" w:color="auto" w:fill="auto"/>
            <w:noWrap/>
            <w:vAlign w:val="bottom"/>
            <w:hideMark/>
          </w:tcPr>
          <w:p w14:paraId="7BDE0F14"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0.634</w:t>
            </w:r>
          </w:p>
        </w:tc>
        <w:tc>
          <w:tcPr>
            <w:tcW w:w="1143" w:type="pct"/>
            <w:tcBorders>
              <w:top w:val="nil"/>
              <w:left w:val="nil"/>
              <w:bottom w:val="single" w:sz="4" w:space="0" w:color="auto"/>
              <w:right w:val="single" w:sz="4" w:space="0" w:color="auto"/>
            </w:tcBorders>
          </w:tcPr>
          <w:p w14:paraId="10F579D0"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Not-Significant</w:t>
            </w:r>
          </w:p>
        </w:tc>
      </w:tr>
      <w:tr w:rsidR="00AB6FFE" w:rsidRPr="00494151" w14:paraId="3F7C8802" w14:textId="77777777" w:rsidTr="00AB6FFE">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14:paraId="528D6E3F" w14:textId="77777777" w:rsidR="00AB6FFE" w:rsidRPr="00494151" w:rsidRDefault="00AB6FFE"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Class</w:t>
            </w:r>
          </w:p>
        </w:tc>
        <w:tc>
          <w:tcPr>
            <w:tcW w:w="935" w:type="pct"/>
            <w:tcBorders>
              <w:top w:val="nil"/>
              <w:left w:val="nil"/>
              <w:bottom w:val="single" w:sz="4" w:space="0" w:color="auto"/>
              <w:right w:val="single" w:sz="4" w:space="0" w:color="auto"/>
            </w:tcBorders>
            <w:shd w:val="clear" w:color="auto" w:fill="auto"/>
            <w:noWrap/>
            <w:vAlign w:val="bottom"/>
            <w:hideMark/>
          </w:tcPr>
          <w:p w14:paraId="16CB55B5"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9.423</w:t>
            </w:r>
          </w:p>
        </w:tc>
        <w:tc>
          <w:tcPr>
            <w:tcW w:w="1143" w:type="pct"/>
            <w:tcBorders>
              <w:top w:val="nil"/>
              <w:left w:val="nil"/>
              <w:bottom w:val="single" w:sz="4" w:space="0" w:color="auto"/>
              <w:right w:val="single" w:sz="4" w:space="0" w:color="auto"/>
            </w:tcBorders>
            <w:shd w:val="clear" w:color="auto" w:fill="auto"/>
            <w:noWrap/>
            <w:vAlign w:val="bottom"/>
            <w:hideMark/>
          </w:tcPr>
          <w:p w14:paraId="11A3CD09"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0.023</w:t>
            </w:r>
          </w:p>
        </w:tc>
        <w:tc>
          <w:tcPr>
            <w:tcW w:w="1143" w:type="pct"/>
            <w:tcBorders>
              <w:top w:val="nil"/>
              <w:left w:val="nil"/>
              <w:bottom w:val="single" w:sz="4" w:space="0" w:color="auto"/>
              <w:right w:val="single" w:sz="4" w:space="0" w:color="auto"/>
            </w:tcBorders>
          </w:tcPr>
          <w:p w14:paraId="53FD824C"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Significant</w:t>
            </w:r>
          </w:p>
        </w:tc>
      </w:tr>
      <w:tr w:rsidR="00AB6FFE" w:rsidRPr="00494151" w14:paraId="6EC0C0CB" w14:textId="77777777" w:rsidTr="00AB6FFE">
        <w:trPr>
          <w:trHeight w:val="300"/>
        </w:trPr>
        <w:tc>
          <w:tcPr>
            <w:tcW w:w="1780" w:type="pct"/>
            <w:tcBorders>
              <w:top w:val="nil"/>
              <w:left w:val="single" w:sz="4" w:space="0" w:color="auto"/>
              <w:bottom w:val="single" w:sz="4" w:space="0" w:color="auto"/>
              <w:right w:val="single" w:sz="4" w:space="0" w:color="auto"/>
            </w:tcBorders>
            <w:shd w:val="clear" w:color="auto" w:fill="auto"/>
            <w:noWrap/>
            <w:vAlign w:val="bottom"/>
            <w:hideMark/>
          </w:tcPr>
          <w:p w14:paraId="277A8BDF" w14:textId="77777777" w:rsidR="00AB6FFE" w:rsidRPr="00494151" w:rsidRDefault="00AB6FFE" w:rsidP="00F64D3C">
            <w:pPr>
              <w:spacing w:after="0" w:line="360" w:lineRule="auto"/>
              <w:jc w:val="both"/>
              <w:rPr>
                <w:rFonts w:asciiTheme="majorBidi" w:eastAsia="Times New Roman" w:hAnsiTheme="majorBidi" w:cstheme="majorBidi"/>
                <w:b/>
                <w:bCs/>
                <w:color w:val="000000"/>
                <w:sz w:val="24"/>
                <w:szCs w:val="24"/>
              </w:rPr>
            </w:pPr>
            <w:r w:rsidRPr="00494151">
              <w:rPr>
                <w:rFonts w:asciiTheme="majorBidi" w:eastAsia="Times New Roman" w:hAnsiTheme="majorBidi" w:cstheme="majorBidi"/>
                <w:b/>
                <w:bCs/>
                <w:color w:val="000000"/>
                <w:sz w:val="24"/>
                <w:szCs w:val="24"/>
              </w:rPr>
              <w:t>Marital Status</w:t>
            </w:r>
          </w:p>
        </w:tc>
        <w:tc>
          <w:tcPr>
            <w:tcW w:w="935" w:type="pct"/>
            <w:tcBorders>
              <w:top w:val="nil"/>
              <w:left w:val="nil"/>
              <w:bottom w:val="single" w:sz="4" w:space="0" w:color="auto"/>
              <w:right w:val="single" w:sz="4" w:space="0" w:color="auto"/>
            </w:tcBorders>
            <w:shd w:val="clear" w:color="auto" w:fill="auto"/>
            <w:noWrap/>
            <w:vAlign w:val="bottom"/>
            <w:hideMark/>
          </w:tcPr>
          <w:p w14:paraId="2354A701"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1.281</w:t>
            </w:r>
          </w:p>
        </w:tc>
        <w:tc>
          <w:tcPr>
            <w:tcW w:w="1143" w:type="pct"/>
            <w:tcBorders>
              <w:top w:val="nil"/>
              <w:left w:val="nil"/>
              <w:bottom w:val="single" w:sz="4" w:space="0" w:color="auto"/>
              <w:right w:val="single" w:sz="4" w:space="0" w:color="auto"/>
            </w:tcBorders>
            <w:shd w:val="clear" w:color="auto" w:fill="auto"/>
            <w:noWrap/>
            <w:vAlign w:val="bottom"/>
            <w:hideMark/>
          </w:tcPr>
          <w:p w14:paraId="0197A5A9"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0.734</w:t>
            </w:r>
          </w:p>
        </w:tc>
        <w:tc>
          <w:tcPr>
            <w:tcW w:w="1143" w:type="pct"/>
            <w:tcBorders>
              <w:top w:val="nil"/>
              <w:left w:val="nil"/>
              <w:bottom w:val="single" w:sz="4" w:space="0" w:color="auto"/>
              <w:right w:val="single" w:sz="4" w:space="0" w:color="auto"/>
            </w:tcBorders>
          </w:tcPr>
          <w:p w14:paraId="31BB0522" w14:textId="77777777" w:rsidR="00AB6FFE" w:rsidRPr="00494151" w:rsidRDefault="00AB6FFE" w:rsidP="00F83D9B">
            <w:pPr>
              <w:spacing w:after="0" w:line="360" w:lineRule="auto"/>
              <w:jc w:val="center"/>
              <w:rPr>
                <w:rFonts w:asciiTheme="majorBidi" w:eastAsia="Times New Roman" w:hAnsiTheme="majorBidi" w:cstheme="majorBidi"/>
                <w:color w:val="000000"/>
                <w:sz w:val="24"/>
                <w:szCs w:val="24"/>
              </w:rPr>
            </w:pPr>
            <w:r w:rsidRPr="00494151">
              <w:rPr>
                <w:rFonts w:asciiTheme="majorBidi" w:eastAsia="Times New Roman" w:hAnsiTheme="majorBidi" w:cstheme="majorBidi"/>
                <w:color w:val="000000"/>
                <w:sz w:val="24"/>
                <w:szCs w:val="24"/>
              </w:rPr>
              <w:t>Not-Significant</w:t>
            </w:r>
          </w:p>
        </w:tc>
      </w:tr>
    </w:tbl>
    <w:p w14:paraId="73B1101C" w14:textId="77777777" w:rsidR="00F83D9B" w:rsidRPr="00494151" w:rsidRDefault="00F83D9B" w:rsidP="003C3F7D">
      <w:pPr>
        <w:spacing w:after="0" w:line="360" w:lineRule="auto"/>
        <w:rPr>
          <w:rFonts w:asciiTheme="majorBidi" w:hAnsiTheme="majorBidi" w:cstheme="majorBidi"/>
          <w:bCs/>
          <w:sz w:val="24"/>
          <w:szCs w:val="24"/>
        </w:rPr>
      </w:pPr>
    </w:p>
    <w:p w14:paraId="6AC3FB07" w14:textId="77777777" w:rsidR="00C86403" w:rsidRPr="00494151" w:rsidRDefault="00D42DF5" w:rsidP="003C3F7D">
      <w:pPr>
        <w:spacing w:after="0" w:line="360" w:lineRule="auto"/>
        <w:rPr>
          <w:rFonts w:asciiTheme="majorBidi" w:hAnsiTheme="majorBidi" w:cstheme="majorBidi"/>
          <w:b/>
          <w:sz w:val="24"/>
          <w:szCs w:val="24"/>
        </w:rPr>
      </w:pPr>
      <w:r w:rsidRPr="00494151">
        <w:rPr>
          <w:rFonts w:asciiTheme="majorBidi" w:hAnsiTheme="majorBidi" w:cstheme="majorBidi"/>
          <w:b/>
          <w:sz w:val="24"/>
          <w:szCs w:val="24"/>
        </w:rPr>
        <w:t xml:space="preserve">4.0 </w:t>
      </w:r>
      <w:r w:rsidR="00F02DE9" w:rsidRPr="00494151">
        <w:rPr>
          <w:rFonts w:asciiTheme="majorBidi" w:hAnsiTheme="majorBidi" w:cstheme="majorBidi"/>
          <w:b/>
          <w:sz w:val="24"/>
          <w:szCs w:val="24"/>
        </w:rPr>
        <w:t>DISCUSSION</w:t>
      </w:r>
    </w:p>
    <w:p w14:paraId="7B823B4B" w14:textId="77777777" w:rsidR="001B4C00" w:rsidRPr="00494151" w:rsidRDefault="00F02DE9" w:rsidP="00D23E1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The findings of this study reveal important insights into the factors influencing medical students’ preferences for rural or urban practice in Ghana, contributing to the broader discourse on healthcare workforce distribution. The results both align with and challenge existing literature, offering different perspectives on strategies to address rural-urban disparities in physician distribution.</w:t>
      </w:r>
    </w:p>
    <w:p w14:paraId="4E29A0D5" w14:textId="77777777" w:rsidR="001B4C00" w:rsidRPr="00494151" w:rsidRDefault="001B4C00" w:rsidP="00D23E1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The significant association between age and practice location preference (χ² = 14.562, p = 0.001) aligns with the study of Ghazali </w:t>
      </w:r>
      <w:r w:rsidRPr="00494151">
        <w:rPr>
          <w:rFonts w:asciiTheme="majorBidi" w:hAnsiTheme="majorBidi" w:cstheme="majorBidi"/>
          <w:bCs/>
          <w:i/>
          <w:iCs/>
          <w:sz w:val="24"/>
          <w:szCs w:val="24"/>
          <w:lang w:val="en-US"/>
        </w:rPr>
        <w:t xml:space="preserve">et al. </w:t>
      </w:r>
      <w:r w:rsidRPr="00494151">
        <w:rPr>
          <w:rFonts w:asciiTheme="majorBidi" w:hAnsiTheme="majorBidi" w:cstheme="majorBidi"/>
          <w:bCs/>
          <w:sz w:val="24"/>
          <w:szCs w:val="24"/>
          <w:lang w:val="en-US"/>
        </w:rPr>
        <w:t xml:space="preserve">[26], demonstrating that career priorities evolve with maturity. Older students in this study showed greater inclination towards rural practice, possibly reflecting heightened awareness of healthcare disparities or financial stability, enabling them to </w:t>
      </w:r>
      <w:proofErr w:type="spellStart"/>
      <w:r w:rsidRPr="00494151">
        <w:rPr>
          <w:rFonts w:asciiTheme="majorBidi" w:hAnsiTheme="majorBidi" w:cstheme="majorBidi"/>
          <w:bCs/>
          <w:sz w:val="24"/>
          <w:szCs w:val="24"/>
          <w:lang w:val="en-US"/>
        </w:rPr>
        <w:t>prioritise</w:t>
      </w:r>
      <w:proofErr w:type="spellEnd"/>
      <w:r w:rsidRPr="00494151">
        <w:rPr>
          <w:rFonts w:asciiTheme="majorBidi" w:hAnsiTheme="majorBidi" w:cstheme="majorBidi"/>
          <w:bCs/>
          <w:sz w:val="24"/>
          <w:szCs w:val="24"/>
          <w:lang w:val="en-US"/>
        </w:rPr>
        <w:t xml:space="preserve"> service over urban conveniences. This contrasts with findings from South Africa, where younger doctors were more willing to work in rural areas </w:t>
      </w:r>
      <w:r w:rsidR="00D937BC" w:rsidRPr="00494151">
        <w:rPr>
          <w:rFonts w:asciiTheme="majorBidi" w:hAnsiTheme="majorBidi" w:cstheme="majorBidi"/>
          <w:bCs/>
          <w:sz w:val="24"/>
          <w:szCs w:val="24"/>
          <w:lang w:val="en-US"/>
        </w:rPr>
        <w:t>[27]</w:t>
      </w:r>
      <w:r w:rsidR="00D74197" w:rsidRPr="00494151">
        <w:rPr>
          <w:rFonts w:asciiTheme="majorBidi" w:hAnsiTheme="majorBidi" w:cstheme="majorBidi"/>
          <w:bCs/>
          <w:sz w:val="24"/>
          <w:szCs w:val="24"/>
          <w:lang w:val="en-US"/>
        </w:rPr>
        <w:t>,</w:t>
      </w:r>
      <w:r w:rsidR="00D937BC" w:rsidRPr="00494151">
        <w:rPr>
          <w:rFonts w:asciiTheme="majorBidi" w:hAnsiTheme="majorBidi" w:cstheme="majorBidi"/>
          <w:bCs/>
          <w:sz w:val="24"/>
          <w:szCs w:val="24"/>
          <w:lang w:val="en-US"/>
        </w:rPr>
        <w:t xml:space="preserve"> </w:t>
      </w:r>
      <w:r w:rsidRPr="00494151">
        <w:rPr>
          <w:rFonts w:asciiTheme="majorBidi" w:hAnsiTheme="majorBidi" w:cstheme="majorBidi"/>
          <w:bCs/>
          <w:sz w:val="24"/>
          <w:szCs w:val="24"/>
          <w:lang w:val="en-US"/>
        </w:rPr>
        <w:t>suggesting cultural or educational system differences in career decision-making.</w:t>
      </w:r>
    </w:p>
    <w:p w14:paraId="2E0BFD7F" w14:textId="77777777" w:rsidR="001B4C00" w:rsidRPr="00494151" w:rsidRDefault="001B4C00" w:rsidP="00D23E16">
      <w:pPr>
        <w:spacing w:after="0" w:line="360" w:lineRule="auto"/>
        <w:jc w:val="both"/>
        <w:rPr>
          <w:rFonts w:asciiTheme="majorBidi" w:hAnsiTheme="majorBidi" w:cstheme="majorBidi"/>
          <w:bCs/>
          <w:sz w:val="24"/>
          <w:szCs w:val="24"/>
          <w:lang w:val="en-US"/>
        </w:rPr>
      </w:pPr>
    </w:p>
    <w:p w14:paraId="1D08BD1E" w14:textId="77777777" w:rsidR="001B4C00" w:rsidRPr="00494151" w:rsidRDefault="001B4C00" w:rsidP="004733F0">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The class year association (χ² = 9.423, p = 0.023) </w:t>
      </w:r>
      <w:r w:rsidR="00D74197" w:rsidRPr="00494151">
        <w:rPr>
          <w:rFonts w:asciiTheme="majorBidi" w:hAnsiTheme="majorBidi" w:cstheme="majorBidi"/>
          <w:bCs/>
          <w:sz w:val="24"/>
          <w:szCs w:val="24"/>
          <w:lang w:val="en-US"/>
        </w:rPr>
        <w:t xml:space="preserve">supports </w:t>
      </w:r>
      <w:proofErr w:type="spellStart"/>
      <w:r w:rsidR="00D74197" w:rsidRPr="00494151">
        <w:rPr>
          <w:rFonts w:asciiTheme="majorBidi" w:hAnsiTheme="majorBidi" w:cstheme="majorBidi"/>
          <w:bCs/>
          <w:sz w:val="24"/>
          <w:szCs w:val="24"/>
          <w:lang w:val="en-US"/>
        </w:rPr>
        <w:t>Dunbabin</w:t>
      </w:r>
      <w:proofErr w:type="spellEnd"/>
      <w:r w:rsidR="00D74197" w:rsidRPr="00494151">
        <w:rPr>
          <w:rFonts w:asciiTheme="majorBidi" w:hAnsiTheme="majorBidi" w:cstheme="majorBidi"/>
          <w:bCs/>
          <w:sz w:val="24"/>
          <w:szCs w:val="24"/>
          <w:lang w:val="en-US"/>
        </w:rPr>
        <w:t xml:space="preserve"> &amp; Levitt, (2003) [28] </w:t>
      </w:r>
      <w:r w:rsidRPr="00494151">
        <w:rPr>
          <w:rFonts w:asciiTheme="majorBidi" w:hAnsiTheme="majorBidi" w:cstheme="majorBidi"/>
          <w:bCs/>
          <w:sz w:val="24"/>
          <w:szCs w:val="24"/>
          <w:lang w:val="en-US"/>
        </w:rPr>
        <w:t>evidence that clinical expo</w:t>
      </w:r>
      <w:r w:rsidR="00D74197" w:rsidRPr="00494151">
        <w:rPr>
          <w:rFonts w:asciiTheme="majorBidi" w:hAnsiTheme="majorBidi" w:cstheme="majorBidi"/>
          <w:bCs/>
          <w:sz w:val="24"/>
          <w:szCs w:val="24"/>
          <w:lang w:val="en-US"/>
        </w:rPr>
        <w:t>sure shapes career aspirations</w:t>
      </w:r>
      <w:r w:rsidRPr="00494151">
        <w:rPr>
          <w:rFonts w:asciiTheme="majorBidi" w:hAnsiTheme="majorBidi" w:cstheme="majorBidi"/>
          <w:bCs/>
          <w:sz w:val="24"/>
          <w:szCs w:val="24"/>
          <w:lang w:val="en-US"/>
        </w:rPr>
        <w:t>. As students progressed through training, their preferences shifted, likely due to increasing awareness of rural healthcare needs. However, the lack of gender and marital status significance diverges from st</w:t>
      </w:r>
      <w:r w:rsidR="00D74197" w:rsidRPr="00494151">
        <w:rPr>
          <w:rFonts w:asciiTheme="majorBidi" w:hAnsiTheme="majorBidi" w:cstheme="majorBidi"/>
          <w:bCs/>
          <w:sz w:val="24"/>
          <w:szCs w:val="24"/>
          <w:lang w:val="en-US"/>
        </w:rPr>
        <w:t>udies in high-income countries [29],</w:t>
      </w:r>
      <w:r w:rsidR="009451FB" w:rsidRPr="00494151">
        <w:rPr>
          <w:rFonts w:asciiTheme="majorBidi" w:hAnsiTheme="majorBidi" w:cstheme="majorBidi"/>
          <w:bCs/>
          <w:sz w:val="24"/>
          <w:szCs w:val="24"/>
          <w:lang w:val="en-US"/>
        </w:rPr>
        <w:t xml:space="preserve"> </w:t>
      </w:r>
      <w:r w:rsidRPr="00494151">
        <w:rPr>
          <w:rFonts w:asciiTheme="majorBidi" w:hAnsiTheme="majorBidi" w:cstheme="majorBidi"/>
          <w:bCs/>
          <w:sz w:val="24"/>
          <w:szCs w:val="24"/>
          <w:lang w:val="en-US"/>
        </w:rPr>
        <w:t>highlighting how local context mediates these relationships.</w:t>
      </w:r>
      <w:r w:rsidR="009451FB" w:rsidRPr="00494151">
        <w:rPr>
          <w:rFonts w:asciiTheme="majorBidi" w:hAnsiTheme="majorBidi" w:cstheme="majorBidi"/>
          <w:bCs/>
          <w:sz w:val="24"/>
          <w:szCs w:val="24"/>
          <w:lang w:val="en-US"/>
        </w:rPr>
        <w:t xml:space="preserve"> </w:t>
      </w:r>
      <w:r w:rsidRPr="00494151">
        <w:rPr>
          <w:rFonts w:asciiTheme="majorBidi" w:hAnsiTheme="majorBidi" w:cstheme="majorBidi"/>
          <w:bCs/>
          <w:sz w:val="24"/>
          <w:szCs w:val="24"/>
          <w:lang w:val="en-US"/>
        </w:rPr>
        <w:t xml:space="preserve">While 60% of respondents expressed rural practice interest, only 18% had rural clinical experience. This discrepancy mirrors findings </w:t>
      </w:r>
      <w:r w:rsidR="004733F0" w:rsidRPr="00494151">
        <w:rPr>
          <w:rFonts w:asciiTheme="majorBidi" w:hAnsiTheme="majorBidi" w:cstheme="majorBidi"/>
          <w:bCs/>
          <w:sz w:val="24"/>
          <w:szCs w:val="24"/>
          <w:lang w:val="en-US"/>
        </w:rPr>
        <w:t xml:space="preserve">from </w:t>
      </w:r>
      <w:r w:rsidRPr="00494151">
        <w:rPr>
          <w:rFonts w:asciiTheme="majorBidi" w:hAnsiTheme="majorBidi" w:cstheme="majorBidi"/>
          <w:bCs/>
          <w:sz w:val="24"/>
          <w:szCs w:val="24"/>
          <w:lang w:val="en-US"/>
        </w:rPr>
        <w:t>Campbell</w:t>
      </w:r>
      <w:r w:rsidR="004733F0" w:rsidRPr="00494151">
        <w:rPr>
          <w:rFonts w:asciiTheme="majorBidi" w:hAnsiTheme="majorBidi" w:cstheme="majorBidi"/>
          <w:bCs/>
          <w:sz w:val="24"/>
          <w:szCs w:val="24"/>
          <w:lang w:val="en-US"/>
        </w:rPr>
        <w:t xml:space="preserve"> &amp; </w:t>
      </w:r>
      <w:proofErr w:type="spellStart"/>
      <w:r w:rsidR="004733F0" w:rsidRPr="00494151">
        <w:rPr>
          <w:rFonts w:asciiTheme="majorBidi" w:hAnsiTheme="majorBidi" w:cstheme="majorBidi"/>
          <w:bCs/>
          <w:sz w:val="24"/>
          <w:szCs w:val="24"/>
          <w:lang w:val="en-US"/>
        </w:rPr>
        <w:t>Ebuehi</w:t>
      </w:r>
      <w:r w:rsidR="009451FB" w:rsidRPr="00494151">
        <w:rPr>
          <w:rFonts w:asciiTheme="majorBidi" w:hAnsiTheme="majorBidi" w:cstheme="majorBidi"/>
          <w:bCs/>
          <w:sz w:val="24"/>
          <w:szCs w:val="24"/>
          <w:lang w:val="en-US"/>
        </w:rPr>
        <w:t>’s</w:t>
      </w:r>
      <w:proofErr w:type="spellEnd"/>
      <w:r w:rsidR="009451FB" w:rsidRPr="00494151">
        <w:rPr>
          <w:rFonts w:asciiTheme="majorBidi" w:hAnsiTheme="majorBidi" w:cstheme="majorBidi"/>
          <w:bCs/>
          <w:sz w:val="24"/>
          <w:szCs w:val="24"/>
          <w:lang w:val="en-US"/>
        </w:rPr>
        <w:t xml:space="preserve"> [29] research in Nigeria, </w:t>
      </w:r>
      <w:r w:rsidRPr="00494151">
        <w:rPr>
          <w:rFonts w:asciiTheme="majorBidi" w:hAnsiTheme="majorBidi" w:cstheme="majorBidi"/>
          <w:bCs/>
          <w:sz w:val="24"/>
          <w:szCs w:val="24"/>
          <w:lang w:val="en-US"/>
        </w:rPr>
        <w:t>where aspirational willingness out</w:t>
      </w:r>
      <w:r w:rsidR="009451FB" w:rsidRPr="00494151">
        <w:rPr>
          <w:rFonts w:asciiTheme="majorBidi" w:hAnsiTheme="majorBidi" w:cstheme="majorBidi"/>
          <w:bCs/>
          <w:sz w:val="24"/>
          <w:szCs w:val="24"/>
          <w:lang w:val="en-US"/>
        </w:rPr>
        <w:t>weighed actual exposure. Also</w:t>
      </w:r>
      <w:r w:rsidRPr="00494151">
        <w:rPr>
          <w:rFonts w:asciiTheme="majorBidi" w:hAnsiTheme="majorBidi" w:cstheme="majorBidi"/>
          <w:bCs/>
          <w:sz w:val="24"/>
          <w:szCs w:val="24"/>
          <w:lang w:val="en-US"/>
        </w:rPr>
        <w:t>, among those with rural rotations, 59.6% reported experiences meeting or exceeding expectations, reinforcing evidence that structured rural placements improve retention</w:t>
      </w:r>
      <w:r w:rsidR="009451FB" w:rsidRPr="00494151">
        <w:rPr>
          <w:rFonts w:asciiTheme="majorBidi" w:hAnsiTheme="majorBidi" w:cstheme="majorBidi"/>
          <w:bCs/>
          <w:sz w:val="24"/>
          <w:szCs w:val="24"/>
          <w:lang w:val="en-US"/>
        </w:rPr>
        <w:t xml:space="preserve"> likelihood [27].</w:t>
      </w:r>
      <w:r w:rsidR="00B76016" w:rsidRPr="00494151">
        <w:rPr>
          <w:rFonts w:asciiTheme="majorBidi" w:hAnsiTheme="majorBidi" w:cstheme="majorBidi"/>
          <w:bCs/>
          <w:sz w:val="24"/>
          <w:szCs w:val="24"/>
          <w:lang w:val="en-US"/>
        </w:rPr>
        <w:t xml:space="preserve"> The</w:t>
      </w:r>
      <w:r w:rsidRPr="00494151">
        <w:rPr>
          <w:rFonts w:asciiTheme="majorBidi" w:hAnsiTheme="majorBidi" w:cstheme="majorBidi"/>
          <w:bCs/>
          <w:sz w:val="24"/>
          <w:szCs w:val="24"/>
          <w:lang w:val="en-US"/>
        </w:rPr>
        <w:t xml:space="preserve"> predominance of urban-raised students (87%) with limited rural </w:t>
      </w:r>
      <w:r w:rsidRPr="00494151">
        <w:rPr>
          <w:rFonts w:asciiTheme="majorBidi" w:hAnsiTheme="majorBidi" w:cstheme="majorBidi"/>
          <w:bCs/>
          <w:sz w:val="24"/>
          <w:szCs w:val="24"/>
          <w:lang w:val="en-US"/>
        </w:rPr>
        <w:lastRenderedPageBreak/>
        <w:t>exposure explains why 40.4% rated past rural experiences negativel</w:t>
      </w:r>
      <w:r w:rsidR="00FB3C25" w:rsidRPr="00494151">
        <w:rPr>
          <w:rFonts w:asciiTheme="majorBidi" w:hAnsiTheme="majorBidi" w:cstheme="majorBidi"/>
          <w:bCs/>
          <w:sz w:val="24"/>
          <w:szCs w:val="24"/>
          <w:lang w:val="en-US"/>
        </w:rPr>
        <w:t>y. This aligns with Snow et al.’s [4]</w:t>
      </w:r>
      <w:r w:rsidRPr="00494151">
        <w:rPr>
          <w:rFonts w:asciiTheme="majorBidi" w:hAnsiTheme="majorBidi" w:cstheme="majorBidi"/>
          <w:bCs/>
          <w:sz w:val="24"/>
          <w:szCs w:val="24"/>
          <w:lang w:val="en-US"/>
        </w:rPr>
        <w:t xml:space="preserve"> contention that urban upbringing fosters unrealistic expectations about rural practice. However, the strong rural interest despite minimal exposure suggests untapped potential for targeted recruitment, consi</w:t>
      </w:r>
      <w:r w:rsidR="00B76016" w:rsidRPr="00494151">
        <w:rPr>
          <w:rFonts w:asciiTheme="majorBidi" w:hAnsiTheme="majorBidi" w:cstheme="majorBidi"/>
          <w:bCs/>
          <w:sz w:val="24"/>
          <w:szCs w:val="24"/>
          <w:lang w:val="en-US"/>
        </w:rPr>
        <w:t>stent with Agyei-Baffour et al.’s [30]</w:t>
      </w:r>
      <w:r w:rsidRPr="00494151">
        <w:rPr>
          <w:rFonts w:asciiTheme="majorBidi" w:hAnsiTheme="majorBidi" w:cstheme="majorBidi"/>
          <w:bCs/>
          <w:sz w:val="24"/>
          <w:szCs w:val="24"/>
          <w:lang w:val="en-US"/>
        </w:rPr>
        <w:t xml:space="preserve"> Ghanaian study.</w:t>
      </w:r>
    </w:p>
    <w:p w14:paraId="734BE26A" w14:textId="77777777" w:rsidR="001B4C00" w:rsidRPr="00494151" w:rsidRDefault="001B4C00" w:rsidP="00D23E16">
      <w:pPr>
        <w:spacing w:after="0" w:line="360" w:lineRule="auto"/>
        <w:jc w:val="both"/>
        <w:rPr>
          <w:rFonts w:asciiTheme="majorBidi" w:hAnsiTheme="majorBidi" w:cstheme="majorBidi"/>
          <w:bCs/>
          <w:sz w:val="24"/>
          <w:szCs w:val="24"/>
          <w:lang w:val="en-US"/>
        </w:rPr>
      </w:pPr>
    </w:p>
    <w:p w14:paraId="4139F764" w14:textId="77777777" w:rsidR="00F02DE9" w:rsidRPr="00494151" w:rsidRDefault="00276F87" w:rsidP="00D23E1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Furthermore, t</w:t>
      </w:r>
      <w:r w:rsidR="001B4C00" w:rsidRPr="00494151">
        <w:rPr>
          <w:rFonts w:asciiTheme="majorBidi" w:hAnsiTheme="majorBidi" w:cstheme="majorBidi"/>
          <w:bCs/>
          <w:sz w:val="24"/>
          <w:szCs w:val="24"/>
          <w:lang w:val="en-US"/>
        </w:rPr>
        <w:t xml:space="preserve">he overwhelming preference for postgraduate training (69.1%) over general practice (8.7%) </w:t>
      </w:r>
      <w:r w:rsidR="00714B86" w:rsidRPr="00494151">
        <w:rPr>
          <w:rFonts w:asciiTheme="majorBidi" w:hAnsiTheme="majorBidi" w:cstheme="majorBidi"/>
          <w:bCs/>
          <w:sz w:val="24"/>
          <w:szCs w:val="24"/>
          <w:lang w:val="en-US"/>
        </w:rPr>
        <w:t>compounds Ghana’</w:t>
      </w:r>
      <w:r w:rsidR="001B4C00" w:rsidRPr="00494151">
        <w:rPr>
          <w:rFonts w:asciiTheme="majorBidi" w:hAnsiTheme="majorBidi" w:cstheme="majorBidi"/>
          <w:bCs/>
          <w:sz w:val="24"/>
          <w:szCs w:val="24"/>
          <w:lang w:val="en-US"/>
        </w:rPr>
        <w:t>s specialist mal</w:t>
      </w:r>
      <w:r w:rsidRPr="00494151">
        <w:rPr>
          <w:rFonts w:asciiTheme="majorBidi" w:hAnsiTheme="majorBidi" w:cstheme="majorBidi"/>
          <w:bCs/>
          <w:sz w:val="24"/>
          <w:szCs w:val="24"/>
          <w:lang w:val="en-US"/>
        </w:rPr>
        <w:t>-</w:t>
      </w:r>
      <w:r w:rsidR="001B4C00" w:rsidRPr="00494151">
        <w:rPr>
          <w:rFonts w:asciiTheme="majorBidi" w:hAnsiTheme="majorBidi" w:cstheme="majorBidi"/>
          <w:bCs/>
          <w:sz w:val="24"/>
          <w:szCs w:val="24"/>
          <w:lang w:val="en-US"/>
        </w:rPr>
        <w:t xml:space="preserve">distribution. This mirrors global trends where medical education systems inadvertently steer students toward </w:t>
      </w:r>
      <w:proofErr w:type="spellStart"/>
      <w:r w:rsidRPr="00494151">
        <w:rPr>
          <w:rFonts w:asciiTheme="majorBidi" w:hAnsiTheme="majorBidi" w:cstheme="majorBidi"/>
          <w:bCs/>
          <w:sz w:val="24"/>
          <w:szCs w:val="24"/>
          <w:lang w:val="en-US"/>
        </w:rPr>
        <w:t>speciality</w:t>
      </w:r>
      <w:proofErr w:type="spellEnd"/>
      <w:r w:rsidRPr="00494151">
        <w:rPr>
          <w:rFonts w:asciiTheme="majorBidi" w:hAnsiTheme="majorBidi" w:cstheme="majorBidi"/>
          <w:bCs/>
          <w:sz w:val="24"/>
          <w:szCs w:val="24"/>
          <w:lang w:val="en-US"/>
        </w:rPr>
        <w:t xml:space="preserve"> practice [31]</w:t>
      </w:r>
      <w:r w:rsidR="001B4C00" w:rsidRPr="00494151">
        <w:rPr>
          <w:rFonts w:asciiTheme="majorBidi" w:hAnsiTheme="majorBidi" w:cstheme="majorBidi"/>
          <w:bCs/>
          <w:sz w:val="24"/>
          <w:szCs w:val="24"/>
          <w:lang w:val="en-US"/>
        </w:rPr>
        <w:t xml:space="preserve">. The finding that 58% of prospective specialists preferred public service while general practitioners leaned private (64%) contradicts patterns in South Africa </w:t>
      </w:r>
      <w:r w:rsidR="0047674F" w:rsidRPr="00494151">
        <w:rPr>
          <w:rFonts w:asciiTheme="majorBidi" w:hAnsiTheme="majorBidi" w:cstheme="majorBidi"/>
          <w:bCs/>
          <w:sz w:val="24"/>
          <w:szCs w:val="24"/>
          <w:lang w:val="en-US"/>
        </w:rPr>
        <w:t>[27],</w:t>
      </w:r>
      <w:r w:rsidR="00A7297A" w:rsidRPr="00494151">
        <w:rPr>
          <w:rFonts w:asciiTheme="majorBidi" w:hAnsiTheme="majorBidi" w:cstheme="majorBidi"/>
          <w:bCs/>
          <w:sz w:val="24"/>
          <w:szCs w:val="24"/>
          <w:lang w:val="en-US"/>
        </w:rPr>
        <w:t xml:space="preserve"> suggesting Ghana’</w:t>
      </w:r>
      <w:r w:rsidR="001B4C00" w:rsidRPr="00494151">
        <w:rPr>
          <w:rFonts w:asciiTheme="majorBidi" w:hAnsiTheme="majorBidi" w:cstheme="majorBidi"/>
          <w:bCs/>
          <w:sz w:val="24"/>
          <w:szCs w:val="24"/>
          <w:lang w:val="en-US"/>
        </w:rPr>
        <w:t>s public sector may better accommodate specialist careers.</w:t>
      </w:r>
      <w:r w:rsidR="000A4705" w:rsidRPr="00494151">
        <w:rPr>
          <w:rFonts w:asciiTheme="majorBidi" w:hAnsiTheme="majorBidi" w:cstheme="majorBidi"/>
          <w:bCs/>
          <w:sz w:val="24"/>
          <w:szCs w:val="24"/>
          <w:lang w:val="en-US"/>
        </w:rPr>
        <w:t xml:space="preserve"> In addition, t</w:t>
      </w:r>
      <w:r w:rsidR="001B4C00" w:rsidRPr="00494151">
        <w:rPr>
          <w:rFonts w:asciiTheme="majorBidi" w:hAnsiTheme="majorBidi" w:cstheme="majorBidi"/>
          <w:bCs/>
          <w:sz w:val="24"/>
          <w:szCs w:val="24"/>
          <w:lang w:val="en-US"/>
        </w:rPr>
        <w:t xml:space="preserve">he ranking of good working conditions (78%) and social recognition (77%) above salary (67%) challenges conventional reliance on monetary incentives </w:t>
      </w:r>
      <w:r w:rsidR="000A4705" w:rsidRPr="00494151">
        <w:rPr>
          <w:rFonts w:asciiTheme="majorBidi" w:hAnsiTheme="majorBidi" w:cstheme="majorBidi"/>
          <w:bCs/>
          <w:sz w:val="24"/>
          <w:szCs w:val="24"/>
          <w:lang w:val="en-US"/>
        </w:rPr>
        <w:t>[5].</w:t>
      </w:r>
      <w:r w:rsidR="001B4C00" w:rsidRPr="00494151">
        <w:rPr>
          <w:rFonts w:asciiTheme="majorBidi" w:hAnsiTheme="majorBidi" w:cstheme="majorBidi"/>
          <w:bCs/>
          <w:sz w:val="24"/>
          <w:szCs w:val="24"/>
          <w:lang w:val="en-US"/>
        </w:rPr>
        <w:t xml:space="preserve"> This supports S</w:t>
      </w:r>
      <w:r w:rsidR="00291093" w:rsidRPr="00494151">
        <w:rPr>
          <w:rFonts w:asciiTheme="majorBidi" w:hAnsiTheme="majorBidi" w:cstheme="majorBidi"/>
          <w:bCs/>
          <w:sz w:val="24"/>
          <w:szCs w:val="24"/>
          <w:lang w:val="en-US"/>
        </w:rPr>
        <w:t>now et al.’s [4]</w:t>
      </w:r>
      <w:r w:rsidR="001B4C00" w:rsidRPr="00494151">
        <w:rPr>
          <w:rFonts w:asciiTheme="majorBidi" w:hAnsiTheme="majorBidi" w:cstheme="majorBidi"/>
          <w:bCs/>
          <w:sz w:val="24"/>
          <w:szCs w:val="24"/>
          <w:lang w:val="en-US"/>
        </w:rPr>
        <w:t xml:space="preserve"> Ghanaian findings that career advancement opportunities outweigh financial benefits. Howeve</w:t>
      </w:r>
      <w:r w:rsidR="00D23E16" w:rsidRPr="00494151">
        <w:rPr>
          <w:rFonts w:asciiTheme="majorBidi" w:hAnsiTheme="majorBidi" w:cstheme="majorBidi"/>
          <w:bCs/>
          <w:sz w:val="24"/>
          <w:szCs w:val="24"/>
          <w:lang w:val="en-US"/>
        </w:rPr>
        <w:t xml:space="preserve">r, it contrasts with </w:t>
      </w:r>
      <w:proofErr w:type="spellStart"/>
      <w:r w:rsidR="00D23E16" w:rsidRPr="00494151">
        <w:rPr>
          <w:rFonts w:asciiTheme="majorBidi" w:hAnsiTheme="majorBidi" w:cstheme="majorBidi"/>
          <w:bCs/>
          <w:sz w:val="24"/>
          <w:szCs w:val="24"/>
          <w:lang w:val="en-US"/>
        </w:rPr>
        <w:t>Wiwanitkit’</w:t>
      </w:r>
      <w:r w:rsidR="00531A9C" w:rsidRPr="00494151">
        <w:rPr>
          <w:rFonts w:asciiTheme="majorBidi" w:hAnsiTheme="majorBidi" w:cstheme="majorBidi"/>
          <w:bCs/>
          <w:sz w:val="24"/>
          <w:szCs w:val="24"/>
          <w:lang w:val="en-US"/>
        </w:rPr>
        <w:t>s</w:t>
      </w:r>
      <w:proofErr w:type="spellEnd"/>
      <w:r w:rsidR="00531A9C" w:rsidRPr="00494151">
        <w:rPr>
          <w:rFonts w:asciiTheme="majorBidi" w:hAnsiTheme="majorBidi" w:cstheme="majorBidi"/>
          <w:bCs/>
          <w:sz w:val="24"/>
          <w:szCs w:val="24"/>
          <w:lang w:val="en-US"/>
        </w:rPr>
        <w:t xml:space="preserve"> [32]</w:t>
      </w:r>
      <w:r w:rsidR="001B4C00" w:rsidRPr="00494151">
        <w:rPr>
          <w:rFonts w:asciiTheme="majorBidi" w:hAnsiTheme="majorBidi" w:cstheme="majorBidi"/>
          <w:bCs/>
          <w:sz w:val="24"/>
          <w:szCs w:val="24"/>
          <w:lang w:val="en-US"/>
        </w:rPr>
        <w:t xml:space="preserve"> Thai study, where salaries remained paramount, highlighting how economic contexts shape motivations.</w:t>
      </w:r>
      <w:r w:rsidR="00E61790" w:rsidRPr="00494151">
        <w:rPr>
          <w:rFonts w:asciiTheme="majorBidi" w:hAnsiTheme="majorBidi" w:cstheme="majorBidi"/>
          <w:bCs/>
          <w:sz w:val="24"/>
          <w:szCs w:val="24"/>
          <w:lang w:val="en-US"/>
        </w:rPr>
        <w:t xml:space="preserve"> </w:t>
      </w:r>
      <w:r w:rsidR="004F1C5F" w:rsidRPr="00494151">
        <w:rPr>
          <w:rFonts w:asciiTheme="majorBidi" w:hAnsiTheme="majorBidi" w:cstheme="majorBidi"/>
          <w:bCs/>
          <w:sz w:val="24"/>
          <w:szCs w:val="24"/>
          <w:lang w:val="en-US"/>
        </w:rPr>
        <w:t xml:space="preserve"> </w:t>
      </w:r>
    </w:p>
    <w:p w14:paraId="67D48CF8" w14:textId="77777777" w:rsidR="00D23E16" w:rsidRPr="00494151" w:rsidRDefault="00D23E16" w:rsidP="00D23E16">
      <w:pPr>
        <w:spacing w:after="0" w:line="360" w:lineRule="auto"/>
        <w:jc w:val="both"/>
        <w:rPr>
          <w:rFonts w:asciiTheme="majorBidi" w:hAnsiTheme="majorBidi" w:cstheme="majorBidi"/>
          <w:bCs/>
          <w:sz w:val="24"/>
          <w:szCs w:val="24"/>
          <w:lang w:val="en-US"/>
        </w:rPr>
      </w:pPr>
    </w:p>
    <w:p w14:paraId="6030F789" w14:textId="77777777" w:rsidR="00D23E16" w:rsidRPr="00494151" w:rsidRDefault="00D23E16" w:rsidP="00D23E16">
      <w:pPr>
        <w:spacing w:after="0" w:line="360" w:lineRule="auto"/>
        <w:jc w:val="both"/>
        <w:rPr>
          <w:rFonts w:asciiTheme="majorBidi" w:hAnsiTheme="majorBidi" w:cstheme="majorBidi"/>
          <w:b/>
          <w:sz w:val="24"/>
          <w:szCs w:val="24"/>
          <w:lang w:val="en-US"/>
        </w:rPr>
      </w:pPr>
      <w:r w:rsidRPr="00494151">
        <w:rPr>
          <w:rFonts w:asciiTheme="majorBidi" w:hAnsiTheme="majorBidi" w:cstheme="majorBidi"/>
          <w:b/>
          <w:sz w:val="24"/>
          <w:szCs w:val="24"/>
          <w:lang w:val="en-US"/>
        </w:rPr>
        <w:t>5.0 CONCLUSION</w:t>
      </w:r>
    </w:p>
    <w:p w14:paraId="51951CC2" w14:textId="77777777" w:rsidR="00A42BC1" w:rsidRPr="00494151" w:rsidRDefault="00A42BC1" w:rsidP="00BE138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The findings of this study highlight the factors influencing medical students’ practice location preferences in Ghana. While a significant proportion of respondents expressed willingness to work in rural areas, this aspiration must be </w:t>
      </w:r>
      <w:proofErr w:type="spellStart"/>
      <w:r w:rsidRPr="00494151">
        <w:rPr>
          <w:rFonts w:asciiTheme="majorBidi" w:hAnsiTheme="majorBidi" w:cstheme="majorBidi"/>
          <w:bCs/>
          <w:sz w:val="24"/>
          <w:szCs w:val="24"/>
          <w:lang w:val="en-US"/>
        </w:rPr>
        <w:t>contextualised</w:t>
      </w:r>
      <w:proofErr w:type="spellEnd"/>
      <w:r w:rsidRPr="00494151">
        <w:rPr>
          <w:rFonts w:asciiTheme="majorBidi" w:hAnsiTheme="majorBidi" w:cstheme="majorBidi"/>
          <w:bCs/>
          <w:sz w:val="24"/>
          <w:szCs w:val="24"/>
          <w:lang w:val="en-US"/>
        </w:rPr>
        <w:t xml:space="preserve"> within the broader realities of inadequate rural exposure and systemic challenges. The results demonstrate that financial incentives alone are insufficient to address workforce mal-distribution, echoing broader shifts in understanding health worker motivation globally.</w:t>
      </w:r>
    </w:p>
    <w:p w14:paraId="607D1E15" w14:textId="77777777" w:rsidR="00A42BC1" w:rsidRPr="00494151" w:rsidRDefault="00A42BC1" w:rsidP="00BE1386">
      <w:pPr>
        <w:spacing w:after="0" w:line="360" w:lineRule="auto"/>
        <w:jc w:val="both"/>
        <w:rPr>
          <w:rFonts w:asciiTheme="majorBidi" w:hAnsiTheme="majorBidi" w:cstheme="majorBidi"/>
          <w:bCs/>
          <w:sz w:val="24"/>
          <w:szCs w:val="24"/>
          <w:lang w:val="en-US"/>
        </w:rPr>
      </w:pPr>
    </w:p>
    <w:p w14:paraId="3AF80324" w14:textId="77777777" w:rsidR="00A42BC1" w:rsidRPr="00494151" w:rsidRDefault="00A42BC1" w:rsidP="00BE138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Medical education systems must be reconfigured to provide structured rural clinical experiences early in training, as these have proven significant in shaping positive perceptions of rural practice. Simultaneously, policy interventions should </w:t>
      </w:r>
      <w:proofErr w:type="spellStart"/>
      <w:r w:rsidRPr="00494151">
        <w:rPr>
          <w:rFonts w:asciiTheme="majorBidi" w:hAnsiTheme="majorBidi" w:cstheme="majorBidi"/>
          <w:bCs/>
          <w:sz w:val="24"/>
          <w:szCs w:val="24"/>
          <w:lang w:val="en-US"/>
        </w:rPr>
        <w:t>prioritise</w:t>
      </w:r>
      <w:proofErr w:type="spellEnd"/>
      <w:r w:rsidRPr="00494151">
        <w:rPr>
          <w:rFonts w:asciiTheme="majorBidi" w:hAnsiTheme="majorBidi" w:cstheme="majorBidi"/>
          <w:bCs/>
          <w:sz w:val="24"/>
          <w:szCs w:val="24"/>
          <w:lang w:val="en-US"/>
        </w:rPr>
        <w:t xml:space="preserve"> improving rural infrastructure and career development pathways to create enabling environments for healthcare professionals. The strong preference for specialist training over general practice presents both a challenge and an opportunity; strategic reforms could channel this inclination towards addressing critical gaps in rural specialist care.</w:t>
      </w:r>
    </w:p>
    <w:p w14:paraId="579D4B0D" w14:textId="77777777" w:rsidR="00A42BC1" w:rsidRPr="00494151" w:rsidRDefault="00A42BC1" w:rsidP="00BE1386">
      <w:pPr>
        <w:spacing w:after="0" w:line="360" w:lineRule="auto"/>
        <w:jc w:val="both"/>
        <w:rPr>
          <w:rFonts w:asciiTheme="majorBidi" w:hAnsiTheme="majorBidi" w:cstheme="majorBidi"/>
          <w:bCs/>
          <w:sz w:val="24"/>
          <w:szCs w:val="24"/>
          <w:lang w:val="en-US"/>
        </w:rPr>
      </w:pPr>
    </w:p>
    <w:p w14:paraId="48551CCC" w14:textId="77777777" w:rsidR="00B1268F" w:rsidRPr="00494151" w:rsidRDefault="00A42BC1" w:rsidP="00BE1386">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Therefore, sustainable solutions require multisectoral collaboration between medical schools, health ministries, and local communities. Aligning educational experiences with workforce needs and creating practice environments that meet professionals’ expectations can help Ghana make meaningful progress towards equitable healthcare access. These efforts must be underpinned by long-term monitoring to assess their impact on actual workforce distribution patterns, ensuring that policies translate into tangible improvements in rural healthcare delivery. The study provides a foundation for such initiatives while highlighting areas requiring further investigation to refine intervention strategies.</w:t>
      </w:r>
    </w:p>
    <w:p w14:paraId="043E873E" w14:textId="77777777" w:rsidR="00B1268F" w:rsidRPr="00494151" w:rsidRDefault="00B1268F" w:rsidP="00BE1386">
      <w:pPr>
        <w:spacing w:after="0" w:line="360" w:lineRule="auto"/>
        <w:jc w:val="both"/>
        <w:rPr>
          <w:rFonts w:asciiTheme="majorBidi" w:hAnsiTheme="majorBidi" w:cstheme="majorBidi"/>
          <w:bCs/>
          <w:sz w:val="24"/>
          <w:szCs w:val="24"/>
          <w:lang w:val="en-US"/>
        </w:rPr>
      </w:pPr>
    </w:p>
    <w:p w14:paraId="6DD713C9" w14:textId="77777777" w:rsidR="00A42BC1" w:rsidRPr="00494151" w:rsidRDefault="00A42BC1" w:rsidP="00BE1386">
      <w:pPr>
        <w:spacing w:after="0" w:line="360" w:lineRule="auto"/>
        <w:jc w:val="both"/>
        <w:rPr>
          <w:rFonts w:asciiTheme="majorBidi" w:hAnsiTheme="majorBidi" w:cstheme="majorBidi"/>
          <w:b/>
          <w:sz w:val="24"/>
          <w:szCs w:val="24"/>
          <w:lang w:val="en-US"/>
        </w:rPr>
      </w:pPr>
      <w:r w:rsidRPr="00494151">
        <w:rPr>
          <w:rFonts w:asciiTheme="majorBidi" w:hAnsiTheme="majorBidi" w:cstheme="majorBidi"/>
          <w:b/>
          <w:sz w:val="24"/>
          <w:szCs w:val="24"/>
          <w:lang w:val="en-US"/>
        </w:rPr>
        <w:t>6.0 LIMITATION</w:t>
      </w:r>
    </w:p>
    <w:p w14:paraId="6F1F040C" w14:textId="77777777" w:rsidR="005056A0" w:rsidRPr="00494151" w:rsidRDefault="006C02F0" w:rsidP="00BE1386">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This study has several limitations that should be considered when interpreting its findings. The cross-sectional design provides only</w:t>
      </w:r>
      <w:r w:rsidR="00CC4579" w:rsidRPr="00494151">
        <w:rPr>
          <w:rFonts w:asciiTheme="majorBidi" w:hAnsiTheme="majorBidi" w:cstheme="majorBidi"/>
          <w:bCs/>
          <w:sz w:val="24"/>
          <w:szCs w:val="24"/>
          <w:lang w:val="en-US"/>
        </w:rPr>
        <w:t xml:space="preserve"> a glimpse of medical students’</w:t>
      </w:r>
      <w:r w:rsidRPr="00494151">
        <w:rPr>
          <w:rFonts w:asciiTheme="majorBidi" w:hAnsiTheme="majorBidi" w:cstheme="majorBidi"/>
          <w:bCs/>
          <w:sz w:val="24"/>
          <w:szCs w:val="24"/>
          <w:lang w:val="en-US"/>
        </w:rPr>
        <w:t xml:space="preserve"> preferences at a single point in time, rather than tracking how these attitudes evolve throughout their careers. The exclusive focus on one medical school limits </w:t>
      </w:r>
      <w:proofErr w:type="spellStart"/>
      <w:r w:rsidRPr="00494151">
        <w:rPr>
          <w:rFonts w:asciiTheme="majorBidi" w:hAnsiTheme="majorBidi" w:cstheme="majorBidi"/>
          <w:bCs/>
          <w:sz w:val="24"/>
          <w:szCs w:val="24"/>
          <w:lang w:val="en-US"/>
        </w:rPr>
        <w:t>generalisability</w:t>
      </w:r>
      <w:proofErr w:type="spellEnd"/>
      <w:r w:rsidRPr="00494151">
        <w:rPr>
          <w:rFonts w:asciiTheme="majorBidi" w:hAnsiTheme="majorBidi" w:cstheme="majorBidi"/>
          <w:bCs/>
          <w:sz w:val="24"/>
          <w:szCs w:val="24"/>
          <w:lang w:val="en-US"/>
        </w:rPr>
        <w:t xml:space="preserve"> to all Ghanaian medical trainees, as institutional cultures and curricula may vary. The reliance on self-reported data introduces potential response bias, with participants possibly providing socially desirable answers regarding rural practice intentions. </w:t>
      </w:r>
      <w:r w:rsidR="00CC4579" w:rsidRPr="00494151">
        <w:rPr>
          <w:rFonts w:asciiTheme="majorBidi" w:hAnsiTheme="majorBidi" w:cstheme="majorBidi"/>
          <w:bCs/>
          <w:sz w:val="24"/>
          <w:szCs w:val="24"/>
          <w:lang w:val="en-US"/>
        </w:rPr>
        <w:t>Furthermore</w:t>
      </w:r>
      <w:r w:rsidRPr="00494151">
        <w:rPr>
          <w:rFonts w:asciiTheme="majorBidi" w:hAnsiTheme="majorBidi" w:cstheme="majorBidi"/>
          <w:bCs/>
          <w:sz w:val="24"/>
          <w:szCs w:val="24"/>
          <w:lang w:val="en-US"/>
        </w:rPr>
        <w:t>, the study did not ex</w:t>
      </w:r>
      <w:r w:rsidR="00757DAD" w:rsidRPr="00494151">
        <w:rPr>
          <w:rFonts w:asciiTheme="majorBidi" w:hAnsiTheme="majorBidi" w:cstheme="majorBidi"/>
          <w:bCs/>
          <w:sz w:val="24"/>
          <w:szCs w:val="24"/>
          <w:lang w:val="en-US"/>
        </w:rPr>
        <w:t>amine</w:t>
      </w:r>
      <w:r w:rsidRPr="00494151">
        <w:rPr>
          <w:rFonts w:asciiTheme="majorBidi" w:hAnsiTheme="majorBidi" w:cstheme="majorBidi"/>
          <w:bCs/>
          <w:sz w:val="24"/>
          <w:szCs w:val="24"/>
          <w:lang w:val="en-US"/>
        </w:rPr>
        <w:t xml:space="preserve"> how external factors such as family pressures or debt obligations might influence career decisions. These limitations highlight the need for broader, longitudinal research to validate the findings.</w:t>
      </w:r>
      <w:r w:rsidR="00EA2224" w:rsidRPr="00494151">
        <w:rPr>
          <w:rFonts w:asciiTheme="majorBidi" w:hAnsiTheme="majorBidi" w:cstheme="majorBidi"/>
          <w:bCs/>
          <w:sz w:val="24"/>
          <w:szCs w:val="24"/>
          <w:lang w:val="en-US"/>
        </w:rPr>
        <w:t xml:space="preserve"> </w:t>
      </w:r>
      <w:r w:rsidR="006579A1" w:rsidRPr="00494151">
        <w:rPr>
          <w:rFonts w:asciiTheme="majorBidi" w:hAnsiTheme="majorBidi" w:cstheme="majorBidi"/>
          <w:bCs/>
          <w:sz w:val="24"/>
          <w:szCs w:val="24"/>
          <w:lang w:val="en-US"/>
        </w:rPr>
        <w:t xml:space="preserve"> </w:t>
      </w:r>
    </w:p>
    <w:p w14:paraId="13EB2E48" w14:textId="77777777" w:rsidR="005056A0" w:rsidRPr="00494151" w:rsidRDefault="005056A0" w:rsidP="00BE1386">
      <w:pPr>
        <w:spacing w:before="240" w:after="0" w:line="360" w:lineRule="auto"/>
        <w:jc w:val="both"/>
        <w:rPr>
          <w:rFonts w:asciiTheme="majorBidi" w:hAnsiTheme="majorBidi" w:cstheme="majorBidi"/>
          <w:bCs/>
          <w:sz w:val="24"/>
          <w:szCs w:val="24"/>
          <w:lang w:val="en-US"/>
        </w:rPr>
      </w:pPr>
    </w:p>
    <w:p w14:paraId="405B459D" w14:textId="77777777" w:rsidR="005056A0" w:rsidRPr="00494151" w:rsidRDefault="005056A0" w:rsidP="00BE1386">
      <w:pPr>
        <w:spacing w:before="240" w:after="0" w:line="360" w:lineRule="auto"/>
        <w:jc w:val="both"/>
        <w:rPr>
          <w:rFonts w:asciiTheme="majorBidi" w:hAnsiTheme="majorBidi" w:cstheme="majorBidi"/>
          <w:bCs/>
          <w:sz w:val="24"/>
          <w:szCs w:val="24"/>
          <w:lang w:val="en-US"/>
        </w:rPr>
      </w:pPr>
    </w:p>
    <w:p w14:paraId="088A807D" w14:textId="77777777" w:rsidR="005056A0" w:rsidRDefault="005056A0" w:rsidP="00757DAD">
      <w:pPr>
        <w:spacing w:before="240" w:after="0" w:line="360" w:lineRule="auto"/>
        <w:jc w:val="both"/>
        <w:rPr>
          <w:rFonts w:asciiTheme="majorBidi" w:hAnsiTheme="majorBidi" w:cstheme="majorBidi"/>
          <w:bCs/>
          <w:sz w:val="24"/>
          <w:szCs w:val="24"/>
          <w:lang w:val="en-US"/>
        </w:rPr>
      </w:pPr>
    </w:p>
    <w:p w14:paraId="446FF6D4" w14:textId="77777777" w:rsidR="00BE1386" w:rsidRDefault="00BE1386" w:rsidP="00757DAD">
      <w:pPr>
        <w:spacing w:before="240" w:after="0" w:line="360" w:lineRule="auto"/>
        <w:jc w:val="both"/>
        <w:rPr>
          <w:rFonts w:asciiTheme="majorBidi" w:hAnsiTheme="majorBidi" w:cstheme="majorBidi"/>
          <w:bCs/>
          <w:sz w:val="24"/>
          <w:szCs w:val="24"/>
          <w:lang w:val="en-US"/>
        </w:rPr>
      </w:pPr>
    </w:p>
    <w:p w14:paraId="165CFE6E" w14:textId="77777777" w:rsidR="00BE1386" w:rsidRPr="00494151" w:rsidRDefault="00BE1386" w:rsidP="00757DAD">
      <w:pPr>
        <w:spacing w:before="240" w:after="0" w:line="360" w:lineRule="auto"/>
        <w:jc w:val="both"/>
        <w:rPr>
          <w:rFonts w:asciiTheme="majorBidi" w:hAnsiTheme="majorBidi" w:cstheme="majorBidi"/>
          <w:bCs/>
          <w:sz w:val="24"/>
          <w:szCs w:val="24"/>
          <w:lang w:val="en-US"/>
        </w:rPr>
      </w:pPr>
    </w:p>
    <w:p w14:paraId="08998C85" w14:textId="77777777" w:rsidR="005056A0" w:rsidRPr="00494151" w:rsidRDefault="005056A0" w:rsidP="00757DAD">
      <w:pPr>
        <w:spacing w:before="240" w:after="0" w:line="360" w:lineRule="auto"/>
        <w:jc w:val="both"/>
        <w:rPr>
          <w:rFonts w:asciiTheme="majorBidi" w:hAnsiTheme="majorBidi" w:cstheme="majorBidi"/>
          <w:bCs/>
          <w:sz w:val="24"/>
          <w:szCs w:val="24"/>
          <w:lang w:val="en-US"/>
        </w:rPr>
      </w:pPr>
    </w:p>
    <w:p w14:paraId="05B07388" w14:textId="77777777" w:rsidR="005056A0" w:rsidRPr="00494151" w:rsidRDefault="005056A0" w:rsidP="00757DAD">
      <w:pPr>
        <w:spacing w:before="240" w:after="0" w:line="360" w:lineRule="auto"/>
        <w:jc w:val="both"/>
        <w:rPr>
          <w:rFonts w:asciiTheme="majorBidi" w:hAnsiTheme="majorBidi" w:cstheme="majorBidi"/>
          <w:bCs/>
          <w:sz w:val="24"/>
          <w:szCs w:val="24"/>
          <w:lang w:val="en-US"/>
        </w:rPr>
      </w:pPr>
    </w:p>
    <w:p w14:paraId="5D4CD822" w14:textId="77777777" w:rsidR="005056A0" w:rsidRPr="00494151" w:rsidRDefault="004733F0" w:rsidP="005056A0">
      <w:pPr>
        <w:spacing w:before="240" w:after="0" w:line="360" w:lineRule="auto"/>
        <w:jc w:val="both"/>
        <w:rPr>
          <w:rFonts w:asciiTheme="majorBidi" w:hAnsiTheme="majorBidi" w:cstheme="majorBidi"/>
          <w:b/>
          <w:sz w:val="24"/>
          <w:szCs w:val="24"/>
          <w:lang w:val="en-US"/>
        </w:rPr>
      </w:pPr>
      <w:r w:rsidRPr="00494151">
        <w:rPr>
          <w:rFonts w:asciiTheme="majorBidi" w:hAnsiTheme="majorBidi" w:cstheme="majorBidi"/>
          <w:b/>
          <w:sz w:val="24"/>
          <w:szCs w:val="24"/>
          <w:lang w:val="en-US"/>
        </w:rPr>
        <w:lastRenderedPageBreak/>
        <w:t>REFERENCES</w:t>
      </w:r>
    </w:p>
    <w:p w14:paraId="680C853D" w14:textId="77777777" w:rsidR="005056A0" w:rsidRPr="00494151" w:rsidRDefault="005056A0" w:rsidP="00A036A4">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 Kruk ME, Gage AD, Arsenault C, Jordan K, Leslie HH, </w:t>
      </w:r>
      <w:proofErr w:type="spellStart"/>
      <w:r w:rsidRPr="00494151">
        <w:rPr>
          <w:rFonts w:asciiTheme="majorBidi" w:hAnsiTheme="majorBidi" w:cstheme="majorBidi"/>
          <w:bCs/>
          <w:sz w:val="24"/>
          <w:szCs w:val="24"/>
          <w:lang w:val="en-US"/>
        </w:rPr>
        <w:t>Roder-DeWan</w:t>
      </w:r>
      <w:proofErr w:type="spellEnd"/>
      <w:r w:rsidRPr="00494151">
        <w:rPr>
          <w:rFonts w:asciiTheme="majorBidi" w:hAnsiTheme="majorBidi" w:cstheme="majorBidi"/>
          <w:bCs/>
          <w:sz w:val="24"/>
          <w:szCs w:val="24"/>
          <w:lang w:val="en-US"/>
        </w:rPr>
        <w:t xml:space="preserve"> S, et al. High-quality health systems in the Sustainable Development Goals era: time for a revolution. Lancet Glob Health. 2018 Sep 5;</w:t>
      </w:r>
      <w:proofErr w:type="gramStart"/>
      <w:r w:rsidRPr="00494151">
        <w:rPr>
          <w:rFonts w:asciiTheme="majorBidi" w:hAnsiTheme="majorBidi" w:cstheme="majorBidi"/>
          <w:bCs/>
          <w:sz w:val="24"/>
          <w:szCs w:val="24"/>
          <w:lang w:val="en-US"/>
        </w:rPr>
        <w:t>6:e</w:t>
      </w:r>
      <w:proofErr w:type="gramEnd"/>
      <w:r w:rsidRPr="00494151">
        <w:rPr>
          <w:rFonts w:asciiTheme="majorBidi" w:hAnsiTheme="majorBidi" w:cstheme="majorBidi"/>
          <w:bCs/>
          <w:sz w:val="24"/>
          <w:szCs w:val="24"/>
          <w:lang w:val="en-US"/>
        </w:rPr>
        <w:t>1196–e1252.</w:t>
      </w:r>
      <w:r w:rsidR="00A036A4" w:rsidRPr="00494151">
        <w:rPr>
          <w:rFonts w:asciiTheme="majorBidi" w:hAnsiTheme="majorBidi" w:cstheme="majorBidi"/>
          <w:bCs/>
          <w:sz w:val="24"/>
          <w:szCs w:val="24"/>
          <w:lang w:val="en-US"/>
        </w:rPr>
        <w:t xml:space="preserve"> </w:t>
      </w:r>
      <w:hyperlink r:id="rId16" w:history="1">
        <w:r w:rsidR="00A036A4" w:rsidRPr="00494151">
          <w:rPr>
            <w:rStyle w:val="Hyperlink"/>
            <w:rFonts w:asciiTheme="majorBidi" w:hAnsiTheme="majorBidi" w:cstheme="majorBidi"/>
            <w:bCs/>
            <w:sz w:val="24"/>
            <w:szCs w:val="24"/>
            <w:lang w:val="en-US"/>
          </w:rPr>
          <w:t>https://doi.org/10.1016/S2214-109X(18)30386-3</w:t>
        </w:r>
      </w:hyperlink>
      <w:r w:rsidRPr="00494151">
        <w:rPr>
          <w:rFonts w:asciiTheme="majorBidi" w:hAnsiTheme="majorBidi" w:cstheme="majorBidi"/>
          <w:bCs/>
          <w:sz w:val="24"/>
          <w:szCs w:val="24"/>
          <w:lang w:val="en-US"/>
        </w:rPr>
        <w:t>.</w:t>
      </w:r>
      <w:r w:rsidR="00A036A4" w:rsidRPr="00494151">
        <w:rPr>
          <w:rFonts w:asciiTheme="majorBidi" w:hAnsiTheme="majorBidi" w:cstheme="majorBidi"/>
          <w:bCs/>
          <w:sz w:val="24"/>
          <w:szCs w:val="24"/>
          <w:lang w:val="en-US"/>
        </w:rPr>
        <w:t xml:space="preserve">   </w:t>
      </w:r>
    </w:p>
    <w:p w14:paraId="43605CC9" w14:textId="77777777" w:rsidR="005056A0" w:rsidRPr="00494151" w:rsidRDefault="005056A0" w:rsidP="00354B3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 Dussault G, Franceschini MC. Not enough there, too many here: understanding geographical imbalances in the distribution of the health workforce. Hum </w:t>
      </w:r>
      <w:proofErr w:type="spellStart"/>
      <w:r w:rsidRPr="00494151">
        <w:rPr>
          <w:rFonts w:asciiTheme="majorBidi" w:hAnsiTheme="majorBidi" w:cstheme="majorBidi"/>
          <w:bCs/>
          <w:sz w:val="24"/>
          <w:szCs w:val="24"/>
          <w:lang w:val="en-US"/>
        </w:rPr>
        <w:t>Resour</w:t>
      </w:r>
      <w:proofErr w:type="spellEnd"/>
      <w:r w:rsidRPr="00494151">
        <w:rPr>
          <w:rFonts w:asciiTheme="majorBidi" w:hAnsiTheme="majorBidi" w:cstheme="majorBidi"/>
          <w:bCs/>
          <w:sz w:val="24"/>
          <w:szCs w:val="24"/>
          <w:lang w:val="en-US"/>
        </w:rPr>
        <w:t xml:space="preserve"> Health. 2006 May </w:t>
      </w:r>
      <w:proofErr w:type="gramStart"/>
      <w:r w:rsidRPr="00494151">
        <w:rPr>
          <w:rFonts w:asciiTheme="majorBidi" w:hAnsiTheme="majorBidi" w:cstheme="majorBidi"/>
          <w:bCs/>
          <w:sz w:val="24"/>
          <w:szCs w:val="24"/>
          <w:lang w:val="en-US"/>
        </w:rPr>
        <w:t>27;4:12</w:t>
      </w:r>
      <w:proofErr w:type="gramEnd"/>
      <w:r w:rsidRPr="00494151">
        <w:rPr>
          <w:rFonts w:asciiTheme="majorBidi" w:hAnsiTheme="majorBidi" w:cstheme="majorBidi"/>
          <w:bCs/>
          <w:sz w:val="24"/>
          <w:szCs w:val="24"/>
          <w:lang w:val="en-US"/>
        </w:rPr>
        <w:t xml:space="preserve">. </w:t>
      </w:r>
      <w:hyperlink r:id="rId17" w:history="1">
        <w:r w:rsidR="00354B30" w:rsidRPr="00494151">
          <w:rPr>
            <w:rStyle w:val="Hyperlink"/>
            <w:rFonts w:asciiTheme="majorBidi" w:hAnsiTheme="majorBidi" w:cstheme="majorBidi"/>
            <w:bCs/>
            <w:sz w:val="24"/>
            <w:szCs w:val="24"/>
            <w:lang w:val="en-US"/>
          </w:rPr>
          <w:t>https://doi.org/10.1186/1478-4491-4-12</w:t>
        </w:r>
      </w:hyperlink>
      <w:r w:rsidRPr="00494151">
        <w:rPr>
          <w:rFonts w:asciiTheme="majorBidi" w:hAnsiTheme="majorBidi" w:cstheme="majorBidi"/>
          <w:bCs/>
          <w:sz w:val="24"/>
          <w:szCs w:val="24"/>
          <w:lang w:val="en-US"/>
        </w:rPr>
        <w:t>.</w:t>
      </w:r>
      <w:r w:rsidR="00354B30" w:rsidRPr="00494151">
        <w:rPr>
          <w:rFonts w:asciiTheme="majorBidi" w:hAnsiTheme="majorBidi" w:cstheme="majorBidi"/>
          <w:bCs/>
          <w:sz w:val="24"/>
          <w:szCs w:val="24"/>
          <w:lang w:val="en-US"/>
        </w:rPr>
        <w:t xml:space="preserve"> </w:t>
      </w:r>
    </w:p>
    <w:p w14:paraId="62D46CE0" w14:textId="77777777" w:rsidR="005056A0" w:rsidRPr="00494151" w:rsidRDefault="005056A0" w:rsidP="00354B3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[3] Akinwale OE, George OJ. Personnel brain-drain syndrome and quality healthcare delivery among public healthcare workforce in Nigeria. Arab Gulf J Sci Res. 2022 Sep;41(1). </w:t>
      </w:r>
      <w:hyperlink r:id="rId18" w:history="1">
        <w:r w:rsidR="00354B30" w:rsidRPr="00494151">
          <w:rPr>
            <w:rStyle w:val="Hyperlink"/>
            <w:rFonts w:asciiTheme="majorBidi" w:hAnsiTheme="majorBidi" w:cstheme="majorBidi"/>
            <w:bCs/>
            <w:sz w:val="24"/>
            <w:szCs w:val="24"/>
            <w:lang w:val="en-US"/>
          </w:rPr>
          <w:t>https://doi.org/10.1108/AGJSR-04-2022-0022</w:t>
        </w:r>
      </w:hyperlink>
      <w:r w:rsidRPr="00494151">
        <w:rPr>
          <w:rFonts w:asciiTheme="majorBidi" w:hAnsiTheme="majorBidi" w:cstheme="majorBidi"/>
          <w:bCs/>
          <w:sz w:val="24"/>
          <w:szCs w:val="24"/>
          <w:lang w:val="en-US"/>
        </w:rPr>
        <w:t>.</w:t>
      </w:r>
      <w:r w:rsidR="00354B30" w:rsidRPr="00494151">
        <w:rPr>
          <w:rFonts w:asciiTheme="majorBidi" w:hAnsiTheme="majorBidi" w:cstheme="majorBidi"/>
          <w:bCs/>
          <w:sz w:val="24"/>
          <w:szCs w:val="24"/>
          <w:lang w:val="en-US"/>
        </w:rPr>
        <w:t xml:space="preserve"> </w:t>
      </w:r>
    </w:p>
    <w:p w14:paraId="0A61AFC2"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[4] Snow RC, </w:t>
      </w:r>
      <w:proofErr w:type="spellStart"/>
      <w:r w:rsidRPr="00494151">
        <w:rPr>
          <w:rFonts w:asciiTheme="majorBidi" w:hAnsiTheme="majorBidi" w:cstheme="majorBidi"/>
          <w:bCs/>
          <w:sz w:val="24"/>
          <w:szCs w:val="24"/>
          <w:lang w:val="en-US"/>
        </w:rPr>
        <w:t>Asabir</w:t>
      </w:r>
      <w:proofErr w:type="spellEnd"/>
      <w:r w:rsidRPr="00494151">
        <w:rPr>
          <w:rFonts w:asciiTheme="majorBidi" w:hAnsiTheme="majorBidi" w:cstheme="majorBidi"/>
          <w:bCs/>
          <w:sz w:val="24"/>
          <w:szCs w:val="24"/>
          <w:lang w:val="en-US"/>
        </w:rPr>
        <w:t xml:space="preserve"> K, </w:t>
      </w:r>
      <w:proofErr w:type="spellStart"/>
      <w:r w:rsidRPr="00494151">
        <w:rPr>
          <w:rFonts w:asciiTheme="majorBidi" w:hAnsiTheme="majorBidi" w:cstheme="majorBidi"/>
          <w:bCs/>
          <w:sz w:val="24"/>
          <w:szCs w:val="24"/>
          <w:lang w:val="en-US"/>
        </w:rPr>
        <w:t>Mutumba</w:t>
      </w:r>
      <w:proofErr w:type="spellEnd"/>
      <w:r w:rsidRPr="00494151">
        <w:rPr>
          <w:rFonts w:asciiTheme="majorBidi" w:hAnsiTheme="majorBidi" w:cstheme="majorBidi"/>
          <w:bCs/>
          <w:sz w:val="24"/>
          <w:szCs w:val="24"/>
          <w:lang w:val="en-US"/>
        </w:rPr>
        <w:t xml:space="preserve"> M, Koomson EK, Gyan K, </w:t>
      </w:r>
      <w:proofErr w:type="spellStart"/>
      <w:r w:rsidRPr="00494151">
        <w:rPr>
          <w:rFonts w:asciiTheme="majorBidi" w:hAnsiTheme="majorBidi" w:cstheme="majorBidi"/>
          <w:bCs/>
          <w:sz w:val="24"/>
          <w:szCs w:val="24"/>
          <w:lang w:val="en-US"/>
        </w:rPr>
        <w:t>Dzodzomenyo</w:t>
      </w:r>
      <w:proofErr w:type="spellEnd"/>
      <w:r w:rsidRPr="00494151">
        <w:rPr>
          <w:rFonts w:asciiTheme="majorBidi" w:hAnsiTheme="majorBidi" w:cstheme="majorBidi"/>
          <w:bCs/>
          <w:sz w:val="24"/>
          <w:szCs w:val="24"/>
          <w:lang w:val="en-US"/>
        </w:rPr>
        <w:t xml:space="preserve"> M, et al. Key factors leading to reduced recruitment and retention of health professionals in remote areas of Ghana: a qualitative study and proposed policy solutions. Hum </w:t>
      </w:r>
      <w:proofErr w:type="spellStart"/>
      <w:r w:rsidRPr="00494151">
        <w:rPr>
          <w:rFonts w:asciiTheme="majorBidi" w:hAnsiTheme="majorBidi" w:cstheme="majorBidi"/>
          <w:bCs/>
          <w:sz w:val="24"/>
          <w:szCs w:val="24"/>
          <w:lang w:val="en-US"/>
        </w:rPr>
        <w:t>Resour</w:t>
      </w:r>
      <w:proofErr w:type="spellEnd"/>
      <w:r w:rsidRPr="00494151">
        <w:rPr>
          <w:rFonts w:asciiTheme="majorBidi" w:hAnsiTheme="majorBidi" w:cstheme="majorBidi"/>
          <w:bCs/>
          <w:sz w:val="24"/>
          <w:szCs w:val="24"/>
          <w:lang w:val="en-US"/>
        </w:rPr>
        <w:t xml:space="preserve"> Health. </w:t>
      </w:r>
      <w:proofErr w:type="gramStart"/>
      <w:r w:rsidRPr="00494151">
        <w:rPr>
          <w:rFonts w:asciiTheme="majorBidi" w:hAnsiTheme="majorBidi" w:cstheme="majorBidi"/>
          <w:bCs/>
          <w:sz w:val="24"/>
          <w:szCs w:val="24"/>
          <w:lang w:val="en-US"/>
        </w:rPr>
        <w:t>2011;9:13</w:t>
      </w:r>
      <w:proofErr w:type="gramEnd"/>
      <w:r w:rsidRPr="00494151">
        <w:rPr>
          <w:rFonts w:asciiTheme="majorBidi" w:hAnsiTheme="majorBidi" w:cstheme="majorBidi"/>
          <w:bCs/>
          <w:sz w:val="24"/>
          <w:szCs w:val="24"/>
          <w:lang w:val="en-US"/>
        </w:rPr>
        <w:t xml:space="preserve">. Available from: </w:t>
      </w:r>
      <w:hyperlink r:id="rId19" w:history="1">
        <w:r w:rsidR="00354B30" w:rsidRPr="00494151">
          <w:rPr>
            <w:rStyle w:val="Hyperlink"/>
            <w:rFonts w:asciiTheme="majorBidi" w:hAnsiTheme="majorBidi" w:cstheme="majorBidi"/>
            <w:bCs/>
            <w:sz w:val="24"/>
            <w:szCs w:val="24"/>
            <w:lang w:val="en-US"/>
          </w:rPr>
          <w:t>http://www.human_resources_health.com/content/9/1/13</w:t>
        </w:r>
      </w:hyperlink>
      <w:r w:rsidR="00354B30" w:rsidRPr="00494151">
        <w:rPr>
          <w:rFonts w:asciiTheme="majorBidi" w:hAnsiTheme="majorBidi" w:cstheme="majorBidi"/>
          <w:bCs/>
          <w:sz w:val="24"/>
          <w:szCs w:val="24"/>
          <w:lang w:val="en-US"/>
        </w:rPr>
        <w:t xml:space="preserve"> </w:t>
      </w:r>
      <w:r w:rsidRPr="00494151">
        <w:rPr>
          <w:rFonts w:asciiTheme="majorBidi" w:hAnsiTheme="majorBidi" w:cstheme="majorBidi"/>
          <w:bCs/>
          <w:sz w:val="24"/>
          <w:szCs w:val="24"/>
          <w:lang w:val="en-US"/>
        </w:rPr>
        <w:t xml:space="preserve"> </w:t>
      </w:r>
    </w:p>
    <w:p w14:paraId="60A06BE8"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[5</w:t>
      </w:r>
      <w:proofErr w:type="gramStart"/>
      <w:r w:rsidRPr="00494151">
        <w:rPr>
          <w:rFonts w:asciiTheme="majorBidi" w:hAnsiTheme="majorBidi" w:cstheme="majorBidi"/>
          <w:bCs/>
          <w:sz w:val="24"/>
          <w:szCs w:val="24"/>
          <w:lang w:val="en-US"/>
        </w:rPr>
        <w:t>]  Dolea</w:t>
      </w:r>
      <w:proofErr w:type="gramEnd"/>
      <w:r w:rsidRPr="00494151">
        <w:rPr>
          <w:rFonts w:asciiTheme="majorBidi" w:hAnsiTheme="majorBidi" w:cstheme="majorBidi"/>
          <w:bCs/>
          <w:sz w:val="24"/>
          <w:szCs w:val="24"/>
          <w:lang w:val="en-US"/>
        </w:rPr>
        <w:t xml:space="preserve"> C, Stormont L, Zurn P, Shaw D, </w:t>
      </w:r>
      <w:proofErr w:type="spellStart"/>
      <w:r w:rsidRPr="00494151">
        <w:rPr>
          <w:rFonts w:asciiTheme="majorBidi" w:hAnsiTheme="majorBidi" w:cstheme="majorBidi"/>
          <w:bCs/>
          <w:sz w:val="24"/>
          <w:szCs w:val="24"/>
          <w:lang w:val="en-US"/>
        </w:rPr>
        <w:t>Braichat</w:t>
      </w:r>
      <w:proofErr w:type="spellEnd"/>
      <w:r w:rsidRPr="00494151">
        <w:rPr>
          <w:rFonts w:asciiTheme="majorBidi" w:hAnsiTheme="majorBidi" w:cstheme="majorBidi"/>
          <w:bCs/>
          <w:sz w:val="24"/>
          <w:szCs w:val="24"/>
          <w:lang w:val="en-US"/>
        </w:rPr>
        <w:t xml:space="preserve"> J-M. Increasing access to health workers in remote and rural areas through improved retention [Internet]. 2009 [cited 2025 May 31]. Available from: </w:t>
      </w:r>
      <w:hyperlink r:id="rId20" w:history="1">
        <w:r w:rsidR="0026417B" w:rsidRPr="00494151">
          <w:rPr>
            <w:rStyle w:val="Hyperlink"/>
            <w:rFonts w:asciiTheme="majorBidi" w:hAnsiTheme="majorBidi" w:cstheme="majorBidi"/>
            <w:bCs/>
            <w:sz w:val="24"/>
            <w:szCs w:val="24"/>
            <w:lang w:val="en-US"/>
          </w:rPr>
          <w:t>http://www.who.org/hrh/</w:t>
        </w:r>
      </w:hyperlink>
      <w:r w:rsidR="0026417B" w:rsidRPr="00494151">
        <w:rPr>
          <w:rFonts w:asciiTheme="majorBidi" w:hAnsiTheme="majorBidi" w:cstheme="majorBidi"/>
          <w:bCs/>
          <w:sz w:val="24"/>
          <w:szCs w:val="24"/>
          <w:lang w:val="en-US"/>
        </w:rPr>
        <w:t xml:space="preserve"> </w:t>
      </w:r>
    </w:p>
    <w:p w14:paraId="05589999" w14:textId="77777777" w:rsidR="005056A0" w:rsidRPr="00494151" w:rsidRDefault="005056A0" w:rsidP="0026417B">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[6] </w:t>
      </w:r>
      <w:proofErr w:type="spellStart"/>
      <w:r w:rsidRPr="00494151">
        <w:rPr>
          <w:rFonts w:asciiTheme="majorBidi" w:hAnsiTheme="majorBidi" w:cstheme="majorBidi"/>
          <w:bCs/>
          <w:sz w:val="24"/>
          <w:szCs w:val="24"/>
          <w:lang w:val="en-US"/>
        </w:rPr>
        <w:t>Mohammadiaghdam</w:t>
      </w:r>
      <w:proofErr w:type="spellEnd"/>
      <w:r w:rsidRPr="00494151">
        <w:rPr>
          <w:rFonts w:asciiTheme="majorBidi" w:hAnsiTheme="majorBidi" w:cstheme="majorBidi"/>
          <w:bCs/>
          <w:sz w:val="24"/>
          <w:szCs w:val="24"/>
          <w:lang w:val="en-US"/>
        </w:rPr>
        <w:t xml:space="preserve"> N, </w:t>
      </w:r>
      <w:proofErr w:type="spellStart"/>
      <w:r w:rsidRPr="00494151">
        <w:rPr>
          <w:rFonts w:asciiTheme="majorBidi" w:hAnsiTheme="majorBidi" w:cstheme="majorBidi"/>
          <w:bCs/>
          <w:sz w:val="24"/>
          <w:szCs w:val="24"/>
          <w:lang w:val="en-US"/>
        </w:rPr>
        <w:t>Doshmangir</w:t>
      </w:r>
      <w:proofErr w:type="spellEnd"/>
      <w:r w:rsidRPr="00494151">
        <w:rPr>
          <w:rFonts w:asciiTheme="majorBidi" w:hAnsiTheme="majorBidi" w:cstheme="majorBidi"/>
          <w:bCs/>
          <w:sz w:val="24"/>
          <w:szCs w:val="24"/>
          <w:lang w:val="en-US"/>
        </w:rPr>
        <w:t xml:space="preserve"> L, </w:t>
      </w:r>
      <w:proofErr w:type="spellStart"/>
      <w:r w:rsidRPr="00494151">
        <w:rPr>
          <w:rFonts w:asciiTheme="majorBidi" w:hAnsiTheme="majorBidi" w:cstheme="majorBidi"/>
          <w:bCs/>
          <w:sz w:val="24"/>
          <w:szCs w:val="24"/>
          <w:lang w:val="en-US"/>
        </w:rPr>
        <w:t>Babaie</w:t>
      </w:r>
      <w:proofErr w:type="spellEnd"/>
      <w:r w:rsidRPr="00494151">
        <w:rPr>
          <w:rFonts w:asciiTheme="majorBidi" w:hAnsiTheme="majorBidi" w:cstheme="majorBidi"/>
          <w:bCs/>
          <w:sz w:val="24"/>
          <w:szCs w:val="24"/>
          <w:lang w:val="en-US"/>
        </w:rPr>
        <w:t xml:space="preserve"> J, </w:t>
      </w:r>
      <w:proofErr w:type="spellStart"/>
      <w:r w:rsidRPr="00494151">
        <w:rPr>
          <w:rFonts w:asciiTheme="majorBidi" w:hAnsiTheme="majorBidi" w:cstheme="majorBidi"/>
          <w:bCs/>
          <w:sz w:val="24"/>
          <w:szCs w:val="24"/>
          <w:lang w:val="en-US"/>
        </w:rPr>
        <w:t>Khabiri</w:t>
      </w:r>
      <w:proofErr w:type="spellEnd"/>
      <w:r w:rsidRPr="00494151">
        <w:rPr>
          <w:rFonts w:asciiTheme="majorBidi" w:hAnsiTheme="majorBidi" w:cstheme="majorBidi"/>
          <w:bCs/>
          <w:sz w:val="24"/>
          <w:szCs w:val="24"/>
          <w:lang w:val="en-US"/>
        </w:rPr>
        <w:t xml:space="preserve"> R, </w:t>
      </w:r>
      <w:proofErr w:type="spellStart"/>
      <w:r w:rsidRPr="00494151">
        <w:rPr>
          <w:rFonts w:asciiTheme="majorBidi" w:hAnsiTheme="majorBidi" w:cstheme="majorBidi"/>
          <w:bCs/>
          <w:sz w:val="24"/>
          <w:szCs w:val="24"/>
          <w:lang w:val="en-US"/>
        </w:rPr>
        <w:t>Ponnet</w:t>
      </w:r>
      <w:proofErr w:type="spellEnd"/>
      <w:r w:rsidRPr="00494151">
        <w:rPr>
          <w:rFonts w:asciiTheme="majorBidi" w:hAnsiTheme="majorBidi" w:cstheme="majorBidi"/>
          <w:bCs/>
          <w:sz w:val="24"/>
          <w:szCs w:val="24"/>
          <w:lang w:val="en-US"/>
        </w:rPr>
        <w:t xml:space="preserve"> K. Determining factors in the retention of physicians in rural and underdeveloped areas: a systematic review. BMC Fam </w:t>
      </w:r>
      <w:proofErr w:type="spellStart"/>
      <w:r w:rsidRPr="00494151">
        <w:rPr>
          <w:rFonts w:asciiTheme="majorBidi" w:hAnsiTheme="majorBidi" w:cstheme="majorBidi"/>
          <w:bCs/>
          <w:sz w:val="24"/>
          <w:szCs w:val="24"/>
          <w:lang w:val="en-US"/>
        </w:rPr>
        <w:t>Pract</w:t>
      </w:r>
      <w:proofErr w:type="spellEnd"/>
      <w:r w:rsidRPr="00494151">
        <w:rPr>
          <w:rFonts w:asciiTheme="majorBidi" w:hAnsiTheme="majorBidi" w:cstheme="majorBidi"/>
          <w:bCs/>
          <w:sz w:val="24"/>
          <w:szCs w:val="24"/>
          <w:lang w:val="en-US"/>
        </w:rPr>
        <w:t xml:space="preserve">. 2020 Oct 23;21(1):216. </w:t>
      </w:r>
      <w:hyperlink r:id="rId21" w:history="1">
        <w:r w:rsidR="0026417B" w:rsidRPr="00494151">
          <w:rPr>
            <w:rStyle w:val="Hyperlink"/>
            <w:rFonts w:asciiTheme="majorBidi" w:hAnsiTheme="majorBidi" w:cstheme="majorBidi"/>
            <w:bCs/>
            <w:sz w:val="24"/>
            <w:szCs w:val="24"/>
            <w:lang w:val="en-US"/>
          </w:rPr>
          <w:t>https://doi.org/10.1186/s12875-020-01279-7</w:t>
        </w:r>
      </w:hyperlink>
      <w:r w:rsidRPr="00494151">
        <w:rPr>
          <w:rFonts w:asciiTheme="majorBidi" w:hAnsiTheme="majorBidi" w:cstheme="majorBidi"/>
          <w:bCs/>
          <w:sz w:val="24"/>
          <w:szCs w:val="24"/>
          <w:lang w:val="en-US"/>
        </w:rPr>
        <w:t>.</w:t>
      </w:r>
      <w:r w:rsidR="0026417B" w:rsidRPr="00494151">
        <w:rPr>
          <w:rFonts w:asciiTheme="majorBidi" w:hAnsiTheme="majorBidi" w:cstheme="majorBidi"/>
          <w:bCs/>
          <w:sz w:val="24"/>
          <w:szCs w:val="24"/>
          <w:lang w:val="en-US"/>
        </w:rPr>
        <w:t xml:space="preserve"> </w:t>
      </w:r>
    </w:p>
    <w:p w14:paraId="33092ECA"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[7] Osei-</w:t>
      </w:r>
      <w:proofErr w:type="spellStart"/>
      <w:r w:rsidRPr="00494151">
        <w:rPr>
          <w:rFonts w:asciiTheme="majorBidi" w:hAnsiTheme="majorBidi" w:cstheme="majorBidi"/>
          <w:bCs/>
          <w:sz w:val="24"/>
          <w:szCs w:val="24"/>
          <w:lang w:val="en-US"/>
        </w:rPr>
        <w:t>Assibey</w:t>
      </w:r>
      <w:proofErr w:type="spellEnd"/>
      <w:r w:rsidRPr="00494151">
        <w:rPr>
          <w:rFonts w:asciiTheme="majorBidi" w:hAnsiTheme="majorBidi" w:cstheme="majorBidi"/>
          <w:bCs/>
          <w:sz w:val="24"/>
          <w:szCs w:val="24"/>
          <w:lang w:val="en-US"/>
        </w:rPr>
        <w:t xml:space="preserve"> E, Grey SK. Millennium Development Goals in Ghana [Internet]. Ghana: Ghana Statistical Service; 2013 Jul [cited 2025 May 31]. Available from: </w:t>
      </w:r>
      <w:hyperlink r:id="rId22" w:history="1">
        <w:r w:rsidR="0026417B" w:rsidRPr="00494151">
          <w:rPr>
            <w:rStyle w:val="Hyperlink"/>
            <w:rFonts w:asciiTheme="majorBidi" w:hAnsiTheme="majorBidi" w:cstheme="majorBidi"/>
            <w:bCs/>
            <w:sz w:val="24"/>
            <w:szCs w:val="24"/>
            <w:lang w:val="en-US"/>
          </w:rPr>
          <w:t>https://www2.statsghana.gov.gh/docfiles/2010phc/MDG%20report%20(24-10-13).pdf</w:t>
        </w:r>
      </w:hyperlink>
      <w:r w:rsidR="0026417B" w:rsidRPr="00494151">
        <w:rPr>
          <w:rFonts w:asciiTheme="majorBidi" w:hAnsiTheme="majorBidi" w:cstheme="majorBidi"/>
          <w:bCs/>
          <w:sz w:val="24"/>
          <w:szCs w:val="24"/>
          <w:lang w:val="en-US"/>
        </w:rPr>
        <w:t xml:space="preserve"> </w:t>
      </w:r>
    </w:p>
    <w:p w14:paraId="0254DBAB"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[8] World Health Organization. The world health report 2006: working together for health. Geneva: World Health Organization; 2006.</w:t>
      </w:r>
    </w:p>
    <w:p w14:paraId="0C7BF243" w14:textId="77777777" w:rsidR="005056A0" w:rsidRPr="00494151" w:rsidRDefault="005056A0" w:rsidP="005A794B">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lastRenderedPageBreak/>
        <w:t>[9] Azevedo MJ. The State of Health System(s) in Africa: Challenges and Opportunities. In: Historical Perspectives on the State of Health and Health Systems in Africa. Vol II. 2017 Feb 3;1–73</w:t>
      </w:r>
      <w:r w:rsidR="005A794B" w:rsidRPr="00494151">
        <w:rPr>
          <w:rFonts w:asciiTheme="majorBidi" w:hAnsiTheme="majorBidi" w:cstheme="majorBidi"/>
          <w:bCs/>
          <w:sz w:val="24"/>
          <w:szCs w:val="24"/>
          <w:lang w:val="en-US"/>
        </w:rPr>
        <w:t xml:space="preserve">. </w:t>
      </w:r>
      <w:hyperlink r:id="rId23" w:history="1">
        <w:r w:rsidR="005A794B" w:rsidRPr="00494151">
          <w:rPr>
            <w:rStyle w:val="Hyperlink"/>
            <w:rFonts w:asciiTheme="majorBidi" w:hAnsiTheme="majorBidi" w:cstheme="majorBidi"/>
            <w:bCs/>
            <w:sz w:val="24"/>
            <w:szCs w:val="24"/>
            <w:lang w:val="en-US"/>
          </w:rPr>
          <w:t>https://doi.org/10.1007/978-3-319-32564-4_1</w:t>
        </w:r>
      </w:hyperlink>
      <w:r w:rsidRPr="00494151">
        <w:rPr>
          <w:rFonts w:asciiTheme="majorBidi" w:hAnsiTheme="majorBidi" w:cstheme="majorBidi"/>
          <w:bCs/>
          <w:sz w:val="24"/>
          <w:szCs w:val="24"/>
          <w:lang w:val="en-US"/>
        </w:rPr>
        <w:t>.</w:t>
      </w:r>
      <w:r w:rsidR="005A794B" w:rsidRPr="00494151">
        <w:rPr>
          <w:rFonts w:asciiTheme="majorBidi" w:hAnsiTheme="majorBidi" w:cstheme="majorBidi"/>
          <w:bCs/>
          <w:sz w:val="24"/>
          <w:szCs w:val="24"/>
          <w:lang w:val="en-US"/>
        </w:rPr>
        <w:t xml:space="preserve">  </w:t>
      </w:r>
    </w:p>
    <w:p w14:paraId="0A099E3B" w14:textId="77777777" w:rsidR="005056A0" w:rsidRPr="00494151" w:rsidRDefault="005056A0" w:rsidP="005A794B">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[10] Aliyu AA, Amadu L. Urbanization, cities, and health: The challenges to Nigeria - A review. Ann </w:t>
      </w:r>
      <w:proofErr w:type="spellStart"/>
      <w:r w:rsidRPr="00494151">
        <w:rPr>
          <w:rFonts w:asciiTheme="majorBidi" w:hAnsiTheme="majorBidi" w:cstheme="majorBidi"/>
          <w:bCs/>
          <w:sz w:val="24"/>
          <w:szCs w:val="24"/>
          <w:lang w:val="en-US"/>
        </w:rPr>
        <w:t>Afr</w:t>
      </w:r>
      <w:proofErr w:type="spellEnd"/>
      <w:r w:rsidRPr="00494151">
        <w:rPr>
          <w:rFonts w:asciiTheme="majorBidi" w:hAnsiTheme="majorBidi" w:cstheme="majorBidi"/>
          <w:bCs/>
          <w:sz w:val="24"/>
          <w:szCs w:val="24"/>
          <w:lang w:val="en-US"/>
        </w:rPr>
        <w:t xml:space="preserve"> Med. 2017 Oct-Dec;16(4):149-58. </w:t>
      </w:r>
      <w:hyperlink r:id="rId24" w:history="1">
        <w:r w:rsidR="005A794B" w:rsidRPr="00494151">
          <w:rPr>
            <w:rStyle w:val="Hyperlink"/>
            <w:rFonts w:asciiTheme="majorBidi" w:hAnsiTheme="majorBidi" w:cstheme="majorBidi"/>
            <w:bCs/>
            <w:sz w:val="24"/>
            <w:szCs w:val="24"/>
            <w:lang w:val="en-US"/>
          </w:rPr>
          <w:t>https://doi.org/10.4103/aam.aam_1_17</w:t>
        </w:r>
      </w:hyperlink>
      <w:r w:rsidRPr="00494151">
        <w:rPr>
          <w:rFonts w:asciiTheme="majorBidi" w:hAnsiTheme="majorBidi" w:cstheme="majorBidi"/>
          <w:bCs/>
          <w:sz w:val="24"/>
          <w:szCs w:val="24"/>
          <w:lang w:val="en-US"/>
        </w:rPr>
        <w:t>.</w:t>
      </w:r>
      <w:r w:rsidR="005A794B" w:rsidRPr="00494151">
        <w:rPr>
          <w:rFonts w:asciiTheme="majorBidi" w:hAnsiTheme="majorBidi" w:cstheme="majorBidi"/>
          <w:bCs/>
          <w:sz w:val="24"/>
          <w:szCs w:val="24"/>
          <w:lang w:val="en-US"/>
        </w:rPr>
        <w:t xml:space="preserve"> </w:t>
      </w:r>
    </w:p>
    <w:p w14:paraId="2E07F625"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[11] WHO. World Health Statistics 2008 [Internet]. Geneva: World Health Organization; 2008 [cited 2025 May 31]. Available from: </w:t>
      </w:r>
      <w:hyperlink r:id="rId25" w:history="1">
        <w:r w:rsidR="005A794B" w:rsidRPr="00494151">
          <w:rPr>
            <w:rStyle w:val="Hyperlink"/>
            <w:rFonts w:asciiTheme="majorBidi" w:hAnsiTheme="majorBidi" w:cstheme="majorBidi"/>
            <w:bCs/>
            <w:sz w:val="24"/>
            <w:szCs w:val="24"/>
            <w:lang w:val="en-US"/>
          </w:rPr>
          <w:t>https://www.who.int/docs/default-source/gho-documents/world-health-statistic-reports/en-whs08-full.pdf</w:t>
        </w:r>
      </w:hyperlink>
      <w:r w:rsidR="005A794B" w:rsidRPr="00494151">
        <w:rPr>
          <w:rFonts w:asciiTheme="majorBidi" w:hAnsiTheme="majorBidi" w:cstheme="majorBidi"/>
          <w:bCs/>
          <w:sz w:val="24"/>
          <w:szCs w:val="24"/>
          <w:lang w:val="en-US"/>
        </w:rPr>
        <w:t xml:space="preserve"> </w:t>
      </w:r>
    </w:p>
    <w:p w14:paraId="027AC749"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[12] Africa Health Workforce Observatory. Africa Health Workforce Observatory [Internet]. AHO; 2025 [cited 2025 May 31]. Available from: </w:t>
      </w:r>
      <w:hyperlink r:id="rId26" w:history="1">
        <w:r w:rsidR="005A794B" w:rsidRPr="00494151">
          <w:rPr>
            <w:rStyle w:val="Hyperlink"/>
            <w:rFonts w:asciiTheme="majorBidi" w:hAnsiTheme="majorBidi" w:cstheme="majorBidi"/>
            <w:bCs/>
            <w:sz w:val="24"/>
            <w:szCs w:val="24"/>
            <w:lang w:val="en-US"/>
          </w:rPr>
          <w:t>https://aho.afro.who.int/hrh/af</w:t>
        </w:r>
      </w:hyperlink>
      <w:r w:rsidR="005A794B" w:rsidRPr="00494151">
        <w:rPr>
          <w:rFonts w:asciiTheme="majorBidi" w:hAnsiTheme="majorBidi" w:cstheme="majorBidi"/>
          <w:bCs/>
          <w:sz w:val="24"/>
          <w:szCs w:val="24"/>
          <w:lang w:val="en-US"/>
        </w:rPr>
        <w:t xml:space="preserve"> </w:t>
      </w:r>
    </w:p>
    <w:p w14:paraId="3B3BDFEF"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[13] </w:t>
      </w:r>
      <w:proofErr w:type="spellStart"/>
      <w:r w:rsidRPr="00494151">
        <w:rPr>
          <w:rFonts w:asciiTheme="majorBidi" w:hAnsiTheme="majorBidi" w:cstheme="majorBidi"/>
          <w:bCs/>
          <w:sz w:val="24"/>
          <w:szCs w:val="24"/>
          <w:lang w:val="en-US"/>
        </w:rPr>
        <w:t>Scheil-Adlung</w:t>
      </w:r>
      <w:proofErr w:type="spellEnd"/>
      <w:r w:rsidRPr="00494151">
        <w:rPr>
          <w:rFonts w:asciiTheme="majorBidi" w:hAnsiTheme="majorBidi" w:cstheme="majorBidi"/>
          <w:bCs/>
          <w:sz w:val="24"/>
          <w:szCs w:val="24"/>
          <w:lang w:val="en-US"/>
        </w:rPr>
        <w:t xml:space="preserve"> X. Global evidence on inequities in rural health protection: new data on rural deficits in health coverage for 174 countries. International </w:t>
      </w:r>
      <w:proofErr w:type="spellStart"/>
      <w:r w:rsidRPr="00494151">
        <w:rPr>
          <w:rFonts w:asciiTheme="majorBidi" w:hAnsiTheme="majorBidi" w:cstheme="majorBidi"/>
          <w:bCs/>
          <w:sz w:val="24"/>
          <w:szCs w:val="24"/>
          <w:lang w:val="en-US"/>
        </w:rPr>
        <w:t>Labour</w:t>
      </w:r>
      <w:proofErr w:type="spellEnd"/>
      <w:r w:rsidRPr="00494151">
        <w:rPr>
          <w:rFonts w:asciiTheme="majorBidi" w:hAnsiTheme="majorBidi" w:cstheme="majorBidi"/>
          <w:bCs/>
          <w:sz w:val="24"/>
          <w:szCs w:val="24"/>
          <w:lang w:val="en-US"/>
        </w:rPr>
        <w:t xml:space="preserve"> Organization; 2015.</w:t>
      </w:r>
    </w:p>
    <w:p w14:paraId="030AB84F" w14:textId="77777777" w:rsidR="005056A0" w:rsidRPr="00494151" w:rsidRDefault="005056A0" w:rsidP="005A794B">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[14] Grobler L, Marais BJ, Mabunda S. Interventions for increasing the proportion of health professionals </w:t>
      </w:r>
      <w:proofErr w:type="spellStart"/>
      <w:r w:rsidRPr="00494151">
        <w:rPr>
          <w:rFonts w:asciiTheme="majorBidi" w:hAnsiTheme="majorBidi" w:cstheme="majorBidi"/>
          <w:bCs/>
          <w:sz w:val="24"/>
          <w:szCs w:val="24"/>
          <w:lang w:val="en-US"/>
        </w:rPr>
        <w:t>practising</w:t>
      </w:r>
      <w:proofErr w:type="spellEnd"/>
      <w:r w:rsidRPr="00494151">
        <w:rPr>
          <w:rFonts w:asciiTheme="majorBidi" w:hAnsiTheme="majorBidi" w:cstheme="majorBidi"/>
          <w:bCs/>
          <w:sz w:val="24"/>
          <w:szCs w:val="24"/>
          <w:lang w:val="en-US"/>
        </w:rPr>
        <w:t xml:space="preserve"> in rural and other underserved areas. Cochrane Database Syst Rev. 2015 Jun 30;2015(6):CD005314. </w:t>
      </w:r>
      <w:hyperlink r:id="rId27" w:history="1">
        <w:r w:rsidR="005A794B" w:rsidRPr="00494151">
          <w:rPr>
            <w:rStyle w:val="Hyperlink"/>
            <w:rFonts w:asciiTheme="majorBidi" w:hAnsiTheme="majorBidi" w:cstheme="majorBidi"/>
            <w:bCs/>
            <w:sz w:val="24"/>
            <w:szCs w:val="24"/>
            <w:lang w:val="en-US"/>
          </w:rPr>
          <w:t>https://doi.org/10.1002/14651858.CD005314.pub3</w:t>
        </w:r>
      </w:hyperlink>
      <w:r w:rsidRPr="00494151">
        <w:rPr>
          <w:rFonts w:asciiTheme="majorBidi" w:hAnsiTheme="majorBidi" w:cstheme="majorBidi"/>
          <w:bCs/>
          <w:sz w:val="24"/>
          <w:szCs w:val="24"/>
          <w:lang w:val="en-US"/>
        </w:rPr>
        <w:t>.</w:t>
      </w:r>
      <w:r w:rsidR="005A794B" w:rsidRPr="00494151">
        <w:rPr>
          <w:rFonts w:asciiTheme="majorBidi" w:hAnsiTheme="majorBidi" w:cstheme="majorBidi"/>
          <w:bCs/>
          <w:sz w:val="24"/>
          <w:szCs w:val="24"/>
          <w:lang w:val="en-US"/>
        </w:rPr>
        <w:t xml:space="preserve"> </w:t>
      </w:r>
    </w:p>
    <w:p w14:paraId="4D4D6911"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[15] </w:t>
      </w:r>
      <w:proofErr w:type="spellStart"/>
      <w:r w:rsidRPr="00494151">
        <w:rPr>
          <w:rFonts w:asciiTheme="majorBidi" w:hAnsiTheme="majorBidi" w:cstheme="majorBidi"/>
          <w:bCs/>
          <w:sz w:val="24"/>
          <w:szCs w:val="24"/>
          <w:lang w:val="en-US"/>
        </w:rPr>
        <w:t>Oleribe</w:t>
      </w:r>
      <w:proofErr w:type="spellEnd"/>
      <w:r w:rsidRPr="00494151">
        <w:rPr>
          <w:rFonts w:asciiTheme="majorBidi" w:hAnsiTheme="majorBidi" w:cstheme="majorBidi"/>
          <w:bCs/>
          <w:sz w:val="24"/>
          <w:szCs w:val="24"/>
          <w:lang w:val="en-US"/>
        </w:rPr>
        <w:t xml:space="preserve"> OO, Momoh J, Uzochukwu BS, Mbofana F, Adebiyi A, Barbera T, et al. Identifying key challenges facing healthcare systems in Africa and potential solutions. Int J Gen Med. 2019 Nov </w:t>
      </w:r>
      <w:proofErr w:type="gramStart"/>
      <w:r w:rsidRPr="00494151">
        <w:rPr>
          <w:rFonts w:asciiTheme="majorBidi" w:hAnsiTheme="majorBidi" w:cstheme="majorBidi"/>
          <w:bCs/>
          <w:sz w:val="24"/>
          <w:szCs w:val="24"/>
          <w:lang w:val="en-US"/>
        </w:rPr>
        <w:t>6;12:395</w:t>
      </w:r>
      <w:proofErr w:type="gramEnd"/>
      <w:r w:rsidRPr="00494151">
        <w:rPr>
          <w:rFonts w:asciiTheme="majorBidi" w:hAnsiTheme="majorBidi" w:cstheme="majorBidi"/>
          <w:bCs/>
          <w:sz w:val="24"/>
          <w:szCs w:val="24"/>
          <w:lang w:val="en-US"/>
        </w:rPr>
        <w:t>-403.</w:t>
      </w:r>
    </w:p>
    <w:p w14:paraId="2DC49E20" w14:textId="77777777" w:rsidR="005056A0" w:rsidRPr="00494151" w:rsidRDefault="005056A0" w:rsidP="005A794B">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[16] </w:t>
      </w:r>
      <w:proofErr w:type="spellStart"/>
      <w:r w:rsidRPr="00494151">
        <w:rPr>
          <w:rFonts w:asciiTheme="majorBidi" w:hAnsiTheme="majorBidi" w:cstheme="majorBidi"/>
          <w:bCs/>
          <w:sz w:val="24"/>
          <w:szCs w:val="24"/>
          <w:lang w:val="en-US"/>
        </w:rPr>
        <w:t>Mseke</w:t>
      </w:r>
      <w:proofErr w:type="spellEnd"/>
      <w:r w:rsidRPr="00494151">
        <w:rPr>
          <w:rFonts w:asciiTheme="majorBidi" w:hAnsiTheme="majorBidi" w:cstheme="majorBidi"/>
          <w:bCs/>
          <w:sz w:val="24"/>
          <w:szCs w:val="24"/>
          <w:lang w:val="en-US"/>
        </w:rPr>
        <w:t xml:space="preserve"> EP, Jessup B, Barnett T. Impact of distance and/or travel time on healthcare service access in rural and remote areas: A scoping review. J </w:t>
      </w:r>
      <w:proofErr w:type="spellStart"/>
      <w:r w:rsidRPr="00494151">
        <w:rPr>
          <w:rFonts w:asciiTheme="majorBidi" w:hAnsiTheme="majorBidi" w:cstheme="majorBidi"/>
          <w:bCs/>
          <w:sz w:val="24"/>
          <w:szCs w:val="24"/>
          <w:lang w:val="en-US"/>
        </w:rPr>
        <w:t>Transp</w:t>
      </w:r>
      <w:proofErr w:type="spellEnd"/>
      <w:r w:rsidRPr="00494151">
        <w:rPr>
          <w:rFonts w:asciiTheme="majorBidi" w:hAnsiTheme="majorBidi" w:cstheme="majorBidi"/>
          <w:bCs/>
          <w:sz w:val="24"/>
          <w:szCs w:val="24"/>
          <w:lang w:val="en-US"/>
        </w:rPr>
        <w:t xml:space="preserve"> Health. 2024 </w:t>
      </w:r>
      <w:proofErr w:type="gramStart"/>
      <w:r w:rsidRPr="00494151">
        <w:rPr>
          <w:rFonts w:asciiTheme="majorBidi" w:hAnsiTheme="majorBidi" w:cstheme="majorBidi"/>
          <w:bCs/>
          <w:sz w:val="24"/>
          <w:szCs w:val="24"/>
          <w:lang w:val="en-US"/>
        </w:rPr>
        <w:t>Jul;37:101819</w:t>
      </w:r>
      <w:proofErr w:type="gramEnd"/>
      <w:r w:rsidRPr="00494151">
        <w:rPr>
          <w:rFonts w:asciiTheme="majorBidi" w:hAnsiTheme="majorBidi" w:cstheme="majorBidi"/>
          <w:bCs/>
          <w:sz w:val="24"/>
          <w:szCs w:val="24"/>
          <w:lang w:val="en-US"/>
        </w:rPr>
        <w:t xml:space="preserve">. </w:t>
      </w:r>
      <w:hyperlink r:id="rId28" w:history="1">
        <w:r w:rsidR="005A794B" w:rsidRPr="00494151">
          <w:rPr>
            <w:rStyle w:val="Hyperlink"/>
            <w:rFonts w:asciiTheme="majorBidi" w:hAnsiTheme="majorBidi" w:cstheme="majorBidi"/>
            <w:bCs/>
            <w:sz w:val="24"/>
            <w:szCs w:val="24"/>
            <w:lang w:val="en-US"/>
          </w:rPr>
          <w:t>https://doi.org/10.1016/j.jth.2024.101819</w:t>
        </w:r>
      </w:hyperlink>
      <w:r w:rsidRPr="00494151">
        <w:rPr>
          <w:rFonts w:asciiTheme="majorBidi" w:hAnsiTheme="majorBidi" w:cstheme="majorBidi"/>
          <w:bCs/>
          <w:sz w:val="24"/>
          <w:szCs w:val="24"/>
          <w:lang w:val="en-US"/>
        </w:rPr>
        <w:t>.</w:t>
      </w:r>
      <w:r w:rsidR="005A794B" w:rsidRPr="00494151">
        <w:rPr>
          <w:rFonts w:asciiTheme="majorBidi" w:hAnsiTheme="majorBidi" w:cstheme="majorBidi"/>
          <w:bCs/>
          <w:sz w:val="24"/>
          <w:szCs w:val="24"/>
          <w:lang w:val="en-US"/>
        </w:rPr>
        <w:t xml:space="preserve"> </w:t>
      </w:r>
    </w:p>
    <w:p w14:paraId="6AF30026" w14:textId="77777777" w:rsidR="005056A0" w:rsidRPr="00494151" w:rsidRDefault="005056A0" w:rsidP="005A794B">
      <w:pPr>
        <w:spacing w:before="240" w:after="0" w:line="360" w:lineRule="auto"/>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[17] de Vries N, Boone A, </w:t>
      </w:r>
      <w:proofErr w:type="spellStart"/>
      <w:r w:rsidRPr="00494151">
        <w:rPr>
          <w:rFonts w:asciiTheme="majorBidi" w:hAnsiTheme="majorBidi" w:cstheme="majorBidi"/>
          <w:bCs/>
          <w:sz w:val="24"/>
          <w:szCs w:val="24"/>
          <w:lang w:val="en-US"/>
        </w:rPr>
        <w:t>Godderis</w:t>
      </w:r>
      <w:proofErr w:type="spellEnd"/>
      <w:r w:rsidRPr="00494151">
        <w:rPr>
          <w:rFonts w:asciiTheme="majorBidi" w:hAnsiTheme="majorBidi" w:cstheme="majorBidi"/>
          <w:bCs/>
          <w:sz w:val="24"/>
          <w:szCs w:val="24"/>
          <w:lang w:val="en-US"/>
        </w:rPr>
        <w:t xml:space="preserve"> L, </w:t>
      </w:r>
      <w:proofErr w:type="spellStart"/>
      <w:r w:rsidRPr="00494151">
        <w:rPr>
          <w:rFonts w:asciiTheme="majorBidi" w:hAnsiTheme="majorBidi" w:cstheme="majorBidi"/>
          <w:bCs/>
          <w:sz w:val="24"/>
          <w:szCs w:val="24"/>
          <w:lang w:val="en-US"/>
        </w:rPr>
        <w:t>Bouman</w:t>
      </w:r>
      <w:proofErr w:type="spellEnd"/>
      <w:r w:rsidRPr="00494151">
        <w:rPr>
          <w:rFonts w:asciiTheme="majorBidi" w:hAnsiTheme="majorBidi" w:cstheme="majorBidi"/>
          <w:bCs/>
          <w:sz w:val="24"/>
          <w:szCs w:val="24"/>
          <w:lang w:val="en-US"/>
        </w:rPr>
        <w:t xml:space="preserve"> J, </w:t>
      </w:r>
      <w:proofErr w:type="spellStart"/>
      <w:r w:rsidRPr="00494151">
        <w:rPr>
          <w:rFonts w:asciiTheme="majorBidi" w:hAnsiTheme="majorBidi" w:cstheme="majorBidi"/>
          <w:bCs/>
          <w:sz w:val="24"/>
          <w:szCs w:val="24"/>
          <w:lang w:val="en-US"/>
        </w:rPr>
        <w:t>Szemik</w:t>
      </w:r>
      <w:proofErr w:type="spellEnd"/>
      <w:r w:rsidRPr="00494151">
        <w:rPr>
          <w:rFonts w:asciiTheme="majorBidi" w:hAnsiTheme="majorBidi" w:cstheme="majorBidi"/>
          <w:bCs/>
          <w:sz w:val="24"/>
          <w:szCs w:val="24"/>
          <w:lang w:val="en-US"/>
        </w:rPr>
        <w:t xml:space="preserve"> S, </w:t>
      </w:r>
      <w:proofErr w:type="spellStart"/>
      <w:r w:rsidRPr="00494151">
        <w:rPr>
          <w:rFonts w:asciiTheme="majorBidi" w:hAnsiTheme="majorBidi" w:cstheme="majorBidi"/>
          <w:bCs/>
          <w:sz w:val="24"/>
          <w:szCs w:val="24"/>
          <w:lang w:val="en-US"/>
        </w:rPr>
        <w:t>Matranga</w:t>
      </w:r>
      <w:proofErr w:type="spellEnd"/>
      <w:r w:rsidRPr="00494151">
        <w:rPr>
          <w:rFonts w:asciiTheme="majorBidi" w:hAnsiTheme="majorBidi" w:cstheme="majorBidi"/>
          <w:bCs/>
          <w:sz w:val="24"/>
          <w:szCs w:val="24"/>
          <w:lang w:val="en-US"/>
        </w:rPr>
        <w:t xml:space="preserve"> D, et al. The race to retain healthcare workers: a systematic review on factors that impact retention of nurses and physicians in hospitals. Inquiry. 2023 Jan-</w:t>
      </w:r>
      <w:proofErr w:type="gramStart"/>
      <w:r w:rsidRPr="00494151">
        <w:rPr>
          <w:rFonts w:asciiTheme="majorBidi" w:hAnsiTheme="majorBidi" w:cstheme="majorBidi"/>
          <w:bCs/>
          <w:sz w:val="24"/>
          <w:szCs w:val="24"/>
          <w:lang w:val="en-US"/>
        </w:rPr>
        <w:t>Dec;60:469580231159318</w:t>
      </w:r>
      <w:proofErr w:type="gramEnd"/>
      <w:r w:rsidRPr="00494151">
        <w:rPr>
          <w:rFonts w:asciiTheme="majorBidi" w:hAnsiTheme="majorBidi" w:cstheme="majorBidi"/>
          <w:bCs/>
          <w:sz w:val="24"/>
          <w:szCs w:val="24"/>
          <w:lang w:val="en-US"/>
        </w:rPr>
        <w:t xml:space="preserve">. </w:t>
      </w:r>
      <w:hyperlink r:id="rId29" w:history="1">
        <w:r w:rsidR="005A794B" w:rsidRPr="00494151">
          <w:rPr>
            <w:rStyle w:val="Hyperlink"/>
            <w:rFonts w:asciiTheme="majorBidi" w:hAnsiTheme="majorBidi" w:cstheme="majorBidi"/>
            <w:bCs/>
            <w:sz w:val="24"/>
            <w:szCs w:val="24"/>
            <w:lang w:val="en-US"/>
          </w:rPr>
          <w:t>https://doi.org/10.1177/00469580231159318</w:t>
        </w:r>
      </w:hyperlink>
      <w:r w:rsidRPr="00494151">
        <w:rPr>
          <w:rFonts w:asciiTheme="majorBidi" w:hAnsiTheme="majorBidi" w:cstheme="majorBidi"/>
          <w:bCs/>
          <w:sz w:val="24"/>
          <w:szCs w:val="24"/>
          <w:lang w:val="en-US"/>
        </w:rPr>
        <w:t>.</w:t>
      </w:r>
      <w:r w:rsidR="005A794B" w:rsidRPr="00494151">
        <w:rPr>
          <w:rFonts w:asciiTheme="majorBidi" w:hAnsiTheme="majorBidi" w:cstheme="majorBidi"/>
          <w:bCs/>
          <w:sz w:val="24"/>
          <w:szCs w:val="24"/>
          <w:lang w:val="en-US"/>
        </w:rPr>
        <w:t xml:space="preserve"> </w:t>
      </w:r>
    </w:p>
    <w:p w14:paraId="0759996F"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lastRenderedPageBreak/>
        <w:t>[18] Shom PW, Griffeth RW, Palich LE, Bracker JS. Revisiting met expectations as a reason why realistic job previews work. Personnel Psychol. 1999;52(1):97-112.</w:t>
      </w:r>
    </w:p>
    <w:p w14:paraId="135FF2E5" w14:textId="77777777" w:rsidR="005056A0" w:rsidRPr="00494151" w:rsidRDefault="005056A0" w:rsidP="005A794B">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[19] </w:t>
      </w:r>
      <w:proofErr w:type="spellStart"/>
      <w:r w:rsidRPr="00494151">
        <w:rPr>
          <w:rFonts w:asciiTheme="majorBidi" w:hAnsiTheme="majorBidi" w:cstheme="majorBidi"/>
          <w:bCs/>
          <w:sz w:val="24"/>
          <w:szCs w:val="24"/>
          <w:lang w:val="en-US"/>
        </w:rPr>
        <w:t>Ejebu</w:t>
      </w:r>
      <w:proofErr w:type="spellEnd"/>
      <w:r w:rsidRPr="00494151">
        <w:rPr>
          <w:rFonts w:asciiTheme="majorBidi" w:hAnsiTheme="majorBidi" w:cstheme="majorBidi"/>
          <w:bCs/>
          <w:sz w:val="24"/>
          <w:szCs w:val="24"/>
          <w:lang w:val="en-US"/>
        </w:rPr>
        <w:t xml:space="preserve"> OZ, </w:t>
      </w:r>
      <w:proofErr w:type="spellStart"/>
      <w:r w:rsidRPr="00494151">
        <w:rPr>
          <w:rFonts w:asciiTheme="majorBidi" w:hAnsiTheme="majorBidi" w:cstheme="majorBidi"/>
          <w:bCs/>
          <w:sz w:val="24"/>
          <w:szCs w:val="24"/>
          <w:lang w:val="en-US"/>
        </w:rPr>
        <w:t>Philippou</w:t>
      </w:r>
      <w:proofErr w:type="spellEnd"/>
      <w:r w:rsidRPr="00494151">
        <w:rPr>
          <w:rFonts w:asciiTheme="majorBidi" w:hAnsiTheme="majorBidi" w:cstheme="majorBidi"/>
          <w:bCs/>
          <w:sz w:val="24"/>
          <w:szCs w:val="24"/>
          <w:lang w:val="en-US"/>
        </w:rPr>
        <w:t xml:space="preserve"> J, Turnbull J, Rafferty AM, Palmer W, Prichard J, et al. Coming and going: A narrative review exploring the push-pull factors during nurses' careers. Int J </w:t>
      </w:r>
      <w:proofErr w:type="spellStart"/>
      <w:r w:rsidRPr="00494151">
        <w:rPr>
          <w:rFonts w:asciiTheme="majorBidi" w:hAnsiTheme="majorBidi" w:cstheme="majorBidi"/>
          <w:bCs/>
          <w:sz w:val="24"/>
          <w:szCs w:val="24"/>
          <w:lang w:val="en-US"/>
        </w:rPr>
        <w:t>Nurs</w:t>
      </w:r>
      <w:proofErr w:type="spellEnd"/>
      <w:r w:rsidRPr="00494151">
        <w:rPr>
          <w:rFonts w:asciiTheme="majorBidi" w:hAnsiTheme="majorBidi" w:cstheme="majorBidi"/>
          <w:bCs/>
          <w:sz w:val="24"/>
          <w:szCs w:val="24"/>
          <w:lang w:val="en-US"/>
        </w:rPr>
        <w:t xml:space="preserve"> Stud. 2024 </w:t>
      </w:r>
      <w:proofErr w:type="gramStart"/>
      <w:r w:rsidRPr="00494151">
        <w:rPr>
          <w:rFonts w:asciiTheme="majorBidi" w:hAnsiTheme="majorBidi" w:cstheme="majorBidi"/>
          <w:bCs/>
          <w:sz w:val="24"/>
          <w:szCs w:val="24"/>
          <w:lang w:val="en-US"/>
        </w:rPr>
        <w:t>Dec;160:104908</w:t>
      </w:r>
      <w:proofErr w:type="gramEnd"/>
      <w:r w:rsidRPr="00494151">
        <w:rPr>
          <w:rFonts w:asciiTheme="majorBidi" w:hAnsiTheme="majorBidi" w:cstheme="majorBidi"/>
          <w:bCs/>
          <w:sz w:val="24"/>
          <w:szCs w:val="24"/>
          <w:lang w:val="en-US"/>
        </w:rPr>
        <w:t xml:space="preserve">. </w:t>
      </w:r>
      <w:hyperlink r:id="rId30" w:history="1">
        <w:r w:rsidR="005A794B" w:rsidRPr="00494151">
          <w:rPr>
            <w:rStyle w:val="Hyperlink"/>
            <w:rFonts w:asciiTheme="majorBidi" w:hAnsiTheme="majorBidi" w:cstheme="majorBidi"/>
            <w:bCs/>
            <w:sz w:val="24"/>
            <w:szCs w:val="24"/>
            <w:lang w:val="en-US"/>
          </w:rPr>
          <w:t>https://doi.org/10.1016/j.ijnurstu.2024.104908</w:t>
        </w:r>
      </w:hyperlink>
      <w:r w:rsidRPr="00494151">
        <w:rPr>
          <w:rFonts w:asciiTheme="majorBidi" w:hAnsiTheme="majorBidi" w:cstheme="majorBidi"/>
          <w:bCs/>
          <w:sz w:val="24"/>
          <w:szCs w:val="24"/>
          <w:lang w:val="en-US"/>
        </w:rPr>
        <w:t>.</w:t>
      </w:r>
      <w:r w:rsidR="005A794B" w:rsidRPr="00494151">
        <w:rPr>
          <w:rFonts w:asciiTheme="majorBidi" w:hAnsiTheme="majorBidi" w:cstheme="majorBidi"/>
          <w:bCs/>
          <w:sz w:val="24"/>
          <w:szCs w:val="24"/>
          <w:lang w:val="en-US"/>
        </w:rPr>
        <w:t xml:space="preserve"> </w:t>
      </w:r>
    </w:p>
    <w:p w14:paraId="62F5FE2D"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[20] </w:t>
      </w:r>
      <w:proofErr w:type="spellStart"/>
      <w:r w:rsidRPr="00494151">
        <w:rPr>
          <w:rFonts w:asciiTheme="majorBidi" w:hAnsiTheme="majorBidi" w:cstheme="majorBidi"/>
          <w:bCs/>
          <w:sz w:val="24"/>
          <w:szCs w:val="24"/>
          <w:lang w:val="en-US"/>
        </w:rPr>
        <w:t>Ebuehi</w:t>
      </w:r>
      <w:proofErr w:type="spellEnd"/>
      <w:r w:rsidRPr="00494151">
        <w:rPr>
          <w:rFonts w:asciiTheme="majorBidi" w:hAnsiTheme="majorBidi" w:cstheme="majorBidi"/>
          <w:bCs/>
          <w:sz w:val="24"/>
          <w:szCs w:val="24"/>
          <w:lang w:val="en-US"/>
        </w:rPr>
        <w:t xml:space="preserve"> OM, Campbell PC. Attraction and retention of qualified health workers to rural areas in Nigeria: a case study of four LGAs in Ogun State, Nigeria. Rural Remote Health. </w:t>
      </w:r>
      <w:proofErr w:type="gramStart"/>
      <w:r w:rsidRPr="00494151">
        <w:rPr>
          <w:rFonts w:asciiTheme="majorBidi" w:hAnsiTheme="majorBidi" w:cstheme="majorBidi"/>
          <w:bCs/>
          <w:sz w:val="24"/>
          <w:szCs w:val="24"/>
          <w:lang w:val="en-US"/>
        </w:rPr>
        <w:t>2011;11:1515</w:t>
      </w:r>
      <w:proofErr w:type="gramEnd"/>
      <w:r w:rsidRPr="00494151">
        <w:rPr>
          <w:rFonts w:asciiTheme="majorBidi" w:hAnsiTheme="majorBidi" w:cstheme="majorBidi"/>
          <w:bCs/>
          <w:sz w:val="24"/>
          <w:szCs w:val="24"/>
          <w:lang w:val="en-US"/>
        </w:rPr>
        <w:t xml:space="preserve">. Available from: </w:t>
      </w:r>
      <w:hyperlink r:id="rId31" w:history="1">
        <w:r w:rsidR="004733F0" w:rsidRPr="00494151">
          <w:rPr>
            <w:rStyle w:val="Hyperlink"/>
            <w:rFonts w:asciiTheme="majorBidi" w:hAnsiTheme="majorBidi" w:cstheme="majorBidi"/>
            <w:bCs/>
            <w:sz w:val="24"/>
            <w:szCs w:val="24"/>
            <w:lang w:val="en-US"/>
          </w:rPr>
          <w:t>http://www.rrh.org.au</w:t>
        </w:r>
      </w:hyperlink>
      <w:r w:rsidR="004733F0" w:rsidRPr="00494151">
        <w:rPr>
          <w:rFonts w:asciiTheme="majorBidi" w:hAnsiTheme="majorBidi" w:cstheme="majorBidi"/>
          <w:bCs/>
          <w:sz w:val="24"/>
          <w:szCs w:val="24"/>
          <w:lang w:val="en-US"/>
        </w:rPr>
        <w:t xml:space="preserve"> </w:t>
      </w:r>
    </w:p>
    <w:p w14:paraId="1224ED07"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[21] </w:t>
      </w:r>
      <w:proofErr w:type="spellStart"/>
      <w:r w:rsidRPr="00494151">
        <w:rPr>
          <w:rFonts w:asciiTheme="majorBidi" w:hAnsiTheme="majorBidi" w:cstheme="majorBidi"/>
          <w:bCs/>
          <w:sz w:val="24"/>
          <w:szCs w:val="24"/>
          <w:lang w:val="en-US"/>
        </w:rPr>
        <w:t>Abukari</w:t>
      </w:r>
      <w:proofErr w:type="spellEnd"/>
      <w:r w:rsidRPr="00494151">
        <w:rPr>
          <w:rFonts w:asciiTheme="majorBidi" w:hAnsiTheme="majorBidi" w:cstheme="majorBidi"/>
          <w:bCs/>
          <w:sz w:val="24"/>
          <w:szCs w:val="24"/>
          <w:lang w:val="en-US"/>
        </w:rPr>
        <w:t xml:space="preserve"> Z, </w:t>
      </w:r>
      <w:proofErr w:type="spellStart"/>
      <w:r w:rsidRPr="00494151">
        <w:rPr>
          <w:rFonts w:asciiTheme="majorBidi" w:hAnsiTheme="majorBidi" w:cstheme="majorBidi"/>
          <w:bCs/>
          <w:sz w:val="24"/>
          <w:szCs w:val="24"/>
          <w:lang w:val="en-US"/>
        </w:rPr>
        <w:t>Kuyini</w:t>
      </w:r>
      <w:proofErr w:type="spellEnd"/>
      <w:r w:rsidRPr="00494151">
        <w:rPr>
          <w:rFonts w:asciiTheme="majorBidi" w:hAnsiTheme="majorBidi" w:cstheme="majorBidi"/>
          <w:bCs/>
          <w:sz w:val="24"/>
          <w:szCs w:val="24"/>
          <w:lang w:val="en-US"/>
        </w:rPr>
        <w:t xml:space="preserve"> AB, </w:t>
      </w:r>
      <w:proofErr w:type="spellStart"/>
      <w:r w:rsidRPr="00494151">
        <w:rPr>
          <w:rFonts w:asciiTheme="majorBidi" w:hAnsiTheme="majorBidi" w:cstheme="majorBidi"/>
          <w:bCs/>
          <w:sz w:val="24"/>
          <w:szCs w:val="24"/>
          <w:lang w:val="en-US"/>
        </w:rPr>
        <w:t>Kuyini</w:t>
      </w:r>
      <w:proofErr w:type="spellEnd"/>
      <w:r w:rsidRPr="00494151">
        <w:rPr>
          <w:rFonts w:asciiTheme="majorBidi" w:hAnsiTheme="majorBidi" w:cstheme="majorBidi"/>
          <w:bCs/>
          <w:sz w:val="24"/>
          <w:szCs w:val="24"/>
          <w:lang w:val="en-US"/>
        </w:rPr>
        <w:t xml:space="preserve"> Mohammed A. Education and Health Care Policies in Ghana: Examining the Prospects and Challenges of Recent Provisions. SAGE Open. 2015;5(4). Available from: </w:t>
      </w:r>
      <w:hyperlink r:id="rId32" w:history="1">
        <w:r w:rsidR="004733F0" w:rsidRPr="00494151">
          <w:rPr>
            <w:rStyle w:val="Hyperlink"/>
            <w:rFonts w:asciiTheme="majorBidi" w:hAnsiTheme="majorBidi" w:cstheme="majorBidi"/>
            <w:bCs/>
            <w:sz w:val="24"/>
            <w:szCs w:val="24"/>
            <w:lang w:val="en-US"/>
          </w:rPr>
          <w:t>https://doi.org/10.1177/2158244015611454</w:t>
        </w:r>
      </w:hyperlink>
      <w:r w:rsidR="004733F0" w:rsidRPr="00494151">
        <w:rPr>
          <w:rFonts w:asciiTheme="majorBidi" w:hAnsiTheme="majorBidi" w:cstheme="majorBidi"/>
          <w:bCs/>
          <w:sz w:val="24"/>
          <w:szCs w:val="24"/>
          <w:lang w:val="en-US"/>
        </w:rPr>
        <w:t xml:space="preserve"> </w:t>
      </w:r>
    </w:p>
    <w:p w14:paraId="2DA5CF81" w14:textId="77777777" w:rsidR="005056A0" w:rsidRPr="00494151" w:rsidRDefault="005056A0" w:rsidP="006642DA">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[22] Maier C, Thatcher JB, Grover V, Dwivedi YK. Cross-sectional research: A critical perspective, use cases, and recommendations for IS research. Int J Inf Manag. 2023 </w:t>
      </w:r>
      <w:proofErr w:type="gramStart"/>
      <w:r w:rsidRPr="00494151">
        <w:rPr>
          <w:rFonts w:asciiTheme="majorBidi" w:hAnsiTheme="majorBidi" w:cstheme="majorBidi"/>
          <w:bCs/>
          <w:sz w:val="24"/>
          <w:szCs w:val="24"/>
          <w:lang w:val="en-US"/>
        </w:rPr>
        <w:t>Jun;70:102625</w:t>
      </w:r>
      <w:proofErr w:type="gramEnd"/>
      <w:r w:rsidRPr="00494151">
        <w:rPr>
          <w:rFonts w:asciiTheme="majorBidi" w:hAnsiTheme="majorBidi" w:cstheme="majorBidi"/>
          <w:bCs/>
          <w:sz w:val="24"/>
          <w:szCs w:val="24"/>
          <w:lang w:val="en-US"/>
        </w:rPr>
        <w:t xml:space="preserve">. </w:t>
      </w:r>
      <w:hyperlink r:id="rId33" w:history="1">
        <w:r w:rsidR="006642DA" w:rsidRPr="00494151">
          <w:rPr>
            <w:rStyle w:val="Hyperlink"/>
            <w:rFonts w:asciiTheme="majorBidi" w:hAnsiTheme="majorBidi" w:cstheme="majorBidi"/>
            <w:bCs/>
            <w:sz w:val="24"/>
            <w:szCs w:val="24"/>
            <w:lang w:val="en-US"/>
          </w:rPr>
          <w:t>https://doi.org/10.1016/j.ijinfomgt.2023.102625</w:t>
        </w:r>
      </w:hyperlink>
      <w:r w:rsidRPr="00494151">
        <w:rPr>
          <w:rFonts w:asciiTheme="majorBidi" w:hAnsiTheme="majorBidi" w:cstheme="majorBidi"/>
          <w:bCs/>
          <w:sz w:val="24"/>
          <w:szCs w:val="24"/>
          <w:lang w:val="en-US"/>
        </w:rPr>
        <w:t>.</w:t>
      </w:r>
      <w:r w:rsidR="006642DA" w:rsidRPr="00494151">
        <w:rPr>
          <w:rFonts w:asciiTheme="majorBidi" w:hAnsiTheme="majorBidi" w:cstheme="majorBidi"/>
          <w:bCs/>
          <w:sz w:val="24"/>
          <w:szCs w:val="24"/>
          <w:lang w:val="en-US"/>
        </w:rPr>
        <w:t xml:space="preserve"> </w:t>
      </w:r>
    </w:p>
    <w:p w14:paraId="4D1656EA" w14:textId="77777777" w:rsidR="005056A0" w:rsidRPr="00494151" w:rsidRDefault="005056A0" w:rsidP="006642DA">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[23] Wang X, Cheng Z. Cross-sectional studies: strengths, weaknesses, and recommendations. Chest. 2020 Jul;158(1 Suppl</w:t>
      </w:r>
      <w:proofErr w:type="gramStart"/>
      <w:r w:rsidRPr="00494151">
        <w:rPr>
          <w:rFonts w:asciiTheme="majorBidi" w:hAnsiTheme="majorBidi" w:cstheme="majorBidi"/>
          <w:bCs/>
          <w:sz w:val="24"/>
          <w:szCs w:val="24"/>
          <w:lang w:val="en-US"/>
        </w:rPr>
        <w:t>):S</w:t>
      </w:r>
      <w:proofErr w:type="gramEnd"/>
      <w:r w:rsidRPr="00494151">
        <w:rPr>
          <w:rFonts w:asciiTheme="majorBidi" w:hAnsiTheme="majorBidi" w:cstheme="majorBidi"/>
          <w:bCs/>
          <w:sz w:val="24"/>
          <w:szCs w:val="24"/>
          <w:lang w:val="en-US"/>
        </w:rPr>
        <w:t xml:space="preserve">65–71. </w:t>
      </w:r>
      <w:hyperlink r:id="rId34" w:history="1">
        <w:r w:rsidR="006642DA" w:rsidRPr="00494151">
          <w:rPr>
            <w:rStyle w:val="Hyperlink"/>
            <w:rFonts w:asciiTheme="majorBidi" w:hAnsiTheme="majorBidi" w:cstheme="majorBidi"/>
            <w:bCs/>
            <w:sz w:val="24"/>
            <w:szCs w:val="24"/>
            <w:lang w:val="en-US"/>
          </w:rPr>
          <w:t>https://doi.org/10.1016/j.chest.2020.03.012</w:t>
        </w:r>
      </w:hyperlink>
      <w:r w:rsidRPr="00494151">
        <w:rPr>
          <w:rFonts w:asciiTheme="majorBidi" w:hAnsiTheme="majorBidi" w:cstheme="majorBidi"/>
          <w:bCs/>
          <w:sz w:val="24"/>
          <w:szCs w:val="24"/>
          <w:lang w:val="en-US"/>
        </w:rPr>
        <w:t>.</w:t>
      </w:r>
      <w:r w:rsidR="006642DA" w:rsidRPr="00494151">
        <w:rPr>
          <w:rFonts w:asciiTheme="majorBidi" w:hAnsiTheme="majorBidi" w:cstheme="majorBidi"/>
          <w:bCs/>
          <w:sz w:val="24"/>
          <w:szCs w:val="24"/>
          <w:lang w:val="en-US"/>
        </w:rPr>
        <w:t xml:space="preserve"> </w:t>
      </w:r>
    </w:p>
    <w:p w14:paraId="6D111AAF" w14:textId="77777777" w:rsidR="005056A0" w:rsidRPr="00494151" w:rsidRDefault="005056A0" w:rsidP="00585759">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[24] </w:t>
      </w:r>
      <w:proofErr w:type="spellStart"/>
      <w:r w:rsidRPr="00494151">
        <w:rPr>
          <w:rFonts w:asciiTheme="majorBidi" w:hAnsiTheme="majorBidi" w:cstheme="majorBidi"/>
          <w:bCs/>
          <w:sz w:val="24"/>
          <w:szCs w:val="24"/>
          <w:lang w:val="en-US"/>
        </w:rPr>
        <w:t>Sanuade</w:t>
      </w:r>
      <w:proofErr w:type="spellEnd"/>
      <w:r w:rsidRPr="00494151">
        <w:rPr>
          <w:rFonts w:asciiTheme="majorBidi" w:hAnsiTheme="majorBidi" w:cstheme="majorBidi"/>
          <w:bCs/>
          <w:sz w:val="24"/>
          <w:szCs w:val="24"/>
          <w:lang w:val="en-US"/>
        </w:rPr>
        <w:t xml:space="preserve"> OA, Awuah RB, </w:t>
      </w:r>
      <w:proofErr w:type="spellStart"/>
      <w:r w:rsidRPr="00494151">
        <w:rPr>
          <w:rFonts w:asciiTheme="majorBidi" w:hAnsiTheme="majorBidi" w:cstheme="majorBidi"/>
          <w:bCs/>
          <w:sz w:val="24"/>
          <w:szCs w:val="24"/>
          <w:lang w:val="en-US"/>
        </w:rPr>
        <w:t>Kushitor</w:t>
      </w:r>
      <w:proofErr w:type="spellEnd"/>
      <w:r w:rsidRPr="00494151">
        <w:rPr>
          <w:rFonts w:asciiTheme="majorBidi" w:hAnsiTheme="majorBidi" w:cstheme="majorBidi"/>
          <w:bCs/>
          <w:sz w:val="24"/>
          <w:szCs w:val="24"/>
          <w:lang w:val="en-US"/>
        </w:rPr>
        <w:t xml:space="preserve"> M. Hypertension awareness, treatment and control in Ghana: a cross-sectional study. </w:t>
      </w:r>
      <w:proofErr w:type="spellStart"/>
      <w:r w:rsidRPr="00494151">
        <w:rPr>
          <w:rFonts w:asciiTheme="majorBidi" w:hAnsiTheme="majorBidi" w:cstheme="majorBidi"/>
          <w:bCs/>
          <w:sz w:val="24"/>
          <w:szCs w:val="24"/>
          <w:lang w:val="en-US"/>
        </w:rPr>
        <w:t>Ethn</w:t>
      </w:r>
      <w:proofErr w:type="spellEnd"/>
      <w:r w:rsidRPr="00494151">
        <w:rPr>
          <w:rFonts w:asciiTheme="majorBidi" w:hAnsiTheme="majorBidi" w:cstheme="majorBidi"/>
          <w:bCs/>
          <w:sz w:val="24"/>
          <w:szCs w:val="24"/>
          <w:lang w:val="en-US"/>
        </w:rPr>
        <w:t xml:space="preserve"> Health. 2020 Jul;25(5):702-16.</w:t>
      </w:r>
      <w:r w:rsidR="00585759" w:rsidRPr="00494151">
        <w:rPr>
          <w:rFonts w:asciiTheme="majorBidi" w:hAnsiTheme="majorBidi" w:cstheme="majorBidi"/>
          <w:bCs/>
          <w:sz w:val="24"/>
          <w:szCs w:val="24"/>
          <w:lang w:val="en-US"/>
        </w:rPr>
        <w:t xml:space="preserve"> </w:t>
      </w:r>
      <w:hyperlink r:id="rId35" w:history="1">
        <w:r w:rsidR="00585759" w:rsidRPr="00494151">
          <w:rPr>
            <w:rStyle w:val="Hyperlink"/>
            <w:rFonts w:asciiTheme="majorBidi" w:hAnsiTheme="majorBidi" w:cstheme="majorBidi"/>
            <w:bCs/>
            <w:sz w:val="24"/>
            <w:szCs w:val="24"/>
            <w:lang w:val="en-US"/>
          </w:rPr>
          <w:t>https://doi.org/10.1080/13557858.2018.1439898</w:t>
        </w:r>
      </w:hyperlink>
      <w:r w:rsidRPr="00494151">
        <w:rPr>
          <w:rFonts w:asciiTheme="majorBidi" w:hAnsiTheme="majorBidi" w:cstheme="majorBidi"/>
          <w:bCs/>
          <w:sz w:val="24"/>
          <w:szCs w:val="24"/>
          <w:lang w:val="en-US"/>
        </w:rPr>
        <w:t>.</w:t>
      </w:r>
      <w:r w:rsidR="00585759" w:rsidRPr="00494151">
        <w:rPr>
          <w:rFonts w:asciiTheme="majorBidi" w:hAnsiTheme="majorBidi" w:cstheme="majorBidi"/>
          <w:bCs/>
          <w:sz w:val="24"/>
          <w:szCs w:val="24"/>
          <w:lang w:val="en-US"/>
        </w:rPr>
        <w:t xml:space="preserve"> </w:t>
      </w:r>
      <w:r w:rsidRPr="00494151">
        <w:rPr>
          <w:rFonts w:asciiTheme="majorBidi" w:hAnsiTheme="majorBidi" w:cstheme="majorBidi"/>
          <w:bCs/>
          <w:sz w:val="24"/>
          <w:szCs w:val="24"/>
          <w:lang w:val="en-US"/>
        </w:rPr>
        <w:t xml:space="preserve"> </w:t>
      </w:r>
    </w:p>
    <w:p w14:paraId="443996F2"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[25] </w:t>
      </w:r>
      <w:proofErr w:type="spellStart"/>
      <w:r w:rsidRPr="00494151">
        <w:rPr>
          <w:rFonts w:asciiTheme="majorBidi" w:hAnsiTheme="majorBidi" w:cstheme="majorBidi"/>
          <w:bCs/>
          <w:sz w:val="24"/>
          <w:szCs w:val="24"/>
          <w:lang w:val="en-US"/>
        </w:rPr>
        <w:t>Etikan</w:t>
      </w:r>
      <w:proofErr w:type="spellEnd"/>
      <w:r w:rsidRPr="00494151">
        <w:rPr>
          <w:rFonts w:asciiTheme="majorBidi" w:hAnsiTheme="majorBidi" w:cstheme="majorBidi"/>
          <w:bCs/>
          <w:sz w:val="24"/>
          <w:szCs w:val="24"/>
          <w:lang w:val="en-US"/>
        </w:rPr>
        <w:t xml:space="preserve"> I, Musa SA, </w:t>
      </w:r>
      <w:proofErr w:type="spellStart"/>
      <w:r w:rsidRPr="00494151">
        <w:rPr>
          <w:rFonts w:asciiTheme="majorBidi" w:hAnsiTheme="majorBidi" w:cstheme="majorBidi"/>
          <w:bCs/>
          <w:sz w:val="24"/>
          <w:szCs w:val="24"/>
          <w:lang w:val="en-US"/>
        </w:rPr>
        <w:t>Alkassim</w:t>
      </w:r>
      <w:proofErr w:type="spellEnd"/>
      <w:r w:rsidRPr="00494151">
        <w:rPr>
          <w:rFonts w:asciiTheme="majorBidi" w:hAnsiTheme="majorBidi" w:cstheme="majorBidi"/>
          <w:bCs/>
          <w:sz w:val="24"/>
          <w:szCs w:val="24"/>
          <w:lang w:val="en-US"/>
        </w:rPr>
        <w:t xml:space="preserve"> RS. Comparison of Convenience Sampling and Purposive Sampling. Am J Theor Appl Stat. 2016; 5:1-4. </w:t>
      </w:r>
      <w:hyperlink r:id="rId36" w:history="1">
        <w:r w:rsidRPr="00494151">
          <w:rPr>
            <w:rStyle w:val="Hyperlink"/>
            <w:rFonts w:asciiTheme="majorBidi" w:hAnsiTheme="majorBidi" w:cstheme="majorBidi"/>
            <w:bCs/>
            <w:sz w:val="24"/>
            <w:szCs w:val="24"/>
            <w:lang w:val="en-US"/>
          </w:rPr>
          <w:t>https://doi.org/10.11648/j.ajtas.20160501.11</w:t>
        </w:r>
      </w:hyperlink>
      <w:r w:rsidRPr="00494151">
        <w:rPr>
          <w:rFonts w:asciiTheme="majorBidi" w:hAnsiTheme="majorBidi" w:cstheme="majorBidi"/>
          <w:bCs/>
          <w:sz w:val="24"/>
          <w:szCs w:val="24"/>
          <w:lang w:val="en-US"/>
        </w:rPr>
        <w:t xml:space="preserve">. </w:t>
      </w:r>
    </w:p>
    <w:p w14:paraId="7060A6FD"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[26] Ghazali A, Khalid NM, Yahya AN, Harrington I. Career maturity and intervention strategies: a bibliometric approach. J Asian </w:t>
      </w:r>
      <w:proofErr w:type="spellStart"/>
      <w:r w:rsidRPr="00494151">
        <w:rPr>
          <w:rFonts w:asciiTheme="majorBidi" w:hAnsiTheme="majorBidi" w:cstheme="majorBidi"/>
          <w:bCs/>
          <w:sz w:val="24"/>
          <w:szCs w:val="24"/>
          <w:lang w:val="en-US"/>
        </w:rPr>
        <w:t>Behav</w:t>
      </w:r>
      <w:proofErr w:type="spellEnd"/>
      <w:r w:rsidRPr="00494151">
        <w:rPr>
          <w:rFonts w:asciiTheme="majorBidi" w:hAnsiTheme="majorBidi" w:cstheme="majorBidi"/>
          <w:bCs/>
          <w:sz w:val="24"/>
          <w:szCs w:val="24"/>
          <w:lang w:val="en-US"/>
        </w:rPr>
        <w:t xml:space="preserve"> Stud. 2024; 9(28):23-35.</w:t>
      </w:r>
    </w:p>
    <w:p w14:paraId="46F33963"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[27] Reid SJ, Couper ID, Volmink J. Educational factors that influence the urban-rural distribution of health professionals in South Africa: a case-control study. S </w:t>
      </w:r>
      <w:proofErr w:type="spellStart"/>
      <w:r w:rsidRPr="00494151">
        <w:rPr>
          <w:rFonts w:asciiTheme="majorBidi" w:hAnsiTheme="majorBidi" w:cstheme="majorBidi"/>
          <w:bCs/>
          <w:sz w:val="24"/>
          <w:szCs w:val="24"/>
          <w:lang w:val="en-US"/>
        </w:rPr>
        <w:t>Afr</w:t>
      </w:r>
      <w:proofErr w:type="spellEnd"/>
      <w:r w:rsidRPr="00494151">
        <w:rPr>
          <w:rFonts w:asciiTheme="majorBidi" w:hAnsiTheme="majorBidi" w:cstheme="majorBidi"/>
          <w:bCs/>
          <w:sz w:val="24"/>
          <w:szCs w:val="24"/>
          <w:lang w:val="en-US"/>
        </w:rPr>
        <w:t xml:space="preserve"> Med J. 2011; 101(1):29-33. </w:t>
      </w:r>
      <w:hyperlink r:id="rId37" w:history="1">
        <w:r w:rsidRPr="00494151">
          <w:rPr>
            <w:rStyle w:val="Hyperlink"/>
            <w:rFonts w:asciiTheme="majorBidi" w:hAnsiTheme="majorBidi" w:cstheme="majorBidi"/>
            <w:bCs/>
            <w:sz w:val="24"/>
            <w:szCs w:val="24"/>
            <w:lang w:val="en-US"/>
          </w:rPr>
          <w:t>https://doi.org/10.7196/samj.4342</w:t>
        </w:r>
      </w:hyperlink>
      <w:r w:rsidRPr="00494151">
        <w:rPr>
          <w:rFonts w:asciiTheme="majorBidi" w:hAnsiTheme="majorBidi" w:cstheme="majorBidi"/>
          <w:bCs/>
          <w:sz w:val="24"/>
          <w:szCs w:val="24"/>
          <w:lang w:val="en-US"/>
        </w:rPr>
        <w:t xml:space="preserve">.  </w:t>
      </w:r>
    </w:p>
    <w:p w14:paraId="7BED6001"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lastRenderedPageBreak/>
        <w:t xml:space="preserve">[28] </w:t>
      </w:r>
      <w:proofErr w:type="spellStart"/>
      <w:r w:rsidRPr="00494151">
        <w:rPr>
          <w:rFonts w:asciiTheme="majorBidi" w:hAnsiTheme="majorBidi" w:cstheme="majorBidi"/>
          <w:bCs/>
          <w:sz w:val="24"/>
          <w:szCs w:val="24"/>
          <w:lang w:val="en-US"/>
        </w:rPr>
        <w:t>Dunbabin</w:t>
      </w:r>
      <w:proofErr w:type="spellEnd"/>
      <w:r w:rsidRPr="00494151">
        <w:rPr>
          <w:rFonts w:asciiTheme="majorBidi" w:hAnsiTheme="majorBidi" w:cstheme="majorBidi"/>
          <w:bCs/>
          <w:sz w:val="24"/>
          <w:szCs w:val="24"/>
          <w:lang w:val="en-US"/>
        </w:rPr>
        <w:t xml:space="preserve"> JS, Levitt L. Rural origin and rural medical exposure: their impact on the rural and remote medical workforce in Australia. Rural Remote Health. 2003; 3(1):212.</w:t>
      </w:r>
    </w:p>
    <w:p w14:paraId="5C890CC9" w14:textId="77777777" w:rsidR="005056A0" w:rsidRPr="00494151" w:rsidRDefault="005056A0" w:rsidP="004733F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[29] </w:t>
      </w:r>
      <w:r w:rsidR="004733F0" w:rsidRPr="00494151">
        <w:rPr>
          <w:rFonts w:asciiTheme="majorBidi" w:hAnsiTheme="majorBidi" w:cstheme="majorBidi"/>
          <w:bCs/>
          <w:sz w:val="24"/>
          <w:szCs w:val="24"/>
          <w:lang w:val="en-US"/>
        </w:rPr>
        <w:t xml:space="preserve">Campbell PA, </w:t>
      </w:r>
      <w:proofErr w:type="spellStart"/>
      <w:r w:rsidR="004733F0" w:rsidRPr="00494151">
        <w:rPr>
          <w:rFonts w:asciiTheme="majorBidi" w:hAnsiTheme="majorBidi" w:cstheme="majorBidi"/>
          <w:bCs/>
          <w:sz w:val="24"/>
          <w:szCs w:val="24"/>
          <w:lang w:val="en-US"/>
        </w:rPr>
        <w:t>Ebuehi</w:t>
      </w:r>
      <w:proofErr w:type="spellEnd"/>
      <w:r w:rsidR="004733F0" w:rsidRPr="00494151">
        <w:rPr>
          <w:rFonts w:asciiTheme="majorBidi" w:hAnsiTheme="majorBidi" w:cstheme="majorBidi"/>
          <w:bCs/>
          <w:sz w:val="24"/>
          <w:szCs w:val="24"/>
          <w:lang w:val="en-US"/>
        </w:rPr>
        <w:t xml:space="preserve"> OM. Job satisfaction: rural versus urban primary health care workers’ perception in Ogun State of Nigeria. We</w:t>
      </w:r>
      <w:r w:rsidR="005A794B" w:rsidRPr="00494151">
        <w:rPr>
          <w:rFonts w:asciiTheme="majorBidi" w:hAnsiTheme="majorBidi" w:cstheme="majorBidi"/>
          <w:bCs/>
          <w:sz w:val="24"/>
          <w:szCs w:val="24"/>
          <w:lang w:val="en-US"/>
        </w:rPr>
        <w:t xml:space="preserve">st </w:t>
      </w:r>
      <w:proofErr w:type="spellStart"/>
      <w:r w:rsidR="005A794B" w:rsidRPr="00494151">
        <w:rPr>
          <w:rFonts w:asciiTheme="majorBidi" w:hAnsiTheme="majorBidi" w:cstheme="majorBidi"/>
          <w:bCs/>
          <w:sz w:val="24"/>
          <w:szCs w:val="24"/>
          <w:lang w:val="en-US"/>
        </w:rPr>
        <w:t>Afr</w:t>
      </w:r>
      <w:proofErr w:type="spellEnd"/>
      <w:r w:rsidR="005A794B" w:rsidRPr="00494151">
        <w:rPr>
          <w:rFonts w:asciiTheme="majorBidi" w:hAnsiTheme="majorBidi" w:cstheme="majorBidi"/>
          <w:bCs/>
          <w:sz w:val="24"/>
          <w:szCs w:val="24"/>
          <w:lang w:val="en-US"/>
        </w:rPr>
        <w:t xml:space="preserve"> J Med. 2011;30(6):407–13</w:t>
      </w:r>
      <w:r w:rsidRPr="00494151">
        <w:rPr>
          <w:rFonts w:asciiTheme="majorBidi" w:hAnsiTheme="majorBidi" w:cstheme="majorBidi"/>
          <w:bCs/>
          <w:sz w:val="24"/>
          <w:szCs w:val="24"/>
          <w:lang w:val="en-US"/>
        </w:rPr>
        <w:t>.</w:t>
      </w:r>
    </w:p>
    <w:p w14:paraId="10BC4FC4"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[30] Agyei-Baffour, P., Kotha, S.R., Johnson, J.C. et al. Willingness to work in rural areas and the role of intrinsic versus extrinsic professional motivations - a survey of medical students in Ghana. BMC Med Educ 11, 56 (2011). </w:t>
      </w:r>
      <w:hyperlink r:id="rId38" w:history="1">
        <w:r w:rsidRPr="00494151">
          <w:rPr>
            <w:rStyle w:val="Hyperlink"/>
            <w:rFonts w:asciiTheme="majorBidi" w:hAnsiTheme="majorBidi" w:cstheme="majorBidi"/>
            <w:bCs/>
            <w:sz w:val="24"/>
            <w:szCs w:val="24"/>
            <w:lang w:val="en-US"/>
          </w:rPr>
          <w:t>https://doi.org/10.1186/1472-6920-11-56</w:t>
        </w:r>
      </w:hyperlink>
      <w:r w:rsidRPr="00494151">
        <w:rPr>
          <w:rFonts w:asciiTheme="majorBidi" w:hAnsiTheme="majorBidi" w:cstheme="majorBidi"/>
          <w:bCs/>
          <w:sz w:val="24"/>
          <w:szCs w:val="24"/>
          <w:lang w:val="en-US"/>
        </w:rPr>
        <w:t xml:space="preserve">. </w:t>
      </w:r>
    </w:p>
    <w:p w14:paraId="234CD664" w14:textId="77777777" w:rsidR="005056A0" w:rsidRPr="00494151" w:rsidRDefault="005056A0" w:rsidP="00BF7936">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[31] </w:t>
      </w:r>
      <w:r w:rsidR="00BF7936" w:rsidRPr="00494151">
        <w:rPr>
          <w:rFonts w:asciiTheme="majorBidi" w:hAnsiTheme="majorBidi" w:cstheme="majorBidi"/>
          <w:bCs/>
          <w:sz w:val="24"/>
          <w:szCs w:val="24"/>
          <w:lang w:val="en-US"/>
        </w:rPr>
        <w:t xml:space="preserve">Abbasi </w:t>
      </w:r>
      <w:proofErr w:type="spellStart"/>
      <w:r w:rsidR="00BF7936" w:rsidRPr="00494151">
        <w:rPr>
          <w:rFonts w:asciiTheme="majorBidi" w:hAnsiTheme="majorBidi" w:cstheme="majorBidi"/>
          <w:bCs/>
          <w:sz w:val="24"/>
          <w:szCs w:val="24"/>
          <w:lang w:val="en-US"/>
        </w:rPr>
        <w:t>Abianeh</w:t>
      </w:r>
      <w:proofErr w:type="spellEnd"/>
      <w:r w:rsidR="00BF7936" w:rsidRPr="00494151">
        <w:rPr>
          <w:rFonts w:asciiTheme="majorBidi" w:hAnsiTheme="majorBidi" w:cstheme="majorBidi"/>
          <w:bCs/>
          <w:sz w:val="24"/>
          <w:szCs w:val="24"/>
          <w:lang w:val="en-US"/>
        </w:rPr>
        <w:t xml:space="preserve"> N, Yazdani S, </w:t>
      </w:r>
      <w:proofErr w:type="spellStart"/>
      <w:r w:rsidR="00BF7936" w:rsidRPr="00494151">
        <w:rPr>
          <w:rFonts w:asciiTheme="majorBidi" w:hAnsiTheme="majorBidi" w:cstheme="majorBidi"/>
          <w:bCs/>
          <w:sz w:val="24"/>
          <w:szCs w:val="24"/>
          <w:lang w:val="en-US"/>
        </w:rPr>
        <w:t>Heydari</w:t>
      </w:r>
      <w:proofErr w:type="spellEnd"/>
      <w:r w:rsidR="00BF7936" w:rsidRPr="00494151">
        <w:rPr>
          <w:rFonts w:asciiTheme="majorBidi" w:hAnsiTheme="majorBidi" w:cstheme="majorBidi"/>
          <w:bCs/>
          <w:sz w:val="24"/>
          <w:szCs w:val="24"/>
          <w:lang w:val="en-US"/>
        </w:rPr>
        <w:t xml:space="preserve"> M, </w:t>
      </w:r>
      <w:proofErr w:type="spellStart"/>
      <w:r w:rsidR="00BF7936" w:rsidRPr="00494151">
        <w:rPr>
          <w:rFonts w:asciiTheme="majorBidi" w:hAnsiTheme="majorBidi" w:cstheme="majorBidi"/>
          <w:bCs/>
          <w:sz w:val="24"/>
          <w:szCs w:val="24"/>
          <w:lang w:val="en-US"/>
        </w:rPr>
        <w:t>Farmad</w:t>
      </w:r>
      <w:proofErr w:type="spellEnd"/>
      <w:r w:rsidR="00BF7936" w:rsidRPr="00494151">
        <w:rPr>
          <w:rFonts w:asciiTheme="majorBidi" w:hAnsiTheme="majorBidi" w:cstheme="majorBidi"/>
          <w:bCs/>
          <w:sz w:val="24"/>
          <w:szCs w:val="24"/>
          <w:lang w:val="en-US"/>
        </w:rPr>
        <w:t xml:space="preserve"> SA. Global perspectives on trends in health higher education. J Family Med Prim Care. 2022 Sep;11(9):4991-5003. </w:t>
      </w:r>
      <w:hyperlink r:id="rId39" w:history="1">
        <w:r w:rsidR="00BF7936" w:rsidRPr="00494151">
          <w:rPr>
            <w:rStyle w:val="Hyperlink"/>
            <w:rFonts w:asciiTheme="majorBidi" w:hAnsiTheme="majorBidi" w:cstheme="majorBidi"/>
            <w:bCs/>
            <w:sz w:val="24"/>
            <w:szCs w:val="24"/>
            <w:lang w:val="en-US"/>
          </w:rPr>
          <w:t>https://doi.org/10.4103/jfmpc.jfmpc_2461_21</w:t>
        </w:r>
      </w:hyperlink>
      <w:r w:rsidR="00BF7936" w:rsidRPr="00494151">
        <w:rPr>
          <w:rFonts w:asciiTheme="majorBidi" w:hAnsiTheme="majorBidi" w:cstheme="majorBidi"/>
          <w:bCs/>
          <w:sz w:val="24"/>
          <w:szCs w:val="24"/>
          <w:lang w:val="en-US"/>
        </w:rPr>
        <w:t xml:space="preserve">. </w:t>
      </w:r>
    </w:p>
    <w:p w14:paraId="55C9790B"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[32] </w:t>
      </w:r>
      <w:proofErr w:type="spellStart"/>
      <w:r w:rsidRPr="00494151">
        <w:rPr>
          <w:rFonts w:asciiTheme="majorBidi" w:hAnsiTheme="majorBidi" w:cstheme="majorBidi"/>
          <w:bCs/>
          <w:sz w:val="24"/>
          <w:szCs w:val="24"/>
          <w:lang w:val="en-US"/>
        </w:rPr>
        <w:t>Wiwanitkit</w:t>
      </w:r>
      <w:proofErr w:type="spellEnd"/>
      <w:r w:rsidRPr="00494151">
        <w:rPr>
          <w:rFonts w:asciiTheme="majorBidi" w:hAnsiTheme="majorBidi" w:cstheme="majorBidi"/>
          <w:bCs/>
          <w:sz w:val="24"/>
          <w:szCs w:val="24"/>
          <w:lang w:val="en-US"/>
        </w:rPr>
        <w:t xml:space="preserve"> V. Mandatory rural service for health care workers in Thailand. Rural Remote Health. 2011;11(1):1583.</w:t>
      </w:r>
    </w:p>
    <w:p w14:paraId="2D35761C" w14:textId="77777777" w:rsidR="005056A0" w:rsidRPr="00494151" w:rsidRDefault="005056A0" w:rsidP="005056A0">
      <w:pPr>
        <w:spacing w:before="240" w:after="0" w:line="360" w:lineRule="auto"/>
        <w:jc w:val="both"/>
        <w:rPr>
          <w:rFonts w:asciiTheme="majorBidi" w:hAnsiTheme="majorBidi" w:cstheme="majorBidi"/>
          <w:bCs/>
          <w:sz w:val="24"/>
          <w:szCs w:val="24"/>
          <w:lang w:val="en-US"/>
        </w:rPr>
      </w:pPr>
    </w:p>
    <w:p w14:paraId="7700E536" w14:textId="77777777" w:rsidR="005056A0" w:rsidRPr="00494151" w:rsidRDefault="005056A0" w:rsidP="00757DAD">
      <w:pPr>
        <w:spacing w:before="240" w:after="0" w:line="360" w:lineRule="auto"/>
        <w:jc w:val="both"/>
        <w:rPr>
          <w:rFonts w:asciiTheme="majorBidi" w:hAnsiTheme="majorBidi" w:cstheme="majorBidi"/>
          <w:bCs/>
          <w:sz w:val="24"/>
          <w:szCs w:val="24"/>
          <w:lang w:val="en-US"/>
        </w:rPr>
      </w:pPr>
    </w:p>
    <w:p w14:paraId="78664F09" w14:textId="77777777" w:rsidR="00A42BC1" w:rsidRPr="00494151" w:rsidRDefault="00F60E8B" w:rsidP="00757DAD">
      <w:pPr>
        <w:spacing w:before="240"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 </w:t>
      </w:r>
      <w:r w:rsidR="00281CCB" w:rsidRPr="00494151">
        <w:rPr>
          <w:rFonts w:asciiTheme="majorBidi" w:hAnsiTheme="majorBidi" w:cstheme="majorBidi"/>
          <w:bCs/>
          <w:sz w:val="24"/>
          <w:szCs w:val="24"/>
          <w:lang w:val="en-US"/>
        </w:rPr>
        <w:t xml:space="preserve"> </w:t>
      </w:r>
    </w:p>
    <w:p w14:paraId="07F30761" w14:textId="77777777" w:rsidR="00A42BC1" w:rsidRPr="00494151" w:rsidRDefault="00B3407C" w:rsidP="00A42BC1">
      <w:pPr>
        <w:spacing w:after="0" w:line="360" w:lineRule="auto"/>
        <w:jc w:val="both"/>
        <w:rPr>
          <w:rFonts w:asciiTheme="majorBidi" w:hAnsiTheme="majorBidi" w:cstheme="majorBidi"/>
          <w:bCs/>
          <w:sz w:val="24"/>
          <w:szCs w:val="24"/>
          <w:lang w:val="en-US"/>
        </w:rPr>
      </w:pPr>
      <w:r w:rsidRPr="00494151">
        <w:rPr>
          <w:rFonts w:asciiTheme="majorBidi" w:hAnsiTheme="majorBidi" w:cstheme="majorBidi"/>
          <w:bCs/>
          <w:sz w:val="24"/>
          <w:szCs w:val="24"/>
          <w:lang w:val="en-US"/>
        </w:rPr>
        <w:t xml:space="preserve"> </w:t>
      </w:r>
    </w:p>
    <w:sectPr w:rsidR="00A42BC1" w:rsidRPr="00494151">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064C" w14:textId="77777777" w:rsidR="00907E23" w:rsidRDefault="00907E23" w:rsidP="009451FB">
      <w:pPr>
        <w:spacing w:after="0" w:line="240" w:lineRule="auto"/>
      </w:pPr>
      <w:r>
        <w:separator/>
      </w:r>
    </w:p>
  </w:endnote>
  <w:endnote w:type="continuationSeparator" w:id="0">
    <w:p w14:paraId="7133F7D4" w14:textId="77777777" w:rsidR="00907E23" w:rsidRDefault="00907E23" w:rsidP="0094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37A3" w14:textId="77777777" w:rsidR="00FC2358" w:rsidRDefault="00FC2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BDC7C" w14:textId="77777777" w:rsidR="00FC2358" w:rsidRDefault="00FC2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1E0E" w14:textId="77777777" w:rsidR="00FC2358" w:rsidRDefault="00FC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5AE2A" w14:textId="77777777" w:rsidR="00907E23" w:rsidRDefault="00907E23" w:rsidP="009451FB">
      <w:pPr>
        <w:spacing w:after="0" w:line="240" w:lineRule="auto"/>
      </w:pPr>
      <w:r>
        <w:separator/>
      </w:r>
    </w:p>
  </w:footnote>
  <w:footnote w:type="continuationSeparator" w:id="0">
    <w:p w14:paraId="0E05F9FE" w14:textId="77777777" w:rsidR="00907E23" w:rsidRDefault="00907E23" w:rsidP="00945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A2EC" w14:textId="4F3E0DD9" w:rsidR="00FC2358" w:rsidRDefault="00FC2358">
    <w:pPr>
      <w:pStyle w:val="Header"/>
    </w:pPr>
    <w:r>
      <w:rPr>
        <w:noProof/>
      </w:rPr>
      <w:pict w14:anchorId="34DAF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7E50" w14:textId="2F31F6D4" w:rsidR="00FC2358" w:rsidRDefault="00FC2358">
    <w:pPr>
      <w:pStyle w:val="Header"/>
    </w:pPr>
    <w:r>
      <w:rPr>
        <w:noProof/>
      </w:rPr>
      <w:pict w14:anchorId="69B06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82D9" w14:textId="67EFE5BB" w:rsidR="00FC2358" w:rsidRDefault="00FC2358">
    <w:pPr>
      <w:pStyle w:val="Header"/>
    </w:pPr>
    <w:r>
      <w:rPr>
        <w:noProof/>
      </w:rPr>
      <w:pict w14:anchorId="75C37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08B1"/>
    <w:multiLevelType w:val="hybridMultilevel"/>
    <w:tmpl w:val="4DAACA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D5017"/>
    <w:multiLevelType w:val="hybridMultilevel"/>
    <w:tmpl w:val="9D2AE4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D0A38"/>
    <w:multiLevelType w:val="hybridMultilevel"/>
    <w:tmpl w:val="7D00DE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1518E"/>
    <w:multiLevelType w:val="hybridMultilevel"/>
    <w:tmpl w:val="FA785D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1361B"/>
    <w:multiLevelType w:val="hybridMultilevel"/>
    <w:tmpl w:val="C7A216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FE"/>
    <w:rsid w:val="0004122E"/>
    <w:rsid w:val="0005415F"/>
    <w:rsid w:val="0009103D"/>
    <w:rsid w:val="00093B46"/>
    <w:rsid w:val="000A4705"/>
    <w:rsid w:val="00142642"/>
    <w:rsid w:val="001A60F2"/>
    <w:rsid w:val="001B4C00"/>
    <w:rsid w:val="001D5BA5"/>
    <w:rsid w:val="00210EF9"/>
    <w:rsid w:val="002173D4"/>
    <w:rsid w:val="00263BF2"/>
    <w:rsid w:val="0026417B"/>
    <w:rsid w:val="00276F87"/>
    <w:rsid w:val="00281CCB"/>
    <w:rsid w:val="00291093"/>
    <w:rsid w:val="0029751D"/>
    <w:rsid w:val="002A3A46"/>
    <w:rsid w:val="002C6E57"/>
    <w:rsid w:val="00354B30"/>
    <w:rsid w:val="003725DF"/>
    <w:rsid w:val="003C3F7D"/>
    <w:rsid w:val="00403727"/>
    <w:rsid w:val="004369A8"/>
    <w:rsid w:val="004733F0"/>
    <w:rsid w:val="0047674F"/>
    <w:rsid w:val="00490A9E"/>
    <w:rsid w:val="00494151"/>
    <w:rsid w:val="0049542D"/>
    <w:rsid w:val="004F1C5F"/>
    <w:rsid w:val="004F49F9"/>
    <w:rsid w:val="004F4F37"/>
    <w:rsid w:val="004F5261"/>
    <w:rsid w:val="005056A0"/>
    <w:rsid w:val="0051076E"/>
    <w:rsid w:val="005108E9"/>
    <w:rsid w:val="00526E8F"/>
    <w:rsid w:val="00531A9C"/>
    <w:rsid w:val="00570D57"/>
    <w:rsid w:val="005807FE"/>
    <w:rsid w:val="0058492C"/>
    <w:rsid w:val="00585759"/>
    <w:rsid w:val="00595D6E"/>
    <w:rsid w:val="005A3D69"/>
    <w:rsid w:val="005A794B"/>
    <w:rsid w:val="006579A1"/>
    <w:rsid w:val="006615A3"/>
    <w:rsid w:val="0066244F"/>
    <w:rsid w:val="006642DA"/>
    <w:rsid w:val="006B039D"/>
    <w:rsid w:val="006B3C13"/>
    <w:rsid w:val="006B7FA9"/>
    <w:rsid w:val="006C02F0"/>
    <w:rsid w:val="006D12F8"/>
    <w:rsid w:val="00714B86"/>
    <w:rsid w:val="00757DAD"/>
    <w:rsid w:val="007A617A"/>
    <w:rsid w:val="007F5309"/>
    <w:rsid w:val="00803F9C"/>
    <w:rsid w:val="008376C6"/>
    <w:rsid w:val="00840A9E"/>
    <w:rsid w:val="00876CA1"/>
    <w:rsid w:val="0090091E"/>
    <w:rsid w:val="00907E23"/>
    <w:rsid w:val="009306BD"/>
    <w:rsid w:val="009451FB"/>
    <w:rsid w:val="00946F38"/>
    <w:rsid w:val="009837BC"/>
    <w:rsid w:val="009C29C9"/>
    <w:rsid w:val="00A036A4"/>
    <w:rsid w:val="00A05CE7"/>
    <w:rsid w:val="00A35FB8"/>
    <w:rsid w:val="00A42BC1"/>
    <w:rsid w:val="00A471F5"/>
    <w:rsid w:val="00A56322"/>
    <w:rsid w:val="00A66429"/>
    <w:rsid w:val="00A7297A"/>
    <w:rsid w:val="00AB6FFE"/>
    <w:rsid w:val="00B1268F"/>
    <w:rsid w:val="00B17EA6"/>
    <w:rsid w:val="00B3407C"/>
    <w:rsid w:val="00B347CA"/>
    <w:rsid w:val="00B660D9"/>
    <w:rsid w:val="00B76016"/>
    <w:rsid w:val="00B9037B"/>
    <w:rsid w:val="00BD1E58"/>
    <w:rsid w:val="00BE1386"/>
    <w:rsid w:val="00BF0829"/>
    <w:rsid w:val="00BF413C"/>
    <w:rsid w:val="00BF7936"/>
    <w:rsid w:val="00C43679"/>
    <w:rsid w:val="00C711CF"/>
    <w:rsid w:val="00C86403"/>
    <w:rsid w:val="00CC4579"/>
    <w:rsid w:val="00CD67DA"/>
    <w:rsid w:val="00D1009C"/>
    <w:rsid w:val="00D23E16"/>
    <w:rsid w:val="00D34C96"/>
    <w:rsid w:val="00D37A3B"/>
    <w:rsid w:val="00D42DF5"/>
    <w:rsid w:val="00D473E3"/>
    <w:rsid w:val="00D74197"/>
    <w:rsid w:val="00D87640"/>
    <w:rsid w:val="00D90284"/>
    <w:rsid w:val="00D937BC"/>
    <w:rsid w:val="00D94EDF"/>
    <w:rsid w:val="00DD18E1"/>
    <w:rsid w:val="00DF28E4"/>
    <w:rsid w:val="00E1353F"/>
    <w:rsid w:val="00E410CF"/>
    <w:rsid w:val="00E61790"/>
    <w:rsid w:val="00EA101E"/>
    <w:rsid w:val="00EA2224"/>
    <w:rsid w:val="00ED6921"/>
    <w:rsid w:val="00EF56BD"/>
    <w:rsid w:val="00F029C7"/>
    <w:rsid w:val="00F02DE9"/>
    <w:rsid w:val="00F60E8B"/>
    <w:rsid w:val="00F80174"/>
    <w:rsid w:val="00F83D9B"/>
    <w:rsid w:val="00F84228"/>
    <w:rsid w:val="00FB3C25"/>
    <w:rsid w:val="00FB44CF"/>
    <w:rsid w:val="00FC2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832E42"/>
  <w15:chartTrackingRefBased/>
  <w15:docId w15:val="{6D824511-6652-4D57-B741-A0A551E9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E9"/>
    <w:pPr>
      <w:ind w:left="720"/>
      <w:contextualSpacing/>
    </w:pPr>
  </w:style>
  <w:style w:type="paragraph" w:styleId="Header">
    <w:name w:val="header"/>
    <w:basedOn w:val="Normal"/>
    <w:link w:val="HeaderChar"/>
    <w:uiPriority w:val="99"/>
    <w:unhideWhenUsed/>
    <w:rsid w:val="0094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FB"/>
    <w:rPr>
      <w:lang w:val="en-GB"/>
    </w:rPr>
  </w:style>
  <w:style w:type="paragraph" w:styleId="Footer">
    <w:name w:val="footer"/>
    <w:basedOn w:val="Normal"/>
    <w:link w:val="FooterChar"/>
    <w:uiPriority w:val="99"/>
    <w:unhideWhenUsed/>
    <w:rsid w:val="0094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FB"/>
    <w:rPr>
      <w:lang w:val="en-GB"/>
    </w:rPr>
  </w:style>
  <w:style w:type="character" w:styleId="Hyperlink">
    <w:name w:val="Hyperlink"/>
    <w:basedOn w:val="DefaultParagraphFont"/>
    <w:uiPriority w:val="99"/>
    <w:unhideWhenUsed/>
    <w:rsid w:val="005056A0"/>
    <w:rPr>
      <w:color w:val="0563C1" w:themeColor="hyperlink"/>
      <w:u w:val="single"/>
    </w:rPr>
  </w:style>
  <w:style w:type="character" w:styleId="UnresolvedMention">
    <w:name w:val="Unresolved Mention"/>
    <w:basedOn w:val="DefaultParagraphFont"/>
    <w:uiPriority w:val="99"/>
    <w:semiHidden/>
    <w:unhideWhenUsed/>
    <w:rsid w:val="00D4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765">
      <w:bodyDiv w:val="1"/>
      <w:marLeft w:val="0"/>
      <w:marRight w:val="0"/>
      <w:marTop w:val="0"/>
      <w:marBottom w:val="0"/>
      <w:divBdr>
        <w:top w:val="none" w:sz="0" w:space="0" w:color="auto"/>
        <w:left w:val="none" w:sz="0" w:space="0" w:color="auto"/>
        <w:bottom w:val="none" w:sz="0" w:space="0" w:color="auto"/>
        <w:right w:val="none" w:sz="0" w:space="0" w:color="auto"/>
      </w:divBdr>
    </w:div>
    <w:div w:id="157425107">
      <w:bodyDiv w:val="1"/>
      <w:marLeft w:val="0"/>
      <w:marRight w:val="0"/>
      <w:marTop w:val="0"/>
      <w:marBottom w:val="0"/>
      <w:divBdr>
        <w:top w:val="none" w:sz="0" w:space="0" w:color="auto"/>
        <w:left w:val="none" w:sz="0" w:space="0" w:color="auto"/>
        <w:bottom w:val="none" w:sz="0" w:space="0" w:color="auto"/>
        <w:right w:val="none" w:sz="0" w:space="0" w:color="auto"/>
      </w:divBdr>
    </w:div>
    <w:div w:id="183980268">
      <w:bodyDiv w:val="1"/>
      <w:marLeft w:val="0"/>
      <w:marRight w:val="0"/>
      <w:marTop w:val="0"/>
      <w:marBottom w:val="0"/>
      <w:divBdr>
        <w:top w:val="none" w:sz="0" w:space="0" w:color="auto"/>
        <w:left w:val="none" w:sz="0" w:space="0" w:color="auto"/>
        <w:bottom w:val="none" w:sz="0" w:space="0" w:color="auto"/>
        <w:right w:val="none" w:sz="0" w:space="0" w:color="auto"/>
      </w:divBdr>
    </w:div>
    <w:div w:id="455951930">
      <w:bodyDiv w:val="1"/>
      <w:marLeft w:val="0"/>
      <w:marRight w:val="0"/>
      <w:marTop w:val="0"/>
      <w:marBottom w:val="0"/>
      <w:divBdr>
        <w:top w:val="none" w:sz="0" w:space="0" w:color="auto"/>
        <w:left w:val="none" w:sz="0" w:space="0" w:color="auto"/>
        <w:bottom w:val="none" w:sz="0" w:space="0" w:color="auto"/>
        <w:right w:val="none" w:sz="0" w:space="0" w:color="auto"/>
      </w:divBdr>
    </w:div>
    <w:div w:id="491024568">
      <w:bodyDiv w:val="1"/>
      <w:marLeft w:val="0"/>
      <w:marRight w:val="0"/>
      <w:marTop w:val="0"/>
      <w:marBottom w:val="0"/>
      <w:divBdr>
        <w:top w:val="none" w:sz="0" w:space="0" w:color="auto"/>
        <w:left w:val="none" w:sz="0" w:space="0" w:color="auto"/>
        <w:bottom w:val="none" w:sz="0" w:space="0" w:color="auto"/>
        <w:right w:val="none" w:sz="0" w:space="0" w:color="auto"/>
      </w:divBdr>
    </w:div>
    <w:div w:id="612907368">
      <w:bodyDiv w:val="1"/>
      <w:marLeft w:val="0"/>
      <w:marRight w:val="0"/>
      <w:marTop w:val="0"/>
      <w:marBottom w:val="0"/>
      <w:divBdr>
        <w:top w:val="none" w:sz="0" w:space="0" w:color="auto"/>
        <w:left w:val="none" w:sz="0" w:space="0" w:color="auto"/>
        <w:bottom w:val="none" w:sz="0" w:space="0" w:color="auto"/>
        <w:right w:val="none" w:sz="0" w:space="0" w:color="auto"/>
      </w:divBdr>
    </w:div>
    <w:div w:id="646709392">
      <w:bodyDiv w:val="1"/>
      <w:marLeft w:val="0"/>
      <w:marRight w:val="0"/>
      <w:marTop w:val="0"/>
      <w:marBottom w:val="0"/>
      <w:divBdr>
        <w:top w:val="none" w:sz="0" w:space="0" w:color="auto"/>
        <w:left w:val="none" w:sz="0" w:space="0" w:color="auto"/>
        <w:bottom w:val="none" w:sz="0" w:space="0" w:color="auto"/>
        <w:right w:val="none" w:sz="0" w:space="0" w:color="auto"/>
      </w:divBdr>
    </w:div>
    <w:div w:id="654649752">
      <w:bodyDiv w:val="1"/>
      <w:marLeft w:val="0"/>
      <w:marRight w:val="0"/>
      <w:marTop w:val="0"/>
      <w:marBottom w:val="0"/>
      <w:divBdr>
        <w:top w:val="none" w:sz="0" w:space="0" w:color="auto"/>
        <w:left w:val="none" w:sz="0" w:space="0" w:color="auto"/>
        <w:bottom w:val="none" w:sz="0" w:space="0" w:color="auto"/>
        <w:right w:val="none" w:sz="0" w:space="0" w:color="auto"/>
      </w:divBdr>
    </w:div>
    <w:div w:id="659503209">
      <w:bodyDiv w:val="1"/>
      <w:marLeft w:val="0"/>
      <w:marRight w:val="0"/>
      <w:marTop w:val="0"/>
      <w:marBottom w:val="0"/>
      <w:divBdr>
        <w:top w:val="none" w:sz="0" w:space="0" w:color="auto"/>
        <w:left w:val="none" w:sz="0" w:space="0" w:color="auto"/>
        <w:bottom w:val="none" w:sz="0" w:space="0" w:color="auto"/>
        <w:right w:val="none" w:sz="0" w:space="0" w:color="auto"/>
      </w:divBdr>
    </w:div>
    <w:div w:id="783962322">
      <w:bodyDiv w:val="1"/>
      <w:marLeft w:val="0"/>
      <w:marRight w:val="0"/>
      <w:marTop w:val="0"/>
      <w:marBottom w:val="0"/>
      <w:divBdr>
        <w:top w:val="none" w:sz="0" w:space="0" w:color="auto"/>
        <w:left w:val="none" w:sz="0" w:space="0" w:color="auto"/>
        <w:bottom w:val="none" w:sz="0" w:space="0" w:color="auto"/>
        <w:right w:val="none" w:sz="0" w:space="0" w:color="auto"/>
      </w:divBdr>
    </w:div>
    <w:div w:id="987785082">
      <w:bodyDiv w:val="1"/>
      <w:marLeft w:val="0"/>
      <w:marRight w:val="0"/>
      <w:marTop w:val="0"/>
      <w:marBottom w:val="0"/>
      <w:divBdr>
        <w:top w:val="none" w:sz="0" w:space="0" w:color="auto"/>
        <w:left w:val="none" w:sz="0" w:space="0" w:color="auto"/>
        <w:bottom w:val="none" w:sz="0" w:space="0" w:color="auto"/>
        <w:right w:val="none" w:sz="0" w:space="0" w:color="auto"/>
      </w:divBdr>
    </w:div>
    <w:div w:id="1378311249">
      <w:bodyDiv w:val="1"/>
      <w:marLeft w:val="0"/>
      <w:marRight w:val="0"/>
      <w:marTop w:val="0"/>
      <w:marBottom w:val="0"/>
      <w:divBdr>
        <w:top w:val="none" w:sz="0" w:space="0" w:color="auto"/>
        <w:left w:val="none" w:sz="0" w:space="0" w:color="auto"/>
        <w:bottom w:val="none" w:sz="0" w:space="0" w:color="auto"/>
        <w:right w:val="none" w:sz="0" w:space="0" w:color="auto"/>
      </w:divBdr>
    </w:div>
    <w:div w:id="1485439295">
      <w:bodyDiv w:val="1"/>
      <w:marLeft w:val="0"/>
      <w:marRight w:val="0"/>
      <w:marTop w:val="0"/>
      <w:marBottom w:val="0"/>
      <w:divBdr>
        <w:top w:val="none" w:sz="0" w:space="0" w:color="auto"/>
        <w:left w:val="none" w:sz="0" w:space="0" w:color="auto"/>
        <w:bottom w:val="none" w:sz="0" w:space="0" w:color="auto"/>
        <w:right w:val="none" w:sz="0" w:space="0" w:color="auto"/>
      </w:divBdr>
    </w:div>
    <w:div w:id="1529903013">
      <w:bodyDiv w:val="1"/>
      <w:marLeft w:val="0"/>
      <w:marRight w:val="0"/>
      <w:marTop w:val="0"/>
      <w:marBottom w:val="0"/>
      <w:divBdr>
        <w:top w:val="none" w:sz="0" w:space="0" w:color="auto"/>
        <w:left w:val="none" w:sz="0" w:space="0" w:color="auto"/>
        <w:bottom w:val="none" w:sz="0" w:space="0" w:color="auto"/>
        <w:right w:val="none" w:sz="0" w:space="0" w:color="auto"/>
      </w:divBdr>
    </w:div>
    <w:div w:id="1661155612">
      <w:bodyDiv w:val="1"/>
      <w:marLeft w:val="0"/>
      <w:marRight w:val="0"/>
      <w:marTop w:val="0"/>
      <w:marBottom w:val="0"/>
      <w:divBdr>
        <w:top w:val="none" w:sz="0" w:space="0" w:color="auto"/>
        <w:left w:val="none" w:sz="0" w:space="0" w:color="auto"/>
        <w:bottom w:val="none" w:sz="0" w:space="0" w:color="auto"/>
        <w:right w:val="none" w:sz="0" w:space="0" w:color="auto"/>
      </w:divBdr>
    </w:div>
    <w:div w:id="20153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08/AGJSR-04-2022-0022" TargetMode="External"/><Relationship Id="rId26" Type="http://schemas.openxmlformats.org/officeDocument/2006/relationships/hyperlink" Target="https://aho.afro.who.int/hrh/af" TargetMode="External"/><Relationship Id="rId39" Type="http://schemas.openxmlformats.org/officeDocument/2006/relationships/hyperlink" Target="https://doi.org/10.4103/jfmpc.jfmpc_2461_21" TargetMode="External"/><Relationship Id="rId21" Type="http://schemas.openxmlformats.org/officeDocument/2006/relationships/hyperlink" Target="https://doi.org/10.1186/s12875-020-01279-7" TargetMode="External"/><Relationship Id="rId34" Type="http://schemas.openxmlformats.org/officeDocument/2006/relationships/hyperlink" Target="https://doi.org/10.1016/j.chest.2020.03.01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S2214-109X(18)30386-3" TargetMode="External"/><Relationship Id="rId29" Type="http://schemas.openxmlformats.org/officeDocument/2006/relationships/hyperlink" Target="https://doi.org/10.1177/004695802311593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4103/aam.aam_1_17" TargetMode="External"/><Relationship Id="rId32" Type="http://schemas.openxmlformats.org/officeDocument/2006/relationships/hyperlink" Target="https://doi.org/10.1177/2158244015611454" TargetMode="External"/><Relationship Id="rId37" Type="http://schemas.openxmlformats.org/officeDocument/2006/relationships/hyperlink" Target="https://doi.org/10.7196/samj.434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07/978-3-319-32564-4_1" TargetMode="External"/><Relationship Id="rId28" Type="http://schemas.openxmlformats.org/officeDocument/2006/relationships/hyperlink" Target="https://doi.org/10.1016/j.jth.2024.101819" TargetMode="External"/><Relationship Id="rId36" Type="http://schemas.openxmlformats.org/officeDocument/2006/relationships/hyperlink" Target="https://doi.org/10.11648/j.ajtas.20160501.11" TargetMode="External"/><Relationship Id="rId10" Type="http://schemas.openxmlformats.org/officeDocument/2006/relationships/image" Target="media/image2.png"/><Relationship Id="rId19" Type="http://schemas.openxmlformats.org/officeDocument/2006/relationships/hyperlink" Target="http://www.human_resources_health.com/content/9/1/13" TargetMode="External"/><Relationship Id="rId31" Type="http://schemas.openxmlformats.org/officeDocument/2006/relationships/hyperlink" Target="http://www.rrh.org.au"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2.statsghana.gov.gh/docfiles/2010phc/MDG%20report%20(24-10-13).pdf" TargetMode="External"/><Relationship Id="rId27" Type="http://schemas.openxmlformats.org/officeDocument/2006/relationships/hyperlink" Target="https://doi.org/10.1002/14651858.CD005314.pub3" TargetMode="External"/><Relationship Id="rId30" Type="http://schemas.openxmlformats.org/officeDocument/2006/relationships/hyperlink" Target="https://doi.org/10.1016/j.ijnurstu.2024.104908" TargetMode="External"/><Relationship Id="rId35" Type="http://schemas.openxmlformats.org/officeDocument/2006/relationships/hyperlink" Target="https://doi.org/10.1080/13557858.2018.1439898" TargetMode="External"/><Relationship Id="rId43" Type="http://schemas.openxmlformats.org/officeDocument/2006/relationships/footer" Target="footer2.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186/1478-4491-4-12" TargetMode="External"/><Relationship Id="rId25" Type="http://schemas.openxmlformats.org/officeDocument/2006/relationships/hyperlink" Target="https://www.who.int/docs/default-source/gho-documents/world-health-statistic-reports/en-whs08-full.pdf" TargetMode="External"/><Relationship Id="rId33" Type="http://schemas.openxmlformats.org/officeDocument/2006/relationships/hyperlink" Target="https://doi.org/10.1016/j.ijinfomgt.2023.102625" TargetMode="External"/><Relationship Id="rId38" Type="http://schemas.openxmlformats.org/officeDocument/2006/relationships/hyperlink" Target="https://doi.org/10.1186/1472-6920-11-56" TargetMode="External"/><Relationship Id="rId46" Type="http://schemas.openxmlformats.org/officeDocument/2006/relationships/fontTable" Target="fontTable.xml"/><Relationship Id="rId20" Type="http://schemas.openxmlformats.org/officeDocument/2006/relationships/hyperlink" Target="http://www.who.org/hrh/"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Documents%20and%20Settings\Compaq\My%20Documents\Mubara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cuments%20and%20Settings\Compaq\My%20Documents\Mubara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cuments%20and%20Settings\Compaq\My%20Documents\Mubarak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851662953616892"/>
          <c:y val="5.8818233876843075E-2"/>
          <c:w val="0.75546461177937563"/>
          <c:h val="0.65167808649618553"/>
        </c:manualLayout>
      </c:layout>
      <c:bar3DChart>
        <c:barDir val="bar"/>
        <c:grouping val="clustered"/>
        <c:varyColors val="0"/>
        <c:ser>
          <c:idx val="0"/>
          <c:order val="0"/>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Sheet3!$L$15:$L$17</c:f>
              <c:strCache>
                <c:ptCount val="3"/>
                <c:pt idx="0">
                  <c:v>Rural</c:v>
                </c:pt>
                <c:pt idx="1">
                  <c:v>Urban</c:v>
                </c:pt>
                <c:pt idx="2">
                  <c:v>Not Sure</c:v>
                </c:pt>
              </c:strCache>
            </c:strRef>
          </c:cat>
          <c:val>
            <c:numRef>
              <c:f>Sheet3!$M$15:$M$17</c:f>
              <c:numCache>
                <c:formatCode>General</c:formatCode>
                <c:ptCount val="3"/>
                <c:pt idx="0">
                  <c:v>60</c:v>
                </c:pt>
                <c:pt idx="1">
                  <c:v>14</c:v>
                </c:pt>
                <c:pt idx="2">
                  <c:v>26</c:v>
                </c:pt>
              </c:numCache>
            </c:numRef>
          </c:val>
          <c:extLst>
            <c:ext xmlns:c16="http://schemas.microsoft.com/office/drawing/2014/chart" uri="{C3380CC4-5D6E-409C-BE32-E72D297353CC}">
              <c16:uniqueId val="{00000000-5D00-429E-821D-0DC73ECF7F27}"/>
            </c:ext>
          </c:extLst>
        </c:ser>
        <c:dLbls>
          <c:showLegendKey val="0"/>
          <c:showVal val="0"/>
          <c:showCatName val="0"/>
          <c:showSerName val="0"/>
          <c:showPercent val="0"/>
          <c:showBubbleSize val="0"/>
        </c:dLbls>
        <c:gapWidth val="160"/>
        <c:gapDepth val="0"/>
        <c:shape val="cylinder"/>
        <c:axId val="-1473445312"/>
        <c:axId val="-1473444768"/>
        <c:axId val="0"/>
      </c:bar3DChart>
      <c:catAx>
        <c:axId val="-14734453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Preferred Working Center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444768"/>
        <c:crosses val="autoZero"/>
        <c:auto val="1"/>
        <c:lblAlgn val="ctr"/>
        <c:lblOffset val="100"/>
        <c:noMultiLvlLbl val="0"/>
      </c:catAx>
      <c:valAx>
        <c:axId val="-1473444768"/>
        <c:scaling>
          <c:orientation val="minMax"/>
        </c:scaling>
        <c:delete val="0"/>
        <c:axPos val="b"/>
        <c:title>
          <c:tx>
            <c:rich>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44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5"/>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1E66-47F0-9965-A4C85F03DA5E}"/>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1E66-47F0-9965-A4C85F03DA5E}"/>
              </c:ext>
            </c:extLst>
          </c:dPt>
          <c:dLbls>
            <c:dLbl>
              <c:idx val="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1E66-47F0-9965-A4C85F03DA5E}"/>
                </c:ext>
              </c:extLst>
            </c:dLbl>
            <c:dLbl>
              <c:idx val="1"/>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3-1E66-47F0-9965-A4C85F03DA5E}"/>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Sheet5!$D$5:$D$6</c:f>
              <c:strCache>
                <c:ptCount val="2"/>
                <c:pt idx="0">
                  <c:v>Yes</c:v>
                </c:pt>
                <c:pt idx="1">
                  <c:v>No</c:v>
                </c:pt>
              </c:strCache>
            </c:strRef>
          </c:cat>
          <c:val>
            <c:numRef>
              <c:f>Sheet5!$E$5:$E$6</c:f>
              <c:numCache>
                <c:formatCode>General</c:formatCode>
                <c:ptCount val="2"/>
                <c:pt idx="0">
                  <c:v>64</c:v>
                </c:pt>
                <c:pt idx="1">
                  <c:v>36</c:v>
                </c:pt>
              </c:numCache>
            </c:numRef>
          </c:val>
          <c:extLst>
            <c:ext xmlns:c16="http://schemas.microsoft.com/office/drawing/2014/chart" uri="{C3380CC4-5D6E-409C-BE32-E72D297353CC}">
              <c16:uniqueId val="{00000004-1E66-47F0-9965-A4C85F03DA5E}"/>
            </c:ext>
          </c:extLst>
        </c:ser>
        <c:dLbls>
          <c:dLblPos val="inEnd"/>
          <c:showLegendKey val="0"/>
          <c:showVal val="0"/>
          <c:showCatName val="1"/>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49C-4101-AAF8-272A5858B15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49C-4101-AAF8-272A5858B15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549C-4101-AAF8-272A5858B15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549C-4101-AAF8-272A5858B152}"/>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Sheet12!$F$4:$F$5</c:f>
              <c:strCache>
                <c:ptCount val="2"/>
                <c:pt idx="0">
                  <c:v>Yes</c:v>
                </c:pt>
                <c:pt idx="1">
                  <c:v>No</c:v>
                </c:pt>
              </c:strCache>
            </c:strRef>
          </c:cat>
          <c:val>
            <c:numRef>
              <c:f>Sheet12!$G$4:$G$5</c:f>
              <c:numCache>
                <c:formatCode>General</c:formatCode>
                <c:ptCount val="2"/>
                <c:pt idx="0">
                  <c:v>58</c:v>
                </c:pt>
                <c:pt idx="1">
                  <c:v>42</c:v>
                </c:pt>
              </c:numCache>
            </c:numRef>
          </c:val>
          <c:extLst>
            <c:ext xmlns:c16="http://schemas.microsoft.com/office/drawing/2014/chart" uri="{C3380CC4-5D6E-409C-BE32-E72D297353CC}">
              <c16:uniqueId val="{00000004-549C-4101-AAF8-272A5858B152}"/>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22</Pages>
  <Words>5498</Words>
  <Characters>31344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101</cp:revision>
  <dcterms:created xsi:type="dcterms:W3CDTF">2025-05-31T06:09:00Z</dcterms:created>
  <dcterms:modified xsi:type="dcterms:W3CDTF">2025-06-10T13:08:00Z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55d20086-7184-4e29-b158-d1ef6e3e103d</vt:lpwstr>
  </property>
</Properties>
</file>