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2B5D9" w14:textId="1710AAE8" w:rsidR="002D541C" w:rsidRPr="00590422" w:rsidRDefault="002D541C" w:rsidP="003766CE">
      <w:pPr>
        <w:spacing w:after="0"/>
        <w:jc w:val="both"/>
        <w:rPr>
          <w:rFonts w:ascii="Times New Roman" w:hAnsi="Times New Roman" w:cs="Times New Roman"/>
          <w:b/>
          <w:bCs/>
        </w:rPr>
      </w:pPr>
      <w:r w:rsidRPr="00590422">
        <w:rPr>
          <w:rFonts w:ascii="Times New Roman" w:hAnsi="Times New Roman" w:cs="Times New Roman"/>
          <w:b/>
          <w:bCs/>
        </w:rPr>
        <w:t>Spatiotemporal Analysis of Land Use and Land Cover Dynamics Under the Pressure of Artisanal Mining in the Central Zone of Taraba State</w:t>
      </w:r>
      <w:r w:rsidR="00D20359" w:rsidRPr="00590422">
        <w:rPr>
          <w:rFonts w:ascii="Times New Roman" w:hAnsi="Times New Roman" w:cs="Times New Roman"/>
          <w:b/>
          <w:bCs/>
        </w:rPr>
        <w:t>, Nigeria</w:t>
      </w:r>
    </w:p>
    <w:p w14:paraId="3A845412" w14:textId="77777777" w:rsidR="00590422" w:rsidRDefault="00590422" w:rsidP="00590422">
      <w:pPr>
        <w:spacing w:after="0" w:line="360" w:lineRule="auto"/>
        <w:jc w:val="center"/>
        <w:rPr>
          <w:rFonts w:ascii="Garamond" w:hAnsi="Garamond" w:cs="Times New Roman"/>
          <w:vertAlign w:val="superscript"/>
        </w:rPr>
      </w:pPr>
    </w:p>
    <w:p w14:paraId="42F68EB7" w14:textId="7CD3B6AF" w:rsidR="002D541C" w:rsidRPr="002D541C" w:rsidRDefault="00A67922" w:rsidP="003766CE">
      <w:pPr>
        <w:spacing w:after="0"/>
        <w:jc w:val="both"/>
        <w:rPr>
          <w:rFonts w:ascii="Times New Roman" w:hAnsi="Times New Roman" w:cs="Times New Roman"/>
        </w:rPr>
      </w:pPr>
      <w:r>
        <w:rPr>
          <w:rFonts w:ascii="Times New Roman" w:hAnsi="Times New Roman" w:cs="Times New Roman"/>
          <w:b/>
          <w:bCs/>
        </w:rPr>
        <w:t>Abstract</w:t>
      </w:r>
      <w:r w:rsidRPr="00A67922">
        <w:rPr>
          <w:rFonts w:ascii="Times New Roman" w:hAnsi="Times New Roman" w:cs="Times New Roman"/>
        </w:rPr>
        <w:br/>
        <w:t>Artisanal and small-scale mining (ASM) has emerged as an essential livelihood activity in Taraba’s Central Zone, driven by the increasing demand for mineral resources and limited employment opportunities. However, the sector's rapid and largely unregulated expansion has raised serious environmental concerns, particularly regarding land degradation and deforestation. This study provides a comprehensive spatiotemporal assessment of land use and land cover (LULC) changes in the Central Zone between 1994 and 2024, focusing on quantifying the environmental impact of ASM activities. Multi-temporal Landsat satellite imagery from 1994, 2004, 2014, and 2024 was analyzed using supervised classification techniques within a geographic information system (GIS) environment. Ground-truthing and field surveys conducted in 2025 were used to validate classification accuracy and interpret ASM footprints. Results indicate a significant decline in vegetative cover from 97.29% in 1994 to 69.15% in 2024, accompanied by a sharp increase in bare surface area from 2.05% to 29.71% over the same period. Built-up areas and water bodies showed minor fluctuations with no consistent trend. The spatial patterns strongly suggest that ASM has been a major driver of ecological disturbance, primarily through vegetation clearance, soil disruption, and surface scarring. The findings reveal the urgent need for targeted environmental policies, sustainable mining frameworks, and land rehabilitation prog</w:t>
      </w:r>
      <w:bookmarkStart w:id="0" w:name="_GoBack"/>
      <w:bookmarkEnd w:id="0"/>
      <w:r w:rsidRPr="00A67922">
        <w:rPr>
          <w:rFonts w:ascii="Times New Roman" w:hAnsi="Times New Roman" w:cs="Times New Roman"/>
        </w:rPr>
        <w:t>rams to mitigate further degradation and promote ecological resilience in ASM-affected landscapes.</w:t>
      </w:r>
    </w:p>
    <w:p w14:paraId="7ED7DAF1" w14:textId="7D1DA6B3" w:rsidR="002D541C" w:rsidRPr="001D55C2" w:rsidRDefault="002D541C" w:rsidP="003766CE">
      <w:pPr>
        <w:spacing w:after="0"/>
        <w:jc w:val="both"/>
        <w:rPr>
          <w:rFonts w:ascii="Times New Roman" w:hAnsi="Times New Roman" w:cs="Times New Roman"/>
          <w:sz w:val="22"/>
          <w:szCs w:val="22"/>
        </w:rPr>
      </w:pPr>
      <w:r w:rsidRPr="002D541C">
        <w:rPr>
          <w:rFonts w:ascii="Times New Roman" w:hAnsi="Times New Roman" w:cs="Times New Roman"/>
          <w:b/>
          <w:bCs/>
        </w:rPr>
        <w:t>Keywords:</w:t>
      </w:r>
      <w:r w:rsidRPr="002D541C">
        <w:rPr>
          <w:rFonts w:ascii="Times New Roman" w:hAnsi="Times New Roman" w:cs="Times New Roman"/>
        </w:rPr>
        <w:t xml:space="preserve"> </w:t>
      </w:r>
      <w:r w:rsidR="003766CE" w:rsidRPr="001D55C2">
        <w:rPr>
          <w:rFonts w:ascii="Times New Roman" w:hAnsi="Times New Roman" w:cs="Times New Roman"/>
        </w:rPr>
        <w:t>Spatiotemporal, Analysis, Land Use, Land Cover, Dynamics, Artisanal Mining</w:t>
      </w:r>
    </w:p>
    <w:p w14:paraId="39F73A40" w14:textId="2DA99896" w:rsidR="002D541C" w:rsidRPr="002D541C" w:rsidRDefault="002D541C" w:rsidP="00590422">
      <w:pPr>
        <w:spacing w:before="240" w:after="0"/>
        <w:jc w:val="both"/>
        <w:rPr>
          <w:rFonts w:ascii="Times New Roman" w:hAnsi="Times New Roman" w:cs="Times New Roman"/>
          <w:b/>
          <w:bCs/>
        </w:rPr>
      </w:pPr>
      <w:r w:rsidRPr="002D541C">
        <w:rPr>
          <w:rFonts w:ascii="Times New Roman" w:hAnsi="Times New Roman" w:cs="Times New Roman"/>
          <w:b/>
          <w:bCs/>
        </w:rPr>
        <w:t>1.</w:t>
      </w:r>
      <w:r w:rsidR="00E367CD">
        <w:rPr>
          <w:rFonts w:ascii="Times New Roman" w:hAnsi="Times New Roman" w:cs="Times New Roman"/>
          <w:b/>
          <w:bCs/>
        </w:rPr>
        <w:t>0</w:t>
      </w:r>
      <w:r w:rsidRPr="002D541C">
        <w:rPr>
          <w:rFonts w:ascii="Times New Roman" w:hAnsi="Times New Roman" w:cs="Times New Roman"/>
          <w:b/>
          <w:bCs/>
        </w:rPr>
        <w:t xml:space="preserve"> Introduction</w:t>
      </w:r>
    </w:p>
    <w:p w14:paraId="5C8275E6"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Artisanal and small-scale mining (ASM) has emerged as a vital socio-economic activity in many developing countries, particularly in Sub-Saharan Africa, where it serves as a major source of income and employment for millions of rural populations (</w:t>
      </w:r>
      <w:proofErr w:type="spellStart"/>
      <w:r w:rsidRPr="002D541C">
        <w:rPr>
          <w:rFonts w:ascii="Times New Roman" w:hAnsi="Times New Roman" w:cs="Times New Roman"/>
        </w:rPr>
        <w:t>Hilson</w:t>
      </w:r>
      <w:proofErr w:type="spellEnd"/>
      <w:r w:rsidRPr="002D541C">
        <w:rPr>
          <w:rFonts w:ascii="Times New Roman" w:hAnsi="Times New Roman" w:cs="Times New Roman"/>
        </w:rPr>
        <w:t xml:space="preserve">, 2002; </w:t>
      </w:r>
      <w:proofErr w:type="spellStart"/>
      <w:r w:rsidRPr="002D541C">
        <w:rPr>
          <w:rFonts w:ascii="Times New Roman" w:hAnsi="Times New Roman" w:cs="Times New Roman"/>
        </w:rPr>
        <w:t>Bansah</w:t>
      </w:r>
      <w:proofErr w:type="spellEnd"/>
      <w:r w:rsidRPr="002D541C">
        <w:rPr>
          <w:rFonts w:ascii="Times New Roman" w:hAnsi="Times New Roman" w:cs="Times New Roman"/>
        </w:rPr>
        <w:t xml:space="preserve"> </w:t>
      </w:r>
      <w:r w:rsidRPr="002D541C">
        <w:rPr>
          <w:rFonts w:ascii="Times New Roman" w:hAnsi="Times New Roman" w:cs="Times New Roman"/>
          <w:i/>
          <w:iCs/>
        </w:rPr>
        <w:t>et al.,</w:t>
      </w:r>
      <w:r w:rsidRPr="002D541C">
        <w:rPr>
          <w:rFonts w:ascii="Times New Roman" w:hAnsi="Times New Roman" w:cs="Times New Roman"/>
        </w:rPr>
        <w:t xml:space="preserve"> 2016). In Nigeria, ASM plays a central role in the exploitation of gold, tin, columbite, and other mineral resources, especially within the mineral-rich Central Zone</w:t>
      </w:r>
      <w:r w:rsidR="00A67922">
        <w:rPr>
          <w:rFonts w:ascii="Times New Roman" w:hAnsi="Times New Roman" w:cs="Times New Roman"/>
        </w:rPr>
        <w:t xml:space="preserve"> of Taraba State</w:t>
      </w:r>
      <w:r w:rsidRPr="002D541C">
        <w:rPr>
          <w:rFonts w:ascii="Times New Roman" w:hAnsi="Times New Roman" w:cs="Times New Roman"/>
        </w:rPr>
        <w:t xml:space="preserve">. The sector is largely informal, often operating outside regulatory frameworks, which limits the enforcement of environmental standards and contributes to unsustainable resource extraction (Garvin </w:t>
      </w:r>
      <w:r w:rsidRPr="002D541C">
        <w:rPr>
          <w:rFonts w:ascii="Times New Roman" w:hAnsi="Times New Roman" w:cs="Times New Roman"/>
          <w:i/>
          <w:iCs/>
        </w:rPr>
        <w:t>et al.,</w:t>
      </w:r>
      <w:r w:rsidRPr="002D541C">
        <w:rPr>
          <w:rFonts w:ascii="Times New Roman" w:hAnsi="Times New Roman" w:cs="Times New Roman"/>
        </w:rPr>
        <w:t xml:space="preserve"> 2009; Yakubu, 2020).</w:t>
      </w:r>
    </w:p>
    <w:p w14:paraId="13F1F1CB"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 xml:space="preserve">Despite its contribution to poverty alleviation and rural livelihoods, ASM is widely recognized for its detrimental environmental impacts. These include deforestation, land degradation, soil erosion, water contamination, and the disruption of local ecosystems (Hilson &amp; Potter, 2003; Tschakert &amp; Singha, 2007). In </w:t>
      </w:r>
      <w:r>
        <w:rPr>
          <w:rFonts w:ascii="Times New Roman" w:hAnsi="Times New Roman" w:cs="Times New Roman"/>
        </w:rPr>
        <w:t xml:space="preserve">the </w:t>
      </w:r>
      <w:r w:rsidRPr="002D541C">
        <w:rPr>
          <w:rFonts w:ascii="Times New Roman" w:hAnsi="Times New Roman" w:cs="Times New Roman"/>
        </w:rPr>
        <w:t>Central Zone</w:t>
      </w:r>
      <w:r>
        <w:rPr>
          <w:rFonts w:ascii="Times New Roman" w:hAnsi="Times New Roman" w:cs="Times New Roman"/>
        </w:rPr>
        <w:t xml:space="preserve"> of Taraba, Nigeria</w:t>
      </w:r>
      <w:r w:rsidRPr="002D541C">
        <w:rPr>
          <w:rFonts w:ascii="Times New Roman" w:hAnsi="Times New Roman" w:cs="Times New Roman"/>
        </w:rPr>
        <w:t xml:space="preserve">, these impacts have intensified over the past three decades, driven by increased mineral demand, population growth, and lax environmental governance. Vegetation clearance, topsoil removal, and the creation of extensive bare surfaces are typical outcomes of ASM practices, transforming previously productive landscapes into degraded and ecologically fragile zones (Ibrahim </w:t>
      </w:r>
      <w:r w:rsidRPr="002D541C">
        <w:rPr>
          <w:rFonts w:ascii="Times New Roman" w:hAnsi="Times New Roman" w:cs="Times New Roman"/>
          <w:i/>
          <w:iCs/>
        </w:rPr>
        <w:t>et al.,</w:t>
      </w:r>
      <w:r w:rsidRPr="002D541C">
        <w:rPr>
          <w:rFonts w:ascii="Times New Roman" w:hAnsi="Times New Roman" w:cs="Times New Roman"/>
        </w:rPr>
        <w:t xml:space="preserve"> 2021).</w:t>
      </w:r>
    </w:p>
    <w:p w14:paraId="43D5A82D"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lastRenderedPageBreak/>
        <w:t>While several studies have documented the socio-economic dimensions of ASM (</w:t>
      </w:r>
      <w:proofErr w:type="spellStart"/>
      <w:r w:rsidRPr="002D541C">
        <w:rPr>
          <w:rFonts w:ascii="Times New Roman" w:hAnsi="Times New Roman" w:cs="Times New Roman"/>
        </w:rPr>
        <w:t>Mmom</w:t>
      </w:r>
      <w:proofErr w:type="spellEnd"/>
      <w:r w:rsidRPr="002D541C">
        <w:rPr>
          <w:rFonts w:ascii="Times New Roman" w:hAnsi="Times New Roman" w:cs="Times New Roman"/>
        </w:rPr>
        <w:t xml:space="preserve"> &amp; </w:t>
      </w:r>
      <w:proofErr w:type="spellStart"/>
      <w:r w:rsidRPr="002D541C">
        <w:rPr>
          <w:rFonts w:ascii="Times New Roman" w:hAnsi="Times New Roman" w:cs="Times New Roman"/>
        </w:rPr>
        <w:t>Arokoyu</w:t>
      </w:r>
      <w:proofErr w:type="spellEnd"/>
      <w:r w:rsidRPr="002D541C">
        <w:rPr>
          <w:rFonts w:ascii="Times New Roman" w:hAnsi="Times New Roman" w:cs="Times New Roman"/>
        </w:rPr>
        <w:t xml:space="preserve">, 2010; Ofosu </w:t>
      </w:r>
      <w:r w:rsidRPr="002D541C">
        <w:rPr>
          <w:rFonts w:ascii="Times New Roman" w:hAnsi="Times New Roman" w:cs="Times New Roman"/>
          <w:i/>
          <w:iCs/>
        </w:rPr>
        <w:t>et al.,</w:t>
      </w:r>
      <w:r w:rsidRPr="002D541C">
        <w:rPr>
          <w:rFonts w:ascii="Times New Roman" w:hAnsi="Times New Roman" w:cs="Times New Roman"/>
        </w:rPr>
        <w:t xml:space="preserve"> 2020), there remains a significant knowledge gap in the long-term spatial assessment of ASM’s environmental impact. Specifically, there is limited evidence on how ASM has altered land use and land cover (LULC) patterns in </w:t>
      </w:r>
      <w:r>
        <w:rPr>
          <w:rFonts w:ascii="Times New Roman" w:hAnsi="Times New Roman" w:cs="Times New Roman"/>
        </w:rPr>
        <w:t xml:space="preserve">the Central zone of Taraba State, </w:t>
      </w:r>
      <w:r w:rsidRPr="002D541C">
        <w:rPr>
          <w:rFonts w:ascii="Times New Roman" w:hAnsi="Times New Roman" w:cs="Times New Roman"/>
        </w:rPr>
        <w:t>Nigeria</w:t>
      </w:r>
      <w:r>
        <w:rPr>
          <w:rFonts w:ascii="Times New Roman" w:hAnsi="Times New Roman" w:cs="Times New Roman"/>
        </w:rPr>
        <w:t>,</w:t>
      </w:r>
      <w:r w:rsidRPr="002D541C">
        <w:rPr>
          <w:rFonts w:ascii="Times New Roman" w:hAnsi="Times New Roman" w:cs="Times New Roman"/>
        </w:rPr>
        <w:t xml:space="preserve"> using systematic, multi-decadal remote sensing data. Most existing environmental assessments are either qualitative or limited in temporal and spatial scale, making it difficult to inform sustainable land management policies.</w:t>
      </w:r>
      <w:r w:rsidR="00147CE9">
        <w:rPr>
          <w:rFonts w:ascii="Times New Roman" w:hAnsi="Times New Roman" w:cs="Times New Roman"/>
        </w:rPr>
        <w:t xml:space="preserve"> </w:t>
      </w:r>
      <w:r w:rsidRPr="002D541C">
        <w:rPr>
          <w:rFonts w:ascii="Times New Roman" w:hAnsi="Times New Roman" w:cs="Times New Roman"/>
        </w:rPr>
        <w:t>This study addresses this gap by conducting a 30-year spatiotemporal analysis (1994–2024) of LULC dynamics in Nigeria’s Central Zone, using satellite imagery, GIS tools, and field-based validation. The objective is to quantify the environmental impacts of ASM activities on key land cover categories—vegetation, bare surface, built-up areas, and water bodies. By establishing the relationship between ASM proliferation and landscape transformation, this research contributes to the evidence base for implementing environmentally responsible mining practices and guiding ecological restoration policies in resource-dependent regions.</w:t>
      </w:r>
    </w:p>
    <w:p w14:paraId="2AFBD445" w14:textId="2F62F851" w:rsidR="00D20359" w:rsidRDefault="003468F6" w:rsidP="003766CE">
      <w:pPr>
        <w:spacing w:after="0"/>
        <w:jc w:val="both"/>
        <w:rPr>
          <w:rFonts w:ascii="Times New Roman" w:hAnsi="Times New Roman" w:cs="Times New Roman"/>
          <w:b/>
          <w:bCs/>
        </w:rPr>
      </w:pPr>
      <w:r>
        <w:rPr>
          <w:rFonts w:ascii="Times New Roman" w:hAnsi="Times New Roman" w:cs="Times New Roman"/>
          <w:b/>
          <w:bCs/>
        </w:rPr>
        <w:t xml:space="preserve">2.0 </w:t>
      </w:r>
      <w:r w:rsidR="003766CE">
        <w:rPr>
          <w:rFonts w:ascii="Times New Roman" w:hAnsi="Times New Roman" w:cs="Times New Roman"/>
          <w:b/>
          <w:bCs/>
        </w:rPr>
        <w:t>Materials and Methods</w:t>
      </w:r>
    </w:p>
    <w:p w14:paraId="76A19F5C" w14:textId="4DBA7530" w:rsidR="00505845" w:rsidRPr="00D20359" w:rsidRDefault="003468F6" w:rsidP="003766CE">
      <w:pPr>
        <w:spacing w:after="0"/>
        <w:jc w:val="both"/>
        <w:rPr>
          <w:rFonts w:ascii="Times New Roman" w:hAnsi="Times New Roman" w:cs="Times New Roman"/>
          <w:b/>
          <w:bCs/>
        </w:rPr>
      </w:pPr>
      <w:r>
        <w:rPr>
          <w:rFonts w:ascii="Times New Roman" w:hAnsi="Times New Roman" w:cs="Times New Roman"/>
          <w:b/>
          <w:bCs/>
        </w:rPr>
        <w:t xml:space="preserve">2.1 </w:t>
      </w:r>
      <w:r w:rsidR="00505845" w:rsidRPr="00505845">
        <w:rPr>
          <w:rFonts w:ascii="Times New Roman" w:hAnsi="Times New Roman" w:cs="Times New Roman"/>
          <w:b/>
          <w:bCs/>
        </w:rPr>
        <w:t>Study Area</w:t>
      </w:r>
    </w:p>
    <w:p w14:paraId="316B8488" w14:textId="77777777" w:rsidR="00315BE3" w:rsidRPr="00315BE3" w:rsidRDefault="00315BE3" w:rsidP="003766CE">
      <w:pPr>
        <w:spacing w:after="0"/>
        <w:jc w:val="both"/>
        <w:rPr>
          <w:rFonts w:ascii="Times New Roman" w:hAnsi="Times New Roman" w:cs="Times New Roman"/>
        </w:rPr>
      </w:pPr>
      <w:r w:rsidRPr="00315BE3">
        <w:rPr>
          <w:rFonts w:ascii="Times New Roman" w:hAnsi="Times New Roman" w:cs="Times New Roman"/>
        </w:rPr>
        <w:t xml:space="preserve">The Central Zone of Taraba State, located in northeastern Nigeria, spans key Local Government Areas such as Bali, </w:t>
      </w:r>
      <w:proofErr w:type="spellStart"/>
      <w:r w:rsidRPr="00315BE3">
        <w:rPr>
          <w:rFonts w:ascii="Times New Roman" w:hAnsi="Times New Roman" w:cs="Times New Roman"/>
        </w:rPr>
        <w:t>Gassol</w:t>
      </w:r>
      <w:proofErr w:type="spellEnd"/>
      <w:r w:rsidRPr="00315BE3">
        <w:rPr>
          <w:rFonts w:ascii="Times New Roman" w:hAnsi="Times New Roman" w:cs="Times New Roman"/>
        </w:rPr>
        <w:t xml:space="preserve">, </w:t>
      </w:r>
      <w:proofErr w:type="spellStart"/>
      <w:r w:rsidRPr="00315BE3">
        <w:rPr>
          <w:rFonts w:ascii="Times New Roman" w:hAnsi="Times New Roman" w:cs="Times New Roman"/>
        </w:rPr>
        <w:t>Gashaka</w:t>
      </w:r>
      <w:proofErr w:type="spellEnd"/>
      <w:r w:rsidRPr="00315BE3">
        <w:rPr>
          <w:rFonts w:ascii="Times New Roman" w:hAnsi="Times New Roman" w:cs="Times New Roman"/>
        </w:rPr>
        <w:t xml:space="preserve">, </w:t>
      </w:r>
      <w:proofErr w:type="spellStart"/>
      <w:r w:rsidRPr="00315BE3">
        <w:rPr>
          <w:rFonts w:ascii="Times New Roman" w:hAnsi="Times New Roman" w:cs="Times New Roman"/>
        </w:rPr>
        <w:t>Kurmi</w:t>
      </w:r>
      <w:proofErr w:type="spellEnd"/>
      <w:r w:rsidRPr="00315BE3">
        <w:rPr>
          <w:rFonts w:ascii="Times New Roman" w:hAnsi="Times New Roman" w:cs="Times New Roman"/>
        </w:rPr>
        <w:t xml:space="preserve">, and Sardauna, positioned between latitudes 6°30'N to 8°00'N and longitudes 10°00'E to 11°30'E. The region features a diverse ecological landscape, encompassing Guinea savanna and montane forests, moderate to high relief, and major rivers like the Taraba River. It includes the </w:t>
      </w:r>
      <w:proofErr w:type="spellStart"/>
      <w:r w:rsidRPr="00315BE3">
        <w:rPr>
          <w:rFonts w:ascii="Times New Roman" w:hAnsi="Times New Roman" w:cs="Times New Roman"/>
        </w:rPr>
        <w:t>Mambilla</w:t>
      </w:r>
      <w:proofErr w:type="spellEnd"/>
      <w:r w:rsidRPr="00315BE3">
        <w:rPr>
          <w:rFonts w:ascii="Times New Roman" w:hAnsi="Times New Roman" w:cs="Times New Roman"/>
        </w:rPr>
        <w:t xml:space="preserve"> Plateau in the southeast and transitions into forested and riverine areas in the northwest, supporting a mix of agriculture, livestock grazing, and increasing artisanal and small-scale mining (ASM) activities.</w:t>
      </w:r>
      <w:r w:rsidR="00147CE9">
        <w:rPr>
          <w:rFonts w:ascii="Times New Roman" w:hAnsi="Times New Roman" w:cs="Times New Roman"/>
        </w:rPr>
        <w:t xml:space="preserve"> </w:t>
      </w:r>
      <w:r w:rsidRPr="00315BE3">
        <w:rPr>
          <w:rFonts w:ascii="Times New Roman" w:hAnsi="Times New Roman" w:cs="Times New Roman"/>
        </w:rPr>
        <w:t xml:space="preserve">Rich in gold, columbite, tantalite, and alluvial deposits, the Central Zone has seen a surge in informal mining since the early 1990s, particularly in farmlands, protected forests, and along </w:t>
      </w:r>
      <w:proofErr w:type="spellStart"/>
      <w:proofErr w:type="gramStart"/>
      <w:r w:rsidRPr="00315BE3">
        <w:rPr>
          <w:rFonts w:ascii="Times New Roman" w:hAnsi="Times New Roman" w:cs="Times New Roman"/>
        </w:rPr>
        <w:t>riverbanks.The</w:t>
      </w:r>
      <w:proofErr w:type="spellEnd"/>
      <w:proofErr w:type="gramEnd"/>
      <w:r w:rsidRPr="00315BE3">
        <w:rPr>
          <w:rFonts w:ascii="Times New Roman" w:hAnsi="Times New Roman" w:cs="Times New Roman"/>
        </w:rPr>
        <w:t xml:space="preserve"> region experiences a tropical climate with wet (April–October) and dry (November–March) seasons, annual rainfall between 1,200 mm and 1,800 mm, and temperatures ranging from 21°C to 32°C.</w:t>
      </w:r>
    </w:p>
    <w:p w14:paraId="04C835D8" w14:textId="77777777" w:rsidR="00505845" w:rsidRPr="00505845" w:rsidRDefault="00505845" w:rsidP="003766CE">
      <w:pPr>
        <w:spacing w:after="0"/>
        <w:jc w:val="both"/>
        <w:rPr>
          <w:rFonts w:ascii="Times New Roman" w:hAnsi="Times New Roman" w:cs="Times New Roman"/>
        </w:rPr>
      </w:pPr>
      <w:r>
        <w:rPr>
          <w:noProof/>
        </w:rPr>
        <w:lastRenderedPageBreak/>
        <w:drawing>
          <wp:inline distT="0" distB="0" distL="0" distR="0" wp14:anchorId="1D17E037" wp14:editId="380165D6">
            <wp:extent cx="5731510" cy="6727190"/>
            <wp:effectExtent l="0" t="0" r="2540" b="0"/>
            <wp:docPr id="2426396" name="Picture 1" descr="Map of Taraba State showing Local Gover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Taraba State showing Local Government Are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6727190"/>
                    </a:xfrm>
                    <a:prstGeom prst="rect">
                      <a:avLst/>
                    </a:prstGeom>
                    <a:noFill/>
                    <a:ln>
                      <a:noFill/>
                    </a:ln>
                  </pic:spPr>
                </pic:pic>
              </a:graphicData>
            </a:graphic>
          </wp:inline>
        </w:drawing>
      </w:r>
    </w:p>
    <w:p w14:paraId="0FC64A2E" w14:textId="33A237B2" w:rsidR="002D541C" w:rsidRPr="002D541C" w:rsidRDefault="006F310F" w:rsidP="003766CE">
      <w:pPr>
        <w:spacing w:after="0"/>
        <w:jc w:val="both"/>
        <w:rPr>
          <w:rFonts w:ascii="Times New Roman" w:hAnsi="Times New Roman" w:cs="Times New Roman"/>
        </w:rPr>
      </w:pPr>
      <w:r>
        <w:rPr>
          <w:rFonts w:ascii="Times New Roman" w:hAnsi="Times New Roman" w:cs="Times New Roman"/>
        </w:rPr>
        <w:t xml:space="preserve">Fig .1 </w:t>
      </w:r>
      <w:r w:rsidR="001F3666">
        <w:rPr>
          <w:rFonts w:ascii="Times New Roman" w:hAnsi="Times New Roman" w:cs="Times New Roman"/>
        </w:rPr>
        <w:t>Map showing study location</w:t>
      </w:r>
    </w:p>
    <w:p w14:paraId="5A27F1AC" w14:textId="7F37F91D" w:rsidR="002D541C" w:rsidRPr="003766CE" w:rsidRDefault="003468F6" w:rsidP="003766CE">
      <w:pPr>
        <w:spacing w:after="0"/>
        <w:jc w:val="both"/>
        <w:rPr>
          <w:rFonts w:ascii="Times New Roman" w:hAnsi="Times New Roman" w:cs="Times New Roman"/>
          <w:b/>
          <w:bCs/>
        </w:rPr>
      </w:pPr>
      <w:r>
        <w:rPr>
          <w:rFonts w:ascii="Times New Roman" w:hAnsi="Times New Roman" w:cs="Times New Roman"/>
          <w:b/>
          <w:bCs/>
        </w:rPr>
        <w:t>2.2</w:t>
      </w:r>
      <w:r w:rsidR="002D541C" w:rsidRPr="003766CE">
        <w:rPr>
          <w:rFonts w:ascii="Times New Roman" w:hAnsi="Times New Roman" w:cs="Times New Roman"/>
          <w:b/>
          <w:bCs/>
        </w:rPr>
        <w:t xml:space="preserve"> Data Sources</w:t>
      </w:r>
    </w:p>
    <w:p w14:paraId="4C5AF618" w14:textId="2BABC756" w:rsidR="00147CE9" w:rsidRPr="003766CE" w:rsidRDefault="002D541C" w:rsidP="003766CE">
      <w:pPr>
        <w:spacing w:after="0"/>
        <w:jc w:val="both"/>
        <w:rPr>
          <w:rFonts w:ascii="Times New Roman" w:hAnsi="Times New Roman" w:cs="Times New Roman"/>
        </w:rPr>
      </w:pPr>
      <w:r w:rsidRPr="002D541C">
        <w:rPr>
          <w:rFonts w:ascii="Times New Roman" w:hAnsi="Times New Roman" w:cs="Times New Roman"/>
        </w:rPr>
        <w:t>LULC data were derived from Landsat satellite imagery for 1994, 2004, 2014, and 2024. Ground truthing was conducted through fieldwork in 2025. Standard supervised classification techniques were employed using ENVI and ArcGIS software. LULC was categorized into four classes: Bare Surface, Built-up Area, Vegetation, and Waterbody.</w:t>
      </w:r>
    </w:p>
    <w:p w14:paraId="589FE2FD" w14:textId="444BEE1A" w:rsidR="00D46615" w:rsidRPr="00D46615" w:rsidRDefault="003468F6" w:rsidP="003766CE">
      <w:pPr>
        <w:spacing w:after="0"/>
        <w:jc w:val="both"/>
        <w:rPr>
          <w:rFonts w:ascii="Times New Roman" w:hAnsi="Times New Roman" w:cs="Times New Roman"/>
          <w:b/>
          <w:bCs/>
        </w:rPr>
      </w:pPr>
      <w:r>
        <w:rPr>
          <w:rFonts w:ascii="Times New Roman" w:hAnsi="Times New Roman" w:cs="Times New Roman"/>
          <w:b/>
          <w:bCs/>
        </w:rPr>
        <w:t>2.</w:t>
      </w:r>
      <w:r w:rsidR="00D46615">
        <w:rPr>
          <w:rFonts w:ascii="Times New Roman" w:hAnsi="Times New Roman" w:cs="Times New Roman"/>
          <w:b/>
          <w:bCs/>
        </w:rPr>
        <w:t>3</w:t>
      </w:r>
      <w:r w:rsidR="00D46615" w:rsidRPr="00D46615">
        <w:rPr>
          <w:rFonts w:ascii="Times New Roman" w:hAnsi="Times New Roman" w:cs="Times New Roman"/>
          <w:b/>
          <w:bCs/>
        </w:rPr>
        <w:t xml:space="preserve"> Data Analysis</w:t>
      </w:r>
    </w:p>
    <w:p w14:paraId="08D3EFD0" w14:textId="77777777" w:rsidR="00D46615" w:rsidRPr="00D46615" w:rsidRDefault="00D46615" w:rsidP="003766CE">
      <w:pPr>
        <w:spacing w:after="0"/>
        <w:jc w:val="both"/>
        <w:rPr>
          <w:rFonts w:ascii="Times New Roman" w:hAnsi="Times New Roman" w:cs="Times New Roman"/>
        </w:rPr>
      </w:pPr>
      <w:r w:rsidRPr="00D46615">
        <w:rPr>
          <w:rFonts w:ascii="Times New Roman" w:hAnsi="Times New Roman" w:cs="Times New Roman"/>
        </w:rPr>
        <w:t xml:space="preserve">The data analysis in this study employed a combination of remote sensing techniques, geographic information system (GIS) tools, and statistical methods to assess land use and land </w:t>
      </w:r>
      <w:r w:rsidRPr="00D46615">
        <w:rPr>
          <w:rFonts w:ascii="Times New Roman" w:hAnsi="Times New Roman" w:cs="Times New Roman"/>
        </w:rPr>
        <w:lastRenderedPageBreak/>
        <w:t>cover changes (LULC) and the spatial expansion of artisanal and small-scale mining (ASM) activities from 1994 to 2024.</w:t>
      </w:r>
    </w:p>
    <w:p w14:paraId="45A3A141" w14:textId="76AC9C91" w:rsidR="00D46615" w:rsidRPr="00147CE9" w:rsidRDefault="003468F6" w:rsidP="003766CE">
      <w:pPr>
        <w:spacing w:after="0"/>
        <w:jc w:val="both"/>
        <w:rPr>
          <w:rFonts w:ascii="Times New Roman" w:hAnsi="Times New Roman" w:cs="Times New Roman"/>
          <w:b/>
          <w:bCs/>
        </w:rPr>
      </w:pPr>
      <w:r>
        <w:rPr>
          <w:rFonts w:ascii="Times New Roman" w:hAnsi="Times New Roman" w:cs="Times New Roman"/>
          <w:b/>
          <w:bCs/>
        </w:rPr>
        <w:t>2.</w:t>
      </w:r>
      <w:r w:rsidR="00D46615" w:rsidRPr="00147CE9">
        <w:rPr>
          <w:rFonts w:ascii="Times New Roman" w:hAnsi="Times New Roman" w:cs="Times New Roman"/>
          <w:b/>
          <w:bCs/>
        </w:rPr>
        <w:t>3.1 Preprocessing of Satellite Data</w:t>
      </w:r>
    </w:p>
    <w:p w14:paraId="316E1846" w14:textId="77777777" w:rsidR="00D46615" w:rsidRPr="00D46615" w:rsidRDefault="00D46615" w:rsidP="003766CE">
      <w:pPr>
        <w:spacing w:after="0"/>
        <w:jc w:val="both"/>
        <w:rPr>
          <w:rFonts w:ascii="Times New Roman" w:hAnsi="Times New Roman" w:cs="Times New Roman"/>
        </w:rPr>
      </w:pPr>
      <w:r w:rsidRPr="00D46615">
        <w:rPr>
          <w:rFonts w:ascii="Times New Roman" w:hAnsi="Times New Roman" w:cs="Times New Roman"/>
        </w:rPr>
        <w:t>Satellite imagery from Landsat 5 TM (1994), Landsat 7 ETM+ (2004), Landsat 8 OLI/TIRS (2014), and Landsat 9 (2024) was downloaded from the United States Geological Survey (USGS) Earth Explorer. The images were subjected to the following preprocessing steps:</w:t>
      </w:r>
    </w:p>
    <w:p w14:paraId="67A61137" w14:textId="50DA72DD" w:rsidR="00D46615" w:rsidRPr="00147CE9" w:rsidRDefault="003468F6" w:rsidP="003766CE">
      <w:pPr>
        <w:spacing w:after="0"/>
        <w:jc w:val="both"/>
        <w:rPr>
          <w:rFonts w:ascii="Times New Roman" w:hAnsi="Times New Roman" w:cs="Times New Roman"/>
          <w:b/>
          <w:bCs/>
        </w:rPr>
      </w:pPr>
      <w:r>
        <w:rPr>
          <w:rFonts w:ascii="Times New Roman" w:hAnsi="Times New Roman" w:cs="Times New Roman"/>
          <w:b/>
          <w:bCs/>
        </w:rPr>
        <w:t>2.</w:t>
      </w:r>
      <w:r w:rsidR="00D46615" w:rsidRPr="00147CE9">
        <w:rPr>
          <w:rFonts w:ascii="Times New Roman" w:hAnsi="Times New Roman" w:cs="Times New Roman"/>
          <w:b/>
          <w:bCs/>
        </w:rPr>
        <w:t>3.2 Land Use and Land Cover (LULC) Classification</w:t>
      </w:r>
    </w:p>
    <w:p w14:paraId="68EF5860" w14:textId="77777777" w:rsidR="00147CE9" w:rsidRDefault="00D46615" w:rsidP="003766CE">
      <w:pPr>
        <w:spacing w:after="0"/>
        <w:jc w:val="both"/>
        <w:rPr>
          <w:rFonts w:ascii="Times New Roman" w:hAnsi="Times New Roman" w:cs="Times New Roman"/>
        </w:rPr>
      </w:pPr>
      <w:r w:rsidRPr="00D46615">
        <w:rPr>
          <w:rFonts w:ascii="Times New Roman" w:hAnsi="Times New Roman" w:cs="Times New Roman"/>
        </w:rPr>
        <w:t>The corrected images were classified into five major land cover categories using supervised classification with the Maximum Likelihood Algorithm:</w:t>
      </w:r>
      <w:r w:rsidR="00147CE9">
        <w:rPr>
          <w:rFonts w:ascii="Times New Roman" w:hAnsi="Times New Roman" w:cs="Times New Roman"/>
        </w:rPr>
        <w:t xml:space="preserve"> </w:t>
      </w:r>
    </w:p>
    <w:p w14:paraId="411E3C35" w14:textId="77777777" w:rsidR="00D46615" w:rsidRPr="00D46615" w:rsidRDefault="00D46615" w:rsidP="003766CE">
      <w:pPr>
        <w:spacing w:after="0"/>
        <w:jc w:val="both"/>
        <w:rPr>
          <w:rFonts w:ascii="Times New Roman" w:hAnsi="Times New Roman" w:cs="Times New Roman"/>
        </w:rPr>
      </w:pPr>
      <w:r w:rsidRPr="00D46615">
        <w:rPr>
          <w:rFonts w:ascii="Times New Roman" w:hAnsi="Times New Roman" w:cs="Times New Roman"/>
        </w:rPr>
        <w:t>Forest, Agricultural Land, Built-up Area, Bare Surface, and Water Bodies</w:t>
      </w:r>
    </w:p>
    <w:p w14:paraId="3FF89538" w14:textId="5808B26A" w:rsidR="00D46615" w:rsidRPr="00D46615" w:rsidRDefault="003468F6" w:rsidP="003766CE">
      <w:pPr>
        <w:spacing w:after="0"/>
        <w:jc w:val="both"/>
        <w:rPr>
          <w:rFonts w:ascii="Times New Roman" w:hAnsi="Times New Roman" w:cs="Times New Roman"/>
          <w:b/>
          <w:bCs/>
        </w:rPr>
      </w:pPr>
      <w:r>
        <w:rPr>
          <w:rFonts w:ascii="Times New Roman" w:hAnsi="Times New Roman" w:cs="Times New Roman"/>
          <w:b/>
          <w:bCs/>
        </w:rPr>
        <w:t>2.</w:t>
      </w:r>
      <w:r w:rsidR="00D46615">
        <w:rPr>
          <w:rFonts w:ascii="Times New Roman" w:hAnsi="Times New Roman" w:cs="Times New Roman"/>
          <w:b/>
          <w:bCs/>
        </w:rPr>
        <w:t>3.</w:t>
      </w:r>
      <w:r>
        <w:rPr>
          <w:rFonts w:ascii="Times New Roman" w:hAnsi="Times New Roman" w:cs="Times New Roman"/>
          <w:b/>
          <w:bCs/>
        </w:rPr>
        <w:t>3</w:t>
      </w:r>
      <w:r w:rsidR="00D46615" w:rsidRPr="00D46615">
        <w:rPr>
          <w:rFonts w:ascii="Times New Roman" w:hAnsi="Times New Roman" w:cs="Times New Roman"/>
          <w:b/>
          <w:bCs/>
        </w:rPr>
        <w:t xml:space="preserve"> Change Detection Analysis</w:t>
      </w:r>
    </w:p>
    <w:p w14:paraId="3E8168A0" w14:textId="77777777" w:rsidR="00D46615" w:rsidRPr="00D46615" w:rsidRDefault="00147CE9" w:rsidP="003766CE">
      <w:pPr>
        <w:spacing w:after="0"/>
        <w:jc w:val="both"/>
        <w:rPr>
          <w:rFonts w:ascii="Times New Roman" w:hAnsi="Times New Roman" w:cs="Times New Roman"/>
        </w:rPr>
      </w:pPr>
      <w:r>
        <w:rPr>
          <w:rFonts w:ascii="Times New Roman" w:hAnsi="Times New Roman" w:cs="Times New Roman"/>
        </w:rPr>
        <w:t>P</w:t>
      </w:r>
      <w:r w:rsidR="00D46615">
        <w:rPr>
          <w:rFonts w:ascii="Times New Roman" w:hAnsi="Times New Roman" w:cs="Times New Roman"/>
        </w:rPr>
        <w:t>ost-classification comparison was conducted to detect changes between the classified images of 1994, 2004, 2014, and 2024. The area, measured in hectares, for each class was computed for each year, and the magnitude, percentage, and rate of change were calculated as:</w:t>
      </w:r>
    </w:p>
    <w:p w14:paraId="4905D46A" w14:textId="77777777" w:rsidR="003468F6" w:rsidRDefault="00B53732" w:rsidP="003766CE">
      <w:pPr>
        <w:spacing w:after="0"/>
        <w:jc w:val="both"/>
        <w:rPr>
          <w:rFonts w:ascii="Times New Roman" w:hAnsi="Times New Roman" w:cs="Times New Roman"/>
          <w:b/>
          <w:bCs/>
        </w:rPr>
      </w:pPr>
      <w:r>
        <w:rPr>
          <w:noProof/>
        </w:rPr>
        <w:drawing>
          <wp:inline distT="0" distB="0" distL="0" distR="0" wp14:anchorId="28ACA400" wp14:editId="021C6500">
            <wp:extent cx="5731510" cy="2205355"/>
            <wp:effectExtent l="0" t="0" r="2540" b="4445"/>
            <wp:docPr id="1359967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205355"/>
                    </a:xfrm>
                    <a:prstGeom prst="rect">
                      <a:avLst/>
                    </a:prstGeom>
                    <a:noFill/>
                    <a:ln>
                      <a:noFill/>
                    </a:ln>
                  </pic:spPr>
                </pic:pic>
              </a:graphicData>
            </a:graphic>
          </wp:inline>
        </w:drawing>
      </w:r>
    </w:p>
    <w:p w14:paraId="09AC0F70" w14:textId="5E4F8117" w:rsidR="003468F6" w:rsidRDefault="003468F6" w:rsidP="003766CE">
      <w:pPr>
        <w:spacing w:after="0"/>
        <w:jc w:val="both"/>
        <w:rPr>
          <w:rFonts w:ascii="Times New Roman" w:hAnsi="Times New Roman" w:cs="Times New Roman"/>
          <w:b/>
          <w:bCs/>
        </w:rPr>
      </w:pPr>
      <w:r>
        <w:rPr>
          <w:rFonts w:ascii="Times New Roman" w:hAnsi="Times New Roman" w:cs="Times New Roman"/>
          <w:b/>
          <w:bCs/>
        </w:rPr>
        <w:t xml:space="preserve">Figure 2: </w:t>
      </w:r>
      <w:r w:rsidRPr="00147CE9">
        <w:rPr>
          <w:rFonts w:ascii="Times New Roman" w:hAnsi="Times New Roman" w:cs="Times New Roman"/>
          <w:b/>
          <w:bCs/>
        </w:rPr>
        <w:t>Formula for Land Cover Change Analysis</w:t>
      </w:r>
    </w:p>
    <w:p w14:paraId="685D4911" w14:textId="2987F0B0" w:rsidR="00D46615" w:rsidRPr="00D46615" w:rsidRDefault="003468F6" w:rsidP="003766CE">
      <w:pPr>
        <w:spacing w:after="0"/>
        <w:jc w:val="both"/>
        <w:rPr>
          <w:rFonts w:ascii="Times New Roman" w:hAnsi="Times New Roman" w:cs="Times New Roman"/>
          <w:b/>
          <w:bCs/>
        </w:rPr>
      </w:pPr>
      <w:r>
        <w:rPr>
          <w:rFonts w:ascii="Times New Roman" w:hAnsi="Times New Roman" w:cs="Times New Roman"/>
          <w:b/>
          <w:bCs/>
        </w:rPr>
        <w:t>2</w:t>
      </w:r>
      <w:r w:rsidR="00D46615">
        <w:rPr>
          <w:rFonts w:ascii="Times New Roman" w:hAnsi="Times New Roman" w:cs="Times New Roman"/>
          <w:b/>
          <w:bCs/>
        </w:rPr>
        <w:t>.</w:t>
      </w:r>
      <w:r>
        <w:rPr>
          <w:rFonts w:ascii="Times New Roman" w:hAnsi="Times New Roman" w:cs="Times New Roman"/>
          <w:b/>
          <w:bCs/>
        </w:rPr>
        <w:t>4</w:t>
      </w:r>
      <w:r w:rsidR="00D46615" w:rsidRPr="00D46615">
        <w:rPr>
          <w:rFonts w:ascii="Times New Roman" w:hAnsi="Times New Roman" w:cs="Times New Roman"/>
          <w:b/>
          <w:bCs/>
        </w:rPr>
        <w:t xml:space="preserve"> Mapping and Analysis of ASM Sites</w:t>
      </w:r>
    </w:p>
    <w:p w14:paraId="5DC8ED90" w14:textId="77777777" w:rsidR="00D46615" w:rsidRPr="00D46615" w:rsidRDefault="00D46615" w:rsidP="003766CE">
      <w:pPr>
        <w:spacing w:after="0"/>
        <w:jc w:val="both"/>
        <w:rPr>
          <w:rFonts w:ascii="Times New Roman" w:hAnsi="Times New Roman" w:cs="Times New Roman"/>
        </w:rPr>
      </w:pPr>
      <w:r w:rsidRPr="00D46615">
        <w:rPr>
          <w:rFonts w:ascii="Times New Roman" w:hAnsi="Times New Roman" w:cs="Times New Roman"/>
        </w:rPr>
        <w:t>Field data collected using GPS coordinates and interviews were used to identify active ASM sites. These were digitized and overlaid on LULC maps using ArcGIS 10.x and QGIS. Spatial overlays allowed for the identification of land cover classes most affected by ASM activities.</w:t>
      </w:r>
    </w:p>
    <w:p w14:paraId="004E85BB" w14:textId="77777777" w:rsidR="00D46615" w:rsidRPr="00D46615" w:rsidRDefault="00D46615" w:rsidP="003766CE">
      <w:pPr>
        <w:spacing w:after="0"/>
        <w:jc w:val="both"/>
        <w:rPr>
          <w:rFonts w:ascii="Times New Roman" w:hAnsi="Times New Roman" w:cs="Times New Roman"/>
        </w:rPr>
      </w:pPr>
      <w:r w:rsidRPr="00D46615">
        <w:rPr>
          <w:rFonts w:ascii="Times New Roman" w:hAnsi="Times New Roman" w:cs="Times New Roman"/>
        </w:rPr>
        <w:t>Buffer analysis (100m, 200m, and 500m) around mining sites was used to quantify environmental impacts on adjacent land use types.</w:t>
      </w:r>
    </w:p>
    <w:p w14:paraId="6A0D0BC3" w14:textId="55A34484" w:rsidR="00D46615" w:rsidRPr="00D46615" w:rsidRDefault="003468F6" w:rsidP="003766CE">
      <w:pPr>
        <w:spacing w:after="0"/>
        <w:jc w:val="both"/>
        <w:rPr>
          <w:rFonts w:ascii="Times New Roman" w:hAnsi="Times New Roman" w:cs="Times New Roman"/>
          <w:b/>
          <w:bCs/>
        </w:rPr>
      </w:pPr>
      <w:r>
        <w:rPr>
          <w:rFonts w:ascii="Times New Roman" w:hAnsi="Times New Roman" w:cs="Times New Roman"/>
          <w:b/>
          <w:bCs/>
        </w:rPr>
        <w:t>2</w:t>
      </w:r>
      <w:r w:rsidR="00D46615">
        <w:rPr>
          <w:rFonts w:ascii="Times New Roman" w:hAnsi="Times New Roman" w:cs="Times New Roman"/>
          <w:b/>
          <w:bCs/>
        </w:rPr>
        <w:t>.5</w:t>
      </w:r>
      <w:r w:rsidR="00D46615" w:rsidRPr="00D46615">
        <w:rPr>
          <w:rFonts w:ascii="Times New Roman" w:hAnsi="Times New Roman" w:cs="Times New Roman"/>
          <w:b/>
          <w:bCs/>
        </w:rPr>
        <w:t xml:space="preserve"> Integration of Socioeconomic Data</w:t>
      </w:r>
    </w:p>
    <w:p w14:paraId="118938F2" w14:textId="77777777" w:rsidR="00D46615" w:rsidRPr="00D46615" w:rsidRDefault="00D46615" w:rsidP="003766CE">
      <w:pPr>
        <w:spacing w:after="0"/>
        <w:jc w:val="both"/>
        <w:rPr>
          <w:rFonts w:ascii="Times New Roman" w:hAnsi="Times New Roman" w:cs="Times New Roman"/>
        </w:rPr>
      </w:pPr>
      <w:r w:rsidRPr="00D46615">
        <w:rPr>
          <w:rFonts w:ascii="Times New Roman" w:hAnsi="Times New Roman" w:cs="Times New Roman"/>
        </w:rPr>
        <w:t>Structured interviews and focus group discussions (FGDs) were conducted with local residents, miners, and community leaders to complement remote sensing findings. The qualitative data were analyzed using thematic coding to identify common environmental and socio-economic concerns linked to ASM.</w:t>
      </w:r>
    </w:p>
    <w:p w14:paraId="73885B42" w14:textId="7503DA4F" w:rsidR="003468F6" w:rsidRPr="00D46615" w:rsidRDefault="003468F6" w:rsidP="003468F6">
      <w:pPr>
        <w:spacing w:after="0"/>
        <w:jc w:val="both"/>
        <w:rPr>
          <w:rFonts w:ascii="Times New Roman" w:hAnsi="Times New Roman" w:cs="Times New Roman"/>
          <w:b/>
          <w:bCs/>
        </w:rPr>
      </w:pPr>
      <w:r>
        <w:rPr>
          <w:rFonts w:ascii="Times New Roman" w:hAnsi="Times New Roman" w:cs="Times New Roman"/>
          <w:b/>
          <w:bCs/>
        </w:rPr>
        <w:t>2.6</w:t>
      </w:r>
      <w:r w:rsidRPr="00D46615">
        <w:rPr>
          <w:rFonts w:ascii="Times New Roman" w:hAnsi="Times New Roman" w:cs="Times New Roman"/>
          <w:b/>
          <w:bCs/>
        </w:rPr>
        <w:t xml:space="preserve"> Statistical Analysis</w:t>
      </w:r>
    </w:p>
    <w:p w14:paraId="45F43F3D" w14:textId="389D2677" w:rsidR="003468F6" w:rsidRPr="00D46615" w:rsidRDefault="003468F6" w:rsidP="003468F6">
      <w:pPr>
        <w:spacing w:after="0"/>
        <w:jc w:val="both"/>
        <w:rPr>
          <w:rFonts w:ascii="Times New Roman" w:hAnsi="Times New Roman" w:cs="Times New Roman"/>
        </w:rPr>
      </w:pPr>
      <w:r w:rsidRPr="00D46615">
        <w:rPr>
          <w:rFonts w:ascii="Times New Roman" w:hAnsi="Times New Roman" w:cs="Times New Roman"/>
        </w:rPr>
        <w:t>Descriptive statistics were computed to summarize changes in LULC categories.</w:t>
      </w:r>
      <w:r>
        <w:rPr>
          <w:rFonts w:ascii="Times New Roman" w:hAnsi="Times New Roman" w:cs="Times New Roman"/>
        </w:rPr>
        <w:t xml:space="preserve"> </w:t>
      </w:r>
      <w:r w:rsidRPr="00D46615">
        <w:rPr>
          <w:rFonts w:ascii="Times New Roman" w:hAnsi="Times New Roman" w:cs="Times New Roman"/>
        </w:rPr>
        <w:t>Pearson correlation analysis was applied to determine the relationship between the expansion of mining areas and the loss of forest or farmland.</w:t>
      </w:r>
      <w:r>
        <w:rPr>
          <w:rFonts w:ascii="Times New Roman" w:hAnsi="Times New Roman" w:cs="Times New Roman"/>
        </w:rPr>
        <w:t xml:space="preserve"> </w:t>
      </w:r>
      <w:r w:rsidRPr="00D46615">
        <w:rPr>
          <w:rFonts w:ascii="Times New Roman" w:hAnsi="Times New Roman" w:cs="Times New Roman"/>
        </w:rPr>
        <w:t>ANOVA tests were used to evaluate the statistical significance of LULC changes over the study period.</w:t>
      </w:r>
    </w:p>
    <w:p w14:paraId="585A4E1D" w14:textId="77777777" w:rsidR="00D46615" w:rsidRPr="002D541C" w:rsidRDefault="00D46615" w:rsidP="003766CE">
      <w:pPr>
        <w:spacing w:after="0"/>
        <w:jc w:val="both"/>
        <w:rPr>
          <w:rFonts w:ascii="Times New Roman" w:hAnsi="Times New Roman" w:cs="Times New Roman"/>
        </w:rPr>
      </w:pPr>
    </w:p>
    <w:p w14:paraId="1B73A333" w14:textId="77777777" w:rsidR="002D541C" w:rsidRPr="002D541C" w:rsidRDefault="002D541C" w:rsidP="003766CE">
      <w:pPr>
        <w:spacing w:after="0"/>
        <w:jc w:val="both"/>
        <w:rPr>
          <w:rFonts w:ascii="Times New Roman" w:hAnsi="Times New Roman" w:cs="Times New Roman"/>
        </w:rPr>
      </w:pPr>
    </w:p>
    <w:p w14:paraId="3E48AE40" w14:textId="74F8E6ED" w:rsidR="002D541C" w:rsidRPr="00D46615" w:rsidRDefault="003468F6" w:rsidP="003766CE">
      <w:pPr>
        <w:spacing w:after="0"/>
        <w:jc w:val="both"/>
        <w:rPr>
          <w:rFonts w:ascii="Times New Roman" w:hAnsi="Times New Roman" w:cs="Times New Roman"/>
          <w:b/>
          <w:bCs/>
        </w:rPr>
      </w:pPr>
      <w:r>
        <w:rPr>
          <w:rFonts w:ascii="Times New Roman" w:hAnsi="Times New Roman" w:cs="Times New Roman"/>
          <w:b/>
          <w:bCs/>
        </w:rPr>
        <w:t>3</w:t>
      </w:r>
      <w:r w:rsidR="002D541C" w:rsidRPr="00D46615">
        <w:rPr>
          <w:rFonts w:ascii="Times New Roman" w:hAnsi="Times New Roman" w:cs="Times New Roman"/>
          <w:b/>
          <w:bCs/>
        </w:rPr>
        <w:t>.</w:t>
      </w:r>
      <w:r w:rsidR="00D46615" w:rsidRPr="00D46615">
        <w:rPr>
          <w:rFonts w:ascii="Times New Roman" w:hAnsi="Times New Roman" w:cs="Times New Roman"/>
          <w:b/>
          <w:bCs/>
        </w:rPr>
        <w:t>0</w:t>
      </w:r>
      <w:r w:rsidR="002D541C" w:rsidRPr="00D46615">
        <w:rPr>
          <w:rFonts w:ascii="Times New Roman" w:hAnsi="Times New Roman" w:cs="Times New Roman"/>
          <w:b/>
          <w:bCs/>
        </w:rPr>
        <w:t xml:space="preserve"> Results</w:t>
      </w:r>
      <w:r w:rsidR="00D46615" w:rsidRPr="00D46615">
        <w:rPr>
          <w:rFonts w:ascii="Times New Roman" w:hAnsi="Times New Roman" w:cs="Times New Roman"/>
          <w:b/>
          <w:bCs/>
        </w:rPr>
        <w:t xml:space="preserve"> and Discussion</w:t>
      </w:r>
    </w:p>
    <w:p w14:paraId="0551951C" w14:textId="5F632A22" w:rsidR="00917A87" w:rsidRPr="00917A87" w:rsidRDefault="003468F6" w:rsidP="003766CE">
      <w:pPr>
        <w:spacing w:after="0"/>
        <w:jc w:val="both"/>
        <w:rPr>
          <w:rFonts w:ascii="Times New Roman" w:hAnsi="Times New Roman" w:cs="Times New Roman"/>
          <w:b/>
          <w:bCs/>
        </w:rPr>
      </w:pPr>
      <w:r>
        <w:rPr>
          <w:rFonts w:ascii="Times New Roman" w:hAnsi="Times New Roman" w:cs="Times New Roman"/>
          <w:b/>
          <w:bCs/>
        </w:rPr>
        <w:t>3</w:t>
      </w:r>
      <w:r w:rsidR="002D541C" w:rsidRPr="00917A87">
        <w:rPr>
          <w:rFonts w:ascii="Times New Roman" w:hAnsi="Times New Roman" w:cs="Times New Roman"/>
          <w:b/>
          <w:bCs/>
        </w:rPr>
        <w:t xml:space="preserve">.1 </w:t>
      </w:r>
      <w:r w:rsidR="00917A87" w:rsidRPr="00917A87">
        <w:rPr>
          <w:rFonts w:ascii="Times New Roman" w:hAnsi="Times New Roman" w:cs="Times New Roman"/>
          <w:b/>
          <w:bCs/>
        </w:rPr>
        <w:t>Results</w:t>
      </w:r>
    </w:p>
    <w:p w14:paraId="0672732D" w14:textId="77777777" w:rsidR="002D541C" w:rsidRPr="003766CE" w:rsidRDefault="002D541C" w:rsidP="003468F6">
      <w:pPr>
        <w:pBdr>
          <w:bottom w:val="single" w:sz="4" w:space="1" w:color="auto"/>
        </w:pBdr>
        <w:spacing w:after="0"/>
        <w:jc w:val="both"/>
        <w:rPr>
          <w:rFonts w:ascii="Times New Roman" w:hAnsi="Times New Roman" w:cs="Times New Roman"/>
          <w:b/>
          <w:bCs/>
        </w:rPr>
      </w:pPr>
      <w:r w:rsidRPr="003766CE">
        <w:rPr>
          <w:rFonts w:ascii="Times New Roman" w:hAnsi="Times New Roman" w:cs="Times New Roman"/>
          <w:b/>
          <w:bCs/>
        </w:rPr>
        <w:t>Table 1: Land Use and Land Cover Change in the Central Zone (1994–2024)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20"/>
        <w:gridCol w:w="1320"/>
        <w:gridCol w:w="600"/>
        <w:gridCol w:w="1377"/>
        <w:gridCol w:w="600"/>
        <w:gridCol w:w="1147"/>
        <w:gridCol w:w="600"/>
        <w:gridCol w:w="1147"/>
        <w:gridCol w:w="615"/>
      </w:tblGrid>
      <w:tr w:rsidR="002D541C" w:rsidRPr="003468F6" w14:paraId="65149AAC" w14:textId="77777777" w:rsidTr="003468F6">
        <w:trPr>
          <w:tblHeader/>
          <w:tblCellSpacing w:w="15" w:type="dxa"/>
        </w:trPr>
        <w:tc>
          <w:tcPr>
            <w:tcW w:w="1575" w:type="dxa"/>
            <w:tcBorders>
              <w:bottom w:val="single" w:sz="4" w:space="0" w:color="auto"/>
            </w:tcBorders>
            <w:vAlign w:val="center"/>
            <w:hideMark/>
          </w:tcPr>
          <w:p w14:paraId="6FB94662" w14:textId="77777777" w:rsidR="002D541C" w:rsidRPr="003468F6" w:rsidRDefault="002D541C" w:rsidP="003766CE">
            <w:pPr>
              <w:spacing w:after="0"/>
              <w:jc w:val="both"/>
              <w:rPr>
                <w:rFonts w:ascii="Times New Roman" w:hAnsi="Times New Roman" w:cs="Times New Roman"/>
                <w:b/>
                <w:bCs/>
              </w:rPr>
            </w:pPr>
            <w:r w:rsidRPr="003468F6">
              <w:rPr>
                <w:rFonts w:ascii="Times New Roman" w:hAnsi="Times New Roman" w:cs="Times New Roman"/>
                <w:b/>
                <w:bCs/>
              </w:rPr>
              <w:t>Land Use Category</w:t>
            </w:r>
          </w:p>
        </w:tc>
        <w:tc>
          <w:tcPr>
            <w:tcW w:w="1171" w:type="dxa"/>
            <w:tcBorders>
              <w:bottom w:val="single" w:sz="4" w:space="0" w:color="auto"/>
            </w:tcBorders>
            <w:vAlign w:val="center"/>
            <w:hideMark/>
          </w:tcPr>
          <w:p w14:paraId="31CE10EB" w14:textId="77777777" w:rsidR="002D541C" w:rsidRPr="003468F6" w:rsidRDefault="002D541C" w:rsidP="003766CE">
            <w:pPr>
              <w:spacing w:after="0"/>
              <w:jc w:val="both"/>
              <w:rPr>
                <w:rFonts w:ascii="Times New Roman" w:hAnsi="Times New Roman" w:cs="Times New Roman"/>
                <w:b/>
                <w:bCs/>
              </w:rPr>
            </w:pPr>
            <w:r w:rsidRPr="003468F6">
              <w:rPr>
                <w:rFonts w:ascii="Times New Roman" w:hAnsi="Times New Roman" w:cs="Times New Roman"/>
                <w:b/>
                <w:bCs/>
              </w:rPr>
              <w:t>1994 Area (ha)</w:t>
            </w:r>
          </w:p>
        </w:tc>
        <w:tc>
          <w:tcPr>
            <w:tcW w:w="0" w:type="auto"/>
            <w:tcBorders>
              <w:bottom w:val="single" w:sz="4" w:space="0" w:color="auto"/>
            </w:tcBorders>
            <w:vAlign w:val="center"/>
            <w:hideMark/>
          </w:tcPr>
          <w:p w14:paraId="496BCFD4" w14:textId="77777777" w:rsidR="002D541C" w:rsidRPr="003468F6" w:rsidRDefault="002D541C" w:rsidP="003766CE">
            <w:pPr>
              <w:spacing w:after="0"/>
              <w:jc w:val="both"/>
              <w:rPr>
                <w:rFonts w:ascii="Times New Roman" w:hAnsi="Times New Roman" w:cs="Times New Roman"/>
                <w:b/>
                <w:bCs/>
              </w:rPr>
            </w:pPr>
            <w:r w:rsidRPr="003468F6">
              <w:rPr>
                <w:rFonts w:ascii="Times New Roman" w:hAnsi="Times New Roman" w:cs="Times New Roman"/>
                <w:b/>
                <w:bCs/>
              </w:rPr>
              <w:t>%</w:t>
            </w:r>
          </w:p>
        </w:tc>
        <w:tc>
          <w:tcPr>
            <w:tcW w:w="0" w:type="auto"/>
            <w:tcBorders>
              <w:bottom w:val="single" w:sz="4" w:space="0" w:color="auto"/>
            </w:tcBorders>
            <w:vAlign w:val="center"/>
            <w:hideMark/>
          </w:tcPr>
          <w:p w14:paraId="4810C44B" w14:textId="77777777" w:rsidR="002D541C" w:rsidRPr="003468F6" w:rsidRDefault="002D541C" w:rsidP="003766CE">
            <w:pPr>
              <w:spacing w:after="0"/>
              <w:jc w:val="both"/>
              <w:rPr>
                <w:rFonts w:ascii="Times New Roman" w:hAnsi="Times New Roman" w:cs="Times New Roman"/>
                <w:b/>
                <w:bCs/>
              </w:rPr>
            </w:pPr>
            <w:r w:rsidRPr="003468F6">
              <w:rPr>
                <w:rFonts w:ascii="Times New Roman" w:hAnsi="Times New Roman" w:cs="Times New Roman"/>
                <w:b/>
                <w:bCs/>
              </w:rPr>
              <w:t>2004 Area (ha)</w:t>
            </w:r>
          </w:p>
        </w:tc>
        <w:tc>
          <w:tcPr>
            <w:tcW w:w="0" w:type="auto"/>
            <w:tcBorders>
              <w:bottom w:val="single" w:sz="4" w:space="0" w:color="auto"/>
            </w:tcBorders>
            <w:vAlign w:val="center"/>
            <w:hideMark/>
          </w:tcPr>
          <w:p w14:paraId="464747A3" w14:textId="77777777" w:rsidR="002D541C" w:rsidRPr="003468F6" w:rsidRDefault="002D541C" w:rsidP="003766CE">
            <w:pPr>
              <w:spacing w:after="0"/>
              <w:jc w:val="both"/>
              <w:rPr>
                <w:rFonts w:ascii="Times New Roman" w:hAnsi="Times New Roman" w:cs="Times New Roman"/>
                <w:b/>
                <w:bCs/>
              </w:rPr>
            </w:pPr>
            <w:r w:rsidRPr="003468F6">
              <w:rPr>
                <w:rFonts w:ascii="Times New Roman" w:hAnsi="Times New Roman" w:cs="Times New Roman"/>
                <w:b/>
                <w:bCs/>
              </w:rPr>
              <w:t>%</w:t>
            </w:r>
          </w:p>
        </w:tc>
        <w:tc>
          <w:tcPr>
            <w:tcW w:w="0" w:type="auto"/>
            <w:tcBorders>
              <w:bottom w:val="single" w:sz="4" w:space="0" w:color="auto"/>
            </w:tcBorders>
            <w:vAlign w:val="center"/>
            <w:hideMark/>
          </w:tcPr>
          <w:p w14:paraId="3794229D" w14:textId="77777777" w:rsidR="002D541C" w:rsidRPr="003468F6" w:rsidRDefault="002D541C" w:rsidP="003766CE">
            <w:pPr>
              <w:spacing w:after="0"/>
              <w:jc w:val="both"/>
              <w:rPr>
                <w:rFonts w:ascii="Times New Roman" w:hAnsi="Times New Roman" w:cs="Times New Roman"/>
                <w:b/>
                <w:bCs/>
              </w:rPr>
            </w:pPr>
            <w:r w:rsidRPr="003468F6">
              <w:rPr>
                <w:rFonts w:ascii="Times New Roman" w:hAnsi="Times New Roman" w:cs="Times New Roman"/>
                <w:b/>
                <w:bCs/>
              </w:rPr>
              <w:t>2014 Area (ha)</w:t>
            </w:r>
          </w:p>
        </w:tc>
        <w:tc>
          <w:tcPr>
            <w:tcW w:w="0" w:type="auto"/>
            <w:tcBorders>
              <w:bottom w:val="single" w:sz="4" w:space="0" w:color="auto"/>
            </w:tcBorders>
            <w:vAlign w:val="center"/>
            <w:hideMark/>
          </w:tcPr>
          <w:p w14:paraId="4900B82D" w14:textId="77777777" w:rsidR="002D541C" w:rsidRPr="003468F6" w:rsidRDefault="002D541C" w:rsidP="003766CE">
            <w:pPr>
              <w:spacing w:after="0"/>
              <w:jc w:val="both"/>
              <w:rPr>
                <w:rFonts w:ascii="Times New Roman" w:hAnsi="Times New Roman" w:cs="Times New Roman"/>
                <w:b/>
                <w:bCs/>
              </w:rPr>
            </w:pPr>
            <w:r w:rsidRPr="003468F6">
              <w:rPr>
                <w:rFonts w:ascii="Times New Roman" w:hAnsi="Times New Roman" w:cs="Times New Roman"/>
                <w:b/>
                <w:bCs/>
              </w:rPr>
              <w:t>%</w:t>
            </w:r>
          </w:p>
        </w:tc>
        <w:tc>
          <w:tcPr>
            <w:tcW w:w="0" w:type="auto"/>
            <w:tcBorders>
              <w:bottom w:val="single" w:sz="4" w:space="0" w:color="auto"/>
            </w:tcBorders>
            <w:vAlign w:val="center"/>
            <w:hideMark/>
          </w:tcPr>
          <w:p w14:paraId="3BA679B4" w14:textId="77777777" w:rsidR="002D541C" w:rsidRPr="003468F6" w:rsidRDefault="002D541C" w:rsidP="003766CE">
            <w:pPr>
              <w:spacing w:after="0"/>
              <w:jc w:val="both"/>
              <w:rPr>
                <w:rFonts w:ascii="Times New Roman" w:hAnsi="Times New Roman" w:cs="Times New Roman"/>
                <w:b/>
                <w:bCs/>
              </w:rPr>
            </w:pPr>
            <w:r w:rsidRPr="003468F6">
              <w:rPr>
                <w:rFonts w:ascii="Times New Roman" w:hAnsi="Times New Roman" w:cs="Times New Roman"/>
                <w:b/>
                <w:bCs/>
              </w:rPr>
              <w:t>2024 Area (ha)</w:t>
            </w:r>
          </w:p>
        </w:tc>
        <w:tc>
          <w:tcPr>
            <w:tcW w:w="0" w:type="auto"/>
            <w:tcBorders>
              <w:bottom w:val="single" w:sz="4" w:space="0" w:color="auto"/>
            </w:tcBorders>
            <w:vAlign w:val="center"/>
            <w:hideMark/>
          </w:tcPr>
          <w:p w14:paraId="7C97C2AE" w14:textId="77777777" w:rsidR="002D541C" w:rsidRPr="003468F6" w:rsidRDefault="002D541C" w:rsidP="003766CE">
            <w:pPr>
              <w:spacing w:after="0"/>
              <w:jc w:val="both"/>
              <w:rPr>
                <w:rFonts w:ascii="Times New Roman" w:hAnsi="Times New Roman" w:cs="Times New Roman"/>
                <w:b/>
                <w:bCs/>
              </w:rPr>
            </w:pPr>
            <w:r w:rsidRPr="003468F6">
              <w:rPr>
                <w:rFonts w:ascii="Times New Roman" w:hAnsi="Times New Roman" w:cs="Times New Roman"/>
                <w:b/>
                <w:bCs/>
              </w:rPr>
              <w:t>%</w:t>
            </w:r>
          </w:p>
        </w:tc>
      </w:tr>
      <w:tr w:rsidR="002D541C" w:rsidRPr="002D541C" w14:paraId="2BBD7367" w14:textId="77777777" w:rsidTr="003468F6">
        <w:trPr>
          <w:tblCellSpacing w:w="15" w:type="dxa"/>
        </w:trPr>
        <w:tc>
          <w:tcPr>
            <w:tcW w:w="1575" w:type="dxa"/>
            <w:vAlign w:val="center"/>
            <w:hideMark/>
          </w:tcPr>
          <w:p w14:paraId="627EB64A"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Bare Surface</w:t>
            </w:r>
          </w:p>
        </w:tc>
        <w:tc>
          <w:tcPr>
            <w:tcW w:w="1171" w:type="dxa"/>
            <w:vAlign w:val="center"/>
            <w:hideMark/>
          </w:tcPr>
          <w:p w14:paraId="32240DC0"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45,414.35</w:t>
            </w:r>
          </w:p>
        </w:tc>
        <w:tc>
          <w:tcPr>
            <w:tcW w:w="0" w:type="auto"/>
            <w:vAlign w:val="center"/>
            <w:hideMark/>
          </w:tcPr>
          <w:p w14:paraId="2C304290"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2.05</w:t>
            </w:r>
          </w:p>
        </w:tc>
        <w:tc>
          <w:tcPr>
            <w:tcW w:w="0" w:type="auto"/>
            <w:vAlign w:val="center"/>
            <w:hideMark/>
          </w:tcPr>
          <w:p w14:paraId="5276508C"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537,952.75</w:t>
            </w:r>
          </w:p>
        </w:tc>
        <w:tc>
          <w:tcPr>
            <w:tcW w:w="0" w:type="auto"/>
            <w:vAlign w:val="center"/>
            <w:hideMark/>
          </w:tcPr>
          <w:p w14:paraId="1FFCFA94"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28.60</w:t>
            </w:r>
          </w:p>
        </w:tc>
        <w:tc>
          <w:tcPr>
            <w:tcW w:w="0" w:type="auto"/>
            <w:vAlign w:val="center"/>
            <w:hideMark/>
          </w:tcPr>
          <w:p w14:paraId="4725D2F0"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22,080.79</w:t>
            </w:r>
          </w:p>
        </w:tc>
        <w:tc>
          <w:tcPr>
            <w:tcW w:w="0" w:type="auto"/>
            <w:vAlign w:val="center"/>
            <w:hideMark/>
          </w:tcPr>
          <w:p w14:paraId="111A0C7E"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29.71</w:t>
            </w:r>
          </w:p>
        </w:tc>
        <w:tc>
          <w:tcPr>
            <w:tcW w:w="0" w:type="auto"/>
            <w:vAlign w:val="center"/>
            <w:hideMark/>
          </w:tcPr>
          <w:p w14:paraId="2F5E064E"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22,080.79</w:t>
            </w:r>
          </w:p>
        </w:tc>
        <w:tc>
          <w:tcPr>
            <w:tcW w:w="0" w:type="auto"/>
            <w:vAlign w:val="center"/>
            <w:hideMark/>
          </w:tcPr>
          <w:p w14:paraId="4524B195"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29.71</w:t>
            </w:r>
          </w:p>
        </w:tc>
      </w:tr>
      <w:tr w:rsidR="002D541C" w:rsidRPr="002D541C" w14:paraId="7D121365" w14:textId="77777777" w:rsidTr="003468F6">
        <w:trPr>
          <w:tblCellSpacing w:w="15" w:type="dxa"/>
        </w:trPr>
        <w:tc>
          <w:tcPr>
            <w:tcW w:w="1575" w:type="dxa"/>
            <w:vAlign w:val="center"/>
            <w:hideMark/>
          </w:tcPr>
          <w:p w14:paraId="1E00FAD4"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Built-up Area</w:t>
            </w:r>
          </w:p>
        </w:tc>
        <w:tc>
          <w:tcPr>
            <w:tcW w:w="1171" w:type="dxa"/>
            <w:vAlign w:val="center"/>
            <w:hideMark/>
          </w:tcPr>
          <w:p w14:paraId="26A36AA3"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7,480.08</w:t>
            </w:r>
          </w:p>
        </w:tc>
        <w:tc>
          <w:tcPr>
            <w:tcW w:w="0" w:type="auto"/>
            <w:vAlign w:val="center"/>
            <w:hideMark/>
          </w:tcPr>
          <w:p w14:paraId="663EBDF6"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0.10</w:t>
            </w:r>
          </w:p>
        </w:tc>
        <w:tc>
          <w:tcPr>
            <w:tcW w:w="0" w:type="auto"/>
            <w:vAlign w:val="center"/>
            <w:hideMark/>
          </w:tcPr>
          <w:p w14:paraId="100A82E7"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2,193.95</w:t>
            </w:r>
          </w:p>
        </w:tc>
        <w:tc>
          <w:tcPr>
            <w:tcW w:w="0" w:type="auto"/>
            <w:vAlign w:val="center"/>
            <w:hideMark/>
          </w:tcPr>
          <w:p w14:paraId="7E4C870B"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0.12</w:t>
            </w:r>
          </w:p>
        </w:tc>
        <w:tc>
          <w:tcPr>
            <w:tcW w:w="0" w:type="auto"/>
            <w:vAlign w:val="center"/>
            <w:hideMark/>
          </w:tcPr>
          <w:p w14:paraId="58E5BADD"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129.05</w:t>
            </w:r>
          </w:p>
        </w:tc>
        <w:tc>
          <w:tcPr>
            <w:tcW w:w="0" w:type="auto"/>
            <w:vAlign w:val="center"/>
            <w:hideMark/>
          </w:tcPr>
          <w:p w14:paraId="003E9285"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0.17</w:t>
            </w:r>
          </w:p>
        </w:tc>
        <w:tc>
          <w:tcPr>
            <w:tcW w:w="0" w:type="auto"/>
            <w:vAlign w:val="center"/>
            <w:hideMark/>
          </w:tcPr>
          <w:p w14:paraId="7B87B0CF"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129.05</w:t>
            </w:r>
          </w:p>
        </w:tc>
        <w:tc>
          <w:tcPr>
            <w:tcW w:w="0" w:type="auto"/>
            <w:vAlign w:val="center"/>
            <w:hideMark/>
          </w:tcPr>
          <w:p w14:paraId="1F96F3C2"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0.17</w:t>
            </w:r>
          </w:p>
        </w:tc>
      </w:tr>
      <w:tr w:rsidR="002D541C" w:rsidRPr="002D541C" w14:paraId="16C82D64" w14:textId="77777777" w:rsidTr="003468F6">
        <w:trPr>
          <w:tblCellSpacing w:w="15" w:type="dxa"/>
        </w:trPr>
        <w:tc>
          <w:tcPr>
            <w:tcW w:w="1575" w:type="dxa"/>
            <w:vAlign w:val="center"/>
            <w:hideMark/>
          </w:tcPr>
          <w:p w14:paraId="397EF331"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Vegetation</w:t>
            </w:r>
          </w:p>
        </w:tc>
        <w:tc>
          <w:tcPr>
            <w:tcW w:w="1171" w:type="dxa"/>
            <w:vAlign w:val="center"/>
            <w:hideMark/>
          </w:tcPr>
          <w:p w14:paraId="56446F0C"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2,148,304.23</w:t>
            </w:r>
          </w:p>
        </w:tc>
        <w:tc>
          <w:tcPr>
            <w:tcW w:w="0" w:type="auto"/>
            <w:vAlign w:val="center"/>
            <w:hideMark/>
          </w:tcPr>
          <w:p w14:paraId="1A650DCE"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97.29</w:t>
            </w:r>
          </w:p>
        </w:tc>
        <w:tc>
          <w:tcPr>
            <w:tcW w:w="0" w:type="auto"/>
            <w:vAlign w:val="center"/>
            <w:hideMark/>
          </w:tcPr>
          <w:p w14:paraId="31CF67A3"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1,321,280.09</w:t>
            </w:r>
          </w:p>
        </w:tc>
        <w:tc>
          <w:tcPr>
            <w:tcW w:w="0" w:type="auto"/>
            <w:vAlign w:val="center"/>
            <w:hideMark/>
          </w:tcPr>
          <w:p w14:paraId="7CC79CD9"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70.24</w:t>
            </w:r>
          </w:p>
        </w:tc>
        <w:tc>
          <w:tcPr>
            <w:tcW w:w="0" w:type="auto"/>
            <w:vAlign w:val="center"/>
            <w:hideMark/>
          </w:tcPr>
          <w:p w14:paraId="10D9195C"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51,397.16</w:t>
            </w:r>
          </w:p>
        </w:tc>
        <w:tc>
          <w:tcPr>
            <w:tcW w:w="0" w:type="auto"/>
            <w:vAlign w:val="center"/>
            <w:hideMark/>
          </w:tcPr>
          <w:p w14:paraId="73AEA0E1"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69.15</w:t>
            </w:r>
          </w:p>
        </w:tc>
        <w:tc>
          <w:tcPr>
            <w:tcW w:w="0" w:type="auto"/>
            <w:vAlign w:val="center"/>
            <w:hideMark/>
          </w:tcPr>
          <w:p w14:paraId="0D5EDC5D"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51,397.16</w:t>
            </w:r>
          </w:p>
        </w:tc>
        <w:tc>
          <w:tcPr>
            <w:tcW w:w="0" w:type="auto"/>
            <w:vAlign w:val="center"/>
            <w:hideMark/>
          </w:tcPr>
          <w:p w14:paraId="0B38A2BF"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69.15</w:t>
            </w:r>
          </w:p>
        </w:tc>
      </w:tr>
      <w:tr w:rsidR="002D541C" w:rsidRPr="002D541C" w14:paraId="67F2E786" w14:textId="77777777" w:rsidTr="003468F6">
        <w:trPr>
          <w:tblCellSpacing w:w="15" w:type="dxa"/>
        </w:trPr>
        <w:tc>
          <w:tcPr>
            <w:tcW w:w="1575" w:type="dxa"/>
            <w:tcBorders>
              <w:bottom w:val="single" w:sz="4" w:space="0" w:color="auto"/>
            </w:tcBorders>
            <w:vAlign w:val="center"/>
            <w:hideMark/>
          </w:tcPr>
          <w:p w14:paraId="18820B0E"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Waterbody</w:t>
            </w:r>
          </w:p>
        </w:tc>
        <w:tc>
          <w:tcPr>
            <w:tcW w:w="1171" w:type="dxa"/>
            <w:tcBorders>
              <w:bottom w:val="single" w:sz="4" w:space="0" w:color="auto"/>
            </w:tcBorders>
            <w:vAlign w:val="center"/>
            <w:hideMark/>
          </w:tcPr>
          <w:p w14:paraId="4FEED4A1"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12,414.17</w:t>
            </w:r>
          </w:p>
        </w:tc>
        <w:tc>
          <w:tcPr>
            <w:tcW w:w="0" w:type="auto"/>
            <w:tcBorders>
              <w:bottom w:val="single" w:sz="4" w:space="0" w:color="auto"/>
            </w:tcBorders>
            <w:vAlign w:val="center"/>
            <w:hideMark/>
          </w:tcPr>
          <w:p w14:paraId="185FF557"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0.56</w:t>
            </w:r>
          </w:p>
        </w:tc>
        <w:tc>
          <w:tcPr>
            <w:tcW w:w="0" w:type="auto"/>
            <w:tcBorders>
              <w:bottom w:val="single" w:sz="4" w:space="0" w:color="auto"/>
            </w:tcBorders>
            <w:vAlign w:val="center"/>
            <w:hideMark/>
          </w:tcPr>
          <w:p w14:paraId="3453BDB5"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19,782.31</w:t>
            </w:r>
          </w:p>
        </w:tc>
        <w:tc>
          <w:tcPr>
            <w:tcW w:w="0" w:type="auto"/>
            <w:tcBorders>
              <w:bottom w:val="single" w:sz="4" w:space="0" w:color="auto"/>
            </w:tcBorders>
            <w:vAlign w:val="center"/>
            <w:hideMark/>
          </w:tcPr>
          <w:p w14:paraId="0BA19DF3"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1.05</w:t>
            </w:r>
          </w:p>
        </w:tc>
        <w:tc>
          <w:tcPr>
            <w:tcW w:w="0" w:type="auto"/>
            <w:tcBorders>
              <w:bottom w:val="single" w:sz="4" w:space="0" w:color="auto"/>
            </w:tcBorders>
            <w:vAlign w:val="center"/>
            <w:hideMark/>
          </w:tcPr>
          <w:p w14:paraId="52353AE8"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719.68</w:t>
            </w:r>
          </w:p>
        </w:tc>
        <w:tc>
          <w:tcPr>
            <w:tcW w:w="0" w:type="auto"/>
            <w:tcBorders>
              <w:bottom w:val="single" w:sz="4" w:space="0" w:color="auto"/>
            </w:tcBorders>
            <w:vAlign w:val="center"/>
            <w:hideMark/>
          </w:tcPr>
          <w:p w14:paraId="5F21C8FF"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0.97</w:t>
            </w:r>
          </w:p>
        </w:tc>
        <w:tc>
          <w:tcPr>
            <w:tcW w:w="0" w:type="auto"/>
            <w:tcBorders>
              <w:bottom w:val="single" w:sz="4" w:space="0" w:color="auto"/>
            </w:tcBorders>
            <w:vAlign w:val="center"/>
            <w:hideMark/>
          </w:tcPr>
          <w:p w14:paraId="2E28BC00"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719.68</w:t>
            </w:r>
          </w:p>
        </w:tc>
        <w:tc>
          <w:tcPr>
            <w:tcW w:w="0" w:type="auto"/>
            <w:tcBorders>
              <w:bottom w:val="single" w:sz="4" w:space="0" w:color="auto"/>
            </w:tcBorders>
            <w:vAlign w:val="center"/>
            <w:hideMark/>
          </w:tcPr>
          <w:p w14:paraId="6BC10BE9"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0.97</w:t>
            </w:r>
          </w:p>
        </w:tc>
      </w:tr>
    </w:tbl>
    <w:p w14:paraId="6CA8DF83"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i/>
          <w:iCs/>
        </w:rPr>
        <w:t>Source: Researcher’s Fieldwork, 2025</w:t>
      </w:r>
    </w:p>
    <w:p w14:paraId="25938AA5" w14:textId="77777777" w:rsidR="00D46615" w:rsidRDefault="00D46615" w:rsidP="003766CE">
      <w:pPr>
        <w:spacing w:after="0"/>
        <w:jc w:val="both"/>
        <w:rPr>
          <w:rFonts w:ascii="Times New Roman" w:hAnsi="Times New Roman" w:cs="Times New Roman"/>
        </w:rPr>
      </w:pPr>
    </w:p>
    <w:p w14:paraId="283A9EB4" w14:textId="77777777" w:rsidR="00D46615" w:rsidRDefault="001D3B25" w:rsidP="003766CE">
      <w:pPr>
        <w:spacing w:after="0"/>
        <w:jc w:val="both"/>
        <w:rPr>
          <w:rFonts w:ascii="Times New Roman" w:hAnsi="Times New Roman" w:cs="Times New Roman"/>
        </w:rPr>
      </w:pPr>
      <w:r>
        <w:rPr>
          <w:noProof/>
        </w:rPr>
        <w:drawing>
          <wp:inline distT="0" distB="0" distL="0" distR="0" wp14:anchorId="165B720A" wp14:editId="0332C62F">
            <wp:extent cx="5731510" cy="5314759"/>
            <wp:effectExtent l="0" t="0" r="2540" b="635"/>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9"/>
                    <a:srcRect/>
                    <a:stretch>
                      <a:fillRect/>
                    </a:stretch>
                  </pic:blipFill>
                  <pic:spPr>
                    <a:xfrm>
                      <a:off x="0" y="0"/>
                      <a:ext cx="5734574" cy="5317600"/>
                    </a:xfrm>
                    <a:prstGeom prst="rect">
                      <a:avLst/>
                    </a:prstGeom>
                    <a:ln/>
                  </pic:spPr>
                </pic:pic>
              </a:graphicData>
            </a:graphic>
          </wp:inline>
        </w:drawing>
      </w:r>
    </w:p>
    <w:p w14:paraId="5E8742C4" w14:textId="77777777" w:rsidR="006F310F" w:rsidRDefault="006F310F" w:rsidP="003766CE">
      <w:pPr>
        <w:spacing w:after="0"/>
        <w:jc w:val="both"/>
        <w:rPr>
          <w:rFonts w:ascii="Times New Roman" w:hAnsi="Times New Roman" w:cs="Times New Roman"/>
        </w:rPr>
      </w:pPr>
    </w:p>
    <w:p w14:paraId="265B413C" w14:textId="7351EAE3" w:rsidR="006F310F" w:rsidRDefault="006F310F" w:rsidP="003766CE">
      <w:pPr>
        <w:spacing w:after="0"/>
        <w:jc w:val="both"/>
        <w:rPr>
          <w:rFonts w:ascii="Times New Roman" w:hAnsi="Times New Roman" w:cs="Times New Roman"/>
        </w:rPr>
      </w:pPr>
      <w:r>
        <w:rPr>
          <w:rFonts w:ascii="Times New Roman" w:hAnsi="Times New Roman" w:cs="Times New Roman"/>
        </w:rPr>
        <w:t>Fig .3</w:t>
      </w:r>
      <w:r w:rsidR="001F3666">
        <w:rPr>
          <w:rFonts w:ascii="Times New Roman" w:hAnsi="Times New Roman" w:cs="Times New Roman"/>
        </w:rPr>
        <w:t xml:space="preserve"> Land use map of 1994</w:t>
      </w:r>
    </w:p>
    <w:p w14:paraId="24A319BB" w14:textId="77777777" w:rsidR="006F310F" w:rsidRDefault="006F310F" w:rsidP="003766CE">
      <w:pPr>
        <w:spacing w:after="0"/>
        <w:jc w:val="both"/>
        <w:rPr>
          <w:rFonts w:ascii="Times New Roman" w:hAnsi="Times New Roman" w:cs="Times New Roman"/>
        </w:rPr>
      </w:pPr>
    </w:p>
    <w:p w14:paraId="395E8A21" w14:textId="7BB9EA37" w:rsidR="002D541C" w:rsidRDefault="002D541C" w:rsidP="003766CE">
      <w:pPr>
        <w:spacing w:after="0"/>
        <w:jc w:val="both"/>
        <w:rPr>
          <w:rFonts w:ascii="Times New Roman" w:hAnsi="Times New Roman" w:cs="Times New Roman"/>
        </w:rPr>
      </w:pPr>
      <w:r w:rsidRPr="002D541C">
        <w:rPr>
          <w:rFonts w:ascii="Times New Roman" w:hAnsi="Times New Roman" w:cs="Times New Roman"/>
        </w:rPr>
        <w:lastRenderedPageBreak/>
        <w:t>Vegetation cover experienced a dramatic decline from 97.29% in 1994 to 69.15% in 2024. This decline aligns with periods of peak ASM activity.</w:t>
      </w:r>
      <w:r w:rsidR="003468F6">
        <w:rPr>
          <w:rFonts w:ascii="Times New Roman" w:hAnsi="Times New Roman" w:cs="Times New Roman"/>
        </w:rPr>
        <w:t xml:space="preserve"> </w:t>
      </w:r>
      <w:r w:rsidRPr="002D541C">
        <w:rPr>
          <w:rFonts w:ascii="Times New Roman" w:hAnsi="Times New Roman" w:cs="Times New Roman"/>
        </w:rPr>
        <w:t>Bare surfaces rose from 2.05% to 29.71%, reflecting land degradation, topsoil removal, and erosion due to mining.</w:t>
      </w:r>
    </w:p>
    <w:p w14:paraId="7AE5F132" w14:textId="77777777" w:rsidR="001D3B25" w:rsidRDefault="001D3B25" w:rsidP="003766CE">
      <w:pPr>
        <w:spacing w:after="0"/>
        <w:jc w:val="both"/>
        <w:rPr>
          <w:rFonts w:ascii="Times New Roman" w:hAnsi="Times New Roman" w:cs="Times New Roman"/>
        </w:rPr>
      </w:pPr>
    </w:p>
    <w:p w14:paraId="626309DE" w14:textId="77777777" w:rsidR="003A0517" w:rsidRPr="003A0517" w:rsidRDefault="003A0517" w:rsidP="003766CE">
      <w:pPr>
        <w:spacing w:after="0"/>
        <w:jc w:val="both"/>
        <w:rPr>
          <w:noProof/>
        </w:rPr>
      </w:pPr>
      <w:r w:rsidRPr="003A0517">
        <w:rPr>
          <w:noProof/>
        </w:rPr>
        <w:drawing>
          <wp:inline distT="0" distB="0" distL="0" distR="0" wp14:anchorId="2D9377E1" wp14:editId="2AD9393A">
            <wp:extent cx="5731510" cy="7117080"/>
            <wp:effectExtent l="0" t="0" r="2540" b="7620"/>
            <wp:docPr id="344637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117080"/>
                    </a:xfrm>
                    <a:prstGeom prst="rect">
                      <a:avLst/>
                    </a:prstGeom>
                    <a:noFill/>
                    <a:ln>
                      <a:noFill/>
                    </a:ln>
                  </pic:spPr>
                </pic:pic>
              </a:graphicData>
            </a:graphic>
          </wp:inline>
        </w:drawing>
      </w:r>
    </w:p>
    <w:p w14:paraId="0F85E1A5" w14:textId="77777777" w:rsidR="006F310F" w:rsidRDefault="006F310F" w:rsidP="003766CE">
      <w:pPr>
        <w:spacing w:after="0"/>
        <w:jc w:val="both"/>
        <w:rPr>
          <w:rFonts w:ascii="Times New Roman" w:hAnsi="Times New Roman" w:cs="Times New Roman"/>
        </w:rPr>
      </w:pPr>
    </w:p>
    <w:p w14:paraId="0C7E697C" w14:textId="4392D714" w:rsidR="001D3B25" w:rsidRDefault="006F310F" w:rsidP="003766CE">
      <w:pPr>
        <w:spacing w:after="0"/>
        <w:jc w:val="both"/>
        <w:rPr>
          <w:rFonts w:ascii="Times New Roman" w:hAnsi="Times New Roman" w:cs="Times New Roman"/>
        </w:rPr>
      </w:pPr>
      <w:r>
        <w:rPr>
          <w:rFonts w:ascii="Times New Roman" w:hAnsi="Times New Roman" w:cs="Times New Roman"/>
        </w:rPr>
        <w:t xml:space="preserve">Fig .4 </w:t>
      </w:r>
      <w:r w:rsidR="001F3666">
        <w:rPr>
          <w:rFonts w:ascii="Times New Roman" w:hAnsi="Times New Roman" w:cs="Times New Roman"/>
        </w:rPr>
        <w:t>Land use map of 2024</w:t>
      </w:r>
    </w:p>
    <w:p w14:paraId="6EC19E26" w14:textId="77777777" w:rsidR="006F310F" w:rsidRPr="002D541C" w:rsidRDefault="006F310F" w:rsidP="003766CE">
      <w:pPr>
        <w:spacing w:after="0"/>
        <w:jc w:val="both"/>
        <w:rPr>
          <w:rFonts w:ascii="Times New Roman" w:hAnsi="Times New Roman" w:cs="Times New Roman"/>
        </w:rPr>
      </w:pPr>
    </w:p>
    <w:p w14:paraId="68A179BC"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lastRenderedPageBreak/>
        <w:t>Built-up areas show inconsistent trends, likely due to displacement and temporary structures rather than permanent urban growth.</w:t>
      </w:r>
    </w:p>
    <w:p w14:paraId="15C80A46"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Waterbodies fluctuate slightly, but field observations suggest sedimentation and contamination from mining effluents.</w:t>
      </w:r>
    </w:p>
    <w:p w14:paraId="25EE2045" w14:textId="77777777" w:rsidR="001D3B25" w:rsidRPr="003766CE" w:rsidRDefault="001D3B25" w:rsidP="003766CE">
      <w:pPr>
        <w:spacing w:after="0"/>
        <w:jc w:val="both"/>
        <w:rPr>
          <w:rFonts w:ascii="Times New Roman" w:hAnsi="Times New Roman" w:cs="Times New Roman"/>
        </w:rPr>
      </w:pPr>
    </w:p>
    <w:p w14:paraId="3B58C43E" w14:textId="5DF89030" w:rsidR="00E464A3" w:rsidRPr="00512D53" w:rsidRDefault="003468F6" w:rsidP="003766CE">
      <w:pPr>
        <w:spacing w:after="0"/>
        <w:jc w:val="both"/>
        <w:rPr>
          <w:rFonts w:ascii="Times New Roman" w:hAnsi="Times New Roman" w:cs="Times New Roman"/>
          <w:b/>
          <w:bCs/>
        </w:rPr>
      </w:pPr>
      <w:r>
        <w:rPr>
          <w:rFonts w:ascii="Times New Roman" w:hAnsi="Times New Roman" w:cs="Times New Roman"/>
          <w:b/>
          <w:bCs/>
        </w:rPr>
        <w:t>4</w:t>
      </w:r>
      <w:r w:rsidR="002D541C" w:rsidRPr="00512D53">
        <w:rPr>
          <w:rFonts w:ascii="Times New Roman" w:hAnsi="Times New Roman" w:cs="Times New Roman"/>
          <w:b/>
          <w:bCs/>
        </w:rPr>
        <w:t>.</w:t>
      </w:r>
      <w:r w:rsidR="00D46615" w:rsidRPr="00512D53">
        <w:rPr>
          <w:rFonts w:ascii="Times New Roman" w:hAnsi="Times New Roman" w:cs="Times New Roman"/>
          <w:b/>
          <w:bCs/>
        </w:rPr>
        <w:t>0</w:t>
      </w:r>
      <w:r w:rsidR="002D541C" w:rsidRPr="00512D53">
        <w:rPr>
          <w:rFonts w:ascii="Times New Roman" w:hAnsi="Times New Roman" w:cs="Times New Roman"/>
          <w:b/>
          <w:bCs/>
        </w:rPr>
        <w:t xml:space="preserve"> Discussion</w:t>
      </w:r>
    </w:p>
    <w:p w14:paraId="1967F383" w14:textId="34CE80D0" w:rsidR="00E464A3" w:rsidRPr="00E464A3" w:rsidRDefault="00E464A3" w:rsidP="003766CE">
      <w:pPr>
        <w:spacing w:after="0"/>
        <w:jc w:val="both"/>
        <w:rPr>
          <w:rFonts w:ascii="Times New Roman" w:hAnsi="Times New Roman" w:cs="Times New Roman"/>
        </w:rPr>
      </w:pPr>
      <w:r w:rsidRPr="00E464A3">
        <w:rPr>
          <w:rFonts w:ascii="Times New Roman" w:hAnsi="Times New Roman" w:cs="Times New Roman"/>
        </w:rPr>
        <w:t>The study revealed a substantial decline in vegetation cover in Nigeria’s Central Zone</w:t>
      </w:r>
      <w:r w:rsidR="003766CE">
        <w:rPr>
          <w:rFonts w:ascii="Times New Roman" w:hAnsi="Times New Roman" w:cs="Times New Roman"/>
        </w:rPr>
        <w:t xml:space="preserve">, </w:t>
      </w:r>
      <w:r w:rsidRPr="00E464A3">
        <w:rPr>
          <w:rFonts w:ascii="Times New Roman" w:hAnsi="Times New Roman" w:cs="Times New Roman"/>
        </w:rPr>
        <w:t>from 97.29% in 1994 to 69.15% in 2024</w:t>
      </w:r>
      <w:r w:rsidR="003766CE">
        <w:rPr>
          <w:rFonts w:ascii="Times New Roman" w:hAnsi="Times New Roman" w:cs="Times New Roman"/>
        </w:rPr>
        <w:t xml:space="preserve">, </w:t>
      </w:r>
      <w:r w:rsidRPr="00E464A3">
        <w:rPr>
          <w:rFonts w:ascii="Times New Roman" w:hAnsi="Times New Roman" w:cs="Times New Roman"/>
        </w:rPr>
        <w:t xml:space="preserve">representing a </w:t>
      </w:r>
      <w:r w:rsidRPr="003766CE">
        <w:rPr>
          <w:rFonts w:ascii="Times New Roman" w:hAnsi="Times New Roman" w:cs="Times New Roman"/>
        </w:rPr>
        <w:t>28.14% reduction</w:t>
      </w:r>
      <w:r w:rsidRPr="00E464A3">
        <w:rPr>
          <w:rFonts w:ascii="Times New Roman" w:hAnsi="Times New Roman" w:cs="Times New Roman"/>
        </w:rPr>
        <w:t xml:space="preserve"> over three decades. This dramatic decrease closely aligns with periods of intensified artisanal and small-scale mining (ASM) activity. The findings corroborate previous studies that report widespread deforestation and vegetation clearance associated with ASM in mineral-rich zones across Nigeria (Ibrahim </w:t>
      </w:r>
      <w:r w:rsidRPr="003766CE">
        <w:rPr>
          <w:rFonts w:ascii="Times New Roman" w:hAnsi="Times New Roman" w:cs="Times New Roman"/>
          <w:i/>
          <w:iCs/>
        </w:rPr>
        <w:t>et al</w:t>
      </w:r>
      <w:r w:rsidRPr="00E464A3">
        <w:rPr>
          <w:rFonts w:ascii="Times New Roman" w:hAnsi="Times New Roman" w:cs="Times New Roman"/>
        </w:rPr>
        <w:t xml:space="preserve">., 2021; </w:t>
      </w:r>
      <w:proofErr w:type="spellStart"/>
      <w:r w:rsidRPr="00E464A3">
        <w:rPr>
          <w:rFonts w:ascii="Times New Roman" w:hAnsi="Times New Roman" w:cs="Times New Roman"/>
        </w:rPr>
        <w:t>Aigbedion</w:t>
      </w:r>
      <w:proofErr w:type="spellEnd"/>
      <w:r w:rsidRPr="00E464A3">
        <w:rPr>
          <w:rFonts w:ascii="Times New Roman" w:hAnsi="Times New Roman" w:cs="Times New Roman"/>
        </w:rPr>
        <w:t xml:space="preserve"> &amp; </w:t>
      </w:r>
      <w:proofErr w:type="spellStart"/>
      <w:r w:rsidRPr="00E464A3">
        <w:rPr>
          <w:rFonts w:ascii="Times New Roman" w:hAnsi="Times New Roman" w:cs="Times New Roman"/>
        </w:rPr>
        <w:t>Iyayi</w:t>
      </w:r>
      <w:proofErr w:type="spellEnd"/>
      <w:r w:rsidRPr="00E464A3">
        <w:rPr>
          <w:rFonts w:ascii="Times New Roman" w:hAnsi="Times New Roman" w:cs="Times New Roman"/>
        </w:rPr>
        <w:t xml:space="preserve">, 2007). For example, Ogundele </w:t>
      </w:r>
      <w:r w:rsidRPr="003766CE">
        <w:rPr>
          <w:rFonts w:ascii="Times New Roman" w:hAnsi="Times New Roman" w:cs="Times New Roman"/>
          <w:i/>
          <w:iCs/>
        </w:rPr>
        <w:t>et al</w:t>
      </w:r>
      <w:r w:rsidRPr="00E464A3">
        <w:rPr>
          <w:rFonts w:ascii="Times New Roman" w:hAnsi="Times New Roman" w:cs="Times New Roman"/>
        </w:rPr>
        <w:t>. (2016) reported a 35% loss in vegetative cover in parts of Plateau State due to ASM-induced bush clearing, excavation, and panning.</w:t>
      </w:r>
    </w:p>
    <w:p w14:paraId="43F59DDD" w14:textId="77777777" w:rsidR="00E464A3" w:rsidRPr="00E464A3" w:rsidRDefault="00E464A3" w:rsidP="003766CE">
      <w:pPr>
        <w:spacing w:after="0"/>
        <w:jc w:val="both"/>
        <w:rPr>
          <w:rFonts w:ascii="Times New Roman" w:hAnsi="Times New Roman" w:cs="Times New Roman"/>
        </w:rPr>
      </w:pPr>
      <w:r w:rsidRPr="00E464A3">
        <w:rPr>
          <w:rFonts w:ascii="Times New Roman" w:hAnsi="Times New Roman" w:cs="Times New Roman"/>
        </w:rPr>
        <w:t xml:space="preserve">Similar patterns were observed by Musa </w:t>
      </w:r>
      <w:r w:rsidRPr="003766CE">
        <w:rPr>
          <w:rFonts w:ascii="Times New Roman" w:hAnsi="Times New Roman" w:cs="Times New Roman"/>
          <w:i/>
          <w:iCs/>
        </w:rPr>
        <w:t>et al</w:t>
      </w:r>
      <w:r w:rsidRPr="00E464A3">
        <w:rPr>
          <w:rFonts w:ascii="Times New Roman" w:hAnsi="Times New Roman" w:cs="Times New Roman"/>
        </w:rPr>
        <w:t>. (2020) in Zamfara State, where artisanal gold mining led to notable forest decline and conversion of farmland to extraction sites. These findings collectively affirm that ASM, especially when unregulated, is a key driver of deforestation and landscape destabilization. Vegetation loss not only reduces biodiversity but also accelerates soil erosion, diminishes carbon sequestration, and undermines local climate resilience (</w:t>
      </w:r>
      <w:proofErr w:type="spellStart"/>
      <w:r w:rsidRPr="00E464A3">
        <w:rPr>
          <w:rFonts w:ascii="Times New Roman" w:hAnsi="Times New Roman" w:cs="Times New Roman"/>
        </w:rPr>
        <w:t>Ocheni</w:t>
      </w:r>
      <w:proofErr w:type="spellEnd"/>
      <w:r w:rsidRPr="00E464A3">
        <w:rPr>
          <w:rFonts w:ascii="Times New Roman" w:hAnsi="Times New Roman" w:cs="Times New Roman"/>
        </w:rPr>
        <w:t xml:space="preserve"> &amp; Nwankwo, 2012).</w:t>
      </w:r>
    </w:p>
    <w:p w14:paraId="222D9099" w14:textId="58768A5E" w:rsidR="00E464A3" w:rsidRPr="00E464A3" w:rsidRDefault="00E464A3" w:rsidP="003766CE">
      <w:pPr>
        <w:spacing w:after="0"/>
        <w:jc w:val="both"/>
        <w:rPr>
          <w:rFonts w:ascii="Times New Roman" w:hAnsi="Times New Roman" w:cs="Times New Roman"/>
        </w:rPr>
      </w:pPr>
      <w:r w:rsidRPr="00E464A3">
        <w:rPr>
          <w:rFonts w:ascii="Times New Roman" w:hAnsi="Times New Roman" w:cs="Times New Roman"/>
        </w:rPr>
        <w:t>The sharp increase in bare surfaces</w:t>
      </w:r>
      <w:r w:rsidR="003766CE">
        <w:rPr>
          <w:rFonts w:ascii="Times New Roman" w:hAnsi="Times New Roman" w:cs="Times New Roman"/>
        </w:rPr>
        <w:t xml:space="preserve"> </w:t>
      </w:r>
      <w:r w:rsidRPr="00E464A3">
        <w:rPr>
          <w:rFonts w:ascii="Times New Roman" w:hAnsi="Times New Roman" w:cs="Times New Roman"/>
        </w:rPr>
        <w:t>from 2.05% in 1994 to 29.71% in 2024</w:t>
      </w:r>
      <w:r w:rsidR="003766CE">
        <w:rPr>
          <w:rFonts w:ascii="Times New Roman" w:hAnsi="Times New Roman" w:cs="Times New Roman"/>
        </w:rPr>
        <w:t xml:space="preserve">, </w:t>
      </w:r>
      <w:r w:rsidRPr="00E464A3">
        <w:rPr>
          <w:rFonts w:ascii="Times New Roman" w:hAnsi="Times New Roman" w:cs="Times New Roman"/>
        </w:rPr>
        <w:t>is a direct indicator of land degradation resulting from surface excavation, topsoil removal, and exposure of subsoils due to mining. This finding is consistent with empirical work by Nwibo and Okorie (2013), who documented how ASM in Ebonyi State left vast stretches of land devoid of vegetation and rendered infertile due to unfilled pits and soil toxicity. Similarly, Bada and Opeyemi (2019) highlighted that ASM activities in Kwara State led to surface scarring and irreversible terrain alteration, further confirming that the transformation of green cover into bare landscapes is a recurring environmental outcome of ASM across Nigeria.</w:t>
      </w:r>
    </w:p>
    <w:p w14:paraId="491114CC" w14:textId="77777777" w:rsidR="00E464A3" w:rsidRPr="00E464A3" w:rsidRDefault="00E464A3" w:rsidP="003766CE">
      <w:pPr>
        <w:spacing w:after="0"/>
        <w:jc w:val="both"/>
        <w:rPr>
          <w:rFonts w:ascii="Times New Roman" w:hAnsi="Times New Roman" w:cs="Times New Roman"/>
        </w:rPr>
      </w:pPr>
      <w:r w:rsidRPr="00E464A3">
        <w:rPr>
          <w:rFonts w:ascii="Times New Roman" w:hAnsi="Times New Roman" w:cs="Times New Roman"/>
        </w:rPr>
        <w:t>These bare areas often evolve into erosion hotspots, triggering gully formation and sediment transport into adjacent water bodies (</w:t>
      </w:r>
      <w:proofErr w:type="spellStart"/>
      <w:r w:rsidRPr="00E464A3">
        <w:rPr>
          <w:rFonts w:ascii="Times New Roman" w:hAnsi="Times New Roman" w:cs="Times New Roman"/>
        </w:rPr>
        <w:t>Amangabara</w:t>
      </w:r>
      <w:proofErr w:type="spellEnd"/>
      <w:r w:rsidRPr="00E464A3">
        <w:rPr>
          <w:rFonts w:ascii="Times New Roman" w:hAnsi="Times New Roman" w:cs="Times New Roman"/>
        </w:rPr>
        <w:t xml:space="preserve"> &amp; </w:t>
      </w:r>
      <w:proofErr w:type="spellStart"/>
      <w:r w:rsidRPr="00E464A3">
        <w:rPr>
          <w:rFonts w:ascii="Times New Roman" w:hAnsi="Times New Roman" w:cs="Times New Roman"/>
        </w:rPr>
        <w:t>Obenade</w:t>
      </w:r>
      <w:proofErr w:type="spellEnd"/>
      <w:r w:rsidRPr="00E464A3">
        <w:rPr>
          <w:rFonts w:ascii="Times New Roman" w:hAnsi="Times New Roman" w:cs="Times New Roman"/>
        </w:rPr>
        <w:t>, 2015). The severity of this land degradation underscores the need for mining reclamation policies and environmental audits before the commencement of new mining operations.</w:t>
      </w:r>
    </w:p>
    <w:p w14:paraId="547E327F" w14:textId="77777777" w:rsidR="00E464A3" w:rsidRPr="00315BE3" w:rsidRDefault="00315BE3" w:rsidP="003766CE">
      <w:pPr>
        <w:spacing w:after="0"/>
        <w:jc w:val="both"/>
        <w:rPr>
          <w:rFonts w:ascii="Times New Roman" w:hAnsi="Times New Roman" w:cs="Times New Roman"/>
          <w:b/>
          <w:bCs/>
        </w:rPr>
      </w:pPr>
      <w:r>
        <w:rPr>
          <w:rFonts w:ascii="Times New Roman" w:hAnsi="Times New Roman" w:cs="Times New Roman"/>
        </w:rPr>
        <w:t>Most</w:t>
      </w:r>
      <w:r w:rsidR="00E464A3" w:rsidRPr="00E464A3">
        <w:rPr>
          <w:rFonts w:ascii="Times New Roman" w:hAnsi="Times New Roman" w:cs="Times New Roman"/>
        </w:rPr>
        <w:t xml:space="preserve"> structural developments in ASM zones are </w:t>
      </w:r>
      <w:r w:rsidR="00E464A3" w:rsidRPr="003766CE">
        <w:rPr>
          <w:rFonts w:ascii="Times New Roman" w:hAnsi="Times New Roman" w:cs="Times New Roman"/>
        </w:rPr>
        <w:t xml:space="preserve">temporary </w:t>
      </w:r>
      <w:r w:rsidR="00E464A3" w:rsidRPr="00E464A3">
        <w:rPr>
          <w:rFonts w:ascii="Times New Roman" w:hAnsi="Times New Roman" w:cs="Times New Roman"/>
        </w:rPr>
        <w:t>rather than permanent</w:t>
      </w:r>
      <w:r>
        <w:rPr>
          <w:rFonts w:ascii="Times New Roman" w:hAnsi="Times New Roman" w:cs="Times New Roman"/>
        </w:rPr>
        <w:t xml:space="preserve">, </w:t>
      </w:r>
      <w:r w:rsidR="00E464A3" w:rsidRPr="00E464A3">
        <w:rPr>
          <w:rFonts w:ascii="Times New Roman" w:hAnsi="Times New Roman" w:cs="Times New Roman"/>
        </w:rPr>
        <w:t xml:space="preserve">noted by Adepoju </w:t>
      </w:r>
      <w:r w:rsidR="00E464A3" w:rsidRPr="003766CE">
        <w:rPr>
          <w:rFonts w:ascii="Times New Roman" w:hAnsi="Times New Roman" w:cs="Times New Roman"/>
          <w:i/>
          <w:iCs/>
        </w:rPr>
        <w:t>et al</w:t>
      </w:r>
      <w:r w:rsidR="00E464A3" w:rsidRPr="00E464A3">
        <w:rPr>
          <w:rFonts w:ascii="Times New Roman" w:hAnsi="Times New Roman" w:cs="Times New Roman"/>
        </w:rPr>
        <w:t>. (2018), in mining camps in Osun State</w:t>
      </w:r>
      <w:r>
        <w:rPr>
          <w:rFonts w:ascii="Times New Roman" w:hAnsi="Times New Roman" w:cs="Times New Roman"/>
        </w:rPr>
        <w:t>.</w:t>
      </w:r>
      <w:r>
        <w:rPr>
          <w:rFonts w:ascii="Times New Roman" w:hAnsi="Times New Roman" w:cs="Times New Roman"/>
          <w:b/>
          <w:bCs/>
        </w:rPr>
        <w:t xml:space="preserve"> </w:t>
      </w:r>
      <w:r w:rsidR="00E464A3" w:rsidRPr="00E464A3">
        <w:rPr>
          <w:rFonts w:ascii="Times New Roman" w:hAnsi="Times New Roman" w:cs="Times New Roman"/>
        </w:rPr>
        <w:t xml:space="preserve">Such instability in built-up growth contradicts the patterns seen in urban expansion studies (e.g., Ololade </w:t>
      </w:r>
      <w:r w:rsidR="00E464A3" w:rsidRPr="001D3B25">
        <w:rPr>
          <w:rFonts w:ascii="Times New Roman" w:hAnsi="Times New Roman" w:cs="Times New Roman"/>
          <w:i/>
          <w:iCs/>
        </w:rPr>
        <w:t>et al.,</w:t>
      </w:r>
      <w:r w:rsidR="00E464A3" w:rsidRPr="00E464A3">
        <w:rPr>
          <w:rFonts w:ascii="Times New Roman" w:hAnsi="Times New Roman" w:cs="Times New Roman"/>
        </w:rPr>
        <w:t xml:space="preserve"> 2019), indicating that ASM settlements lack the infrastructural permanence required to support sustainable rural development.</w:t>
      </w:r>
    </w:p>
    <w:p w14:paraId="03376FF5" w14:textId="77777777" w:rsidR="001D3B25" w:rsidRDefault="001D3B25" w:rsidP="003766CE">
      <w:pPr>
        <w:spacing w:after="0"/>
        <w:jc w:val="both"/>
        <w:rPr>
          <w:rFonts w:ascii="Times New Roman" w:hAnsi="Times New Roman" w:cs="Times New Roman"/>
        </w:rPr>
      </w:pPr>
      <w:r w:rsidRPr="001D3B25">
        <w:rPr>
          <w:rFonts w:ascii="Times New Roman" w:hAnsi="Times New Roman" w:cs="Times New Roman"/>
        </w:rPr>
        <w:t xml:space="preserve">Although water bodies in the study area exhibited only slight areal fluctuations, field verification and community interviews revealed significant qualitative degradation. Observations indicated increased sedimentation, turbidity, and contamination from mercury and other mining-related effluents, especially in riverine ASM zones. These findings are consistent with studies by Olatunji </w:t>
      </w:r>
      <w:r w:rsidRPr="003766CE">
        <w:rPr>
          <w:rFonts w:ascii="Times New Roman" w:hAnsi="Times New Roman" w:cs="Times New Roman"/>
          <w:i/>
          <w:iCs/>
        </w:rPr>
        <w:t>et al</w:t>
      </w:r>
      <w:r w:rsidRPr="001D3B25">
        <w:rPr>
          <w:rFonts w:ascii="Times New Roman" w:hAnsi="Times New Roman" w:cs="Times New Roman"/>
        </w:rPr>
        <w:t xml:space="preserve">. (2015) and </w:t>
      </w:r>
      <w:proofErr w:type="spellStart"/>
      <w:r w:rsidRPr="001D3B25">
        <w:rPr>
          <w:rFonts w:ascii="Times New Roman" w:hAnsi="Times New Roman" w:cs="Times New Roman"/>
        </w:rPr>
        <w:t>Obaje</w:t>
      </w:r>
      <w:proofErr w:type="spellEnd"/>
      <w:r w:rsidRPr="001D3B25">
        <w:rPr>
          <w:rFonts w:ascii="Times New Roman" w:hAnsi="Times New Roman" w:cs="Times New Roman"/>
        </w:rPr>
        <w:t xml:space="preserve"> (2009), who highlighted heavy metal pollution and the adverse effects of unregulated mining activities on water quality. Such </w:t>
      </w:r>
      <w:r w:rsidRPr="001D3B25">
        <w:rPr>
          <w:rFonts w:ascii="Times New Roman" w:hAnsi="Times New Roman" w:cs="Times New Roman"/>
        </w:rPr>
        <w:lastRenderedPageBreak/>
        <w:t xml:space="preserve">disruptions threaten aquatic ecosystems, compromise potable water sources, and pose serious health risks to surrounding </w:t>
      </w:r>
      <w:r>
        <w:rPr>
          <w:rFonts w:ascii="Times New Roman" w:hAnsi="Times New Roman" w:cs="Times New Roman"/>
        </w:rPr>
        <w:t xml:space="preserve">communities </w:t>
      </w:r>
    </w:p>
    <w:p w14:paraId="00CECE45" w14:textId="6FD432DF" w:rsidR="002D541C" w:rsidRPr="003468F6" w:rsidRDefault="003468F6" w:rsidP="003766CE">
      <w:pPr>
        <w:spacing w:after="0"/>
        <w:jc w:val="both"/>
        <w:rPr>
          <w:rFonts w:ascii="Times New Roman" w:hAnsi="Times New Roman" w:cs="Times New Roman"/>
          <w:b/>
          <w:bCs/>
        </w:rPr>
      </w:pPr>
      <w:r>
        <w:rPr>
          <w:rFonts w:ascii="Times New Roman" w:hAnsi="Times New Roman" w:cs="Times New Roman"/>
          <w:b/>
          <w:bCs/>
        </w:rPr>
        <w:t>5</w:t>
      </w:r>
      <w:r w:rsidR="002D541C" w:rsidRPr="003468F6">
        <w:rPr>
          <w:rFonts w:ascii="Times New Roman" w:hAnsi="Times New Roman" w:cs="Times New Roman"/>
          <w:b/>
          <w:bCs/>
        </w:rPr>
        <w:t>.</w:t>
      </w:r>
      <w:r>
        <w:rPr>
          <w:rFonts w:ascii="Times New Roman" w:hAnsi="Times New Roman" w:cs="Times New Roman"/>
          <w:b/>
          <w:bCs/>
        </w:rPr>
        <w:t>0</w:t>
      </w:r>
      <w:r w:rsidR="002D541C" w:rsidRPr="003468F6">
        <w:rPr>
          <w:rFonts w:ascii="Times New Roman" w:hAnsi="Times New Roman" w:cs="Times New Roman"/>
          <w:b/>
          <w:bCs/>
        </w:rPr>
        <w:t xml:space="preserve"> Conclusion</w:t>
      </w:r>
    </w:p>
    <w:p w14:paraId="18CBCC64"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This study confirms that artisanal and small-scale mining has significantly altered the land use and environmental balance in Nigeria’s Central Zone over three decades. The environmental footprint is most evident in vegetation loss and land degradation. Immediate policy interventions are needed, including land reclamation, reforestation, and community sensitization on sustainable mining practices.</w:t>
      </w:r>
    </w:p>
    <w:p w14:paraId="5D6CDFF4" w14:textId="04403C44" w:rsidR="002D541C" w:rsidRPr="003468F6" w:rsidRDefault="003468F6" w:rsidP="003766CE">
      <w:pPr>
        <w:spacing w:after="0"/>
        <w:jc w:val="both"/>
        <w:rPr>
          <w:rFonts w:ascii="Times New Roman" w:hAnsi="Times New Roman" w:cs="Times New Roman"/>
          <w:b/>
          <w:bCs/>
        </w:rPr>
      </w:pPr>
      <w:r>
        <w:rPr>
          <w:rFonts w:ascii="Times New Roman" w:hAnsi="Times New Roman" w:cs="Times New Roman"/>
          <w:b/>
          <w:bCs/>
        </w:rPr>
        <w:t>6</w:t>
      </w:r>
      <w:r w:rsidR="002D541C" w:rsidRPr="003468F6">
        <w:rPr>
          <w:rFonts w:ascii="Times New Roman" w:hAnsi="Times New Roman" w:cs="Times New Roman"/>
          <w:b/>
          <w:bCs/>
        </w:rPr>
        <w:t>.</w:t>
      </w:r>
      <w:r>
        <w:rPr>
          <w:rFonts w:ascii="Times New Roman" w:hAnsi="Times New Roman" w:cs="Times New Roman"/>
          <w:b/>
          <w:bCs/>
        </w:rPr>
        <w:t>0</w:t>
      </w:r>
      <w:r w:rsidR="002D541C" w:rsidRPr="003468F6">
        <w:rPr>
          <w:rFonts w:ascii="Times New Roman" w:hAnsi="Times New Roman" w:cs="Times New Roman"/>
          <w:b/>
          <w:bCs/>
        </w:rPr>
        <w:t xml:space="preserve"> Recommendations</w:t>
      </w:r>
    </w:p>
    <w:p w14:paraId="34D8733B"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Implement a national policy on sustainable ASM with environmental safeguards.</w:t>
      </w:r>
    </w:p>
    <w:p w14:paraId="6EC97772"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Introduce community-based land rehabilitation programs.</w:t>
      </w:r>
    </w:p>
    <w:p w14:paraId="41F84886" w14:textId="77777777" w:rsidR="002D541C" w:rsidRPr="002D541C" w:rsidRDefault="002D541C" w:rsidP="003766CE">
      <w:pPr>
        <w:spacing w:after="0"/>
        <w:jc w:val="both"/>
        <w:rPr>
          <w:rFonts w:ascii="Times New Roman" w:hAnsi="Times New Roman" w:cs="Times New Roman"/>
        </w:rPr>
      </w:pPr>
      <w:r w:rsidRPr="002D541C">
        <w:rPr>
          <w:rFonts w:ascii="Times New Roman" w:hAnsi="Times New Roman" w:cs="Times New Roman"/>
        </w:rPr>
        <w:t>Strengthen satellite monitoring for real-time environmental surveillance.</w:t>
      </w:r>
    </w:p>
    <w:p w14:paraId="6D031D1C" w14:textId="77777777" w:rsidR="002D541C" w:rsidRPr="001D3B25" w:rsidRDefault="002D541C" w:rsidP="003766CE">
      <w:pPr>
        <w:spacing w:after="0"/>
        <w:jc w:val="both"/>
        <w:rPr>
          <w:rFonts w:ascii="Times New Roman" w:hAnsi="Times New Roman" w:cs="Times New Roman"/>
        </w:rPr>
      </w:pPr>
      <w:r w:rsidRPr="002D541C">
        <w:rPr>
          <w:rFonts w:ascii="Times New Roman" w:hAnsi="Times New Roman" w:cs="Times New Roman"/>
        </w:rPr>
        <w:t>Engage miners in participatory environmental education.</w:t>
      </w:r>
    </w:p>
    <w:p w14:paraId="2B80B29C" w14:textId="77777777" w:rsidR="002D541C" w:rsidRPr="002D541C" w:rsidRDefault="002D541C" w:rsidP="003766CE">
      <w:pPr>
        <w:spacing w:after="0"/>
        <w:jc w:val="both"/>
        <w:rPr>
          <w:rFonts w:ascii="Times New Roman" w:hAnsi="Times New Roman" w:cs="Times New Roman"/>
        </w:rPr>
      </w:pPr>
    </w:p>
    <w:p w14:paraId="5E24C2E2" w14:textId="701AC143" w:rsidR="00512D53" w:rsidRPr="000E0C6F" w:rsidRDefault="007967CD" w:rsidP="00512D53">
      <w:pPr>
        <w:spacing w:after="0"/>
        <w:jc w:val="both"/>
        <w:rPr>
          <w:rFonts w:ascii="Times New Roman" w:hAnsi="Times New Roman" w:cs="Times New Roman"/>
          <w:b/>
          <w:bCs/>
        </w:rPr>
      </w:pPr>
      <w:r w:rsidRPr="000E0C6F">
        <w:rPr>
          <w:rFonts w:ascii="Times New Roman" w:hAnsi="Times New Roman" w:cs="Times New Roman"/>
          <w:b/>
          <w:bCs/>
        </w:rPr>
        <w:t>REFERENCES</w:t>
      </w:r>
    </w:p>
    <w:p w14:paraId="6280F46F" w14:textId="2004BA1E" w:rsidR="00512D53" w:rsidRPr="00B90AFE" w:rsidRDefault="000E0C6F" w:rsidP="00512D53">
      <w:pPr>
        <w:spacing w:after="0" w:line="240" w:lineRule="auto"/>
        <w:ind w:left="567" w:hanging="567"/>
        <w:jc w:val="both"/>
        <w:rPr>
          <w:rFonts w:ascii="Garamond" w:eastAsia="Times New Roman" w:hAnsi="Garamond" w:cs="Times New Roman"/>
          <w:kern w:val="0"/>
          <w14:ligatures w14:val="none"/>
        </w:rPr>
      </w:pPr>
      <w:proofErr w:type="spellStart"/>
      <w:r w:rsidRPr="00B90AFE">
        <w:rPr>
          <w:rFonts w:ascii="Times New Roman" w:hAnsi="Times New Roman" w:cs="Times New Roman"/>
        </w:rPr>
        <w:t>Bansah</w:t>
      </w:r>
      <w:proofErr w:type="spellEnd"/>
      <w:r w:rsidRPr="00B90AFE">
        <w:rPr>
          <w:rFonts w:ascii="Times New Roman" w:hAnsi="Times New Roman" w:cs="Times New Roman"/>
        </w:rPr>
        <w:t xml:space="preserve">, K. J., </w:t>
      </w:r>
      <w:proofErr w:type="spellStart"/>
      <w:r w:rsidRPr="00B90AFE">
        <w:rPr>
          <w:rFonts w:ascii="Times New Roman" w:hAnsi="Times New Roman" w:cs="Times New Roman"/>
        </w:rPr>
        <w:t>Dumakor-Dupey</w:t>
      </w:r>
      <w:proofErr w:type="spellEnd"/>
      <w:r w:rsidRPr="00B90AFE">
        <w:rPr>
          <w:rFonts w:ascii="Times New Roman" w:hAnsi="Times New Roman" w:cs="Times New Roman"/>
        </w:rPr>
        <w:t xml:space="preserve">, N. K., </w:t>
      </w:r>
      <w:proofErr w:type="spellStart"/>
      <w:r w:rsidRPr="00B90AFE">
        <w:rPr>
          <w:rFonts w:ascii="Times New Roman" w:hAnsi="Times New Roman" w:cs="Times New Roman"/>
        </w:rPr>
        <w:t>Kansake</w:t>
      </w:r>
      <w:proofErr w:type="spellEnd"/>
      <w:r w:rsidRPr="00B90AFE">
        <w:rPr>
          <w:rFonts w:ascii="Times New Roman" w:hAnsi="Times New Roman" w:cs="Times New Roman"/>
        </w:rPr>
        <w:t xml:space="preserve">, B. A., Assan, E., &amp; </w:t>
      </w:r>
      <w:proofErr w:type="spellStart"/>
      <w:r w:rsidRPr="00B90AFE">
        <w:rPr>
          <w:rFonts w:ascii="Times New Roman" w:hAnsi="Times New Roman" w:cs="Times New Roman"/>
        </w:rPr>
        <w:t>Bekui</w:t>
      </w:r>
      <w:proofErr w:type="spellEnd"/>
      <w:r w:rsidRPr="00B90AFE">
        <w:rPr>
          <w:rFonts w:ascii="Times New Roman" w:hAnsi="Times New Roman" w:cs="Times New Roman"/>
        </w:rPr>
        <w:t xml:space="preserve">, P. (2016). Socioeconomic and environmental implications of artisanal and small-scale mining (ASM): A case study of Ghana. </w:t>
      </w:r>
      <w:r w:rsidRPr="00B90AFE">
        <w:rPr>
          <w:rFonts w:ascii="Times New Roman" w:hAnsi="Times New Roman" w:cs="Times New Roman"/>
          <w:i/>
          <w:iCs/>
        </w:rPr>
        <w:t>Journal of Cleaner Production, 129</w:t>
      </w:r>
      <w:r w:rsidRPr="00B90AFE">
        <w:rPr>
          <w:rFonts w:ascii="Times New Roman" w:hAnsi="Times New Roman" w:cs="Times New Roman"/>
        </w:rPr>
        <w:t xml:space="preserve">, 683–690. </w:t>
      </w:r>
      <w:hyperlink r:id="rId11" w:history="1">
        <w:r w:rsidR="00512D53" w:rsidRPr="00B90AFE">
          <w:rPr>
            <w:rStyle w:val="Hyperlink"/>
            <w:rFonts w:ascii="Times New Roman" w:hAnsi="Times New Roman" w:cs="Times New Roman"/>
            <w:color w:val="auto"/>
            <w:u w:val="none"/>
          </w:rPr>
          <w:t>https://doi.org/10.1016/j.jclepro.2016.03.085</w:t>
        </w:r>
      </w:hyperlink>
    </w:p>
    <w:p w14:paraId="2D1DD1D8" w14:textId="1110F4DE" w:rsidR="00512D53" w:rsidRPr="00B90AFE" w:rsidRDefault="000E0C6F" w:rsidP="00512D53">
      <w:pPr>
        <w:spacing w:after="0" w:line="240" w:lineRule="auto"/>
        <w:ind w:left="567" w:hanging="567"/>
        <w:jc w:val="both"/>
        <w:rPr>
          <w:rFonts w:ascii="Garamond" w:eastAsia="Times New Roman" w:hAnsi="Garamond" w:cs="Times New Roman"/>
          <w:kern w:val="0"/>
          <w14:ligatures w14:val="none"/>
        </w:rPr>
      </w:pPr>
      <w:r w:rsidRPr="00B90AFE">
        <w:rPr>
          <w:rFonts w:ascii="Times New Roman" w:hAnsi="Times New Roman" w:cs="Times New Roman"/>
        </w:rPr>
        <w:t xml:space="preserve">Garvin, T., McGee, T. K., Smoyer-Tomic, K. E., &amp; Aubynn, E. A. (2009). Community–company relations in gold mining in Ghana. </w:t>
      </w:r>
      <w:r w:rsidRPr="00B90AFE">
        <w:rPr>
          <w:rFonts w:ascii="Times New Roman" w:hAnsi="Times New Roman" w:cs="Times New Roman"/>
          <w:i/>
          <w:iCs/>
        </w:rPr>
        <w:t>Journal of Environmental Management, 90</w:t>
      </w:r>
      <w:r w:rsidRPr="00B90AFE">
        <w:rPr>
          <w:rFonts w:ascii="Times New Roman" w:hAnsi="Times New Roman" w:cs="Times New Roman"/>
        </w:rPr>
        <w:t xml:space="preserve">(1), 571–586. </w:t>
      </w:r>
      <w:hyperlink r:id="rId12" w:history="1">
        <w:r w:rsidR="00512D53" w:rsidRPr="00B90AFE">
          <w:rPr>
            <w:rStyle w:val="Hyperlink"/>
            <w:rFonts w:ascii="Times New Roman" w:hAnsi="Times New Roman" w:cs="Times New Roman"/>
            <w:color w:val="auto"/>
            <w:u w:val="none"/>
          </w:rPr>
          <w:t>https://doi.org/10.1016/j.jenvman.2007.12.014</w:t>
        </w:r>
      </w:hyperlink>
    </w:p>
    <w:p w14:paraId="181C1B46" w14:textId="40D4617E" w:rsidR="00512D53" w:rsidRPr="00B90AFE" w:rsidRDefault="000E0C6F" w:rsidP="00512D53">
      <w:pPr>
        <w:spacing w:after="0" w:line="240" w:lineRule="auto"/>
        <w:ind w:left="567" w:hanging="567"/>
        <w:jc w:val="both"/>
        <w:rPr>
          <w:rFonts w:ascii="Garamond" w:eastAsia="Times New Roman" w:hAnsi="Garamond" w:cs="Times New Roman"/>
          <w:kern w:val="0"/>
          <w14:ligatures w14:val="none"/>
        </w:rPr>
      </w:pPr>
      <w:r w:rsidRPr="00B90AFE">
        <w:rPr>
          <w:rFonts w:ascii="Times New Roman" w:hAnsi="Times New Roman" w:cs="Times New Roman"/>
        </w:rPr>
        <w:t xml:space="preserve">Hilson, G. (2002). Small-scale mining and its socio-economic impact in developing countries. </w:t>
      </w:r>
      <w:r w:rsidRPr="00B90AFE">
        <w:rPr>
          <w:rFonts w:ascii="Times New Roman" w:hAnsi="Times New Roman" w:cs="Times New Roman"/>
          <w:i/>
          <w:iCs/>
        </w:rPr>
        <w:t>Natural Resources Forum, 26</w:t>
      </w:r>
      <w:r w:rsidRPr="00B90AFE">
        <w:rPr>
          <w:rFonts w:ascii="Times New Roman" w:hAnsi="Times New Roman" w:cs="Times New Roman"/>
        </w:rPr>
        <w:t xml:space="preserve">(1), 3–13. </w:t>
      </w:r>
      <w:hyperlink r:id="rId13" w:history="1">
        <w:r w:rsidR="00512D53" w:rsidRPr="00B90AFE">
          <w:rPr>
            <w:rStyle w:val="Hyperlink"/>
            <w:rFonts w:ascii="Times New Roman" w:hAnsi="Times New Roman" w:cs="Times New Roman"/>
            <w:color w:val="auto"/>
            <w:u w:val="none"/>
          </w:rPr>
          <w:t>https://doi.org/10.1111/1477-8947.00002</w:t>
        </w:r>
      </w:hyperlink>
    </w:p>
    <w:p w14:paraId="6CE62DFC" w14:textId="1E3DC15A" w:rsidR="00512D53" w:rsidRPr="00B90AFE" w:rsidRDefault="000E0C6F" w:rsidP="00512D53">
      <w:pPr>
        <w:spacing w:after="0" w:line="240" w:lineRule="auto"/>
        <w:ind w:left="567" w:hanging="567"/>
        <w:jc w:val="both"/>
        <w:rPr>
          <w:rFonts w:ascii="Garamond" w:eastAsia="Times New Roman" w:hAnsi="Garamond" w:cs="Times New Roman"/>
          <w:kern w:val="0"/>
          <w14:ligatures w14:val="none"/>
        </w:rPr>
      </w:pPr>
      <w:r w:rsidRPr="00B90AFE">
        <w:rPr>
          <w:rFonts w:ascii="Times New Roman" w:hAnsi="Times New Roman" w:cs="Times New Roman"/>
        </w:rPr>
        <w:t xml:space="preserve">Hilson, G., &amp; Potter, C. (2003). Why is illegal gold mining activity so ubiquitous in rural Ghana? </w:t>
      </w:r>
      <w:r w:rsidRPr="00B90AFE">
        <w:rPr>
          <w:rFonts w:ascii="Times New Roman" w:hAnsi="Times New Roman" w:cs="Times New Roman"/>
          <w:i/>
          <w:iCs/>
        </w:rPr>
        <w:t>African Development Review, 15</w:t>
      </w:r>
      <w:r w:rsidRPr="00B90AFE">
        <w:rPr>
          <w:rFonts w:ascii="Times New Roman" w:hAnsi="Times New Roman" w:cs="Times New Roman"/>
        </w:rPr>
        <w:t xml:space="preserve">(2–3), 237–270. </w:t>
      </w:r>
      <w:hyperlink r:id="rId14" w:history="1">
        <w:r w:rsidR="00512D53" w:rsidRPr="00B90AFE">
          <w:rPr>
            <w:rStyle w:val="Hyperlink"/>
            <w:rFonts w:ascii="Times New Roman" w:hAnsi="Times New Roman" w:cs="Times New Roman"/>
            <w:color w:val="auto"/>
            <w:u w:val="none"/>
          </w:rPr>
          <w:t>https://doi.org/10.1111/j.1467-8268.2003.00032.x</w:t>
        </w:r>
      </w:hyperlink>
    </w:p>
    <w:p w14:paraId="0295F198" w14:textId="2ED42661" w:rsidR="00512D53" w:rsidRPr="00B90AFE" w:rsidRDefault="000E0C6F" w:rsidP="00512D53">
      <w:pPr>
        <w:spacing w:after="0" w:line="240" w:lineRule="auto"/>
        <w:ind w:left="567" w:hanging="567"/>
        <w:jc w:val="both"/>
        <w:rPr>
          <w:rFonts w:ascii="Garamond" w:eastAsia="Times New Roman" w:hAnsi="Garamond" w:cs="Times New Roman"/>
          <w:kern w:val="0"/>
          <w14:ligatures w14:val="none"/>
        </w:rPr>
      </w:pPr>
      <w:r w:rsidRPr="00B90AFE">
        <w:rPr>
          <w:rFonts w:ascii="Times New Roman" w:hAnsi="Times New Roman" w:cs="Times New Roman"/>
        </w:rPr>
        <w:t xml:space="preserve">Ibrahim, A. M., </w:t>
      </w:r>
      <w:proofErr w:type="spellStart"/>
      <w:r w:rsidRPr="00B90AFE">
        <w:rPr>
          <w:rFonts w:ascii="Times New Roman" w:hAnsi="Times New Roman" w:cs="Times New Roman"/>
        </w:rPr>
        <w:t>Okunlola</w:t>
      </w:r>
      <w:proofErr w:type="spellEnd"/>
      <w:r w:rsidRPr="00B90AFE">
        <w:rPr>
          <w:rFonts w:ascii="Times New Roman" w:hAnsi="Times New Roman" w:cs="Times New Roman"/>
        </w:rPr>
        <w:t xml:space="preserve">, I. A., &amp; </w:t>
      </w:r>
      <w:proofErr w:type="spellStart"/>
      <w:r w:rsidRPr="00B90AFE">
        <w:rPr>
          <w:rFonts w:ascii="Times New Roman" w:hAnsi="Times New Roman" w:cs="Times New Roman"/>
        </w:rPr>
        <w:t>Ogunkoya</w:t>
      </w:r>
      <w:proofErr w:type="spellEnd"/>
      <w:r w:rsidRPr="00B90AFE">
        <w:rPr>
          <w:rFonts w:ascii="Times New Roman" w:hAnsi="Times New Roman" w:cs="Times New Roman"/>
        </w:rPr>
        <w:t xml:space="preserve">, O. O. (2021). Environmental impact of artisanal gold mining in </w:t>
      </w:r>
      <w:proofErr w:type="spellStart"/>
      <w:r w:rsidRPr="00B90AFE">
        <w:rPr>
          <w:rFonts w:ascii="Times New Roman" w:hAnsi="Times New Roman" w:cs="Times New Roman"/>
        </w:rPr>
        <w:t>Luku</w:t>
      </w:r>
      <w:proofErr w:type="spellEnd"/>
      <w:r w:rsidRPr="00B90AFE">
        <w:rPr>
          <w:rFonts w:ascii="Times New Roman" w:hAnsi="Times New Roman" w:cs="Times New Roman"/>
        </w:rPr>
        <w:t xml:space="preserve">, North Central Nigeria. </w:t>
      </w:r>
      <w:r w:rsidRPr="00B90AFE">
        <w:rPr>
          <w:rFonts w:ascii="Times New Roman" w:hAnsi="Times New Roman" w:cs="Times New Roman"/>
          <w:i/>
          <w:iCs/>
        </w:rPr>
        <w:t>Environmental Earth Sciences, 80</w:t>
      </w:r>
      <w:r w:rsidRPr="00B90AFE">
        <w:rPr>
          <w:rFonts w:ascii="Times New Roman" w:hAnsi="Times New Roman" w:cs="Times New Roman"/>
        </w:rPr>
        <w:t xml:space="preserve">, Article 64. </w:t>
      </w:r>
      <w:hyperlink r:id="rId15" w:history="1">
        <w:r w:rsidR="00512D53" w:rsidRPr="00B90AFE">
          <w:rPr>
            <w:rStyle w:val="Hyperlink"/>
            <w:rFonts w:ascii="Times New Roman" w:hAnsi="Times New Roman" w:cs="Times New Roman"/>
            <w:color w:val="auto"/>
            <w:u w:val="none"/>
          </w:rPr>
          <w:t>https://doi.org/10.1007/s12665-021-09392-4</w:t>
        </w:r>
      </w:hyperlink>
    </w:p>
    <w:p w14:paraId="14504908" w14:textId="34BAEFDF" w:rsidR="00512D53" w:rsidRPr="00B90AFE" w:rsidRDefault="000E0C6F" w:rsidP="00512D53">
      <w:pPr>
        <w:spacing w:after="0" w:line="240" w:lineRule="auto"/>
        <w:ind w:left="567" w:hanging="567"/>
        <w:jc w:val="both"/>
        <w:rPr>
          <w:rFonts w:ascii="Garamond" w:eastAsia="Times New Roman" w:hAnsi="Garamond" w:cs="Times New Roman"/>
          <w:kern w:val="0"/>
          <w14:ligatures w14:val="none"/>
        </w:rPr>
      </w:pPr>
      <w:r w:rsidRPr="00B90AFE">
        <w:rPr>
          <w:rFonts w:ascii="Times New Roman" w:hAnsi="Times New Roman" w:cs="Times New Roman"/>
        </w:rPr>
        <w:t xml:space="preserve">Mmom, P. C., &amp; </w:t>
      </w:r>
      <w:proofErr w:type="spellStart"/>
      <w:r w:rsidRPr="00B90AFE">
        <w:rPr>
          <w:rFonts w:ascii="Times New Roman" w:hAnsi="Times New Roman" w:cs="Times New Roman"/>
        </w:rPr>
        <w:t>Arokoyu</w:t>
      </w:r>
      <w:proofErr w:type="spellEnd"/>
      <w:r w:rsidRPr="00B90AFE">
        <w:rPr>
          <w:rFonts w:ascii="Times New Roman" w:hAnsi="Times New Roman" w:cs="Times New Roman"/>
        </w:rPr>
        <w:t xml:space="preserve">, S. B. (2010). The environmental implications of oil exploration and exploitation in the coastal region of Nigeria. </w:t>
      </w:r>
      <w:r w:rsidRPr="00B90AFE">
        <w:rPr>
          <w:rFonts w:ascii="Times New Roman" w:hAnsi="Times New Roman" w:cs="Times New Roman"/>
          <w:i/>
          <w:iCs/>
        </w:rPr>
        <w:t>Environmentalist, 30</w:t>
      </w:r>
      <w:r w:rsidRPr="00B90AFE">
        <w:rPr>
          <w:rFonts w:ascii="Times New Roman" w:hAnsi="Times New Roman" w:cs="Times New Roman"/>
        </w:rPr>
        <w:t xml:space="preserve">(4), 293–301. </w:t>
      </w:r>
      <w:hyperlink r:id="rId16" w:history="1">
        <w:r w:rsidR="00512D53" w:rsidRPr="00B90AFE">
          <w:rPr>
            <w:rStyle w:val="Hyperlink"/>
            <w:rFonts w:ascii="Times New Roman" w:hAnsi="Times New Roman" w:cs="Times New Roman"/>
            <w:color w:val="auto"/>
            <w:u w:val="none"/>
          </w:rPr>
          <w:t>https://doi.org/10.1007/s10669-010-9275-z</w:t>
        </w:r>
      </w:hyperlink>
    </w:p>
    <w:p w14:paraId="0B36CF49" w14:textId="12A7A68D" w:rsidR="00512D53" w:rsidRPr="00B90AFE" w:rsidRDefault="000E0C6F" w:rsidP="00512D53">
      <w:pPr>
        <w:spacing w:after="0" w:line="240" w:lineRule="auto"/>
        <w:ind w:left="567" w:hanging="567"/>
        <w:jc w:val="both"/>
        <w:rPr>
          <w:rFonts w:ascii="Garamond" w:eastAsia="Times New Roman" w:hAnsi="Garamond" w:cs="Times New Roman"/>
          <w:kern w:val="0"/>
          <w14:ligatures w14:val="none"/>
        </w:rPr>
      </w:pPr>
      <w:r w:rsidRPr="00B90AFE">
        <w:rPr>
          <w:rFonts w:ascii="Times New Roman" w:hAnsi="Times New Roman" w:cs="Times New Roman"/>
        </w:rPr>
        <w:t xml:space="preserve">Ofosu, G., Dittmann, A., Sarpong, E. O., &amp; Addo, M. A. (2020). Socio-economic impact of small-scale mining on rural communities in Ghana. </w:t>
      </w:r>
      <w:proofErr w:type="spellStart"/>
      <w:r w:rsidRPr="00B90AFE">
        <w:rPr>
          <w:rFonts w:ascii="Times New Roman" w:hAnsi="Times New Roman" w:cs="Times New Roman"/>
          <w:i/>
          <w:iCs/>
        </w:rPr>
        <w:t>GeoJournal</w:t>
      </w:r>
      <w:proofErr w:type="spellEnd"/>
      <w:r w:rsidRPr="00B90AFE">
        <w:rPr>
          <w:rFonts w:ascii="Times New Roman" w:hAnsi="Times New Roman" w:cs="Times New Roman"/>
          <w:i/>
          <w:iCs/>
        </w:rPr>
        <w:t>, 85</w:t>
      </w:r>
      <w:r w:rsidRPr="00B90AFE">
        <w:rPr>
          <w:rFonts w:ascii="Times New Roman" w:hAnsi="Times New Roman" w:cs="Times New Roman"/>
        </w:rPr>
        <w:t xml:space="preserve">, 819–830. </w:t>
      </w:r>
      <w:hyperlink r:id="rId17" w:history="1">
        <w:r w:rsidR="00512D53" w:rsidRPr="00B90AFE">
          <w:rPr>
            <w:rStyle w:val="Hyperlink"/>
            <w:rFonts w:ascii="Times New Roman" w:hAnsi="Times New Roman" w:cs="Times New Roman"/>
            <w:color w:val="auto"/>
            <w:u w:val="none"/>
          </w:rPr>
          <w:t>https://doi.org/10.1007/s10708-019-10033-0</w:t>
        </w:r>
      </w:hyperlink>
    </w:p>
    <w:p w14:paraId="1C3C607B" w14:textId="17918E54" w:rsidR="00512D53" w:rsidRPr="00B90AFE" w:rsidRDefault="000E0C6F" w:rsidP="00512D53">
      <w:pPr>
        <w:spacing w:after="0" w:line="240" w:lineRule="auto"/>
        <w:ind w:left="567" w:hanging="567"/>
        <w:jc w:val="both"/>
        <w:rPr>
          <w:rFonts w:ascii="Garamond" w:eastAsia="Times New Roman" w:hAnsi="Garamond" w:cs="Times New Roman"/>
          <w:kern w:val="0"/>
          <w14:ligatures w14:val="none"/>
        </w:rPr>
      </w:pPr>
      <w:r w:rsidRPr="00B90AFE">
        <w:rPr>
          <w:rFonts w:ascii="Times New Roman" w:hAnsi="Times New Roman" w:cs="Times New Roman"/>
        </w:rPr>
        <w:t xml:space="preserve">Tschakert, P., &amp; Singha, K. (2007). Contaminated identities: Mercury and marginalization in Ghana’s artisanal mining sector. </w:t>
      </w:r>
      <w:proofErr w:type="spellStart"/>
      <w:r w:rsidRPr="00B90AFE">
        <w:rPr>
          <w:rFonts w:ascii="Times New Roman" w:hAnsi="Times New Roman" w:cs="Times New Roman"/>
          <w:i/>
          <w:iCs/>
        </w:rPr>
        <w:t>Geoforum</w:t>
      </w:r>
      <w:proofErr w:type="spellEnd"/>
      <w:r w:rsidRPr="00B90AFE">
        <w:rPr>
          <w:rFonts w:ascii="Times New Roman" w:hAnsi="Times New Roman" w:cs="Times New Roman"/>
          <w:i/>
          <w:iCs/>
        </w:rPr>
        <w:t>, 38</w:t>
      </w:r>
      <w:r w:rsidRPr="00B90AFE">
        <w:rPr>
          <w:rFonts w:ascii="Times New Roman" w:hAnsi="Times New Roman" w:cs="Times New Roman"/>
        </w:rPr>
        <w:t xml:space="preserve">(6), 1304–1321. </w:t>
      </w:r>
      <w:hyperlink r:id="rId18" w:history="1">
        <w:r w:rsidR="00512D53" w:rsidRPr="00B90AFE">
          <w:rPr>
            <w:rStyle w:val="Hyperlink"/>
            <w:rFonts w:ascii="Times New Roman" w:hAnsi="Times New Roman" w:cs="Times New Roman"/>
            <w:color w:val="auto"/>
            <w:u w:val="none"/>
          </w:rPr>
          <w:t>https://doi.org/10.1016/j.geoforum.2007.05.002</w:t>
        </w:r>
      </w:hyperlink>
    </w:p>
    <w:p w14:paraId="3E6E9FDD" w14:textId="1300AEBE" w:rsidR="000E0C6F" w:rsidRPr="00B90AFE" w:rsidRDefault="000E0C6F" w:rsidP="00512D53">
      <w:pPr>
        <w:spacing w:after="0" w:line="240" w:lineRule="auto"/>
        <w:ind w:left="567" w:hanging="567"/>
        <w:jc w:val="both"/>
        <w:rPr>
          <w:rFonts w:ascii="Garamond" w:eastAsia="Times New Roman" w:hAnsi="Garamond" w:cs="Times New Roman"/>
          <w:kern w:val="0"/>
          <w14:ligatures w14:val="none"/>
        </w:rPr>
      </w:pPr>
      <w:r w:rsidRPr="00B90AFE">
        <w:rPr>
          <w:rFonts w:ascii="Times New Roman" w:hAnsi="Times New Roman" w:cs="Times New Roman"/>
        </w:rPr>
        <w:t xml:space="preserve">Yakubu, S. I. (2020). Regulating small-scale mining in Nigeria: Challenges and prospects. </w:t>
      </w:r>
      <w:r w:rsidRPr="00B90AFE">
        <w:rPr>
          <w:rFonts w:ascii="Times New Roman" w:hAnsi="Times New Roman" w:cs="Times New Roman"/>
          <w:i/>
          <w:iCs/>
        </w:rPr>
        <w:t>The Extractive Industries and Society, 7</w:t>
      </w:r>
      <w:r w:rsidRPr="00B90AFE">
        <w:rPr>
          <w:rFonts w:ascii="Times New Roman" w:hAnsi="Times New Roman" w:cs="Times New Roman"/>
        </w:rPr>
        <w:t>(4), 1281–1290. https://doi.org/10.1016/j.exis.2020.07.010</w:t>
      </w:r>
    </w:p>
    <w:p w14:paraId="34F7AF96" w14:textId="77777777" w:rsidR="002D541C" w:rsidRPr="002D541C" w:rsidRDefault="002D541C" w:rsidP="003766CE">
      <w:pPr>
        <w:spacing w:after="0"/>
        <w:jc w:val="both"/>
        <w:rPr>
          <w:rFonts w:ascii="Times New Roman" w:hAnsi="Times New Roman" w:cs="Times New Roman"/>
        </w:rPr>
      </w:pPr>
    </w:p>
    <w:sectPr w:rsidR="002D541C" w:rsidRPr="002D541C">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5A089" w14:textId="77777777" w:rsidR="007F7B39" w:rsidRDefault="007F7B39" w:rsidP="009D17E5">
      <w:pPr>
        <w:spacing w:after="0" w:line="240" w:lineRule="auto"/>
      </w:pPr>
      <w:r>
        <w:separator/>
      </w:r>
    </w:p>
  </w:endnote>
  <w:endnote w:type="continuationSeparator" w:id="0">
    <w:p w14:paraId="5224C2BA" w14:textId="77777777" w:rsidR="007F7B39" w:rsidRDefault="007F7B39" w:rsidP="009D1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6ED7E" w14:textId="77777777" w:rsidR="009D17E5" w:rsidRDefault="009D17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4039D" w14:textId="77777777" w:rsidR="009D17E5" w:rsidRDefault="009D17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C3418" w14:textId="77777777" w:rsidR="009D17E5" w:rsidRDefault="009D1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82FB9" w14:textId="77777777" w:rsidR="007F7B39" w:rsidRDefault="007F7B39" w:rsidP="009D17E5">
      <w:pPr>
        <w:spacing w:after="0" w:line="240" w:lineRule="auto"/>
      </w:pPr>
      <w:r>
        <w:separator/>
      </w:r>
    </w:p>
  </w:footnote>
  <w:footnote w:type="continuationSeparator" w:id="0">
    <w:p w14:paraId="77D270DF" w14:textId="77777777" w:rsidR="007F7B39" w:rsidRDefault="007F7B39" w:rsidP="009D17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F9474" w14:textId="2C14FC11" w:rsidR="009D17E5" w:rsidRDefault="009D17E5">
    <w:pPr>
      <w:pStyle w:val="Header"/>
    </w:pPr>
    <w:r>
      <w:rPr>
        <w:noProof/>
      </w:rPr>
      <w:pict w14:anchorId="1D890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16856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52CDE" w14:textId="4B51BECE" w:rsidR="009D17E5" w:rsidRDefault="009D17E5">
    <w:pPr>
      <w:pStyle w:val="Header"/>
    </w:pPr>
    <w:r>
      <w:rPr>
        <w:noProof/>
      </w:rPr>
      <w:pict w14:anchorId="5EADC4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16856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CD214" w14:textId="4E4033B0" w:rsidR="009D17E5" w:rsidRDefault="009D17E5">
    <w:pPr>
      <w:pStyle w:val="Header"/>
    </w:pPr>
    <w:r>
      <w:rPr>
        <w:noProof/>
      </w:rPr>
      <w:pict w14:anchorId="7B7EE5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16856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33018"/>
    <w:multiLevelType w:val="multilevel"/>
    <w:tmpl w:val="8A9E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35120C"/>
    <w:multiLevelType w:val="multilevel"/>
    <w:tmpl w:val="FFA8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C2602E"/>
    <w:multiLevelType w:val="multilevel"/>
    <w:tmpl w:val="41F0F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207ECB"/>
    <w:multiLevelType w:val="multilevel"/>
    <w:tmpl w:val="F8DE1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4F520F"/>
    <w:multiLevelType w:val="multilevel"/>
    <w:tmpl w:val="A9A22A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DC53D7"/>
    <w:multiLevelType w:val="multilevel"/>
    <w:tmpl w:val="5398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C50BC7"/>
    <w:multiLevelType w:val="multilevel"/>
    <w:tmpl w:val="F5987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560407"/>
    <w:multiLevelType w:val="multilevel"/>
    <w:tmpl w:val="5A9A2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08562D"/>
    <w:multiLevelType w:val="multilevel"/>
    <w:tmpl w:val="9B72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DA2663"/>
    <w:multiLevelType w:val="multilevel"/>
    <w:tmpl w:val="DBAAB8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6"/>
  </w:num>
  <w:num w:numId="4">
    <w:abstractNumId w:val="0"/>
  </w:num>
  <w:num w:numId="5">
    <w:abstractNumId w:val="7"/>
  </w:num>
  <w:num w:numId="6">
    <w:abstractNumId w:val="8"/>
  </w:num>
  <w:num w:numId="7">
    <w:abstractNumId w:val="1"/>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41C"/>
    <w:rsid w:val="000E0C6F"/>
    <w:rsid w:val="001106F7"/>
    <w:rsid w:val="00147CE9"/>
    <w:rsid w:val="001942CC"/>
    <w:rsid w:val="001D3B25"/>
    <w:rsid w:val="001D55C2"/>
    <w:rsid w:val="001E2F6C"/>
    <w:rsid w:val="001F3666"/>
    <w:rsid w:val="00287A26"/>
    <w:rsid w:val="002A6FA8"/>
    <w:rsid w:val="002D541C"/>
    <w:rsid w:val="00315BE3"/>
    <w:rsid w:val="003468F6"/>
    <w:rsid w:val="003766CE"/>
    <w:rsid w:val="003A0517"/>
    <w:rsid w:val="003B2B59"/>
    <w:rsid w:val="004A771E"/>
    <w:rsid w:val="00505845"/>
    <w:rsid w:val="00511B75"/>
    <w:rsid w:val="00512D53"/>
    <w:rsid w:val="00590422"/>
    <w:rsid w:val="006F310F"/>
    <w:rsid w:val="00735E15"/>
    <w:rsid w:val="007967CD"/>
    <w:rsid w:val="007F7B39"/>
    <w:rsid w:val="00917A87"/>
    <w:rsid w:val="009D17E5"/>
    <w:rsid w:val="00A67922"/>
    <w:rsid w:val="00B53732"/>
    <w:rsid w:val="00B90AFE"/>
    <w:rsid w:val="00BC0538"/>
    <w:rsid w:val="00C9057A"/>
    <w:rsid w:val="00D20359"/>
    <w:rsid w:val="00D257C3"/>
    <w:rsid w:val="00D46615"/>
    <w:rsid w:val="00E367CD"/>
    <w:rsid w:val="00E464A3"/>
    <w:rsid w:val="00F93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0531A67"/>
  <w15:chartTrackingRefBased/>
  <w15:docId w15:val="{3ACABEAD-FC9C-4A4E-8699-719A4DD17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54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D54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D541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D541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D541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D54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54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54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54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41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D541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D541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D541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D541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D54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54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54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541C"/>
    <w:rPr>
      <w:rFonts w:eastAsiaTheme="majorEastAsia" w:cstheme="majorBidi"/>
      <w:color w:val="272727" w:themeColor="text1" w:themeTint="D8"/>
    </w:rPr>
  </w:style>
  <w:style w:type="paragraph" w:styleId="Title">
    <w:name w:val="Title"/>
    <w:basedOn w:val="Normal"/>
    <w:next w:val="Normal"/>
    <w:link w:val="TitleChar"/>
    <w:uiPriority w:val="10"/>
    <w:qFormat/>
    <w:rsid w:val="002D54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54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54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54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541C"/>
    <w:pPr>
      <w:spacing w:before="160"/>
      <w:jc w:val="center"/>
    </w:pPr>
    <w:rPr>
      <w:i/>
      <w:iCs/>
      <w:color w:val="404040" w:themeColor="text1" w:themeTint="BF"/>
    </w:rPr>
  </w:style>
  <w:style w:type="character" w:customStyle="1" w:styleId="QuoteChar">
    <w:name w:val="Quote Char"/>
    <w:basedOn w:val="DefaultParagraphFont"/>
    <w:link w:val="Quote"/>
    <w:uiPriority w:val="29"/>
    <w:rsid w:val="002D541C"/>
    <w:rPr>
      <w:i/>
      <w:iCs/>
      <w:color w:val="404040" w:themeColor="text1" w:themeTint="BF"/>
    </w:rPr>
  </w:style>
  <w:style w:type="paragraph" w:styleId="ListParagraph">
    <w:name w:val="List Paragraph"/>
    <w:basedOn w:val="Normal"/>
    <w:uiPriority w:val="34"/>
    <w:qFormat/>
    <w:rsid w:val="002D541C"/>
    <w:pPr>
      <w:ind w:left="720"/>
      <w:contextualSpacing/>
    </w:pPr>
  </w:style>
  <w:style w:type="character" w:styleId="IntenseEmphasis">
    <w:name w:val="Intense Emphasis"/>
    <w:basedOn w:val="DefaultParagraphFont"/>
    <w:uiPriority w:val="21"/>
    <w:qFormat/>
    <w:rsid w:val="002D541C"/>
    <w:rPr>
      <w:i/>
      <w:iCs/>
      <w:color w:val="2F5496" w:themeColor="accent1" w:themeShade="BF"/>
    </w:rPr>
  </w:style>
  <w:style w:type="paragraph" w:styleId="IntenseQuote">
    <w:name w:val="Intense Quote"/>
    <w:basedOn w:val="Normal"/>
    <w:next w:val="Normal"/>
    <w:link w:val="IntenseQuoteChar"/>
    <w:uiPriority w:val="30"/>
    <w:qFormat/>
    <w:rsid w:val="002D54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D541C"/>
    <w:rPr>
      <w:i/>
      <w:iCs/>
      <w:color w:val="2F5496" w:themeColor="accent1" w:themeShade="BF"/>
    </w:rPr>
  </w:style>
  <w:style w:type="character" w:styleId="IntenseReference">
    <w:name w:val="Intense Reference"/>
    <w:basedOn w:val="DefaultParagraphFont"/>
    <w:uiPriority w:val="32"/>
    <w:qFormat/>
    <w:rsid w:val="002D541C"/>
    <w:rPr>
      <w:b/>
      <w:bCs/>
      <w:smallCaps/>
      <w:color w:val="2F5496" w:themeColor="accent1" w:themeShade="BF"/>
      <w:spacing w:val="5"/>
    </w:rPr>
  </w:style>
  <w:style w:type="character" w:styleId="Hyperlink">
    <w:name w:val="Hyperlink"/>
    <w:basedOn w:val="DefaultParagraphFont"/>
    <w:uiPriority w:val="99"/>
    <w:unhideWhenUsed/>
    <w:rsid w:val="00512D53"/>
    <w:rPr>
      <w:color w:val="0563C1" w:themeColor="hyperlink"/>
      <w:u w:val="single"/>
    </w:rPr>
  </w:style>
  <w:style w:type="character" w:styleId="UnresolvedMention">
    <w:name w:val="Unresolved Mention"/>
    <w:basedOn w:val="DefaultParagraphFont"/>
    <w:uiPriority w:val="99"/>
    <w:semiHidden/>
    <w:unhideWhenUsed/>
    <w:rsid w:val="00512D53"/>
    <w:rPr>
      <w:color w:val="605E5C"/>
      <w:shd w:val="clear" w:color="auto" w:fill="E1DFDD"/>
    </w:rPr>
  </w:style>
  <w:style w:type="paragraph" w:styleId="Header">
    <w:name w:val="header"/>
    <w:basedOn w:val="Normal"/>
    <w:link w:val="HeaderChar"/>
    <w:uiPriority w:val="99"/>
    <w:unhideWhenUsed/>
    <w:rsid w:val="009D17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17E5"/>
  </w:style>
  <w:style w:type="paragraph" w:styleId="Footer">
    <w:name w:val="footer"/>
    <w:basedOn w:val="Normal"/>
    <w:link w:val="FooterChar"/>
    <w:uiPriority w:val="99"/>
    <w:unhideWhenUsed/>
    <w:rsid w:val="009D17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1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75836">
      <w:bodyDiv w:val="1"/>
      <w:marLeft w:val="0"/>
      <w:marRight w:val="0"/>
      <w:marTop w:val="0"/>
      <w:marBottom w:val="0"/>
      <w:divBdr>
        <w:top w:val="none" w:sz="0" w:space="0" w:color="auto"/>
        <w:left w:val="none" w:sz="0" w:space="0" w:color="auto"/>
        <w:bottom w:val="none" w:sz="0" w:space="0" w:color="auto"/>
        <w:right w:val="none" w:sz="0" w:space="0" w:color="auto"/>
      </w:divBdr>
    </w:div>
    <w:div w:id="409356500">
      <w:bodyDiv w:val="1"/>
      <w:marLeft w:val="0"/>
      <w:marRight w:val="0"/>
      <w:marTop w:val="0"/>
      <w:marBottom w:val="0"/>
      <w:divBdr>
        <w:top w:val="none" w:sz="0" w:space="0" w:color="auto"/>
        <w:left w:val="none" w:sz="0" w:space="0" w:color="auto"/>
        <w:bottom w:val="none" w:sz="0" w:space="0" w:color="auto"/>
        <w:right w:val="none" w:sz="0" w:space="0" w:color="auto"/>
      </w:divBdr>
    </w:div>
    <w:div w:id="538207781">
      <w:bodyDiv w:val="1"/>
      <w:marLeft w:val="0"/>
      <w:marRight w:val="0"/>
      <w:marTop w:val="0"/>
      <w:marBottom w:val="0"/>
      <w:divBdr>
        <w:top w:val="none" w:sz="0" w:space="0" w:color="auto"/>
        <w:left w:val="none" w:sz="0" w:space="0" w:color="auto"/>
        <w:bottom w:val="none" w:sz="0" w:space="0" w:color="auto"/>
        <w:right w:val="none" w:sz="0" w:space="0" w:color="auto"/>
      </w:divBdr>
    </w:div>
    <w:div w:id="570316130">
      <w:bodyDiv w:val="1"/>
      <w:marLeft w:val="0"/>
      <w:marRight w:val="0"/>
      <w:marTop w:val="0"/>
      <w:marBottom w:val="0"/>
      <w:divBdr>
        <w:top w:val="none" w:sz="0" w:space="0" w:color="auto"/>
        <w:left w:val="none" w:sz="0" w:space="0" w:color="auto"/>
        <w:bottom w:val="none" w:sz="0" w:space="0" w:color="auto"/>
        <w:right w:val="none" w:sz="0" w:space="0" w:color="auto"/>
      </w:divBdr>
    </w:div>
    <w:div w:id="662007397">
      <w:bodyDiv w:val="1"/>
      <w:marLeft w:val="0"/>
      <w:marRight w:val="0"/>
      <w:marTop w:val="0"/>
      <w:marBottom w:val="0"/>
      <w:divBdr>
        <w:top w:val="none" w:sz="0" w:space="0" w:color="auto"/>
        <w:left w:val="none" w:sz="0" w:space="0" w:color="auto"/>
        <w:bottom w:val="none" w:sz="0" w:space="0" w:color="auto"/>
        <w:right w:val="none" w:sz="0" w:space="0" w:color="auto"/>
      </w:divBdr>
    </w:div>
    <w:div w:id="681007109">
      <w:bodyDiv w:val="1"/>
      <w:marLeft w:val="0"/>
      <w:marRight w:val="0"/>
      <w:marTop w:val="0"/>
      <w:marBottom w:val="0"/>
      <w:divBdr>
        <w:top w:val="none" w:sz="0" w:space="0" w:color="auto"/>
        <w:left w:val="none" w:sz="0" w:space="0" w:color="auto"/>
        <w:bottom w:val="none" w:sz="0" w:space="0" w:color="auto"/>
        <w:right w:val="none" w:sz="0" w:space="0" w:color="auto"/>
      </w:divBdr>
    </w:div>
    <w:div w:id="728529673">
      <w:bodyDiv w:val="1"/>
      <w:marLeft w:val="0"/>
      <w:marRight w:val="0"/>
      <w:marTop w:val="0"/>
      <w:marBottom w:val="0"/>
      <w:divBdr>
        <w:top w:val="none" w:sz="0" w:space="0" w:color="auto"/>
        <w:left w:val="none" w:sz="0" w:space="0" w:color="auto"/>
        <w:bottom w:val="none" w:sz="0" w:space="0" w:color="auto"/>
        <w:right w:val="none" w:sz="0" w:space="0" w:color="auto"/>
      </w:divBdr>
    </w:div>
    <w:div w:id="757753643">
      <w:bodyDiv w:val="1"/>
      <w:marLeft w:val="0"/>
      <w:marRight w:val="0"/>
      <w:marTop w:val="0"/>
      <w:marBottom w:val="0"/>
      <w:divBdr>
        <w:top w:val="none" w:sz="0" w:space="0" w:color="auto"/>
        <w:left w:val="none" w:sz="0" w:space="0" w:color="auto"/>
        <w:bottom w:val="none" w:sz="0" w:space="0" w:color="auto"/>
        <w:right w:val="none" w:sz="0" w:space="0" w:color="auto"/>
      </w:divBdr>
    </w:div>
    <w:div w:id="821197647">
      <w:bodyDiv w:val="1"/>
      <w:marLeft w:val="0"/>
      <w:marRight w:val="0"/>
      <w:marTop w:val="0"/>
      <w:marBottom w:val="0"/>
      <w:divBdr>
        <w:top w:val="none" w:sz="0" w:space="0" w:color="auto"/>
        <w:left w:val="none" w:sz="0" w:space="0" w:color="auto"/>
        <w:bottom w:val="none" w:sz="0" w:space="0" w:color="auto"/>
        <w:right w:val="none" w:sz="0" w:space="0" w:color="auto"/>
      </w:divBdr>
    </w:div>
    <w:div w:id="852646034">
      <w:bodyDiv w:val="1"/>
      <w:marLeft w:val="0"/>
      <w:marRight w:val="0"/>
      <w:marTop w:val="0"/>
      <w:marBottom w:val="0"/>
      <w:divBdr>
        <w:top w:val="none" w:sz="0" w:space="0" w:color="auto"/>
        <w:left w:val="none" w:sz="0" w:space="0" w:color="auto"/>
        <w:bottom w:val="none" w:sz="0" w:space="0" w:color="auto"/>
        <w:right w:val="none" w:sz="0" w:space="0" w:color="auto"/>
      </w:divBdr>
    </w:div>
    <w:div w:id="936862287">
      <w:bodyDiv w:val="1"/>
      <w:marLeft w:val="0"/>
      <w:marRight w:val="0"/>
      <w:marTop w:val="0"/>
      <w:marBottom w:val="0"/>
      <w:divBdr>
        <w:top w:val="none" w:sz="0" w:space="0" w:color="auto"/>
        <w:left w:val="none" w:sz="0" w:space="0" w:color="auto"/>
        <w:bottom w:val="none" w:sz="0" w:space="0" w:color="auto"/>
        <w:right w:val="none" w:sz="0" w:space="0" w:color="auto"/>
      </w:divBdr>
    </w:div>
    <w:div w:id="1129392926">
      <w:bodyDiv w:val="1"/>
      <w:marLeft w:val="0"/>
      <w:marRight w:val="0"/>
      <w:marTop w:val="0"/>
      <w:marBottom w:val="0"/>
      <w:divBdr>
        <w:top w:val="none" w:sz="0" w:space="0" w:color="auto"/>
        <w:left w:val="none" w:sz="0" w:space="0" w:color="auto"/>
        <w:bottom w:val="none" w:sz="0" w:space="0" w:color="auto"/>
        <w:right w:val="none" w:sz="0" w:space="0" w:color="auto"/>
      </w:divBdr>
    </w:div>
    <w:div w:id="1233857943">
      <w:bodyDiv w:val="1"/>
      <w:marLeft w:val="0"/>
      <w:marRight w:val="0"/>
      <w:marTop w:val="0"/>
      <w:marBottom w:val="0"/>
      <w:divBdr>
        <w:top w:val="none" w:sz="0" w:space="0" w:color="auto"/>
        <w:left w:val="none" w:sz="0" w:space="0" w:color="auto"/>
        <w:bottom w:val="none" w:sz="0" w:space="0" w:color="auto"/>
        <w:right w:val="none" w:sz="0" w:space="0" w:color="auto"/>
      </w:divBdr>
    </w:div>
    <w:div w:id="1295520424">
      <w:bodyDiv w:val="1"/>
      <w:marLeft w:val="0"/>
      <w:marRight w:val="0"/>
      <w:marTop w:val="0"/>
      <w:marBottom w:val="0"/>
      <w:divBdr>
        <w:top w:val="none" w:sz="0" w:space="0" w:color="auto"/>
        <w:left w:val="none" w:sz="0" w:space="0" w:color="auto"/>
        <w:bottom w:val="none" w:sz="0" w:space="0" w:color="auto"/>
        <w:right w:val="none" w:sz="0" w:space="0" w:color="auto"/>
      </w:divBdr>
    </w:div>
    <w:div w:id="1351681562">
      <w:bodyDiv w:val="1"/>
      <w:marLeft w:val="0"/>
      <w:marRight w:val="0"/>
      <w:marTop w:val="0"/>
      <w:marBottom w:val="0"/>
      <w:divBdr>
        <w:top w:val="none" w:sz="0" w:space="0" w:color="auto"/>
        <w:left w:val="none" w:sz="0" w:space="0" w:color="auto"/>
        <w:bottom w:val="none" w:sz="0" w:space="0" w:color="auto"/>
        <w:right w:val="none" w:sz="0" w:space="0" w:color="auto"/>
      </w:divBdr>
    </w:div>
    <w:div w:id="1377002071">
      <w:bodyDiv w:val="1"/>
      <w:marLeft w:val="0"/>
      <w:marRight w:val="0"/>
      <w:marTop w:val="0"/>
      <w:marBottom w:val="0"/>
      <w:divBdr>
        <w:top w:val="none" w:sz="0" w:space="0" w:color="auto"/>
        <w:left w:val="none" w:sz="0" w:space="0" w:color="auto"/>
        <w:bottom w:val="none" w:sz="0" w:space="0" w:color="auto"/>
        <w:right w:val="none" w:sz="0" w:space="0" w:color="auto"/>
      </w:divBdr>
    </w:div>
    <w:div w:id="1505896943">
      <w:bodyDiv w:val="1"/>
      <w:marLeft w:val="0"/>
      <w:marRight w:val="0"/>
      <w:marTop w:val="0"/>
      <w:marBottom w:val="0"/>
      <w:divBdr>
        <w:top w:val="none" w:sz="0" w:space="0" w:color="auto"/>
        <w:left w:val="none" w:sz="0" w:space="0" w:color="auto"/>
        <w:bottom w:val="none" w:sz="0" w:space="0" w:color="auto"/>
        <w:right w:val="none" w:sz="0" w:space="0" w:color="auto"/>
      </w:divBdr>
    </w:div>
    <w:div w:id="1536308886">
      <w:bodyDiv w:val="1"/>
      <w:marLeft w:val="0"/>
      <w:marRight w:val="0"/>
      <w:marTop w:val="0"/>
      <w:marBottom w:val="0"/>
      <w:divBdr>
        <w:top w:val="none" w:sz="0" w:space="0" w:color="auto"/>
        <w:left w:val="none" w:sz="0" w:space="0" w:color="auto"/>
        <w:bottom w:val="none" w:sz="0" w:space="0" w:color="auto"/>
        <w:right w:val="none" w:sz="0" w:space="0" w:color="auto"/>
      </w:divBdr>
    </w:div>
    <w:div w:id="1792626207">
      <w:bodyDiv w:val="1"/>
      <w:marLeft w:val="0"/>
      <w:marRight w:val="0"/>
      <w:marTop w:val="0"/>
      <w:marBottom w:val="0"/>
      <w:divBdr>
        <w:top w:val="none" w:sz="0" w:space="0" w:color="auto"/>
        <w:left w:val="none" w:sz="0" w:space="0" w:color="auto"/>
        <w:bottom w:val="none" w:sz="0" w:space="0" w:color="auto"/>
        <w:right w:val="none" w:sz="0" w:space="0" w:color="auto"/>
      </w:divBdr>
    </w:div>
    <w:div w:id="1795520364">
      <w:bodyDiv w:val="1"/>
      <w:marLeft w:val="0"/>
      <w:marRight w:val="0"/>
      <w:marTop w:val="0"/>
      <w:marBottom w:val="0"/>
      <w:divBdr>
        <w:top w:val="none" w:sz="0" w:space="0" w:color="auto"/>
        <w:left w:val="none" w:sz="0" w:space="0" w:color="auto"/>
        <w:bottom w:val="none" w:sz="0" w:space="0" w:color="auto"/>
        <w:right w:val="none" w:sz="0" w:space="0" w:color="auto"/>
      </w:divBdr>
    </w:div>
    <w:div w:id="1972008883">
      <w:bodyDiv w:val="1"/>
      <w:marLeft w:val="0"/>
      <w:marRight w:val="0"/>
      <w:marTop w:val="0"/>
      <w:marBottom w:val="0"/>
      <w:divBdr>
        <w:top w:val="none" w:sz="0" w:space="0" w:color="auto"/>
        <w:left w:val="none" w:sz="0" w:space="0" w:color="auto"/>
        <w:bottom w:val="none" w:sz="0" w:space="0" w:color="auto"/>
        <w:right w:val="none" w:sz="0" w:space="0" w:color="auto"/>
      </w:divBdr>
    </w:div>
    <w:div w:id="209658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111/1477-8947.00002" TargetMode="External"/><Relationship Id="rId18" Type="http://schemas.openxmlformats.org/officeDocument/2006/relationships/hyperlink" Target="https://doi.org/10.1016/j.geoforum.2007.05.002"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doi.org/10.1016/j.jenvman.2007.12.014" TargetMode="External"/><Relationship Id="rId17" Type="http://schemas.openxmlformats.org/officeDocument/2006/relationships/hyperlink" Target="https://doi.org/10.1007/s10708-019-10033-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07/s10669-010-9275-z"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jclepro.2016.03.085"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07/s12665-021-09392-4" TargetMode="External"/><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doi.org/10.1111/j.1467-8268.2003.00032.x"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8</Pages>
  <Words>2357</Words>
  <Characters>13435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20</cp:revision>
  <cp:lastPrinted>2025-05-05T11:30:00Z</cp:lastPrinted>
  <dcterms:created xsi:type="dcterms:W3CDTF">2025-05-03T11:09:00Z</dcterms:created>
  <dcterms:modified xsi:type="dcterms:W3CDTF">2025-06-03T08:25:00Z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04836c93-c6e5-4a4b-b1f8-383503ca3997</vt:lpwstr>
  </property>
</Properties>
</file>