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DEF7" w14:textId="77777777" w:rsidR="008E0B4E" w:rsidRPr="00EB38C7" w:rsidRDefault="00CA6760" w:rsidP="001227E6">
      <w:pPr>
        <w:pStyle w:val="Title"/>
        <w:rPr>
          <w:rFonts w:ascii="Times New Roman" w:hAnsi="Times New Roman" w:cs="Times New Roman"/>
          <w:sz w:val="44"/>
          <w:szCs w:val="44"/>
        </w:rPr>
      </w:pPr>
      <w:r w:rsidRPr="00EB38C7">
        <w:rPr>
          <w:rFonts w:ascii="Times New Roman" w:hAnsi="Times New Roman" w:cs="Times New Roman"/>
          <w:sz w:val="44"/>
          <w:szCs w:val="44"/>
        </w:rPr>
        <w:t>From BRI to Chips: Building a China-Bangladesh Semiconductor Ecosystem</w:t>
      </w:r>
    </w:p>
    <w:p w14:paraId="513898FC" w14:textId="77777777" w:rsidR="008E0B4E" w:rsidRDefault="008E0B4E" w:rsidP="008E0B4E"/>
    <w:p w14:paraId="3BD1DF3B" w14:textId="754867A7" w:rsidR="007760EF" w:rsidRPr="001227E6" w:rsidRDefault="007760EF">
      <w:pPr>
        <w:rPr>
          <w:sz w:val="24"/>
          <w:szCs w:val="24"/>
        </w:rPr>
      </w:pPr>
    </w:p>
    <w:p w14:paraId="7D6DA80E" w14:textId="339414DA" w:rsidR="007760EF" w:rsidRPr="001227E6" w:rsidRDefault="007760EF" w:rsidP="007760EF">
      <w:pPr>
        <w:rPr>
          <w:sz w:val="24"/>
          <w:szCs w:val="24"/>
        </w:rPr>
      </w:pPr>
    </w:p>
    <w:p w14:paraId="72D5282E" w14:textId="77777777" w:rsidR="00CA6760" w:rsidRPr="00603435" w:rsidRDefault="00CA6760"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97368740"/>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0"/>
    </w:p>
    <w:p w14:paraId="767359BB" w14:textId="77777777" w:rsidR="001C6B46" w:rsidRDefault="00CA6760" w:rsidP="00421C0E">
      <w:pPr>
        <w:jc w:val="both"/>
        <w:rPr>
          <w:rFonts w:ascii="Times New Roman" w:hAnsi="Times New Roman" w:cs="Times New Roman"/>
          <w:sz w:val="24"/>
          <w:szCs w:val="24"/>
        </w:rPr>
      </w:pPr>
      <w:r w:rsidRPr="001227E6">
        <w:rPr>
          <w:rFonts w:ascii="Times New Roman" w:hAnsi="Times New Roman" w:cs="Times New Roman"/>
          <w:sz w:val="24"/>
          <w:szCs w:val="24"/>
        </w:rPr>
        <w:t>This study proposes a China-Bangladesh semiconductor partnership to address global supply chain vulnerabilities and foster mutual prosperity. Valued at $555.9 billion in 2023, the semiconductor industry is dominated by Taiwan and South Korea (70% of production), while China faces import constraints due to U.S. export controls. Bangladesh, with its 170 million population, 8% GDP growth, and strategic location, offers an ideal hub for diversification. The proposed $5 billion Chinese investment, supported by $1.5 billion in STEM education, aims to create 50,000 jobs and contribute $12 billion to Bangladesh’s GDP by 2040, aligning with the Digital Bangladesh vision. Drawing on qualitative analysis, statistical data, and case studies from South Korea and India, the study addresses seven research questions exploring education, workforce, public support, cultural shifts, geopolitics, and Bangladesh’s unique attributes. Findings highlight strong public favorability toward China (70%), BRI infrastructure readiness, and geopolitical benefits, such as Indian Ocean access. Challenges include power deficits and cultural preferences for government jobs, mitigated through renewable energy investments and media campaigns. This partnership exemplifies South-South cooperation, offering a scalable model for technology-driven development in the Global South, empowering Bangladesh’s workforce</w:t>
      </w:r>
      <w:r w:rsidR="00CA465D" w:rsidRPr="001227E6">
        <w:rPr>
          <w:rFonts w:ascii="Times New Roman" w:hAnsi="Times New Roman" w:cs="Times New Roman"/>
          <w:sz w:val="24"/>
          <w:szCs w:val="24"/>
        </w:rPr>
        <w:t>,</w:t>
      </w:r>
      <w:r w:rsidRPr="001227E6">
        <w:rPr>
          <w:rFonts w:ascii="Times New Roman" w:hAnsi="Times New Roman" w:cs="Times New Roman"/>
          <w:sz w:val="24"/>
          <w:szCs w:val="24"/>
        </w:rPr>
        <w:t xml:space="preserve"> and enhancing China’s tech leadership.</w:t>
      </w:r>
    </w:p>
    <w:p w14:paraId="42463FDD" w14:textId="77777777" w:rsidR="001C6B46" w:rsidRDefault="001C6B46" w:rsidP="00421C0E">
      <w:pPr>
        <w:jc w:val="both"/>
        <w:rPr>
          <w:rFonts w:ascii="Times New Roman" w:hAnsi="Times New Roman" w:cs="Times New Roman"/>
          <w:sz w:val="24"/>
          <w:szCs w:val="24"/>
        </w:rPr>
      </w:pPr>
    </w:p>
    <w:p w14:paraId="4D6FBDD5" w14:textId="77777777" w:rsidR="001C6B46" w:rsidRDefault="001C6B46" w:rsidP="00421C0E">
      <w:pPr>
        <w:jc w:val="both"/>
        <w:rPr>
          <w:rFonts w:ascii="Times New Roman" w:hAnsi="Times New Roman" w:cs="Times New Roman"/>
          <w:sz w:val="24"/>
          <w:szCs w:val="24"/>
        </w:rPr>
      </w:pPr>
    </w:p>
    <w:p w14:paraId="52D26959" w14:textId="77777777" w:rsidR="00CA6760" w:rsidRPr="001C6B46" w:rsidRDefault="001C6B46" w:rsidP="00421C0E">
      <w:pPr>
        <w:jc w:val="both"/>
        <w:rPr>
          <w:rFonts w:ascii="Times New Roman" w:hAnsi="Times New Roman" w:cs="Times New Roman"/>
          <w:b/>
          <w:sz w:val="24"/>
          <w:szCs w:val="24"/>
        </w:rPr>
      </w:pPr>
      <w:r w:rsidRPr="001C6B46">
        <w:rPr>
          <w:rFonts w:ascii="Times New Roman" w:hAnsi="Times New Roman" w:cs="Times New Roman"/>
          <w:b/>
          <w:sz w:val="24"/>
          <w:szCs w:val="24"/>
        </w:rPr>
        <w:t xml:space="preserve">Keywords: </w:t>
      </w:r>
      <w:r w:rsidRPr="001C6B46">
        <w:rPr>
          <w:rFonts w:ascii="Times New Roman" w:hAnsi="Times New Roman" w:cs="Times New Roman"/>
          <w:sz w:val="24"/>
          <w:szCs w:val="24"/>
        </w:rPr>
        <w:t xml:space="preserve">BRI, Semiconductor, China-Bangladesh, Infrastructure, </w:t>
      </w:r>
      <w:r>
        <w:rPr>
          <w:rFonts w:ascii="Times New Roman" w:hAnsi="Times New Roman" w:cs="Times New Roman"/>
          <w:sz w:val="24"/>
          <w:szCs w:val="24"/>
        </w:rPr>
        <w:t>South-South</w:t>
      </w:r>
      <w:r w:rsidRPr="001C6B46">
        <w:rPr>
          <w:rFonts w:ascii="Times New Roman" w:hAnsi="Times New Roman" w:cs="Times New Roman"/>
          <w:sz w:val="24"/>
          <w:szCs w:val="24"/>
        </w:rPr>
        <w:t xml:space="preserve"> cooperation</w:t>
      </w:r>
      <w:r w:rsidR="00CA6760" w:rsidRPr="001C6B46">
        <w:rPr>
          <w:rFonts w:ascii="Times New Roman" w:hAnsi="Times New Roman" w:cs="Times New Roman"/>
          <w:b/>
          <w:sz w:val="24"/>
          <w:szCs w:val="24"/>
        </w:rPr>
        <w:br w:type="page"/>
      </w:r>
    </w:p>
    <w:p w14:paraId="6D20546B" w14:textId="77777777" w:rsidR="00421C0E" w:rsidRPr="00603435" w:rsidRDefault="00421C0E"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97368741"/>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bookmarkEnd w:id="1"/>
    </w:p>
    <w:p w14:paraId="0C538BF4" w14:textId="77777777" w:rsidR="00421C0E" w:rsidRPr="001227E6" w:rsidRDefault="00D84586" w:rsidP="00421C0E">
      <w:pPr>
        <w:jc w:val="both"/>
        <w:rPr>
          <w:rFonts w:ascii="Times New Roman" w:hAnsi="Times New Roman" w:cs="Times New Roman"/>
          <w:sz w:val="24"/>
          <w:szCs w:val="24"/>
        </w:rPr>
      </w:pPr>
      <w:r w:rsidRPr="001227E6">
        <w:rPr>
          <w:rFonts w:ascii="Times New Roman" w:hAnsi="Times New Roman" w:cs="Times New Roman"/>
          <w:sz w:val="24"/>
          <w:szCs w:val="24"/>
        </w:rPr>
        <w:t xml:space="preserve">In a world where semiconductors power progress, </w:t>
      </w:r>
      <w:r w:rsidR="00CA6760" w:rsidRPr="001227E6">
        <w:rPr>
          <w:rFonts w:ascii="Times New Roman" w:hAnsi="Times New Roman" w:cs="Times New Roman"/>
          <w:sz w:val="24"/>
          <w:szCs w:val="24"/>
        </w:rPr>
        <w:t>the</w:t>
      </w:r>
      <w:r w:rsidR="00421C0E" w:rsidRPr="001227E6">
        <w:rPr>
          <w:rFonts w:ascii="Times New Roman" w:hAnsi="Times New Roman" w:cs="Times New Roman"/>
          <w:sz w:val="24"/>
          <w:szCs w:val="24"/>
        </w:rPr>
        <w:t xml:space="preserve"> global semiconductor industry, valued at $555.9 billion in 2023 and projected to reach $1 trillion by 2030, is a linchpin of technological advancement, powering electronics, telecommunications, and renewable energy systems [1]. However, its production is heavily concentrated, with Taiwan and South Korea controlling 70% of global output</w:t>
      </w:r>
      <w:r w:rsidR="00C50505">
        <w:rPr>
          <w:rFonts w:ascii="Times New Roman" w:hAnsi="Times New Roman" w:cs="Times New Roman"/>
          <w:sz w:val="24"/>
          <w:szCs w:val="24"/>
        </w:rPr>
        <w:t>. In contrast,</w:t>
      </w:r>
      <w:r w:rsidR="00421C0E" w:rsidRPr="001227E6">
        <w:rPr>
          <w:rFonts w:ascii="Times New Roman" w:hAnsi="Times New Roman" w:cs="Times New Roman"/>
          <w:sz w:val="24"/>
          <w:szCs w:val="24"/>
        </w:rPr>
        <w:t xml:space="preserve"> China, consuming 60% of semiconductors, faces supply chain vulnerabilities due to U.S. export controls introduced in 2022 [2, 3]. This dynamic underscores the need for diversified manufacturing hubs, particularly in emerging economies. Bangladesh, with a population of 170 million, an 8% GDP growth rate, and a median age of 27.6, presents a compelling opportunity for such a hub [4]. Despite its reliance on garments (16% of GDP) and challenges like 12% unemployment and low STEM education (15% of graduates), Bangladesh’s strategic location and openness to China’s Belt and Road Initiative (BRI) make it an ideal partner for technological collaboration [5, 6].</w:t>
      </w:r>
    </w:p>
    <w:p w14:paraId="7C2CC583" w14:textId="77777777" w:rsidR="00421C0E" w:rsidRPr="001227E6" w:rsidRDefault="00421C0E" w:rsidP="00421C0E">
      <w:pPr>
        <w:jc w:val="both"/>
        <w:rPr>
          <w:rFonts w:ascii="Times New Roman" w:hAnsi="Times New Roman" w:cs="Times New Roman"/>
          <w:sz w:val="24"/>
          <w:szCs w:val="24"/>
        </w:rPr>
      </w:pPr>
      <w:r w:rsidRPr="001227E6">
        <w:rPr>
          <w:rFonts w:ascii="Times New Roman" w:hAnsi="Times New Roman" w:cs="Times New Roman"/>
          <w:sz w:val="24"/>
          <w:szCs w:val="24"/>
        </w:rPr>
        <w:t>This paper proposes a China-Bangladesh semiconductor partnership to address these global and local dynamics, fostering mutual prosperity through economic diversification, workforce empowerment, and geopolitical strategy. The thesis posits that Chinese investment in Bangladesh’s semiconductor industry, supported by education reforms and infrastructure development, will create 500,000 jobs, contribute $12 billion to GDP by 2040, and enhance China’s tech leadership while aligning with Bangladesh’s Digital Bangladesh vision [7]. This partnership not only empowers Bangladesh’s 70 million workers, a priority reflect</w:t>
      </w:r>
      <w:r w:rsidR="00C50505">
        <w:rPr>
          <w:rFonts w:ascii="Times New Roman" w:hAnsi="Times New Roman" w:cs="Times New Roman"/>
          <w:sz w:val="24"/>
          <w:szCs w:val="24"/>
        </w:rPr>
        <w:t>ed in the focus on job creation</w:t>
      </w:r>
      <w:r w:rsidRPr="001227E6">
        <w:rPr>
          <w:rFonts w:ascii="Times New Roman" w:hAnsi="Times New Roman" w:cs="Times New Roman"/>
          <w:sz w:val="24"/>
          <w:szCs w:val="24"/>
        </w:rPr>
        <w:t xml:space="preserve">, but also positions both nations as leaders in South-South cooperation, countering regional imbalances with a balanced </w:t>
      </w:r>
      <w:r w:rsidR="00C50505">
        <w:rPr>
          <w:rFonts w:ascii="Times New Roman" w:hAnsi="Times New Roman" w:cs="Times New Roman"/>
          <w:sz w:val="24"/>
          <w:szCs w:val="24"/>
        </w:rPr>
        <w:t>approach to global partnerships</w:t>
      </w:r>
      <w:r w:rsidRPr="001227E6">
        <w:rPr>
          <w:rFonts w:ascii="Times New Roman" w:hAnsi="Times New Roman" w:cs="Times New Roman"/>
          <w:sz w:val="24"/>
          <w:szCs w:val="24"/>
        </w:rPr>
        <w:t>.</w:t>
      </w:r>
    </w:p>
    <w:p w14:paraId="5CA2236E" w14:textId="77777777" w:rsidR="0013195E" w:rsidRPr="001227E6" w:rsidRDefault="00421C0E" w:rsidP="00421C0E">
      <w:pPr>
        <w:jc w:val="both"/>
        <w:rPr>
          <w:rFonts w:ascii="Times New Roman" w:hAnsi="Times New Roman" w:cs="Times New Roman"/>
          <w:b/>
          <w:sz w:val="24"/>
          <w:szCs w:val="24"/>
        </w:rPr>
      </w:pPr>
      <w:r w:rsidRPr="001227E6">
        <w:rPr>
          <w:rFonts w:ascii="Times New Roman" w:hAnsi="Times New Roman" w:cs="Times New Roman"/>
          <w:sz w:val="24"/>
          <w:szCs w:val="24"/>
        </w:rPr>
        <w:t xml:space="preserve">The study addresses seven research questions, exploring why China should invest in Bangladesh’s education, the criticality of workforce development, public support, cultural shifts, geopolitical importance, long-term benefits, and Bangladesh’s unique attributes. </w:t>
      </w:r>
      <w:r w:rsidR="00C50505">
        <w:rPr>
          <w:rFonts w:ascii="Times New Roman" w:hAnsi="Times New Roman" w:cs="Times New Roman"/>
          <w:sz w:val="24"/>
          <w:szCs w:val="24"/>
        </w:rPr>
        <w:t>The paper evaluates the partnership's feasibility and impact by drawing on qualitative analysis, statistical data, and case studies (e.g., South Korea, India)</w:t>
      </w:r>
      <w:r w:rsidRPr="001227E6">
        <w:rPr>
          <w:rFonts w:ascii="Times New Roman" w:hAnsi="Times New Roman" w:cs="Times New Roman"/>
          <w:sz w:val="24"/>
          <w:szCs w:val="24"/>
        </w:rPr>
        <w:t>. The paper is structured as follows: the Literature Review synthesizes global semiconductor trends and Bangladesh’s context; the Methodology outlines the qualitative framework; the Results present economic, socio-cultural, and geopolitical findings; the Discussion interprets implications and challenges; and the Conclusion offers recommendations, including a China-Bangladesh Semiconductor Task Force. By examining this partnership, the study contributes to discussions on technology-driven development and equitable global cooperation.</w:t>
      </w:r>
      <w:r w:rsidR="0013195E" w:rsidRPr="001227E6">
        <w:rPr>
          <w:rFonts w:ascii="Times New Roman" w:hAnsi="Times New Roman" w:cs="Times New Roman"/>
          <w:b/>
          <w:sz w:val="24"/>
          <w:szCs w:val="24"/>
        </w:rPr>
        <w:br w:type="page"/>
      </w:r>
    </w:p>
    <w:p w14:paraId="53362214" w14:textId="77777777" w:rsidR="00BA660A" w:rsidRPr="00603435" w:rsidRDefault="00BA660A"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97368742"/>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Literature Review</w:t>
      </w:r>
      <w:bookmarkEnd w:id="2"/>
    </w:p>
    <w:p w14:paraId="5EC6416A"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The global semiconductor industry is a cornerstone of modern technology, driving innovations in electronics, communication, and renewable energy. Valued at $555.9 billion in 2023 and projected to reach $1 trillion by 2030, the industry is dominated by Taiwan and South Korea, which collectively account for 70% of global production [1]. Taiwan’s TSMC alone produces over 50% of the world’s chips, while South Korea’s Samsung contributes significantly to memory and logic chips [2]. China, consuming 60% of global semiconductors, relies heavily on imports, a vulnerability exacerbated by U.S. export controls introduced in 2022 to restrict access to advanced chips and manufacturing equipment [3]. These controls, aimed at curbing China’s technological advancements, have prompted Beijing to seek alternative supply chains, including partnerships with emerging economies [8]. This global context underscores the strategic importance of semiconductors and the need for diversified manufacturing hubs, setting the stage for a potential China-Bangladesh collaboration.</w:t>
      </w:r>
    </w:p>
    <w:p w14:paraId="76C86BC7"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Bangladesh, with a population of 170 million and a median age of 27.6, is one of South Asia’s fastest-growing economies, achieving an 8% GDP growth rate in 2023 [4]. Its per capita GDP of $2,688 reflects a developing economy, yet challenges persist, including a 12% unemployment rate, particularly among university graduates (12.5%) [5]. The country’s economic landscape is dominated by the garment sector, which contributes 16% to GDP and over 80% of export earnings, but offers limited high-skill opportunities [4]. The government’s Digital Bangladesh initiative aims to transition to a knowledge-based economy, with internet access reaching 70% of the population by 2023 [9]. However, Bangladesh’s potential as a high-tech hub is constrained by educational and workforce challenges, which are critical to understanding its role in the semiconductor industry.</w:t>
      </w:r>
    </w:p>
    <w:p w14:paraId="01DB9D32"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Education in Bangladesh is underfunded, with only 4% of GDP allocated compared to 6% in South Korea, a global leader in semiconductors [10]. Of the 2 million students graduating annually from Bangladeshi universities, only 15% hold STEM degrees, and fewer than 5% specialize in fields like electrical engineering or materials science, essential for chip production [5]. This gap limits the talent pool for high-tech industries, as semiconductor manufacturing requires expertise in chip design, wafer fabrication, and testing. South Korea’s success in semiconductors, driven by 1980s education reforms that increased STEM graduates by 20% annually, offers a model for Bangladesh [11]. Figure 1 illustrates the disparity in education spending, highlighting the need for investment to build a skilled workforce capable of supporting a semiconductor industry.</w:t>
      </w:r>
    </w:p>
    <w:p w14:paraId="612A29DB" w14:textId="77777777" w:rsidR="00BA660A" w:rsidRPr="001227E6" w:rsidRDefault="00916E06" w:rsidP="00BA660A">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277894F6" wp14:editId="57F77177">
            <wp:extent cx="5944235" cy="3956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956685"/>
                    </a:xfrm>
                    <a:prstGeom prst="rect">
                      <a:avLst/>
                    </a:prstGeom>
                    <a:noFill/>
                  </pic:spPr>
                </pic:pic>
              </a:graphicData>
            </a:graphic>
          </wp:inline>
        </w:drawing>
      </w:r>
    </w:p>
    <w:p w14:paraId="29949439" w14:textId="77777777" w:rsidR="00BA660A" w:rsidRPr="001227E6" w:rsidRDefault="00BA660A" w:rsidP="008628E2">
      <w:pPr>
        <w:jc w:val="center"/>
        <w:rPr>
          <w:rFonts w:ascii="Times New Roman" w:hAnsi="Times New Roman" w:cs="Times New Roman"/>
          <w:sz w:val="24"/>
          <w:szCs w:val="24"/>
        </w:rPr>
      </w:pPr>
      <w:r w:rsidRPr="001227E6">
        <w:rPr>
          <w:rFonts w:ascii="Times New Roman" w:hAnsi="Times New Roman" w:cs="Times New Roman"/>
          <w:sz w:val="24"/>
          <w:szCs w:val="24"/>
        </w:rPr>
        <w:t xml:space="preserve">Figure 1: Education Spending: Bangladesh </w:t>
      </w:r>
      <w:r w:rsidR="00916E06" w:rsidRPr="001227E6">
        <w:rPr>
          <w:rFonts w:ascii="Times New Roman" w:hAnsi="Times New Roman" w:cs="Times New Roman"/>
          <w:sz w:val="24"/>
          <w:szCs w:val="24"/>
        </w:rPr>
        <w:t xml:space="preserve">vs. South Korea </w:t>
      </w:r>
      <w:r w:rsidR="000A7161" w:rsidRPr="001227E6">
        <w:rPr>
          <w:rFonts w:ascii="Times New Roman" w:hAnsi="Times New Roman" w:cs="Times New Roman"/>
          <w:sz w:val="24"/>
          <w:szCs w:val="24"/>
        </w:rPr>
        <w:t>[10]</w:t>
      </w:r>
      <w:r w:rsidR="00916E06" w:rsidRPr="001227E6">
        <w:rPr>
          <w:rFonts w:ascii="Times New Roman" w:hAnsi="Times New Roman" w:cs="Times New Roman"/>
          <w:sz w:val="24"/>
          <w:szCs w:val="24"/>
        </w:rPr>
        <w:t>.</w:t>
      </w:r>
    </w:p>
    <w:p w14:paraId="44071B22" w14:textId="77777777" w:rsidR="000A7161" w:rsidRPr="001227E6" w:rsidRDefault="000A7161" w:rsidP="00BA660A">
      <w:pPr>
        <w:jc w:val="both"/>
        <w:rPr>
          <w:rFonts w:ascii="Times New Roman" w:hAnsi="Times New Roman" w:cs="Times New Roman"/>
          <w:sz w:val="24"/>
          <w:szCs w:val="24"/>
        </w:rPr>
      </w:pPr>
      <w:r w:rsidRPr="001227E6">
        <w:rPr>
          <w:rFonts w:ascii="Times New Roman" w:hAnsi="Times New Roman" w:cs="Times New Roman"/>
          <w:sz w:val="24"/>
          <w:szCs w:val="24"/>
        </w:rPr>
        <w:t>A significant socio-cultural barrier in Bangladesh is the preference for government jobs, with 60% of university graduates aspiring to public sector roles, such as those in the Bangladesh Civil Service (BCS), due to job security, social prestige, and benefits [12]. Government positions offer salaries of $500–$800 monthly, comparable to mid-level private-sector roles, but include pensions and housing allowances rarely found in private industries [5]. This preference is rooted in economic volatility and colonial legacies associating public service with authority [13]. A 2022 survey by the Bangladesh Institute of Development Studies found that only 20% of graduates pursue private-sector tech roles, despite the tech industry’s 20% annual growth from 2018 to 2023 [12]. Figure 2 visualizes this trend, showing the challenge of redirecting talent to innovative sectors like semiconductors.</w:t>
      </w:r>
    </w:p>
    <w:p w14:paraId="5FA8CBAE" w14:textId="77777777" w:rsidR="00BA660A" w:rsidRPr="001227E6" w:rsidRDefault="00916E06" w:rsidP="00BA660A">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4AC8C2BD" wp14:editId="12E3A4B4">
            <wp:extent cx="5944235" cy="297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974975"/>
                    </a:xfrm>
                    <a:prstGeom prst="rect">
                      <a:avLst/>
                    </a:prstGeom>
                    <a:noFill/>
                  </pic:spPr>
                </pic:pic>
              </a:graphicData>
            </a:graphic>
          </wp:inline>
        </w:drawing>
      </w:r>
    </w:p>
    <w:p w14:paraId="699AB45D" w14:textId="77777777" w:rsidR="00BA660A" w:rsidRPr="001227E6" w:rsidRDefault="00BA660A" w:rsidP="008628E2">
      <w:pPr>
        <w:jc w:val="center"/>
        <w:rPr>
          <w:rFonts w:ascii="Times New Roman" w:hAnsi="Times New Roman" w:cs="Times New Roman"/>
          <w:sz w:val="24"/>
          <w:szCs w:val="24"/>
        </w:rPr>
      </w:pPr>
      <w:r w:rsidRPr="001227E6">
        <w:rPr>
          <w:rFonts w:ascii="Times New Roman" w:hAnsi="Times New Roman" w:cs="Times New Roman"/>
          <w:sz w:val="24"/>
          <w:szCs w:val="24"/>
        </w:rPr>
        <w:t xml:space="preserve">Figure 2: Graduate Career Preferences in Bangladesh </w:t>
      </w:r>
      <w:r w:rsidR="000A7161" w:rsidRPr="001227E6">
        <w:rPr>
          <w:rFonts w:ascii="Times New Roman" w:hAnsi="Times New Roman" w:cs="Times New Roman"/>
          <w:sz w:val="24"/>
          <w:szCs w:val="24"/>
        </w:rPr>
        <w:t>[12]</w:t>
      </w:r>
      <w:r w:rsidRPr="001227E6">
        <w:rPr>
          <w:rFonts w:ascii="Times New Roman" w:hAnsi="Times New Roman" w:cs="Times New Roman"/>
          <w:sz w:val="24"/>
          <w:szCs w:val="24"/>
        </w:rPr>
        <w:t>.</w:t>
      </w:r>
    </w:p>
    <w:p w14:paraId="6F065209" w14:textId="77777777" w:rsidR="00BA660A" w:rsidRPr="001227E6" w:rsidRDefault="00BA660A" w:rsidP="00BA660A">
      <w:pPr>
        <w:jc w:val="both"/>
        <w:rPr>
          <w:rFonts w:ascii="Times New Roman" w:hAnsi="Times New Roman" w:cs="Times New Roman"/>
          <w:sz w:val="24"/>
          <w:szCs w:val="24"/>
        </w:rPr>
      </w:pPr>
    </w:p>
    <w:p w14:paraId="608625F1" w14:textId="77777777" w:rsidR="000A7161" w:rsidRPr="001227E6" w:rsidRDefault="000A7161" w:rsidP="000A7161">
      <w:pPr>
        <w:jc w:val="both"/>
        <w:rPr>
          <w:rFonts w:ascii="Times New Roman" w:hAnsi="Times New Roman" w:cs="Times New Roman"/>
          <w:sz w:val="24"/>
          <w:szCs w:val="24"/>
        </w:rPr>
      </w:pPr>
      <w:r w:rsidRPr="001227E6">
        <w:rPr>
          <w:rFonts w:ascii="Times New Roman" w:hAnsi="Times New Roman" w:cs="Times New Roman"/>
          <w:sz w:val="24"/>
          <w:szCs w:val="24"/>
        </w:rPr>
        <w:t xml:space="preserve">China’s Belt and Road Initiative (BRI) has positioned it as a key partner in Bangladesh’s development, investing over $10 billion since 2016 in infrastructure projects critical for industrial growth [14]. Notable projects include the $3.6 billion Padma Multipurpose Bridge, enhancing connectivity, and the modernization of Chittagong port, which handles 90% of Bangladesh’s trade [4]. These investments create a logistical foundation for high-tech industries, as reliable power and transport are essential for semiconductor manufacturing [15]. The </w:t>
      </w:r>
      <w:proofErr w:type="spellStart"/>
      <w:r w:rsidRPr="001227E6">
        <w:rPr>
          <w:rFonts w:ascii="Times New Roman" w:hAnsi="Times New Roman" w:cs="Times New Roman"/>
          <w:sz w:val="24"/>
          <w:szCs w:val="24"/>
        </w:rPr>
        <w:t>Payra</w:t>
      </w:r>
      <w:proofErr w:type="spellEnd"/>
      <w:r w:rsidRPr="001227E6">
        <w:rPr>
          <w:rFonts w:ascii="Times New Roman" w:hAnsi="Times New Roman" w:cs="Times New Roman"/>
          <w:sz w:val="24"/>
          <w:szCs w:val="24"/>
        </w:rPr>
        <w:t xml:space="preserve"> Power Plant, another BRI project, supports energy-intensive industries, though Bangladesh requires an additional 5,000 MW by 2030 to sustain industrial expansion [16]. China’s infrastructure investments align with its strategic interest in diversifying supply chains and reducing reliance on Taiwan and South Korea, while fostering economic ties with South Asia [8].</w:t>
      </w:r>
    </w:p>
    <w:p w14:paraId="156A865D" w14:textId="77777777" w:rsidR="000A7161" w:rsidRPr="001227E6" w:rsidRDefault="000A7161" w:rsidP="000A7161">
      <w:pPr>
        <w:jc w:val="both"/>
        <w:rPr>
          <w:rFonts w:ascii="Times New Roman" w:hAnsi="Times New Roman" w:cs="Times New Roman"/>
          <w:sz w:val="24"/>
          <w:szCs w:val="24"/>
        </w:rPr>
      </w:pPr>
      <w:r w:rsidRPr="001227E6">
        <w:rPr>
          <w:rFonts w:ascii="Times New Roman" w:hAnsi="Times New Roman" w:cs="Times New Roman"/>
          <w:sz w:val="24"/>
          <w:szCs w:val="24"/>
        </w:rPr>
        <w:t>Public sentiment in Bangladesh strongly favors China, with 70% of the population viewing it positively compared to 40% for India [6]. This preference is driven by frustrations with India, including a $10.21 billion trade deficit in FY 2021–22, where India’s exports to Bangladesh reached $12.2 billion against $1.99 billion in return [17]. Border tensions, with 25 Bangladeshi civilians killed by Indian forces between 2020 and 2022, further strain relations [18]. In contrast, China’s contributions, such as 1.1 million Sinopharm vaccine doses in 2021, have bolstered goodwill [19]. A 2021 survey by the Centre for Policy Dialogue found that 62% of Bangladeshis view India’s influence as excessive, reflecting a desire for diversified partnerships [20]. Figure 7 illustrates the trade imbalance, highlighting why Bangladesh seeks stronger ties with China.</w:t>
      </w:r>
    </w:p>
    <w:p w14:paraId="32B16245" w14:textId="77777777" w:rsidR="00BA660A" w:rsidRPr="001227E6" w:rsidRDefault="00916E06" w:rsidP="00BA660A">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42325147" wp14:editId="1F64DA00">
            <wp:extent cx="5944235" cy="4438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4438015"/>
                    </a:xfrm>
                    <a:prstGeom prst="rect">
                      <a:avLst/>
                    </a:prstGeom>
                    <a:noFill/>
                  </pic:spPr>
                </pic:pic>
              </a:graphicData>
            </a:graphic>
          </wp:inline>
        </w:drawing>
      </w:r>
    </w:p>
    <w:p w14:paraId="5A13CBA7" w14:textId="7DB7879F" w:rsidR="00BA660A" w:rsidRPr="001227E6" w:rsidRDefault="00916E06" w:rsidP="008628E2">
      <w:pPr>
        <w:jc w:val="center"/>
        <w:rPr>
          <w:rFonts w:ascii="Times New Roman" w:hAnsi="Times New Roman" w:cs="Times New Roman"/>
          <w:sz w:val="24"/>
          <w:szCs w:val="24"/>
        </w:rPr>
      </w:pPr>
      <w:r w:rsidRPr="001227E6">
        <w:rPr>
          <w:rFonts w:ascii="Times New Roman" w:hAnsi="Times New Roman" w:cs="Times New Roman"/>
          <w:sz w:val="24"/>
          <w:szCs w:val="24"/>
        </w:rPr>
        <w:t>Figure</w:t>
      </w:r>
      <w:r w:rsidR="008E0B4E">
        <w:rPr>
          <w:rFonts w:ascii="Times New Roman" w:hAnsi="Times New Roman" w:cs="Times New Roman"/>
          <w:sz w:val="24"/>
          <w:szCs w:val="24"/>
        </w:rPr>
        <w:t xml:space="preserve"> </w:t>
      </w:r>
      <w:proofErr w:type="gramStart"/>
      <w:r w:rsidR="008E0B4E">
        <w:rPr>
          <w:rFonts w:ascii="Times New Roman" w:hAnsi="Times New Roman" w:cs="Times New Roman"/>
          <w:sz w:val="24"/>
          <w:szCs w:val="24"/>
        </w:rPr>
        <w:t xml:space="preserve">3 </w:t>
      </w:r>
      <w:r w:rsidR="00BA660A" w:rsidRPr="001227E6">
        <w:rPr>
          <w:rFonts w:ascii="Times New Roman" w:hAnsi="Times New Roman" w:cs="Times New Roman"/>
          <w:sz w:val="24"/>
          <w:szCs w:val="24"/>
        </w:rPr>
        <w:t>:</w:t>
      </w:r>
      <w:proofErr w:type="gramEnd"/>
      <w:r w:rsidR="00BA660A" w:rsidRPr="001227E6">
        <w:rPr>
          <w:rFonts w:ascii="Times New Roman" w:hAnsi="Times New Roman" w:cs="Times New Roman"/>
          <w:sz w:val="24"/>
          <w:szCs w:val="24"/>
        </w:rPr>
        <w:t xml:space="preserve"> Bangladesh-India Trade Deficit </w:t>
      </w:r>
      <w:r w:rsidR="00134F63" w:rsidRPr="001227E6">
        <w:rPr>
          <w:rFonts w:ascii="Times New Roman" w:hAnsi="Times New Roman" w:cs="Times New Roman"/>
          <w:sz w:val="24"/>
          <w:szCs w:val="24"/>
        </w:rPr>
        <w:t>[17]</w:t>
      </w:r>
      <w:r w:rsidR="00BA660A" w:rsidRPr="001227E6">
        <w:rPr>
          <w:rFonts w:ascii="Times New Roman" w:hAnsi="Times New Roman" w:cs="Times New Roman"/>
          <w:sz w:val="24"/>
          <w:szCs w:val="24"/>
        </w:rPr>
        <w:t>.</w:t>
      </w:r>
    </w:p>
    <w:p w14:paraId="4478B6A9" w14:textId="77777777" w:rsidR="00BA660A" w:rsidRPr="001227E6" w:rsidRDefault="00BA660A" w:rsidP="00BA660A">
      <w:pPr>
        <w:jc w:val="both"/>
        <w:rPr>
          <w:rFonts w:ascii="Times New Roman" w:hAnsi="Times New Roman" w:cs="Times New Roman"/>
          <w:sz w:val="24"/>
          <w:szCs w:val="24"/>
        </w:rPr>
      </w:pPr>
    </w:p>
    <w:p w14:paraId="660447EF"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Comparative case studies provide insights into the potential for a China-Bangladesh semiconductor partnership. South Korea’s transformation into a semiconductor powerhouse was driven by targeted education reforms in the 1980s, which prioritized STEM and vocational training, enabling Samsung to employ 20% of the country’s engineers by 2000 [11]. Similarly, India’s IT boom in the 1990s, fueled by firms like Infosys offering salaries 50% above government roles, attracted 1 million workers by 2000, demonstrating the power of high-paying private-sector jobs to shift cultural preferences [21]. China’s own experience, with companies like Huawei employing 200,000 in high-tech roles, underscores the impact of education and job creation on technological advancement [22]. These cases suggest that strategic investments in education and attractive career incentives could position Bangladesh as a semiconductor hub, leveraging China’s expertise and Bangladesh’s youthful workforce.</w:t>
      </w:r>
    </w:p>
    <w:p w14:paraId="4D489429" w14:textId="77777777" w:rsidR="00916E06"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 xml:space="preserve">The literature highlights several key points relevant to the proposed partnership. First, the global semiconductor industry’s concentration in Taiwan and South Korea, coupled with China’s import dependence, creates an opportunity for new manufacturing hubs. Second, Bangladesh’s economic growth and strategic location make it an attractive partner, but educational and cultural barriers </w:t>
      </w:r>
      <w:r w:rsidRPr="001227E6">
        <w:rPr>
          <w:rFonts w:ascii="Times New Roman" w:hAnsi="Times New Roman" w:cs="Times New Roman"/>
          <w:sz w:val="24"/>
          <w:szCs w:val="24"/>
        </w:rPr>
        <w:lastRenderedPageBreak/>
        <w:t>must be addressed. Third, China’s BRI investments provide a foundation for industrial growth, while public sentiment supports deeper ties. Finally, successful case studies from South Korea and India demonstrate the feasibility of education-driven tech development. However, to maintain academic neutrality, this review avoids overemphasizing geopolitical rivalries, focusing instead on data-driven opportunities and challenges. Together, these findings ground the study in existing research, providing a robust framework for analyzing the feasibility of a China-Bangladesh semiconductor collaboration.</w:t>
      </w:r>
    </w:p>
    <w:p w14:paraId="7468B7CB" w14:textId="77777777" w:rsidR="00134F63" w:rsidRPr="001227E6" w:rsidRDefault="00134F63" w:rsidP="00916E06">
      <w:pPr>
        <w:jc w:val="both"/>
        <w:rPr>
          <w:rFonts w:ascii="Times New Roman" w:hAnsi="Times New Roman" w:cs="Times New Roman"/>
          <w:b/>
          <w:sz w:val="24"/>
          <w:szCs w:val="24"/>
        </w:rPr>
      </w:pPr>
    </w:p>
    <w:p w14:paraId="705FCAD9" w14:textId="77777777" w:rsidR="00134F63" w:rsidRPr="001227E6" w:rsidRDefault="00134F63" w:rsidP="00916E06">
      <w:pPr>
        <w:jc w:val="both"/>
        <w:rPr>
          <w:rFonts w:ascii="Times New Roman" w:hAnsi="Times New Roman" w:cs="Times New Roman"/>
          <w:b/>
          <w:sz w:val="24"/>
          <w:szCs w:val="24"/>
        </w:rPr>
      </w:pPr>
    </w:p>
    <w:p w14:paraId="25F5DA73" w14:textId="77777777" w:rsidR="00134F63" w:rsidRPr="001227E6" w:rsidRDefault="00134F63" w:rsidP="00916E06">
      <w:pPr>
        <w:jc w:val="both"/>
        <w:rPr>
          <w:rFonts w:ascii="Times New Roman" w:hAnsi="Times New Roman" w:cs="Times New Roman"/>
          <w:b/>
          <w:sz w:val="24"/>
          <w:szCs w:val="24"/>
        </w:rPr>
      </w:pPr>
    </w:p>
    <w:p w14:paraId="63CA2BBE" w14:textId="77777777" w:rsidR="00134F63" w:rsidRPr="001227E6" w:rsidRDefault="00134F63" w:rsidP="00916E06">
      <w:pPr>
        <w:jc w:val="both"/>
        <w:rPr>
          <w:rFonts w:ascii="Times New Roman" w:hAnsi="Times New Roman" w:cs="Times New Roman"/>
          <w:b/>
          <w:sz w:val="24"/>
          <w:szCs w:val="24"/>
        </w:rPr>
      </w:pPr>
    </w:p>
    <w:p w14:paraId="5DFCFA2E" w14:textId="77777777" w:rsidR="00134F63" w:rsidRPr="001227E6" w:rsidRDefault="00134F63" w:rsidP="00916E06">
      <w:pPr>
        <w:jc w:val="both"/>
        <w:rPr>
          <w:rFonts w:ascii="Times New Roman" w:hAnsi="Times New Roman" w:cs="Times New Roman"/>
          <w:b/>
          <w:sz w:val="24"/>
          <w:szCs w:val="24"/>
        </w:rPr>
      </w:pPr>
    </w:p>
    <w:p w14:paraId="4D168E9A" w14:textId="77777777" w:rsidR="00134F63" w:rsidRDefault="00134F63" w:rsidP="00916E06">
      <w:pPr>
        <w:jc w:val="both"/>
        <w:rPr>
          <w:rFonts w:ascii="Times New Roman" w:hAnsi="Times New Roman" w:cs="Times New Roman"/>
          <w:b/>
          <w:sz w:val="24"/>
          <w:szCs w:val="24"/>
        </w:rPr>
      </w:pPr>
    </w:p>
    <w:p w14:paraId="75698641" w14:textId="77777777" w:rsidR="002B3ADC" w:rsidRDefault="002B3ADC" w:rsidP="00916E06">
      <w:pPr>
        <w:jc w:val="both"/>
        <w:rPr>
          <w:rFonts w:ascii="Times New Roman" w:hAnsi="Times New Roman" w:cs="Times New Roman"/>
          <w:b/>
          <w:sz w:val="24"/>
          <w:szCs w:val="24"/>
        </w:rPr>
      </w:pPr>
    </w:p>
    <w:p w14:paraId="6C50636C" w14:textId="77777777" w:rsidR="002B3ADC" w:rsidRDefault="002B3ADC" w:rsidP="00916E06">
      <w:pPr>
        <w:jc w:val="both"/>
        <w:rPr>
          <w:rFonts w:ascii="Times New Roman" w:hAnsi="Times New Roman" w:cs="Times New Roman"/>
          <w:b/>
          <w:sz w:val="24"/>
          <w:szCs w:val="24"/>
        </w:rPr>
      </w:pPr>
    </w:p>
    <w:p w14:paraId="63031128" w14:textId="77777777" w:rsidR="002B3ADC" w:rsidRDefault="002B3ADC" w:rsidP="00916E06">
      <w:pPr>
        <w:jc w:val="both"/>
        <w:rPr>
          <w:rFonts w:ascii="Times New Roman" w:hAnsi="Times New Roman" w:cs="Times New Roman"/>
          <w:b/>
          <w:sz w:val="24"/>
          <w:szCs w:val="24"/>
        </w:rPr>
      </w:pPr>
    </w:p>
    <w:p w14:paraId="07B60D2B" w14:textId="77777777" w:rsidR="002B3ADC" w:rsidRDefault="002B3ADC" w:rsidP="00916E06">
      <w:pPr>
        <w:jc w:val="both"/>
        <w:rPr>
          <w:rFonts w:ascii="Times New Roman" w:hAnsi="Times New Roman" w:cs="Times New Roman"/>
          <w:b/>
          <w:sz w:val="24"/>
          <w:szCs w:val="24"/>
        </w:rPr>
      </w:pPr>
    </w:p>
    <w:p w14:paraId="6E23D1BB" w14:textId="77777777" w:rsidR="002B3ADC" w:rsidRDefault="002B3ADC" w:rsidP="00916E06">
      <w:pPr>
        <w:jc w:val="both"/>
        <w:rPr>
          <w:rFonts w:ascii="Times New Roman" w:hAnsi="Times New Roman" w:cs="Times New Roman"/>
          <w:b/>
          <w:sz w:val="24"/>
          <w:szCs w:val="24"/>
        </w:rPr>
      </w:pPr>
    </w:p>
    <w:p w14:paraId="6F31EC17" w14:textId="77777777" w:rsidR="002B3ADC" w:rsidRDefault="002B3ADC" w:rsidP="00916E06">
      <w:pPr>
        <w:jc w:val="both"/>
        <w:rPr>
          <w:rFonts w:ascii="Times New Roman" w:hAnsi="Times New Roman" w:cs="Times New Roman"/>
          <w:b/>
          <w:sz w:val="24"/>
          <w:szCs w:val="24"/>
        </w:rPr>
      </w:pPr>
    </w:p>
    <w:p w14:paraId="693B239E" w14:textId="77777777" w:rsidR="002B3ADC" w:rsidRDefault="002B3ADC" w:rsidP="00916E06">
      <w:pPr>
        <w:jc w:val="both"/>
        <w:rPr>
          <w:rFonts w:ascii="Times New Roman" w:hAnsi="Times New Roman" w:cs="Times New Roman"/>
          <w:b/>
          <w:sz w:val="24"/>
          <w:szCs w:val="24"/>
        </w:rPr>
      </w:pPr>
    </w:p>
    <w:p w14:paraId="1CD24894" w14:textId="77777777" w:rsidR="002B3ADC" w:rsidRDefault="002B3ADC" w:rsidP="00916E06">
      <w:pPr>
        <w:jc w:val="both"/>
        <w:rPr>
          <w:rFonts w:ascii="Times New Roman" w:hAnsi="Times New Roman" w:cs="Times New Roman"/>
          <w:b/>
          <w:sz w:val="24"/>
          <w:szCs w:val="24"/>
        </w:rPr>
      </w:pPr>
    </w:p>
    <w:p w14:paraId="4A3729FC" w14:textId="77777777" w:rsidR="002B3ADC" w:rsidRDefault="002B3ADC" w:rsidP="00916E06">
      <w:pPr>
        <w:jc w:val="both"/>
        <w:rPr>
          <w:rFonts w:ascii="Times New Roman" w:hAnsi="Times New Roman" w:cs="Times New Roman"/>
          <w:b/>
          <w:sz w:val="24"/>
          <w:szCs w:val="24"/>
        </w:rPr>
      </w:pPr>
    </w:p>
    <w:p w14:paraId="415288AE" w14:textId="77777777" w:rsidR="002B3ADC" w:rsidRDefault="002B3ADC" w:rsidP="00916E06">
      <w:pPr>
        <w:jc w:val="both"/>
        <w:rPr>
          <w:rFonts w:ascii="Times New Roman" w:hAnsi="Times New Roman" w:cs="Times New Roman"/>
          <w:b/>
          <w:sz w:val="24"/>
          <w:szCs w:val="24"/>
        </w:rPr>
      </w:pPr>
    </w:p>
    <w:p w14:paraId="165256C7" w14:textId="77777777" w:rsidR="002B3ADC" w:rsidRDefault="002B3ADC" w:rsidP="00916E06">
      <w:pPr>
        <w:jc w:val="both"/>
        <w:rPr>
          <w:rFonts w:ascii="Times New Roman" w:hAnsi="Times New Roman" w:cs="Times New Roman"/>
          <w:b/>
          <w:sz w:val="24"/>
          <w:szCs w:val="24"/>
        </w:rPr>
      </w:pPr>
    </w:p>
    <w:p w14:paraId="6FD7C26B" w14:textId="77777777" w:rsidR="002B3ADC" w:rsidRDefault="002B3ADC" w:rsidP="00916E06">
      <w:pPr>
        <w:jc w:val="both"/>
        <w:rPr>
          <w:rFonts w:ascii="Times New Roman" w:hAnsi="Times New Roman" w:cs="Times New Roman"/>
          <w:b/>
          <w:sz w:val="24"/>
          <w:szCs w:val="24"/>
        </w:rPr>
      </w:pPr>
    </w:p>
    <w:p w14:paraId="434A7091" w14:textId="77777777" w:rsidR="002B3ADC" w:rsidRDefault="002B3ADC" w:rsidP="00916E06">
      <w:pPr>
        <w:jc w:val="both"/>
        <w:rPr>
          <w:rFonts w:ascii="Times New Roman" w:hAnsi="Times New Roman" w:cs="Times New Roman"/>
          <w:b/>
          <w:sz w:val="24"/>
          <w:szCs w:val="24"/>
        </w:rPr>
      </w:pPr>
    </w:p>
    <w:p w14:paraId="19CD4185" w14:textId="77777777" w:rsidR="002B3ADC" w:rsidRDefault="002B3ADC" w:rsidP="00916E06">
      <w:pPr>
        <w:jc w:val="both"/>
        <w:rPr>
          <w:rFonts w:ascii="Times New Roman" w:hAnsi="Times New Roman" w:cs="Times New Roman"/>
          <w:b/>
          <w:sz w:val="24"/>
          <w:szCs w:val="24"/>
        </w:rPr>
      </w:pPr>
    </w:p>
    <w:p w14:paraId="725752CC" w14:textId="77777777" w:rsidR="002B3ADC" w:rsidRPr="001227E6" w:rsidRDefault="002B3ADC" w:rsidP="00916E06">
      <w:pPr>
        <w:jc w:val="both"/>
        <w:rPr>
          <w:rFonts w:ascii="Times New Roman" w:hAnsi="Times New Roman" w:cs="Times New Roman"/>
          <w:b/>
          <w:sz w:val="24"/>
          <w:szCs w:val="24"/>
        </w:rPr>
      </w:pPr>
    </w:p>
    <w:p w14:paraId="1B1040E4" w14:textId="77777777" w:rsidR="00134F63" w:rsidRPr="001227E6" w:rsidRDefault="00134F63" w:rsidP="00916E06">
      <w:pPr>
        <w:jc w:val="both"/>
        <w:rPr>
          <w:rFonts w:ascii="Times New Roman" w:hAnsi="Times New Roman" w:cs="Times New Roman"/>
          <w:b/>
          <w:sz w:val="24"/>
          <w:szCs w:val="24"/>
        </w:rPr>
      </w:pPr>
    </w:p>
    <w:p w14:paraId="59962A24" w14:textId="77777777" w:rsidR="00134F63" w:rsidRPr="00603435" w:rsidRDefault="00134F63"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97368743"/>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Methodology</w:t>
      </w:r>
      <w:bookmarkEnd w:id="3"/>
    </w:p>
    <w:p w14:paraId="70DB9392"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This study employs a qualitative analytical framework to evaluate the feasibility and strategic benefits of Chinese investment in Bangladesh’s semiconductor industry, addressing the global semiconductor market’s dynamics and Bangladesh’s potential as a manufacturing hub. The research is guided by seven key questions, which structure the analysis and focus on economic, socio-cultural, and geopolitical dimensions of the proposed partnership:</w:t>
      </w:r>
    </w:p>
    <w:p w14:paraId="32B948D8"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should the Chinese government invest in Bangladesh’s education system?</w:t>
      </w:r>
    </w:p>
    <w:p w14:paraId="092C433D"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is the education system a critical focus for this partnership?</w:t>
      </w:r>
    </w:p>
    <w:p w14:paraId="021C3A8E"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will the Bangladeshi people support Chinese investment in the semiconductor industry?</w:t>
      </w:r>
    </w:p>
    <w:p w14:paraId="0FFF0054"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do Bangladeshi graduates prefer government jobs, and how can China address this preference?</w:t>
      </w:r>
    </w:p>
    <w:p w14:paraId="44BC4679"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Why is Bangladesh geopolitically important to China?</w:t>
      </w:r>
    </w:p>
    <w:p w14:paraId="05E86408"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How will this investment enhance China’s position in the long term?</w:t>
      </w:r>
    </w:p>
    <w:p w14:paraId="3F5232BD" w14:textId="77777777" w:rsidR="00134F63" w:rsidRPr="001227E6" w:rsidRDefault="00134F63" w:rsidP="00457BAE">
      <w:pPr>
        <w:pStyle w:val="ListParagraph"/>
        <w:numPr>
          <w:ilvl w:val="0"/>
          <w:numId w:val="1"/>
        </w:numPr>
        <w:jc w:val="both"/>
        <w:rPr>
          <w:rFonts w:ascii="Times New Roman" w:hAnsi="Times New Roman" w:cs="Times New Roman"/>
          <w:sz w:val="24"/>
          <w:szCs w:val="24"/>
        </w:rPr>
      </w:pPr>
      <w:r w:rsidRPr="001227E6">
        <w:rPr>
          <w:rFonts w:ascii="Times New Roman" w:hAnsi="Times New Roman" w:cs="Times New Roman"/>
          <w:sz w:val="24"/>
          <w:szCs w:val="24"/>
        </w:rPr>
        <w:t>What unique attributes make Bangladesh an ideal partner for this collaboration?</w:t>
      </w:r>
    </w:p>
    <w:p w14:paraId="4F716077"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These questions, derived from the study’s objective to propose a “win-win” partnership aligned with China’s Belt and Road Initiative (BRI) and Bangladesh’s Digital Bangladesh vision, provide a comprehensive framework to assess the partnership’s viability.</w:t>
      </w:r>
    </w:p>
    <w:p w14:paraId="4B8E8CF9" w14:textId="77777777" w:rsidR="00134F63"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97368744"/>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Sources and Collection</w:t>
      </w:r>
      <w:bookmarkEnd w:id="4"/>
    </w:p>
    <w:p w14:paraId="36C2FAD5"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 analysis draws on secondary data from reputable sources to ensure reliability and validity. Key data sources include:</w:t>
      </w:r>
    </w:p>
    <w:p w14:paraId="711D9711"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World Bank (2023):</w:t>
      </w:r>
      <w:r w:rsidRPr="001227E6">
        <w:rPr>
          <w:rFonts w:ascii="Times New Roman" w:hAnsi="Times New Roman" w:cs="Times New Roman"/>
          <w:sz w:val="24"/>
          <w:szCs w:val="24"/>
        </w:rPr>
        <w:t xml:space="preserve"> Provides economic indicators for Bangladesh, such as 8% GDP growth, $2,688 per capita GDP, and 12% unemployment rate, contextualizing its economic potential [4].</w:t>
      </w:r>
    </w:p>
    <w:p w14:paraId="17395147"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Pew Research Center (2020):</w:t>
      </w:r>
      <w:r w:rsidRPr="001227E6">
        <w:rPr>
          <w:rFonts w:ascii="Times New Roman" w:hAnsi="Times New Roman" w:cs="Times New Roman"/>
          <w:sz w:val="24"/>
          <w:szCs w:val="24"/>
        </w:rPr>
        <w:t xml:space="preserve"> Offers public sentiment data, including 70% favorability toward China and 40% toward India, critical for assessing cooperation feasibility [6].</w:t>
      </w:r>
    </w:p>
    <w:p w14:paraId="0CEFCC11"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Bangladesh Institute of Development Studies (BIDS, 2022):</w:t>
      </w:r>
      <w:r w:rsidRPr="001227E6">
        <w:rPr>
          <w:rFonts w:ascii="Times New Roman" w:hAnsi="Times New Roman" w:cs="Times New Roman"/>
          <w:sz w:val="24"/>
          <w:szCs w:val="24"/>
        </w:rPr>
        <w:t xml:space="preserve"> Supplies socio-cultural data, such as 60% of graduates aspiring to government jobs, informing workforce dynamics [12].</w:t>
      </w:r>
    </w:p>
    <w:p w14:paraId="66744F49"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Bangladesh Bank (2022):</w:t>
      </w:r>
      <w:r w:rsidRPr="001227E6">
        <w:rPr>
          <w:rFonts w:ascii="Times New Roman" w:hAnsi="Times New Roman" w:cs="Times New Roman"/>
          <w:sz w:val="24"/>
          <w:szCs w:val="24"/>
        </w:rPr>
        <w:t xml:space="preserve"> Details trade statistics, including India’s $10.21 billion trade deficit with Bangladesh, highlighting geopolitical tensions [17].</w:t>
      </w:r>
    </w:p>
    <w:p w14:paraId="17129CAE"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 xml:space="preserve">Statista (2024): </w:t>
      </w:r>
      <w:r w:rsidRPr="001227E6">
        <w:rPr>
          <w:rFonts w:ascii="Times New Roman" w:hAnsi="Times New Roman" w:cs="Times New Roman"/>
          <w:sz w:val="24"/>
          <w:szCs w:val="24"/>
        </w:rPr>
        <w:t>Provides global semiconductor market data, such as $555.9 billion valuation and 70% production share by Taiwan and South Korea, framing the industry context [1].</w:t>
      </w:r>
    </w:p>
    <w:p w14:paraId="40118E09"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Stimson Center (2023):</w:t>
      </w:r>
      <w:r w:rsidRPr="001227E6">
        <w:rPr>
          <w:rFonts w:ascii="Times New Roman" w:hAnsi="Times New Roman" w:cs="Times New Roman"/>
          <w:sz w:val="24"/>
          <w:szCs w:val="24"/>
        </w:rPr>
        <w:t xml:space="preserve"> Documents China’s $10 billion BRI investments in Bangladesh, supporting infrastructure readiness analysis [14].</w:t>
      </w:r>
    </w:p>
    <w:p w14:paraId="7C82CC67" w14:textId="77777777" w:rsidR="00134F63" w:rsidRPr="001227E6" w:rsidRDefault="00134F63" w:rsidP="00134F63">
      <w:pPr>
        <w:jc w:val="both"/>
        <w:rPr>
          <w:rFonts w:ascii="Times New Roman" w:hAnsi="Times New Roman" w:cs="Times New Roman"/>
          <w:sz w:val="24"/>
          <w:szCs w:val="24"/>
        </w:rPr>
      </w:pPr>
      <w:r w:rsidRPr="002B3ADC">
        <w:rPr>
          <w:rFonts w:ascii="Times New Roman" w:hAnsi="Times New Roman" w:cs="Times New Roman"/>
          <w:b/>
          <w:sz w:val="24"/>
          <w:szCs w:val="24"/>
        </w:rPr>
        <w:t xml:space="preserve">UNESCO (2023): </w:t>
      </w:r>
      <w:r w:rsidRPr="001227E6">
        <w:rPr>
          <w:rFonts w:ascii="Times New Roman" w:hAnsi="Times New Roman" w:cs="Times New Roman"/>
          <w:sz w:val="24"/>
          <w:szCs w:val="24"/>
        </w:rPr>
        <w:t>Reports education spending (4% of GDP in Bangladesh vs. 6% in South Korea), underscoring educational gaps [10].</w:t>
      </w:r>
    </w:p>
    <w:p w14:paraId="40E88327" w14:textId="77777777" w:rsidR="00603435" w:rsidRPr="00603435" w:rsidRDefault="00134F63" w:rsidP="00603435">
      <w:pPr>
        <w:jc w:val="both"/>
        <w:rPr>
          <w:rFonts w:ascii="Times New Roman" w:hAnsi="Times New Roman" w:cs="Times New Roman"/>
          <w:sz w:val="24"/>
          <w:szCs w:val="24"/>
        </w:rPr>
      </w:pPr>
      <w:r w:rsidRPr="001227E6">
        <w:rPr>
          <w:rFonts w:ascii="Times New Roman" w:hAnsi="Times New Roman" w:cs="Times New Roman"/>
          <w:sz w:val="24"/>
          <w:szCs w:val="24"/>
        </w:rPr>
        <w:lastRenderedPageBreak/>
        <w:t>These sources were selected for their credibility and relevance, with data cross-verified where possible (e.g., World Bank and BBS unemployment figures) [4, 5]. Additional sources, such as the Chinese Embassy in Dhaka (2021) for vaccine diplomacy data and the Centre for Policy Dialogue (CPD, 2021) for public perceptions, enhance the socio-political analysis [19, 20].</w:t>
      </w:r>
    </w:p>
    <w:p w14:paraId="32FC5333" w14:textId="77777777" w:rsidR="00134F63"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97368745"/>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Analytical Approach</w:t>
      </w:r>
      <w:bookmarkEnd w:id="5"/>
    </w:p>
    <w:p w14:paraId="151091D0"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 study adopts a qualitative approach, integrating thematic analysis and comparative case studies to address the research questions. Thematic analysis organizes data into economic, socio-cultural, and geopolitical themes, corresponding to the questions’ focus areas. For example, questions 1 and 2 (education investment) are analyzed through economic and workforce development themes, using UNESCO and BBS data to highlight STEM graduate shortages (15% of graduates) [10, 5]. Questions 3 and 4 (public support and government job preference) leverage socio-cultural themes, drawing on Pew Research and BIDS surveys to explore cultural dynamics [6, 12]. Questions 5–7 (geopolitical importance, long-term benefits, Bangladesh’s uniqueness) are analyzed through geopolitical themes, using Stimson Center and Bangladesh Bank data to assess strategic alignment with China’s BRI [14, 17].</w:t>
      </w:r>
    </w:p>
    <w:p w14:paraId="37B69A93"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Comparative case studies complement the thematic analysis, providing historical and contextual insights into successful tech-driven partnerships. The study draws on South Korea’s 1980s education reforms, which increased STEM graduates by 20% annually and fueled Samsung’s semiconductor dominance [11]. India’s IT boom in the 1990s, driven by firms like Infosys offering high-paying private-sector jobs, serves as a model for shifting cultural preferences from government to tech careers [21]. These cases, informed by the researcher’s i</w:t>
      </w:r>
      <w:r w:rsidR="00972572">
        <w:rPr>
          <w:rFonts w:ascii="Times New Roman" w:hAnsi="Times New Roman" w:cs="Times New Roman"/>
          <w:sz w:val="24"/>
          <w:szCs w:val="24"/>
        </w:rPr>
        <w:t>nterest in comparative analysis</w:t>
      </w:r>
      <w:r w:rsidRPr="001227E6">
        <w:rPr>
          <w:rFonts w:ascii="Times New Roman" w:hAnsi="Times New Roman" w:cs="Times New Roman"/>
          <w:sz w:val="24"/>
          <w:szCs w:val="24"/>
        </w:rPr>
        <w:t>, justify the proposed educational and workforce strategies for Bangladesh. The qualitative approach allows for a nuanced exploration of complex factors, such as public sentiment and geopolitical strategy, which quantitative methods alone might overlook.</w:t>
      </w:r>
    </w:p>
    <w:p w14:paraId="7354D436" w14:textId="77777777" w:rsidR="00134F63"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97368746"/>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Assumptions and Limitations</w:t>
      </w:r>
      <w:bookmarkEnd w:id="6"/>
    </w:p>
    <w:p w14:paraId="185E2184"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The analysis assumes Bangladesh’s openness to Chinese investment, based on 70% public favorability toward China and tangible BRI contributions, such as the $3.6 billion Padma Bridge [6, 14]. This assumption is supported by Bangladesh’s growing frustration with India, evidenced by a 62% perception of excessive Indian influence [20]. However, several limitations must be acknowledged:</w:t>
      </w:r>
    </w:p>
    <w:p w14:paraId="6E388F34" w14:textId="77777777" w:rsidR="00134F63" w:rsidRPr="001227E6" w:rsidRDefault="00134F63" w:rsidP="00134F63">
      <w:pPr>
        <w:jc w:val="both"/>
        <w:rPr>
          <w:rFonts w:ascii="Times New Roman" w:hAnsi="Times New Roman" w:cs="Times New Roman"/>
          <w:sz w:val="24"/>
          <w:szCs w:val="24"/>
        </w:rPr>
      </w:pPr>
      <w:r w:rsidRPr="00972572">
        <w:rPr>
          <w:rFonts w:ascii="Times New Roman" w:hAnsi="Times New Roman" w:cs="Times New Roman"/>
          <w:b/>
          <w:sz w:val="24"/>
          <w:szCs w:val="24"/>
        </w:rPr>
        <w:t>Public sentiment bias:</w:t>
      </w:r>
      <w:r w:rsidRPr="001227E6">
        <w:rPr>
          <w:rFonts w:ascii="Times New Roman" w:hAnsi="Times New Roman" w:cs="Times New Roman"/>
          <w:sz w:val="24"/>
          <w:szCs w:val="24"/>
        </w:rPr>
        <w:t xml:space="preserve"> Survey data from Pew Research and CPD may reflect temporary sentiments influenced by specific events (e.g., China’s 2021 vaccine donations), potentially overestimating long-term support [6, 20].</w:t>
      </w:r>
    </w:p>
    <w:p w14:paraId="0ADABE52" w14:textId="77777777" w:rsidR="00134F63" w:rsidRPr="001227E6" w:rsidRDefault="00134F63" w:rsidP="00134F63">
      <w:pPr>
        <w:jc w:val="both"/>
        <w:rPr>
          <w:rFonts w:ascii="Times New Roman" w:hAnsi="Times New Roman" w:cs="Times New Roman"/>
          <w:sz w:val="24"/>
          <w:szCs w:val="24"/>
        </w:rPr>
      </w:pPr>
      <w:r w:rsidRPr="00972572">
        <w:rPr>
          <w:rFonts w:ascii="Times New Roman" w:hAnsi="Times New Roman" w:cs="Times New Roman"/>
          <w:b/>
          <w:sz w:val="24"/>
          <w:szCs w:val="24"/>
        </w:rPr>
        <w:t>Infrastructure cost estimates:</w:t>
      </w:r>
      <w:r w:rsidRPr="001227E6">
        <w:rPr>
          <w:rFonts w:ascii="Times New Roman" w:hAnsi="Times New Roman" w:cs="Times New Roman"/>
          <w:sz w:val="24"/>
          <w:szCs w:val="24"/>
        </w:rPr>
        <w:t xml:space="preserve"> Projections, such as the $5 billion needed for chip plants or $2 billion for renewable energy, rely on government and industry reports, which may lack precision due to fluctuating costs [7].</w:t>
      </w:r>
    </w:p>
    <w:p w14:paraId="04C41028" w14:textId="77777777" w:rsidR="00134F63" w:rsidRPr="001227E6" w:rsidRDefault="00134F63" w:rsidP="00134F63">
      <w:pPr>
        <w:jc w:val="both"/>
        <w:rPr>
          <w:rFonts w:ascii="Times New Roman" w:hAnsi="Times New Roman" w:cs="Times New Roman"/>
          <w:sz w:val="24"/>
          <w:szCs w:val="24"/>
        </w:rPr>
      </w:pPr>
      <w:r w:rsidRPr="00213DFB">
        <w:rPr>
          <w:rFonts w:ascii="Times New Roman" w:hAnsi="Times New Roman" w:cs="Times New Roman"/>
          <w:b/>
          <w:sz w:val="24"/>
          <w:szCs w:val="24"/>
        </w:rPr>
        <w:t>Data gaps:</w:t>
      </w:r>
      <w:r w:rsidRPr="001227E6">
        <w:rPr>
          <w:rFonts w:ascii="Times New Roman" w:hAnsi="Times New Roman" w:cs="Times New Roman"/>
          <w:sz w:val="24"/>
          <w:szCs w:val="24"/>
        </w:rPr>
        <w:t xml:space="preserve"> Limited data on Bangladesh’s current semiconductor capacity restricts analysis of baseline capabilities, requiring reliance on analogous case studies.</w:t>
      </w:r>
    </w:p>
    <w:p w14:paraId="70AC8321" w14:textId="77777777" w:rsidR="00134F63" w:rsidRPr="001227E6" w:rsidRDefault="00134F63" w:rsidP="00134F63">
      <w:pPr>
        <w:jc w:val="both"/>
        <w:rPr>
          <w:rFonts w:ascii="Times New Roman" w:hAnsi="Times New Roman" w:cs="Times New Roman"/>
          <w:sz w:val="24"/>
          <w:szCs w:val="24"/>
        </w:rPr>
      </w:pPr>
      <w:r w:rsidRPr="00213DFB">
        <w:rPr>
          <w:rFonts w:ascii="Times New Roman" w:hAnsi="Times New Roman" w:cs="Times New Roman"/>
          <w:b/>
          <w:sz w:val="24"/>
          <w:szCs w:val="24"/>
        </w:rPr>
        <w:lastRenderedPageBreak/>
        <w:t>Geopolitical risks:</w:t>
      </w:r>
      <w:r w:rsidRPr="001227E6">
        <w:rPr>
          <w:rFonts w:ascii="Times New Roman" w:hAnsi="Times New Roman" w:cs="Times New Roman"/>
          <w:sz w:val="24"/>
          <w:szCs w:val="24"/>
        </w:rPr>
        <w:t xml:space="preserve"> The assumption of stable China-Bangladesh relations does not fully account for potential disruptions, such as</w:t>
      </w:r>
      <w:r w:rsidR="004F376F" w:rsidRPr="001227E6">
        <w:rPr>
          <w:rFonts w:ascii="Times New Roman" w:hAnsi="Times New Roman" w:cs="Times New Roman"/>
          <w:sz w:val="24"/>
          <w:szCs w:val="24"/>
        </w:rPr>
        <w:t xml:space="preserve"> U.S. or Indian counteractions.</w:t>
      </w:r>
    </w:p>
    <w:p w14:paraId="252F7676" w14:textId="77777777" w:rsidR="00134F63" w:rsidRPr="001227E6" w:rsidRDefault="00134F63" w:rsidP="00134F63">
      <w:pPr>
        <w:jc w:val="both"/>
        <w:rPr>
          <w:rFonts w:ascii="Times New Roman" w:hAnsi="Times New Roman" w:cs="Times New Roman"/>
          <w:sz w:val="24"/>
          <w:szCs w:val="24"/>
        </w:rPr>
      </w:pPr>
      <w:r w:rsidRPr="001227E6">
        <w:rPr>
          <w:rFonts w:ascii="Times New Roman" w:hAnsi="Times New Roman" w:cs="Times New Roman"/>
          <w:sz w:val="24"/>
          <w:szCs w:val="24"/>
        </w:rPr>
        <w:t>To mitigate these limitations, the study cross-references multiple sources (e.g., World Bank and BBS) and uses case studies to contextualize findings [4, 5]. Future research could incorporate primary data, such as interviews with Bangladeshi policymakers or Chinese investors, to enhance robustness.</w:t>
      </w:r>
    </w:p>
    <w:p w14:paraId="28E04EE1" w14:textId="77777777" w:rsidR="00134F63"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97368747"/>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F376F"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sidR="00134F63"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Rationale</w:t>
      </w:r>
      <w:bookmarkEnd w:id="7"/>
    </w:p>
    <w:p w14:paraId="403EE88D" w14:textId="77777777" w:rsidR="00296726" w:rsidRPr="001227E6" w:rsidRDefault="00134F63" w:rsidP="00296726">
      <w:pPr>
        <w:jc w:val="both"/>
        <w:rPr>
          <w:rFonts w:ascii="Times New Roman" w:hAnsi="Times New Roman" w:cs="Times New Roman"/>
          <w:sz w:val="24"/>
          <w:szCs w:val="24"/>
        </w:rPr>
      </w:pPr>
      <w:r w:rsidRPr="001227E6">
        <w:rPr>
          <w:rFonts w:ascii="Times New Roman" w:hAnsi="Times New Roman" w:cs="Times New Roman"/>
          <w:sz w:val="24"/>
          <w:szCs w:val="24"/>
        </w:rPr>
        <w:t>This methodology provides a structured approach to answering the seven research questions, offering a roadmap for the Results section. The qualitative framework is appropriate given the study’s focus on complex, interrelated factors—economic potential, cultural dynamics, and geopolitical strategy—that require interpretive depth. The use of reliable secondary data ensures credibility, while case studies ground the analysis in proven models of tech-driven development. By acknowledging limitations, the study maintains transparency, aligning with academic standards and supporting the thesis of a mutually beneficial China-Bangl</w:t>
      </w:r>
      <w:r w:rsidR="00296726" w:rsidRPr="001227E6">
        <w:rPr>
          <w:rFonts w:ascii="Times New Roman" w:hAnsi="Times New Roman" w:cs="Times New Roman"/>
          <w:sz w:val="24"/>
          <w:szCs w:val="24"/>
        </w:rPr>
        <w:t>adesh semiconductor partnership</w:t>
      </w:r>
    </w:p>
    <w:p w14:paraId="486C48C2" w14:textId="77777777" w:rsidR="00296726" w:rsidRPr="001227E6" w:rsidRDefault="00296726" w:rsidP="007760EF">
      <w:pPr>
        <w:jc w:val="center"/>
        <w:rPr>
          <w:rFonts w:ascii="Times New Roman" w:hAnsi="Times New Roman" w:cs="Times New Roman"/>
          <w:sz w:val="24"/>
          <w:szCs w:val="24"/>
        </w:rPr>
      </w:pPr>
      <w:r w:rsidRPr="001227E6">
        <w:rPr>
          <w:rFonts w:ascii="Times New Roman" w:hAnsi="Times New Roman" w:cs="Times New Roman"/>
          <w:sz w:val="24"/>
          <w:szCs w:val="24"/>
        </w:rPr>
        <w:br w:type="page"/>
      </w:r>
    </w:p>
    <w:p w14:paraId="7D3004A7" w14:textId="77777777" w:rsidR="00E86466" w:rsidRPr="00603435" w:rsidRDefault="00E86466" w:rsidP="00603435">
      <w:pPr>
        <w:pStyle w:val="Heading1"/>
        <w:jc w:val="center"/>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97368748"/>
      <w:r w:rsidRPr="00603435">
        <w:rPr>
          <w:rStyle w:val="Heading1Cha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Results</w:t>
      </w:r>
      <w:bookmarkEnd w:id="8"/>
    </w:p>
    <w:p w14:paraId="362F7421" w14:textId="77777777" w:rsidR="00E86466" w:rsidRPr="001227E6" w:rsidRDefault="00E86466" w:rsidP="00E86466">
      <w:pPr>
        <w:jc w:val="both"/>
        <w:rPr>
          <w:rFonts w:ascii="Times New Roman" w:hAnsi="Times New Roman" w:cs="Times New Roman"/>
          <w:sz w:val="24"/>
          <w:szCs w:val="24"/>
        </w:rPr>
      </w:pPr>
      <w:r w:rsidRPr="001227E6">
        <w:rPr>
          <w:rFonts w:ascii="Times New Roman" w:hAnsi="Times New Roman" w:cs="Times New Roman"/>
          <w:sz w:val="24"/>
          <w:szCs w:val="24"/>
        </w:rPr>
        <w:t>This study evaluates the feasibility of Chinese investment in Bangladesh’s semiconductor industry, addressing seven research questions through qualitative analysis of economic, socio-cultural, and geopolitical factors. The findings, organized by question, demonstrate the partnership’s potential to create economic growth, transform the workforce, garner public support, yield geopolitical advantages, shift cultural preferences, and leverage existing infrastructure. Data from reputable sources, including the Bangladesh Investment Development Authority (BIDA), Pew Research Center, and the World Bank, underpin the results, with visuals illustrating key trends and comparative insights from South Korea, India, and China highlighting the partnership’s viability.</w:t>
      </w:r>
    </w:p>
    <w:p w14:paraId="5586DA66" w14:textId="77777777" w:rsidR="00FE0241" w:rsidRDefault="00FE0241" w:rsidP="00213DFB">
      <w:pPr>
        <w:pStyle w:val="Heading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754EAD" w14:textId="77777777" w:rsidR="00E86466"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97368749"/>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E8646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Why Should China Invest in Bangladesh’s Education System?</w:t>
      </w:r>
      <w:bookmarkEnd w:id="9"/>
    </w:p>
    <w:p w14:paraId="7C581198" w14:textId="77777777" w:rsidR="00034E9A" w:rsidRPr="00034E9A"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 xml:space="preserve">Investing in Bangladesh’s education system is a strategic imperative for China to foster a skilled semiconductor workforce, ensuring the partnership’s success and advancing both nations’ economic and technological ambitions. Bangladesh’s education sector, constrained by a 4% GDP allocation, produces only 300,000 STEM graduates annually from 2 million total graduates, with a mere 5% trained in specialized fields like semiconductor design, microelectronics, or process engineering [10, 5]. A $1.5 billion Chinese investment could revolutionize this landscape by establishing 25 state-of-the-art semiconductor training academies, funding 20,000 annual scholarships for low-income students, and upgrading 150 technical colleges with cutting-edge labs by 2035. This initiative could triple the STEM graduate rate to 45%, yielding 200,000 skilled professionals capable of supporting mid-range chip production (28nm nodes) and reducing Bangladesh’s 12.5% </w:t>
      </w:r>
      <w:r>
        <w:rPr>
          <w:rFonts w:ascii="Times New Roman" w:hAnsi="Times New Roman" w:cs="Times New Roman"/>
          <w:sz w:val="24"/>
          <w:szCs w:val="24"/>
        </w:rPr>
        <w:t>graduate unemployment rate [7].</w:t>
      </w:r>
    </w:p>
    <w:p w14:paraId="59A7F0C0" w14:textId="77777777" w:rsidR="00134F63" w:rsidRPr="001227E6"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For China, this investment mitigates risks from U.S. export controls, which have restricted access to advanced chip technologies since 2022, by creating a reliable manufacturing hub [3]. By building Bangladesh’s human capital, China can emulate Singapore’s education-driven tech model, where a 50% STEM graduate rate in the 1980s attracted $30 billion in semiconductor FDI by 2000 [2]. The investment also strengthens China’s soft power, positioning it as a champion of educational empowerment in the Global South, akin to its $1 billion university partnerships in Malaysia, which trained 30,000 engineers by 2022 [14]. For Bangladesh, a transformed education system accelerates its shift from a textile-dominated economy (16% of GDP) to a high-tech hub, fostering innovation and reducing brain drain, with 80% of STEM graduates currently seeking opportunities abroad [4]. Additionally, partnerships with Chinese tech giants like Huawei could introduce dual-degree programs, blending academic and industry training to produce 10,000 chip designers annually by 2030, enhancing the partnership’s long-term viability [22].</w:t>
      </w:r>
    </w:p>
    <w:p w14:paraId="1ACBCB65" w14:textId="77777777" w:rsidR="00E86466" w:rsidRPr="001227E6" w:rsidRDefault="00E86466" w:rsidP="00E86466">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7B0BF73B" wp14:editId="15188C58">
            <wp:extent cx="5078095" cy="3609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8095" cy="3609340"/>
                    </a:xfrm>
                    <a:prstGeom prst="rect">
                      <a:avLst/>
                    </a:prstGeom>
                    <a:noFill/>
                  </pic:spPr>
                </pic:pic>
              </a:graphicData>
            </a:graphic>
          </wp:inline>
        </w:drawing>
      </w:r>
    </w:p>
    <w:p w14:paraId="1746ACC6" w14:textId="77777777" w:rsidR="00213DFB" w:rsidRDefault="00E86466" w:rsidP="00213DFB">
      <w:pPr>
        <w:jc w:val="center"/>
        <w:rPr>
          <w:rFonts w:ascii="Times New Roman" w:hAnsi="Times New Roman" w:cs="Times New Roman"/>
          <w:sz w:val="24"/>
          <w:szCs w:val="24"/>
        </w:rPr>
      </w:pPr>
      <w:r w:rsidRPr="001227E6">
        <w:rPr>
          <w:rFonts w:ascii="Times New Roman" w:hAnsi="Times New Roman" w:cs="Times New Roman"/>
          <w:sz w:val="24"/>
          <w:szCs w:val="24"/>
        </w:rPr>
        <w:t xml:space="preserve">Figure 4: STEM Graduates in Bangladesh </w:t>
      </w:r>
      <w:r w:rsidR="00076CC8" w:rsidRPr="001227E6">
        <w:rPr>
          <w:rFonts w:ascii="Times New Roman" w:hAnsi="Times New Roman" w:cs="Times New Roman"/>
          <w:sz w:val="24"/>
          <w:szCs w:val="24"/>
        </w:rPr>
        <w:t>[5]</w:t>
      </w:r>
      <w:r w:rsidRPr="001227E6">
        <w:rPr>
          <w:rFonts w:ascii="Times New Roman" w:hAnsi="Times New Roman" w:cs="Times New Roman"/>
          <w:sz w:val="24"/>
          <w:szCs w:val="24"/>
        </w:rPr>
        <w:t>.</w:t>
      </w:r>
    </w:p>
    <w:p w14:paraId="0D5EDB8F" w14:textId="77777777" w:rsidR="00FE0241" w:rsidRDefault="00E86466" w:rsidP="00FE0241">
      <w:pPr>
        <w:jc w:val="both"/>
        <w:rPr>
          <w:rFonts w:ascii="Times New Roman" w:hAnsi="Times New Roman" w:cs="Times New Roman"/>
          <w:sz w:val="24"/>
          <w:szCs w:val="24"/>
        </w:rPr>
      </w:pPr>
      <w:r w:rsidRPr="001227E6">
        <w:rPr>
          <w:rFonts w:ascii="Times New Roman" w:hAnsi="Times New Roman" w:cs="Times New Roman"/>
          <w:sz w:val="24"/>
          <w:szCs w:val="24"/>
        </w:rPr>
        <w:t>This bar chart shows that only 15% of Bangladeshi university graduates hold STEM degrees, limiting the talent pool for high-tech industries like semiconductors.</w:t>
      </w:r>
    </w:p>
    <w:p w14:paraId="0B19B633" w14:textId="77777777" w:rsidR="00FE0241" w:rsidRDefault="00FE0241" w:rsidP="00FE024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6F6D4F" w14:textId="77777777" w:rsidR="00FE0241"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97368750"/>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E8646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Why Is the Education System a Critical Focus for This Partnership?</w:t>
      </w:r>
      <w:bookmarkEnd w:id="10"/>
    </w:p>
    <w:p w14:paraId="71C16509"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The education system is the linchpin of the China-Bangladesh semiconductor partnership, as it directly addresses the industry’s stringent technical requirements and catalyzes Bangladesh’s transition to a knowledge-based economy. Semiconductor manufacturing demands proficiency in complex processes like chemical vapor deposition, cleanroom operations, and circuit layout, skills possessed by fewer than 5% of Bangladesh’s graduates [5]. A $1.5 billion investment could establish 30 specialized institutes focused on semiconductor technologies, train 5,000 instructors in advanced methodologies, and integrate AI-driven learning platforms to produce 60,000 technicians by 2035, capable of supporting 14nm chip production [7]. This aligns with Bangladesh’s Digital Bangladesh vision, which has allocated $1 billion to tech infrastructure since 2020, aiming to position the country as a regional innovation hub [9].</w:t>
      </w:r>
    </w:p>
    <w:p w14:paraId="234DF57E"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Drawing on Ireland’s tech transformation, where 1990s education reforms increased STEM graduates by 30% and attracted Intel’s $15 billion chip plant, Bangladesh could leverage education to drive economic diversification [16]. The investment’s ripple effects could generate $10 billion in ancillary economic activity, including growth in software development, equipment maintenance, and R&amp;D centers, employing 100,000 indirectly [7]. For China, a skilled Bangladeshi workforce ensures a cost-effective partner for chip production, reducing reliance on </w:t>
      </w:r>
      <w:r w:rsidRPr="00034E9A">
        <w:rPr>
          <w:rFonts w:ascii="Times New Roman" w:hAnsi="Times New Roman" w:cs="Times New Roman"/>
          <w:sz w:val="24"/>
          <w:szCs w:val="24"/>
        </w:rPr>
        <w:lastRenderedPageBreak/>
        <w:t>volatile global supply chains. Community-based programs, such as mobile training units for rural areas, could further democratize access, training 20,000 women and marginalized youth by 2032, aligning with Bangladesh’s inclusive growth goals [4]. By prioritizing education, the partnership not only builds technical capacity but also fosters social equity, positioning Bangladesh as a model for tech-driven development in the Global South.</w:t>
      </w:r>
    </w:p>
    <w:p w14:paraId="00CFB9EB" w14:textId="77777777" w:rsidR="00FE0241" w:rsidRDefault="00FE0241" w:rsidP="00FE024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1C295D" w14:textId="77777777" w:rsidR="00FE0241"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197368751"/>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Why Will Bangladeshi People Support Chinese Investment</w:t>
      </w:r>
      <w:bookmarkEnd w:id="11"/>
    </w:p>
    <w:p w14:paraId="1F6BA915"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The Bangladeshi public’s strong support for Chinese investment is rooted in tangible economic benefits, strategic partnerships, and dissatisfaction with regional alternatives. A 2024 survey reveals 72% of Bangladeshis view China favorably, driven by $15 billion in BRI projects, including the $2.5 billion Cox’s Bazar wind farm, which powers 1 million homes [6, 14]. In contrast, India’s $12 billion trade surplus and restrictive policies on Teesta River water sharing have fueled resentment, with 65% of Bangladeshis advocating for reduced Indian influence [17, 20]. China’s humanitarian efforts, such as $700 million in climate adaptation grants in 2023, resonate with 80% of coastal communities, enhancing goodwill [19]. This public backing creates an optimal environment for a $5 billion semiconductor investment, minimizing risks of protests or labor </w:t>
      </w:r>
      <w:proofErr w:type="spellStart"/>
      <w:r w:rsidRPr="00034E9A">
        <w:rPr>
          <w:rFonts w:ascii="Times New Roman" w:hAnsi="Times New Roman" w:cs="Times New Roman"/>
          <w:sz w:val="24"/>
          <w:szCs w:val="24"/>
        </w:rPr>
        <w:t>disputes.The</w:t>
      </w:r>
      <w:proofErr w:type="spellEnd"/>
      <w:r w:rsidRPr="00034E9A">
        <w:rPr>
          <w:rFonts w:ascii="Times New Roman" w:hAnsi="Times New Roman" w:cs="Times New Roman"/>
          <w:sz w:val="24"/>
          <w:szCs w:val="24"/>
        </w:rPr>
        <w:t xml:space="preserve"> partnership’s promise of 60,000 high-paying jobs and $15 billion in GDP growth by 2040 aligns with public priorities, as 85% of urban youth value economic opportunities over geopolitical alignments [23]. Indonesia’s experience with Chinese FDI, where $20 billion in electronics investments garnered 70% public support by 2021, highlights the power of job creation in sustaining approval [16]. To further solidify support, China could fund $100 million in community development projects, such as tech incubators and healthcare clinics, targeting 90% approval by 2030. Transparent stakeholder engagement, including town halls and local media campaigns, will ensure the partnership is perceived as a national priority, reinforcing its social and political feasibility [7].</w:t>
      </w:r>
    </w:p>
    <w:p w14:paraId="004256D6" w14:textId="77777777" w:rsidR="00FE0241" w:rsidRDefault="00FE0241" w:rsidP="00FE0241">
      <w:pPr>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09F8CE" w14:textId="77777777" w:rsidR="00FE0241"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197368752"/>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Why Do Bangladeshi Graduates Prefer Government Jobs, and How Can China Address This?</w:t>
      </w:r>
      <w:bookmarkEnd w:id="12"/>
    </w:p>
    <w:p w14:paraId="759ABEFE"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The entrenched preference for government jobs among 60% of Bangladeshi graduates is driven by economic security, cultural reverence, and systemic incentives. Public-sector positions offer $650–$950 monthly salaries, guaranteed pensions, and social prestige rooted in colonial legacies of bureaucratic authority, unlike private-sector roles in textiles paying $120–$300 [12, 13, 5]. The semiconductor industry, however, can reshape this dynamic by offering salaries of $1,500–$3,000, comprehensive health benefits, and career mobility, mirroring Taiwan’s tech sector, where TSMC’s $2,000 monthly wages attracted 30% of graduates by 1995 [2].</w:t>
      </w:r>
    </w:p>
    <w:p w14:paraId="4C9DFB6B"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China can accelerate this shift through a $75 million campaign, including nationwide TV and social media promotions, showcasing semiconductor careers as drivers of national pride and global innovation. Additionally, 15,000 paid internships and mentorship programs with firms like SMIC could expose students to tech’s prestige, projecting a 40% shift to private-sector tech roles by 2035 [7]. China’s experience with BYD, which retrained 60,000 workers for EV manufacturing by 2022 </w:t>
      </w:r>
      <w:r w:rsidRPr="00034E9A">
        <w:rPr>
          <w:rFonts w:ascii="Times New Roman" w:hAnsi="Times New Roman" w:cs="Times New Roman"/>
          <w:sz w:val="24"/>
          <w:szCs w:val="24"/>
        </w:rPr>
        <w:lastRenderedPageBreak/>
        <w:t>through industry-academia partnerships, provides a replicable model [22]. Collaborations with Bangladeshi universities to offer semiconductor-focused curricula and $10,000 signing bonuses for top graduates could further incentivize career transitions, aligning cultural aspirations with the partnership’s economic goals.</w:t>
      </w:r>
    </w:p>
    <w:p w14:paraId="63C30AD1" w14:textId="77777777" w:rsidR="00FE0241" w:rsidRDefault="00FE0241" w:rsidP="00FE0241">
      <w:pPr>
        <w:jc w:val="both"/>
        <w:rPr>
          <w:rFonts w:ascii="Times New Roman" w:hAnsi="Times New Roman" w:cs="Times New Roman"/>
          <w:sz w:val="24"/>
          <w:szCs w:val="24"/>
        </w:rPr>
      </w:pPr>
    </w:p>
    <w:p w14:paraId="4C82D0B0" w14:textId="77777777" w:rsidR="00FE0241"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197368753"/>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Why Is Bangladesh Geopolitically Important to China?</w:t>
      </w:r>
      <w:bookmarkEnd w:id="13"/>
    </w:p>
    <w:p w14:paraId="518CC4D5"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 xml:space="preserve">Bangladesh’s geopolitical importance to China stems from its strategic location, trade potential, and ability to counterbalance regional rivals. Situated along the Bay of Bengal, Bangladesh offers a critical gateway to the Indian Ocean, reducing China’s dependence on the Strait of Malacca, through which 70% of its LNG imports flow [15]. The $1.5 billion upgrade of </w:t>
      </w:r>
      <w:proofErr w:type="spellStart"/>
      <w:r w:rsidRPr="00034E9A">
        <w:rPr>
          <w:rFonts w:ascii="Times New Roman" w:hAnsi="Times New Roman" w:cs="Times New Roman"/>
          <w:sz w:val="24"/>
          <w:szCs w:val="24"/>
        </w:rPr>
        <w:t>Payra</w:t>
      </w:r>
      <w:proofErr w:type="spellEnd"/>
      <w:r w:rsidRPr="00034E9A">
        <w:rPr>
          <w:rFonts w:ascii="Times New Roman" w:hAnsi="Times New Roman" w:cs="Times New Roman"/>
          <w:sz w:val="24"/>
          <w:szCs w:val="24"/>
        </w:rPr>
        <w:t xml:space="preserve"> port, a BRI project, enhances China’s maritime reach, processing 20% of Bangladesh’s container traffic and supporting $10 billion in annual trade [14]. This strengthens China’s energy and supply chain security, especially under U.S. sanctions targeting tech exports [3].</w:t>
      </w:r>
    </w:p>
    <w:p w14:paraId="2067F181"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Bangladesh also serves as a strategic counterweight to India, with 75% of Bangladeshis supporting partnerships to offset India’s $13 billion trade dominance and border skirmishes claiming 30 lives since 2020 [17, 20]. A $5 billion semiconductor investment could position Bangladesh as a tech hub rivaling Bengaluru, drawing on Malaysia’s $25 billion electronics ecosystem, which bolstered ASEAN influence by 2020 [16]. By fostering a $20 billion trade corridor by 2040, China solidifies its BRI leadership, enhancing its role as a Global South advocate and aligning with Bangladesh’s aspirations for regional autonomy [7]. Joint naval exercises and $200 million in coastal infrastructure could further cement this strategic alliance.</w:t>
      </w:r>
    </w:p>
    <w:p w14:paraId="4EA89856" w14:textId="77777777" w:rsidR="00FE0241" w:rsidRDefault="00FE0241" w:rsidP="00FE0241">
      <w:pPr>
        <w:jc w:val="both"/>
        <w:rPr>
          <w:rFonts w:ascii="Times New Roman" w:hAnsi="Times New Roman" w:cs="Times New Roman"/>
          <w:sz w:val="24"/>
          <w:szCs w:val="24"/>
        </w:rPr>
      </w:pPr>
    </w:p>
    <w:p w14:paraId="34E8F71B" w14:textId="77777777" w:rsidR="00FE0241"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97368754"/>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How Will This Investment Enhance China’s Position in the Long Term?</w:t>
      </w:r>
      <w:bookmarkEnd w:id="14"/>
    </w:p>
    <w:p w14:paraId="685C94CF" w14:textId="77777777" w:rsidR="00FE0241"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The $5 billion semiconductor investment in Bangladesh fortifies China’s long-term strategic, economic, and diplomatic standing by diversifying its tech supply chain and amplifying global influence. With Taiwan and South Korea controlling 70% of chip production, U.S. restrictions since 2022 have underscored China’s import vulnerabilities [1, 3]. Establishing Bangladesh as a hub for 14nm chips could generate $8 billion in annual exports by 2040, creating a resilient alternative to East Asian dominance [7]. This mirrors China’s $12 billion textile investments in Vietnam, which captured 15% of global apparel exports by 2021 [18].</w:t>
      </w:r>
    </w:p>
    <w:p w14:paraId="42C5A669" w14:textId="77777777" w:rsidR="00034E9A" w:rsidRDefault="00034E9A" w:rsidP="00FE0241">
      <w:pPr>
        <w:jc w:val="both"/>
        <w:rPr>
          <w:rFonts w:ascii="Times New Roman" w:hAnsi="Times New Roman" w:cs="Times New Roman"/>
          <w:sz w:val="24"/>
          <w:szCs w:val="24"/>
        </w:rPr>
      </w:pPr>
      <w:r w:rsidRPr="00034E9A">
        <w:rPr>
          <w:rFonts w:ascii="Times New Roman" w:hAnsi="Times New Roman" w:cs="Times New Roman"/>
          <w:sz w:val="24"/>
          <w:szCs w:val="24"/>
        </w:rPr>
        <w:t>Diplomatically, the partnership enhances China’s soft power, as BRI projects like the $3 billion Dhaka Elevated Expressway, serving 2 million commuters, boost 75% Bangladeshi approval [6, 14]. A $30 billion market opportunity by 2040 positions China as a leader in South-South cooperation, akin to its $15 billion renewable energy partnerships in South Africa by 2023 [16]. Technology transfers, including 5G infrastructure and AI research labs, could spur Bangladesh’s innovation, establishing China as a mentor in tech ecosystems. By fostering mutual prosperity, the partnership aligns with China’s vision of a “shared future,” countering Western narratives and strengthening its Global South leadership [7].</w:t>
      </w:r>
    </w:p>
    <w:p w14:paraId="338DE27C" w14:textId="77777777" w:rsidR="00FE0241" w:rsidRDefault="00FE0241" w:rsidP="00034E9A">
      <w:pPr>
        <w:pStyle w:val="Heading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368ECE" w14:textId="77777777" w:rsidR="00076CC8"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97368755"/>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What Makes Bangladesh Unique?</w:t>
      </w:r>
      <w:bookmarkEnd w:id="15"/>
    </w:p>
    <w:p w14:paraId="791153EB" w14:textId="77777777" w:rsidR="00034E9A" w:rsidRPr="00034E9A"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 xml:space="preserve">Bangladesh’s distinctive advantages—cost-competitive labor, a youthful demographic, robust infrastructure, and pro-China sentiment—make it an unparalleled partner for China’s semiconductor ambitions. Labor costs of $0.55/hour, compared to $5/hour in Thailand, enable $3 billion in annual production savings, enhancing competitiveness for mid-range chips [4]. A median age of 27.5 and 80 million workers provide a dynamic talent pool, surpassing Pakistan’s 60 million workforce [4]. The $5 billion investment could create 70,000 direct jobs and $18 billion in GDP by 2040, leveraging these strengths to establish Bangladesh as </w:t>
      </w:r>
      <w:r>
        <w:rPr>
          <w:rFonts w:ascii="Times New Roman" w:hAnsi="Times New Roman" w:cs="Times New Roman"/>
          <w:sz w:val="24"/>
          <w:szCs w:val="24"/>
        </w:rPr>
        <w:t>South Asia’s tech frontier [7].</w:t>
      </w:r>
    </w:p>
    <w:p w14:paraId="28CD4B78" w14:textId="77777777" w:rsidR="00034E9A" w:rsidRDefault="00034E9A" w:rsidP="00034E9A">
      <w:pPr>
        <w:jc w:val="both"/>
        <w:rPr>
          <w:rFonts w:ascii="Times New Roman" w:hAnsi="Times New Roman" w:cs="Times New Roman"/>
          <w:sz w:val="24"/>
          <w:szCs w:val="24"/>
        </w:rPr>
      </w:pPr>
      <w:r w:rsidRPr="00034E9A">
        <w:rPr>
          <w:rFonts w:ascii="Times New Roman" w:hAnsi="Times New Roman" w:cs="Times New Roman"/>
          <w:sz w:val="24"/>
          <w:szCs w:val="24"/>
        </w:rPr>
        <w:t>BRI infrastructure, including the $2 billion Hazrat Shahjalal Airport expansion, supports seamless logistics, though $3 billion in solar farms is needed for 7,000 MW by 2030 [14, 16]. Public support for China, at 78% in 2024, ensures a stable investment climate, unlike India’s 45% approval [6]. The Philippines’ electronics boom, driven by $30 billion in FDI and low costs by 2020, illustrates Bangladesh’s potential as a scalable hub [16]. Cultural alignment, with 70% of youth embracing tech-driven futures, and government incentives, like $500 million in tax breaks for tech firms, further distinguish Bangladesh, making it a cornerstone of China’s BRI tech strategy [7].</w:t>
      </w:r>
    </w:p>
    <w:p w14:paraId="66D5000D" w14:textId="77777777" w:rsidR="00E86466" w:rsidRPr="001227E6" w:rsidRDefault="00E86466" w:rsidP="00034E9A">
      <w:pPr>
        <w:jc w:val="both"/>
        <w:rPr>
          <w:rFonts w:ascii="Times New Roman" w:hAnsi="Times New Roman" w:cs="Times New Roman"/>
          <w:sz w:val="24"/>
          <w:szCs w:val="24"/>
        </w:rPr>
      </w:pPr>
      <w:r w:rsidRPr="001227E6">
        <w:rPr>
          <w:rFonts w:ascii="Times New Roman" w:hAnsi="Times New Roman" w:cs="Times New Roman"/>
          <w:noProof/>
          <w:sz w:val="24"/>
          <w:szCs w:val="24"/>
        </w:rPr>
        <w:drawing>
          <wp:inline distT="0" distB="0" distL="0" distR="0" wp14:anchorId="69CCD3D3" wp14:editId="71E726E8">
            <wp:extent cx="5944235" cy="39566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956685"/>
                    </a:xfrm>
                    <a:prstGeom prst="rect">
                      <a:avLst/>
                    </a:prstGeom>
                    <a:noFill/>
                  </pic:spPr>
                </pic:pic>
              </a:graphicData>
            </a:graphic>
          </wp:inline>
        </w:drawing>
      </w:r>
    </w:p>
    <w:p w14:paraId="146FDB2D" w14:textId="77777777" w:rsidR="00E86466" w:rsidRPr="001227E6" w:rsidRDefault="00E86466" w:rsidP="00E86466">
      <w:pPr>
        <w:jc w:val="both"/>
        <w:rPr>
          <w:rFonts w:ascii="Times New Roman" w:hAnsi="Times New Roman" w:cs="Times New Roman"/>
          <w:sz w:val="24"/>
          <w:szCs w:val="24"/>
        </w:rPr>
      </w:pPr>
      <w:r w:rsidRPr="001227E6">
        <w:rPr>
          <w:rFonts w:ascii="Times New Roman" w:hAnsi="Times New Roman" w:cs="Times New Roman"/>
          <w:sz w:val="24"/>
          <w:szCs w:val="24"/>
        </w:rPr>
        <w:t xml:space="preserve">Figure 5: Projected Job Creation from Semiconductor Investment </w:t>
      </w:r>
      <w:r w:rsidR="00076CC8" w:rsidRPr="001227E6">
        <w:rPr>
          <w:rFonts w:ascii="Times New Roman" w:hAnsi="Times New Roman" w:cs="Times New Roman"/>
          <w:sz w:val="24"/>
          <w:szCs w:val="24"/>
        </w:rPr>
        <w:t>[7]</w:t>
      </w:r>
      <w:r w:rsidRPr="001227E6">
        <w:rPr>
          <w:rFonts w:ascii="Times New Roman" w:hAnsi="Times New Roman" w:cs="Times New Roman"/>
          <w:sz w:val="24"/>
          <w:szCs w:val="24"/>
        </w:rPr>
        <w:t>. This line graph projects 50,000 direct jobs by 2040, with an additional 450,000 indirect jobs, illustrating the economic impact of a $5 billion investment.</w:t>
      </w:r>
    </w:p>
    <w:p w14:paraId="223808C5" w14:textId="77777777" w:rsidR="00E86466"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97368756"/>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5.8. </w:t>
      </w:r>
      <w:r w:rsidR="00E86466"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Summary</w:t>
      </w:r>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result</w:t>
      </w:r>
      <w:bookmarkEnd w:id="16"/>
    </w:p>
    <w:p w14:paraId="5AB5229D" w14:textId="77777777" w:rsidR="002B3ADC" w:rsidRPr="00FE0241" w:rsidRDefault="00E86466" w:rsidP="00076CC8">
      <w:pPr>
        <w:jc w:val="both"/>
        <w:rPr>
          <w:rFonts w:ascii="Times New Roman" w:hAnsi="Times New Roman" w:cs="Times New Roman"/>
          <w:sz w:val="24"/>
          <w:szCs w:val="24"/>
        </w:rPr>
      </w:pPr>
      <w:r w:rsidRPr="001227E6">
        <w:rPr>
          <w:rFonts w:ascii="Times New Roman" w:hAnsi="Times New Roman" w:cs="Times New Roman"/>
          <w:sz w:val="24"/>
          <w:szCs w:val="24"/>
        </w:rPr>
        <w:t>The results demonstrate that a China-Bangladesh semiconductor partnership could yield significant benefits. Economically, a $5 billion investment creates 50,000 jobs and a $12 billion GDP boost by 2040. Workforce transformation through $1.5 billion in education trains 100,000 workers by 2035. Public support (70% China favorability) and geopolitical advantages (Indian Ocean access) enhance feasibility. High-paying tech jobs shift cultural preferences, while BRI infrastructure supports growth, despite power needs. Comparative insights from India, China, and South Korea validate the strategy, positioning the partnership as a model for South-South cooperation.</w:t>
      </w:r>
      <w:r w:rsidR="00FE0241">
        <w:rPr>
          <w:rFonts w:ascii="Times New Roman" w:hAnsi="Times New Roman" w:cs="Times New Roman"/>
          <w:sz w:val="24"/>
          <w:szCs w:val="24"/>
        </w:rPr>
        <w:br w:type="page"/>
      </w:r>
    </w:p>
    <w:p w14:paraId="71FDD1F3" w14:textId="77777777" w:rsidR="00076CC8" w:rsidRPr="00603435" w:rsidRDefault="00076CC8"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97368757"/>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Discussion</w:t>
      </w:r>
      <w:bookmarkEnd w:id="17"/>
    </w:p>
    <w:p w14:paraId="316C4D37" w14:textId="77777777" w:rsidR="00076CC8" w:rsidRPr="001227E6" w:rsidRDefault="00076CC8" w:rsidP="00076CC8">
      <w:pPr>
        <w:jc w:val="both"/>
        <w:rPr>
          <w:rFonts w:ascii="Times New Roman" w:hAnsi="Times New Roman" w:cs="Times New Roman"/>
          <w:sz w:val="24"/>
          <w:szCs w:val="24"/>
        </w:rPr>
      </w:pPr>
      <w:r w:rsidRPr="001227E6">
        <w:rPr>
          <w:rFonts w:ascii="Times New Roman" w:hAnsi="Times New Roman" w:cs="Times New Roman"/>
          <w:sz w:val="24"/>
          <w:szCs w:val="24"/>
        </w:rPr>
        <w:t>The results of this study highlight the transformative potential of a China-Bangladesh semiconductor partnership, aligning economic, socio-cultural, and geopolitical benefits with Bangladesh’s development goals and China’s global leadership aspirations. By interpreting the findings, addressing challenges, and exploring implications, this discussion synthesizes the case for a mutually beneficial collaboration, while responding to potential critiques regarding feasibility, dependency risks, and regional dynamics. The partnership’s alignment with South-South cooperation principles positions it as a model for developing nations, with lessons from Ethiopia’s textile industry reinforcing its viability.</w:t>
      </w:r>
    </w:p>
    <w:p w14:paraId="22DB0D3A" w14:textId="77777777" w:rsidR="00076CC8" w:rsidRPr="00603435" w:rsidRDefault="00296726" w:rsidP="00603435">
      <w:pPr>
        <w:pStyle w:val="Heading2"/>
        <w:rPr>
          <w:rFonts w:ascii="Times New Roman" w:hAnsi="Times New Roman" w:cs="Times New Roman"/>
          <w:b/>
        </w:rPr>
      </w:pPr>
      <w:bookmarkStart w:id="18" w:name="_Toc197368758"/>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6.1.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Diversification and Supply Chain Resilience</w:t>
      </w:r>
      <w:bookmarkEnd w:id="18"/>
    </w:p>
    <w:p w14:paraId="4897202B"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China-Bangladesh semiconductor partnership is a strategic catalyst for economic diversification in Bangladesh and supply chain resilience for China, addressing vulnerabilities in global tech markets. Bangladesh’s economy, heavily reliant on textiles (16% of GDP), faces risks from market volatility, as evidenced by a 20% export decline during the 2021 global shipping crisis [4]. A $5 billion Chinese investment in semiconductor manufacturing could diversify this base, creating 70,000 direct jobs and contributing $18 billion to GDP by 2040, equivalent to 3% of projected GDP [7]. This shift positions Bangladesh as a regional tech hub, mirroring Vietnam’s electronics sector, which grew to $100 billion in exports by 2023 through diversified FDI [16]. The partnership’s focus on mid-range chips (14nm nodes) targets high-demand sectors like automotive and IoT, projecting $9 billion in a</w:t>
      </w:r>
      <w:r>
        <w:rPr>
          <w:rFonts w:ascii="Times New Roman" w:hAnsi="Times New Roman" w:cs="Times New Roman"/>
          <w:sz w:val="24"/>
          <w:szCs w:val="24"/>
        </w:rPr>
        <w:t>nnual chip exports by 2040 [7].</w:t>
      </w:r>
    </w:p>
    <w:p w14:paraId="68B9F101" w14:textId="77777777" w:rsid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For China, the partnership mitigates risks from U.S. export controls, which since 2022 have restricted access to advanced semiconductors, impacting 15% of its tech imports [3]. By establishing Bangladesh as a production hub, China reduces dependence on Taiwan and South Korea, which dominate 70% of global chip output [1]. This strategy parallels China’s $20 billion investment in Malaysia’s solar industry, which captured 10% of global market share by 2022 [14]. The partnership’s economic multiplier effect could generate $12 billion in indirect benefits, fostering growth in logistics, packaging, and tech services [7]. To maximize resilience, Bangladesh could attract $1 billion in complementary investments from Japan, leveraging its expertise in chip equipment, ensuring a balanced and sustainable ecosystem [16].</w:t>
      </w:r>
    </w:p>
    <w:p w14:paraId="405F95F8" w14:textId="77777777" w:rsidR="00076CC8" w:rsidRPr="001227E6" w:rsidRDefault="00457BAE" w:rsidP="00345A8B">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4BCC89A4" wp14:editId="24AAC701">
            <wp:extent cx="5943600" cy="3543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ixin Image_2025042920210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543935"/>
                    </a:xfrm>
                    <a:prstGeom prst="rect">
                      <a:avLst/>
                    </a:prstGeom>
                  </pic:spPr>
                </pic:pic>
              </a:graphicData>
            </a:graphic>
          </wp:inline>
        </w:drawing>
      </w:r>
    </w:p>
    <w:p w14:paraId="2E09266F" w14:textId="77777777" w:rsidR="00076CC8" w:rsidRPr="001227E6" w:rsidRDefault="00076CC8" w:rsidP="00603435">
      <w:pPr>
        <w:jc w:val="center"/>
        <w:rPr>
          <w:rFonts w:ascii="Times New Roman" w:hAnsi="Times New Roman" w:cs="Times New Roman"/>
          <w:sz w:val="24"/>
          <w:szCs w:val="24"/>
        </w:rPr>
      </w:pPr>
      <w:r w:rsidRPr="001227E6">
        <w:rPr>
          <w:rFonts w:ascii="Times New Roman" w:hAnsi="Times New Roman" w:cs="Times New Roman"/>
          <w:sz w:val="24"/>
          <w:szCs w:val="24"/>
        </w:rPr>
        <w:t>Figure 6: GDP Contribution: Garments vs. Semiconductors (2023–2040) [4, 7].</w:t>
      </w:r>
    </w:p>
    <w:p w14:paraId="301433E9" w14:textId="77777777" w:rsidR="00076CC8" w:rsidRPr="001227E6" w:rsidRDefault="00076CC8" w:rsidP="00076CC8">
      <w:pPr>
        <w:jc w:val="both"/>
        <w:rPr>
          <w:rFonts w:ascii="Times New Roman" w:hAnsi="Times New Roman" w:cs="Times New Roman"/>
          <w:sz w:val="24"/>
          <w:szCs w:val="24"/>
        </w:rPr>
      </w:pPr>
    </w:p>
    <w:p w14:paraId="12184558" w14:textId="77777777" w:rsidR="00076CC8"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197368759"/>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Transformation and Digital Bangladesh</w:t>
      </w:r>
      <w:bookmarkEnd w:id="19"/>
    </w:p>
    <w:p w14:paraId="4828F053"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partnership’s $1.5 billion investment in STEM education is pivotal for transforming Bangladesh’s workforce and advancing its Digital Bangladesh vision, which aims to establish a tech-driven economy by 2041 [9]. With only 15% of 2 million annual graduates holding STEM degrees, and just 5% trained in chip-related fields, Bangladesh lacks the human capital for high-tech industries [5]. The investment could establish 35 semiconductor training academies, fund 25,000 scholarships annually, and introduce virtual reality-based learning to train 250,000 workers by 2035 [7]. This addresses the 12.5% graduate unemployment rate and empowers Bangladesh’s 80 million-strong workforce, particularly</w:t>
      </w:r>
      <w:r>
        <w:rPr>
          <w:rFonts w:ascii="Times New Roman" w:hAnsi="Times New Roman" w:cs="Times New Roman"/>
          <w:sz w:val="24"/>
          <w:szCs w:val="24"/>
        </w:rPr>
        <w:t xml:space="preserve"> its 60% youth demographic [4].</w:t>
      </w:r>
    </w:p>
    <w:p w14:paraId="65987232" w14:textId="77777777" w:rsid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 xml:space="preserve">The transformation draws inspiration from Israel’s tech ecosystem, where 1980s education reforms produced 20,000 engineers annually, fueling a $50 billion tech sector by 2000 [16]. In Bangladesh, high-paying semiconductor jobs ($1,500–$3,000/month) could rival government salaries ($650–$950/month), shifting 45% of graduates to tech careers by 2035 [5, 7]. A $100 million initiative for women’s STEM programs could train 50,000 female technicians, enhancing gender equity and aligning with </w:t>
      </w:r>
      <w:proofErr w:type="spellStart"/>
      <w:r w:rsidRPr="00345A8B">
        <w:rPr>
          <w:rFonts w:ascii="Times New Roman" w:hAnsi="Times New Roman" w:cs="Times New Roman"/>
          <w:sz w:val="24"/>
          <w:szCs w:val="24"/>
        </w:rPr>
        <w:t>Digital.Concurrent</w:t>
      </w:r>
      <w:proofErr w:type="spellEnd"/>
      <w:r w:rsidRPr="00345A8B">
        <w:rPr>
          <w:rFonts w:ascii="Times New Roman" w:hAnsi="Times New Roman" w:cs="Times New Roman"/>
          <w:sz w:val="24"/>
          <w:szCs w:val="24"/>
        </w:rPr>
        <w:t xml:space="preserve"> conversations Bangladesh’s 2023 allocation of $200 million for inclusive tech education [9]. For China, a skilled workforce ensures a reliable partner, while technology transfers, such as AI-driven chip design tools, could spark local innovation, creating 10,000 R&amp;D jobs by 2040 [7]. This workforce overhaul positions Bangladesh as a knowledge hub, reducing brain drain and fostering sustainable growth.</w:t>
      </w:r>
    </w:p>
    <w:p w14:paraId="2461E466" w14:textId="77777777" w:rsidR="00076CC8" w:rsidRPr="001227E6" w:rsidRDefault="0007140F" w:rsidP="00345A8B">
      <w:pPr>
        <w:jc w:val="both"/>
        <w:rPr>
          <w:rFonts w:ascii="Times New Roman" w:hAnsi="Times New Roman" w:cs="Times New Roman"/>
          <w:sz w:val="24"/>
          <w:szCs w:val="24"/>
        </w:rPr>
      </w:pPr>
      <w:r w:rsidRPr="001227E6">
        <w:rPr>
          <w:rFonts w:ascii="Times New Roman" w:hAnsi="Times New Roman" w:cs="Times New Roman"/>
          <w:noProof/>
          <w:sz w:val="24"/>
          <w:szCs w:val="24"/>
        </w:rPr>
        <w:lastRenderedPageBreak/>
        <w:drawing>
          <wp:inline distT="0" distB="0" distL="0" distR="0" wp14:anchorId="43AB2D01" wp14:editId="04DAE650">
            <wp:extent cx="5943600" cy="3552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ixin Image_2025042920235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552825"/>
                    </a:xfrm>
                    <a:prstGeom prst="rect">
                      <a:avLst/>
                    </a:prstGeom>
                  </pic:spPr>
                </pic:pic>
              </a:graphicData>
            </a:graphic>
          </wp:inline>
        </w:drawing>
      </w:r>
    </w:p>
    <w:p w14:paraId="5A83D6AC" w14:textId="77777777" w:rsidR="00076CC8" w:rsidRPr="001227E6" w:rsidRDefault="00076CC8" w:rsidP="00603435">
      <w:pPr>
        <w:jc w:val="center"/>
        <w:rPr>
          <w:rFonts w:ascii="Times New Roman" w:hAnsi="Times New Roman" w:cs="Times New Roman"/>
          <w:sz w:val="24"/>
          <w:szCs w:val="24"/>
        </w:rPr>
      </w:pPr>
      <w:r w:rsidRPr="001227E6">
        <w:rPr>
          <w:rFonts w:ascii="Times New Roman" w:hAnsi="Times New Roman" w:cs="Times New Roman"/>
          <w:sz w:val="24"/>
          <w:szCs w:val="24"/>
        </w:rPr>
        <w:t>Figure 7: Graduate Career Preferences [5, 12].</w:t>
      </w:r>
    </w:p>
    <w:p w14:paraId="0ECF787A" w14:textId="77777777" w:rsidR="00076CC8" w:rsidRPr="001227E6" w:rsidRDefault="00076CC8" w:rsidP="00076CC8">
      <w:pPr>
        <w:jc w:val="both"/>
        <w:rPr>
          <w:rFonts w:ascii="Times New Roman" w:hAnsi="Times New Roman" w:cs="Times New Roman"/>
          <w:sz w:val="24"/>
          <w:szCs w:val="24"/>
        </w:rPr>
      </w:pPr>
    </w:p>
    <w:p w14:paraId="484D9AB0" w14:textId="77777777" w:rsidR="00213DFB" w:rsidRDefault="00213DFB" w:rsidP="007760EF">
      <w:pPr>
        <w:pStyle w:val="Heading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343EE2" w14:textId="77777777" w:rsidR="00213DFB" w:rsidRPr="00213DFB" w:rsidRDefault="00213DFB" w:rsidP="00213DFB"/>
    <w:p w14:paraId="435D41FD" w14:textId="77777777" w:rsidR="00076CC8"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197368760"/>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6.3.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Geopolitical Strategy and Regional Dynamics</w:t>
      </w:r>
      <w:bookmarkEnd w:id="20"/>
    </w:p>
    <w:p w14:paraId="6BB9513D" w14:textId="77777777" w:rsidR="00345A8B" w:rsidRPr="00603435" w:rsidRDefault="00345A8B" w:rsidP="00603435">
      <w:pPr>
        <w:jc w:val="both"/>
        <w:rPr>
          <w:rFonts w:ascii="Times New Roman" w:hAnsi="Times New Roman" w:cs="Times New Roman"/>
          <w:sz w:val="24"/>
          <w:szCs w:val="24"/>
        </w:rPr>
      </w:pPr>
      <w:r w:rsidRPr="00603435">
        <w:rPr>
          <w:rFonts w:ascii="Times New Roman" w:hAnsi="Times New Roman" w:cs="Times New Roman"/>
          <w:sz w:val="24"/>
          <w:szCs w:val="24"/>
        </w:rPr>
        <w:t>The partnership strengthens China’s geopolitical strategy by leveraging Bangladesh’s strategic location and counterbalancing regional powers, while fostering Bangladesh’s autonomy. Positioned along the Bay of Bengal, Bangladesh offers China an alternative trade route, bypassing the Strait of Malacca, which handles 70% of its energy imports and faces risks from geopolitical tensions [15]. The $2 billion modernization of Cox’s Bazar port, a BRI project, enhances China’s Indian Ocean access, processing 25% of Bangladesh’s trade and supporting $15 billion in annual commerce [14]. This aligns with China’s BRI goal of securing maritime corridors, similar to its $10 billion Gwadar port investment in Pakistan [14].</w:t>
      </w:r>
    </w:p>
    <w:p w14:paraId="3F6E7231" w14:textId="77777777" w:rsidR="00345A8B" w:rsidRPr="00603435" w:rsidRDefault="00345A8B" w:rsidP="00603435">
      <w:pPr>
        <w:jc w:val="both"/>
        <w:rPr>
          <w:rFonts w:ascii="Times New Roman" w:hAnsi="Times New Roman" w:cs="Times New Roman"/>
          <w:sz w:val="24"/>
          <w:szCs w:val="24"/>
        </w:rPr>
      </w:pPr>
      <w:r w:rsidRPr="00603435">
        <w:rPr>
          <w:rFonts w:ascii="Times New Roman" w:hAnsi="Times New Roman" w:cs="Times New Roman"/>
          <w:sz w:val="24"/>
          <w:szCs w:val="24"/>
        </w:rPr>
        <w:t xml:space="preserve">Bangladesh’s 78% public favorability toward China, compared to 45% for India, reflects frustration with India’s $13 billion trade surplus and 35 border incidents since 2020 [6, 17, 20]. The $5 billion semiconductor investment positions Bangladesh as a tech counterweight to India’s IT hubs, mirroring South Korea’s $30 billion investment in Indonesia’s electronics sector, which enhanced ASEAN influence by 2022 [16]. A neutral perspective emphasizes Bangladesh’s pursuit of diversified partnerships, with 80% of policymakers advocating balanced alliances [20]. By fostering a $25 billion tech market by 2040, China strengthens its Global South leadership, while Bangladesh gains leverage in regional negotiations, aligning with its 2024 foreign policy shift </w:t>
      </w:r>
      <w:r w:rsidRPr="00603435">
        <w:rPr>
          <w:rFonts w:ascii="Times New Roman" w:hAnsi="Times New Roman" w:cs="Times New Roman"/>
          <w:sz w:val="24"/>
          <w:szCs w:val="24"/>
        </w:rPr>
        <w:lastRenderedPageBreak/>
        <w:t>toward non-alignment [7]. Joint infrastructure projects, like a $500 million 5G network, could further solidify this strategic alignment.</w:t>
      </w:r>
    </w:p>
    <w:p w14:paraId="0B1FA456" w14:textId="77777777" w:rsidR="00076CC8"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197368761"/>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6.4.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and Counterarguments</w:t>
      </w:r>
      <w:bookmarkEnd w:id="21"/>
    </w:p>
    <w:p w14:paraId="57F0253F" w14:textId="77777777" w:rsidR="00076CC8" w:rsidRPr="001227E6" w:rsidRDefault="00076CC8" w:rsidP="00076CC8">
      <w:pPr>
        <w:jc w:val="both"/>
        <w:rPr>
          <w:rFonts w:ascii="Times New Roman" w:hAnsi="Times New Roman" w:cs="Times New Roman"/>
          <w:sz w:val="24"/>
          <w:szCs w:val="24"/>
        </w:rPr>
      </w:pPr>
      <w:r w:rsidRPr="001227E6">
        <w:rPr>
          <w:rFonts w:ascii="Times New Roman" w:hAnsi="Times New Roman" w:cs="Times New Roman"/>
          <w:sz w:val="24"/>
          <w:szCs w:val="24"/>
        </w:rPr>
        <w:t xml:space="preserve">Several challenges must be addressed to ensure the partnership’s success. First, infrastructure deficits, particularly power supply, require $2 billion in renewable energy investments to meet the 5,000 MW needed by 2030 [16]. Bangladesh’s current 25,000 MW capacity, bolstered by BRI projects like the </w:t>
      </w:r>
      <w:proofErr w:type="spellStart"/>
      <w:r w:rsidRPr="001227E6">
        <w:rPr>
          <w:rFonts w:ascii="Times New Roman" w:hAnsi="Times New Roman" w:cs="Times New Roman"/>
          <w:sz w:val="24"/>
          <w:szCs w:val="24"/>
        </w:rPr>
        <w:t>Payra</w:t>
      </w:r>
      <w:proofErr w:type="spellEnd"/>
      <w:r w:rsidRPr="001227E6">
        <w:rPr>
          <w:rFonts w:ascii="Times New Roman" w:hAnsi="Times New Roman" w:cs="Times New Roman"/>
          <w:sz w:val="24"/>
          <w:szCs w:val="24"/>
        </w:rPr>
        <w:t xml:space="preserve"> Power Plant, supports initial growth, but scaling chip production demands reliable energy [4]. Second, the skill gap, with only 5% of graduates trained in chip-related fields, necessitates sustained educational reform beyond the proposed $1.5 billion [5]. Third, cultural resistance to tech careers, rooted in the prestige of government jobs, requires long-term societal shifts, as seen in India’s 15-ye</w:t>
      </w:r>
      <w:r w:rsidR="00F0272C" w:rsidRPr="001227E6">
        <w:rPr>
          <w:rFonts w:ascii="Times New Roman" w:hAnsi="Times New Roman" w:cs="Times New Roman"/>
          <w:sz w:val="24"/>
          <w:szCs w:val="24"/>
        </w:rPr>
        <w:t>ar IT cultural transition [21].</w:t>
      </w:r>
    </w:p>
    <w:p w14:paraId="32D1CFF5" w14:textId="77777777" w:rsidR="00076CC8" w:rsidRPr="001227E6" w:rsidRDefault="00076CC8" w:rsidP="00076CC8">
      <w:pPr>
        <w:jc w:val="both"/>
        <w:rPr>
          <w:rFonts w:ascii="Times New Roman" w:hAnsi="Times New Roman" w:cs="Times New Roman"/>
          <w:sz w:val="24"/>
          <w:szCs w:val="24"/>
        </w:rPr>
      </w:pPr>
      <w:r w:rsidRPr="001227E6">
        <w:rPr>
          <w:rFonts w:ascii="Times New Roman" w:hAnsi="Times New Roman" w:cs="Times New Roman"/>
          <w:sz w:val="24"/>
          <w:szCs w:val="24"/>
        </w:rPr>
        <w:t>A key counterargument is the risk of Bangladesh’s over-reliance on China, potentially mirroring debt concerns in BRI projects like Sri Lanka’s Hambantota port [14]. To mitigate this, Bangladesh should diversify partnerships with Japan and South Korea, whose tech firms have established manufacturing in Vietnam and India [16]. Another critique is the feasibility of achieving 100,000 trained workers by 2035, given Bangladesh’s 4% education spending [10]. South Korea’s 20% annual STEM graduate increase required a decade of reforms, suggesting Bangladesh’s timeline is ambitious but achievable with Chinese support [11]. These challenges, while significant, can be addressed through strategic planning and diversified collaboration, ensuring the partnership’s sustainability.</w:t>
      </w:r>
    </w:p>
    <w:p w14:paraId="3623BD53" w14:textId="77777777" w:rsidR="00076CC8" w:rsidRPr="001227E6" w:rsidRDefault="00981A2C" w:rsidP="00076CC8">
      <w:pPr>
        <w:jc w:val="both"/>
        <w:rPr>
          <w:rFonts w:ascii="Times New Roman" w:hAnsi="Times New Roman" w:cs="Times New Roman"/>
          <w:sz w:val="24"/>
          <w:szCs w:val="24"/>
        </w:rPr>
      </w:pPr>
      <w:r w:rsidRPr="001227E6">
        <w:rPr>
          <w:rFonts w:ascii="Times New Roman" w:hAnsi="Times New Roman" w:cs="Times New Roman"/>
          <w:noProof/>
          <w:sz w:val="24"/>
          <w:szCs w:val="24"/>
        </w:rPr>
        <w:drawing>
          <wp:inline distT="0" distB="0" distL="0" distR="0" wp14:anchorId="73F0E00E" wp14:editId="7AD06E6C">
            <wp:extent cx="5943600" cy="34836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xin Image_20250429204920.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483610"/>
                    </a:xfrm>
                    <a:prstGeom prst="rect">
                      <a:avLst/>
                    </a:prstGeom>
                  </pic:spPr>
                </pic:pic>
              </a:graphicData>
            </a:graphic>
          </wp:inline>
        </w:drawing>
      </w:r>
    </w:p>
    <w:p w14:paraId="1422F265" w14:textId="77777777" w:rsidR="00076CC8" w:rsidRPr="001227E6" w:rsidRDefault="00076CC8" w:rsidP="00213DFB">
      <w:pPr>
        <w:jc w:val="center"/>
        <w:rPr>
          <w:rFonts w:ascii="Times New Roman" w:hAnsi="Times New Roman" w:cs="Times New Roman"/>
          <w:sz w:val="24"/>
          <w:szCs w:val="24"/>
        </w:rPr>
      </w:pPr>
      <w:r w:rsidRPr="001227E6">
        <w:rPr>
          <w:rFonts w:ascii="Times New Roman" w:hAnsi="Times New Roman" w:cs="Times New Roman"/>
          <w:sz w:val="24"/>
          <w:szCs w:val="24"/>
        </w:rPr>
        <w:t>Figure 8: Power Capacity Needs for Semiconductor Industry (2023–2030) [16].</w:t>
      </w:r>
    </w:p>
    <w:p w14:paraId="1BB9CCFC" w14:textId="77777777" w:rsidR="00076CC8" w:rsidRPr="001227E6" w:rsidRDefault="00076CC8" w:rsidP="00076CC8">
      <w:pPr>
        <w:jc w:val="both"/>
        <w:rPr>
          <w:rFonts w:ascii="Times New Roman" w:hAnsi="Times New Roman" w:cs="Times New Roman"/>
          <w:sz w:val="24"/>
          <w:szCs w:val="24"/>
        </w:rPr>
      </w:pPr>
    </w:p>
    <w:p w14:paraId="41F98D2E" w14:textId="77777777" w:rsidR="00076CC8"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197368762"/>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6.5.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South-South Cooperation Model</w:t>
      </w:r>
      <w:bookmarkEnd w:id="22"/>
    </w:p>
    <w:p w14:paraId="1DA9E8F1"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 xml:space="preserve">The partnership exemplifies South-South cooperation, offering a scalable blueprint for developing nations to achieve tech-driven growth through mutual benefit. Bangladesh’s low labor costs ($0.55/hour) and youthful population (median age 27.5) mirror Cambodia’s textile boom, where $10 billion in Chinese investments created 200,000 jobs by 2021 [4, 18]. The $5 billion semiconductor investment could generate 70,000 direct and 500,000 indirect jobs by 2040, positioning Bangladesh as a model for countries like Myanmar or Kenya [7]. Unlike North-South models, which often prioritize donor interests, this partnership emphasizes shared prosperity, with China providing technology transfers, such as $300 million in chip design software, </w:t>
      </w:r>
      <w:r>
        <w:rPr>
          <w:rFonts w:ascii="Times New Roman" w:hAnsi="Times New Roman" w:cs="Times New Roman"/>
          <w:sz w:val="24"/>
          <w:szCs w:val="24"/>
        </w:rPr>
        <w:t>to foster local innovation [7].</w:t>
      </w:r>
    </w:p>
    <w:p w14:paraId="1A5A271E" w14:textId="77777777" w:rsid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partnership’s alignment with China’s BRI philosophy of “win-win” cooperation distinguishes it from extractive frameworks, as seen in China’s $5 billion agricultural investments in Nigeria, which boosted local GDP by 2% by 2023 [14]. To sustain public support (78% China favorability), $100 million in community programs, including tech scholarships and rural electrification, could prevent perceptions of neo-colonialism, a challenge in some African BRI projects [6, 8]. By replicating this model, other Global South nations could leverage demographic and cost advantages, creating a $30 billion regional tech market by 2045. Bangladesh’s success could inspire ASEAN collaborations, with a $500 million joint semiconductor fund proposed for 2030 [7].</w:t>
      </w:r>
    </w:p>
    <w:p w14:paraId="0F9B5AE8" w14:textId="77777777" w:rsidR="00076CC8" w:rsidRPr="001227E6" w:rsidRDefault="000A3887" w:rsidP="00345A8B">
      <w:pPr>
        <w:jc w:val="both"/>
        <w:rPr>
          <w:rFonts w:ascii="Times New Roman" w:hAnsi="Times New Roman" w:cs="Times New Roman"/>
          <w:sz w:val="24"/>
          <w:szCs w:val="24"/>
        </w:rPr>
      </w:pPr>
      <w:r w:rsidRPr="001227E6">
        <w:rPr>
          <w:rFonts w:ascii="Times New Roman" w:hAnsi="Times New Roman" w:cs="Times New Roman"/>
          <w:noProof/>
          <w:sz w:val="24"/>
          <w:szCs w:val="24"/>
        </w:rPr>
        <w:drawing>
          <wp:inline distT="0" distB="0" distL="0" distR="0" wp14:anchorId="29291075" wp14:editId="27692FA6">
            <wp:extent cx="5943600" cy="42024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ixin Image_20250429204347.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4202430"/>
                    </a:xfrm>
                    <a:prstGeom prst="rect">
                      <a:avLst/>
                    </a:prstGeom>
                  </pic:spPr>
                </pic:pic>
              </a:graphicData>
            </a:graphic>
          </wp:inline>
        </w:drawing>
      </w:r>
    </w:p>
    <w:p w14:paraId="55FB21D0" w14:textId="77777777" w:rsidR="00076CC8" w:rsidRPr="001227E6" w:rsidRDefault="00076CC8" w:rsidP="00213DFB">
      <w:pPr>
        <w:jc w:val="center"/>
        <w:rPr>
          <w:rFonts w:ascii="Times New Roman" w:hAnsi="Times New Roman" w:cs="Times New Roman"/>
          <w:sz w:val="24"/>
          <w:szCs w:val="24"/>
        </w:rPr>
      </w:pPr>
      <w:r w:rsidRPr="001227E6">
        <w:rPr>
          <w:rFonts w:ascii="Times New Roman" w:hAnsi="Times New Roman" w:cs="Times New Roman"/>
          <w:sz w:val="24"/>
          <w:szCs w:val="24"/>
        </w:rPr>
        <w:lastRenderedPageBreak/>
        <w:t>Figure 9: Bangladesh’s Strategic Location in BRI Trade Routes [14].</w:t>
      </w:r>
    </w:p>
    <w:p w14:paraId="1E4D16DC" w14:textId="77777777" w:rsidR="00076CC8" w:rsidRPr="001227E6" w:rsidRDefault="00076CC8" w:rsidP="00076CC8">
      <w:pPr>
        <w:jc w:val="both"/>
        <w:rPr>
          <w:rFonts w:ascii="Times New Roman" w:hAnsi="Times New Roman" w:cs="Times New Roman"/>
          <w:sz w:val="24"/>
          <w:szCs w:val="24"/>
        </w:rPr>
      </w:pPr>
    </w:p>
    <w:p w14:paraId="0E72B7CA" w14:textId="77777777" w:rsidR="00076CC8" w:rsidRPr="00603435" w:rsidRDefault="00296726" w:rsidP="00603435">
      <w:pPr>
        <w:pStyle w:val="Heading2"/>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197368763"/>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6.6. </w:t>
      </w:r>
      <w:r w:rsidR="00076CC8"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Implications and Broader Impact</w:t>
      </w:r>
      <w:bookmarkEnd w:id="23"/>
    </w:p>
    <w:p w14:paraId="620166E5" w14:textId="77777777" w:rsidR="00345A8B" w:rsidRPr="00345A8B"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The China-Bangladesh semiconductor partnership has profound implications, reshaping Bangladesh’s economic landscape, enhancing China’s global tech leadership, and setting a precedent for collaborative development. For Bangladesh, the $18 billion GDP contribution and 570,000 total jobs by 2040 reduce reliance on textiles, fostering technological self-reliance and positioning the country as South Asia’s silicon hub [7]. The partnership empowers its 80 million workers, with 50% under 30, through skills development, aligning with the 2024 National Youth Policy’s $300 million tech training commitment [4]. For China, diversifying its chip supply chain strengthens resilience against U.S. sanctions, while a $30 billion market opportunity by 2040 cements its role as a Global South innovator, akin to its $20 billion EV investment</w:t>
      </w:r>
      <w:r>
        <w:rPr>
          <w:rFonts w:ascii="Times New Roman" w:hAnsi="Times New Roman" w:cs="Times New Roman"/>
          <w:sz w:val="24"/>
          <w:szCs w:val="24"/>
        </w:rPr>
        <w:t>s in Brazil by 2023 [3, 7, 16].</w:t>
      </w:r>
    </w:p>
    <w:p w14:paraId="6AD546F7" w14:textId="77777777" w:rsidR="00D84586" w:rsidRPr="001227E6" w:rsidRDefault="00345A8B" w:rsidP="00345A8B">
      <w:pPr>
        <w:jc w:val="both"/>
        <w:rPr>
          <w:rFonts w:ascii="Times New Roman" w:hAnsi="Times New Roman" w:cs="Times New Roman"/>
          <w:sz w:val="24"/>
          <w:szCs w:val="24"/>
        </w:rPr>
      </w:pPr>
      <w:r w:rsidRPr="00345A8B">
        <w:rPr>
          <w:rFonts w:ascii="Times New Roman" w:hAnsi="Times New Roman" w:cs="Times New Roman"/>
          <w:sz w:val="24"/>
          <w:szCs w:val="24"/>
        </w:rPr>
        <w:t>Globally, the partnership offers a replicable model for tech-driven South-South cooperation, with potential applications in Africa and Latin America. A $1 billion China-ASEAN semiconductor alliance could scale the model, creating 1 million jobs region-wide by 2050 [7]. However, sustained community engagement, including $50 million in local innovation grants, is critical to maintain 80% public support and avoid backlash, as seen in Zambia’s BRI disputes [6, 8]. Diversified partnerships with South Korea and the EU, contributing $3 billion in tech FDI, could mitigate geopolitical risks. By balancing economic, social, and strategic priorities, the partnership redefines global tech collaboration, fostering equitable prosperity in a multipolar world.</w:t>
      </w:r>
      <w:r w:rsidR="00213DFB">
        <w:rPr>
          <w:rFonts w:ascii="Times New Roman" w:hAnsi="Times New Roman" w:cs="Times New Roman"/>
          <w:sz w:val="24"/>
          <w:szCs w:val="24"/>
        </w:rPr>
        <w:br w:type="page"/>
      </w:r>
    </w:p>
    <w:p w14:paraId="13106187" w14:textId="77777777" w:rsidR="00F0272C" w:rsidRPr="00603435" w:rsidRDefault="00F0272C"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Toc197368764"/>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Conclusion</w:t>
      </w:r>
      <w:bookmarkEnd w:id="24"/>
    </w:p>
    <w:p w14:paraId="767A2BD1" w14:textId="77777777" w:rsidR="00603435" w:rsidRPr="00603435"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t xml:space="preserve">This comprehensive study illuminates the extraordinary potential of a China-Bangladesh semiconductor partnership, presenting a visionary framework for mutual prosperity, technological innovation, and global leadership in a rapidly evolving world. By synergizing Bangladesh’s demographic advantages—80 million workers, a median age of 27.5, and labor costs of $0.55/hour—with China’s unparalleled technological expertise and $15 billion in Belt and Road Initiative (BRI) infrastructure investments, the partnership addresses critical vulnerabilities in the global semiconductor supply chain, valued at $555.9 billion in 2023 and projected to reach $1 trillion by 2030 [1, 4, 14]. The proposed $5 billion investment is poised to transform Bangladesh’s economic landscape, creating 70,000 direct jobs, generating $18 billion in GDP by 2040 (3% of projected GDP), and fostering 500,000 indirect jobs across logistics, services, and R&amp;D sectors, thereby alleviating the 12.5% graduate unemployment rate and empowering a generation of young Bangladeshis [7]. For China, the partnership mitigates the impact of U.S. export controls imposed in 2022, which restricted access to advanced chips, by diversifying production beyond Taiwan and South Korea, which dominate 70% of global output, and unlocking a $30 billion market opportunity by 2040 [1, 3]. This strategic collaboration not only aligns with Bangladesh’s Digital Bangladesh vision to transition from a textile-dependent economy (16% of GDP) to a tech-driven powerhouse but also reinforces China’s role as a leader in South-South cooperation, offering a scalable model for equitable development </w:t>
      </w:r>
      <w:r>
        <w:rPr>
          <w:rFonts w:ascii="Times New Roman" w:hAnsi="Times New Roman" w:cs="Times New Roman"/>
          <w:sz w:val="24"/>
          <w:szCs w:val="24"/>
        </w:rPr>
        <w:t>across the Global South [4, 9].</w:t>
      </w:r>
    </w:p>
    <w:p w14:paraId="47EFDE79" w14:textId="77777777" w:rsidR="00603435" w:rsidRPr="00603435"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t>The partnership’s multifaceted benefits are grounded in robust findings. A $1.5 billion investment in STEM education will revolutionize Bangladesh’s human capital, increasing the STEM graduate rate from 15% to 45% and training 250,000 workers by 2035 in critical fields like microelectronics and chip fabrication, drawing inspiration from Israel’s education-driven tech boom that fueled a $50 billion industry [5, 16]. Public support, with 78% of Bangladeshis favoring China due to transformative BRI projects like the $2.5 billion Cox’s Bazar wind farm and $700 million in climate aid, ensures a stable and welcoming investment climate, in stark contrast to the 45% approval for India amid a $13 billion trade deficit and border tensions [6, 14, 17, 20]. Geopolitically, Bangladesh’s strategic location along the Bay of Bengal reduces China’s reliance on the Strait of Malacca, through which 70% of its energy imports pass, with BRI projects like the $2 billion Cox’s Bazar port enhancing trade security and regional influence [15]. The partnership counters India’s dominance, as 80% of Bangladeshis advocate for diversified alliances, positioning Bangladesh as a tech counterweight to Bengaluru [20]. Cultural shifts are facilitated by $150 million in media campaigns and 15,000 internships, promoting semiconductor careers with salaries of $1,500–$3,000/month, rivaling government roles ($650–$950/month) and redirecting 45% of graduates to tech by 2035, mirroring Taiwan’s private-sector transformation [2, 7, 12]. While challenges such as the need for $4 billion in renewable energy to secure 7,000 MW by 2030 and risks of over-reliance on China persist, BRI infrastructure like the $2 billion Dhaka-Chittagong highway and diversified $3 billion FDI from Japan and Singapore provide a solid foundation, validated by Vietnam’s $15 billion tech ecosystem [14, 16].</w:t>
      </w:r>
    </w:p>
    <w:p w14:paraId="58369103" w14:textId="77777777" w:rsidR="00603435" w:rsidRPr="00603435" w:rsidRDefault="00603435" w:rsidP="00603435">
      <w:pPr>
        <w:jc w:val="both"/>
        <w:rPr>
          <w:rFonts w:ascii="Times New Roman" w:hAnsi="Times New Roman" w:cs="Times New Roman"/>
          <w:sz w:val="24"/>
          <w:szCs w:val="24"/>
        </w:rPr>
      </w:pPr>
    </w:p>
    <w:p w14:paraId="4065FDC0" w14:textId="77777777" w:rsidR="00603435" w:rsidRPr="00603435"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lastRenderedPageBreak/>
        <w:t xml:space="preserve">To realize this ambitious vision, several actionable recommendations are proposed. First, establish a China-Bangladesh Semiconductor Alliance by 2028, a $5 billion joint task force to coordinate investments, technology transfers, and infrastructure, ensuring alignment with Bangladesh’s 2041 development goals and China’s BRI framework. Second, invest $1.5 billion in STEM education to fund 35 advanced training academies, 25,000 annual scholarships, and AI-driven learning platforms, prioritizing 50,000 women and rural youth to foster inclusivity and address skill gaps [5]. Third, launch a $150 million nationwide campaign, including TV, social media, and 15,000 paid internships with firms like SMIC, to position tech careers as prestigious and socially impactful, shifting cultural preferences from public-sector jobs [7]. Fourth, allocate $4 billion for renewable energy to develop 7,000 MW of solar and wind capacity by 2030, building on BRI projects like the $1.5 billion </w:t>
      </w:r>
      <w:proofErr w:type="spellStart"/>
      <w:r w:rsidRPr="00603435">
        <w:rPr>
          <w:rFonts w:ascii="Times New Roman" w:hAnsi="Times New Roman" w:cs="Times New Roman"/>
          <w:sz w:val="24"/>
          <w:szCs w:val="24"/>
        </w:rPr>
        <w:t>Matarbari</w:t>
      </w:r>
      <w:proofErr w:type="spellEnd"/>
      <w:r w:rsidRPr="00603435">
        <w:rPr>
          <w:rFonts w:ascii="Times New Roman" w:hAnsi="Times New Roman" w:cs="Times New Roman"/>
          <w:sz w:val="24"/>
          <w:szCs w:val="24"/>
        </w:rPr>
        <w:t xml:space="preserve"> plant and attracting $1 billion from EU partners to ensure reliable power for chip manufacturing [16]. Finally, diversify partnerships by securing $3 billion in FDI from Japan, South Korea, and Singapore, leveraging their chip expertise to create a balanced ecosystem and mitigate dependency risks, as demonstrated by Malaysia’s $2</w:t>
      </w:r>
      <w:r>
        <w:rPr>
          <w:rFonts w:ascii="Times New Roman" w:hAnsi="Times New Roman" w:cs="Times New Roman"/>
          <w:sz w:val="24"/>
          <w:szCs w:val="24"/>
        </w:rPr>
        <w:t>5 billion electronics hub [16].</w:t>
      </w:r>
    </w:p>
    <w:p w14:paraId="23C48A8A" w14:textId="77777777" w:rsidR="00457BAE" w:rsidRPr="001227E6" w:rsidRDefault="00603435" w:rsidP="00603435">
      <w:pPr>
        <w:jc w:val="both"/>
        <w:rPr>
          <w:rFonts w:ascii="Times New Roman" w:hAnsi="Times New Roman" w:cs="Times New Roman"/>
          <w:sz w:val="24"/>
          <w:szCs w:val="24"/>
        </w:rPr>
      </w:pPr>
      <w:r w:rsidRPr="00603435">
        <w:rPr>
          <w:rFonts w:ascii="Times New Roman" w:hAnsi="Times New Roman" w:cs="Times New Roman"/>
          <w:sz w:val="24"/>
          <w:szCs w:val="24"/>
        </w:rPr>
        <w:t>This partnership redefines South-South cooperation, embodying Xi Jinping’s philosophy of a “community with a shared future” and setting a precedent for technology-driven development. By fostering economic resilience, workforce empowerment, and geopolitical stability, it transforms Bangladesh into South Asia’s silicon hub and cements China’s leadership in the Global South. The projected $30 billion market by 2040 offers a replicable blueprint for ASEAN, African, and Latin American nations, with a proposed $1 billion China-ASEAN semiconductor fund to create 1 million jobs by 2050 [7]. Through sustained community engagement, including $100 million in local innovation grants, and diversified alliances, the China-Bangladesh semiconductor partnership navigates challenges like geopolitical tensions and infrastructure deficits, ensuring long-term sustainability. This collaboration not only reshapes the global tech landscape but also champions equitable prosperity, positioning both nations as pioneers in a multipolar, technology-driven world.</w:t>
      </w:r>
      <w:r w:rsidR="00457BAE" w:rsidRPr="001227E6">
        <w:rPr>
          <w:rFonts w:ascii="Times New Roman" w:hAnsi="Times New Roman" w:cs="Times New Roman"/>
          <w:sz w:val="24"/>
          <w:szCs w:val="24"/>
        </w:rPr>
        <w:br w:type="page"/>
      </w:r>
    </w:p>
    <w:p w14:paraId="4603972A" w14:textId="77777777" w:rsidR="00457BAE" w:rsidRPr="00603435" w:rsidRDefault="00457BAE" w:rsidP="00603435">
      <w:pPr>
        <w:pStyle w:val="Heading1"/>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5" w:name="_Toc197368765"/>
      <w:r w:rsidRPr="00603435">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References</w:t>
      </w:r>
      <w:bookmarkEnd w:id="25"/>
    </w:p>
    <w:p w14:paraId="12CB0798" w14:textId="77777777" w:rsidR="00457BAE" w:rsidRPr="001227E6" w:rsidRDefault="00457BAE" w:rsidP="00457BAE">
      <w:pPr>
        <w:jc w:val="both"/>
        <w:rPr>
          <w:rFonts w:ascii="Times New Roman" w:hAnsi="Times New Roman" w:cs="Times New Roman"/>
          <w:sz w:val="24"/>
          <w:szCs w:val="24"/>
        </w:rPr>
      </w:pPr>
    </w:p>
    <w:p w14:paraId="11EF03D3"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 Statista. (2024). Global semiconductor market statistics. Retrieved from [URL placeholder].</w:t>
      </w:r>
    </w:p>
    <w:p w14:paraId="19727292"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[2] Semiconductor Industry Association. (2023). Global semiconductor market overview. Washington, DC: Semiconductor Industry Association.</w:t>
      </w:r>
    </w:p>
    <w:p w14:paraId="56A2185D"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[3] Bloomberg. (2023). China’s semiconductor import challenges. Retrieved from [URL placeholder].</w:t>
      </w:r>
    </w:p>
    <w:p w14:paraId="238D9302"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[4] World Bank. (2023). Bangladesh economic overview. Washington, DC: World Bank.</w:t>
      </w:r>
    </w:p>
    <w:p w14:paraId="094D8ACC"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[5] Bangladesh Bureau of Statistics. (2022). Labor force survey. Dhaka: Bangladesh Bureau of Statistics.</w:t>
      </w:r>
    </w:p>
    <w:p w14:paraId="7ED26A21"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[6] Pew Research Center. (2020). Global attitudes toward China and India. Washington, DC: Pew Research Center.</w:t>
      </w:r>
    </w:p>
    <w:p w14:paraId="693E72C4"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[7] Bangladesh Investment Development Authority. (2024). Economic projections for tech industries. Dhaka: Bangladesh Investment Development Authority.</w:t>
      </w:r>
    </w:p>
    <w:p w14:paraId="1BC5AFEF"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[8] Gao, Y., &amp; Wang, J. (2022). China’s Belt and Road Initiative: Strategic implications for South Asia. Journal of Asian Studies, 45(3), 112–130.</w:t>
      </w:r>
    </w:p>
    <w:p w14:paraId="09FB186D"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[9] Bangladesh Telecommunication Regulatory Commission. (2023). Internet penetration report. Dhaka: Bangladesh Telecommunication Regulatory Commission.</w:t>
      </w:r>
    </w:p>
    <w:p w14:paraId="00E4D4B5"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[10] UNESCO. (2023). Global education expenditure database. Paris: UNESCO.</w:t>
      </w:r>
    </w:p>
    <w:p w14:paraId="65C0E5B0"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[11] Kim, L. (1997). Imitation to innovation: The dynamics of Korea’s technological learning. Boston: Harvard Business School Press.</w:t>
      </w:r>
    </w:p>
    <w:p w14:paraId="34388B26"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[12] Bangladesh Institute of Development Studies. (2022). Graduate career aspirations survey. Dhaka: Bangladesh Institute of Development Studies.</w:t>
      </w:r>
    </w:p>
    <w:p w14:paraId="783EF98F"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[13] Hossain, M. (2021). Colonial legacies and public sector employment in Bangladesh. South Asia Economic Journal, 22(1), 45–60.</w:t>
      </w:r>
    </w:p>
    <w:p w14:paraId="22F8CB1A"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[14] Stimson Center. (2023). Belt and Road Initiative investments in South Asia. Washington, DC: Stimson Center.</w:t>
      </w:r>
    </w:p>
    <w:p w14:paraId="3D946A81"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[15] China Power Project. (2023). China’s investments in South Asian ports. Washington, DC: Center for Strategic and International Studies.</w:t>
      </w:r>
    </w:p>
    <w:p w14:paraId="01C6AA56"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[16] Korea Trade-Investment Promotion Agency. (2021). South Korea’s investments in Vietnam. Seoul: Korea Trade-Investment Promotion Agency.</w:t>
      </w:r>
    </w:p>
    <w:p w14:paraId="3D81660E"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[17] Bangladesh Bank. (2022). Annual trade statistics, FY 2021–22. Dhaka: Bangladesh Bank.</w:t>
      </w:r>
    </w:p>
    <w:p w14:paraId="28350580"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[18] World Bank. (2019). Ethiopia’s textile industry growth. Washington, DC: World Bank.</w:t>
      </w:r>
    </w:p>
    <w:p w14:paraId="1520C4E3"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lastRenderedPageBreak/>
        <w:t>[19] Chinese Embassy in Dhaka. (2021). China-Bangladesh COVID-19 cooperation. Retrieved from [URL placeholder].</w:t>
      </w:r>
    </w:p>
    <w:p w14:paraId="252DF396"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[20] Centre for Policy Dialogue. (2021). Public perceptions of foreign influence in Bangladesh. Dhaka: Centre for Policy Dialogue.</w:t>
      </w:r>
    </w:p>
    <w:p w14:paraId="6EE68107"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[21] National Association of Software and Services Companies. (2001). India’s IT industry: A success story. New Delhi: National Association of Software and Services Companies.</w:t>
      </w:r>
    </w:p>
    <w:p w14:paraId="1BF0EAF2"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[22] Huawei. (2023). Annual report 2022. Shenzhen: Huawei Technologies.</w:t>
      </w:r>
    </w:p>
    <w:p w14:paraId="04721411" w14:textId="77777777" w:rsidR="00457BAE" w:rsidRPr="001227E6" w:rsidRDefault="00457BAE" w:rsidP="00457BAE">
      <w:pPr>
        <w:jc w:val="both"/>
        <w:rPr>
          <w:rFonts w:ascii="Times New Roman" w:hAnsi="Times New Roman" w:cs="Times New Roman"/>
          <w:sz w:val="24"/>
          <w:szCs w:val="24"/>
        </w:rPr>
      </w:pPr>
      <w:r w:rsidRPr="001227E6">
        <w:rPr>
          <w:rFonts w:ascii="Times New Roman" w:hAnsi="Times New Roman" w:cs="Times New Roman"/>
          <w:sz w:val="24"/>
          <w:szCs w:val="24"/>
        </w:rPr>
        <w:t>[23] Foxconn. (2011). Annual report 2010. Taipei: Foxconn Technology Group.</w:t>
      </w:r>
    </w:p>
    <w:sectPr w:rsidR="00457BAE" w:rsidRPr="001227E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1B4E" w14:textId="77777777" w:rsidR="000D51B2" w:rsidRDefault="000D51B2" w:rsidP="008D566E">
      <w:pPr>
        <w:spacing w:after="0" w:line="240" w:lineRule="auto"/>
      </w:pPr>
      <w:r>
        <w:separator/>
      </w:r>
    </w:p>
  </w:endnote>
  <w:endnote w:type="continuationSeparator" w:id="0">
    <w:p w14:paraId="6F68751C" w14:textId="77777777" w:rsidR="000D51B2" w:rsidRDefault="000D51B2" w:rsidP="008D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922F" w14:textId="77777777" w:rsidR="008D566E" w:rsidRDefault="008D5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A271" w14:textId="77777777" w:rsidR="008D566E" w:rsidRDefault="008D5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97B6" w14:textId="77777777" w:rsidR="008D566E" w:rsidRDefault="008D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D3382" w14:textId="77777777" w:rsidR="000D51B2" w:rsidRDefault="000D51B2" w:rsidP="008D566E">
      <w:pPr>
        <w:spacing w:after="0" w:line="240" w:lineRule="auto"/>
      </w:pPr>
      <w:r>
        <w:separator/>
      </w:r>
    </w:p>
  </w:footnote>
  <w:footnote w:type="continuationSeparator" w:id="0">
    <w:p w14:paraId="0B645864" w14:textId="77777777" w:rsidR="000D51B2" w:rsidRDefault="000D51B2" w:rsidP="008D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1F94" w14:textId="60238AB1" w:rsidR="008D566E" w:rsidRDefault="008D566E">
    <w:pPr>
      <w:pStyle w:val="Header"/>
    </w:pPr>
    <w:r>
      <w:rPr>
        <w:noProof/>
      </w:rPr>
      <w:pict w14:anchorId="29C40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18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8573" w14:textId="2CD3340C" w:rsidR="008D566E" w:rsidRDefault="008D566E">
    <w:pPr>
      <w:pStyle w:val="Header"/>
    </w:pPr>
    <w:r>
      <w:rPr>
        <w:noProof/>
      </w:rPr>
      <w:pict w14:anchorId="26EB5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18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B53A" w14:textId="5B25F0D8" w:rsidR="008D566E" w:rsidRDefault="008D566E">
    <w:pPr>
      <w:pStyle w:val="Header"/>
    </w:pPr>
    <w:r>
      <w:rPr>
        <w:noProof/>
      </w:rPr>
      <w:pict w14:anchorId="22135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18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F482A"/>
    <w:multiLevelType w:val="hybridMultilevel"/>
    <w:tmpl w:val="7258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56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0A"/>
    <w:rsid w:val="00034E9A"/>
    <w:rsid w:val="0007140F"/>
    <w:rsid w:val="00076CC8"/>
    <w:rsid w:val="000A3887"/>
    <w:rsid w:val="000A7161"/>
    <w:rsid w:val="000D51B2"/>
    <w:rsid w:val="001227E6"/>
    <w:rsid w:val="0013195E"/>
    <w:rsid w:val="00134F63"/>
    <w:rsid w:val="001C6B46"/>
    <w:rsid w:val="00213DFB"/>
    <w:rsid w:val="00296726"/>
    <w:rsid w:val="002B3ADC"/>
    <w:rsid w:val="00345A8B"/>
    <w:rsid w:val="003E32AE"/>
    <w:rsid w:val="003E7878"/>
    <w:rsid w:val="003F2129"/>
    <w:rsid w:val="00421C0E"/>
    <w:rsid w:val="00457BAE"/>
    <w:rsid w:val="004F1724"/>
    <w:rsid w:val="004F376F"/>
    <w:rsid w:val="00603435"/>
    <w:rsid w:val="007760EF"/>
    <w:rsid w:val="008628E2"/>
    <w:rsid w:val="008D566E"/>
    <w:rsid w:val="008E0B4E"/>
    <w:rsid w:val="00916E06"/>
    <w:rsid w:val="00952FE0"/>
    <w:rsid w:val="00972572"/>
    <w:rsid w:val="00981A2C"/>
    <w:rsid w:val="00A84DFE"/>
    <w:rsid w:val="00B8748E"/>
    <w:rsid w:val="00BA660A"/>
    <w:rsid w:val="00C15780"/>
    <w:rsid w:val="00C50505"/>
    <w:rsid w:val="00C67083"/>
    <w:rsid w:val="00CA465D"/>
    <w:rsid w:val="00CA6760"/>
    <w:rsid w:val="00D84586"/>
    <w:rsid w:val="00DA06E2"/>
    <w:rsid w:val="00DB512B"/>
    <w:rsid w:val="00E66FBC"/>
    <w:rsid w:val="00E86466"/>
    <w:rsid w:val="00EB38C7"/>
    <w:rsid w:val="00F0272C"/>
    <w:rsid w:val="00FE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CB004"/>
  <w15:chartTrackingRefBased/>
  <w15:docId w15:val="{6AC9E838-C5B1-400E-9AAE-C455064D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37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0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AE"/>
    <w:pPr>
      <w:ind w:left="720"/>
      <w:contextualSpacing/>
    </w:pPr>
  </w:style>
  <w:style w:type="paragraph" w:styleId="Title">
    <w:name w:val="Title"/>
    <w:basedOn w:val="Normal"/>
    <w:next w:val="Normal"/>
    <w:link w:val="TitleChar"/>
    <w:uiPriority w:val="10"/>
    <w:qFormat/>
    <w:rsid w:val="00CA67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7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37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376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760EF"/>
    <w:pPr>
      <w:outlineLvl w:val="9"/>
    </w:pPr>
  </w:style>
  <w:style w:type="paragraph" w:styleId="TOC1">
    <w:name w:val="toc 1"/>
    <w:basedOn w:val="Normal"/>
    <w:next w:val="Normal"/>
    <w:autoRedefine/>
    <w:uiPriority w:val="39"/>
    <w:unhideWhenUsed/>
    <w:rsid w:val="007760EF"/>
    <w:pPr>
      <w:spacing w:after="100"/>
    </w:pPr>
  </w:style>
  <w:style w:type="paragraph" w:styleId="TOC2">
    <w:name w:val="toc 2"/>
    <w:basedOn w:val="Normal"/>
    <w:next w:val="Normal"/>
    <w:autoRedefine/>
    <w:uiPriority w:val="39"/>
    <w:unhideWhenUsed/>
    <w:rsid w:val="007760EF"/>
    <w:pPr>
      <w:spacing w:after="100"/>
      <w:ind w:left="220"/>
    </w:pPr>
  </w:style>
  <w:style w:type="character" w:styleId="Hyperlink">
    <w:name w:val="Hyperlink"/>
    <w:basedOn w:val="DefaultParagraphFont"/>
    <w:uiPriority w:val="99"/>
    <w:unhideWhenUsed/>
    <w:rsid w:val="007760EF"/>
    <w:rPr>
      <w:color w:val="0563C1" w:themeColor="hyperlink"/>
      <w:u w:val="single"/>
    </w:rPr>
  </w:style>
  <w:style w:type="character" w:customStyle="1" w:styleId="Heading3Char">
    <w:name w:val="Heading 3 Char"/>
    <w:basedOn w:val="DefaultParagraphFont"/>
    <w:link w:val="Heading3"/>
    <w:uiPriority w:val="9"/>
    <w:semiHidden/>
    <w:rsid w:val="008E0B4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E0B4E"/>
    <w:rPr>
      <w:color w:val="605E5C"/>
      <w:shd w:val="clear" w:color="auto" w:fill="E1DFDD"/>
    </w:rPr>
  </w:style>
  <w:style w:type="paragraph" w:styleId="Header">
    <w:name w:val="header"/>
    <w:basedOn w:val="Normal"/>
    <w:link w:val="HeaderChar"/>
    <w:uiPriority w:val="99"/>
    <w:unhideWhenUsed/>
    <w:rsid w:val="008D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6E"/>
  </w:style>
  <w:style w:type="paragraph" w:styleId="Footer">
    <w:name w:val="footer"/>
    <w:basedOn w:val="Normal"/>
    <w:link w:val="FooterChar"/>
    <w:uiPriority w:val="99"/>
    <w:unhideWhenUsed/>
    <w:rsid w:val="008D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4742">
      <w:bodyDiv w:val="1"/>
      <w:marLeft w:val="0"/>
      <w:marRight w:val="0"/>
      <w:marTop w:val="0"/>
      <w:marBottom w:val="0"/>
      <w:divBdr>
        <w:top w:val="none" w:sz="0" w:space="0" w:color="auto"/>
        <w:left w:val="none" w:sz="0" w:space="0" w:color="auto"/>
        <w:bottom w:val="none" w:sz="0" w:space="0" w:color="auto"/>
        <w:right w:val="none" w:sz="0" w:space="0" w:color="auto"/>
      </w:divBdr>
    </w:div>
    <w:div w:id="10523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6895-986E-44F7-B978-2ECF05F7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7759</Words>
  <Characters>44230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dc:creator>
  <cp:keywords/>
  <dc:description/>
  <cp:lastModifiedBy>Editor-22</cp:lastModifiedBy>
  <cp:revision>5</cp:revision>
  <dcterms:created xsi:type="dcterms:W3CDTF">2025-05-28T07:48:00Z</dcterms:created>
  <dcterms:modified xsi:type="dcterms:W3CDTF">2025-05-29T09:26:00Z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9c1d79c6-fe57-42d0-a674-3a56a0fbf6be</vt:lpwstr>
  </property>
</Properties>
</file>