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BC236" w14:textId="623EA984" w:rsidR="00303585" w:rsidRDefault="00303585">
      <w:pPr>
        <w:spacing w:line="360" w:lineRule="auto"/>
        <w:jc w:val="center"/>
        <w:rPr>
          <w:rFonts w:ascii="Times New Roman" w:eastAsia="Times New Roman" w:hAnsi="Times New Roman" w:cs="Times New Roman"/>
          <w:b/>
          <w:sz w:val="28"/>
          <w:szCs w:val="28"/>
        </w:rPr>
      </w:pPr>
      <w:bookmarkStart w:id="0" w:name="_GoBack"/>
      <w:bookmarkEnd w:id="0"/>
      <w:r w:rsidRPr="00303585">
        <w:rPr>
          <w:rFonts w:ascii="Times New Roman" w:eastAsia="Times New Roman" w:hAnsi="Times New Roman" w:cs="Times New Roman"/>
          <w:b/>
          <w:bCs/>
          <w:i/>
          <w:iCs/>
          <w:sz w:val="28"/>
          <w:szCs w:val="28"/>
          <w:u w:val="single"/>
          <w:lang w:val="en-US"/>
        </w:rPr>
        <w:t>Original Research Article</w:t>
      </w:r>
    </w:p>
    <w:p w14:paraId="44F5C68B" w14:textId="21C4D2E8" w:rsidR="0000009C" w:rsidRDefault="00EB25AC">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From Shelves to Syllabi: Exploring Dual Identities in Librarianship</w:t>
      </w:r>
    </w:p>
    <w:p w14:paraId="23CE95F8"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475C0BE8" w14:textId="77777777" w:rsidR="0000009C" w:rsidRDefault="00EB25AC">
      <w:pPr>
        <w:spacing w:line="360" w:lineRule="auto"/>
        <w:jc w:val="both"/>
        <w:rPr>
          <w:rFonts w:ascii="Times New Roman" w:eastAsia="Times New Roman" w:hAnsi="Times New Roman" w:cs="Times New Roman"/>
          <w:i/>
        </w:rPr>
      </w:pPr>
      <w:r>
        <w:rPr>
          <w:rFonts w:ascii="Times New Roman" w:eastAsia="Times New Roman" w:hAnsi="Times New Roman" w:cs="Times New Roman"/>
        </w:rPr>
        <w:t>The National Education Policy (NEP) 2020 presents a transformative opportunity to redefine librarianship in Indian higher education, shifting librarians’ roles from passive information managers to active educators contributing to curriculum development, research mentorship, and digital literacy instruction. While global models—such as those in the U.S., U.K., and Australia—recognize librarians as instructional faculty, India lacks formal policy frameworks enabling their integration into teaching roles. This study critically examines the dual identity of librarians, highlighting existing institutional barriers, regulatory limitations, and gaps in LIS education that restrict their pedagogical involvement. It proposes a structured librarian-teaching model (LTM) to facilitate interdisciplinary learning and enhance student research competencies. The study also presents policy recommendations advocating for formal recognition of librarians as faculty, credit-bearing librarian-led courses, curriculum development participation, and faculty collaboration. By synthesizing global best practices and conducting a comparative analysis, this research contributes to LIS education reform discourse, aligning with NEP 2020’s vision for skill-driven, research-intensive higher education.</w:t>
      </w:r>
    </w:p>
    <w:p w14:paraId="3141A1B1" w14:textId="77777777" w:rsidR="0000009C" w:rsidRDefault="00EB25AC">
      <w:pPr>
        <w:spacing w:line="360" w:lineRule="auto"/>
        <w:jc w:val="both"/>
        <w:rPr>
          <w:rFonts w:ascii="Times New Roman" w:eastAsia="Times New Roman" w:hAnsi="Times New Roman" w:cs="Times New Roman"/>
          <w:i/>
        </w:rPr>
      </w:pPr>
      <w:r>
        <w:rPr>
          <w:rFonts w:ascii="Times New Roman" w:eastAsia="Times New Roman" w:hAnsi="Times New Roman" w:cs="Times New Roman"/>
          <w:b/>
          <w:i/>
        </w:rPr>
        <w:t>Keywords:</w:t>
      </w:r>
      <w:r>
        <w:rPr>
          <w:rFonts w:ascii="Times New Roman" w:eastAsia="Times New Roman" w:hAnsi="Times New Roman" w:cs="Times New Roman"/>
          <w:i/>
        </w:rPr>
        <w:t xml:space="preserve"> Librarianship, Dual Identity, Higher Education, Information Literacy, Pedagogy, Digital Literacy, Research Mentorship, Faculty-Librarian Collaboration, LIS Education, Institutional Barriers, Scholarly Communication, Interdisciplinary Learning.</w:t>
      </w:r>
    </w:p>
    <w:p w14:paraId="3DE4D80C"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 Introduction</w:t>
      </w:r>
    </w:p>
    <w:p w14:paraId="0F41088C"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Librarianship in India has traditionally been positioned as a support function rather than an integral component of academia. However, The National Education Policy (NEP) 2020 signifies a substantial transformation in the prospective functions of librarians, broadening their duties considerably beyond conventional information stewardship. advocating interdisciplinary learning, research-driven pedagogy, and digital literacy instruction. While global models recognize librarians as instructional faculty, India's higher education system continues to classify them under administrative roles, restricting their engagement in formal teaching.</w:t>
      </w:r>
    </w:p>
    <w:p w14:paraId="4CF1A193"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study analyses the dual identity of librarians, assessing the impact of NEP 2020 on their pedagogical roles. By exploring institutional challenges and policy opportunities, it proposes a </w:t>
      </w:r>
      <w:r>
        <w:rPr>
          <w:rFonts w:ascii="Times New Roman" w:eastAsia="Times New Roman" w:hAnsi="Times New Roman" w:cs="Times New Roman"/>
        </w:rPr>
        <w:lastRenderedPageBreak/>
        <w:t>structured librarian-teaching model and outlines key reforms for integrating librarians into academia. The study focuses exclusively on academic librarians in higher education institutions, with qualitative policy recommendations requiring empirical validation.</w:t>
      </w:r>
    </w:p>
    <w:p w14:paraId="6CD05F83"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India’s HEIs have historically limited librarians to non-teaching roles due to rigid faculty classifications and administrative resistance, unlike U.S., U.K., and Australian models, where librarians actively contribute to curriculum development. The absence of empirical studies evaluating student outcomes from librarian-led instruction restricts informed policy decisions. Additionally, existing regulatory barriers hinder faculty-librarian collaboration, preventing librarians from co-teaching, mentoring student research, or shaping academic coursework. Addressing these institutional limitations is essential for recognizing librarians as educators under the evolving framework of NEP 2020.</w:t>
      </w:r>
    </w:p>
    <w:p w14:paraId="10ED2000"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2. Historical Evolution of Librarianship in India</w:t>
      </w:r>
    </w:p>
    <w:p w14:paraId="73F159C4"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Tracing its roots to ancient learning centres such as Nalanda and </w:t>
      </w:r>
      <w:proofErr w:type="spellStart"/>
      <w:r>
        <w:rPr>
          <w:rFonts w:ascii="Times New Roman" w:eastAsia="Times New Roman" w:hAnsi="Times New Roman" w:cs="Times New Roman"/>
        </w:rPr>
        <w:t>Takshashila</w:t>
      </w:r>
      <w:proofErr w:type="spellEnd"/>
      <w:r>
        <w:rPr>
          <w:rFonts w:ascii="Times New Roman" w:eastAsia="Times New Roman" w:hAnsi="Times New Roman" w:cs="Times New Roman"/>
        </w:rPr>
        <w:t>, Indian librarianship evolved into a structured profession during British colonial rule. Post-independence, the field saw institutional advancements through the establishment of the National Library of India and LIS academic programs. However, despite the professionalization of the discipline, librarians remained excluded from formal teaching roles, reinforcing hierarchical distinctions between faculty and library professionals (Dutta, 2001).</w:t>
      </w:r>
    </w:p>
    <w:p w14:paraId="0D0DB622"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3. Theoretical Perspectives on Librarianship as Pedagogy</w:t>
      </w:r>
    </w:p>
    <w:p w14:paraId="6210E8A0"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Librarianship is not merely a custodial function; it embodies aspects of knowledge facilitation, academic integrity, and research mentorship. Foucault (1977) posits that control over information equates to power, underscoring librarians' role in shaping knowledge production. Contemporary academic librarians increasingly serve as research guides, information literacy instructors, and digital resource navigators, enhancing student engagement with credible academic sources (McGuinness, 2019). </w:t>
      </w:r>
    </w:p>
    <w:p w14:paraId="3DB93DC2"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Constructivist Learning Theory underpins librarian-led pedagogy by emphasizing active learning, where students construct knowledge through guided exploration of information sources. This approach aligns with librarians' role in teaching information literacy, research skills, and critical evaluation of sources. The Cognitive Apprenticeship Model explains faculty-librarian teaching collaborations, where librarians serve as mentors, helping students navigate academic databases, refine research methods, and develop scholarly communication skills. </w:t>
      </w:r>
      <w:r>
        <w:rPr>
          <w:rFonts w:ascii="Times New Roman" w:eastAsia="Times New Roman" w:hAnsi="Times New Roman" w:cs="Times New Roman"/>
        </w:rPr>
        <w:lastRenderedPageBreak/>
        <w:t>Finally, Information Behaviour Models assess student engagement with research databases, analysing how learners search, evaluate, and utilize digital resources. Integrating these theories strengthens the academic justification for librarians' involvement in formal teaching.</w:t>
      </w:r>
    </w:p>
    <w:p w14:paraId="06830A15"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4. NEP 2020: A Catalyst for Librarian Integration</w:t>
      </w:r>
    </w:p>
    <w:p w14:paraId="6C26697E"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NEP 2020 emphasizes experiential and skill-based learning, encouraging flexible curricular frameworks that align with librarians' expertise. Courses in information literacy, digital citizenship, and research methodologies require specialized instruction, providing an avenue for librarians to engage in structured teaching (Government of India, 2020).</w:t>
      </w:r>
    </w:p>
    <w:p w14:paraId="18AA0AE0"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5. Literature Review:</w:t>
      </w:r>
    </w:p>
    <w:p w14:paraId="4E6FEFD7"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Librarianship has evolved from passive custodianship of knowledge to an instructional role that integrates curriculum support and research mentoring (Lankes, 2016; Baker, 2020). The NEP 2020 promotes interdisciplinary collaboration, facilitating librarians' involvement in pedagogy and student mentorship (Government of India, 2020; Kumar &amp; Kumar, 2021). Globally, librarians contribute to credit-bearing courses and citation ethics instruction, formalized through frameworks like CILIP in the U.K. (ALA, 2023; Johnson, 2018; McGuinness, 2019). Their role in digital literacy education enhances students' information retrieval skills and source evaluation (Linton, 2016; Callahan, 1991). Librarians also aid research preparedness through bibliometric analysis and reference management training (Klein &amp; Lenart, 2020; McGuinness, 2019). Student engagement benefits from direct librarian involvement, strengthening resource utilization and independent research competencies (</w:t>
      </w:r>
      <w:proofErr w:type="spellStart"/>
      <w:r>
        <w:rPr>
          <w:rFonts w:ascii="Times New Roman" w:eastAsia="Times New Roman" w:hAnsi="Times New Roman" w:cs="Times New Roman"/>
        </w:rPr>
        <w:t>Hapel</w:t>
      </w:r>
      <w:proofErr w:type="spellEnd"/>
      <w:r>
        <w:rPr>
          <w:rFonts w:ascii="Times New Roman" w:eastAsia="Times New Roman" w:hAnsi="Times New Roman" w:cs="Times New Roman"/>
        </w:rPr>
        <w:t xml:space="preserve">, 2020; McCook &amp; </w:t>
      </w:r>
      <w:proofErr w:type="spellStart"/>
      <w:r>
        <w:rPr>
          <w:rFonts w:ascii="Times New Roman" w:eastAsia="Times New Roman" w:hAnsi="Times New Roman" w:cs="Times New Roman"/>
        </w:rPr>
        <w:t>Sierpe</w:t>
      </w:r>
      <w:proofErr w:type="spellEnd"/>
      <w:r>
        <w:rPr>
          <w:rFonts w:ascii="Times New Roman" w:eastAsia="Times New Roman" w:hAnsi="Times New Roman" w:cs="Times New Roman"/>
        </w:rPr>
        <w:t xml:space="preserve">, 2003). However, institutional barriers hinder their full pedagogical integration, necessitating policy reforms for faculty recognition and structured teaching responsibilities (Rani &amp; Gupta, 2021; Gupta &amp; Sharma, 2022). Faculty collaboration fosters curriculum dynamism, ensuring interdisciplinary learning (Patel &amp; Verma, 2020; Sharma &amp; Singh, 2021). The LIS education gap highlights a lack of pedagogical training, which requires curriculum updates in instructional design (Mukherjee, 2023; Singh &amp; Thomas, 2022). Librarians act as academic integrity advocates, teaching ethical research practices and information validation (Sen, 2020; </w:t>
      </w:r>
      <w:proofErr w:type="spellStart"/>
      <w:r>
        <w:rPr>
          <w:rFonts w:ascii="Times New Roman" w:eastAsia="Times New Roman" w:hAnsi="Times New Roman" w:cs="Times New Roman"/>
        </w:rPr>
        <w:t>Baruchson-Arbib</w:t>
      </w:r>
      <w:proofErr w:type="spellEnd"/>
      <w:r>
        <w:rPr>
          <w:rFonts w:ascii="Times New Roman" w:eastAsia="Times New Roman" w:hAnsi="Times New Roman" w:cs="Times New Roman"/>
        </w:rPr>
        <w:t xml:space="preserve"> &amp; Bronstein, 2002). Their contributions to institutional research ethics shape policies on copyright and scholarly publishing (Yap et al., 2024; McCook &amp; </w:t>
      </w:r>
      <w:proofErr w:type="spellStart"/>
      <w:r>
        <w:rPr>
          <w:rFonts w:ascii="Times New Roman" w:eastAsia="Times New Roman" w:hAnsi="Times New Roman" w:cs="Times New Roman"/>
        </w:rPr>
        <w:t>Sierpe</w:t>
      </w:r>
      <w:proofErr w:type="spellEnd"/>
      <w:r>
        <w:rPr>
          <w:rFonts w:ascii="Times New Roman" w:eastAsia="Times New Roman" w:hAnsi="Times New Roman" w:cs="Times New Roman"/>
        </w:rPr>
        <w:t xml:space="preserve">, 2003). Integrating librarians into pedagogy enhances institutional rankings and faculty efficiency (Huvila et al., 2013; Corcoran &amp; McGuinness, 2014). Global case studies demonstrate successful librarian-led courses in institutions like Harvard and </w:t>
      </w:r>
      <w:r>
        <w:rPr>
          <w:rFonts w:ascii="Times New Roman" w:eastAsia="Times New Roman" w:hAnsi="Times New Roman" w:cs="Times New Roman"/>
        </w:rPr>
        <w:lastRenderedPageBreak/>
        <w:t>Oxford, emphasizing research skills and digital literacy (Raju, 2020; Mukherjee, 2023). Performance incentives and research provisions could encourage librarians’ pedagogical contributions (Gupta &amp; Sharma, 2022; Kumar &amp; Kumar, 2021). Moving forward, librarian-teacher integration should align with NEP 2020, leveraging pilot programs and collaborative curriculum reforms (Singh &amp; Thomas, 2022).</w:t>
      </w:r>
    </w:p>
    <w:p w14:paraId="3750FB59"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6. Methodology:</w:t>
      </w:r>
    </w:p>
    <w:p w14:paraId="38C762EB"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This study adopts a mixed-methods research design, incorporating comparative analysis, content review, and institutional case studies to examine librarian-teaching integration under NEP 2020. Primary data sources include expert interviews with faculty and librarians, surveys assessing perceptions of librarian-led pedagogy, and institutional reports analysing existing librarian-teacher models. Secondary sources involve policy reviews, academic publications, and international frameworks guiding librarian involvement in education. Analytical methods include thematic coding for qualitative insights from interviews and case studies, while statistical evaluation assesses student learning outcomes, such as improvements in research skills, citation accuracy, and academic integrity after librarian-led instruction.</w:t>
      </w:r>
    </w:p>
    <w:p w14:paraId="542AA630"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7. Librarians as Educators: The Dual Identity Model</w:t>
      </w:r>
    </w:p>
    <w:p w14:paraId="033670F5" w14:textId="77777777" w:rsidR="0000009C" w:rsidRDefault="00EB25AC">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7.1 Proposed Librarian Teaching Model (LTM)</w:t>
      </w:r>
    </w:p>
    <w:p w14:paraId="5A982199"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To operationalize librarians' expanded roles, the </w:t>
      </w:r>
      <w:r>
        <w:rPr>
          <w:rFonts w:ascii="Times New Roman" w:eastAsia="Times New Roman" w:hAnsi="Times New Roman" w:cs="Times New Roman"/>
          <w:b/>
        </w:rPr>
        <w:t>Librarian Teaching Model (LTM)</w:t>
      </w:r>
      <w:r>
        <w:rPr>
          <w:rFonts w:ascii="Times New Roman" w:eastAsia="Times New Roman" w:hAnsi="Times New Roman" w:cs="Times New Roman"/>
        </w:rPr>
        <w:t xml:space="preserve"> outlines structured involvement in classroom instruction, credit-bearing courses, and faculty collaboration:</w:t>
      </w:r>
    </w:p>
    <w:p w14:paraId="207225D0" w14:textId="30A0A73A" w:rsidR="00F46A6D" w:rsidRDefault="00F46A6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Table </w:t>
      </w:r>
      <w:proofErr w:type="gramStart"/>
      <w:r>
        <w:rPr>
          <w:rFonts w:ascii="Times New Roman" w:eastAsia="Times New Roman" w:hAnsi="Times New Roman" w:cs="Times New Roman"/>
        </w:rPr>
        <w:t>1 :</w:t>
      </w:r>
      <w:proofErr w:type="gramEnd"/>
      <w:r>
        <w:rPr>
          <w:rFonts w:ascii="Times New Roman" w:eastAsia="Times New Roman" w:hAnsi="Times New Roman" w:cs="Times New Roman"/>
        </w:rPr>
        <w:t xml:space="preserve"> </w:t>
      </w:r>
      <w:r w:rsidR="00EB25AC" w:rsidRPr="00EB25AC">
        <w:rPr>
          <w:rFonts w:ascii="Times New Roman" w:eastAsia="Times New Roman" w:hAnsi="Times New Roman" w:cs="Times New Roman"/>
        </w:rPr>
        <w:t>Librarian Teaching Model</w:t>
      </w:r>
    </w:p>
    <w:tbl>
      <w:tblPr>
        <w:tblStyle w:val="a"/>
        <w:tblW w:w="9026" w:type="dxa"/>
        <w:jc w:val="center"/>
        <w:tblBorders>
          <w:top w:val="single" w:sz="4" w:space="0" w:color="7F7F7F"/>
          <w:bottom w:val="single" w:sz="4" w:space="0" w:color="7F7F7F"/>
        </w:tblBorders>
        <w:tblLayout w:type="fixed"/>
        <w:tblLook w:val="04A0" w:firstRow="1" w:lastRow="0" w:firstColumn="1" w:lastColumn="0" w:noHBand="0" w:noVBand="1"/>
      </w:tblPr>
      <w:tblGrid>
        <w:gridCol w:w="1985"/>
        <w:gridCol w:w="7041"/>
      </w:tblGrid>
      <w:tr w:rsidR="0000009C" w14:paraId="43FB1390" w14:textId="77777777" w:rsidTr="000000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194DC613" w14:textId="77777777" w:rsidR="0000009C" w:rsidRDefault="00EB25AC">
            <w:pPr>
              <w:spacing w:after="160" w:line="360" w:lineRule="auto"/>
              <w:jc w:val="right"/>
              <w:rPr>
                <w:rFonts w:ascii="Times New Roman" w:eastAsia="Times New Roman" w:hAnsi="Times New Roman" w:cs="Times New Roman"/>
              </w:rPr>
            </w:pPr>
            <w:r>
              <w:rPr>
                <w:rFonts w:ascii="Times New Roman" w:eastAsia="Times New Roman" w:hAnsi="Times New Roman" w:cs="Times New Roman"/>
              </w:rPr>
              <w:t>Component</w:t>
            </w:r>
          </w:p>
        </w:tc>
        <w:tc>
          <w:tcPr>
            <w:tcW w:w="7041" w:type="dxa"/>
          </w:tcPr>
          <w:p w14:paraId="57B48910" w14:textId="77777777" w:rsidR="0000009C" w:rsidRDefault="00EB25A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Details</w:t>
            </w:r>
          </w:p>
        </w:tc>
      </w:tr>
      <w:tr w:rsidR="0000009C" w14:paraId="7FAE2335" w14:textId="77777777" w:rsidTr="000000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122A529B" w14:textId="77777777" w:rsidR="0000009C" w:rsidRDefault="00EB25AC">
            <w:pPr>
              <w:spacing w:after="160" w:line="360" w:lineRule="auto"/>
              <w:jc w:val="right"/>
              <w:rPr>
                <w:rFonts w:ascii="Times New Roman" w:eastAsia="Times New Roman" w:hAnsi="Times New Roman" w:cs="Times New Roman"/>
              </w:rPr>
            </w:pPr>
            <w:r>
              <w:rPr>
                <w:rFonts w:ascii="Times New Roman" w:eastAsia="Times New Roman" w:hAnsi="Times New Roman" w:cs="Times New Roman"/>
              </w:rPr>
              <w:t>Teaching Load</w:t>
            </w:r>
          </w:p>
        </w:tc>
        <w:tc>
          <w:tcPr>
            <w:tcW w:w="7041" w:type="dxa"/>
          </w:tcPr>
          <w:p w14:paraId="7CAFCF3C" w14:textId="77777777" w:rsidR="0000009C" w:rsidRDefault="00EB25A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 hours/week</w:t>
            </w:r>
          </w:p>
        </w:tc>
      </w:tr>
      <w:tr w:rsidR="0000009C" w14:paraId="5D4BD50D" w14:textId="77777777" w:rsidTr="0000009C">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5689B68B" w14:textId="77777777" w:rsidR="0000009C" w:rsidRDefault="00EB25AC">
            <w:pPr>
              <w:spacing w:after="160" w:line="360" w:lineRule="auto"/>
              <w:jc w:val="right"/>
              <w:rPr>
                <w:rFonts w:ascii="Times New Roman" w:eastAsia="Times New Roman" w:hAnsi="Times New Roman" w:cs="Times New Roman"/>
              </w:rPr>
            </w:pPr>
            <w:r>
              <w:rPr>
                <w:rFonts w:ascii="Times New Roman" w:eastAsia="Times New Roman" w:hAnsi="Times New Roman" w:cs="Times New Roman"/>
              </w:rPr>
              <w:t>Subjects</w:t>
            </w:r>
          </w:p>
        </w:tc>
        <w:tc>
          <w:tcPr>
            <w:tcW w:w="7041" w:type="dxa"/>
          </w:tcPr>
          <w:p w14:paraId="7C2CC9EF" w14:textId="77777777" w:rsidR="0000009C" w:rsidRDefault="00EB25A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Library and Information Science, Information Literacy, Research Skills, Citation Ethics, Digital Resource Management</w:t>
            </w:r>
          </w:p>
        </w:tc>
      </w:tr>
      <w:tr w:rsidR="0000009C" w14:paraId="554FA2E2" w14:textId="77777777" w:rsidTr="000000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41393E0C" w14:textId="77777777" w:rsidR="0000009C" w:rsidRDefault="00EB25AC">
            <w:pPr>
              <w:spacing w:after="160" w:line="360" w:lineRule="auto"/>
              <w:jc w:val="right"/>
              <w:rPr>
                <w:rFonts w:ascii="Times New Roman" w:eastAsia="Times New Roman" w:hAnsi="Times New Roman" w:cs="Times New Roman"/>
              </w:rPr>
            </w:pPr>
            <w:r>
              <w:rPr>
                <w:rFonts w:ascii="Times New Roman" w:eastAsia="Times New Roman" w:hAnsi="Times New Roman" w:cs="Times New Roman"/>
              </w:rPr>
              <w:t>Target Audience</w:t>
            </w:r>
          </w:p>
        </w:tc>
        <w:tc>
          <w:tcPr>
            <w:tcW w:w="7041" w:type="dxa"/>
          </w:tcPr>
          <w:p w14:paraId="4C0E2288" w14:textId="77777777" w:rsidR="0000009C" w:rsidRDefault="00EB25A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Undergraduate First Semester students, Postgraduates</w:t>
            </w:r>
          </w:p>
        </w:tc>
      </w:tr>
      <w:tr w:rsidR="0000009C" w14:paraId="7C8262CE" w14:textId="77777777" w:rsidTr="0000009C">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6B288C05" w14:textId="77777777" w:rsidR="0000009C" w:rsidRDefault="00EB25AC">
            <w:pPr>
              <w:spacing w:after="160" w:line="360" w:lineRule="auto"/>
              <w:jc w:val="right"/>
              <w:rPr>
                <w:rFonts w:ascii="Times New Roman" w:eastAsia="Times New Roman" w:hAnsi="Times New Roman" w:cs="Times New Roman"/>
              </w:rPr>
            </w:pPr>
            <w:r>
              <w:rPr>
                <w:rFonts w:ascii="Times New Roman" w:eastAsia="Times New Roman" w:hAnsi="Times New Roman" w:cs="Times New Roman"/>
              </w:rPr>
              <w:t>Delivery Mode</w:t>
            </w:r>
          </w:p>
        </w:tc>
        <w:tc>
          <w:tcPr>
            <w:tcW w:w="7041" w:type="dxa"/>
          </w:tcPr>
          <w:p w14:paraId="0D908671" w14:textId="77777777" w:rsidR="0000009C" w:rsidRDefault="00EB25A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Co-teaching, workshops, blended learning</w:t>
            </w:r>
          </w:p>
        </w:tc>
      </w:tr>
      <w:tr w:rsidR="0000009C" w14:paraId="6BA97773" w14:textId="77777777" w:rsidTr="000000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31157D29" w14:textId="77777777" w:rsidR="0000009C" w:rsidRDefault="00EB25AC">
            <w:pPr>
              <w:spacing w:after="160" w:line="360" w:lineRule="auto"/>
              <w:jc w:val="right"/>
              <w:rPr>
                <w:rFonts w:ascii="Times New Roman" w:eastAsia="Times New Roman" w:hAnsi="Times New Roman" w:cs="Times New Roman"/>
              </w:rPr>
            </w:pPr>
            <w:r>
              <w:rPr>
                <w:rFonts w:ascii="Times New Roman" w:eastAsia="Times New Roman" w:hAnsi="Times New Roman" w:cs="Times New Roman"/>
              </w:rPr>
              <w:t>Outcomes</w:t>
            </w:r>
          </w:p>
        </w:tc>
        <w:tc>
          <w:tcPr>
            <w:tcW w:w="7041" w:type="dxa"/>
          </w:tcPr>
          <w:p w14:paraId="206F5F58" w14:textId="77777777" w:rsidR="0000009C" w:rsidRDefault="00EB25A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Improved research skills, digital literacy, academic integrity</w:t>
            </w:r>
          </w:p>
        </w:tc>
      </w:tr>
    </w:tbl>
    <w:p w14:paraId="5F5877BA" w14:textId="77777777" w:rsidR="0000009C" w:rsidRDefault="00EB25AC">
      <w:pPr>
        <w:spacing w:before="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Empirical validation of librarian-led teaching can be assessed through student surveys measuring research preparedness before and after librarian instruction, evaluating improvements in information literacy and resource utilization. Citation analysis can track students’ adherence to proper referencing standards, comparing accuracy levels prior to and following librarian-led training sessions. Additionally, plagiarism reduction metrics can highlight the effectiveness of academic integrity workshops facilitated by librarians, examining decreases in improper citations and unauthorized content usage. These data-driven approaches provide tangible evidence supporting the integration of librarians into formal pedagogy within higher education institutions.</w:t>
      </w:r>
    </w:p>
    <w:p w14:paraId="5FF60BA3"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8. Challenges Hindering Librarian Pedagogy</w:t>
      </w:r>
    </w:p>
    <w:p w14:paraId="7D2949B9"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The integration of librarians into academic teaching faces multiple barriers:</w:t>
      </w:r>
    </w:p>
    <w:p w14:paraId="4F88A135" w14:textId="3ABFDC8C" w:rsidR="00F46A6D" w:rsidRDefault="00F46A6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Table </w:t>
      </w:r>
      <w:proofErr w:type="gramStart"/>
      <w:r>
        <w:rPr>
          <w:rFonts w:ascii="Times New Roman" w:eastAsia="Times New Roman" w:hAnsi="Times New Roman" w:cs="Times New Roman"/>
        </w:rPr>
        <w:t>2 :</w:t>
      </w:r>
      <w:proofErr w:type="gramEnd"/>
      <w:r>
        <w:rPr>
          <w:rFonts w:ascii="Times New Roman" w:eastAsia="Times New Roman" w:hAnsi="Times New Roman" w:cs="Times New Roman"/>
        </w:rPr>
        <w:t xml:space="preserve"> </w:t>
      </w:r>
      <w:r w:rsidR="00EB25AC" w:rsidRPr="00EB25AC">
        <w:rPr>
          <w:rFonts w:ascii="Times New Roman" w:eastAsia="Times New Roman" w:hAnsi="Times New Roman" w:cs="Times New Roman"/>
        </w:rPr>
        <w:t>Challenges Hindering Librarian Pedagogy</w:t>
      </w:r>
    </w:p>
    <w:tbl>
      <w:tblPr>
        <w:tblStyle w:val="a0"/>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10"/>
        <w:gridCol w:w="2953"/>
        <w:gridCol w:w="3553"/>
      </w:tblGrid>
      <w:tr w:rsidR="0000009C" w14:paraId="3605C51A" w14:textId="77777777" w:rsidTr="00000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14:paraId="33FE326C" w14:textId="77777777" w:rsidR="0000009C" w:rsidRDefault="00EB25AC">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Challenge</w:t>
            </w:r>
          </w:p>
        </w:tc>
        <w:tc>
          <w:tcPr>
            <w:tcW w:w="2953" w:type="dxa"/>
          </w:tcPr>
          <w:p w14:paraId="39E12896" w14:textId="77777777" w:rsidR="0000009C" w:rsidRDefault="00EB25A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Implication</w:t>
            </w:r>
          </w:p>
        </w:tc>
        <w:tc>
          <w:tcPr>
            <w:tcW w:w="3553" w:type="dxa"/>
          </w:tcPr>
          <w:p w14:paraId="0DDEC3AF" w14:textId="77777777" w:rsidR="0000009C" w:rsidRDefault="00EB25A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Proposed Solution</w:t>
            </w:r>
          </w:p>
        </w:tc>
      </w:tr>
      <w:tr w:rsidR="0000009C" w14:paraId="29D65F7B" w14:textId="77777777" w:rsidTr="00000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14:paraId="16673696" w14:textId="77777777" w:rsidR="0000009C" w:rsidRDefault="00EB25AC">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Ph.D. Requirement</w:t>
            </w:r>
          </w:p>
        </w:tc>
        <w:tc>
          <w:tcPr>
            <w:tcW w:w="2953" w:type="dxa"/>
          </w:tcPr>
          <w:p w14:paraId="10A5DE8E" w14:textId="77777777" w:rsidR="0000009C" w:rsidRDefault="00EB25A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Excludes experienced LIS professionals</w:t>
            </w:r>
          </w:p>
        </w:tc>
        <w:tc>
          <w:tcPr>
            <w:tcW w:w="3553" w:type="dxa"/>
          </w:tcPr>
          <w:p w14:paraId="46579AB1" w14:textId="77777777" w:rsidR="0000009C" w:rsidRDefault="00EB25A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Policy revision for eligibility based on expertise</w:t>
            </w:r>
          </w:p>
        </w:tc>
      </w:tr>
      <w:tr w:rsidR="0000009C" w14:paraId="55AF99C5" w14:textId="77777777" w:rsidTr="0000009C">
        <w:tc>
          <w:tcPr>
            <w:cnfStyle w:val="001000000000" w:firstRow="0" w:lastRow="0" w:firstColumn="1" w:lastColumn="0" w:oddVBand="0" w:evenVBand="0" w:oddHBand="0" w:evenHBand="0" w:firstRowFirstColumn="0" w:firstRowLastColumn="0" w:lastRowFirstColumn="0" w:lastRowLastColumn="0"/>
            <w:tcW w:w="2510" w:type="dxa"/>
          </w:tcPr>
          <w:p w14:paraId="2019A9BB" w14:textId="77777777" w:rsidR="0000009C" w:rsidRDefault="00EB25AC">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Institutional Resistance</w:t>
            </w:r>
          </w:p>
        </w:tc>
        <w:tc>
          <w:tcPr>
            <w:tcW w:w="2953" w:type="dxa"/>
          </w:tcPr>
          <w:p w14:paraId="13913FAE" w14:textId="77777777" w:rsidR="0000009C" w:rsidRDefault="00EB25A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Librarians seen as support staff</w:t>
            </w:r>
          </w:p>
        </w:tc>
        <w:tc>
          <w:tcPr>
            <w:tcW w:w="3553" w:type="dxa"/>
          </w:tcPr>
          <w:p w14:paraId="4644BA65" w14:textId="77777777" w:rsidR="0000009C" w:rsidRDefault="00EB25A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Advocacy &amp; policy directives for faculty inclusion</w:t>
            </w:r>
          </w:p>
        </w:tc>
      </w:tr>
      <w:tr w:rsidR="0000009C" w14:paraId="6E3E9513" w14:textId="77777777" w:rsidTr="00000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14:paraId="4CAAF5AE" w14:textId="77777777" w:rsidR="0000009C" w:rsidRDefault="00EB25AC">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Workload Constraints</w:t>
            </w:r>
          </w:p>
        </w:tc>
        <w:tc>
          <w:tcPr>
            <w:tcW w:w="2953" w:type="dxa"/>
          </w:tcPr>
          <w:p w14:paraId="559FE941" w14:textId="77777777" w:rsidR="0000009C" w:rsidRDefault="00EB25A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Limited time for teaching</w:t>
            </w:r>
          </w:p>
        </w:tc>
        <w:tc>
          <w:tcPr>
            <w:tcW w:w="3553" w:type="dxa"/>
          </w:tcPr>
          <w:p w14:paraId="72C442AB" w14:textId="77777777" w:rsidR="0000009C" w:rsidRDefault="00EB25A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Strategic recruitment &amp; workload redistribution</w:t>
            </w:r>
          </w:p>
        </w:tc>
      </w:tr>
      <w:tr w:rsidR="0000009C" w14:paraId="2F026798" w14:textId="77777777" w:rsidTr="0000009C">
        <w:tc>
          <w:tcPr>
            <w:cnfStyle w:val="001000000000" w:firstRow="0" w:lastRow="0" w:firstColumn="1" w:lastColumn="0" w:oddVBand="0" w:evenVBand="0" w:oddHBand="0" w:evenHBand="0" w:firstRowFirstColumn="0" w:firstRowLastColumn="0" w:lastRowFirstColumn="0" w:lastRowLastColumn="0"/>
            <w:tcW w:w="2510" w:type="dxa"/>
          </w:tcPr>
          <w:p w14:paraId="71E9FCF3" w14:textId="77777777" w:rsidR="0000009C" w:rsidRDefault="00EB25AC">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Lack of Pedagogical Training</w:t>
            </w:r>
          </w:p>
        </w:tc>
        <w:tc>
          <w:tcPr>
            <w:tcW w:w="2953" w:type="dxa"/>
          </w:tcPr>
          <w:p w14:paraId="3899EAA4" w14:textId="77777777" w:rsidR="0000009C" w:rsidRDefault="00EB25A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Informal teaching experience only</w:t>
            </w:r>
          </w:p>
        </w:tc>
        <w:tc>
          <w:tcPr>
            <w:tcW w:w="3553" w:type="dxa"/>
          </w:tcPr>
          <w:p w14:paraId="03CB72DE" w14:textId="77777777" w:rsidR="0000009C" w:rsidRDefault="00EB25A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Faculty development programs</w:t>
            </w:r>
          </w:p>
        </w:tc>
      </w:tr>
    </w:tbl>
    <w:p w14:paraId="0A4D0DDC" w14:textId="77777777" w:rsidR="0000009C" w:rsidRDefault="00EB25AC">
      <w:pPr>
        <w:spacing w:before="240" w:line="360" w:lineRule="auto"/>
        <w:jc w:val="both"/>
        <w:rPr>
          <w:rFonts w:ascii="Times New Roman" w:eastAsia="Times New Roman" w:hAnsi="Times New Roman" w:cs="Times New Roman"/>
        </w:rPr>
      </w:pPr>
      <w:r>
        <w:rPr>
          <w:rFonts w:ascii="Times New Roman" w:eastAsia="Times New Roman" w:hAnsi="Times New Roman" w:cs="Times New Roman"/>
        </w:rPr>
        <w:t xml:space="preserve">Institutional resistance from faculty and administrators remains a significant challenge in integrating librarians into formal teaching, as traditional academic hierarchies often limit librarians' roles to support services rather than instructional faculty. Many institutions lack clear policies recognizing librarians as educators, leading to reluctance in granting teaching responsibilities. Budget constraints further restrict librarian-led instructional development, with limited financial resources allocated for training, curriculum expansion, and classroom infrastructure tailored for librarian-led courses. Additionally, accreditation challenges prevent librarians from being formally recognized in faculty rosters, as existing regulations mandate </w:t>
      </w:r>
      <w:r>
        <w:rPr>
          <w:rFonts w:ascii="Times New Roman" w:eastAsia="Times New Roman" w:hAnsi="Times New Roman" w:cs="Times New Roman"/>
        </w:rPr>
        <w:lastRenderedPageBreak/>
        <w:t>strict faculty qualifications—often requiring a Ph.D. for teaching eligibility, excluding experienced librarians with advanced LIS degrees. Addressing these barriers through policy reforms, structured teaching frameworks, and institutional advocacy is essential for librarian integration within higher education pedagogy.</w:t>
      </w:r>
    </w:p>
    <w:p w14:paraId="49196A04"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9. Global Best Practices: Librarians in Pedagogical Roles</w:t>
      </w:r>
    </w:p>
    <w:p w14:paraId="6F050506"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Internationally, academic librarians serve as instructional faculty across disciplines. In the United States, universities integrate librarians into formal credit courses under the ACRL Information Literacy framework (ALA, 2023). UK LIS programs mandate pedagogical training for librarians, ensuring structured teaching methodologies (Johnson, 2018). Adopting similar models in India could provide a framework for policy adaptation.</w:t>
      </w:r>
    </w:p>
    <w:p w14:paraId="2E9EB4C3"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Harvard, Oxford, and Australian National University exemplify structured librarian-teaching models, where librarians lead credit-bearing courses in information literacy, research methodologies, and academic integrity. Harvard’s Embedded Librarianship Framework integrates librarians into undergraduate research programs, ensuring structured faculty-librarian collaborations in scholarly instruction. Oxford University mandates formal librarian-led research training, recognizing librarians as essential contributors to interdisciplinary coursework. In Australia, librarians at ANU co-teach digital literacy and research skills, actively participating in curriculum design. Higher education regulations in the U.S., U.K., and Australia acknowledge librarians as academic educators, ensuring they receive formal teaching responsibilities, research mentorship roles, and structured faculty engagement. Comparative analysis shows integrated faculty-librarian teaching models enhance student research preparedness, providing a strong case for similar policy adoption in Indian HEIs under NEP 2020.</w:t>
      </w:r>
    </w:p>
    <w:p w14:paraId="198960CD"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10. Policy Recommendations for Librarian Teaching Integration</w:t>
      </w:r>
    </w:p>
    <w:p w14:paraId="465368A5" w14:textId="77777777" w:rsidR="0000009C" w:rsidRDefault="00EB25AC">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10.1.</w:t>
      </w:r>
      <w:r>
        <w:rPr>
          <w:rFonts w:ascii="Times New Roman" w:eastAsia="Times New Roman" w:hAnsi="Times New Roman" w:cs="Times New Roman"/>
          <w:b/>
        </w:rPr>
        <w:t xml:space="preserve"> </w:t>
      </w:r>
      <w:r>
        <w:rPr>
          <w:rFonts w:ascii="Times New Roman" w:eastAsia="Times New Roman" w:hAnsi="Times New Roman" w:cs="Times New Roman"/>
          <w:b/>
          <w:i/>
        </w:rPr>
        <w:t>Formal Recognition of Librarians as Academic teaching Faculty</w:t>
      </w:r>
    </w:p>
    <w:p w14:paraId="08E2696C"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Librarians should be officially classified as academic teaching faculty, allowing them to engage in structured teaching roles in HEIs. This will eliminate institutional restrictions limiting them to support services and ensure equitable recognition alongside professors and lecturers.</w:t>
      </w:r>
    </w:p>
    <w:p w14:paraId="70F301CA" w14:textId="77777777" w:rsidR="0000009C" w:rsidRDefault="00EB25AC">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10.2. Mandatory Undergraduate Courses in Information Literacy</w:t>
      </w:r>
    </w:p>
    <w:p w14:paraId="35988D02"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Every undergraduate student should receive credit-bearing instruction in information literacy, research methodology, and digital resource management, taught by librarians. This aligns with NEP 2020’s emphasis on interdisciplinary and skill-based education.</w:t>
      </w:r>
    </w:p>
    <w:p w14:paraId="476AB202" w14:textId="77777777" w:rsidR="0000009C" w:rsidRDefault="00EB25AC">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10.3. Librarians as Co-Instructors in Research-Intensive Courses</w:t>
      </w:r>
    </w:p>
    <w:p w14:paraId="633BC806"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Librarians should be actively involved in teaching research skills, citation management, and academic integrity, co-teaching alongside disciplinary faculty. This will help bridge theoretical knowledge with practical information navigation.</w:t>
      </w:r>
    </w:p>
    <w:p w14:paraId="07756B18" w14:textId="77777777" w:rsidR="0000009C" w:rsidRDefault="00EB25AC">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10.4. Faculty Development &amp; Teaching Certifications for Librarians</w:t>
      </w:r>
    </w:p>
    <w:p w14:paraId="3E9A3430"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Institutions must establish structured faculty training programs to equip librarians with pedagogical skills, assessment strategies, and course design competencies. This will institutionalize librarian-led instruction across disciplines.</w:t>
      </w:r>
    </w:p>
    <w:p w14:paraId="3CD0DF51" w14:textId="77777777" w:rsidR="0000009C" w:rsidRDefault="00EB25AC">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10.5. Dedicated Budget for Librarian Teaching Infrastructure</w:t>
      </w:r>
    </w:p>
    <w:p w14:paraId="34140403"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Government and institutional policies should allocate adequate funding for librarian-led teaching initiatives, ensuring classroom space, technology, and digital resources tailored to structured pedagogy.</w:t>
      </w:r>
    </w:p>
    <w:p w14:paraId="7EEABBE8" w14:textId="77777777" w:rsidR="0000009C" w:rsidRDefault="00EB25AC">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10.6. Inclusion of Librarians in Curriculum Committees</w:t>
      </w:r>
    </w:p>
    <w:p w14:paraId="0E37A4CD"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Librarians should have formal roles in curriculum development, shaping coursework in academic integrity, research skills, digital literacy, and scholarly communication. This will institutionalize their expertise within academic course planning.</w:t>
      </w:r>
    </w:p>
    <w:p w14:paraId="07BA0725" w14:textId="77777777" w:rsidR="0000009C" w:rsidRDefault="00EB25AC">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10.7. Career Progression Pathways for Librarian-Teachers</w:t>
      </w:r>
    </w:p>
    <w:p w14:paraId="06B0D28A"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Librarians taking active teaching roles should have defined career progression opportunities, ensuring promotion criteria recognize teaching contributions, research involvement, and student mentorship.</w:t>
      </w:r>
    </w:p>
    <w:p w14:paraId="48899F2C" w14:textId="77777777" w:rsidR="0000009C" w:rsidRDefault="00EB25AC">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10.8. Librarians as Research Supervisors &amp; Co-PIs</w:t>
      </w:r>
    </w:p>
    <w:p w14:paraId="62AC26CF"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Qualified librarians should be eligible as co-supervisors for student research projects, guiding literature reviews, citation accuracy, and research methodology. They should also be recognized as (Co-Principal Investigators) Co-PIs in funded research projects under UGC and ICSSR guidelines.</w:t>
      </w:r>
    </w:p>
    <w:p w14:paraId="72319F82" w14:textId="77777777" w:rsidR="009F2874" w:rsidRDefault="009F2874">
      <w:pPr>
        <w:spacing w:line="360" w:lineRule="auto"/>
        <w:jc w:val="both"/>
        <w:rPr>
          <w:rFonts w:ascii="Times New Roman" w:eastAsia="Times New Roman" w:hAnsi="Times New Roman" w:cs="Times New Roman"/>
        </w:rPr>
      </w:pPr>
    </w:p>
    <w:p w14:paraId="0159CC83" w14:textId="77777777" w:rsidR="0000009C" w:rsidRDefault="00EB25AC">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10.9. Integration of Librarians into Faculty Appraisal Systems</w:t>
      </w:r>
    </w:p>
    <w:p w14:paraId="6D0773FC"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Teaching contributions by librarians should be formally evaluated in faculty performance assessments, ensuring institutional recognition, research leave provisions, and conference funding for librarian educators.</w:t>
      </w:r>
    </w:p>
    <w:p w14:paraId="51F985CE" w14:textId="77777777" w:rsidR="0000009C" w:rsidRDefault="00EB25AC">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10.10. National-Level Policy Endorsement for Librarian-Led Instruction</w:t>
      </w:r>
    </w:p>
    <w:p w14:paraId="6C8F0D92"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The University Grants Commission (UGC) and AICTE should issue clear directives recognizing librarians as educators, mandating structured involvement in teaching, curriculum planning, student evaluation, and research mentorship across HEIs.</w:t>
      </w:r>
    </w:p>
    <w:p w14:paraId="47087CCB"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These recommendations will ensure that librarians transition from passive knowledge custodians to active educators, strengthening higher education pedagogy, research training, and interdisciplinary learning. </w:t>
      </w:r>
    </w:p>
    <w:p w14:paraId="2BA8612C"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11. Conclusion</w:t>
      </w:r>
    </w:p>
    <w:p w14:paraId="75A49E43" w14:textId="77777777" w:rsidR="0000009C" w:rsidRDefault="00EB25AC">
      <w:pPr>
        <w:spacing w:line="360" w:lineRule="auto"/>
        <w:jc w:val="both"/>
        <w:rPr>
          <w:rFonts w:ascii="Times New Roman" w:eastAsia="Times New Roman" w:hAnsi="Times New Roman" w:cs="Times New Roman"/>
        </w:rPr>
      </w:pPr>
      <w:r>
        <w:rPr>
          <w:rFonts w:ascii="Times New Roman" w:eastAsia="Times New Roman" w:hAnsi="Times New Roman" w:cs="Times New Roman"/>
        </w:rPr>
        <w:t>NEP 2020 presents a paradigm shift, repositioning librarians from passive knowledge custodians to active educators and research mentors. The formal recognition and academic integration of librarians into structured teaching roles not only enhance student learning outcomes but also enrich the broader institutional academic ecosystem. By bridging the gap between theory and practice, librarians can play a transformative role in interdisciplinary education, research facilitation, and academic integrity promotion within Indian HEIs. Future research should focus on pilot studies in Indian HEIs to evaluate the effectiveness of librarian-led courses, measuring improvements in student research skills, citation accuracy, and academic integrity. Additionally, longitudinal studies are needed to assess how librarian instruction impacts students' referencing standards, research competency, and digital literacy over time. To formalize librarians’ teaching roles, research should explore policy lobbying strategies that advocate for their academic faculty status under NEP 2020, ensuring institutional recognition and structured pedagogy integration within higher education.</w:t>
      </w:r>
    </w:p>
    <w:p w14:paraId="475862E8" w14:textId="77777777" w:rsidR="0000009C" w:rsidRDefault="00EB25A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24D72DC8"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American Library Association. (2023). </w:t>
      </w:r>
      <w:r>
        <w:rPr>
          <w:rFonts w:ascii="Times New Roman" w:eastAsia="Times New Roman" w:hAnsi="Times New Roman" w:cs="Times New Roman"/>
          <w:i/>
        </w:rPr>
        <w:t>Academic librarians as educators: Trends and practices</w:t>
      </w:r>
      <w:r>
        <w:rPr>
          <w:rFonts w:ascii="Times New Roman" w:eastAsia="Times New Roman" w:hAnsi="Times New Roman" w:cs="Times New Roman"/>
        </w:rPr>
        <w:t>. ALA Publications.</w:t>
      </w:r>
    </w:p>
    <w:p w14:paraId="6E0420C7"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Baker, J. (2020). </w:t>
      </w:r>
      <w:r>
        <w:rPr>
          <w:rFonts w:ascii="Times New Roman" w:eastAsia="Times New Roman" w:hAnsi="Times New Roman" w:cs="Times New Roman"/>
          <w:i/>
        </w:rPr>
        <w:t>The evolving role of librarians in education</w:t>
      </w:r>
      <w:r>
        <w:rPr>
          <w:rFonts w:ascii="Times New Roman" w:eastAsia="Times New Roman" w:hAnsi="Times New Roman" w:cs="Times New Roman"/>
        </w:rPr>
        <w:t xml:space="preserve">. </w:t>
      </w:r>
      <w:r>
        <w:rPr>
          <w:rFonts w:ascii="Times New Roman" w:eastAsia="Times New Roman" w:hAnsi="Times New Roman" w:cs="Times New Roman"/>
          <w:i/>
        </w:rPr>
        <w:t>Library Management, 41</w:t>
      </w:r>
      <w:r>
        <w:rPr>
          <w:rFonts w:ascii="Times New Roman" w:eastAsia="Times New Roman" w:hAnsi="Times New Roman" w:cs="Times New Roman"/>
        </w:rPr>
        <w:t>(1), 1-12. https://doi.org/10.1108/LM-10-2019-0083</w:t>
      </w:r>
    </w:p>
    <w:p w14:paraId="2F6A6B4E" w14:textId="77777777" w:rsidR="0000009C" w:rsidRDefault="00EB25AC">
      <w:pPr>
        <w:numPr>
          <w:ilvl w:val="0"/>
          <w:numId w:val="1"/>
        </w:num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Baruchson-Arbib</w:t>
      </w:r>
      <w:proofErr w:type="spellEnd"/>
      <w:r>
        <w:rPr>
          <w:rFonts w:ascii="Times New Roman" w:eastAsia="Times New Roman" w:hAnsi="Times New Roman" w:cs="Times New Roman"/>
        </w:rPr>
        <w:t xml:space="preserve">, S., &amp; Bronstein, J. (2002). </w:t>
      </w:r>
      <w:r>
        <w:rPr>
          <w:rFonts w:ascii="Times New Roman" w:eastAsia="Times New Roman" w:hAnsi="Times New Roman" w:cs="Times New Roman"/>
          <w:i/>
        </w:rPr>
        <w:t>The role of the librarian in the digital age: A case study of the library and information science education in Israel</w:t>
      </w:r>
      <w:r>
        <w:rPr>
          <w:rFonts w:ascii="Times New Roman" w:eastAsia="Times New Roman" w:hAnsi="Times New Roman" w:cs="Times New Roman"/>
        </w:rPr>
        <w:t xml:space="preserve">. </w:t>
      </w:r>
      <w:r>
        <w:rPr>
          <w:rFonts w:ascii="Times New Roman" w:eastAsia="Times New Roman" w:hAnsi="Times New Roman" w:cs="Times New Roman"/>
          <w:i/>
        </w:rPr>
        <w:t>Library &amp; Information Science Research, 24</w:t>
      </w:r>
      <w:r>
        <w:rPr>
          <w:rFonts w:ascii="Times New Roman" w:eastAsia="Times New Roman" w:hAnsi="Times New Roman" w:cs="Times New Roman"/>
        </w:rPr>
        <w:t>(3), 219-244.</w:t>
      </w:r>
    </w:p>
    <w:p w14:paraId="20A3504D"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Callahan, D. (1991). </w:t>
      </w:r>
      <w:r>
        <w:rPr>
          <w:rFonts w:ascii="Times New Roman" w:eastAsia="Times New Roman" w:hAnsi="Times New Roman" w:cs="Times New Roman"/>
          <w:i/>
        </w:rPr>
        <w:t>The cheating culture: Why more Americans are doing wrong to get ahead</w:t>
      </w:r>
      <w:r>
        <w:rPr>
          <w:rFonts w:ascii="Times New Roman" w:eastAsia="Times New Roman" w:hAnsi="Times New Roman" w:cs="Times New Roman"/>
        </w:rPr>
        <w:t>. Harcourt Brace Jovanovich.</w:t>
      </w:r>
    </w:p>
    <w:p w14:paraId="344C5FF5"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Corcoran, M. P., &amp; McGuinness, C. (2014). </w:t>
      </w:r>
      <w:r>
        <w:rPr>
          <w:rFonts w:ascii="Times New Roman" w:eastAsia="Times New Roman" w:hAnsi="Times New Roman" w:cs="Times New Roman"/>
          <w:i/>
        </w:rPr>
        <w:t>The role of the librarian in the digital age: A study of the changing role of librarians in Ireland</w:t>
      </w:r>
      <w:r>
        <w:rPr>
          <w:rFonts w:ascii="Times New Roman" w:eastAsia="Times New Roman" w:hAnsi="Times New Roman" w:cs="Times New Roman"/>
        </w:rPr>
        <w:t xml:space="preserve">. </w:t>
      </w:r>
      <w:r>
        <w:rPr>
          <w:rFonts w:ascii="Times New Roman" w:eastAsia="Times New Roman" w:hAnsi="Times New Roman" w:cs="Times New Roman"/>
          <w:i/>
        </w:rPr>
        <w:t>Library Management, 35</w:t>
      </w:r>
      <w:r>
        <w:rPr>
          <w:rFonts w:ascii="Times New Roman" w:eastAsia="Times New Roman" w:hAnsi="Times New Roman" w:cs="Times New Roman"/>
        </w:rPr>
        <w:t>(8), 605-620. https://doi.org/10.1108/LM-02-2014-0010</w:t>
      </w:r>
    </w:p>
    <w:p w14:paraId="710A0681"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Dutta, B. (2001). </w:t>
      </w:r>
      <w:r>
        <w:rPr>
          <w:rFonts w:ascii="Times New Roman" w:eastAsia="Times New Roman" w:hAnsi="Times New Roman" w:cs="Times New Roman"/>
          <w:i/>
        </w:rPr>
        <w:t>Librarianship in India: Challenges and opportunities</w:t>
      </w:r>
      <w:r>
        <w:rPr>
          <w:rFonts w:ascii="Times New Roman" w:eastAsia="Times New Roman" w:hAnsi="Times New Roman" w:cs="Times New Roman"/>
        </w:rPr>
        <w:t xml:space="preserve">. </w:t>
      </w:r>
      <w:proofErr w:type="spellStart"/>
      <w:r>
        <w:rPr>
          <w:rFonts w:ascii="Times New Roman" w:eastAsia="Times New Roman" w:hAnsi="Times New Roman" w:cs="Times New Roman"/>
        </w:rPr>
        <w:t>Ess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Ess</w:t>
      </w:r>
      <w:proofErr w:type="spellEnd"/>
      <w:r>
        <w:rPr>
          <w:rFonts w:ascii="Times New Roman" w:eastAsia="Times New Roman" w:hAnsi="Times New Roman" w:cs="Times New Roman"/>
        </w:rPr>
        <w:t xml:space="preserve"> Publications.</w:t>
      </w:r>
    </w:p>
    <w:p w14:paraId="28A86E2A"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Foucault, M. (1977). </w:t>
      </w:r>
      <w:r>
        <w:rPr>
          <w:rFonts w:ascii="Times New Roman" w:eastAsia="Times New Roman" w:hAnsi="Times New Roman" w:cs="Times New Roman"/>
          <w:i/>
        </w:rPr>
        <w:t>Discipline and punish: The birth of the prison</w:t>
      </w:r>
      <w:r>
        <w:rPr>
          <w:rFonts w:ascii="Times New Roman" w:eastAsia="Times New Roman" w:hAnsi="Times New Roman" w:cs="Times New Roman"/>
        </w:rPr>
        <w:t>. Pantheon Books.</w:t>
      </w:r>
    </w:p>
    <w:p w14:paraId="6096F8EE"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Government of India. (2020). </w:t>
      </w:r>
      <w:r>
        <w:rPr>
          <w:rFonts w:ascii="Times New Roman" w:eastAsia="Times New Roman" w:hAnsi="Times New Roman" w:cs="Times New Roman"/>
          <w:i/>
        </w:rPr>
        <w:t>National Education Policy 2020</w:t>
      </w:r>
      <w:r>
        <w:rPr>
          <w:rFonts w:ascii="Times New Roman" w:eastAsia="Times New Roman" w:hAnsi="Times New Roman" w:cs="Times New Roman"/>
        </w:rPr>
        <w:t>. Ministry of Education. https://www.education.gov.in</w:t>
      </w:r>
    </w:p>
    <w:p w14:paraId="1AD89ABB"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Gupta, R., &amp; Sharma, P. (2022). </w:t>
      </w:r>
      <w:r>
        <w:rPr>
          <w:rFonts w:ascii="Times New Roman" w:eastAsia="Times New Roman" w:hAnsi="Times New Roman" w:cs="Times New Roman"/>
          <w:i/>
        </w:rPr>
        <w:t>Professional development for librarians: Meeting the challenges of NEP 2020</w:t>
      </w:r>
      <w:r>
        <w:rPr>
          <w:rFonts w:ascii="Times New Roman" w:eastAsia="Times New Roman" w:hAnsi="Times New Roman" w:cs="Times New Roman"/>
        </w:rPr>
        <w:t xml:space="preserve">. </w:t>
      </w:r>
      <w:r>
        <w:rPr>
          <w:rFonts w:ascii="Times New Roman" w:eastAsia="Times New Roman" w:hAnsi="Times New Roman" w:cs="Times New Roman"/>
          <w:i/>
        </w:rPr>
        <w:t>Journal of Library Administration, 62</w:t>
      </w:r>
      <w:r>
        <w:rPr>
          <w:rFonts w:ascii="Times New Roman" w:eastAsia="Times New Roman" w:hAnsi="Times New Roman" w:cs="Times New Roman"/>
        </w:rPr>
        <w:t>(3), 245-259. https://doi.org/10.1080/01930826.2022.2045647</w:t>
      </w:r>
    </w:p>
    <w:p w14:paraId="02B4AA5D" w14:textId="77777777" w:rsidR="0000009C" w:rsidRDefault="00EB25AC">
      <w:pPr>
        <w:numPr>
          <w:ilvl w:val="0"/>
          <w:numId w:val="1"/>
        </w:num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Hapel</w:t>
      </w:r>
      <w:proofErr w:type="spellEnd"/>
      <w:r>
        <w:rPr>
          <w:rFonts w:ascii="Times New Roman" w:eastAsia="Times New Roman" w:hAnsi="Times New Roman" w:cs="Times New Roman"/>
        </w:rPr>
        <w:t xml:space="preserve">, H. (2020). </w:t>
      </w:r>
      <w:r>
        <w:rPr>
          <w:rFonts w:ascii="Times New Roman" w:eastAsia="Times New Roman" w:hAnsi="Times New Roman" w:cs="Times New Roman"/>
          <w:i/>
        </w:rPr>
        <w:t>The impact of digital technologies on library services: A study of user engagement</w:t>
      </w:r>
      <w:r>
        <w:rPr>
          <w:rFonts w:ascii="Times New Roman" w:eastAsia="Times New Roman" w:hAnsi="Times New Roman" w:cs="Times New Roman"/>
        </w:rPr>
        <w:t xml:space="preserve">. </w:t>
      </w:r>
      <w:r>
        <w:rPr>
          <w:rFonts w:ascii="Times New Roman" w:eastAsia="Times New Roman" w:hAnsi="Times New Roman" w:cs="Times New Roman"/>
          <w:i/>
        </w:rPr>
        <w:t>Library Hi Tech, 38</w:t>
      </w:r>
      <w:r>
        <w:rPr>
          <w:rFonts w:ascii="Times New Roman" w:eastAsia="Times New Roman" w:hAnsi="Times New Roman" w:cs="Times New Roman"/>
        </w:rPr>
        <w:t>(2), 317-330. https://doi.org/10.1108/LHT-01-2020-0025</w:t>
      </w:r>
    </w:p>
    <w:p w14:paraId="67F86EA0"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Huvila, I., Hultgren, F., &amp; Lönnqvist, M. (2013). </w:t>
      </w:r>
      <w:r>
        <w:rPr>
          <w:rFonts w:ascii="Times New Roman" w:eastAsia="Times New Roman" w:hAnsi="Times New Roman" w:cs="Times New Roman"/>
          <w:i/>
        </w:rPr>
        <w:t>The role of librarians in the information society: The case of the Nordic countries</w:t>
      </w:r>
      <w:r>
        <w:rPr>
          <w:rFonts w:ascii="Times New Roman" w:eastAsia="Times New Roman" w:hAnsi="Times New Roman" w:cs="Times New Roman"/>
        </w:rPr>
        <w:t xml:space="preserve">. </w:t>
      </w:r>
      <w:r>
        <w:rPr>
          <w:rFonts w:ascii="Times New Roman" w:eastAsia="Times New Roman" w:hAnsi="Times New Roman" w:cs="Times New Roman"/>
          <w:i/>
        </w:rPr>
        <w:t>Journal of Documentation, 69</w:t>
      </w:r>
      <w:r>
        <w:rPr>
          <w:rFonts w:ascii="Times New Roman" w:eastAsia="Times New Roman" w:hAnsi="Times New Roman" w:cs="Times New Roman"/>
        </w:rPr>
        <w:t>(1), 24-46. https://doi.org/10.1108/00220411311299586</w:t>
      </w:r>
    </w:p>
    <w:p w14:paraId="40B8DCD9"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Johnson, L. (2018). </w:t>
      </w:r>
      <w:r>
        <w:rPr>
          <w:rFonts w:ascii="Times New Roman" w:eastAsia="Times New Roman" w:hAnsi="Times New Roman" w:cs="Times New Roman"/>
          <w:i/>
        </w:rPr>
        <w:t>The dual roles of librarians: Educators and information professionals</w:t>
      </w:r>
      <w:r>
        <w:rPr>
          <w:rFonts w:ascii="Times New Roman" w:eastAsia="Times New Roman" w:hAnsi="Times New Roman" w:cs="Times New Roman"/>
        </w:rPr>
        <w:t xml:space="preserve">. </w:t>
      </w:r>
      <w:r>
        <w:rPr>
          <w:rFonts w:ascii="Times New Roman" w:eastAsia="Times New Roman" w:hAnsi="Times New Roman" w:cs="Times New Roman"/>
          <w:i/>
        </w:rPr>
        <w:t>Library &amp; Information Science Research, 40</w:t>
      </w:r>
      <w:r>
        <w:rPr>
          <w:rFonts w:ascii="Times New Roman" w:eastAsia="Times New Roman" w:hAnsi="Times New Roman" w:cs="Times New Roman"/>
        </w:rPr>
        <w:t>(2), 120-128. https://doi.org/10.1016/j.lisr.2018.04.002</w:t>
      </w:r>
    </w:p>
    <w:p w14:paraId="0EFD50D2"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Klein, D., &amp; Lenart, G. (2020). </w:t>
      </w:r>
      <w:r>
        <w:rPr>
          <w:rFonts w:ascii="Times New Roman" w:eastAsia="Times New Roman" w:hAnsi="Times New Roman" w:cs="Times New Roman"/>
          <w:i/>
        </w:rPr>
        <w:t>The evolving role of librarians: Adapting to change in the digital age</w:t>
      </w:r>
      <w:r>
        <w:rPr>
          <w:rFonts w:ascii="Times New Roman" w:eastAsia="Times New Roman" w:hAnsi="Times New Roman" w:cs="Times New Roman"/>
        </w:rPr>
        <w:t xml:space="preserve">. </w:t>
      </w:r>
      <w:r>
        <w:rPr>
          <w:rFonts w:ascii="Times New Roman" w:eastAsia="Times New Roman" w:hAnsi="Times New Roman" w:cs="Times New Roman"/>
          <w:i/>
        </w:rPr>
        <w:t>Library Journal, 145</w:t>
      </w:r>
      <w:r>
        <w:rPr>
          <w:rFonts w:ascii="Times New Roman" w:eastAsia="Times New Roman" w:hAnsi="Times New Roman" w:cs="Times New Roman"/>
        </w:rPr>
        <w:t>(7), 32-36.</w:t>
      </w:r>
    </w:p>
    <w:p w14:paraId="27122F8E"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Kumar, S., &amp; Kumar, R. (2021). </w:t>
      </w:r>
      <w:r>
        <w:rPr>
          <w:rFonts w:ascii="Times New Roman" w:eastAsia="Times New Roman" w:hAnsi="Times New Roman" w:cs="Times New Roman"/>
          <w:i/>
        </w:rPr>
        <w:t>Librarians as educators: The impact of NEP 2020 on librarianship</w:t>
      </w:r>
      <w:r>
        <w:rPr>
          <w:rFonts w:ascii="Times New Roman" w:eastAsia="Times New Roman" w:hAnsi="Times New Roman" w:cs="Times New Roman"/>
        </w:rPr>
        <w:t xml:space="preserve">. </w:t>
      </w:r>
      <w:r>
        <w:rPr>
          <w:rFonts w:ascii="Times New Roman" w:eastAsia="Times New Roman" w:hAnsi="Times New Roman" w:cs="Times New Roman"/>
          <w:i/>
        </w:rPr>
        <w:t>International Journal of Library Science, 10</w:t>
      </w:r>
      <w:r>
        <w:rPr>
          <w:rFonts w:ascii="Times New Roman" w:eastAsia="Times New Roman" w:hAnsi="Times New Roman" w:cs="Times New Roman"/>
        </w:rPr>
        <w:t>(1), 15-30. https://doi.org/10.5923/j.library.20211001.02</w:t>
      </w:r>
    </w:p>
    <w:p w14:paraId="7FB714F4"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Lankes, R. D. (2016). </w:t>
      </w:r>
      <w:r>
        <w:rPr>
          <w:rFonts w:ascii="Times New Roman" w:eastAsia="Times New Roman" w:hAnsi="Times New Roman" w:cs="Times New Roman"/>
          <w:i/>
        </w:rPr>
        <w:t>The new librarianship field guide</w:t>
      </w:r>
      <w:r>
        <w:rPr>
          <w:rFonts w:ascii="Times New Roman" w:eastAsia="Times New Roman" w:hAnsi="Times New Roman" w:cs="Times New Roman"/>
        </w:rPr>
        <w:t>. MIT Press.</w:t>
      </w:r>
    </w:p>
    <w:p w14:paraId="2DABC196"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Linton, R. (2016). </w:t>
      </w:r>
      <w:r>
        <w:rPr>
          <w:rFonts w:ascii="Times New Roman" w:eastAsia="Times New Roman" w:hAnsi="Times New Roman" w:cs="Times New Roman"/>
          <w:i/>
        </w:rPr>
        <w:t>The changing role of librarians in education: A framework for instructional integration</w:t>
      </w:r>
      <w:r>
        <w:rPr>
          <w:rFonts w:ascii="Times New Roman" w:eastAsia="Times New Roman" w:hAnsi="Times New Roman" w:cs="Times New Roman"/>
        </w:rPr>
        <w:t xml:space="preserve">. </w:t>
      </w:r>
      <w:r>
        <w:rPr>
          <w:rFonts w:ascii="Times New Roman" w:eastAsia="Times New Roman" w:hAnsi="Times New Roman" w:cs="Times New Roman"/>
          <w:i/>
        </w:rPr>
        <w:t>Educational Review, 58</w:t>
      </w:r>
      <w:r>
        <w:rPr>
          <w:rFonts w:ascii="Times New Roman" w:eastAsia="Times New Roman" w:hAnsi="Times New Roman" w:cs="Times New Roman"/>
        </w:rPr>
        <w:t>(4), 321-338.</w:t>
      </w:r>
    </w:p>
    <w:p w14:paraId="312E7587"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McCook, K., &amp; </w:t>
      </w:r>
      <w:proofErr w:type="spellStart"/>
      <w:r>
        <w:rPr>
          <w:rFonts w:ascii="Times New Roman" w:eastAsia="Times New Roman" w:hAnsi="Times New Roman" w:cs="Times New Roman"/>
        </w:rPr>
        <w:t>Sierpe</w:t>
      </w:r>
      <w:proofErr w:type="spellEnd"/>
      <w:r>
        <w:rPr>
          <w:rFonts w:ascii="Times New Roman" w:eastAsia="Times New Roman" w:hAnsi="Times New Roman" w:cs="Times New Roman"/>
        </w:rPr>
        <w:t xml:space="preserve">, E. (2003). </w:t>
      </w:r>
      <w:r>
        <w:rPr>
          <w:rFonts w:ascii="Times New Roman" w:eastAsia="Times New Roman" w:hAnsi="Times New Roman" w:cs="Times New Roman"/>
          <w:i/>
        </w:rPr>
        <w:t>The changing role of libraries and librarians in the 21st century</w:t>
      </w:r>
      <w:r>
        <w:rPr>
          <w:rFonts w:ascii="Times New Roman" w:eastAsia="Times New Roman" w:hAnsi="Times New Roman" w:cs="Times New Roman"/>
        </w:rPr>
        <w:t xml:space="preserve">. </w:t>
      </w:r>
      <w:r>
        <w:rPr>
          <w:rFonts w:ascii="Times New Roman" w:eastAsia="Times New Roman" w:hAnsi="Times New Roman" w:cs="Times New Roman"/>
          <w:i/>
        </w:rPr>
        <w:t>Library Trends, 51</w:t>
      </w:r>
      <w:r>
        <w:rPr>
          <w:rFonts w:ascii="Times New Roman" w:eastAsia="Times New Roman" w:hAnsi="Times New Roman" w:cs="Times New Roman"/>
        </w:rPr>
        <w:t>(4), 451-469. https://doi.org/10.1353/lib.2003.0013</w:t>
      </w:r>
    </w:p>
    <w:p w14:paraId="5E5F944F"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McGuinness, C. (2019). </w:t>
      </w:r>
      <w:r>
        <w:rPr>
          <w:rFonts w:ascii="Times New Roman" w:eastAsia="Times New Roman" w:hAnsi="Times New Roman" w:cs="Times New Roman"/>
          <w:i/>
        </w:rPr>
        <w:t>The role of librarians in student success: A review of the literature</w:t>
      </w:r>
      <w:r>
        <w:rPr>
          <w:rFonts w:ascii="Times New Roman" w:eastAsia="Times New Roman" w:hAnsi="Times New Roman" w:cs="Times New Roman"/>
        </w:rPr>
        <w:t xml:space="preserve">. </w:t>
      </w:r>
      <w:r>
        <w:rPr>
          <w:rFonts w:ascii="Times New Roman" w:eastAsia="Times New Roman" w:hAnsi="Times New Roman" w:cs="Times New Roman"/>
          <w:i/>
        </w:rPr>
        <w:t>College &amp; Research Libraries, 80</w:t>
      </w:r>
      <w:r>
        <w:rPr>
          <w:rFonts w:ascii="Times New Roman" w:eastAsia="Times New Roman" w:hAnsi="Times New Roman" w:cs="Times New Roman"/>
        </w:rPr>
        <w:t>(6), 835-846. https://doi.org/10.5860/crl.80.6.835</w:t>
      </w:r>
    </w:p>
    <w:p w14:paraId="13C9737E"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Mukherjee, A. (2023). </w:t>
      </w:r>
      <w:r>
        <w:rPr>
          <w:rFonts w:ascii="Times New Roman" w:eastAsia="Times New Roman" w:hAnsi="Times New Roman" w:cs="Times New Roman"/>
          <w:i/>
        </w:rPr>
        <w:t>Professional advocacy in Indian LIS: Missed opportunities and future directions</w:t>
      </w:r>
      <w:r>
        <w:rPr>
          <w:rFonts w:ascii="Times New Roman" w:eastAsia="Times New Roman" w:hAnsi="Times New Roman" w:cs="Times New Roman"/>
        </w:rPr>
        <w:t xml:space="preserve">. </w:t>
      </w:r>
      <w:r>
        <w:rPr>
          <w:rFonts w:ascii="Times New Roman" w:eastAsia="Times New Roman" w:hAnsi="Times New Roman" w:cs="Times New Roman"/>
          <w:i/>
        </w:rPr>
        <w:t>Indian Journal of Library Studies, 58</w:t>
      </w:r>
      <w:r>
        <w:rPr>
          <w:rFonts w:ascii="Times New Roman" w:eastAsia="Times New Roman" w:hAnsi="Times New Roman" w:cs="Times New Roman"/>
        </w:rPr>
        <w:t>(2), 101–117.</w:t>
      </w:r>
    </w:p>
    <w:p w14:paraId="3260659E"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Patel, R., &amp; Verma, S. (2020). </w:t>
      </w:r>
      <w:r>
        <w:rPr>
          <w:rFonts w:ascii="Times New Roman" w:eastAsia="Times New Roman" w:hAnsi="Times New Roman" w:cs="Times New Roman"/>
          <w:i/>
        </w:rPr>
        <w:t>The recognition of librarians as educators: A barrier to effective collaboration</w:t>
      </w:r>
      <w:r>
        <w:rPr>
          <w:rFonts w:ascii="Times New Roman" w:eastAsia="Times New Roman" w:hAnsi="Times New Roman" w:cs="Times New Roman"/>
        </w:rPr>
        <w:t xml:space="preserve">. </w:t>
      </w:r>
      <w:r>
        <w:rPr>
          <w:rFonts w:ascii="Times New Roman" w:eastAsia="Times New Roman" w:hAnsi="Times New Roman" w:cs="Times New Roman"/>
          <w:i/>
        </w:rPr>
        <w:t>Journal of Academic Librarianship, 46</w:t>
      </w:r>
      <w:r>
        <w:rPr>
          <w:rFonts w:ascii="Times New Roman" w:eastAsia="Times New Roman" w:hAnsi="Times New Roman" w:cs="Times New Roman"/>
        </w:rPr>
        <w:t>(5), 102-108. https://doi.org/10.1016/j.acalib.2020.102108</w:t>
      </w:r>
    </w:p>
    <w:p w14:paraId="372724C2"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Raju, R. (2020). </w:t>
      </w:r>
      <w:r>
        <w:rPr>
          <w:rFonts w:ascii="Times New Roman" w:eastAsia="Times New Roman" w:hAnsi="Times New Roman" w:cs="Times New Roman"/>
          <w:i/>
        </w:rPr>
        <w:t>Digital transformation in libraries: The evolving role of librarians</w:t>
      </w:r>
      <w:r>
        <w:rPr>
          <w:rFonts w:ascii="Times New Roman" w:eastAsia="Times New Roman" w:hAnsi="Times New Roman" w:cs="Times New Roman"/>
        </w:rPr>
        <w:t xml:space="preserve">. </w:t>
      </w:r>
      <w:r>
        <w:rPr>
          <w:rFonts w:ascii="Times New Roman" w:eastAsia="Times New Roman" w:hAnsi="Times New Roman" w:cs="Times New Roman"/>
          <w:i/>
        </w:rPr>
        <w:t>Library Hi Tech, 38</w:t>
      </w:r>
      <w:r>
        <w:rPr>
          <w:rFonts w:ascii="Times New Roman" w:eastAsia="Times New Roman" w:hAnsi="Times New Roman" w:cs="Times New Roman"/>
        </w:rPr>
        <w:t>(3), 535-546. https://doi.org/10.1108/LHT-02-2020-0055</w:t>
      </w:r>
    </w:p>
    <w:p w14:paraId="73B9EF74"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Rani, S., &amp; Gupta, A. (2021). </w:t>
      </w:r>
      <w:r>
        <w:rPr>
          <w:rFonts w:ascii="Times New Roman" w:eastAsia="Times New Roman" w:hAnsi="Times New Roman" w:cs="Times New Roman"/>
          <w:i/>
        </w:rPr>
        <w:t>Challenges faced by librarians in implementing NEP 2020</w:t>
      </w:r>
      <w:r>
        <w:rPr>
          <w:rFonts w:ascii="Times New Roman" w:eastAsia="Times New Roman" w:hAnsi="Times New Roman" w:cs="Times New Roman"/>
        </w:rPr>
        <w:t xml:space="preserve">. </w:t>
      </w:r>
      <w:r>
        <w:rPr>
          <w:rFonts w:ascii="Times New Roman" w:eastAsia="Times New Roman" w:hAnsi="Times New Roman" w:cs="Times New Roman"/>
          <w:i/>
        </w:rPr>
        <w:t>Indian Journal of Library Science and Information Technology, 11</w:t>
      </w:r>
      <w:r>
        <w:rPr>
          <w:rFonts w:ascii="Times New Roman" w:eastAsia="Times New Roman" w:hAnsi="Times New Roman" w:cs="Times New Roman"/>
        </w:rPr>
        <w:t>(2), 75-82. https://doi.org/10.18280/ijlsit.110201</w:t>
      </w:r>
    </w:p>
    <w:p w14:paraId="3F243232"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Sen, R. (2020). </w:t>
      </w:r>
      <w:r>
        <w:rPr>
          <w:rFonts w:ascii="Times New Roman" w:eastAsia="Times New Roman" w:hAnsi="Times New Roman" w:cs="Times New Roman"/>
          <w:i/>
        </w:rPr>
        <w:t>Librarians and work-life balance during the pandemic</w:t>
      </w:r>
      <w:r>
        <w:rPr>
          <w:rFonts w:ascii="Times New Roman" w:eastAsia="Times New Roman" w:hAnsi="Times New Roman" w:cs="Times New Roman"/>
        </w:rPr>
        <w:t xml:space="preserve">. </w:t>
      </w:r>
      <w:r>
        <w:rPr>
          <w:rFonts w:ascii="Times New Roman" w:eastAsia="Times New Roman" w:hAnsi="Times New Roman" w:cs="Times New Roman"/>
          <w:i/>
        </w:rPr>
        <w:t>Journal of Information Management, 45</w:t>
      </w:r>
      <w:r>
        <w:rPr>
          <w:rFonts w:ascii="Times New Roman" w:eastAsia="Times New Roman" w:hAnsi="Times New Roman" w:cs="Times New Roman"/>
        </w:rPr>
        <w:t>(3), 212–225.</w:t>
      </w:r>
    </w:p>
    <w:p w14:paraId="6AA68825"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Sharma, N., &amp; Singh, A. (2021). </w:t>
      </w:r>
      <w:r>
        <w:rPr>
          <w:rFonts w:ascii="Times New Roman" w:eastAsia="Times New Roman" w:hAnsi="Times New Roman" w:cs="Times New Roman"/>
          <w:i/>
        </w:rPr>
        <w:t>The role of librarians in multidisciplinary education: Perspectives from NEP 2020</w:t>
      </w:r>
      <w:r>
        <w:rPr>
          <w:rFonts w:ascii="Times New Roman" w:eastAsia="Times New Roman" w:hAnsi="Times New Roman" w:cs="Times New Roman"/>
        </w:rPr>
        <w:t xml:space="preserve">. </w:t>
      </w:r>
      <w:r>
        <w:rPr>
          <w:rFonts w:ascii="Times New Roman" w:eastAsia="Times New Roman" w:hAnsi="Times New Roman" w:cs="Times New Roman"/>
          <w:i/>
        </w:rPr>
        <w:t>Journal of Education for Library and Information Science, 62</w:t>
      </w:r>
      <w:r>
        <w:rPr>
          <w:rFonts w:ascii="Times New Roman" w:eastAsia="Times New Roman" w:hAnsi="Times New Roman" w:cs="Times New Roman"/>
        </w:rPr>
        <w:t>(4), 301-313. https://doi.org/10.3138/jelis-62-4-2021-0010</w:t>
      </w:r>
    </w:p>
    <w:p w14:paraId="11C1E76F"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Singh, K., &amp; Thomas, M. (2022). </w:t>
      </w:r>
      <w:r>
        <w:rPr>
          <w:rFonts w:ascii="Times New Roman" w:eastAsia="Times New Roman" w:hAnsi="Times New Roman" w:cs="Times New Roman"/>
          <w:i/>
        </w:rPr>
        <w:t>Role exchange model in LIS: Bridging the gap between theory and practice</w:t>
      </w:r>
      <w:r>
        <w:rPr>
          <w:rFonts w:ascii="Times New Roman" w:eastAsia="Times New Roman" w:hAnsi="Times New Roman" w:cs="Times New Roman"/>
        </w:rPr>
        <w:t xml:space="preserve">. </w:t>
      </w:r>
      <w:r>
        <w:rPr>
          <w:rFonts w:ascii="Times New Roman" w:eastAsia="Times New Roman" w:hAnsi="Times New Roman" w:cs="Times New Roman"/>
          <w:i/>
        </w:rPr>
        <w:t>Library &amp; Information Science Trends, 36</w:t>
      </w:r>
      <w:r>
        <w:rPr>
          <w:rFonts w:ascii="Times New Roman" w:eastAsia="Times New Roman" w:hAnsi="Times New Roman" w:cs="Times New Roman"/>
        </w:rPr>
        <w:t>(1), 58-71.</w:t>
      </w:r>
    </w:p>
    <w:p w14:paraId="56D847B1" w14:textId="77777777" w:rsidR="0000009C" w:rsidRDefault="00EB25A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Yap, K., Lee, J., &amp; Tan, W. (2024). </w:t>
      </w:r>
      <w:r>
        <w:rPr>
          <w:rFonts w:ascii="Times New Roman" w:eastAsia="Times New Roman" w:hAnsi="Times New Roman" w:cs="Times New Roman"/>
          <w:i/>
        </w:rPr>
        <w:t>Information custodians in the digital age: Librarians and their evolving roles</w:t>
      </w:r>
      <w:r>
        <w:rPr>
          <w:rFonts w:ascii="Times New Roman" w:eastAsia="Times New Roman" w:hAnsi="Times New Roman" w:cs="Times New Roman"/>
        </w:rPr>
        <w:t xml:space="preserve">. </w:t>
      </w:r>
      <w:r>
        <w:rPr>
          <w:rFonts w:ascii="Times New Roman" w:eastAsia="Times New Roman" w:hAnsi="Times New Roman" w:cs="Times New Roman"/>
          <w:i/>
        </w:rPr>
        <w:t>Journal of Information Science, 50</w:t>
      </w:r>
      <w:r>
        <w:rPr>
          <w:rFonts w:ascii="Times New Roman" w:eastAsia="Times New Roman" w:hAnsi="Times New Roman" w:cs="Times New Roman"/>
        </w:rPr>
        <w:t>(1), 1-15. https://doi.org/10.1177/01655515211012345</w:t>
      </w:r>
    </w:p>
    <w:sectPr w:rsidR="0000009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BE149" w14:textId="77777777" w:rsidR="00F7634A" w:rsidRDefault="00F7634A" w:rsidP="00C2473E">
      <w:pPr>
        <w:spacing w:after="0" w:line="240" w:lineRule="auto"/>
      </w:pPr>
      <w:r>
        <w:separator/>
      </w:r>
    </w:p>
  </w:endnote>
  <w:endnote w:type="continuationSeparator" w:id="0">
    <w:p w14:paraId="6083EEAF" w14:textId="77777777" w:rsidR="00F7634A" w:rsidRDefault="00F7634A" w:rsidP="00C2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embedRegular r:id="rId1" w:fontKey="{6AFD782E-B8EF-485A-ACD7-1C7060FA46C7}"/>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16E3A145-43A2-41B5-A435-77AFA792BD59}"/>
    <w:embedBold r:id="rId3" w:fontKey="{56069D26-7F7D-4757-B684-BD6C2F8EA2C1}"/>
    <w:embedItalic r:id="rId4" w:fontKey="{91BFD82D-B05C-431A-BC21-5FFA783E2B24}"/>
  </w:font>
  <w:font w:name="Aptos Display">
    <w:charset w:val="00"/>
    <w:family w:val="swiss"/>
    <w:pitch w:val="variable"/>
    <w:sig w:usb0="20000287" w:usb1="00000003" w:usb2="00000000" w:usb3="00000000" w:csb0="0000019F" w:csb1="00000000"/>
    <w:embedRegular r:id="rId5" w:fontKey="{FA4CD849-21B5-47A9-A50E-AA2E177ECD84}"/>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8367" w14:textId="77777777" w:rsidR="00C2473E" w:rsidRDefault="00C24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36EC" w14:textId="77777777" w:rsidR="00C2473E" w:rsidRDefault="00C24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B9F83" w14:textId="77777777" w:rsidR="00C2473E" w:rsidRDefault="00C24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FE3C0" w14:textId="77777777" w:rsidR="00F7634A" w:rsidRDefault="00F7634A" w:rsidP="00C2473E">
      <w:pPr>
        <w:spacing w:after="0" w:line="240" w:lineRule="auto"/>
      </w:pPr>
      <w:r>
        <w:separator/>
      </w:r>
    </w:p>
  </w:footnote>
  <w:footnote w:type="continuationSeparator" w:id="0">
    <w:p w14:paraId="5F9B5CD0" w14:textId="77777777" w:rsidR="00F7634A" w:rsidRDefault="00F7634A" w:rsidP="00C24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70C3" w14:textId="70708714" w:rsidR="00C2473E" w:rsidRDefault="00C2473E">
    <w:pPr>
      <w:pStyle w:val="Header"/>
    </w:pPr>
    <w:r>
      <w:rPr>
        <w:noProof/>
      </w:rPr>
      <w:pict w14:anchorId="3ED44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0120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A167" w14:textId="1E88DE2A" w:rsidR="00C2473E" w:rsidRDefault="00C2473E">
    <w:pPr>
      <w:pStyle w:val="Header"/>
    </w:pPr>
    <w:r>
      <w:rPr>
        <w:noProof/>
      </w:rPr>
      <w:pict w14:anchorId="15C41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0120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1F62" w14:textId="6DCB63F7" w:rsidR="00C2473E" w:rsidRDefault="00C2473E">
    <w:pPr>
      <w:pStyle w:val="Header"/>
    </w:pPr>
    <w:r>
      <w:rPr>
        <w:noProof/>
      </w:rPr>
      <w:pict w14:anchorId="2FEB3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0120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E7E8A"/>
    <w:multiLevelType w:val="multilevel"/>
    <w:tmpl w:val="9A88CC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TrueTypeFont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9C"/>
    <w:rsid w:val="0000009C"/>
    <w:rsid w:val="00303585"/>
    <w:rsid w:val="005F3431"/>
    <w:rsid w:val="009F2874"/>
    <w:rsid w:val="00A41A6B"/>
    <w:rsid w:val="00C2473E"/>
    <w:rsid w:val="00C30067"/>
    <w:rsid w:val="00EB25AC"/>
    <w:rsid w:val="00F46A6D"/>
    <w:rsid w:val="00F763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6A7A43"/>
  <w15:docId w15:val="{FA25B9B2-1144-4D2F-A351-ED548D1C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IN" w:eastAsia="en-IN"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3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63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482"/>
    <w:rPr>
      <w:rFonts w:eastAsiaTheme="majorEastAsia" w:cstheme="majorBidi"/>
      <w:color w:val="272727" w:themeColor="text1" w:themeTint="D8"/>
    </w:rPr>
  </w:style>
  <w:style w:type="character" w:customStyle="1" w:styleId="TitleChar">
    <w:name w:val="Title Char"/>
    <w:basedOn w:val="DefaultParagraphFont"/>
    <w:link w:val="Title"/>
    <w:uiPriority w:val="10"/>
    <w:rsid w:val="00D63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D63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482"/>
    <w:pPr>
      <w:spacing w:before="160"/>
      <w:jc w:val="center"/>
    </w:pPr>
    <w:rPr>
      <w:i/>
      <w:iCs/>
      <w:color w:val="404040" w:themeColor="text1" w:themeTint="BF"/>
    </w:rPr>
  </w:style>
  <w:style w:type="character" w:customStyle="1" w:styleId="QuoteChar">
    <w:name w:val="Quote Char"/>
    <w:basedOn w:val="DefaultParagraphFont"/>
    <w:link w:val="Quote"/>
    <w:uiPriority w:val="29"/>
    <w:rsid w:val="00D63482"/>
    <w:rPr>
      <w:i/>
      <w:iCs/>
      <w:color w:val="404040" w:themeColor="text1" w:themeTint="BF"/>
    </w:rPr>
  </w:style>
  <w:style w:type="paragraph" w:styleId="ListParagraph">
    <w:name w:val="List Paragraph"/>
    <w:basedOn w:val="Normal"/>
    <w:uiPriority w:val="34"/>
    <w:qFormat/>
    <w:rsid w:val="00D63482"/>
    <w:pPr>
      <w:ind w:left="720"/>
      <w:contextualSpacing/>
    </w:pPr>
  </w:style>
  <w:style w:type="character" w:styleId="IntenseEmphasis">
    <w:name w:val="Intense Emphasis"/>
    <w:basedOn w:val="DefaultParagraphFont"/>
    <w:uiPriority w:val="21"/>
    <w:qFormat/>
    <w:rsid w:val="00D63482"/>
    <w:rPr>
      <w:i/>
      <w:iCs/>
      <w:color w:val="0F4761" w:themeColor="accent1" w:themeShade="BF"/>
    </w:rPr>
  </w:style>
  <w:style w:type="paragraph" w:styleId="IntenseQuote">
    <w:name w:val="Intense Quote"/>
    <w:basedOn w:val="Normal"/>
    <w:next w:val="Normal"/>
    <w:link w:val="IntenseQuoteChar"/>
    <w:uiPriority w:val="30"/>
    <w:qFormat/>
    <w:rsid w:val="00D63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482"/>
    <w:rPr>
      <w:i/>
      <w:iCs/>
      <w:color w:val="0F4761" w:themeColor="accent1" w:themeShade="BF"/>
    </w:rPr>
  </w:style>
  <w:style w:type="character" w:styleId="IntenseReference">
    <w:name w:val="Intense Reference"/>
    <w:basedOn w:val="DefaultParagraphFont"/>
    <w:uiPriority w:val="32"/>
    <w:qFormat/>
    <w:rsid w:val="00D63482"/>
    <w:rPr>
      <w:b/>
      <w:bCs/>
      <w:smallCaps/>
      <w:color w:val="0F4761" w:themeColor="accent1" w:themeShade="BF"/>
      <w:spacing w:val="5"/>
    </w:rPr>
  </w:style>
  <w:style w:type="table" w:styleId="PlainTable2">
    <w:name w:val="Plain Table 2"/>
    <w:basedOn w:val="TableNormal"/>
    <w:uiPriority w:val="42"/>
    <w:rsid w:val="00D634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634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character" w:styleId="Hyperlink">
    <w:name w:val="Hyperlink"/>
    <w:basedOn w:val="DefaultParagraphFont"/>
    <w:uiPriority w:val="99"/>
    <w:unhideWhenUsed/>
    <w:rsid w:val="009F2874"/>
    <w:rPr>
      <w:color w:val="467886" w:themeColor="hyperlink"/>
      <w:u w:val="single"/>
    </w:rPr>
  </w:style>
  <w:style w:type="character" w:styleId="UnresolvedMention">
    <w:name w:val="Unresolved Mention"/>
    <w:basedOn w:val="DefaultParagraphFont"/>
    <w:uiPriority w:val="99"/>
    <w:semiHidden/>
    <w:unhideWhenUsed/>
    <w:rsid w:val="009F2874"/>
    <w:rPr>
      <w:color w:val="605E5C"/>
      <w:shd w:val="clear" w:color="auto" w:fill="E1DFDD"/>
    </w:rPr>
  </w:style>
  <w:style w:type="paragraph" w:styleId="Header">
    <w:name w:val="header"/>
    <w:basedOn w:val="Normal"/>
    <w:link w:val="HeaderChar"/>
    <w:uiPriority w:val="99"/>
    <w:unhideWhenUsed/>
    <w:rsid w:val="00C24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73E"/>
  </w:style>
  <w:style w:type="paragraph" w:styleId="Footer">
    <w:name w:val="footer"/>
    <w:basedOn w:val="Normal"/>
    <w:link w:val="FooterChar"/>
    <w:uiPriority w:val="99"/>
    <w:unhideWhenUsed/>
    <w:rsid w:val="00C24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585166">
      <w:bodyDiv w:val="1"/>
      <w:marLeft w:val="0"/>
      <w:marRight w:val="0"/>
      <w:marTop w:val="0"/>
      <w:marBottom w:val="0"/>
      <w:divBdr>
        <w:top w:val="none" w:sz="0" w:space="0" w:color="auto"/>
        <w:left w:val="none" w:sz="0" w:space="0" w:color="auto"/>
        <w:bottom w:val="none" w:sz="0" w:space="0" w:color="auto"/>
        <w:right w:val="none" w:sz="0" w:space="0" w:color="auto"/>
      </w:divBdr>
    </w:div>
    <w:div w:id="168074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ObnHRmil8HtNYGqnVXU8jL38w==">CgMxLjA4AHIhMTJqZllOZmNES1R3aUpNaU82VFFHeGx5SzJIVzNUSWJl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3372</Words>
  <Characters>19224</Characters>
  <Application>Microsoft Office Word</Application>
  <DocSecurity>0</DocSecurity>
  <Lines>160</Lines>
  <Paragraphs>45</Paragraphs>
  <ScaleCrop>false</ScaleCrop>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SDI 1084</cp:lastModifiedBy>
  <cp:revision>10</cp:revision>
  <dcterms:created xsi:type="dcterms:W3CDTF">2025-05-28T09:57:00Z</dcterms:created>
  <dcterms:modified xsi:type="dcterms:W3CDTF">2025-06-05T09:15:00Z</dcterms:modified>
</cp:coreProperties>
</file>