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903A71" w14:textId="6517914F" w:rsidR="004153A7" w:rsidRDefault="004153A7" w:rsidP="00EB5C8B">
      <w:pPr>
        <w:spacing w:line="360" w:lineRule="auto"/>
        <w:jc w:val="center"/>
        <w:rPr>
          <w:rFonts w:ascii="Times New Roman" w:hAnsi="Times New Roman" w:cs="Times New Roman"/>
          <w:sz w:val="28"/>
          <w:szCs w:val="28"/>
        </w:rPr>
      </w:pPr>
      <w:r w:rsidRPr="004153A7">
        <w:rPr>
          <w:rFonts w:ascii="Times New Roman" w:hAnsi="Times New Roman" w:cs="Times New Roman"/>
          <w:bCs/>
          <w:i/>
          <w:iCs/>
          <w:sz w:val="28"/>
          <w:szCs w:val="28"/>
          <w:u w:val="single"/>
        </w:rPr>
        <w:t>Original Research Article</w:t>
      </w:r>
    </w:p>
    <w:p w14:paraId="2CA7F038" w14:textId="09AD61DE" w:rsidR="00842C2F" w:rsidRDefault="00842C2F" w:rsidP="00EB5C8B">
      <w:pPr>
        <w:spacing w:line="360" w:lineRule="auto"/>
        <w:jc w:val="center"/>
        <w:rPr>
          <w:rFonts w:ascii="Times New Roman" w:hAnsi="Times New Roman" w:cs="Times New Roman"/>
          <w:sz w:val="28"/>
          <w:szCs w:val="28"/>
        </w:rPr>
      </w:pPr>
      <w:r w:rsidRPr="00F32AF1">
        <w:rPr>
          <w:rFonts w:ascii="Times New Roman" w:hAnsi="Times New Roman" w:cs="Times New Roman"/>
          <w:sz w:val="28"/>
          <w:szCs w:val="28"/>
        </w:rPr>
        <w:t>Spatial Transcriptomics Analysis of Neuroinflammatory Pathways Associated with Parkinson’s Disease Genes</w:t>
      </w:r>
    </w:p>
    <w:p w14:paraId="22B4DC5E" w14:textId="77777777" w:rsidR="007D6F71" w:rsidRPr="00F32AF1" w:rsidRDefault="007D6F71" w:rsidP="00EB5C8B">
      <w:pPr>
        <w:spacing w:line="360" w:lineRule="auto"/>
        <w:jc w:val="center"/>
        <w:rPr>
          <w:rFonts w:ascii="Times New Roman" w:eastAsia="맑은 고딕" w:hAnsi="Times New Roman" w:cs="Times New Roman"/>
          <w:sz w:val="28"/>
          <w:szCs w:val="28"/>
          <w:lang w:eastAsia="ko-KR"/>
        </w:rPr>
      </w:pPr>
    </w:p>
    <w:p w14:paraId="2E491EC7" w14:textId="77777777" w:rsidR="00F32AF1" w:rsidRDefault="00F32AF1" w:rsidP="00EB5C8B">
      <w:pPr>
        <w:spacing w:line="360" w:lineRule="auto"/>
        <w:rPr>
          <w:rFonts w:ascii="Times New Roman" w:hAnsi="Times New Roman" w:cs="Times New Roman"/>
          <w:b/>
          <w:bCs/>
        </w:rPr>
      </w:pPr>
    </w:p>
    <w:p w14:paraId="03AC469E" w14:textId="77777777" w:rsidR="00EA3687" w:rsidRDefault="00EA3687" w:rsidP="00EB5C8B">
      <w:pPr>
        <w:spacing w:line="360" w:lineRule="auto"/>
        <w:rPr>
          <w:rFonts w:ascii="Times New Roman" w:hAnsi="Times New Roman" w:cs="Times New Roman"/>
          <w:b/>
          <w:bCs/>
        </w:rPr>
      </w:pPr>
    </w:p>
    <w:p w14:paraId="291D7E7B" w14:textId="77777777" w:rsidR="00EA3687" w:rsidRDefault="00EA3687" w:rsidP="00EB5C8B">
      <w:pPr>
        <w:spacing w:line="360" w:lineRule="auto"/>
        <w:rPr>
          <w:rFonts w:ascii="Times New Roman" w:hAnsi="Times New Roman" w:cs="Times New Roman"/>
          <w:b/>
          <w:bCs/>
        </w:rPr>
      </w:pPr>
    </w:p>
    <w:p w14:paraId="41B7590E" w14:textId="54828585" w:rsidR="00842C2F" w:rsidRPr="00842C2F" w:rsidRDefault="00842C2F" w:rsidP="00EB5C8B">
      <w:pPr>
        <w:spacing w:line="360" w:lineRule="auto"/>
        <w:rPr>
          <w:rFonts w:ascii="Times New Roman" w:hAnsi="Times New Roman" w:cs="Times New Roman"/>
          <w:b/>
          <w:bCs/>
        </w:rPr>
      </w:pPr>
      <w:r w:rsidRPr="00842C2F">
        <w:rPr>
          <w:rFonts w:ascii="Times New Roman" w:hAnsi="Times New Roman" w:cs="Times New Roman"/>
          <w:b/>
          <w:bCs/>
        </w:rPr>
        <w:t>Abstract</w:t>
      </w:r>
    </w:p>
    <w:p w14:paraId="31E03738" w14:textId="0AAF31CC" w:rsidR="00842C2F" w:rsidRPr="00842C2F" w:rsidRDefault="00842C2F" w:rsidP="00EB5C8B">
      <w:pPr>
        <w:spacing w:line="360" w:lineRule="auto"/>
        <w:rPr>
          <w:rFonts w:ascii="Times New Roman" w:hAnsi="Times New Roman" w:cs="Times New Roman"/>
        </w:rPr>
      </w:pPr>
      <w:r w:rsidRPr="00842C2F">
        <w:rPr>
          <w:rFonts w:ascii="Times New Roman" w:hAnsi="Times New Roman" w:cs="Times New Roman"/>
        </w:rPr>
        <w:t>This study explores the spatial organization of Parkinson’s disease (PD)-related genes and neuroinflammatory markers in the brain using high-resolution MERFISH spatial transcriptomic data. We focused on spatial relationships among core cell types—dopaminergic, astrocytic, vascular, and immune—and their associations with cells expressing high levels of PD and inflammation-related genes. Neighborhood enrichment and density correlation analyses revealed strong co-localization of astrocytes and vascular cells, while dopaminergic and immune cells were spatially segregated. Spatial expression maps showed regionally restricted gene activity, and combined analysis of cell types and gene-high expressing cells highlighted spatially structured neighborhoods. Clustering of gene-high groups across three brains yielded reproducible gene modules enriched in immune response and neurotransmitter regulation pathways. These findings reveal consistent spatial interactions and transcriptional modules that may underlie PD-related neuroinflammation, offering insights into disease-associated tissue architecture.</w:t>
      </w:r>
    </w:p>
    <w:p w14:paraId="0044DB16" w14:textId="77777777" w:rsidR="00F32AF1" w:rsidRDefault="00F32AF1" w:rsidP="00EB5C8B">
      <w:pPr>
        <w:spacing w:line="360" w:lineRule="auto"/>
        <w:rPr>
          <w:rFonts w:ascii="Times New Roman" w:eastAsia="맑은 고딕" w:hAnsi="Times New Roman" w:cs="Times New Roman"/>
          <w:b/>
          <w:bCs/>
          <w:lang w:eastAsia="ko-KR"/>
        </w:rPr>
      </w:pPr>
    </w:p>
    <w:p w14:paraId="01B31D9D" w14:textId="462E7B81" w:rsidR="00842C2F" w:rsidRPr="00842C2F" w:rsidRDefault="00842C2F" w:rsidP="00EB5C8B">
      <w:pPr>
        <w:spacing w:line="360" w:lineRule="auto"/>
        <w:rPr>
          <w:rFonts w:ascii="Times New Roman" w:eastAsia="맑은 고딕" w:hAnsi="Times New Roman" w:cs="Times New Roman"/>
          <w:b/>
          <w:bCs/>
          <w:lang w:eastAsia="ko-KR"/>
        </w:rPr>
      </w:pPr>
      <w:r>
        <w:rPr>
          <w:rFonts w:ascii="Times New Roman" w:eastAsia="맑은 고딕" w:hAnsi="Times New Roman" w:cs="Times New Roman" w:hint="eastAsia"/>
          <w:b/>
          <w:bCs/>
          <w:lang w:eastAsia="ko-KR"/>
        </w:rPr>
        <w:t>Introduction</w:t>
      </w:r>
    </w:p>
    <w:p w14:paraId="637EB1DC" w14:textId="67C6CF21" w:rsidR="006E2C1C" w:rsidRPr="006E2C1C" w:rsidRDefault="006E2C1C" w:rsidP="00EB5C8B">
      <w:pPr>
        <w:spacing w:line="360" w:lineRule="auto"/>
        <w:rPr>
          <w:rFonts w:ascii="Times New Roman" w:eastAsia="맑은 고딕" w:hAnsi="Times New Roman" w:cs="Times New Roman"/>
          <w:lang w:eastAsia="ko-KR"/>
        </w:rPr>
      </w:pPr>
      <w:r w:rsidRPr="006E2C1C">
        <w:rPr>
          <w:rFonts w:ascii="Times New Roman" w:eastAsia="맑은 고딕" w:hAnsi="Times New Roman" w:cs="Times New Roman"/>
          <w:lang w:eastAsia="ko-KR"/>
        </w:rPr>
        <w:t>Parkinson’s disease (PD) is a progressive neurodegenerative disorder marked by the loss of dopaminergic neurons in the substantia nigra, a region of the midbrain crucial for movement control</w:t>
      </w:r>
      <w:r>
        <w:rPr>
          <w:rFonts w:ascii="Times New Roman" w:eastAsia="맑은 고딕" w:hAnsi="Times New Roman" w:cs="Times New Roman" w:hint="eastAsia"/>
          <w:lang w:eastAsia="ko-KR"/>
        </w:rPr>
        <w:t xml:space="preserve"> </w:t>
      </w:r>
      <w:r>
        <w:rPr>
          <w:rFonts w:ascii="Times New Roman" w:eastAsia="맑은 고딕" w:hAnsi="Times New Roman" w:cs="Times New Roman"/>
          <w:lang w:eastAsia="ko-KR"/>
        </w:rPr>
        <w:fldChar w:fldCharType="begin"/>
      </w:r>
      <w:r>
        <w:rPr>
          <w:rFonts w:ascii="Times New Roman" w:eastAsia="맑은 고딕" w:hAnsi="Times New Roman" w:cs="Times New Roman"/>
          <w:lang w:eastAsia="ko-KR"/>
        </w:rPr>
        <w:instrText xml:space="preserve"> ADDIN ZOTERO_ITEM CSL_CITATION {"citationID":"dUFhxtb9","properties":{"formattedCitation":"(Dauer &amp; Przedborski, 2003)","plainCitation":"(Dauer &amp; Przedborski, 2003)","noteIndex":0},"citationItems":[{"id":1435,"uris":["http://zotero.org/users/10626569/items/Z4HLXFF5"],"itemData":{"id":1435,"type":"article-journal","abstract":"Parkinson's disease (PD) results primarily from the death of dopaminergic neurons in the substantia nigra. Current PD medications treat symptoms; none halt or retard dopaminergic neuron degeneration. The main obstacle to developing neuroprotective therapies is a limited understanding of the key molecular events that provoke neurodegeneration. The discovery of PD genes has led to the hypothesis that misfolding of proteins and dysfunction of the ubiquitin-proteasome pathway are pivotal to PD pathogenesis. Previously implicated culprits in PD neurodegeneration, mitochondrial dysfunction and oxidative stress, may also act in part by causing the accumulation of misfolded proteins, in addition to producing other deleterious events in dopaminergic neurons. Neurotoxin-based models (particularly MPTP) have been important in elucidating the molecular cascade of cell death in dopaminergic neurons. PD models based on the manipulation of PD genes should prove valuable in elucidating important aspects of the disease, such as selective vulnerability of substantia nigra dopaminergic neurons to the degenerative process.","container-title":"Neuron","DOI":"10.1016/s0896-6273(03)00568-3","ISSN":"0896-6273","issue":"6","journalAbbreviation":"Neuron","language":"eng","note":"PMID: 12971891","page":"889-909","source":"PubMed","title":"Parkinson's disease: mechanisms and models","title-short":"Parkinson's disease","volume":"39","author":[{"family":"Dauer","given":"William"},{"family":"Przedborski","given":"Serge"}],"issued":{"date-parts":[["2003",9,11]]},"citation-key":"dauerParkinsonsDiseaseMechanisms2003"}}],"schema":"https://github.com/citation-style-language/schema/raw/master/csl-citation.json"} </w:instrText>
      </w:r>
      <w:r>
        <w:rPr>
          <w:rFonts w:ascii="Times New Roman" w:eastAsia="맑은 고딕" w:hAnsi="Times New Roman" w:cs="Times New Roman"/>
          <w:lang w:eastAsia="ko-KR"/>
        </w:rPr>
        <w:fldChar w:fldCharType="separate"/>
      </w:r>
      <w:r w:rsidRPr="006E2C1C">
        <w:rPr>
          <w:rFonts w:ascii="Times New Roman" w:hAnsi="Times New Roman" w:cs="Times New Roman"/>
        </w:rPr>
        <w:t>(Dauer &amp; Przedborski, 2003)</w:t>
      </w:r>
      <w:r>
        <w:rPr>
          <w:rFonts w:ascii="Times New Roman" w:eastAsia="맑은 고딕" w:hAnsi="Times New Roman" w:cs="Times New Roman"/>
          <w:lang w:eastAsia="ko-KR"/>
        </w:rPr>
        <w:fldChar w:fldCharType="end"/>
      </w:r>
      <w:r w:rsidRPr="006E2C1C">
        <w:rPr>
          <w:rFonts w:ascii="Times New Roman" w:eastAsia="맑은 고딕" w:hAnsi="Times New Roman" w:cs="Times New Roman"/>
          <w:lang w:eastAsia="ko-KR"/>
        </w:rPr>
        <w:t>. This neuronal degeneration manifests in hallmark motor symptoms, including tremors, bradykinesia, and rigidity</w:t>
      </w:r>
      <w:r>
        <w:rPr>
          <w:rFonts w:ascii="Times New Roman" w:eastAsia="맑은 고딕" w:hAnsi="Times New Roman" w:cs="Times New Roman" w:hint="eastAsia"/>
          <w:lang w:eastAsia="ko-KR"/>
        </w:rPr>
        <w:t xml:space="preserve"> </w:t>
      </w:r>
      <w:r>
        <w:rPr>
          <w:rFonts w:ascii="Times New Roman" w:eastAsia="맑은 고딕" w:hAnsi="Times New Roman" w:cs="Times New Roman"/>
          <w:lang w:eastAsia="ko-KR"/>
        </w:rPr>
        <w:fldChar w:fldCharType="begin"/>
      </w:r>
      <w:r>
        <w:rPr>
          <w:rFonts w:ascii="Times New Roman" w:eastAsia="맑은 고딕" w:hAnsi="Times New Roman" w:cs="Times New Roman"/>
          <w:lang w:eastAsia="ko-KR"/>
        </w:rPr>
        <w:instrText xml:space="preserve"> ADDIN ZOTERO_ITEM CSL_CITATION {"citationID":"T23lblcZ","properties":{"formattedCitation":"(Jankovic, 2008)","plainCitation":"(Jankovic, 2008)","noteIndex":0},"citationItems":[{"id":"1424","uris":["http://zotero.org/users/10626569/items/CPIPRYPJ"],"itemData":{"id":1424,"type":"article-journal","abstract":"OBJECTIVE: Parkinson's disease (PD) is a progressive neurological disorder characterised by a large number of motor and non-motor features that can impact on function to a variable degree. This review describes the clinical characteristics of PD with emphasis on those features that differentiate the disease from other parkinsonian disorders.\nMETHODS: A MedLine search was performed to identify studies that assess the clinical characteristics of PD. Search terms included \"Parkinson's disease\", \"diagnosis\" and \"signs and symptoms\".\nRESULTS: Because there is no definitive test for the diagnosis of PD, the disease must be diagnosed based on clinical criteria. Rest tremor, bradykinesia, rigidity and loss of postural reflexes are generally considered the cardinal signs of PD. The presence and specific presentation of these features are used to differentiate PD from related parkinsonian disorders. Other clinical features include secondary motor symptoms (eg, hypomimia, dysarthria, dysphagia, sialorrhoea, micrographia, shuffling gait, festination, freezing, dystonia, glabellar reflexes), non-motor symptoms (eg, autonomic dysfunction, cognitive/neurobehavioral abnormalities, sleep disorders and sensory abnormalities such as anosmia, paresthesias and pain). Absence of rest tremor, early occurrence of gait difficulty, postural instability, dementia, hallucinations, and the presence of dysautonomia, ophthalmoparesis, ataxia and other atypical features, coupled with poor or no response to levodopa, suggest diagnoses other than PD.\nCONCLUSIONS: A thorough understanding of the broad spectrum of clinical manifestations of PD is essential to the proper diagnosis of the disease. Genetic mutations or variants, neuroimaging abnormalities and other tests are potential biomarkers that may improve diagnosis and allow the identification of persons at risk.","container-title":"Journal of Neurology, Neurosurgery, and Psychiatry","DOI":"10.1136/jnnp.2007.131045","ISSN":"1468-330X","issue":"4","journalAbbreviation":"J Neurol Neurosurg Psychiatry","language":"eng","note":"PMID: 18344392","page":"368-376","source":"PubMed","title":"Parkinson's disease: clinical features and diagnosis","title-short":"Parkinson's disease","volume":"79","author":[{"family":"Jankovic","given":"J."}],"issued":{"date-parts":[["2008",4]]},"citation-key":"jankovicParkinsonsDiseaseClinical2008"}}],"schema":"https://github.com/citation-style-language/schema/raw/master/csl-citation.json"} </w:instrText>
      </w:r>
      <w:r>
        <w:rPr>
          <w:rFonts w:ascii="Times New Roman" w:eastAsia="맑은 고딕" w:hAnsi="Times New Roman" w:cs="Times New Roman"/>
          <w:lang w:eastAsia="ko-KR"/>
        </w:rPr>
        <w:fldChar w:fldCharType="separate"/>
      </w:r>
      <w:r w:rsidRPr="006E2C1C">
        <w:rPr>
          <w:rFonts w:ascii="Times New Roman" w:hAnsi="Times New Roman" w:cs="Times New Roman"/>
        </w:rPr>
        <w:t>(Jankovic, 2008)</w:t>
      </w:r>
      <w:r>
        <w:rPr>
          <w:rFonts w:ascii="Times New Roman" w:eastAsia="맑은 고딕" w:hAnsi="Times New Roman" w:cs="Times New Roman"/>
          <w:lang w:eastAsia="ko-KR"/>
        </w:rPr>
        <w:fldChar w:fldCharType="end"/>
      </w:r>
      <w:r w:rsidRPr="006E2C1C">
        <w:rPr>
          <w:rFonts w:ascii="Times New Roman" w:eastAsia="맑은 고딕" w:hAnsi="Times New Roman" w:cs="Times New Roman"/>
          <w:lang w:eastAsia="ko-KR"/>
        </w:rPr>
        <w:t xml:space="preserve">. In addition to motor </w:t>
      </w:r>
      <w:r w:rsidRPr="006E2C1C">
        <w:rPr>
          <w:rFonts w:ascii="Times New Roman" w:eastAsia="맑은 고딕" w:hAnsi="Times New Roman" w:cs="Times New Roman"/>
          <w:lang w:eastAsia="ko-KR"/>
        </w:rPr>
        <w:lastRenderedPageBreak/>
        <w:t>impairment, patients often suffer from non-motor symptoms such as cognitive decline, mood disorders, and sleep disturbances, all of which significantly impact quality of life</w:t>
      </w:r>
      <w:r>
        <w:rPr>
          <w:rFonts w:ascii="Times New Roman" w:eastAsia="맑은 고딕" w:hAnsi="Times New Roman" w:cs="Times New Roman" w:hint="eastAsia"/>
          <w:lang w:eastAsia="ko-KR"/>
        </w:rPr>
        <w:t xml:space="preserve"> </w:t>
      </w:r>
      <w:r>
        <w:rPr>
          <w:rFonts w:ascii="Times New Roman" w:eastAsia="맑은 고딕" w:hAnsi="Times New Roman" w:cs="Times New Roman"/>
          <w:lang w:eastAsia="ko-KR"/>
        </w:rPr>
        <w:fldChar w:fldCharType="begin"/>
      </w:r>
      <w:r>
        <w:rPr>
          <w:rFonts w:ascii="Times New Roman" w:eastAsia="맑은 고딕" w:hAnsi="Times New Roman" w:cs="Times New Roman"/>
          <w:lang w:eastAsia="ko-KR"/>
        </w:rPr>
        <w:instrText xml:space="preserve"> ADDIN ZOTERO_ITEM CSL_CITATION {"citationID":"fZVt1GLZ","properties":{"formattedCitation":"(Chaudhuri et al., 2006; Sveinbjornsdottir, 2016)","plainCitation":"(Chaudhuri et al., 2006; Sveinbjornsdottir, 2016)","noteIndex":0},"citationItems":[{"id":1437,"uris":["http://zotero.org/users/10626569/items/3BAJDHP6"],"itemData":{"id":1437,"type":"article-journal","abstract":"The clinical diagnosis of Parkinson's disease rests on the identification of the characteristics related to dopamine deficiency that are a consequence of degeneration of the substantia nigra pars compacta. However, non-dopaminergic and non-motor symptoms are sometimes present before diagnosis and almost inevitably emerge with disease progression. Indeed, non-motor symptoms dominate the clinical picture of advanced Parkinson's disease and contribute to severe disability, impaired quality of life, and shortened life expectancy. By contrast with the dopaminergic symptoms of the disease, for which treatment is available, non-motor symptoms are often poorly recognised and inadequately treated. However, attention is now being focused on the recognition and quantitation of non-motor symptoms, which will form the basis of improved treatments. Some non-motor symptoms, including depression, constipation, pain, genitourinary problems, and sleep disorders, can be improved with available treatments. Other non-motor symptoms can be more refractory and need the introduction of novel non-dopaminergic drugs. Inevitably, the development of treatments that can slow or prevent the progression of Parkinson's disease and its multicentric neurodegeneration provides the best hope of curing non-motor symptoms.","container-title":"The Lancet. Neurology","DOI":"10.1016/S1474-4422(06)70373-8","ISSN":"1474-4422","issue":"3","journalAbbreviation":"Lancet Neurol","language":"eng","note":"PMID: 16488379","page":"235-245","source":"PubMed","title":"Non-motor symptoms of Parkinson's disease: diagnosis and management","title-short":"Non-motor symptoms of Parkinson's disease","volume":"5","author":[{"family":"Chaudhuri","given":"K. Ray"},{"family":"Healy","given":"Daniel G."},{"family":"Schapira","given":"Anthony H. V."},{"literal":"National Institute for Clinical Excellence"}],"issued":{"date-parts":[["2006",3]]},"citation-key":"chaudhuriNonmotorSymptomsParkinsons2006"}},{"id":1427,"uris":["http://zotero.org/users/10626569/items/HCZAST8E"],"itemData":{"id":1427,"type":"article-journal","abstract":"In this review, the clinical features of Parkinson's disease, both motor and non-motor, are described in the context of the progression of the disease. Also briefly discussed are the major treatment strategies and their complications. Parkinson's disease is a slowly progressing neurodegenerative disorder, causing impaired motor function with slow movements, tremor and gait and balance disturbances. A variety of non-motor symptoms are common in Parkinson's disease. They include disturbed autonomic function with orthostatic hypotension, constipation and urinary disturbances, a variety of sleep disorders and a spectrum of neuropsychiatric symptoms. This article describes the different clinical symptoms that may occur and the clinical course of the disease. This article is part of a special issue on Parkinson disease.","container-title":"Journal of Neurochemistry","DOI":"10.1111/jnc.13691","ISSN":"1471-4159","journalAbbreviation":"J Neurochem","language":"eng","note":"PMID: 27401947","page":"318-324","source":"PubMed","title":"The clinical symptoms of Parkinson's disease","volume":"139 Suppl 1","author":[{"family":"Sveinbjornsdottir","given":"Sigurlaug"}],"issued":{"date-parts":[["2016",10]]},"citation-key":"sveinbjornsdottirClinicalSymptomsParkinsons2016"}}],"schema":"https://github.com/citation-style-language/schema/raw/master/csl-citation.json"} </w:instrText>
      </w:r>
      <w:r>
        <w:rPr>
          <w:rFonts w:ascii="Times New Roman" w:eastAsia="맑은 고딕" w:hAnsi="Times New Roman" w:cs="Times New Roman"/>
          <w:lang w:eastAsia="ko-KR"/>
        </w:rPr>
        <w:fldChar w:fldCharType="separate"/>
      </w:r>
      <w:r w:rsidRPr="006E2C1C">
        <w:rPr>
          <w:rFonts w:ascii="Times New Roman" w:hAnsi="Times New Roman" w:cs="Times New Roman"/>
        </w:rPr>
        <w:t>(Chaudhuri et al., 2006; Sveinbjornsdottir, 2016)</w:t>
      </w:r>
      <w:r>
        <w:rPr>
          <w:rFonts w:ascii="Times New Roman" w:eastAsia="맑은 고딕" w:hAnsi="Times New Roman" w:cs="Times New Roman"/>
          <w:lang w:eastAsia="ko-KR"/>
        </w:rPr>
        <w:fldChar w:fldCharType="end"/>
      </w:r>
      <w:r w:rsidRPr="006E2C1C">
        <w:rPr>
          <w:rFonts w:ascii="Times New Roman" w:eastAsia="맑은 고딕" w:hAnsi="Times New Roman" w:cs="Times New Roman"/>
          <w:lang w:eastAsia="ko-KR"/>
        </w:rPr>
        <w:t>. Although aging is a major risk factor, PD arises from a complex interplay of genetic predispositions and environmental exposures</w:t>
      </w:r>
      <w:r>
        <w:rPr>
          <w:rFonts w:ascii="Times New Roman" w:eastAsia="맑은 고딕" w:hAnsi="Times New Roman" w:cs="Times New Roman" w:hint="eastAsia"/>
          <w:lang w:eastAsia="ko-KR"/>
        </w:rPr>
        <w:t xml:space="preserve"> </w:t>
      </w:r>
      <w:r>
        <w:rPr>
          <w:rFonts w:ascii="Times New Roman" w:eastAsia="맑은 고딕" w:hAnsi="Times New Roman" w:cs="Times New Roman"/>
          <w:lang w:eastAsia="ko-KR"/>
        </w:rPr>
        <w:fldChar w:fldCharType="begin"/>
      </w:r>
      <w:r>
        <w:rPr>
          <w:rFonts w:ascii="Times New Roman" w:eastAsia="맑은 고딕" w:hAnsi="Times New Roman" w:cs="Times New Roman"/>
          <w:lang w:eastAsia="ko-KR"/>
        </w:rPr>
        <w:instrText xml:space="preserve"> ADDIN ZOTERO_ITEM CSL_CITATION {"citationID":"g3oiRqxk","properties":{"formattedCitation":"(Kalia &amp; Lang, 2015)","plainCitation":"(Kalia &amp; Lang, 2015)","noteIndex":0},"citationItems":[{"id":1439,"uris":["http://zotero.org/users/10626569/items/FAWB5W6K"],"itemData":{"id":1439,"type":"article-journal","abstract":"Parkinson's disease is a neurological disorder with evolving layers of complexity. It has long been characterised by the classical motor features of parkinsonism associated with Lewy bodies and loss of dopaminergic neurons in the substantia nigra. However, the symptomatology of Parkinson's disease is now recognised as heterogeneous, with clinically significant non-motor features. Similarly, its pathology involves extensive regions of the nervous system, various neurotransmitters, and protein aggregates other than just Lewy bodies. The cause of Parkinson's disease remains unknown, but risk of developing Parkinson's disease is no longer viewed as primarily due to environmental factors. Instead, Parkinson's disease seems to result from a complicated interplay of genetic and environmental factors affecting numerous fundamental cellular processes. The complexity of Parkinson's disease is accompanied by clinical challenges, including an inability to make a definitive diagnosis at the earliest stages of the disease and difficulties in the management of symptoms at later stages. Furthermore, there are no treatments that slow the neurodegenerative process. In this Seminar, we review these complexities and challenges of Parkinson's disease.","container-title":"Lancet (London, England)","DOI":"10.1016/S0140-6736(14)61393-3","ISSN":"1474-547X","issue":"9996","journalAbbreviation":"Lancet","language":"eng","note":"PMID: 25904081","page":"896-912","source":"PubMed","title":"Parkinson's disease","volume":"386","author":[{"family":"Kalia","given":"Lorraine V."},{"family":"Lang","given":"Anthony E."}],"issued":{"date-parts":[["2015",8,29]]},"citation-key":"kaliaParkinsonsDisease2015"}}],"schema":"https://github.com/citation-style-language/schema/raw/master/csl-citation.json"} </w:instrText>
      </w:r>
      <w:r>
        <w:rPr>
          <w:rFonts w:ascii="Times New Roman" w:eastAsia="맑은 고딕" w:hAnsi="Times New Roman" w:cs="Times New Roman"/>
          <w:lang w:eastAsia="ko-KR"/>
        </w:rPr>
        <w:fldChar w:fldCharType="separate"/>
      </w:r>
      <w:r w:rsidRPr="006E2C1C">
        <w:rPr>
          <w:rFonts w:ascii="Times New Roman" w:hAnsi="Times New Roman" w:cs="Times New Roman"/>
        </w:rPr>
        <w:t>(Kalia &amp; Lang, 2015)</w:t>
      </w:r>
      <w:r>
        <w:rPr>
          <w:rFonts w:ascii="Times New Roman" w:eastAsia="맑은 고딕" w:hAnsi="Times New Roman" w:cs="Times New Roman"/>
          <w:lang w:eastAsia="ko-KR"/>
        </w:rPr>
        <w:fldChar w:fldCharType="end"/>
      </w:r>
      <w:r w:rsidRPr="006E2C1C">
        <w:rPr>
          <w:rFonts w:ascii="Times New Roman" w:eastAsia="맑은 고딕" w:hAnsi="Times New Roman" w:cs="Times New Roman"/>
          <w:lang w:eastAsia="ko-KR"/>
        </w:rPr>
        <w:t>. Despite extensive research into its etiology, the molecular mechanisms underlying PD remain only partially understood, and available treatments largely focus on symptom management rather than modifying disease progression</w:t>
      </w:r>
      <w:r>
        <w:rPr>
          <w:rFonts w:ascii="Times New Roman" w:eastAsia="맑은 고딕" w:hAnsi="Times New Roman" w:cs="Times New Roman" w:hint="eastAsia"/>
          <w:lang w:eastAsia="ko-KR"/>
        </w:rPr>
        <w:t xml:space="preserve"> </w:t>
      </w:r>
      <w:r>
        <w:rPr>
          <w:rFonts w:ascii="Times New Roman" w:eastAsia="맑은 고딕" w:hAnsi="Times New Roman" w:cs="Times New Roman"/>
          <w:lang w:eastAsia="ko-KR"/>
        </w:rPr>
        <w:fldChar w:fldCharType="begin"/>
      </w:r>
      <w:r>
        <w:rPr>
          <w:rFonts w:ascii="Times New Roman" w:eastAsia="맑은 고딕" w:hAnsi="Times New Roman" w:cs="Times New Roman"/>
          <w:lang w:eastAsia="ko-KR"/>
        </w:rPr>
        <w:instrText xml:space="preserve"> ADDIN ZOTERO_ITEM CSL_CITATION {"citationID":"c9gDXV6I","properties":{"formattedCitation":"(Poewe et al., 2017)","plainCitation":"(Poewe et al., 2017)","noteIndex":0},"citationItems":[{"id":1441,"uris":["http://zotero.org/users/10626569/items/RG28LY2N"],</w:instrText>
      </w:r>
      <w:r>
        <w:rPr>
          <w:rFonts w:ascii="Times New Roman" w:eastAsia="맑은 고딕" w:hAnsi="Times New Roman" w:cs="Times New Roman" w:hint="eastAsia"/>
          <w:lang w:eastAsia="ko-KR"/>
        </w:rPr>
        <w:instrText xml:space="preserve">"itemData":{"id":1441,"type":"article-journal","abstract":"Parkinson disease is the second-most common neurodegenerative disorder that affects 2-3% of the population </w:instrText>
      </w:r>
      <w:r>
        <w:rPr>
          <w:rFonts w:ascii="Times New Roman" w:eastAsia="맑은 고딕" w:hAnsi="Times New Roman" w:cs="Times New Roman" w:hint="eastAsia"/>
          <w:lang w:eastAsia="ko-KR"/>
        </w:rPr>
        <w:instrText>≥</w:instrText>
      </w:r>
      <w:r>
        <w:rPr>
          <w:rFonts w:ascii="Times New Roman" w:eastAsia="맑은 고딕" w:hAnsi="Times New Roman" w:cs="Times New Roman" w:hint="eastAsia"/>
          <w:lang w:eastAsia="ko-KR"/>
        </w:rPr>
        <w:instrText>65 years of age. Neuronal loss in the substantia nigra, which causes striatal dopamine d</w:instrText>
      </w:r>
      <w:r>
        <w:rPr>
          <w:rFonts w:ascii="Times New Roman" w:eastAsia="맑은 고딕" w:hAnsi="Times New Roman" w:cs="Times New Roman"/>
          <w:lang w:eastAsia="ko-KR"/>
        </w:rPr>
        <w:instrText xml:space="preserve">eficiency, and intracellular inclusions containing aggregates of α-synuclein are the neuropathological hallmarks of Parkinson disease. Multiple other cell types throughout the central and peripheral autonomic nervous system are also involved, probably from early disease onwards. Although clinical diagnosis relies on the presence of bradykinesia and other cardinal motor features, Parkinson disease is associated with many non-motor symptoms that add to overall disability. The underlying molecular pathogenesis involves multiple pathways and mechanisms: α-synuclein proteostasis, mitochondrial function, oxidative stress, calcium homeostasis, axonal transport and neuroinflammation. Recent research into diagnostic biomarkers has taken advantage of neuroimaging in which several modalities, including PET, single-photon emission CT (SPECT) and novel MRI techniques, have been shown to aid early and differential diagnosis. Treatment of Parkinson disease is anchored on pharmacological substitution of striatal dopamine, in addition to non-dopaminergic approaches to address both motor and non-motor symptoms and deep brain stimulation for those developing intractable L-DOPA-related motor complications. Experimental therapies have tried to restore striatal dopamine by gene-based and cell-based approaches, and most recently, aggregation and cellular transport of α-synuclein have become therapeutic targets. One of the greatest current challenges is to identify markers for prodromal disease stages, which would allow novel disease-modifying therapies to be started earlier.","container-title":"Nature Reviews. Disease Primers","DOI":"10.1038/nrdp.2017.13","ISSN":"2056-676X","journalAbbreviation":"Nat Rev Dis Primers","language":"eng","note":"PMID: 28332488","page":"17013","source":"PubMed","title":"Parkinson disease","volume":"3","author":[{"family":"Poewe","given":"Werner"},{"family":"Seppi","given":"Klaus"},{"family":"Tanner","given":"Caroline M."},{"family":"Halliday","given":"Glenda M."},{"family":"Brundin","given":"Patrik"},{"family":"Volkmann","given":"Jens"},{"family":"Schrag","given":"Anette-Eleonore"},{"family":"Lang","given":"Anthony E."}],"issued":{"date-parts":[["2017",3,23]]},"citation-key":"poeweParkinsonDisease2017"}}],"schema":"https://github.com/citation-style-language/schema/raw/master/csl-citation.json"} </w:instrText>
      </w:r>
      <w:r>
        <w:rPr>
          <w:rFonts w:ascii="Times New Roman" w:eastAsia="맑은 고딕" w:hAnsi="Times New Roman" w:cs="Times New Roman"/>
          <w:lang w:eastAsia="ko-KR"/>
        </w:rPr>
        <w:fldChar w:fldCharType="separate"/>
      </w:r>
      <w:r w:rsidRPr="006E2C1C">
        <w:rPr>
          <w:rFonts w:ascii="Times New Roman" w:hAnsi="Times New Roman" w:cs="Times New Roman"/>
        </w:rPr>
        <w:t>(Poewe et al., 2017)</w:t>
      </w:r>
      <w:r>
        <w:rPr>
          <w:rFonts w:ascii="Times New Roman" w:eastAsia="맑은 고딕" w:hAnsi="Times New Roman" w:cs="Times New Roman"/>
          <w:lang w:eastAsia="ko-KR"/>
        </w:rPr>
        <w:fldChar w:fldCharType="end"/>
      </w:r>
      <w:r w:rsidRPr="006E2C1C">
        <w:rPr>
          <w:rFonts w:ascii="Times New Roman" w:eastAsia="맑은 고딕" w:hAnsi="Times New Roman" w:cs="Times New Roman"/>
          <w:lang w:eastAsia="ko-KR"/>
        </w:rPr>
        <w:t>.</w:t>
      </w:r>
    </w:p>
    <w:p w14:paraId="16D1C237" w14:textId="37993C0C" w:rsidR="00A65407" w:rsidRPr="00A65407" w:rsidRDefault="00A65407" w:rsidP="00A65407">
      <w:pPr>
        <w:spacing w:line="360" w:lineRule="auto"/>
        <w:rPr>
          <w:rFonts w:ascii="Times New Roman" w:hAnsi="Times New Roman" w:cs="Times New Roman"/>
        </w:rPr>
      </w:pPr>
      <w:r w:rsidRPr="00A65407">
        <w:rPr>
          <w:rFonts w:ascii="Times New Roman" w:hAnsi="Times New Roman" w:cs="Times New Roman"/>
        </w:rPr>
        <w:t xml:space="preserve">Among emerging themes in PD research is the recognition of neuroinflammation as a key pathological process. Inflammatory responses involving microglia, astrocytes, and pro-inflammatory cytokines have been observed in both human PD brains and experimental animal models </w:t>
      </w:r>
      <w:r>
        <w:rPr>
          <w:rFonts w:ascii="Times New Roman" w:hAnsi="Times New Roman" w:cs="Times New Roman"/>
        </w:rPr>
        <w:fldChar w:fldCharType="begin"/>
      </w:r>
      <w:r>
        <w:rPr>
          <w:rFonts w:ascii="Times New Roman" w:hAnsi="Times New Roman" w:cs="Times New Roman"/>
        </w:rPr>
        <w:instrText xml:space="preserve"> ADDIN ZOTERO_ITEM CSL_CITATION {"citationID":"FcrwKfKt","properties":{"formattedCitation":"(Halliday &amp; Stevens, 2011; Hirsch &amp; Hunot, 2009; Tansey &amp; Goldberg, 2010)","plainCitation":"(Halliday &amp; Stevens, 2011; Hirsch &amp; Hunot, 2009; Tansey &amp; Goldberg, 2010)","noteIndex":0},"citationItems":[{"id":1449,"uris":["http://zotero.org/users/10626569/items/KVAQCVWG"],"itemData":{"id":1449,"type":"article-journal","abstract":"BACKGROUND: Glia are traditionally known as support cells for neurons, and their role in neurodegeneration has been largely considered secondary to neuronal dysfunction. We review newer concepts on glial function and assess glial changes in Parkinson's disease (PD) at the time of disease initiation when α-synuclein is accumulating in brain tissue but there is limited neuronal loss, and also as the disease progresses and neuronal loss is evident.\nRESULTS: Of the two main types of astrocytes, only protoplasmic astrocytes are involved in PD, where they become nonreactive and accumulate α-synuclein. Experimental evidence has shown that astrocytic α-synuclein deposition initiates the noncell autonomous killing of neurons through microglial signaling. As the disease progresses, more protoplasmic astrocytes are affected by the disease with an increasing microglial response. Although there is still controversy on the role microglia play in neurodegeneration, there is evidence that microglia are activated early in PD and possibly assist with the clearance of extracellular α-synuclein at this time. Microglia transform to phagocytes and target neurons as the disease progresses but appear to become dysfunctional with increasing amounts of ingested debris. Only nonmyelinating oligodendroglial cells are affected in PD, and only late in the disease process.\nCONCLUSIONS: Glial cells are responsible for the progression of PD and play an important role in initiating the early tissue response. In particular, early dysfunction and α-synuclein accumulation in astrocytes causes recruitment of phagocytic microglia that attack selected neurons in restricted brain regions causing the clinical symptoms of PD.","container-title":"Movement Disorders: Official Journal of the Movement Disorder Society","DOI":"10.1002/mds.23455","ISSN":"1531-8257","issue":"1","journalAbbreviation":"Mov Disord","language":"eng","note":"PMID: 21322014","page":"6-17","source":"PubMed","title":"Glia: initiators and progressors of pathology in Parkinson's disease","title-short":"Glia","volume":"26","author":[{"family":"Halliday","given":"Glenda M."},{"family":"Stevens","given":"Claire H."}],"issued":{"date-parts":[["2011",1]]},"citation-key":"hallidayGliaInitiatorsProgressors2011"}},{"id":1443,"uris":["http://zotero.org/users/10626569/items/H2URSUGV"],"itemData":{"id":1443,"type":"article-journal","abstract":"Parkinson's disease is characterised by a slow and progressive degeneration of dopaminergic neurons in the substantia nigra. Despite intensive research, the cause of the neuronal loss in Parkinson's disease is poorly understood. Neuroinflammatory mechanisms might contribute to the cascade of events leading to neuronal degeneration. In this Review, we describe the evidence for neuroinflammatory processes from post-mortem and in vivo studies in Parkinson's disease. We further identify the cellular and molecular events associated with neuroinflammation that are involved in the degeneration of dopaminergic neurons in animal models of the disease. Overall, available data support the importance of non-cell-autonomous pathological mechanisms in Parkinson's disease, which are mostly mediated by activated glial and peripheral immune cells. This cellular response to neurodegeneration triggers deleterious events (eg, oxidative stress and cytokine-receptor-mediated apoptosis), which might eventually lead to dopaminergic cell death and hence disease progression. Finally, we highlight possible therapeutic strategies (including immunomodulatory drugs and therapeutic immunisation) aimed at downregulating these inflammatory processes that might be important to slow the progression of Parkinson's disease.","container-title":"The Lancet. Neurology","DOI":"10.1016/S1474-4422(09)70062-6","ISSN":"1474-4422","issue":"4","journalAbbreviation":"Lancet Neurol","language":"eng","note":"PMID: 19296921","page":"382-397","source":"PubMed","title":"Neuroinflammation in Parkinson's disease: a target for neuroprotection?","title-short":"Neuroinflammation in Parkinson's disease","volume":"8","author":[{"family":"Hirsch","given":"Etienne C."},{"family":"Hunot","given":"Stéphane"}],"issued":{"date-parts":[["2009",4]]},"citation-key":"hirschNeuroinflammationParkinsonsDisease2009"}},{"id":1446,"uris":["http://zotero.org/users/10626569/items/FKMTIVJ2"],"itemData":{"id":1446,"type":"article-journal","abstract":"Parkinson's disease (PD) is the second most common neurodegenerative disease, after Alzheimer's disease. The potential causes of PD remain uncertain, but recent studies suggest neuroinflammation and microglia activation play important roles in PD pathogenesis. Major unanswered questions include whether protein aggregates cause the selective loss of dopaminergic neurons in the substantia nigra that underlies the clinical symptoms and whether neuroinflammation is a consequence or a cause of nigral cell loss. Within the microenvironment of the brain, glial cells play a critical role in homeostatic mechanisms that promote neuronal survival. Microglia have a specialized immune surveillance role and mediate innate immune responses to invading pathogens by secreting a myriad of factors that include, cytokines, chemokines, prostaglandins, reactive oxygen and nitrogen species, and growth factors. Some of these factors have neuroprotective and trophic activities and aid in brain repair processes; while others enhance oxidative stress and trigger apoptotic cascades in neurons. Therefore, pro- and anti-inflammatory responses must be in balance to prevent the potential detrimental effects of prolonged or unregulated inflammation-induced oxidative stress on vulnerable neuronal populations. In this review, we discuss potential triggers of neuroinflammation and review the strongest direct evidence that chronic neuroinflammation may have a more important role to play in PD versus other neurodegenerative diseases. Alternatively, we propose that genetic deficiency is not the only way to reduce protective factors in the brain which may function to keep microglial responses in check or regulate the sensitivity of DA neurons. If chronic inflammation can be shown to decrease the levels of neuroprotective factors in the midbrain, in essence genetic haploinsufficiency of protective factors such as Parkin or RGS10 may result from purely environmental triggers (aging, chronic systemic disease, etc.), increasing the vulnerability to inflammation-induced nigral DA neuron death and predisposing an individual to development of PD. Lastly, we review the latest epidemiological and experimental evidence supporting the potential use of anti-inflammatory and immunomodulatory drugs as neuroprotective agents to delay the progressive nigrostriatal degeneration that leads to motor dysfunction in PD.","container-title":"Neurobiology of Disease","DOI":"10.1016/j.nbd.2009.11.004","ISSN":"1095-953X","issue":"3","journalAbbreviation":"Neurobiol Dis","language":"eng","note":"PMID: 19913097\nPMCID: PMC2823829","page":"510-518","source":"PubMed","title":"Neuroinflammation in Parkinson's disease: its role in neuronal death and implications for therapeutic intervention","title-short":"Neuroinflammation in Parkinson's disease","volume":"37","author":[{"family":"Tansey","given":"Malú G."},{"family":"Goldberg","given":"Matthew S."}],"issued":{"date-parts":[["2010",3]]},"citation-key":"tanseyNeuroinflammationParkinsonsDisease2010"}}],"schema":"https://github.com/citation-style-language/schema/raw/master/csl-citation.json"} </w:instrText>
      </w:r>
      <w:r>
        <w:rPr>
          <w:rFonts w:ascii="Times New Roman" w:hAnsi="Times New Roman" w:cs="Times New Roman"/>
        </w:rPr>
        <w:fldChar w:fldCharType="separate"/>
      </w:r>
      <w:r w:rsidRPr="00A65407">
        <w:rPr>
          <w:rFonts w:ascii="Times New Roman" w:hAnsi="Times New Roman" w:cs="Times New Roman"/>
        </w:rPr>
        <w:t>(Halliday &amp; Stevens, 2011; Hirsch &amp; Hunot, 2009; Tansey &amp; Goldberg, 2010)</w:t>
      </w:r>
      <w:r>
        <w:rPr>
          <w:rFonts w:ascii="Times New Roman" w:hAnsi="Times New Roman" w:cs="Times New Roman"/>
        </w:rPr>
        <w:fldChar w:fldCharType="end"/>
      </w:r>
      <w:r w:rsidRPr="00A65407">
        <w:rPr>
          <w:rFonts w:ascii="Times New Roman" w:hAnsi="Times New Roman" w:cs="Times New Roman"/>
        </w:rPr>
        <w:t xml:space="preserve">. These immune-like processes are thought to contribute to neuronal vulnerability and degeneration, particularly in dopaminergic populations </w:t>
      </w:r>
      <w:r>
        <w:rPr>
          <w:rFonts w:ascii="Times New Roman" w:hAnsi="Times New Roman" w:cs="Times New Roman"/>
        </w:rPr>
        <w:fldChar w:fldCharType="begin"/>
      </w:r>
      <w:r>
        <w:rPr>
          <w:rFonts w:ascii="Times New Roman" w:hAnsi="Times New Roman" w:cs="Times New Roman"/>
        </w:rPr>
        <w:instrText xml:space="preserve"> ADDIN ZOTERO_ITEM CSL_CITATION {"citationID":"RZGGK0l8","properties":{"formattedCitation":"(Gao &amp; Hong, 2008; McGeer &amp; McGeer, 2004)","plainCitation":"(Gao &amp; Hong, 2008; McGeer &amp; McGeer, 2004)","noteIndex":0},"citationItems":[{"id":1451,"uris":["http://zotero.org/users/10626569/items/T56R7XV2"],"itemData":{"id":1451,"type":"article-journal","abstract":"Neurodegenerative diseases are a group of chronic, progressive disorders characterized by the gradual loss of neurons in discrete areas of the central nervous system (CNS). The mechanism(s) underlying their progressive nature remains unknown but a timely and well-controlled inflammatory reaction is essential for the integrity and proper function of the CNS. Substantial evidence has documented a common inflammatory mechanism in various neurodegenerative diseases. We hypothesize that in the diseased CNS, interactions between damaged neurons and dysregulated, overactivated microglia create a vicious self-propagating cycle causing uncontrolled, prolonged inflammation that drives the chronic progression of neurodegenerative diseases. We further propose that dynamic modulation of this inflammatory reaction by interrupting the vicious cycle might become a disease-modifying therapeutic strategy for neurodegenerative diseases.","container-title":"Trends in Immunology","DOI":"10.1016/j.it.2008.05.002","ISSN":"1471-4906","issue":"8","journalAbbreviation":"Trends Immunol","language":"eng","note":"PMID: 18599350\nPMCID: PMC4794280","page":"357-365","source":"PubMed","title":"Why neurodegenerative diseases are progressive: uncontrolled inflammation drives disease progression","title-short":"Why neurodegenerative diseases are progressive","volume":"29","author":[{"family":"Gao","given":"Hui-Ming"},{"family":"Hong","given":"Jau-Shyong"}],"issued":{"date-parts":[["2008",8]]},"citation-key":"gaoWhyNeurodegenerativeDiseases2008"}},{"id":1454,"uris":["http://zotero.org/users/10626569/items/RK54GHY3"],"itemData":{"id":1454,"type":"article-journal","abstract":"The immunohistochemical demonstration of reactive microglia and activated complement components suggests that chronic inflammation occurs in affected brain regions in Parkinson's disease (PD). Evidence from humans and monkeys exposed to MPTP indicates this inflammation may persist many years after the initial stimulus has disappeared. Chronic inflammation can damage host cells. Reports in the literature indicate that antiinflammatory agents inhibit dopaminergic cell death in animal models of PD, and there is one epidemiological report that their use significantly diminishes the risk of PD in humans. There is a marked elevation in the mRNA levels for complement proteins and markers of activated microglia in affected regions in PD. The upregulation appears greater than that found in inflamed arthritic joints. These data support the hypothesis that chronic inflammation may play an important role, if secondary, in the pathogenesis of PD.","container-title":"Parkinsonism &amp; Related Disorders","DOI":"10.1016/j.parkreldis.2004.01.005","ISSN":"1353-8020","journalAbbreviation":"Parkinsonism Relat Disord","language":"eng","note":"PMID: 15109580","page":"S3-7","source":"PubMed","title":"Inflammation and neurodegeneration in Parkinson's disease","volume":"10 Suppl 1","author":[{"family":"McGeer","given":"Patrick L."},{"family":"McGeer","given":"Edith G."}],"issued":{"date-parts":[["2004",5]]},"citation-key":"mcgeerInflammationNeurodegenerationParkinsons2004"}}],"schema":"https://github.com/citation-style-language/schema/raw/master/csl-citation.json"} </w:instrText>
      </w:r>
      <w:r>
        <w:rPr>
          <w:rFonts w:ascii="Times New Roman" w:hAnsi="Times New Roman" w:cs="Times New Roman"/>
        </w:rPr>
        <w:fldChar w:fldCharType="separate"/>
      </w:r>
      <w:r w:rsidRPr="00A65407">
        <w:rPr>
          <w:rFonts w:ascii="Times New Roman" w:hAnsi="Times New Roman" w:cs="Times New Roman"/>
        </w:rPr>
        <w:t>(Gao &amp; Hong, 2008; McGeer &amp; McGeer, 2004)</w:t>
      </w:r>
      <w:r>
        <w:rPr>
          <w:rFonts w:ascii="Times New Roman" w:hAnsi="Times New Roman" w:cs="Times New Roman"/>
        </w:rPr>
        <w:fldChar w:fldCharType="end"/>
      </w:r>
      <w:r w:rsidRPr="00A65407">
        <w:rPr>
          <w:rFonts w:ascii="Times New Roman" w:hAnsi="Times New Roman" w:cs="Times New Roman"/>
        </w:rPr>
        <w:t xml:space="preserve">. However, traditional transcriptomic approaches such as bulk RNA-seq and even single-cell RNA-seq are limited in their ability to capture the spatial context in which inflammatory and neuronal interactions occur </w:t>
      </w:r>
      <w:r>
        <w:rPr>
          <w:rFonts w:ascii="Times New Roman" w:hAnsi="Times New Roman" w:cs="Times New Roman"/>
        </w:rPr>
        <w:fldChar w:fldCharType="begin"/>
      </w:r>
      <w:r>
        <w:rPr>
          <w:rFonts w:ascii="Times New Roman" w:hAnsi="Times New Roman" w:cs="Times New Roman"/>
        </w:rPr>
        <w:instrText xml:space="preserve"> ADDIN ZOTERO_ITEM CSL_CITATION {"citationID":"q6mQRMYv","properties":{"formattedCitation":"(Burgess, 2019; Marx, 2021)","plainCitation":"(Burgess, 2019; Marx, 2021)","noteIndex":0},"citationItems":[{"id":1458,"uris":["http://zotero.org/users/10626569/items/QJGNF3B6"],"itemData":{"id":1458,"type":"article-journal","abstract":"Two new spatial transcriptomics techniques published in Nature and Science bring us an important step closer to the goal of achieving transcriptome-wide data at single-cell resolution.","container-title":"Nature Reviews Genetics","DOI":"10.1038/s41576-019-0129-z","ISSN":"1471-0064","issue":"6","journalAbbreviation":"Nat Rev Genet","language":"en","license":"2019 Springer Nature Limited","note":"publisher: Nature Publishing Group","page":"317-317","source":"www.nature.com","title":"Spatial transcriptomics coming of age","volume":"20","author":[{"family":"Burgess","given":"Darren J."}],"issued":{"date-parts":[["2019",6]]},"citation-key":"burgessSpatialTranscriptomicsComing2019"}},{"id":1456,"uris":["http://zotero.org/users/10626569/items/8SHU4GQV"],"itemData":{"id":1456,"type":"article-journal","abstract":"Nature Methods has crowned spatially resolved transcriptomics Method of the Year 2020.","container-title":"Nature Methods","DOI":"10.1038/s41592-020-01033-y","ISSN":"1548-7105","issue":"1","journalAbbreviation":"Nat Methods","language":"en","license":"2021 Springer Nature America, Inc.","note":"publisher: Nature Publishing Group","page":"9-14","source":"www.nature.com","title":"Method of the Year: spatially resolved transcriptomics","title-short":"Method of the Year","volume":"18","author":[{"family":"Marx","given":"Vivien"}],"issued":{"date-parts":[["2021",1]]},"citation-key":"marxMethodYearSpatially2021"}}],"schema":"https://github.com/citation-style-language/schema/raw/master/csl-citation.json"} </w:instrText>
      </w:r>
      <w:r>
        <w:rPr>
          <w:rFonts w:ascii="Times New Roman" w:hAnsi="Times New Roman" w:cs="Times New Roman"/>
        </w:rPr>
        <w:fldChar w:fldCharType="separate"/>
      </w:r>
      <w:r w:rsidRPr="00A65407">
        <w:rPr>
          <w:rFonts w:ascii="Times New Roman" w:hAnsi="Times New Roman" w:cs="Times New Roman"/>
        </w:rPr>
        <w:t>(Burgess, 2019; Marx, 2021)</w:t>
      </w:r>
      <w:r>
        <w:rPr>
          <w:rFonts w:ascii="Times New Roman" w:hAnsi="Times New Roman" w:cs="Times New Roman"/>
        </w:rPr>
        <w:fldChar w:fldCharType="end"/>
      </w:r>
      <w:r w:rsidRPr="00A65407">
        <w:rPr>
          <w:rFonts w:ascii="Times New Roman" w:hAnsi="Times New Roman" w:cs="Times New Roman"/>
        </w:rPr>
        <w:t>.</w:t>
      </w:r>
    </w:p>
    <w:p w14:paraId="58851092" w14:textId="0585FA0C" w:rsidR="00A65407" w:rsidRDefault="00A65407" w:rsidP="00EB5C8B">
      <w:pPr>
        <w:spacing w:line="360" w:lineRule="auto"/>
        <w:rPr>
          <w:rFonts w:ascii="Times New Roman" w:eastAsia="맑은 고딕" w:hAnsi="Times New Roman" w:cs="Times New Roman"/>
          <w:lang w:eastAsia="ko-KR"/>
        </w:rPr>
      </w:pPr>
      <w:r w:rsidRPr="00A65407">
        <w:rPr>
          <w:rFonts w:ascii="Times New Roman" w:hAnsi="Times New Roman" w:cs="Times New Roman"/>
        </w:rPr>
        <w:t xml:space="preserve">Recent advances in spatial transcriptomics now enable the simultaneous measurement of gene expression and cellular localization, allowing researchers to investigate molecular interactions directly within tissue architecture. One such technology, MERFISH (Multiplexed Error-Robust Fluorescence In Situ Hybridization), offers single-cell resolution imaging of hundreds to thousands of transcripts, preserving spatial information across intact tissue sections </w:t>
      </w:r>
      <w:r>
        <w:rPr>
          <w:rFonts w:ascii="Times New Roman" w:hAnsi="Times New Roman" w:cs="Times New Roman"/>
        </w:rPr>
        <w:fldChar w:fldCharType="begin"/>
      </w:r>
      <w:r>
        <w:rPr>
          <w:rFonts w:ascii="Times New Roman" w:hAnsi="Times New Roman" w:cs="Times New Roman"/>
        </w:rPr>
        <w:instrText xml:space="preserve"> ADDIN ZOTERO_ITEM CSL_CITATION {"citationID":"goipkUbB","properties":{"formattedCitation":"(Chen et al., 2015)","plainCitation":"(Chen et al., 2015)","noteIndex":0},"citationItems":[{"id":1431,"uris":["http://zotero.org/users/10626569/items/CT2DZ9IJ"],"itemData":{"id":1431,"type":"article-journal","abstract":"Knowledge of the expression profile and spatial landscape of the transcriptome in individual cells is essential for understanding the rich repertoire of cellular behaviors. Here, we report multiplexed error-robust fluorescence in situ hybridization (MERFISH), a single-molecule imaging approach that allows the copy numbers and spatial localizations of thousands of RNA species to be determined in single cells. Using error-robust encoding schemes to combat single-molecule labeling and detection errors, we demonstrated the imaging of 100 to 1000 distinct RNA species in hundreds of individual cells. Correlation analysis of the ~104 to 106 pairs of genes allowed us to constrain gene regulatory networks, predict novel functions for many unannotated genes, and identify distinct spatial distribution patterns of RNAs that correlate with properties of the encoded proteins.","container-title":"Science","DOI":"10.1126/science.aaa6090","issue":"6233","note":"publisher: American Association for the Advancement of Science","page":"aaa6090","source":"science.org (Atypon)","title":"Spatially resolved, highly multiplexed RNA profiling in single cells","volume":"348","author":[{"family":"Chen","given":"Kok Hao"},{"family":"Boettiger","given":"Alistair N."},{"family":"Moffitt","given":"Jeffrey R."},{"family":"Wang","given":"Siyuan"},{"family":"Zhuang","given":"Xiaowei"}],"issued":{"date-parts":[["2015",4,24]]},"citation-key":"chenSpatiallyResolvedHighly2015"}}],"schema":"https://github.com/citation-style-language/schema/raw/master/csl-citation.json"} </w:instrText>
      </w:r>
      <w:r>
        <w:rPr>
          <w:rFonts w:ascii="Times New Roman" w:hAnsi="Times New Roman" w:cs="Times New Roman"/>
        </w:rPr>
        <w:fldChar w:fldCharType="separate"/>
      </w:r>
      <w:r w:rsidRPr="00A65407">
        <w:rPr>
          <w:rFonts w:ascii="Times New Roman" w:hAnsi="Times New Roman" w:cs="Times New Roman"/>
        </w:rPr>
        <w:t>(Chen et al., 2015)</w:t>
      </w:r>
      <w:r>
        <w:rPr>
          <w:rFonts w:ascii="Times New Roman" w:hAnsi="Times New Roman" w:cs="Times New Roman"/>
        </w:rPr>
        <w:fldChar w:fldCharType="end"/>
      </w:r>
      <w:r w:rsidRPr="00A65407">
        <w:rPr>
          <w:rFonts w:ascii="Times New Roman" w:hAnsi="Times New Roman" w:cs="Times New Roman"/>
        </w:rPr>
        <w:t xml:space="preserve">. MERFISH has been shown to be highly scalable and accurate in profiling transcriptomes at subcellular resolution, making it a powerful tool for studying spatial gene regulation in the nervous system </w:t>
      </w:r>
      <w:r>
        <w:rPr>
          <w:rFonts w:ascii="Times New Roman" w:hAnsi="Times New Roman" w:cs="Times New Roman"/>
        </w:rPr>
        <w:fldChar w:fldCharType="begin"/>
      </w:r>
      <w:r>
        <w:rPr>
          <w:rFonts w:ascii="Times New Roman" w:hAnsi="Times New Roman" w:cs="Times New Roman"/>
        </w:rPr>
        <w:instrText xml:space="preserve"> ADDIN ZOTERO_ITEM CSL_CITATION {"citationID":"iKD7aaLs","properties":{"formattedCitation":"(Moffitt et al., 2016; Zhang et al., 2021)","plainCitation":"(Moffitt et al., 2016; Zhang et al., 2021)","noteIndex":0},"citationItems":[{"id":1459,"uris":["http://zotero.org/users/10626569/items/YLPUS9GB"],"itemData":{"id":1459,"type":"article-journal","abstract":"Image-based approaches to single-cell transcriptomics, in which RNA species are identified and counted in situ via imaging, have emerged as a powerful complement to single-cell methods based on RNA sequencing of dissociated cells. These image-based approaches naturally preserve the native spatial context of RNAs within a cell and the organization of cells within tissue, which are important for addressing many biological questions. However, the throughput of these image-based approaches is relatively low. Here we report advances that lead to a drastic increase in the measurement throughput of multiplexed error-robust fluorescence in situ hybridization (MERFISH), an image-based approach to single-cell transcriptomics. In MERFISH, RNAs are identified via a combinatorial labeling approach that encodes RNA species with error-robust barcodes followed by sequential rounds of single-molecule fluorescence in situ hybridization (smFISH) to read out these barcodes. Here we increase the throughput of MERFISH by two orders of magnitude through a combination of improvements, including using chemical cleavage instead of photobleaching to remove fluorescent signals between consecutive rounds of smFISH imaging, increasing the imaging field of view, and using multicolor imaging. With these improvements, we performed RNA profiling in more than 100,000 human cells, with as many as 40,000 cells measured in a single 18-h measurement. This throughput should substantially extend the range of biological questions that can be addressed by MERFISH.","container-title":"Proceedings of the National Academy of Sciences of the United States of America","DOI":"10.1073/pnas.1612826113","ISSN":"1091-6490","issue":"39","journalAbbreviation":"Proc Natl Acad Sci U S A","language":"eng","note":"PMID: 27625426\nPMCID: PMC5047202","page":"11046-11051","source":"PubMed","title":"High-throughput single-cell gene-expression profiling with multiplexed error-robust fluorescence in situ hybridization","volume":"113","author":[{"family":"Moffitt","given":"Jeffrey R."},{"family":"Hao","given":"Junjie"},{"family":"Wang","given":"Guiping"},{"family":"Chen","given":"Kok Hao"},{"family":"Babcock","given":"Hazen P."},{"family":"Zhuang","given":"Xiaowei"}],"issued":{"date-parts":[["2016",9,27]]},"citation-key":"moffittHighthroughputSinglecellGeneexpression2016"}},{"id":1461,"uris":["http://zotero.org/users/10626569/items/X2PQXIG8"],"itemData":{"id":1461,"type":"article-journal","abstract":"A mammalian brain is composed of numerous cell types organized in an intricate manner to form functional neural circuits. Single-cell RNA sequencing allows systematic identification of cell types based on their gene expression profiles and has revealed many distinct cell populations in the brain1,2. Single-cell epigenomic profiling3,4 further provides information on gene-regulatory signatures of different cell types. Understanding how different cell types contribute to brain function, however, requires knowledge of their spatial organization and connectivity, which is not preserved in sequencing-based methods that involve cell dissociation. Here we used a single-cell transcriptome-imaging method, multiplexed error-robust fluorescence in situ hybridization (MERFISH)5, to generate a molecularly defined and spatially resolved cell atlas of the mouse primary motor cortex. We profiled approximately 300,000 cells in the mouse primary motor cortex and its adjacent areas, identified 95 neuronal and non-neuronal cell clusters, and revealed a complex spatial map in which not only excitatory but also most inhibitory neuronal clusters adopted laminar organizations. Intratelencephalic neurons formed a largely continuous gradient along the cortical depth axis, in which the gene expression of individual cells correlated with their cortical depths. Furthermore, we integrated MERFISH with retrograde labelling to probe projection targets of neurons of the mouse primary motor cortex and found that their cortical projections formed a complex network in which individual neuronal clusters project to multiple target regions and individual target regions receive inputs from multiple neuronal clusters.","container-title":"Nature","DOI":"10.1038/s41586-021-03705-x","ISSN":"1476-4687","issue":"7879","language":"en","license":"2021 The Author(s)","note":"publisher: Nature Publishing Group","page":"137-143","source":"www.nature.com","title":"Spatially resolved cell atlas of the mouse primary motor cortex by MERFISH","volume":"598","author":[{"family":"Zhang","given":"Meng"},{"family":"Eichhorn","given":"Stephen W."},{"family":"Zingg","given":"Brian"},{"family":"Yao","given":"Zizhen"},{"family":"Cotter","given":"Kaelan"},{"family":"Zeng","given":"Hongkui"},{"family":"Dong","given":"Hongwei"},{"family":"Zhuang","given":"Xiaowei"}],"issued":{"date-parts":[["2021",10]]},"citation-key":"zhangSpatiallyResolvedCell2021"}}],"schema":"https://github.com/citation-style-language/schema/raw/master/csl-citation.json"} </w:instrText>
      </w:r>
      <w:r>
        <w:rPr>
          <w:rFonts w:ascii="Times New Roman" w:hAnsi="Times New Roman" w:cs="Times New Roman"/>
        </w:rPr>
        <w:fldChar w:fldCharType="separate"/>
      </w:r>
      <w:r w:rsidRPr="00A65407">
        <w:rPr>
          <w:rFonts w:ascii="Times New Roman" w:hAnsi="Times New Roman" w:cs="Times New Roman"/>
        </w:rPr>
        <w:t>(Moffitt et al., 2016; Zhang et al., 2021)</w:t>
      </w:r>
      <w:r>
        <w:rPr>
          <w:rFonts w:ascii="Times New Roman" w:hAnsi="Times New Roman" w:cs="Times New Roman"/>
        </w:rPr>
        <w:fldChar w:fldCharType="end"/>
      </w:r>
      <w:r w:rsidRPr="00A65407">
        <w:rPr>
          <w:rFonts w:ascii="Times New Roman" w:hAnsi="Times New Roman" w:cs="Times New Roman"/>
        </w:rPr>
        <w:t>. These technologies are revolutionizing how we study the spatial organization of tissues, especially in the brain, where cellular heterogeneity and organization are critical for function. This innovation opens the door to exploring how disease-related genes and cell types are spatially organized within brain microenvironments, providing crucial insights into PD pathophysiology.</w:t>
      </w:r>
    </w:p>
    <w:p w14:paraId="4144C793" w14:textId="303ABD83" w:rsidR="00842C2F" w:rsidRDefault="00842C2F" w:rsidP="00EB5C8B">
      <w:pPr>
        <w:spacing w:line="360" w:lineRule="auto"/>
        <w:rPr>
          <w:rFonts w:ascii="Times New Roman" w:eastAsia="맑은 고딕" w:hAnsi="Times New Roman" w:cs="Times New Roman"/>
          <w:lang w:eastAsia="ko-KR"/>
        </w:rPr>
      </w:pPr>
      <w:r w:rsidRPr="00842C2F">
        <w:rPr>
          <w:rFonts w:ascii="Times New Roman" w:hAnsi="Times New Roman" w:cs="Times New Roman"/>
        </w:rPr>
        <w:t>In this study, we use MERFISH-based spatial transcriptomics data from healthy mouse brains to explore the spatial organization of PD-related genes and neuroinflammatory markers. We analyze spatial proximity and co-enrichment among dopaminergic, astrocytic, vascular, and immune cells, alongside cells expressing high levels of PD or inflammation-associated genes.</w:t>
      </w:r>
    </w:p>
    <w:p w14:paraId="7A218EAC" w14:textId="7771C060" w:rsidR="00A65407" w:rsidRPr="00A65407" w:rsidRDefault="00A65407" w:rsidP="00A65407">
      <w:pPr>
        <w:spacing w:line="360" w:lineRule="auto"/>
        <w:rPr>
          <w:rFonts w:ascii="Times New Roman" w:eastAsia="맑은 고딕" w:hAnsi="Times New Roman" w:cs="Times New Roman"/>
          <w:lang w:eastAsia="ko-KR"/>
        </w:rPr>
      </w:pPr>
      <w:r w:rsidRPr="00A65407">
        <w:rPr>
          <w:rFonts w:ascii="Times New Roman" w:eastAsia="맑은 고딕" w:hAnsi="Times New Roman" w:cs="Times New Roman"/>
          <w:lang w:eastAsia="ko-KR"/>
        </w:rPr>
        <w:t xml:space="preserve">We selected seven genes of interest based on their relevance to PD and neuroinflammation. Th (tyrosine hydroxylase) and Slc6a3 (dopamine transporter, DAT) are canonical markers for dopamine synthesis and reuptake in dopaminergic neurons </w:t>
      </w:r>
      <w:r w:rsidR="00962C22">
        <w:rPr>
          <w:rFonts w:ascii="Times New Roman" w:eastAsia="맑은 고딕" w:hAnsi="Times New Roman" w:cs="Times New Roman"/>
          <w:lang w:eastAsia="ko-KR"/>
        </w:rPr>
        <w:fldChar w:fldCharType="begin"/>
      </w:r>
      <w:r w:rsidR="00962C22">
        <w:rPr>
          <w:rFonts w:ascii="Times New Roman" w:eastAsia="맑은 고딕" w:hAnsi="Times New Roman" w:cs="Times New Roman"/>
          <w:lang w:eastAsia="ko-KR"/>
        </w:rPr>
        <w:instrText xml:space="preserve"> ADDIN ZOTERO_ITEM CSL_CITATION {"citationID":"0VlfWZ9s","properties":{"formattedCitation":"(Gainetdinov &amp; Caron, 2003; Nagatsu et al., 1964)","plainCitation":"(Gainetdinov &amp; Caron, 2003; Nagatsu et al., 1964)","noteIndex":0},"citationItems":[{"id":1466,"uris":["http://zotero.org/users/10626569/items/4YF22TES"],"itemData":{"id":1466,"type":"article-journal","abstract":"Modulation of fast neurotransmission by monoamines is critically involved in numerous physiological functions and pathological conditions. Plasma membrane monoamine transporters provide one of the most efficient mechanisms controlling functional extracellular monoamine concentrations. These transporters for dopamine (DAT), serotonin (SERT), and norepinephrine (NET), which are expressed selectively on the corresponding neurons, are established targets of many psychostimulants, antidepressants, and neurotoxins. Recently, genetic animal models with targeted disruption of these transporters have become available. These mice have provided opportunities to investigate the functional importance of transporters in homeostatic control of monoaminergic transmission and to evaluate, in an in vivo model system, their roles in physiology and pathology. The use of these mice as test subjects has been helpful in resolving several important issues on specificity and mechanisms of action of certain pharmacological agents. In the present review, we summarize recent advances in understanding the physiology and pharmacology of monoamine transporters gained in mice with targeted genetic deletion of DAT, SERT, and NET.","container-title":"Annual Review of Pharmacology and Toxicology","DOI":"10.1146/annurev.pharmtox.43.050802.112309","ISSN":"0362-1642","journalAbbreviation":"Annu Rev Pharmacol Toxicol","language":"eng","note":"PMID: 12359863","page":"261-284","source":"PubMed","title":"Monoamine transporters: from genes to behavior","title-short":"Monoamine transporters","volume":"43","author":[{"family":"Gainetdinov","given":"Raul R."},{"family":"Caron","given":"Marc G."}],"issued":{"date-parts":[["2003"]]},"citation-key":"gainetdinovMonoamineTransportersGenes2003"}},{"id":1464,"uris":["http://zotero.org/users/10626569/items/L33CE92E"],"itemData":{"id":1464,"type":"article-journal","container-title":"The Journal of Biological Chemistry","ISSN":"0021-9258","journalAbbreviation":"J Biol Chem","language":"eng","note":"PMID: 14216443","page":"2910-2917","source":"PubMed","title":"TYROSINE HYDROXYLASE. THE INITIAL STEP IN NOREPINEPHRINE BIOSYNTHESIS","volume":"239","author":[{"family":"Nagatsu","given":"T."},{"family":"Levitt","given":"M."},{"family":"Udenfriend","given":"S."}],"issued":{"date-parts":[["1964",9]]},"citation-key":"nagatsuTYROSINEHYDROXYLASEINITIAL1964"}}],"schema":"https://github.com/citation-style-language/schema/raw/master/csl-citation.json"} </w:instrText>
      </w:r>
      <w:r w:rsidR="00962C22">
        <w:rPr>
          <w:rFonts w:ascii="Times New Roman" w:eastAsia="맑은 고딕" w:hAnsi="Times New Roman" w:cs="Times New Roman"/>
          <w:lang w:eastAsia="ko-KR"/>
        </w:rPr>
        <w:fldChar w:fldCharType="separate"/>
      </w:r>
      <w:r w:rsidR="00962C22" w:rsidRPr="00962C22">
        <w:rPr>
          <w:rFonts w:ascii="Times New Roman" w:hAnsi="Times New Roman" w:cs="Times New Roman"/>
        </w:rPr>
        <w:t>(Gainetdinov &amp; Caron, 2003; Nagatsu et al., 1964)</w:t>
      </w:r>
      <w:r w:rsidR="00962C22">
        <w:rPr>
          <w:rFonts w:ascii="Times New Roman" w:eastAsia="맑은 고딕" w:hAnsi="Times New Roman" w:cs="Times New Roman"/>
          <w:lang w:eastAsia="ko-KR"/>
        </w:rPr>
        <w:fldChar w:fldCharType="end"/>
      </w:r>
      <w:r w:rsidRPr="00A65407">
        <w:rPr>
          <w:rFonts w:ascii="Times New Roman" w:eastAsia="맑은 고딕" w:hAnsi="Times New Roman" w:cs="Times New Roman"/>
          <w:lang w:eastAsia="ko-KR"/>
        </w:rPr>
        <w:t>. Drd1 (dopamine receptor D1) represents downstream signaling within dopamine pathways and is particularly active in the striatum, a region implicated in PD motor symptoms</w:t>
      </w:r>
      <w:r w:rsidR="00962C22">
        <w:rPr>
          <w:rFonts w:ascii="Times New Roman" w:eastAsia="맑은 고딕" w:hAnsi="Times New Roman" w:cs="Times New Roman" w:hint="eastAsia"/>
          <w:lang w:eastAsia="ko-KR"/>
        </w:rPr>
        <w:t xml:space="preserve"> </w:t>
      </w:r>
      <w:r w:rsidRPr="00A65407">
        <w:rPr>
          <w:rFonts w:ascii="Times New Roman" w:eastAsia="맑은 고딕" w:hAnsi="Times New Roman" w:cs="Times New Roman"/>
          <w:lang w:eastAsia="ko-KR"/>
        </w:rPr>
        <w:t xml:space="preserve"> </w:t>
      </w:r>
      <w:r w:rsidR="00962C22">
        <w:rPr>
          <w:rFonts w:ascii="Times New Roman" w:eastAsia="맑은 고딕" w:hAnsi="Times New Roman" w:cs="Times New Roman"/>
          <w:lang w:eastAsia="ko-KR"/>
        </w:rPr>
        <w:fldChar w:fldCharType="begin"/>
      </w:r>
      <w:r w:rsidR="00962C22">
        <w:rPr>
          <w:rFonts w:ascii="Times New Roman" w:eastAsia="맑은 고딕" w:hAnsi="Times New Roman" w:cs="Times New Roman"/>
          <w:lang w:eastAsia="ko-KR"/>
        </w:rPr>
        <w:instrText xml:space="preserve"> ADDIN ZOTERO_ITEM CSL_CITATION {"citationID":"lQEzhong","properties":{"formattedCitation":"(Beaulieu &amp; Gainetdinov, 2011)","plainCitation":"(Beaulieu &amp; Gainetdinov, 2011)","noteIndex":0},"citationItems":[{"id":1473,"uris":["http://zotero.org/users/10626569/items/DLIED2M4"],"itemData":{"id":1473,"type":"article-journal","abstract":"G protein-coupled dopamine receptors (D1, D2, D3, D4, and D5) mediate all of the physiological functions of the catecholaminergic neurotransmitter dopamine, ranging from voluntary movement and reward to hormonal regulation and hypertension. Pharmacological agents targeting dopaminergic neurotransmission have been clinically used in the management of several neurological and psychiatric disorders, including Parkinson's disease, schizophrenia, bipolar disorder, Huntington's disease, attention deficit hyperactivity disorder (ADHD(1)), and Tourette's syndrome. Numerous advances have occurred in understanding the general structural, biochemical, and functional properties of dopamine receptors that have led to the development of multiple pharmacologically active compounds that directly target dopamine receptors, such as antiparkinson drugs and antipsychotics. Recent progress in understanding the complex biology of dopamine receptor-related signal transduction mechanisms has revealed that, in addition to their primary action on cAMP-mediated signaling, dopamine receptors can act through diverse signaling mechanisms that involve alternative G protein coupling or through G protein-independent mechanisms via interactions with ion channels or proteins that are characteristically implicated in receptor desensitization, such as β-arrestins. One of the future directions in managing dopamine-related pathologic conditions may involve a transition from the approaches that directly affect receptor function to a precise targeting of postreceptor intracellular signaling modalities either directly or through ligand-biased signaling pharmacology. In this comprehensive review, we discuss dopamine receptor classification, their basic structural and genetic organization, their distribution and functions in the brain and the periphery, and their regulation and signal transduction mechanisms. In addition, we discuss the abnormalities of dopamine receptor expression, function, and signaling that are documented in human disorders and the current pharmacology and emerging trends in the development of novel therapeutic agents that act at dopamine receptors and/or on related signaling events.","container-title":"Pharmacological Reviews","DOI":"10.1124/pr.110.002642","ISSN":"1521-0081","issue":"1","journalAbbreviation":"Pharmacol Rev","language":"eng","note":"PMID: 21303898","page":"182-217","source":"PubMed","title":"The physiology, signaling, and pharmacology of dopamine receptors","volume":"63","author":[{"family":"Beaulieu","given":"Jean-Martin"},{"family":"Gainetdinov","given":"Raul R."}],"issued":{"date-parts":[["2011",3]]},"citation-key":"beaulieuPhysiologySignalingPharmacology2011"}}],"schema":"https://github.com/citation-style-language/schema/raw/master/csl-citation.json"} </w:instrText>
      </w:r>
      <w:r w:rsidR="00962C22">
        <w:rPr>
          <w:rFonts w:ascii="Times New Roman" w:eastAsia="맑은 고딕" w:hAnsi="Times New Roman" w:cs="Times New Roman"/>
          <w:lang w:eastAsia="ko-KR"/>
        </w:rPr>
        <w:fldChar w:fldCharType="separate"/>
      </w:r>
      <w:r w:rsidR="00962C22" w:rsidRPr="00962C22">
        <w:rPr>
          <w:rFonts w:ascii="Times New Roman" w:hAnsi="Times New Roman" w:cs="Times New Roman"/>
        </w:rPr>
        <w:t>(Beaulieu &amp; Gainetdinov, 2011)</w:t>
      </w:r>
      <w:r w:rsidR="00962C22">
        <w:rPr>
          <w:rFonts w:ascii="Times New Roman" w:eastAsia="맑은 고딕" w:hAnsi="Times New Roman" w:cs="Times New Roman"/>
          <w:lang w:eastAsia="ko-KR"/>
        </w:rPr>
        <w:fldChar w:fldCharType="end"/>
      </w:r>
      <w:r w:rsidRPr="00A65407">
        <w:rPr>
          <w:rFonts w:ascii="Times New Roman" w:eastAsia="맑은 고딕" w:hAnsi="Times New Roman" w:cs="Times New Roman"/>
          <w:lang w:eastAsia="ko-KR"/>
        </w:rPr>
        <w:t xml:space="preserve">. Nr4a2 (Nurr1) is a transcription factor essential for the development and survival of midbrain dopaminergic neurons, and mutations in NR4A2 have been linked to familial and sporadic forms of PD </w:t>
      </w:r>
      <w:r w:rsidR="00962C22">
        <w:rPr>
          <w:rFonts w:ascii="Times New Roman" w:eastAsia="맑은 고딕" w:hAnsi="Times New Roman" w:cs="Times New Roman"/>
          <w:lang w:eastAsia="ko-KR"/>
        </w:rPr>
        <w:fldChar w:fldCharType="begin"/>
      </w:r>
      <w:r w:rsidR="00962C22">
        <w:rPr>
          <w:rFonts w:ascii="Times New Roman" w:eastAsia="맑은 고딕" w:hAnsi="Times New Roman" w:cs="Times New Roman"/>
          <w:lang w:eastAsia="ko-KR"/>
        </w:rPr>
        <w:instrText xml:space="preserve"> ADDIN ZOTERO_ITEM CSL_CITATION {"citationID":"9iQAlyqc","properties":{"formattedCitation":"(Le et al., 2003)","plainCitation":"(Le et al., 2003)","noteIndex":0},"citationItems":[{"id":1469,"uris":["http://zotero.org/users/10626569/items/WRVKRVL2"],"itemData":{"id":1469,"type":"article-journal","abstract":"NR4A2, encoding a member of nuclear receptor superfamily, is essential for the differentiation of the nigral dopaminergic neurons. To determine whether NR4A2 is a susceptibility gene for Parkinson disease, we carried out genetic analyses in 201 individuals affected with Parkinson disease and 221 age-matched unaffected controls. We identified two mutations in NR4A2 associated with Parkinson disease (-291Tdel and -245T--&gt;G), which map to the first exon of NR4A2 and affect one allele in 10 of 107 individuals with familial Parkinson disease but not in any individuals with sporadic Parkinson disease (n = 94) or in unaffected controls (n = 221). The age at onset of disease and clinical features of these ten individuals were not different from those of individuals with typical Parkinson disease. The mutations resulted in a marked decrease in NR4A2 mRNA levels in transfected cell lines and in lymphocytes of affected individuals. Additionally, mutations in NR4A2 affect transcription of the gene encoding tyrosine hydroxylase. These data suggest that mutations in NR4A2 can cause dopaminergic dysfunction, associated with Parkinson disease.","container-title":"Nature Genetics","DOI":"10.1038/ng1066","ISSN":"1061-4036","issue":"1","journalAbbreviation":"Nat Genet","language":"eng","note":"PMID: 12496759","page":"85-89","source":"PubMed","title":"Mutations in NR4A2 associated with familial Parkinson disease","volume":"33","author":[{"family":"Le","given":"Wei-Dong"},{"family":"Xu","given":"Pingyi"},{"family":"Jankovic","given":"Joseph"},{"family":"Jiang","given":"Hong"},{"family":"Appel","given":"Stanley H."},{"family":"Smith","given":"Roy G."},{"family":"Vassilatis","given":"Demetrios K."}],"issued":{"date-parts":[["2003",1]]},"citation-key":"leMutationsNR4A2Associated2003"}}],"schema":"https://github.com/citation-style-language/schema/raw/master/csl-citation.json"} </w:instrText>
      </w:r>
      <w:r w:rsidR="00962C22">
        <w:rPr>
          <w:rFonts w:ascii="Times New Roman" w:eastAsia="맑은 고딕" w:hAnsi="Times New Roman" w:cs="Times New Roman"/>
          <w:lang w:eastAsia="ko-KR"/>
        </w:rPr>
        <w:fldChar w:fldCharType="separate"/>
      </w:r>
      <w:r w:rsidR="00962C22" w:rsidRPr="00962C22">
        <w:rPr>
          <w:rFonts w:ascii="Times New Roman" w:hAnsi="Times New Roman" w:cs="Times New Roman"/>
        </w:rPr>
        <w:t>(Le et al., 2003)</w:t>
      </w:r>
      <w:r w:rsidR="00962C22">
        <w:rPr>
          <w:rFonts w:ascii="Times New Roman" w:eastAsia="맑은 고딕" w:hAnsi="Times New Roman" w:cs="Times New Roman"/>
          <w:lang w:eastAsia="ko-KR"/>
        </w:rPr>
        <w:fldChar w:fldCharType="end"/>
      </w:r>
      <w:r w:rsidRPr="00A65407">
        <w:rPr>
          <w:rFonts w:ascii="Times New Roman" w:eastAsia="맑은 고딕" w:hAnsi="Times New Roman" w:cs="Times New Roman"/>
          <w:lang w:eastAsia="ko-KR"/>
        </w:rPr>
        <w:t xml:space="preserve">. On the immune side, </w:t>
      </w:r>
      <w:proofErr w:type="spellStart"/>
      <w:r w:rsidRPr="00A65407">
        <w:rPr>
          <w:rFonts w:ascii="Times New Roman" w:eastAsia="맑은 고딕" w:hAnsi="Times New Roman" w:cs="Times New Roman"/>
          <w:lang w:eastAsia="ko-KR"/>
        </w:rPr>
        <w:t>Gfap</w:t>
      </w:r>
      <w:proofErr w:type="spellEnd"/>
      <w:r w:rsidRPr="00A65407">
        <w:rPr>
          <w:rFonts w:ascii="Times New Roman" w:eastAsia="맑은 고딕" w:hAnsi="Times New Roman" w:cs="Times New Roman"/>
          <w:lang w:eastAsia="ko-KR"/>
        </w:rPr>
        <w:t xml:space="preserve"> is a hallmark of reactive astrocytes and a key marker of gliosis </w:t>
      </w:r>
      <w:r w:rsidR="00962C22">
        <w:rPr>
          <w:rFonts w:ascii="Times New Roman" w:eastAsia="맑은 고딕" w:hAnsi="Times New Roman" w:cs="Times New Roman"/>
          <w:lang w:eastAsia="ko-KR"/>
        </w:rPr>
        <w:fldChar w:fldCharType="begin"/>
      </w:r>
      <w:r w:rsidR="00962C22">
        <w:rPr>
          <w:rFonts w:ascii="Times New Roman" w:eastAsia="맑은 고딕" w:hAnsi="Times New Roman" w:cs="Times New Roman"/>
          <w:lang w:eastAsia="ko-KR"/>
        </w:rPr>
        <w:instrText xml:space="preserve"> ADDIN ZOTERO_ITEM CSL_CITATION {"citationID":"7IOkXy9B","properties":{"formattedCitation":"(Eng, 1985)","plainCitation":"(Eng, 1985)","noteIndex":0},"citationItems":[{"id":1475,"uris":["http://zotero.org/users/10626569/items/D3E5ZLV9"],"itemData":{"id":1475,"type":"article-journal","abstract":"The glial fibrillary acidic protein (GFA protein or GFAP) is the major protein constituent of glial intermediate filaments in differentiated fibrous and protoplasmic astrocytes of the central nervous system. Proteins having similar molecular weights, isoelectric points, and immunoreactivity with GFAP have been found in cells of neural crest and ectodermal origin. A putative function ascribed to glial filaments is its role as a component of the cytoskeleton in defining and maintaining the shape of the astrocyte. Since 1980, over 350 reports have utilized antisera to GFAP for immunochemical and immunocytochemical studies.","container-title":"Journal of Neuroimmunology","DOI":"10.1016/s0165-5728(85)80063-1","ISSN":"0165-5728","issue":"4-6","journalAbbreviation":"J Neuroimmunol","language":"eng","note":"PMID: 2409105","page":"203-214","source":"PubMed","title":"Glial fibrillary acidic protein (GFAP): the major protein of glial intermediate filaments in differentiated astrocytes","title-short":"Glial fibrillary acidic protein (GFAP)","volume":"8","author":[{"family":"Eng","given":"L. F."}],"issued":{"date-parts":[["1985",6]]},"citation-key":"engGlialFibrillaryAcidic1985"}}],"schema":"https://github.com/citation-style-language/schema/raw/master/csl-citation.json"} </w:instrText>
      </w:r>
      <w:r w:rsidR="00962C22">
        <w:rPr>
          <w:rFonts w:ascii="Times New Roman" w:eastAsia="맑은 고딕" w:hAnsi="Times New Roman" w:cs="Times New Roman"/>
          <w:lang w:eastAsia="ko-KR"/>
        </w:rPr>
        <w:fldChar w:fldCharType="separate"/>
      </w:r>
      <w:r w:rsidR="00962C22" w:rsidRPr="00962C22">
        <w:rPr>
          <w:rFonts w:ascii="Times New Roman" w:hAnsi="Times New Roman" w:cs="Times New Roman"/>
        </w:rPr>
        <w:t>(Eng, 1985)</w:t>
      </w:r>
      <w:r w:rsidR="00962C22">
        <w:rPr>
          <w:rFonts w:ascii="Times New Roman" w:eastAsia="맑은 고딕" w:hAnsi="Times New Roman" w:cs="Times New Roman"/>
          <w:lang w:eastAsia="ko-KR"/>
        </w:rPr>
        <w:fldChar w:fldCharType="end"/>
      </w:r>
      <w:r w:rsidRPr="00A65407">
        <w:rPr>
          <w:rFonts w:ascii="Times New Roman" w:eastAsia="맑은 고딕" w:hAnsi="Times New Roman" w:cs="Times New Roman"/>
          <w:lang w:eastAsia="ko-KR"/>
        </w:rPr>
        <w:t xml:space="preserve">. Il1rap encodes a co-receptor required for IL-1-mediated immune signaling, contributing to neuroinflammatory responses </w:t>
      </w:r>
      <w:r w:rsidR="00962C22">
        <w:rPr>
          <w:rFonts w:ascii="Times New Roman" w:eastAsia="맑은 고딕" w:hAnsi="Times New Roman" w:cs="Times New Roman"/>
          <w:lang w:eastAsia="ko-KR"/>
        </w:rPr>
        <w:fldChar w:fldCharType="begin"/>
      </w:r>
      <w:r w:rsidR="00962C22">
        <w:rPr>
          <w:rFonts w:ascii="Times New Roman" w:eastAsia="맑은 고딕" w:hAnsi="Times New Roman" w:cs="Times New Roman"/>
          <w:lang w:eastAsia="ko-KR"/>
        </w:rPr>
        <w:instrText xml:space="preserve"> ADDIN ZOTERO_ITEM CSL_CITATION {"citationID":"KuO2D5rs","properties":{"formattedCitation":"(Zarezadeh Mehrabadi et al., 2022)","plainCitation":"(Zarezadeh Mehrabadi et al., 2022)","noteIndex":0},"citationItems":[{"id":1471,"uris":["http://zotero.org/users/10626569/items/GL3YUK5Y"],"itemData":{"id":1471,"type":"article-journal","abstract":"Interleukin-1 receptor accessory protein (IL-1RAcP) is a member of the immunoglobulin superfamily proteins consisting of soluble and membranous isoforms. IL-1RAcP plays an essential role in the signaling of the IL-1 family cytokines such as IL-1, IL-33 and IL-36, as well as tyrosine kinases FLT3 and C-Kit. IL-1RAcP generally initiates inflammatory signaling pathway through the recruitment of signaling mediators, including MYD88 and IRAK. Chronic inflammation following prolonged signaling of cytokine receptors is a critical process in the pathogenesis of many inflammatory disorders, including autoimmunity, obesity, psoriasis, type 1 diabetes, endometriosis, preeclampsia and Alzheimer's disease. Recently IL-1RAcP aberrant signaling has been considered to play a central role in the pathogenesis of these chronic inflammatory diseases. Targeting IL-1RAcP signaling pathway that was recently considered in clinical trials related to malignancies also indicates its potential as therapeutic target for the inflammatory and autoimmune diseases. This review summarizes the molecular structure, components associated with IL-1RAcP signaling pathways, and their involvement in the pathogenesis of different inflammatory diseases. We will also discuss the effect of IL-1RAcP inhibition for treatment proposes.","container-title":"Immunology","DOI":"10.1111/imm.13462","ISSN":"1365-2567","issue":"1","journalAbbreviation":"Immunology","language":"eng","note":"PMID: 35231129","page":"38-46","source":"PubMed","title":"The roles of interleukin-1 receptor accessory protein in certain inflammatory conditions","volume":"166","author":[{"family":"Zarezadeh Mehrabadi","given":"Ali"},{"family":"Aghamohamadi","given":"Nazanin"},{"family":"Khoshmirsafa","given":"Majid"},{"family":"Aghamajidi","given":"Azin"},{"family":"Pilehforoshha","given":"Mohammad"},{"family":"Massoumi","given":"Ramin"},{"family":"Falak","given":"Reza"}],"issued":{"date-parts":[["2022",5]]},"citation-key":"zarezadehmehrabadiRolesInterleukin1Receptor2022"}}],"schema":"https://github.com/citation-style-language/schema/raw/master/csl-citation.json"} </w:instrText>
      </w:r>
      <w:r w:rsidR="00962C22">
        <w:rPr>
          <w:rFonts w:ascii="Times New Roman" w:eastAsia="맑은 고딕" w:hAnsi="Times New Roman" w:cs="Times New Roman"/>
          <w:lang w:eastAsia="ko-KR"/>
        </w:rPr>
        <w:fldChar w:fldCharType="separate"/>
      </w:r>
      <w:r w:rsidR="00962C22" w:rsidRPr="00962C22">
        <w:rPr>
          <w:rFonts w:ascii="Times New Roman" w:hAnsi="Times New Roman" w:cs="Times New Roman"/>
        </w:rPr>
        <w:t>(Zarezadeh Mehrabadi et al., 2022)</w:t>
      </w:r>
      <w:r w:rsidR="00962C22">
        <w:rPr>
          <w:rFonts w:ascii="Times New Roman" w:eastAsia="맑은 고딕" w:hAnsi="Times New Roman" w:cs="Times New Roman"/>
          <w:lang w:eastAsia="ko-KR"/>
        </w:rPr>
        <w:fldChar w:fldCharType="end"/>
      </w:r>
      <w:r w:rsidRPr="00A65407">
        <w:rPr>
          <w:rFonts w:ascii="Times New Roman" w:eastAsia="맑은 고딕" w:hAnsi="Times New Roman" w:cs="Times New Roman"/>
          <w:lang w:eastAsia="ko-KR"/>
        </w:rPr>
        <w:t>. Tnfaip8l3, a member of the TNF-α-induced protein family, is responsive to TNF-α signaling and may modulate inflammation and neuronal viability. Collectively, these genes span both neurotransmitter and immune signaling networks, enabling a comprehensive analysis of neuro-immune spatial interactions.</w:t>
      </w:r>
    </w:p>
    <w:p w14:paraId="06A93889" w14:textId="77777777" w:rsidR="00842C2F" w:rsidRPr="00842C2F" w:rsidRDefault="00842C2F" w:rsidP="00EB5C8B">
      <w:pPr>
        <w:spacing w:line="360" w:lineRule="auto"/>
        <w:rPr>
          <w:rFonts w:ascii="Times New Roman" w:hAnsi="Times New Roman" w:cs="Times New Roman"/>
        </w:rPr>
      </w:pPr>
      <w:r w:rsidRPr="00842C2F">
        <w:rPr>
          <w:rFonts w:ascii="Times New Roman" w:hAnsi="Times New Roman" w:cs="Times New Roman"/>
        </w:rPr>
        <w:t>Through neighborhood enrichment analysis, spatial density correlation, and consensus clustering across brains, we identify robust gene-cell neighborhoods and spatial gene modules. We then functionally interpret these gene groups using Gene Ontology enrichment to uncover potential mechanistic links between spatial organization and disease-relevant pathways.</w:t>
      </w:r>
    </w:p>
    <w:p w14:paraId="24EA82FD" w14:textId="77777777" w:rsidR="00842C2F" w:rsidRPr="00842C2F" w:rsidRDefault="00842C2F" w:rsidP="00EB5C8B">
      <w:pPr>
        <w:spacing w:line="360" w:lineRule="auto"/>
        <w:rPr>
          <w:rFonts w:ascii="Times New Roman" w:hAnsi="Times New Roman" w:cs="Times New Roman"/>
        </w:rPr>
      </w:pPr>
      <w:r w:rsidRPr="00842C2F">
        <w:rPr>
          <w:rFonts w:ascii="Times New Roman" w:hAnsi="Times New Roman" w:cs="Times New Roman"/>
        </w:rPr>
        <w:t>This work aims to provide foundational spatial insights that may inform future studies of PD pathology, particularly in identifying regions or cell-type niches predisposed to neurodegeneration and inflammation.</w:t>
      </w:r>
    </w:p>
    <w:p w14:paraId="3D400908" w14:textId="77777777" w:rsidR="00F32AF1" w:rsidRDefault="00F32AF1" w:rsidP="00EB5C8B">
      <w:pPr>
        <w:spacing w:line="360" w:lineRule="auto"/>
        <w:rPr>
          <w:rFonts w:ascii="Times New Roman" w:hAnsi="Times New Roman" w:cs="Times New Roman"/>
          <w:b/>
          <w:bCs/>
        </w:rPr>
      </w:pPr>
    </w:p>
    <w:p w14:paraId="53AFE59F" w14:textId="12B5ABB4" w:rsidR="00842C2F" w:rsidRPr="00842C2F" w:rsidRDefault="00F32AF1" w:rsidP="00EB5C8B">
      <w:pPr>
        <w:spacing w:line="360" w:lineRule="auto"/>
        <w:rPr>
          <w:rFonts w:ascii="Times New Roman" w:hAnsi="Times New Roman" w:cs="Times New Roman"/>
          <w:b/>
          <w:bCs/>
        </w:rPr>
      </w:pPr>
      <w:r>
        <w:rPr>
          <w:rFonts w:ascii="Times New Roman" w:hAnsi="Times New Roman" w:cs="Times New Roman"/>
          <w:b/>
          <w:bCs/>
        </w:rPr>
        <w:t xml:space="preserve">Experimental </w:t>
      </w:r>
      <w:r w:rsidR="00842C2F" w:rsidRPr="00842C2F">
        <w:rPr>
          <w:rFonts w:ascii="Times New Roman" w:hAnsi="Times New Roman" w:cs="Times New Roman"/>
          <w:b/>
          <w:bCs/>
        </w:rPr>
        <w:t>Methods</w:t>
      </w:r>
    </w:p>
    <w:p w14:paraId="1E08EA11" w14:textId="77777777" w:rsidR="00842C2F" w:rsidRPr="00842C2F" w:rsidRDefault="00842C2F" w:rsidP="00EB5C8B">
      <w:pPr>
        <w:spacing w:line="360" w:lineRule="auto"/>
        <w:rPr>
          <w:rFonts w:ascii="Times New Roman" w:hAnsi="Times New Roman" w:cs="Times New Roman"/>
          <w:b/>
          <w:bCs/>
        </w:rPr>
      </w:pPr>
      <w:r w:rsidRPr="00842C2F">
        <w:rPr>
          <w:rFonts w:ascii="Times New Roman" w:hAnsi="Times New Roman" w:cs="Times New Roman"/>
          <w:b/>
          <w:bCs/>
        </w:rPr>
        <w:t>Data Acquisition and Preprocessing</w:t>
      </w:r>
    </w:p>
    <w:p w14:paraId="570857D4" w14:textId="32440B33" w:rsidR="00842C2F" w:rsidRPr="00842C2F" w:rsidRDefault="00842C2F" w:rsidP="00EB5C8B">
      <w:pPr>
        <w:spacing w:line="360" w:lineRule="auto"/>
        <w:rPr>
          <w:rFonts w:ascii="Times New Roman" w:hAnsi="Times New Roman" w:cs="Times New Roman"/>
        </w:rPr>
      </w:pPr>
      <w:r w:rsidRPr="00842C2F">
        <w:rPr>
          <w:rFonts w:ascii="Times New Roman" w:hAnsi="Times New Roman" w:cs="Times New Roman"/>
        </w:rPr>
        <w:t>We used high-resolution MERFISH (Multiplexed Error-Robust Fluorescence In Situ Hybridization) datasets from the Allen Brain Cell Atlas (ABCA), specifically the Zhuang-ABCA-1, Zhuang-ABCA-2, and Zhuang-ABCA-3 mouse brains</w:t>
      </w:r>
      <w:r w:rsidR="00B06BA2">
        <w:rPr>
          <w:rFonts w:ascii="Times New Roman" w:eastAsia="맑은 고딕" w:hAnsi="Times New Roman" w:cs="Times New Roman" w:hint="eastAsia"/>
          <w:lang w:eastAsia="ko-KR"/>
        </w:rPr>
        <w:t xml:space="preserve"> </w:t>
      </w:r>
      <w:r w:rsidR="00B06BA2">
        <w:rPr>
          <w:rFonts w:ascii="Times New Roman" w:eastAsia="맑은 고딕" w:hAnsi="Times New Roman" w:cs="Times New Roman"/>
          <w:lang w:eastAsia="ko-KR"/>
        </w:rPr>
        <w:fldChar w:fldCharType="begin"/>
      </w:r>
      <w:r w:rsidR="00B06BA2">
        <w:rPr>
          <w:rFonts w:ascii="Times New Roman" w:eastAsia="맑은 고딕" w:hAnsi="Times New Roman" w:cs="Times New Roman"/>
          <w:lang w:eastAsia="ko-KR"/>
        </w:rPr>
        <w:instrText xml:space="preserve"> ADDIN ZOTERO_ITEM CSL_CITATION {"citationID":"gnHQlcbm","properties":{"formattedCitation":"(Zhang et al., 2023)","plainCitation":"(Zhang et al., 2023)","noteIndex":0},"citationItems":[{"id":1433,"uris":["http://zotero.org/users/10626569/items/TTEZUH4A"],"itemData":{"id":1433,"type":"article","abstract":"In mammalian brains, tens of millions to billions of cells form complex interaction networks to enable a wide range of functions. The enormous diversity and intricate organization of cells in the brain have so far hindered our understanding of the molecular and cellular basis of its functions. Recent advances in spatially resolved single-cell transcriptomics have allowed systematic mapping of the spatial organization of molecularly defined cell types in c</w:instrText>
      </w:r>
      <w:r w:rsidR="00B06BA2">
        <w:rPr>
          <w:rFonts w:ascii="Times New Roman" w:eastAsia="맑은 고딕" w:hAnsi="Times New Roman" w:cs="Times New Roman" w:hint="eastAsia"/>
          <w:lang w:eastAsia="ko-KR"/>
        </w:rPr>
        <w:instrText>omplex tissues1</w:instrText>
      </w:r>
      <w:r w:rsidR="00B06BA2">
        <w:rPr>
          <w:rFonts w:ascii="Times New Roman" w:eastAsia="맑은 고딕" w:hAnsi="Times New Roman" w:cs="Times New Roman" w:hint="eastAsia"/>
          <w:lang w:eastAsia="ko-KR"/>
        </w:rPr>
        <w:instrText>–</w:instrText>
      </w:r>
      <w:r w:rsidR="00B06BA2">
        <w:rPr>
          <w:rFonts w:ascii="Times New Roman" w:eastAsia="맑은 고딕" w:hAnsi="Times New Roman" w:cs="Times New Roman" w:hint="eastAsia"/>
          <w:lang w:eastAsia="ko-KR"/>
        </w:rPr>
        <w:instrText>3. However, these approaches have only been applied to a few brain regions1</w:instrText>
      </w:r>
      <w:r w:rsidR="00B06BA2">
        <w:rPr>
          <w:rFonts w:ascii="Times New Roman" w:eastAsia="맑은 고딕" w:hAnsi="Times New Roman" w:cs="Times New Roman" w:hint="eastAsia"/>
          <w:lang w:eastAsia="ko-KR"/>
        </w:rPr>
        <w:instrText>–</w:instrText>
      </w:r>
      <w:r w:rsidR="00B06BA2">
        <w:rPr>
          <w:rFonts w:ascii="Times New Roman" w:eastAsia="맑은 고딕" w:hAnsi="Times New Roman" w:cs="Times New Roman" w:hint="eastAsia"/>
          <w:lang w:eastAsia="ko-KR"/>
        </w:rPr>
        <w:instrText xml:space="preserve">11 and a comprehensive cell atlas of the whole brain is still missing. Here, we imaged a panel of &gt;1,100 genes in </w:instrText>
      </w:r>
      <w:r w:rsidR="00B06BA2">
        <w:rPr>
          <w:rFonts w:ascii="Times New Roman" w:eastAsia="맑은 고딕" w:hAnsi="Times New Roman" w:cs="Times New Roman" w:hint="eastAsia"/>
          <w:lang w:eastAsia="ko-KR"/>
        </w:rPr>
        <w:instrText>∼</w:instrText>
      </w:r>
      <w:r w:rsidR="00B06BA2">
        <w:rPr>
          <w:rFonts w:ascii="Times New Roman" w:eastAsia="맑은 고딕" w:hAnsi="Times New Roman" w:cs="Times New Roman" w:hint="eastAsia"/>
          <w:lang w:eastAsia="ko-KR"/>
        </w:rPr>
        <w:instrText>8 million cells across the entire adult mouse br</w:instrText>
      </w:r>
      <w:r w:rsidR="00B06BA2">
        <w:rPr>
          <w:rFonts w:ascii="Times New Roman" w:eastAsia="맑은 고딕" w:hAnsi="Times New Roman" w:cs="Times New Roman"/>
          <w:lang w:eastAsia="ko-KR"/>
        </w:rPr>
        <w:instrText>ain using multiplexed error-robust fluorescence in situ hybridization (MERFISH)12 and performed spatially resolved, single-cell expression profiling at the whole-transcriptome scale by integrating MERFISH and single-cell RNA-sequencing (scRNA-seq) data. U</w:instrText>
      </w:r>
      <w:r w:rsidR="00B06BA2">
        <w:rPr>
          <w:rFonts w:ascii="Times New Roman" w:eastAsia="맑은 고딕" w:hAnsi="Times New Roman" w:cs="Times New Roman" w:hint="eastAsia"/>
          <w:lang w:eastAsia="ko-KR"/>
        </w:rPr>
        <w:instrText xml:space="preserve">sing this approach, we generated a comprehensive cell atlas of &gt;5,000 transcriptionally distinct cell clusters, belonging to </w:instrText>
      </w:r>
      <w:r w:rsidR="00B06BA2">
        <w:rPr>
          <w:rFonts w:ascii="Times New Roman" w:eastAsia="맑은 고딕" w:hAnsi="Times New Roman" w:cs="Times New Roman" w:hint="eastAsia"/>
          <w:lang w:eastAsia="ko-KR"/>
        </w:rPr>
        <w:instrText>∼</w:instrText>
      </w:r>
      <w:r w:rsidR="00B06BA2">
        <w:rPr>
          <w:rFonts w:ascii="Times New Roman" w:eastAsia="맑은 고딕" w:hAnsi="Times New Roman" w:cs="Times New Roman" w:hint="eastAsia"/>
          <w:lang w:eastAsia="ko-KR"/>
        </w:rPr>
        <w:instrText xml:space="preserve">300 major cell types, in the whole mouse brain with high molecular and spatial resolution. Registration of the MERFISH images to </w:instrText>
      </w:r>
      <w:r w:rsidR="00B06BA2">
        <w:rPr>
          <w:rFonts w:ascii="Times New Roman" w:eastAsia="맑은 고딕" w:hAnsi="Times New Roman" w:cs="Times New Roman"/>
          <w:lang w:eastAsia="ko-KR"/>
        </w:rPr>
        <w:instrText xml:space="preserve">the common coordinate framework (CCF) of the mouse brain further allowed systematic quantifications of the cell composition and organization in individual brain regions defined in the CCF. We further identified spatial modules characterized by distinct cell-type compositions and spatial gradients featuring gradual changes in the gene-expression profiles of cells. Finally, this high-resolution spatial map of cells, with a transcriptome-wide expression profile associated with each cell, allowed us to infer cell-type-specific interactions between several hundred pairs of molecularly defined cell types and predict potential molecular (ligand-receptor) basis and functional implications of these cell-cell interactions. These results provide rich insights into the molecular and cellular architecture of the brain and a valuable resource for future functional investigations of neural circuits and their dysfunction in diseases.","DOI":"10.1101/2023.03.06.531348","language":"en","license":"© 2023, Posted by Cold Spring Harbor Laboratory. This pre-print is available under a Creative Commons License (Attribution 4.0 International), CC BY 4.0, as described at http://creativecommons.org/licenses/by/4.0/","note":"page: 2023.03.06.531348\nsection: New Results","publisher":"bioRxiv","source":"bioRxiv","title":"A molecularly defined and spatially resolved cell atlas of the whole mouse brain","URL":"https://www.biorxiv.org/content/10.1101/2023.03.06.531348v1","author":[{"family":"Zhang","given":"Meng"},{"family":"Pan","given":"Xingjie"},{"family":"Jung","given":"Won"},{"family":"Halpern","given":"Aaron"},{"family":"Eichhorn","given":"Stephen W."},{"family":"Lei","given":"Zhiyun"},{"family":"Cohen","given":"Limor"},{"family":"Smith","given":"Kimberly A."},{"family":"Tasic","given":"Bosiljka"},{"family":"Yao","given":"Zizhen"},{"family":"Zeng","given":"Hongkui"},{"family":"Zhuang","given":"Xiaowei"}],"accessed":{"date-parts":[["2025",4,13]]},"issued":{"date-parts":[["2023",3,7]]},"citation-key":"zhangMolecularlyDefinedSpatially2023"}}],"schema":"https://github.com/citation-style-language/schema/raw/master/csl-citation.json"} </w:instrText>
      </w:r>
      <w:r w:rsidR="00B06BA2">
        <w:rPr>
          <w:rFonts w:ascii="Times New Roman" w:eastAsia="맑은 고딕" w:hAnsi="Times New Roman" w:cs="Times New Roman"/>
          <w:lang w:eastAsia="ko-KR"/>
        </w:rPr>
        <w:fldChar w:fldCharType="separate"/>
      </w:r>
      <w:r w:rsidR="00B06BA2" w:rsidRPr="00B06BA2">
        <w:rPr>
          <w:rFonts w:ascii="Times New Roman" w:hAnsi="Times New Roman" w:cs="Times New Roman"/>
        </w:rPr>
        <w:t>(Zhang et al., 2023)</w:t>
      </w:r>
      <w:r w:rsidR="00B06BA2">
        <w:rPr>
          <w:rFonts w:ascii="Times New Roman" w:eastAsia="맑은 고딕" w:hAnsi="Times New Roman" w:cs="Times New Roman"/>
          <w:lang w:eastAsia="ko-KR"/>
        </w:rPr>
        <w:fldChar w:fldCharType="end"/>
      </w:r>
      <w:r w:rsidRPr="00842C2F">
        <w:rPr>
          <w:rFonts w:ascii="Times New Roman" w:hAnsi="Times New Roman" w:cs="Times New Roman"/>
        </w:rPr>
        <w:t>. These datasets provide single-cell gene expression data with associated spatial coordinates for approximately 1100 genes. Cells were annotated with class labels and neurotransmitter identities, which were used to group cell types.</w:t>
      </w:r>
    </w:p>
    <w:p w14:paraId="761E4F0E" w14:textId="77777777" w:rsidR="00842C2F" w:rsidRPr="00842C2F" w:rsidRDefault="00842C2F" w:rsidP="00EB5C8B">
      <w:pPr>
        <w:spacing w:line="360" w:lineRule="auto"/>
        <w:rPr>
          <w:rFonts w:ascii="Times New Roman" w:hAnsi="Times New Roman" w:cs="Times New Roman"/>
        </w:rPr>
      </w:pPr>
      <w:r w:rsidRPr="00842C2F">
        <w:rPr>
          <w:rFonts w:ascii="Times New Roman" w:hAnsi="Times New Roman" w:cs="Times New Roman"/>
        </w:rPr>
        <w:t>Gene expression data were log-transformed and normalized per cell. For visualization and spatial analysis, only cells from high-quality annotated sections were retained. Each brain was processed separately to preserve intra-brain spatial structure.</w:t>
      </w:r>
    </w:p>
    <w:p w14:paraId="03CBD3A3" w14:textId="77777777" w:rsidR="00842C2F" w:rsidRPr="00842C2F" w:rsidRDefault="00842C2F" w:rsidP="00EB5C8B">
      <w:pPr>
        <w:spacing w:line="360" w:lineRule="auto"/>
        <w:rPr>
          <w:rFonts w:ascii="Times New Roman" w:hAnsi="Times New Roman" w:cs="Times New Roman"/>
          <w:b/>
          <w:bCs/>
        </w:rPr>
      </w:pPr>
      <w:r w:rsidRPr="00842C2F">
        <w:rPr>
          <w:rFonts w:ascii="Times New Roman" w:hAnsi="Times New Roman" w:cs="Times New Roman"/>
          <w:b/>
          <w:bCs/>
        </w:rPr>
        <w:t>Cell-Type Spatial Analysis</w:t>
      </w:r>
    </w:p>
    <w:p w14:paraId="3D82B7F5" w14:textId="77777777" w:rsidR="00842C2F" w:rsidRPr="00842C2F" w:rsidRDefault="00842C2F" w:rsidP="00EB5C8B">
      <w:pPr>
        <w:spacing w:line="360" w:lineRule="auto"/>
        <w:rPr>
          <w:rFonts w:ascii="Times New Roman" w:hAnsi="Times New Roman" w:cs="Times New Roman"/>
        </w:rPr>
      </w:pPr>
      <w:r w:rsidRPr="00842C2F">
        <w:rPr>
          <w:rFonts w:ascii="Times New Roman" w:hAnsi="Times New Roman" w:cs="Times New Roman"/>
        </w:rPr>
        <w:t xml:space="preserve">We selected four core cell types for baseline spatial analysis: dopaminergic, astrocytic, vascular, and immune. These categories were derived from class labels and neurotransmitter identities in the dataset. We applied </w:t>
      </w:r>
      <w:proofErr w:type="spellStart"/>
      <w:r w:rsidRPr="00842C2F">
        <w:rPr>
          <w:rFonts w:ascii="Times New Roman" w:hAnsi="Times New Roman" w:cs="Times New Roman"/>
        </w:rPr>
        <w:t>Squidpy’s</w:t>
      </w:r>
      <w:proofErr w:type="spellEnd"/>
      <w:r w:rsidRPr="00842C2F">
        <w:rPr>
          <w:rFonts w:ascii="Times New Roman" w:hAnsi="Times New Roman" w:cs="Times New Roman"/>
        </w:rPr>
        <w:t xml:space="preserve"> neighborhood enrichment function to assess spatial co-occurrence patterns among these core groups. Additionally, we performed a parameter sweep varying the number of nearest neighbors (5, 15, 45) to assess robustness.</w:t>
      </w:r>
    </w:p>
    <w:p w14:paraId="5AD7FE21" w14:textId="77777777" w:rsidR="00842C2F" w:rsidRPr="00842C2F" w:rsidRDefault="00842C2F" w:rsidP="00EB5C8B">
      <w:pPr>
        <w:spacing w:line="360" w:lineRule="auto"/>
        <w:rPr>
          <w:rFonts w:ascii="Times New Roman" w:hAnsi="Times New Roman" w:cs="Times New Roman"/>
          <w:b/>
          <w:bCs/>
        </w:rPr>
      </w:pPr>
      <w:r w:rsidRPr="00842C2F">
        <w:rPr>
          <w:rFonts w:ascii="Times New Roman" w:hAnsi="Times New Roman" w:cs="Times New Roman"/>
          <w:b/>
          <w:bCs/>
        </w:rPr>
        <w:t>Spatial Density Correlation</w:t>
      </w:r>
    </w:p>
    <w:p w14:paraId="2B3D26CF" w14:textId="77777777" w:rsidR="00842C2F" w:rsidRPr="00842C2F" w:rsidRDefault="00842C2F" w:rsidP="00EB5C8B">
      <w:pPr>
        <w:spacing w:line="360" w:lineRule="auto"/>
        <w:rPr>
          <w:rFonts w:ascii="Times New Roman" w:hAnsi="Times New Roman" w:cs="Times New Roman"/>
        </w:rPr>
      </w:pPr>
      <w:r w:rsidRPr="00842C2F">
        <w:rPr>
          <w:rFonts w:ascii="Times New Roman" w:hAnsi="Times New Roman" w:cs="Times New Roman"/>
        </w:rPr>
        <w:t>To assess broader spatial distribution trends, we binned the tissue sections into a 2D grid and computed normalized densities for each cell type within each bin. Pearson correlation coefficients between the normalized cell-type densities were used to assess spatial similarity across tissue sections.</w:t>
      </w:r>
    </w:p>
    <w:p w14:paraId="64069F79" w14:textId="77777777" w:rsidR="00842C2F" w:rsidRPr="00842C2F" w:rsidRDefault="00842C2F" w:rsidP="00EB5C8B">
      <w:pPr>
        <w:spacing w:line="360" w:lineRule="auto"/>
        <w:rPr>
          <w:rFonts w:ascii="Times New Roman" w:hAnsi="Times New Roman" w:cs="Times New Roman"/>
          <w:b/>
          <w:bCs/>
        </w:rPr>
      </w:pPr>
      <w:r w:rsidRPr="00842C2F">
        <w:rPr>
          <w:rFonts w:ascii="Times New Roman" w:hAnsi="Times New Roman" w:cs="Times New Roman"/>
          <w:b/>
          <w:bCs/>
        </w:rPr>
        <w:t>Visualization of Cell-Type Density</w:t>
      </w:r>
    </w:p>
    <w:p w14:paraId="6D20E1B6" w14:textId="77777777" w:rsidR="00842C2F" w:rsidRPr="00842C2F" w:rsidRDefault="00842C2F" w:rsidP="00EB5C8B">
      <w:pPr>
        <w:spacing w:line="360" w:lineRule="auto"/>
        <w:rPr>
          <w:rFonts w:ascii="Times New Roman" w:hAnsi="Times New Roman" w:cs="Times New Roman"/>
        </w:rPr>
      </w:pPr>
      <w:r w:rsidRPr="00842C2F">
        <w:rPr>
          <w:rFonts w:ascii="Times New Roman" w:hAnsi="Times New Roman" w:cs="Times New Roman"/>
        </w:rPr>
        <w:t>For anatomical interpretation, spatial density maps of core cell types were generated on an example brain section (ABCA-1). Both raw and normalized versions were shown to highlight true cell enrichment independent of cell abundance.</w:t>
      </w:r>
    </w:p>
    <w:p w14:paraId="217FED84" w14:textId="77777777" w:rsidR="00842C2F" w:rsidRPr="00842C2F" w:rsidRDefault="00842C2F" w:rsidP="00EB5C8B">
      <w:pPr>
        <w:spacing w:line="360" w:lineRule="auto"/>
        <w:rPr>
          <w:rFonts w:ascii="Times New Roman" w:hAnsi="Times New Roman" w:cs="Times New Roman"/>
          <w:b/>
          <w:bCs/>
        </w:rPr>
      </w:pPr>
      <w:r w:rsidRPr="00842C2F">
        <w:rPr>
          <w:rFonts w:ascii="Times New Roman" w:hAnsi="Times New Roman" w:cs="Times New Roman"/>
          <w:b/>
          <w:bCs/>
        </w:rPr>
        <w:t>Gene Selection and Expression Mapping</w:t>
      </w:r>
    </w:p>
    <w:p w14:paraId="43C7B818" w14:textId="77777777" w:rsidR="00842C2F" w:rsidRPr="00842C2F" w:rsidRDefault="00842C2F" w:rsidP="00EB5C8B">
      <w:pPr>
        <w:spacing w:line="360" w:lineRule="auto"/>
        <w:rPr>
          <w:rFonts w:ascii="Times New Roman" w:hAnsi="Times New Roman" w:cs="Times New Roman"/>
        </w:rPr>
      </w:pPr>
      <w:r w:rsidRPr="00842C2F">
        <w:rPr>
          <w:rFonts w:ascii="Times New Roman" w:hAnsi="Times New Roman" w:cs="Times New Roman"/>
        </w:rPr>
        <w:t xml:space="preserve">Seven genes associated with Parkinson’s disease or inflammation (e.g., </w:t>
      </w:r>
      <w:r w:rsidRPr="00842C2F">
        <w:rPr>
          <w:rFonts w:ascii="Times New Roman" w:hAnsi="Times New Roman" w:cs="Times New Roman"/>
          <w:i/>
          <w:iCs/>
        </w:rPr>
        <w:t>Th</w:t>
      </w:r>
      <w:r w:rsidRPr="00842C2F">
        <w:rPr>
          <w:rFonts w:ascii="Times New Roman" w:hAnsi="Times New Roman" w:cs="Times New Roman"/>
        </w:rPr>
        <w:t xml:space="preserve">, </w:t>
      </w:r>
      <w:r w:rsidRPr="00842C2F">
        <w:rPr>
          <w:rFonts w:ascii="Times New Roman" w:hAnsi="Times New Roman" w:cs="Times New Roman"/>
          <w:i/>
          <w:iCs/>
        </w:rPr>
        <w:t>Drd1</w:t>
      </w:r>
      <w:r w:rsidRPr="00842C2F">
        <w:rPr>
          <w:rFonts w:ascii="Times New Roman" w:hAnsi="Times New Roman" w:cs="Times New Roman"/>
        </w:rPr>
        <w:t xml:space="preserve">, </w:t>
      </w:r>
      <w:r w:rsidRPr="00842C2F">
        <w:rPr>
          <w:rFonts w:ascii="Times New Roman" w:hAnsi="Times New Roman" w:cs="Times New Roman"/>
          <w:i/>
          <w:iCs/>
        </w:rPr>
        <w:t>Nr4a2</w:t>
      </w:r>
      <w:r w:rsidRPr="00842C2F">
        <w:rPr>
          <w:rFonts w:ascii="Times New Roman" w:hAnsi="Times New Roman" w:cs="Times New Roman"/>
        </w:rPr>
        <w:t xml:space="preserve">, </w:t>
      </w:r>
      <w:proofErr w:type="spellStart"/>
      <w:r w:rsidRPr="00842C2F">
        <w:rPr>
          <w:rFonts w:ascii="Times New Roman" w:hAnsi="Times New Roman" w:cs="Times New Roman"/>
          <w:i/>
          <w:iCs/>
        </w:rPr>
        <w:t>Gfap</w:t>
      </w:r>
      <w:proofErr w:type="spellEnd"/>
      <w:r w:rsidRPr="00842C2F">
        <w:rPr>
          <w:rFonts w:ascii="Times New Roman" w:hAnsi="Times New Roman" w:cs="Times New Roman"/>
        </w:rPr>
        <w:t xml:space="preserve">, </w:t>
      </w:r>
      <w:r w:rsidRPr="00842C2F">
        <w:rPr>
          <w:rFonts w:ascii="Times New Roman" w:hAnsi="Times New Roman" w:cs="Times New Roman"/>
          <w:i/>
          <w:iCs/>
        </w:rPr>
        <w:t>Il1rap</w:t>
      </w:r>
      <w:r w:rsidRPr="00842C2F">
        <w:rPr>
          <w:rFonts w:ascii="Times New Roman" w:hAnsi="Times New Roman" w:cs="Times New Roman"/>
        </w:rPr>
        <w:t xml:space="preserve">, </w:t>
      </w:r>
      <w:r w:rsidRPr="00842C2F">
        <w:rPr>
          <w:rFonts w:ascii="Times New Roman" w:hAnsi="Times New Roman" w:cs="Times New Roman"/>
          <w:i/>
          <w:iCs/>
        </w:rPr>
        <w:t>Tnfaip8l3</w:t>
      </w:r>
      <w:r w:rsidRPr="00842C2F">
        <w:rPr>
          <w:rFonts w:ascii="Times New Roman" w:hAnsi="Times New Roman" w:cs="Times New Roman"/>
        </w:rPr>
        <w:t xml:space="preserve">, </w:t>
      </w:r>
      <w:r w:rsidRPr="00842C2F">
        <w:rPr>
          <w:rFonts w:ascii="Times New Roman" w:hAnsi="Times New Roman" w:cs="Times New Roman"/>
          <w:i/>
          <w:iCs/>
        </w:rPr>
        <w:t>Slc6a3</w:t>
      </w:r>
      <w:r w:rsidRPr="00842C2F">
        <w:rPr>
          <w:rFonts w:ascii="Times New Roman" w:hAnsi="Times New Roman" w:cs="Times New Roman"/>
        </w:rPr>
        <w:t>) were selected based on their relevance and presence in the dataset. Gene expression maps were created for each gene using a representative section per brain. These visualizations were used to qualitatively assess spatial localization patterns.</w:t>
      </w:r>
    </w:p>
    <w:p w14:paraId="5FEE5412" w14:textId="77777777" w:rsidR="00842C2F" w:rsidRPr="00842C2F" w:rsidRDefault="00842C2F" w:rsidP="00EB5C8B">
      <w:pPr>
        <w:spacing w:line="360" w:lineRule="auto"/>
        <w:rPr>
          <w:rFonts w:ascii="Times New Roman" w:hAnsi="Times New Roman" w:cs="Times New Roman"/>
          <w:b/>
          <w:bCs/>
        </w:rPr>
      </w:pPr>
      <w:r w:rsidRPr="00842C2F">
        <w:rPr>
          <w:rFonts w:ascii="Times New Roman" w:hAnsi="Times New Roman" w:cs="Times New Roman"/>
          <w:b/>
          <w:bCs/>
        </w:rPr>
        <w:t>Neighborhood Analysis with Gene-High Groups</w:t>
      </w:r>
    </w:p>
    <w:p w14:paraId="551C3132" w14:textId="77777777" w:rsidR="00842C2F" w:rsidRPr="00842C2F" w:rsidRDefault="00842C2F" w:rsidP="00EB5C8B">
      <w:pPr>
        <w:spacing w:line="360" w:lineRule="auto"/>
        <w:rPr>
          <w:rFonts w:ascii="Times New Roman" w:hAnsi="Times New Roman" w:cs="Times New Roman"/>
        </w:rPr>
      </w:pPr>
      <w:r w:rsidRPr="00842C2F">
        <w:rPr>
          <w:rFonts w:ascii="Times New Roman" w:hAnsi="Times New Roman" w:cs="Times New Roman"/>
        </w:rPr>
        <w:t>Cells with expression above the 70th percentile for each selected gene were labeled as gene-high. These groups were included in neighborhood enrichment analyses along with the four core cell types, resulting in a 12×12 matrix of spatial interactions. Separate matrices were generated for each brain.</w:t>
      </w:r>
    </w:p>
    <w:p w14:paraId="35983244" w14:textId="77777777" w:rsidR="00842C2F" w:rsidRPr="00842C2F" w:rsidRDefault="00842C2F" w:rsidP="00EB5C8B">
      <w:pPr>
        <w:spacing w:line="360" w:lineRule="auto"/>
        <w:rPr>
          <w:rFonts w:ascii="Times New Roman" w:hAnsi="Times New Roman" w:cs="Times New Roman"/>
          <w:b/>
          <w:bCs/>
        </w:rPr>
      </w:pPr>
      <w:r w:rsidRPr="00842C2F">
        <w:rPr>
          <w:rFonts w:ascii="Times New Roman" w:hAnsi="Times New Roman" w:cs="Times New Roman"/>
          <w:b/>
          <w:bCs/>
        </w:rPr>
        <w:t>Clustering and Functional Enrichment</w:t>
      </w:r>
    </w:p>
    <w:p w14:paraId="2ACD3225" w14:textId="77777777" w:rsidR="00842C2F" w:rsidRDefault="00842C2F" w:rsidP="00EB5C8B">
      <w:pPr>
        <w:spacing w:line="360" w:lineRule="auto"/>
        <w:rPr>
          <w:rFonts w:ascii="Times New Roman" w:eastAsia="맑은 고딕" w:hAnsi="Times New Roman" w:cs="Times New Roman"/>
          <w:lang w:eastAsia="ko-KR"/>
        </w:rPr>
      </w:pPr>
      <w:r w:rsidRPr="00842C2F">
        <w:rPr>
          <w:rFonts w:ascii="Times New Roman" w:hAnsi="Times New Roman" w:cs="Times New Roman"/>
        </w:rPr>
        <w:t>To isolate transcriptional modules, we subset the neighborhood z-score matrix to include only the eight gene-high groups and computed a consensus matrix by averaging across brains. Hierarchical clustering was applied to identify spatially co-enriched gene modules. Cluster 1, the largest module, was analyzed for Gene Ontology (GO) term enrichment using standard GO tools.</w:t>
      </w:r>
    </w:p>
    <w:p w14:paraId="5BF63192" w14:textId="77777777" w:rsidR="00EB5C8B" w:rsidRPr="00842C2F" w:rsidRDefault="00EB5C8B" w:rsidP="00EB5C8B">
      <w:pPr>
        <w:spacing w:line="360" w:lineRule="auto"/>
        <w:rPr>
          <w:rFonts w:ascii="Times New Roman" w:eastAsia="맑은 고딕" w:hAnsi="Times New Roman" w:cs="Times New Roman"/>
          <w:lang w:eastAsia="ko-KR"/>
        </w:rPr>
      </w:pPr>
    </w:p>
    <w:p w14:paraId="4414C3AD" w14:textId="77777777" w:rsidR="00EB5C8B" w:rsidRPr="00EB5C8B" w:rsidRDefault="00EB5C8B" w:rsidP="00EB5C8B">
      <w:pPr>
        <w:spacing w:line="360" w:lineRule="auto"/>
        <w:rPr>
          <w:rFonts w:ascii="Times New Roman" w:eastAsia="맑은 고딕" w:hAnsi="Times New Roman" w:cs="Times New Roman"/>
          <w:b/>
          <w:bCs/>
          <w:lang w:eastAsia="ko-KR"/>
        </w:rPr>
      </w:pPr>
      <w:r w:rsidRPr="00EB5C8B">
        <w:rPr>
          <w:rFonts w:ascii="Times New Roman" w:eastAsia="맑은 고딕" w:hAnsi="Times New Roman" w:cs="Times New Roman"/>
          <w:b/>
          <w:bCs/>
          <w:lang w:eastAsia="ko-KR"/>
        </w:rPr>
        <w:t>Results</w:t>
      </w:r>
    </w:p>
    <w:p w14:paraId="6BA3AA6C" w14:textId="77777777" w:rsidR="00EB5C8B" w:rsidRPr="00EB5C8B" w:rsidRDefault="00EB5C8B" w:rsidP="00EB5C8B">
      <w:pPr>
        <w:spacing w:line="360" w:lineRule="auto"/>
        <w:rPr>
          <w:rFonts w:ascii="Times New Roman" w:eastAsia="맑은 고딕" w:hAnsi="Times New Roman" w:cs="Times New Roman"/>
          <w:b/>
          <w:bCs/>
          <w:lang w:eastAsia="ko-KR"/>
        </w:rPr>
      </w:pPr>
      <w:r w:rsidRPr="00EB5C8B">
        <w:rPr>
          <w:rFonts w:ascii="Times New Roman" w:eastAsia="맑은 고딕" w:hAnsi="Times New Roman" w:cs="Times New Roman"/>
          <w:b/>
          <w:bCs/>
          <w:lang w:eastAsia="ko-KR"/>
        </w:rPr>
        <w:t>1. Baseline Spatial Architecture of Brain Tissue</w:t>
      </w:r>
    </w:p>
    <w:p w14:paraId="156AEB9A" w14:textId="77777777" w:rsidR="005740F5" w:rsidRDefault="005740F5" w:rsidP="005740F5">
      <w:pPr>
        <w:spacing w:line="360" w:lineRule="auto"/>
        <w:rPr>
          <w:rFonts w:ascii="Times New Roman" w:eastAsia="맑은 고딕" w:hAnsi="Times New Roman" w:cs="Times New Roman"/>
          <w:lang w:eastAsia="ko-KR"/>
        </w:rPr>
      </w:pPr>
      <w:r w:rsidRPr="005740F5">
        <w:rPr>
          <w:rFonts w:ascii="Times New Roman" w:eastAsia="맑은 고딕" w:hAnsi="Times New Roman" w:cs="Times New Roman"/>
          <w:lang w:eastAsia="ko-KR"/>
        </w:rPr>
        <w:t>Neighborhood enrichment analysis among core cell types revealed that astrocytic and vascular cells are highly spatially co-enriched, while dopaminergic and immune cells tend to segregate. This pattern was observed across all three brains.</w:t>
      </w:r>
    </w:p>
    <w:p w14:paraId="3EAC20FC" w14:textId="6177BB5C" w:rsidR="005740F5" w:rsidRDefault="005740F5" w:rsidP="005740F5">
      <w:pPr>
        <w:spacing w:line="360" w:lineRule="auto"/>
        <w:rPr>
          <w:rFonts w:ascii="Times New Roman" w:eastAsia="맑은 고딕" w:hAnsi="Times New Roman" w:cs="Times New Roman"/>
          <w:noProof/>
          <w:lang w:eastAsia="ko-KR"/>
        </w:rPr>
      </w:pPr>
    </w:p>
    <w:p w14:paraId="5E146BD0" w14:textId="704F0A2B" w:rsidR="005740F5" w:rsidRDefault="005740F5" w:rsidP="005740F5">
      <w:pPr>
        <w:spacing w:line="360" w:lineRule="auto"/>
        <w:jc w:val="center"/>
        <w:rPr>
          <w:rFonts w:ascii="Times New Roman" w:eastAsia="맑은 고딕" w:hAnsi="Times New Roman" w:cs="Times New Roman"/>
          <w:lang w:eastAsia="ko-KR"/>
        </w:rPr>
      </w:pPr>
      <w:r>
        <w:rPr>
          <w:rFonts w:ascii="Times New Roman" w:eastAsia="맑은 고딕" w:hAnsi="Times New Roman" w:cs="Times New Roman"/>
          <w:noProof/>
          <w:lang w:eastAsia="ko-KR"/>
        </w:rPr>
        <w:drawing>
          <wp:inline distT="0" distB="0" distL="0" distR="0" wp14:anchorId="4D30B524" wp14:editId="4FB5F6F4">
            <wp:extent cx="5937250" cy="2533650"/>
            <wp:effectExtent l="0" t="0" r="6350" b="0"/>
            <wp:docPr id="8440550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b="48449"/>
                    <a:stretch/>
                  </pic:blipFill>
                  <pic:spPr bwMode="auto">
                    <a:xfrm>
                      <a:off x="0" y="0"/>
                      <a:ext cx="5937250" cy="2533650"/>
                    </a:xfrm>
                    <a:prstGeom prst="rect">
                      <a:avLst/>
                    </a:prstGeom>
                    <a:noFill/>
                    <a:ln>
                      <a:noFill/>
                    </a:ln>
                    <a:extLst>
                      <a:ext uri="{53640926-AAD7-44D8-BBD7-CCE9431645EC}">
                        <a14:shadowObscured xmlns:a14="http://schemas.microsoft.com/office/drawing/2010/main"/>
                      </a:ext>
                    </a:extLst>
                  </pic:spPr>
                </pic:pic>
              </a:graphicData>
            </a:graphic>
          </wp:inline>
        </w:drawing>
      </w:r>
    </w:p>
    <w:p w14:paraId="77048524" w14:textId="648EE550" w:rsidR="005740F5" w:rsidRDefault="005740F5" w:rsidP="005740F5">
      <w:pPr>
        <w:spacing w:line="360" w:lineRule="auto"/>
        <w:jc w:val="center"/>
        <w:rPr>
          <w:rFonts w:ascii="Times New Roman" w:eastAsia="맑은 고딕" w:hAnsi="Times New Roman" w:cs="Times New Roman"/>
          <w:lang w:eastAsia="ko-KR"/>
        </w:rPr>
      </w:pPr>
      <w:r>
        <w:rPr>
          <w:rFonts w:ascii="Times New Roman" w:eastAsia="맑은 고딕" w:hAnsi="Times New Roman" w:cs="Times New Roman"/>
          <w:noProof/>
          <w:lang w:eastAsia="ko-KR"/>
        </w:rPr>
        <w:drawing>
          <wp:inline distT="0" distB="0" distL="0" distR="0" wp14:anchorId="59001ADB" wp14:editId="5E05D4B2">
            <wp:extent cx="2946400" cy="2374900"/>
            <wp:effectExtent l="0" t="0" r="6350" b="6350"/>
            <wp:docPr id="1311782225" name="Picture 2"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782225" name="Picture 2" descr="A screenshot of a graph&#10;&#10;AI-generated content may be incorrect."/>
                    <pic:cNvPicPr>
                      <a:picLocks noChangeAspect="1" noChangeArrowheads="1"/>
                    </pic:cNvPicPr>
                  </pic:nvPicPr>
                  <pic:blipFill rotWithShape="1">
                    <a:blip r:embed="rId7">
                      <a:extLst>
                        <a:ext uri="{28A0092B-C50C-407E-A947-70E740481C1C}">
                          <a14:useLocalDpi xmlns:a14="http://schemas.microsoft.com/office/drawing/2010/main" val="0"/>
                        </a:ext>
                      </a:extLst>
                    </a:blip>
                    <a:srcRect t="51551" r="50374" b="128"/>
                    <a:stretch/>
                  </pic:blipFill>
                  <pic:spPr bwMode="auto">
                    <a:xfrm>
                      <a:off x="0" y="0"/>
                      <a:ext cx="2946400" cy="2374900"/>
                    </a:xfrm>
                    <a:prstGeom prst="rect">
                      <a:avLst/>
                    </a:prstGeom>
                    <a:noFill/>
                    <a:ln>
                      <a:noFill/>
                    </a:ln>
                    <a:extLst>
                      <a:ext uri="{53640926-AAD7-44D8-BBD7-CCE9431645EC}">
                        <a14:shadowObscured xmlns:a14="http://schemas.microsoft.com/office/drawing/2010/main"/>
                      </a:ext>
                    </a:extLst>
                  </pic:spPr>
                </pic:pic>
              </a:graphicData>
            </a:graphic>
          </wp:inline>
        </w:drawing>
      </w:r>
    </w:p>
    <w:p w14:paraId="41DD35A2" w14:textId="77777777" w:rsidR="005740F5" w:rsidRPr="005740F5" w:rsidRDefault="005740F5" w:rsidP="005740F5">
      <w:pPr>
        <w:spacing w:line="360" w:lineRule="auto"/>
        <w:jc w:val="center"/>
        <w:rPr>
          <w:rFonts w:ascii="Times New Roman" w:eastAsia="맑은 고딕" w:hAnsi="Times New Roman" w:cs="Times New Roman"/>
          <w:lang w:eastAsia="ko-KR"/>
        </w:rPr>
      </w:pPr>
      <w:r w:rsidRPr="005740F5">
        <w:rPr>
          <w:rFonts w:ascii="Times New Roman" w:eastAsia="맑은 고딕" w:hAnsi="Times New Roman" w:cs="Times New Roman"/>
          <w:lang w:eastAsia="ko-KR"/>
        </w:rPr>
        <w:t>Figure 1: Heatmap of spatial neighborhood enrichment z-scores among core brain cell types (Dopa, Astro, Vascular, Immune) across three mouse brains. Astrocytes and vascular cells showed strong co-localization, while dopaminergic neurons were spatially segregated from vascular and immune cells.</w:t>
      </w:r>
    </w:p>
    <w:p w14:paraId="5E5F54A7" w14:textId="77777777" w:rsidR="005740F5" w:rsidRDefault="005740F5" w:rsidP="005740F5">
      <w:pPr>
        <w:spacing w:line="360" w:lineRule="auto"/>
        <w:rPr>
          <w:rFonts w:ascii="Times New Roman" w:eastAsia="맑은 고딕" w:hAnsi="Times New Roman" w:cs="Times New Roman"/>
          <w:lang w:eastAsia="ko-KR"/>
        </w:rPr>
      </w:pPr>
      <w:r w:rsidRPr="005740F5">
        <w:rPr>
          <w:rFonts w:ascii="Times New Roman" w:eastAsia="맑은 고딕" w:hAnsi="Times New Roman" w:cs="Times New Roman"/>
          <w:lang w:eastAsia="ko-KR"/>
        </w:rPr>
        <w:t>Varying the neighborhood radius (5, 15, 45) showed that enrichment patterns remain stable, confirming that core spatial interactions are robust to parameter changes.</w:t>
      </w:r>
    </w:p>
    <w:p w14:paraId="4673BF1E" w14:textId="4DD54D6A" w:rsidR="005740F5" w:rsidRPr="005740F5" w:rsidRDefault="005740F5" w:rsidP="005740F5">
      <w:pPr>
        <w:spacing w:line="360" w:lineRule="auto"/>
        <w:jc w:val="center"/>
        <w:rPr>
          <w:rFonts w:ascii="Times New Roman" w:eastAsia="맑은 고딕" w:hAnsi="Times New Roman" w:cs="Times New Roman"/>
          <w:lang w:eastAsia="ko-KR"/>
        </w:rPr>
      </w:pPr>
      <w:r>
        <w:rPr>
          <w:rFonts w:ascii="Times New Roman" w:eastAsia="맑은 고딕" w:hAnsi="Times New Roman" w:cs="Times New Roman"/>
          <w:noProof/>
          <w:lang w:eastAsia="ko-KR"/>
        </w:rPr>
        <w:drawing>
          <wp:inline distT="0" distB="0" distL="0" distR="0" wp14:anchorId="0097F7F5" wp14:editId="4C2AEED5">
            <wp:extent cx="5943600" cy="1987550"/>
            <wp:effectExtent l="0" t="0" r="0" b="0"/>
            <wp:docPr id="6355253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987550"/>
                    </a:xfrm>
                    <a:prstGeom prst="rect">
                      <a:avLst/>
                    </a:prstGeom>
                    <a:noFill/>
                    <a:ln>
                      <a:noFill/>
                    </a:ln>
                  </pic:spPr>
                </pic:pic>
              </a:graphicData>
            </a:graphic>
          </wp:inline>
        </w:drawing>
      </w:r>
    </w:p>
    <w:p w14:paraId="0A3F6B7B" w14:textId="77777777" w:rsidR="005740F5" w:rsidRPr="005740F5" w:rsidRDefault="005740F5" w:rsidP="005740F5">
      <w:pPr>
        <w:spacing w:line="360" w:lineRule="auto"/>
        <w:jc w:val="center"/>
        <w:rPr>
          <w:rFonts w:ascii="Times New Roman" w:eastAsia="맑은 고딕" w:hAnsi="Times New Roman" w:cs="Times New Roman"/>
          <w:lang w:eastAsia="ko-KR"/>
        </w:rPr>
      </w:pPr>
      <w:r w:rsidRPr="005740F5">
        <w:rPr>
          <w:rFonts w:ascii="Times New Roman" w:eastAsia="맑은 고딕" w:hAnsi="Times New Roman" w:cs="Times New Roman"/>
          <w:lang w:eastAsia="ko-KR"/>
        </w:rPr>
        <w:t>Figure 2: Neighborhood enrichment results with varying neighbor parameters (n = 5, 15, 45). Core interaction trends such as Dopa–Dopa and Astro–Vascular remain robust across scales.</w:t>
      </w:r>
    </w:p>
    <w:p w14:paraId="3E0AF4DF" w14:textId="77777777" w:rsidR="005740F5" w:rsidRDefault="005740F5" w:rsidP="005740F5">
      <w:pPr>
        <w:spacing w:line="360" w:lineRule="auto"/>
        <w:rPr>
          <w:rFonts w:ascii="Times New Roman" w:eastAsia="맑은 고딕" w:hAnsi="Times New Roman" w:cs="Times New Roman"/>
          <w:lang w:eastAsia="ko-KR"/>
        </w:rPr>
      </w:pPr>
      <w:r w:rsidRPr="005740F5">
        <w:rPr>
          <w:rFonts w:ascii="Times New Roman" w:eastAsia="맑은 고딕" w:hAnsi="Times New Roman" w:cs="Times New Roman"/>
          <w:lang w:eastAsia="ko-KR"/>
        </w:rPr>
        <w:t>Normalized spatial density correlations showed strong positive correlation between astrocytic and vascular cells, and low correlation with immune or dopaminergic cells, validating results from the neighborhood analysis.</w:t>
      </w:r>
    </w:p>
    <w:p w14:paraId="4503A3A1" w14:textId="45D17A4A" w:rsidR="005740F5" w:rsidRPr="005740F5" w:rsidRDefault="005740F5" w:rsidP="005740F5">
      <w:pPr>
        <w:spacing w:line="360" w:lineRule="auto"/>
        <w:jc w:val="center"/>
        <w:rPr>
          <w:rFonts w:ascii="Times New Roman" w:eastAsia="맑은 고딕" w:hAnsi="Times New Roman" w:cs="Times New Roman"/>
          <w:lang w:eastAsia="ko-KR"/>
        </w:rPr>
      </w:pPr>
      <w:r>
        <w:rPr>
          <w:rFonts w:ascii="Times New Roman" w:eastAsia="맑은 고딕" w:hAnsi="Times New Roman" w:cs="Times New Roman"/>
          <w:noProof/>
          <w:lang w:eastAsia="ko-KR"/>
        </w:rPr>
        <w:drawing>
          <wp:inline distT="0" distB="0" distL="0" distR="0" wp14:anchorId="1895FA94" wp14:editId="786B6C69">
            <wp:extent cx="5930900" cy="1771650"/>
            <wp:effectExtent l="0" t="0" r="0" b="0"/>
            <wp:docPr id="16938210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0900" cy="1771650"/>
                    </a:xfrm>
                    <a:prstGeom prst="rect">
                      <a:avLst/>
                    </a:prstGeom>
                    <a:noFill/>
                    <a:ln>
                      <a:noFill/>
                    </a:ln>
                  </pic:spPr>
                </pic:pic>
              </a:graphicData>
            </a:graphic>
          </wp:inline>
        </w:drawing>
      </w:r>
    </w:p>
    <w:p w14:paraId="4560E8C7" w14:textId="77777777" w:rsidR="005740F5" w:rsidRDefault="005740F5" w:rsidP="005740F5">
      <w:pPr>
        <w:spacing w:line="360" w:lineRule="auto"/>
        <w:jc w:val="center"/>
        <w:rPr>
          <w:rFonts w:ascii="Times New Roman" w:eastAsia="맑은 고딕" w:hAnsi="Times New Roman" w:cs="Times New Roman"/>
          <w:lang w:eastAsia="ko-KR"/>
        </w:rPr>
      </w:pPr>
      <w:r w:rsidRPr="005740F5">
        <w:rPr>
          <w:rFonts w:ascii="Times New Roman" w:eastAsia="맑은 고딕" w:hAnsi="Times New Roman" w:cs="Times New Roman"/>
          <w:lang w:eastAsia="ko-KR"/>
        </w:rPr>
        <w:t>Figure 3: Heatmap of spatial density correlations between cell types after normalization. Astrocytes and immune cells show positive co-regionality, while Dopa neurons are anti-correlated with immune and vascular populations.</w:t>
      </w:r>
    </w:p>
    <w:p w14:paraId="324E16D7" w14:textId="68A4519C" w:rsidR="005740F5" w:rsidRDefault="005740F5" w:rsidP="005740F5">
      <w:pPr>
        <w:spacing w:line="360" w:lineRule="auto"/>
        <w:rPr>
          <w:rFonts w:ascii="Times New Roman" w:eastAsia="맑은 고딕" w:hAnsi="Times New Roman" w:cs="Times New Roman"/>
          <w:lang w:eastAsia="ko-KR"/>
        </w:rPr>
      </w:pPr>
      <w:r>
        <w:rPr>
          <w:rFonts w:ascii="Times New Roman" w:eastAsia="맑은 고딕" w:hAnsi="Times New Roman" w:cs="Times New Roman" w:hint="eastAsia"/>
          <w:lang w:eastAsia="ko-KR"/>
        </w:rPr>
        <w:t>Example section was visualized to show the cell type densities.</w:t>
      </w:r>
    </w:p>
    <w:p w14:paraId="5850863E" w14:textId="45798E5D" w:rsidR="005740F5" w:rsidRDefault="005740F5" w:rsidP="005740F5">
      <w:pPr>
        <w:spacing w:line="360" w:lineRule="auto"/>
        <w:jc w:val="center"/>
        <w:rPr>
          <w:rFonts w:ascii="Times New Roman" w:eastAsia="맑은 고딕" w:hAnsi="Times New Roman" w:cs="Times New Roman"/>
          <w:lang w:eastAsia="ko-KR"/>
        </w:rPr>
      </w:pPr>
      <w:r>
        <w:rPr>
          <w:rFonts w:ascii="Times New Roman" w:eastAsia="맑은 고딕" w:hAnsi="Times New Roman" w:cs="Times New Roman"/>
          <w:noProof/>
          <w:lang w:eastAsia="ko-KR"/>
        </w:rPr>
        <w:drawing>
          <wp:inline distT="0" distB="0" distL="0" distR="0" wp14:anchorId="63576850" wp14:editId="034B3CE2">
            <wp:extent cx="5930900" cy="2965450"/>
            <wp:effectExtent l="0" t="0" r="0" b="6350"/>
            <wp:docPr id="1340452975" name="Picture 6" descr="A collage of images of a cell ty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452975" name="Picture 6" descr="A collage of images of a cell type&#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0900" cy="2965450"/>
                    </a:xfrm>
                    <a:prstGeom prst="rect">
                      <a:avLst/>
                    </a:prstGeom>
                    <a:noFill/>
                    <a:ln>
                      <a:noFill/>
                    </a:ln>
                  </pic:spPr>
                </pic:pic>
              </a:graphicData>
            </a:graphic>
          </wp:inline>
        </w:drawing>
      </w:r>
    </w:p>
    <w:p w14:paraId="02E0F1AE" w14:textId="615C6CC5" w:rsidR="005740F5" w:rsidRPr="005740F5" w:rsidRDefault="005740F5" w:rsidP="005740F5">
      <w:pPr>
        <w:spacing w:line="360" w:lineRule="auto"/>
        <w:jc w:val="center"/>
        <w:rPr>
          <w:rFonts w:ascii="Times New Roman" w:eastAsia="맑은 고딕" w:hAnsi="Times New Roman" w:cs="Times New Roman"/>
          <w:lang w:eastAsia="ko-KR"/>
        </w:rPr>
      </w:pPr>
      <w:r w:rsidRPr="005740F5">
        <w:rPr>
          <w:rFonts w:ascii="Times New Roman" w:eastAsia="맑은 고딕" w:hAnsi="Times New Roman" w:cs="Times New Roman"/>
          <w:lang w:eastAsia="ko-KR"/>
        </w:rPr>
        <w:t>Figure 4: Raw and normalized cell type density maps Representative tissue section (ABCA-1.079) showing spatial density distributions of core cell types. Normalized maps highlight the anatomical clustering and separation of distinct cell populations.</w:t>
      </w:r>
    </w:p>
    <w:p w14:paraId="5481BB01" w14:textId="77777777" w:rsidR="00EB5C8B" w:rsidRPr="00EB5C8B" w:rsidRDefault="00EB5C8B" w:rsidP="00EB5C8B">
      <w:pPr>
        <w:spacing w:line="360" w:lineRule="auto"/>
        <w:rPr>
          <w:rFonts w:ascii="Times New Roman" w:eastAsia="맑은 고딕" w:hAnsi="Times New Roman" w:cs="Times New Roman"/>
          <w:b/>
          <w:bCs/>
          <w:lang w:eastAsia="ko-KR"/>
        </w:rPr>
      </w:pPr>
      <w:r w:rsidRPr="00EB5C8B">
        <w:rPr>
          <w:rFonts w:ascii="Times New Roman" w:eastAsia="맑은 고딕" w:hAnsi="Times New Roman" w:cs="Times New Roman"/>
          <w:b/>
          <w:bCs/>
          <w:lang w:eastAsia="ko-KR"/>
        </w:rPr>
        <w:t>3. Spatial Expression of Parkinson's and Inflammation Genes</w:t>
      </w:r>
    </w:p>
    <w:p w14:paraId="0FEFF3B4" w14:textId="77777777" w:rsidR="00EB5C8B" w:rsidRDefault="00EB5C8B" w:rsidP="00EB5C8B">
      <w:pPr>
        <w:spacing w:line="360" w:lineRule="auto"/>
        <w:rPr>
          <w:rFonts w:ascii="Times New Roman" w:eastAsia="맑은 고딕" w:hAnsi="Times New Roman" w:cs="Times New Roman"/>
          <w:lang w:eastAsia="ko-KR"/>
        </w:rPr>
      </w:pPr>
      <w:r w:rsidRPr="00EB5C8B">
        <w:rPr>
          <w:rFonts w:ascii="Times New Roman" w:eastAsia="맑은 고딕" w:hAnsi="Times New Roman" w:cs="Times New Roman"/>
          <w:lang w:eastAsia="ko-KR"/>
        </w:rPr>
        <w:t xml:space="preserve">Spatial expression overlays of seven Parkinson’s and inflammation-related genes across individual brain sections were visualized. Genes such as </w:t>
      </w:r>
      <w:r w:rsidRPr="00EB5C8B">
        <w:rPr>
          <w:rFonts w:ascii="Times New Roman" w:eastAsia="맑은 고딕" w:hAnsi="Times New Roman" w:cs="Times New Roman"/>
          <w:i/>
          <w:iCs/>
          <w:lang w:eastAsia="ko-KR"/>
        </w:rPr>
        <w:t>Th</w:t>
      </w:r>
      <w:r w:rsidRPr="00EB5C8B">
        <w:rPr>
          <w:rFonts w:ascii="Times New Roman" w:eastAsia="맑은 고딕" w:hAnsi="Times New Roman" w:cs="Times New Roman"/>
          <w:lang w:eastAsia="ko-KR"/>
        </w:rPr>
        <w:t xml:space="preserve"> and </w:t>
      </w:r>
      <w:r w:rsidRPr="00EB5C8B">
        <w:rPr>
          <w:rFonts w:ascii="Times New Roman" w:eastAsia="맑은 고딕" w:hAnsi="Times New Roman" w:cs="Times New Roman"/>
          <w:i/>
          <w:iCs/>
          <w:lang w:eastAsia="ko-KR"/>
        </w:rPr>
        <w:t>Drd1</w:t>
      </w:r>
      <w:r w:rsidRPr="00EB5C8B">
        <w:rPr>
          <w:rFonts w:ascii="Times New Roman" w:eastAsia="맑은 고딕" w:hAnsi="Times New Roman" w:cs="Times New Roman"/>
          <w:lang w:eastAsia="ko-KR"/>
        </w:rPr>
        <w:t xml:space="preserve"> show focal hotspots, while others like </w:t>
      </w:r>
      <w:proofErr w:type="spellStart"/>
      <w:r w:rsidRPr="00EB5C8B">
        <w:rPr>
          <w:rFonts w:ascii="Times New Roman" w:eastAsia="맑은 고딕" w:hAnsi="Times New Roman" w:cs="Times New Roman"/>
          <w:i/>
          <w:iCs/>
          <w:lang w:eastAsia="ko-KR"/>
        </w:rPr>
        <w:t>Gfap</w:t>
      </w:r>
      <w:proofErr w:type="spellEnd"/>
      <w:r w:rsidRPr="00EB5C8B">
        <w:rPr>
          <w:rFonts w:ascii="Times New Roman" w:eastAsia="맑은 고딕" w:hAnsi="Times New Roman" w:cs="Times New Roman"/>
          <w:lang w:eastAsia="ko-KR"/>
        </w:rPr>
        <w:t xml:space="preserve"> and </w:t>
      </w:r>
      <w:r w:rsidRPr="00EB5C8B">
        <w:rPr>
          <w:rFonts w:ascii="Times New Roman" w:eastAsia="맑은 고딕" w:hAnsi="Times New Roman" w:cs="Times New Roman"/>
          <w:i/>
          <w:iCs/>
          <w:lang w:eastAsia="ko-KR"/>
        </w:rPr>
        <w:t>Il1rap</w:t>
      </w:r>
      <w:r w:rsidRPr="00EB5C8B">
        <w:rPr>
          <w:rFonts w:ascii="Times New Roman" w:eastAsia="맑은 고딕" w:hAnsi="Times New Roman" w:cs="Times New Roman"/>
          <w:lang w:eastAsia="ko-KR"/>
        </w:rPr>
        <w:t xml:space="preserve"> demonstrate broader glial and immune activation. Note that spatial signals reflect only individual sections and may not capture full-brain expression patterns.</w:t>
      </w:r>
    </w:p>
    <w:p w14:paraId="40A1D3A8" w14:textId="035A762A" w:rsidR="005740F5" w:rsidRDefault="00027827" w:rsidP="00EB5C8B">
      <w:pPr>
        <w:spacing w:line="360" w:lineRule="auto"/>
        <w:rPr>
          <w:rFonts w:ascii="Times New Roman" w:eastAsia="맑은 고딕" w:hAnsi="Times New Roman" w:cs="Times New Roman"/>
          <w:lang w:eastAsia="ko-KR"/>
        </w:rPr>
      </w:pPr>
      <w:r>
        <w:rPr>
          <w:rFonts w:ascii="Times New Roman" w:eastAsia="맑은 고딕" w:hAnsi="Times New Roman" w:cs="Times New Roman"/>
          <w:noProof/>
          <w:lang w:eastAsia="ko-KR"/>
        </w:rPr>
        <w:drawing>
          <wp:inline distT="0" distB="0" distL="0" distR="0" wp14:anchorId="4073E43A" wp14:editId="524F94C0">
            <wp:extent cx="5943600" cy="2298700"/>
            <wp:effectExtent l="0" t="0" r="0" b="6350"/>
            <wp:docPr id="205869023" name="Picture 14" descr="A close-up of a c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69023" name="Picture 14" descr="A close-up of a cell&#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298700"/>
                    </a:xfrm>
                    <a:prstGeom prst="rect">
                      <a:avLst/>
                    </a:prstGeom>
                    <a:noFill/>
                    <a:ln>
                      <a:noFill/>
                    </a:ln>
                  </pic:spPr>
                </pic:pic>
              </a:graphicData>
            </a:graphic>
          </wp:inline>
        </w:drawing>
      </w:r>
      <w:r>
        <w:rPr>
          <w:rFonts w:ascii="Times New Roman" w:eastAsia="맑은 고딕" w:hAnsi="Times New Roman" w:cs="Times New Roman"/>
          <w:noProof/>
          <w:lang w:eastAsia="ko-KR"/>
        </w:rPr>
        <w:drawing>
          <wp:inline distT="0" distB="0" distL="0" distR="0" wp14:anchorId="6B75846E" wp14:editId="4AFC7B40">
            <wp:extent cx="5943600" cy="2298700"/>
            <wp:effectExtent l="0" t="0" r="0" b="6350"/>
            <wp:docPr id="193005479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298700"/>
                    </a:xfrm>
                    <a:prstGeom prst="rect">
                      <a:avLst/>
                    </a:prstGeom>
                    <a:noFill/>
                    <a:ln>
                      <a:noFill/>
                    </a:ln>
                  </pic:spPr>
                </pic:pic>
              </a:graphicData>
            </a:graphic>
          </wp:inline>
        </w:drawing>
      </w:r>
    </w:p>
    <w:p w14:paraId="032D19F9" w14:textId="0F9E0316" w:rsidR="00027827" w:rsidRDefault="00027827" w:rsidP="00EB5C8B">
      <w:pPr>
        <w:spacing w:line="360" w:lineRule="auto"/>
        <w:rPr>
          <w:rFonts w:ascii="Times New Roman" w:eastAsia="맑은 고딕" w:hAnsi="Times New Roman" w:cs="Times New Roman"/>
          <w:lang w:eastAsia="ko-KR"/>
        </w:rPr>
      </w:pPr>
      <w:r>
        <w:rPr>
          <w:rFonts w:ascii="Times New Roman" w:eastAsia="맑은 고딕" w:hAnsi="Times New Roman" w:cs="Times New Roman"/>
          <w:noProof/>
          <w:lang w:eastAsia="ko-KR"/>
        </w:rPr>
        <w:drawing>
          <wp:inline distT="0" distB="0" distL="0" distR="0" wp14:anchorId="29513127" wp14:editId="7D891956">
            <wp:extent cx="5943600" cy="2298700"/>
            <wp:effectExtent l="0" t="0" r="0" b="6350"/>
            <wp:docPr id="64209768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298700"/>
                    </a:xfrm>
                    <a:prstGeom prst="rect">
                      <a:avLst/>
                    </a:prstGeom>
                    <a:noFill/>
                    <a:ln>
                      <a:noFill/>
                    </a:ln>
                  </pic:spPr>
                </pic:pic>
              </a:graphicData>
            </a:graphic>
          </wp:inline>
        </w:drawing>
      </w:r>
    </w:p>
    <w:p w14:paraId="7B6864B9" w14:textId="2C0F5743" w:rsidR="00027827" w:rsidRDefault="00027827" w:rsidP="00EB5C8B">
      <w:pPr>
        <w:spacing w:line="360" w:lineRule="auto"/>
        <w:rPr>
          <w:rFonts w:ascii="Times New Roman" w:eastAsia="맑은 고딕" w:hAnsi="Times New Roman" w:cs="Times New Roman"/>
          <w:lang w:eastAsia="ko-KR"/>
        </w:rPr>
      </w:pPr>
      <w:r>
        <w:rPr>
          <w:rFonts w:ascii="Times New Roman" w:eastAsia="맑은 고딕" w:hAnsi="Times New Roman" w:cs="Times New Roman"/>
          <w:noProof/>
          <w:lang w:eastAsia="ko-KR"/>
        </w:rPr>
        <w:drawing>
          <wp:inline distT="0" distB="0" distL="0" distR="0" wp14:anchorId="6BEA2215" wp14:editId="19C81661">
            <wp:extent cx="5943600" cy="2298700"/>
            <wp:effectExtent l="0" t="0" r="0" b="6350"/>
            <wp:docPr id="2027401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298700"/>
                    </a:xfrm>
                    <a:prstGeom prst="rect">
                      <a:avLst/>
                    </a:prstGeom>
                    <a:noFill/>
                    <a:ln>
                      <a:noFill/>
                    </a:ln>
                  </pic:spPr>
                </pic:pic>
              </a:graphicData>
            </a:graphic>
          </wp:inline>
        </w:drawing>
      </w:r>
    </w:p>
    <w:p w14:paraId="2C7759E7" w14:textId="3A8EA2EF" w:rsidR="00027827" w:rsidRDefault="00027827" w:rsidP="00EB5C8B">
      <w:pPr>
        <w:spacing w:line="360" w:lineRule="auto"/>
        <w:rPr>
          <w:rFonts w:ascii="Times New Roman" w:eastAsia="맑은 고딕" w:hAnsi="Times New Roman" w:cs="Times New Roman"/>
          <w:lang w:eastAsia="ko-KR"/>
        </w:rPr>
      </w:pPr>
      <w:r>
        <w:rPr>
          <w:rFonts w:ascii="Times New Roman" w:eastAsia="맑은 고딕" w:hAnsi="Times New Roman" w:cs="Times New Roman"/>
          <w:noProof/>
          <w:lang w:eastAsia="ko-KR"/>
        </w:rPr>
        <w:drawing>
          <wp:inline distT="0" distB="0" distL="0" distR="0" wp14:anchorId="0B25B312" wp14:editId="34A51D87">
            <wp:extent cx="5943600" cy="2298700"/>
            <wp:effectExtent l="0" t="0" r="0" b="6350"/>
            <wp:docPr id="17217415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298700"/>
                    </a:xfrm>
                    <a:prstGeom prst="rect">
                      <a:avLst/>
                    </a:prstGeom>
                    <a:noFill/>
                    <a:ln>
                      <a:noFill/>
                    </a:ln>
                  </pic:spPr>
                </pic:pic>
              </a:graphicData>
            </a:graphic>
          </wp:inline>
        </w:drawing>
      </w:r>
    </w:p>
    <w:p w14:paraId="1652DFEA" w14:textId="2EE7FCC1" w:rsidR="00027827" w:rsidRDefault="00027827" w:rsidP="00EB5C8B">
      <w:pPr>
        <w:spacing w:line="360" w:lineRule="auto"/>
        <w:rPr>
          <w:rFonts w:ascii="Times New Roman" w:eastAsia="맑은 고딕" w:hAnsi="Times New Roman" w:cs="Times New Roman"/>
          <w:lang w:eastAsia="ko-KR"/>
        </w:rPr>
      </w:pPr>
      <w:r>
        <w:rPr>
          <w:rFonts w:ascii="Times New Roman" w:eastAsia="맑은 고딕" w:hAnsi="Times New Roman" w:cs="Times New Roman"/>
          <w:noProof/>
          <w:lang w:eastAsia="ko-KR"/>
        </w:rPr>
        <w:drawing>
          <wp:inline distT="0" distB="0" distL="0" distR="0" wp14:anchorId="533B390B" wp14:editId="2391E417">
            <wp:extent cx="5943600" cy="2298700"/>
            <wp:effectExtent l="0" t="0" r="0" b="6350"/>
            <wp:docPr id="2872896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298700"/>
                    </a:xfrm>
                    <a:prstGeom prst="rect">
                      <a:avLst/>
                    </a:prstGeom>
                    <a:noFill/>
                    <a:ln>
                      <a:noFill/>
                    </a:ln>
                  </pic:spPr>
                </pic:pic>
              </a:graphicData>
            </a:graphic>
          </wp:inline>
        </w:drawing>
      </w:r>
    </w:p>
    <w:p w14:paraId="490F17D9" w14:textId="00387E0E" w:rsidR="00027827" w:rsidRPr="00EB5C8B" w:rsidRDefault="00027827" w:rsidP="00EB5C8B">
      <w:pPr>
        <w:spacing w:line="360" w:lineRule="auto"/>
        <w:rPr>
          <w:rFonts w:ascii="Times New Roman" w:eastAsia="맑은 고딕" w:hAnsi="Times New Roman" w:cs="Times New Roman"/>
          <w:lang w:eastAsia="ko-KR"/>
        </w:rPr>
      </w:pPr>
      <w:r>
        <w:rPr>
          <w:rFonts w:ascii="Times New Roman" w:eastAsia="맑은 고딕" w:hAnsi="Times New Roman" w:cs="Times New Roman"/>
          <w:noProof/>
          <w:lang w:eastAsia="ko-KR"/>
        </w:rPr>
        <w:drawing>
          <wp:inline distT="0" distB="0" distL="0" distR="0" wp14:anchorId="3FF3BEE1" wp14:editId="0A97E4FD">
            <wp:extent cx="5943600" cy="2298700"/>
            <wp:effectExtent l="0" t="0" r="0" b="6350"/>
            <wp:docPr id="10057080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298700"/>
                    </a:xfrm>
                    <a:prstGeom prst="rect">
                      <a:avLst/>
                    </a:prstGeom>
                    <a:noFill/>
                    <a:ln>
                      <a:noFill/>
                    </a:ln>
                  </pic:spPr>
                </pic:pic>
              </a:graphicData>
            </a:graphic>
          </wp:inline>
        </w:drawing>
      </w:r>
    </w:p>
    <w:p w14:paraId="0364E7CF" w14:textId="77777777" w:rsidR="00EB5C8B" w:rsidRPr="00EB5C8B" w:rsidRDefault="00EB5C8B" w:rsidP="00EB5C8B">
      <w:pPr>
        <w:spacing w:line="360" w:lineRule="auto"/>
        <w:rPr>
          <w:rFonts w:ascii="Times New Roman" w:eastAsia="맑은 고딕" w:hAnsi="Times New Roman" w:cs="Times New Roman"/>
          <w:lang w:eastAsia="ko-KR"/>
        </w:rPr>
      </w:pPr>
      <w:r w:rsidRPr="00EB5C8B">
        <w:rPr>
          <w:rFonts w:ascii="Times New Roman" w:eastAsia="맑은 고딕" w:hAnsi="Times New Roman" w:cs="Times New Roman"/>
          <w:lang w:eastAsia="ko-KR"/>
        </w:rPr>
        <w:t xml:space="preserve">Figure 5: Spatial expression overlays of seven Parkinson’s and inflammation-related genes across individual brain sections. Genes such as Th and Drd1 show focal hotspots, while others like </w:t>
      </w:r>
      <w:proofErr w:type="spellStart"/>
      <w:r w:rsidRPr="00EB5C8B">
        <w:rPr>
          <w:rFonts w:ascii="Times New Roman" w:eastAsia="맑은 고딕" w:hAnsi="Times New Roman" w:cs="Times New Roman"/>
          <w:lang w:eastAsia="ko-KR"/>
        </w:rPr>
        <w:t>Gfap</w:t>
      </w:r>
      <w:proofErr w:type="spellEnd"/>
      <w:r w:rsidRPr="00EB5C8B">
        <w:rPr>
          <w:rFonts w:ascii="Times New Roman" w:eastAsia="맑은 고딕" w:hAnsi="Times New Roman" w:cs="Times New Roman"/>
          <w:lang w:eastAsia="ko-KR"/>
        </w:rPr>
        <w:t xml:space="preserve"> and Il1rap demonstrate broader glial and immune activation. Note: spatial signals reflect only individual sections and may not capture full-brain expression patterns.</w:t>
      </w:r>
    </w:p>
    <w:p w14:paraId="511D9224" w14:textId="77777777" w:rsidR="00EB5C8B" w:rsidRPr="00EB5C8B" w:rsidRDefault="00EB5C8B" w:rsidP="00EB5C8B">
      <w:pPr>
        <w:spacing w:line="360" w:lineRule="auto"/>
        <w:rPr>
          <w:rFonts w:ascii="Times New Roman" w:eastAsia="맑은 고딕" w:hAnsi="Times New Roman" w:cs="Times New Roman"/>
          <w:b/>
          <w:bCs/>
          <w:lang w:eastAsia="ko-KR"/>
        </w:rPr>
      </w:pPr>
      <w:r w:rsidRPr="00EB5C8B">
        <w:rPr>
          <w:rFonts w:ascii="Times New Roman" w:eastAsia="맑은 고딕" w:hAnsi="Times New Roman" w:cs="Times New Roman"/>
          <w:b/>
          <w:bCs/>
          <w:lang w:eastAsia="ko-KR"/>
        </w:rPr>
        <w:t>4. Gene + Cell-Type Neighborhood Interaction Matrix</w:t>
      </w:r>
    </w:p>
    <w:p w14:paraId="190FC349" w14:textId="660CF523" w:rsidR="005740F5" w:rsidRPr="005740F5" w:rsidRDefault="005740F5" w:rsidP="005740F5">
      <w:pPr>
        <w:spacing w:line="360" w:lineRule="auto"/>
        <w:rPr>
          <w:rFonts w:ascii="Times New Roman" w:eastAsia="맑은 고딕" w:hAnsi="Times New Roman" w:cs="Times New Roman"/>
          <w:lang w:eastAsia="ko-KR"/>
        </w:rPr>
      </w:pPr>
      <w:r w:rsidRPr="005740F5">
        <w:rPr>
          <w:rFonts w:ascii="Times New Roman" w:eastAsia="맑은 고딕" w:hAnsi="Times New Roman" w:cs="Times New Roman"/>
          <w:lang w:eastAsia="ko-KR"/>
        </w:rPr>
        <w:t xml:space="preserve">A 12×12 neighborhood enrichment matrix shows how gene-high cells interact with core brain cell types. Strong co-enrichment was observed between </w:t>
      </w:r>
      <w:proofErr w:type="spellStart"/>
      <w:r w:rsidRPr="005740F5">
        <w:rPr>
          <w:rFonts w:ascii="Times New Roman" w:eastAsia="맑은 고딕" w:hAnsi="Times New Roman" w:cs="Times New Roman"/>
          <w:i/>
          <w:iCs/>
          <w:lang w:eastAsia="ko-KR"/>
        </w:rPr>
        <w:t>Gfap</w:t>
      </w:r>
      <w:proofErr w:type="spellEnd"/>
      <w:r>
        <w:rPr>
          <w:rFonts w:ascii="Times New Roman" w:eastAsia="맑은 고딕" w:hAnsi="Times New Roman" w:cs="Times New Roman" w:hint="eastAsia"/>
          <w:i/>
          <w:iCs/>
          <w:lang w:eastAsia="ko-KR"/>
        </w:rPr>
        <w:t xml:space="preserve"> </w:t>
      </w:r>
      <w:r w:rsidRPr="005740F5">
        <w:rPr>
          <w:rFonts w:ascii="Times New Roman" w:eastAsia="맑은 고딕" w:hAnsi="Times New Roman" w:cs="Times New Roman"/>
          <w:i/>
          <w:iCs/>
          <w:lang w:eastAsia="ko-KR"/>
        </w:rPr>
        <w:t>high</w:t>
      </w:r>
      <w:r w:rsidRPr="005740F5">
        <w:rPr>
          <w:rFonts w:ascii="Times New Roman" w:eastAsia="맑은 고딕" w:hAnsi="Times New Roman" w:cs="Times New Roman"/>
          <w:lang w:eastAsia="ko-KR"/>
        </w:rPr>
        <w:t xml:space="preserve"> and astrocytes, </w:t>
      </w:r>
      <w:r w:rsidRPr="005740F5">
        <w:rPr>
          <w:rFonts w:ascii="Times New Roman" w:eastAsia="맑은 고딕" w:hAnsi="Times New Roman" w:cs="Times New Roman"/>
          <w:i/>
          <w:iCs/>
          <w:lang w:eastAsia="ko-KR"/>
        </w:rPr>
        <w:t>Il1rap</w:t>
      </w:r>
      <w:r>
        <w:rPr>
          <w:rFonts w:ascii="Times New Roman" w:eastAsia="맑은 고딕" w:hAnsi="Times New Roman" w:cs="Times New Roman" w:hint="eastAsia"/>
          <w:i/>
          <w:iCs/>
          <w:lang w:eastAsia="ko-KR"/>
        </w:rPr>
        <w:t xml:space="preserve"> </w:t>
      </w:r>
      <w:r w:rsidRPr="005740F5">
        <w:rPr>
          <w:rFonts w:ascii="Times New Roman" w:eastAsia="맑은 고딕" w:hAnsi="Times New Roman" w:cs="Times New Roman"/>
          <w:i/>
          <w:iCs/>
          <w:lang w:eastAsia="ko-KR"/>
        </w:rPr>
        <w:t>high</w:t>
      </w:r>
      <w:r w:rsidRPr="005740F5">
        <w:rPr>
          <w:rFonts w:ascii="Times New Roman" w:eastAsia="맑은 고딕" w:hAnsi="Times New Roman" w:cs="Times New Roman"/>
          <w:lang w:eastAsia="ko-KR"/>
        </w:rPr>
        <w:t xml:space="preserve"> and immune cells, and </w:t>
      </w:r>
      <w:r w:rsidRPr="005740F5">
        <w:rPr>
          <w:rFonts w:ascii="Times New Roman" w:eastAsia="맑은 고딕" w:hAnsi="Times New Roman" w:cs="Times New Roman"/>
          <w:i/>
          <w:iCs/>
          <w:lang w:eastAsia="ko-KR"/>
        </w:rPr>
        <w:t>Th</w:t>
      </w:r>
      <w:r>
        <w:rPr>
          <w:rFonts w:ascii="Times New Roman" w:eastAsia="맑은 고딕" w:hAnsi="Times New Roman" w:cs="Times New Roman" w:hint="eastAsia"/>
          <w:i/>
          <w:iCs/>
          <w:lang w:eastAsia="ko-KR"/>
        </w:rPr>
        <w:t xml:space="preserve"> </w:t>
      </w:r>
      <w:r w:rsidRPr="005740F5">
        <w:rPr>
          <w:rFonts w:ascii="Times New Roman" w:eastAsia="맑은 고딕" w:hAnsi="Times New Roman" w:cs="Times New Roman"/>
          <w:i/>
          <w:iCs/>
          <w:lang w:eastAsia="ko-KR"/>
        </w:rPr>
        <w:t>high</w:t>
      </w:r>
      <w:r w:rsidRPr="005740F5">
        <w:rPr>
          <w:rFonts w:ascii="Times New Roman" w:eastAsia="맑은 고딕" w:hAnsi="Times New Roman" w:cs="Times New Roman"/>
          <w:lang w:eastAsia="ko-KR"/>
        </w:rPr>
        <w:t xml:space="preserve"> with dopaminergic cells.</w:t>
      </w:r>
    </w:p>
    <w:p w14:paraId="42512FD7" w14:textId="77777777" w:rsidR="003021EA" w:rsidRDefault="005740F5" w:rsidP="005740F5">
      <w:pPr>
        <w:spacing w:line="360" w:lineRule="auto"/>
        <w:jc w:val="center"/>
        <w:rPr>
          <w:rFonts w:ascii="Times New Roman" w:eastAsia="맑은 고딕" w:hAnsi="Times New Roman" w:cs="Times New Roman"/>
          <w:lang w:eastAsia="ko-KR"/>
        </w:rPr>
      </w:pPr>
      <w:r>
        <w:rPr>
          <w:rFonts w:ascii="Times New Roman" w:eastAsia="맑은 고딕" w:hAnsi="Times New Roman" w:cs="Times New Roman"/>
          <w:noProof/>
          <w:lang w:eastAsia="ko-KR"/>
        </w:rPr>
        <w:drawing>
          <wp:inline distT="0" distB="0" distL="0" distR="0" wp14:anchorId="3ADD8433" wp14:editId="218A85D6">
            <wp:extent cx="4933950" cy="4090539"/>
            <wp:effectExtent l="0" t="0" r="0" b="5715"/>
            <wp:docPr id="16265436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49742" cy="4103632"/>
                    </a:xfrm>
                    <a:prstGeom prst="rect">
                      <a:avLst/>
                    </a:prstGeom>
                    <a:noFill/>
                    <a:ln>
                      <a:noFill/>
                    </a:ln>
                  </pic:spPr>
                </pic:pic>
              </a:graphicData>
            </a:graphic>
          </wp:inline>
        </w:drawing>
      </w:r>
    </w:p>
    <w:p w14:paraId="4A196672" w14:textId="3FA52877" w:rsidR="005740F5" w:rsidRDefault="003021EA" w:rsidP="005740F5">
      <w:pPr>
        <w:spacing w:line="360" w:lineRule="auto"/>
        <w:jc w:val="center"/>
        <w:rPr>
          <w:rFonts w:ascii="Times New Roman" w:eastAsia="맑은 고딕" w:hAnsi="Times New Roman" w:cs="Times New Roman"/>
          <w:lang w:eastAsia="ko-KR"/>
        </w:rPr>
      </w:pPr>
      <w:r>
        <w:rPr>
          <w:rFonts w:ascii="Times New Roman" w:eastAsia="맑은 고딕" w:hAnsi="Times New Roman" w:cs="Times New Roman"/>
          <w:noProof/>
          <w:lang w:eastAsia="ko-KR"/>
        </w:rPr>
        <w:drawing>
          <wp:inline distT="0" distB="0" distL="0" distR="0" wp14:anchorId="3E0E4382" wp14:editId="7FBCBDDA">
            <wp:extent cx="4552950" cy="3774668"/>
            <wp:effectExtent l="0" t="0" r="0" b="0"/>
            <wp:docPr id="73702154" name="Picture 8"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02154" name="Picture 8" descr="A screenshot of a graph&#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56405" cy="3777532"/>
                    </a:xfrm>
                    <a:prstGeom prst="rect">
                      <a:avLst/>
                    </a:prstGeom>
                    <a:noFill/>
                    <a:ln>
                      <a:noFill/>
                    </a:ln>
                  </pic:spPr>
                </pic:pic>
              </a:graphicData>
            </a:graphic>
          </wp:inline>
        </w:drawing>
      </w:r>
      <w:r w:rsidR="005740F5">
        <w:rPr>
          <w:rFonts w:ascii="Times New Roman" w:eastAsia="맑은 고딕" w:hAnsi="Times New Roman" w:cs="Times New Roman"/>
          <w:noProof/>
          <w:lang w:eastAsia="ko-KR"/>
        </w:rPr>
        <w:drawing>
          <wp:inline distT="0" distB="0" distL="0" distR="0" wp14:anchorId="30548A93" wp14:editId="47854AD1">
            <wp:extent cx="4901323" cy="4025900"/>
            <wp:effectExtent l="0" t="0" r="0" b="0"/>
            <wp:docPr id="14492879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04457" cy="4028474"/>
                    </a:xfrm>
                    <a:prstGeom prst="rect">
                      <a:avLst/>
                    </a:prstGeom>
                    <a:noFill/>
                    <a:ln>
                      <a:noFill/>
                    </a:ln>
                  </pic:spPr>
                </pic:pic>
              </a:graphicData>
            </a:graphic>
          </wp:inline>
        </w:drawing>
      </w:r>
    </w:p>
    <w:p w14:paraId="0CC38CE8" w14:textId="72E53A33" w:rsidR="005740F5" w:rsidRPr="005740F5" w:rsidRDefault="005740F5" w:rsidP="005740F5">
      <w:pPr>
        <w:spacing w:line="360" w:lineRule="auto"/>
        <w:jc w:val="center"/>
        <w:rPr>
          <w:rFonts w:ascii="Times New Roman" w:eastAsia="맑은 고딕" w:hAnsi="Times New Roman" w:cs="Times New Roman"/>
          <w:lang w:eastAsia="ko-KR"/>
        </w:rPr>
      </w:pPr>
      <w:r w:rsidRPr="005740F5">
        <w:rPr>
          <w:rFonts w:ascii="Times New Roman" w:eastAsia="맑은 고딕" w:hAnsi="Times New Roman" w:cs="Times New Roman"/>
          <w:lang w:eastAsia="ko-KR"/>
        </w:rPr>
        <w:t xml:space="preserve">Figure </w:t>
      </w:r>
      <w:r>
        <w:rPr>
          <w:rFonts w:ascii="Times New Roman" w:eastAsia="맑은 고딕" w:hAnsi="Times New Roman" w:cs="Times New Roman" w:hint="eastAsia"/>
          <w:lang w:eastAsia="ko-KR"/>
        </w:rPr>
        <w:t>6</w:t>
      </w:r>
      <w:r w:rsidRPr="005740F5">
        <w:rPr>
          <w:rFonts w:ascii="Times New Roman" w:eastAsia="맑은 고딕" w:hAnsi="Times New Roman" w:cs="Times New Roman"/>
          <w:lang w:eastAsia="ko-KR"/>
        </w:rPr>
        <w:t>: Enrichment matrix showing spatial interaction patterns between cell types and high-expressing gene groups. Dopaminergic and immune-related gene-high cells exhibit proximity to corresponding functional cell types.</w:t>
      </w:r>
    </w:p>
    <w:p w14:paraId="1376469C" w14:textId="77777777" w:rsidR="00EB5C8B" w:rsidRPr="00EB5C8B" w:rsidRDefault="00EB5C8B" w:rsidP="00EB5C8B">
      <w:pPr>
        <w:spacing w:line="360" w:lineRule="auto"/>
        <w:rPr>
          <w:rFonts w:ascii="Times New Roman" w:eastAsia="맑은 고딕" w:hAnsi="Times New Roman" w:cs="Times New Roman"/>
          <w:b/>
          <w:bCs/>
          <w:lang w:eastAsia="ko-KR"/>
        </w:rPr>
      </w:pPr>
      <w:r w:rsidRPr="00EB5C8B">
        <w:rPr>
          <w:rFonts w:ascii="Times New Roman" w:eastAsia="맑은 고딕" w:hAnsi="Times New Roman" w:cs="Times New Roman"/>
          <w:b/>
          <w:bCs/>
          <w:lang w:eastAsia="ko-KR"/>
        </w:rPr>
        <w:t>5. Gene Module Discovery &amp; Functional Interpretation</w:t>
      </w:r>
    </w:p>
    <w:p w14:paraId="6199DF2E" w14:textId="77777777" w:rsidR="005740F5" w:rsidRDefault="005740F5" w:rsidP="005740F5">
      <w:pPr>
        <w:spacing w:line="360" w:lineRule="auto"/>
        <w:rPr>
          <w:rFonts w:ascii="Times New Roman" w:eastAsia="맑은 고딕" w:hAnsi="Times New Roman" w:cs="Times New Roman"/>
          <w:lang w:eastAsia="ko-KR"/>
        </w:rPr>
      </w:pPr>
      <w:r w:rsidRPr="005740F5">
        <w:rPr>
          <w:rFonts w:ascii="Times New Roman" w:eastAsia="맑은 고딕" w:hAnsi="Times New Roman" w:cs="Times New Roman"/>
          <w:lang w:eastAsia="ko-KR"/>
        </w:rPr>
        <w:t>Hierarchical clustering of gene-high groups based on spatial interaction z-scores revealed three distinct modules. These clusters were consistent across brains, suggesting stable gene co-enrichment modules.</w:t>
      </w:r>
    </w:p>
    <w:p w14:paraId="1247C0EC" w14:textId="21D5B873" w:rsidR="005740F5" w:rsidRPr="005740F5" w:rsidRDefault="005740F5" w:rsidP="005740F5">
      <w:pPr>
        <w:spacing w:line="360" w:lineRule="auto"/>
        <w:rPr>
          <w:rFonts w:ascii="Times New Roman" w:eastAsia="맑은 고딕" w:hAnsi="Times New Roman" w:cs="Times New Roman"/>
          <w:lang w:eastAsia="ko-KR"/>
        </w:rPr>
      </w:pPr>
      <w:r>
        <w:rPr>
          <w:rFonts w:ascii="Times New Roman" w:eastAsia="맑은 고딕" w:hAnsi="Times New Roman" w:cs="Times New Roman"/>
          <w:noProof/>
          <w:lang w:eastAsia="ko-KR"/>
        </w:rPr>
        <w:drawing>
          <wp:inline distT="0" distB="0" distL="0" distR="0" wp14:anchorId="3C494F4E" wp14:editId="71B402A0">
            <wp:extent cx="5937250" cy="4686300"/>
            <wp:effectExtent l="0" t="0" r="6350" b="0"/>
            <wp:docPr id="6285634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7250" cy="4686300"/>
                    </a:xfrm>
                    <a:prstGeom prst="rect">
                      <a:avLst/>
                    </a:prstGeom>
                    <a:noFill/>
                    <a:ln>
                      <a:noFill/>
                    </a:ln>
                  </pic:spPr>
                </pic:pic>
              </a:graphicData>
            </a:graphic>
          </wp:inline>
        </w:drawing>
      </w:r>
    </w:p>
    <w:p w14:paraId="6713DC99" w14:textId="0751AB06" w:rsidR="005740F5" w:rsidRPr="005740F5" w:rsidRDefault="005740F5" w:rsidP="00B8048D">
      <w:pPr>
        <w:spacing w:line="360" w:lineRule="auto"/>
        <w:jc w:val="center"/>
        <w:rPr>
          <w:rFonts w:ascii="Times New Roman" w:eastAsia="맑은 고딕" w:hAnsi="Times New Roman" w:cs="Times New Roman"/>
          <w:lang w:eastAsia="ko-KR"/>
        </w:rPr>
      </w:pPr>
      <w:r w:rsidRPr="005740F5">
        <w:rPr>
          <w:rFonts w:ascii="Times New Roman" w:eastAsia="맑은 고딕" w:hAnsi="Times New Roman" w:cs="Times New Roman"/>
          <w:lang w:eastAsia="ko-KR"/>
        </w:rPr>
        <w:t xml:space="preserve">Figure </w:t>
      </w:r>
      <w:r>
        <w:rPr>
          <w:rFonts w:ascii="Times New Roman" w:eastAsia="맑은 고딕" w:hAnsi="Times New Roman" w:cs="Times New Roman" w:hint="eastAsia"/>
          <w:lang w:eastAsia="ko-KR"/>
        </w:rPr>
        <w:t>7</w:t>
      </w:r>
      <w:r w:rsidRPr="005740F5">
        <w:rPr>
          <w:rFonts w:ascii="Times New Roman" w:eastAsia="맑은 고딕" w:hAnsi="Times New Roman" w:cs="Times New Roman"/>
          <w:lang w:eastAsia="ko-KR"/>
        </w:rPr>
        <w:t>: Clustering based on neighborhood enrichment z-scores reveals three distinct spatial modules among gene-high groups. Modules suggest functional segregation of dopaminergic and inflammation-related genes.</w:t>
      </w:r>
    </w:p>
    <w:p w14:paraId="0002C136" w14:textId="77777777" w:rsidR="005740F5" w:rsidRPr="005740F5" w:rsidRDefault="005740F5" w:rsidP="005740F5">
      <w:pPr>
        <w:spacing w:line="360" w:lineRule="auto"/>
        <w:rPr>
          <w:rFonts w:ascii="Times New Roman" w:eastAsia="맑은 고딕" w:hAnsi="Times New Roman" w:cs="Times New Roman"/>
          <w:lang w:eastAsia="ko-KR"/>
        </w:rPr>
      </w:pPr>
      <w:r w:rsidRPr="005740F5">
        <w:rPr>
          <w:rFonts w:ascii="Times New Roman" w:eastAsia="맑은 고딕" w:hAnsi="Times New Roman" w:cs="Times New Roman"/>
          <w:lang w:eastAsia="ko-KR"/>
        </w:rPr>
        <w:t>Gene Ontology enrichment for Cluster 1 genes highlighted biological processes such as T cell activation, cytokine receptor binding, and neurotransmitter secretion, suggesting this spatial module may mediate immune-dopaminergic cross-talk.</w:t>
      </w:r>
    </w:p>
    <w:p w14:paraId="0F55A2EE" w14:textId="7655D2BA" w:rsidR="005740F5" w:rsidRDefault="003A16BD" w:rsidP="005740F5">
      <w:pPr>
        <w:spacing w:line="360" w:lineRule="auto"/>
        <w:jc w:val="center"/>
        <w:rPr>
          <w:rFonts w:ascii="Times New Roman" w:eastAsia="맑은 고딕" w:hAnsi="Times New Roman" w:cs="Times New Roman"/>
          <w:lang w:eastAsia="ko-KR"/>
        </w:rPr>
      </w:pPr>
      <w:r>
        <w:rPr>
          <w:rFonts w:ascii="Times New Roman" w:eastAsia="맑은 고딕" w:hAnsi="Times New Roman" w:cs="Times New Roman"/>
          <w:noProof/>
          <w:lang w:eastAsia="ko-KR"/>
        </w:rPr>
        <w:drawing>
          <wp:inline distT="0" distB="0" distL="0" distR="0" wp14:anchorId="62651EEC" wp14:editId="0C5BED84">
            <wp:extent cx="8159750" cy="4773672"/>
            <wp:effectExtent l="0" t="2223" r="0" b="0"/>
            <wp:docPr id="208148117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a:off x="0" y="0"/>
                      <a:ext cx="8179159" cy="4785027"/>
                    </a:xfrm>
                    <a:prstGeom prst="rect">
                      <a:avLst/>
                    </a:prstGeom>
                    <a:noFill/>
                    <a:ln>
                      <a:noFill/>
                    </a:ln>
                  </pic:spPr>
                </pic:pic>
              </a:graphicData>
            </a:graphic>
          </wp:inline>
        </w:drawing>
      </w:r>
    </w:p>
    <w:p w14:paraId="04BAF01D" w14:textId="66CE31B4" w:rsidR="005740F5" w:rsidRPr="005740F5" w:rsidRDefault="005740F5" w:rsidP="005740F5">
      <w:pPr>
        <w:spacing w:line="360" w:lineRule="auto"/>
        <w:jc w:val="center"/>
        <w:rPr>
          <w:rFonts w:ascii="Times New Roman" w:eastAsia="맑은 고딕" w:hAnsi="Times New Roman" w:cs="Times New Roman"/>
          <w:lang w:eastAsia="ko-KR"/>
        </w:rPr>
      </w:pPr>
      <w:r w:rsidRPr="005740F5">
        <w:rPr>
          <w:rFonts w:ascii="Times New Roman" w:eastAsia="맑은 고딕" w:hAnsi="Times New Roman" w:cs="Times New Roman"/>
          <w:lang w:eastAsia="ko-KR"/>
        </w:rPr>
        <w:t xml:space="preserve">Figure </w:t>
      </w:r>
      <w:r>
        <w:rPr>
          <w:rFonts w:ascii="Times New Roman" w:eastAsia="맑은 고딕" w:hAnsi="Times New Roman" w:cs="Times New Roman" w:hint="eastAsia"/>
          <w:lang w:eastAsia="ko-KR"/>
        </w:rPr>
        <w:t>8</w:t>
      </w:r>
      <w:r w:rsidRPr="005740F5">
        <w:rPr>
          <w:rFonts w:ascii="Times New Roman" w:eastAsia="맑은 고딕" w:hAnsi="Times New Roman" w:cs="Times New Roman"/>
          <w:lang w:eastAsia="ko-KR"/>
        </w:rPr>
        <w:t>: Gene Ontology enrichment analysis for Cluster 1 genes identifies key biological processes such as cytokine signaling and synaptic regulation. These functions may reflect convergent roles of genes in neuroinflammatory contexts.</w:t>
      </w:r>
    </w:p>
    <w:p w14:paraId="5794CE79" w14:textId="77777777" w:rsidR="00842C2F" w:rsidRPr="00842C2F" w:rsidRDefault="00842C2F" w:rsidP="00EB5C8B">
      <w:pPr>
        <w:spacing w:line="360" w:lineRule="auto"/>
        <w:rPr>
          <w:rFonts w:ascii="Times New Roman" w:eastAsia="맑은 고딕" w:hAnsi="Times New Roman" w:cs="Times New Roman"/>
          <w:b/>
          <w:bCs/>
          <w:lang w:eastAsia="ko-KR"/>
        </w:rPr>
      </w:pPr>
      <w:r w:rsidRPr="00842C2F">
        <w:rPr>
          <w:rFonts w:ascii="Times New Roman" w:eastAsia="맑은 고딕" w:hAnsi="Times New Roman" w:cs="Times New Roman"/>
          <w:b/>
          <w:bCs/>
          <w:lang w:eastAsia="ko-KR"/>
        </w:rPr>
        <w:t>Discussion</w:t>
      </w:r>
    </w:p>
    <w:p w14:paraId="625FCB07" w14:textId="77777777" w:rsidR="005740F5" w:rsidRPr="005740F5" w:rsidRDefault="005740F5" w:rsidP="005740F5">
      <w:pPr>
        <w:spacing w:line="360" w:lineRule="auto"/>
        <w:rPr>
          <w:rFonts w:ascii="Times New Roman" w:eastAsia="맑은 고딕" w:hAnsi="Times New Roman" w:cs="Times New Roman"/>
          <w:lang w:eastAsia="ko-KR"/>
        </w:rPr>
      </w:pPr>
      <w:r w:rsidRPr="005740F5">
        <w:rPr>
          <w:rFonts w:ascii="Times New Roman" w:eastAsia="맑은 고딕" w:hAnsi="Times New Roman" w:cs="Times New Roman"/>
          <w:lang w:eastAsia="ko-KR"/>
        </w:rPr>
        <w:t>The neighborhood enrichment analysis among core cell types revealed a consistent and biologically meaningful spatial organization across all three mouse brains. Astrocytes and vascular cells were often found in close proximity, consistent with their joint roles in forming the blood-brain barrier and regulating brain homeostasis. In contrast, dopaminergic neurons and immune cells were spatially separated, suggesting distinct tissue niches or functional separation under homeostatic conditions. This provides a foundational map for understanding where disease processes might emerge if these boundaries are disrupted.</w:t>
      </w:r>
    </w:p>
    <w:p w14:paraId="0FFCBABD" w14:textId="77777777" w:rsidR="005740F5" w:rsidRPr="005740F5" w:rsidRDefault="005740F5" w:rsidP="005740F5">
      <w:pPr>
        <w:spacing w:line="360" w:lineRule="auto"/>
        <w:rPr>
          <w:rFonts w:ascii="Times New Roman" w:eastAsia="맑은 고딕" w:hAnsi="Times New Roman" w:cs="Times New Roman"/>
          <w:lang w:eastAsia="ko-KR"/>
        </w:rPr>
      </w:pPr>
      <w:r w:rsidRPr="005740F5">
        <w:rPr>
          <w:rFonts w:ascii="Times New Roman" w:eastAsia="맑은 고딕" w:hAnsi="Times New Roman" w:cs="Times New Roman"/>
          <w:lang w:eastAsia="ko-KR"/>
        </w:rPr>
        <w:t>In the parameter sensitivity analysis (Figure 2), we observed that the overall spatial trends—particularly the co-localization of astrocytes and vascular cells—remained stable across a wide range of neighborhood definitions. This robustness indicates that the spatial organization we observed is not merely an artifact of local neighborhood size and highlights the reliability of the underlying biological signal.</w:t>
      </w:r>
    </w:p>
    <w:p w14:paraId="6D94AD6A" w14:textId="77777777" w:rsidR="005740F5" w:rsidRPr="005740F5" w:rsidRDefault="005740F5" w:rsidP="005740F5">
      <w:pPr>
        <w:spacing w:line="360" w:lineRule="auto"/>
        <w:rPr>
          <w:rFonts w:ascii="Times New Roman" w:eastAsia="맑은 고딕" w:hAnsi="Times New Roman" w:cs="Times New Roman"/>
          <w:lang w:eastAsia="ko-KR"/>
        </w:rPr>
      </w:pPr>
      <w:r w:rsidRPr="005740F5">
        <w:rPr>
          <w:rFonts w:ascii="Times New Roman" w:eastAsia="맑은 고딕" w:hAnsi="Times New Roman" w:cs="Times New Roman"/>
          <w:lang w:eastAsia="ko-KR"/>
        </w:rPr>
        <w:t>The spatial density correlation analysis (Figure 3) further validated these patterns. After normalizing cell densities to account for tissue composition differences, we observed positive correlations between astrocytic and vascular cell distributions and clear spatial separation from immune cells. This cross-validation of neighborhood-level and region-level spatial interactions strengthens the evidence for non-random, tissue-scale cellular organization.</w:t>
      </w:r>
    </w:p>
    <w:p w14:paraId="7BCDA3A8" w14:textId="77777777" w:rsidR="005740F5" w:rsidRPr="005740F5" w:rsidRDefault="005740F5" w:rsidP="005740F5">
      <w:pPr>
        <w:spacing w:line="360" w:lineRule="auto"/>
        <w:rPr>
          <w:rFonts w:ascii="Times New Roman" w:eastAsia="맑은 고딕" w:hAnsi="Times New Roman" w:cs="Times New Roman"/>
          <w:lang w:eastAsia="ko-KR"/>
        </w:rPr>
      </w:pPr>
      <w:r w:rsidRPr="005740F5">
        <w:rPr>
          <w:rFonts w:ascii="Times New Roman" w:eastAsia="맑은 고딕" w:hAnsi="Times New Roman" w:cs="Times New Roman"/>
          <w:lang w:eastAsia="ko-KR"/>
        </w:rPr>
        <w:t>Although spatial gene expression overlays in Figure 4 illustrate anatomical localization, they are limited to a single representative section per brain. Therefore, the broader conclusions drawn from gene expression patterns are derived from analysis of the entire brain datasets.</w:t>
      </w:r>
    </w:p>
    <w:p w14:paraId="1B0C5074" w14:textId="203347ED" w:rsidR="005740F5" w:rsidRPr="005740F5" w:rsidRDefault="005740F5" w:rsidP="005740F5">
      <w:pPr>
        <w:spacing w:line="360" w:lineRule="auto"/>
        <w:rPr>
          <w:rFonts w:ascii="Times New Roman" w:eastAsia="맑은 고딕" w:hAnsi="Times New Roman" w:cs="Times New Roman"/>
          <w:lang w:eastAsia="ko-KR"/>
        </w:rPr>
      </w:pPr>
      <w:r w:rsidRPr="005740F5">
        <w:rPr>
          <w:rFonts w:ascii="Times New Roman" w:eastAsia="맑은 고딕" w:hAnsi="Times New Roman" w:cs="Times New Roman"/>
          <w:lang w:eastAsia="ko-KR"/>
        </w:rPr>
        <w:t xml:space="preserve">Figure </w:t>
      </w:r>
      <w:r w:rsidR="003021EA">
        <w:rPr>
          <w:rFonts w:ascii="Times New Roman" w:eastAsia="맑은 고딕" w:hAnsi="Times New Roman" w:cs="Times New Roman" w:hint="eastAsia"/>
          <w:lang w:eastAsia="ko-KR"/>
        </w:rPr>
        <w:t>6</w:t>
      </w:r>
      <w:r w:rsidRPr="005740F5">
        <w:rPr>
          <w:rFonts w:ascii="Times New Roman" w:eastAsia="맑은 고딕" w:hAnsi="Times New Roman" w:cs="Times New Roman"/>
          <w:lang w:eastAsia="ko-KR"/>
        </w:rPr>
        <w:t xml:space="preserve"> explored how gene-high groups, defined by elevated expression of selected Parkinson’s and neuroinflammatory markers, interact spatially with core cell types. These gene-high cells exhibited strong spatial interactions with specific cell types: for example, </w:t>
      </w:r>
      <w:proofErr w:type="spellStart"/>
      <w:r w:rsidRPr="005740F5">
        <w:rPr>
          <w:rFonts w:ascii="Times New Roman" w:eastAsia="맑은 고딕" w:hAnsi="Times New Roman" w:cs="Times New Roman"/>
          <w:lang w:eastAsia="ko-KR"/>
        </w:rPr>
        <w:t>Gfap</w:t>
      </w:r>
      <w:proofErr w:type="spellEnd"/>
      <w:r w:rsidRPr="005740F5">
        <w:rPr>
          <w:rFonts w:ascii="Times New Roman" w:eastAsia="맑은 고딕" w:hAnsi="Times New Roman" w:cs="Times New Roman"/>
          <w:lang w:eastAsia="ko-KR"/>
        </w:rPr>
        <w:t xml:space="preserve"> high cells clustered near astrocytes and Tnfaip8l3 high cells showed affinity with immune-rich regions. These findings indicate that gene expression levels are not only molecularly but also spatially contextualized, reinforcing the importance of considering spatial proximity in gene regulatory studies.</w:t>
      </w:r>
    </w:p>
    <w:p w14:paraId="427745B0" w14:textId="6850766C" w:rsidR="005740F5" w:rsidRPr="005740F5" w:rsidRDefault="005740F5" w:rsidP="005740F5">
      <w:pPr>
        <w:spacing w:line="360" w:lineRule="auto"/>
        <w:rPr>
          <w:rFonts w:ascii="Times New Roman" w:eastAsia="맑은 고딕" w:hAnsi="Times New Roman" w:cs="Times New Roman"/>
          <w:lang w:eastAsia="ko-KR"/>
        </w:rPr>
      </w:pPr>
      <w:r w:rsidRPr="005740F5">
        <w:rPr>
          <w:rFonts w:ascii="Times New Roman" w:eastAsia="맑은 고딕" w:hAnsi="Times New Roman" w:cs="Times New Roman"/>
          <w:lang w:eastAsia="ko-KR"/>
        </w:rPr>
        <w:t xml:space="preserve">The consensus matrix and hierarchical clustering (Figure </w:t>
      </w:r>
      <w:r w:rsidR="003021EA">
        <w:rPr>
          <w:rFonts w:ascii="Times New Roman" w:eastAsia="맑은 고딕" w:hAnsi="Times New Roman" w:cs="Times New Roman" w:hint="eastAsia"/>
          <w:lang w:eastAsia="ko-KR"/>
        </w:rPr>
        <w:t>7</w:t>
      </w:r>
      <w:r w:rsidRPr="005740F5">
        <w:rPr>
          <w:rFonts w:ascii="Times New Roman" w:eastAsia="맑은 고딕" w:hAnsi="Times New Roman" w:cs="Times New Roman"/>
          <w:lang w:eastAsia="ko-KR"/>
        </w:rPr>
        <w:t>) revealed reproducible gene modules that exhibit coordinated spatial interaction patterns across multiple brains. These gene-high groups were not randomly distributed but formed robust co-enriched neighborhoods. Cluster 1 emerged as the largest and most spatially cohesive module.</w:t>
      </w:r>
    </w:p>
    <w:p w14:paraId="74B938B7" w14:textId="69A329CB" w:rsidR="005740F5" w:rsidRPr="005740F5" w:rsidRDefault="005740F5" w:rsidP="005740F5">
      <w:pPr>
        <w:spacing w:line="360" w:lineRule="auto"/>
        <w:rPr>
          <w:rFonts w:ascii="Times New Roman" w:eastAsia="맑은 고딕" w:hAnsi="Times New Roman" w:cs="Times New Roman"/>
          <w:lang w:eastAsia="ko-KR"/>
        </w:rPr>
      </w:pPr>
      <w:r w:rsidRPr="005740F5">
        <w:rPr>
          <w:rFonts w:ascii="Times New Roman" w:eastAsia="맑은 고딕" w:hAnsi="Times New Roman" w:cs="Times New Roman"/>
          <w:lang w:eastAsia="ko-KR"/>
        </w:rPr>
        <w:t xml:space="preserve">Gene Ontology enrichment analysis for Cluster 1 (Figure </w:t>
      </w:r>
      <w:r w:rsidR="003021EA">
        <w:rPr>
          <w:rFonts w:ascii="Times New Roman" w:eastAsia="맑은 고딕" w:hAnsi="Times New Roman" w:cs="Times New Roman" w:hint="eastAsia"/>
          <w:lang w:eastAsia="ko-KR"/>
        </w:rPr>
        <w:t>8</w:t>
      </w:r>
      <w:r w:rsidRPr="005740F5">
        <w:rPr>
          <w:rFonts w:ascii="Times New Roman" w:eastAsia="맑은 고딕" w:hAnsi="Times New Roman" w:cs="Times New Roman"/>
          <w:lang w:eastAsia="ko-KR"/>
        </w:rPr>
        <w:t>) indicated that this module is functionally associated with immune signaling and neurotransmitter regulation. Enriched pathways included T cell activation, cytokine receptor interaction, and dopamine-related synaptic transmission. These annotations strongly align with the dual themes of neuroinflammation and dopaminergic dysfunction central to Parkinson’s disease. The GO terms highlight how spatially organized gene expression can provide clues to functional coordination, and in turn, to mechanisms of disease progression.</w:t>
      </w:r>
    </w:p>
    <w:p w14:paraId="1109AE53" w14:textId="3564FF2F" w:rsidR="00842C2F" w:rsidRDefault="005740F5" w:rsidP="00EB5C8B">
      <w:pPr>
        <w:spacing w:line="360" w:lineRule="auto"/>
        <w:rPr>
          <w:rFonts w:ascii="Times New Roman" w:eastAsia="맑은 고딕" w:hAnsi="Times New Roman" w:cs="Times New Roman"/>
          <w:lang w:eastAsia="ko-KR"/>
        </w:rPr>
      </w:pPr>
      <w:r w:rsidRPr="005740F5">
        <w:rPr>
          <w:rFonts w:ascii="Times New Roman" w:eastAsia="맑은 고딕" w:hAnsi="Times New Roman" w:cs="Times New Roman"/>
          <w:lang w:eastAsia="ko-KR"/>
        </w:rPr>
        <w:t>These findings suggest that spatially organized transcriptional modules may underlie the functional landscapes of neuroinflammation and Parkinson’s disease pathology. The spatial signatures observed across cell types and gene modules represent potential architectural patterns that may be disrupted in disease contexts.</w:t>
      </w:r>
    </w:p>
    <w:p w14:paraId="6E0E7176" w14:textId="77777777" w:rsidR="005740F5" w:rsidRPr="005740F5" w:rsidRDefault="005740F5" w:rsidP="005740F5">
      <w:pPr>
        <w:spacing w:line="360" w:lineRule="auto"/>
        <w:rPr>
          <w:rFonts w:ascii="Times New Roman" w:eastAsia="맑은 고딕" w:hAnsi="Times New Roman" w:cs="Times New Roman"/>
          <w:lang w:eastAsia="ko-KR"/>
        </w:rPr>
      </w:pPr>
      <w:r w:rsidRPr="005740F5">
        <w:rPr>
          <w:rFonts w:ascii="Times New Roman" w:eastAsia="맑은 고딕" w:hAnsi="Times New Roman" w:cs="Times New Roman"/>
          <w:lang w:eastAsia="ko-KR"/>
        </w:rPr>
        <w:t>There are important limitations to consider in interpreting these results. First, the study uses spatial transcriptomic data from healthy mouse brains rather than PD models or human tissue, which limits the direct translational inference. Second, the sample size is constrained to three brains, which may not capture the full spectrum of biological variability. Additionally, the 1100-gene MERFISH panel, while informative, excludes many known PD-related genes, which restricts the scope of gene-module detection. Finally, regional interpretations are limited because anatomical region annotations were not available in this dataset.</w:t>
      </w:r>
    </w:p>
    <w:p w14:paraId="3B7152F6" w14:textId="77777777" w:rsidR="00842C2F" w:rsidRPr="00842C2F" w:rsidRDefault="00842C2F" w:rsidP="00EB5C8B">
      <w:pPr>
        <w:spacing w:line="360" w:lineRule="auto"/>
        <w:rPr>
          <w:rFonts w:ascii="Times New Roman" w:eastAsia="맑은 고딕" w:hAnsi="Times New Roman" w:cs="Times New Roman"/>
          <w:b/>
          <w:bCs/>
          <w:lang w:eastAsia="ko-KR"/>
        </w:rPr>
      </w:pPr>
      <w:r w:rsidRPr="00842C2F">
        <w:rPr>
          <w:rFonts w:ascii="Times New Roman" w:eastAsia="맑은 고딕" w:hAnsi="Times New Roman" w:cs="Times New Roman"/>
          <w:b/>
          <w:bCs/>
          <w:lang w:eastAsia="ko-KR"/>
        </w:rPr>
        <w:t>Conclusion</w:t>
      </w:r>
    </w:p>
    <w:p w14:paraId="3E4880C4" w14:textId="77777777" w:rsidR="005740F5" w:rsidRPr="005740F5" w:rsidRDefault="005740F5" w:rsidP="005740F5">
      <w:pPr>
        <w:spacing w:line="360" w:lineRule="auto"/>
        <w:rPr>
          <w:rFonts w:ascii="Times New Roman" w:eastAsia="맑은 고딕" w:hAnsi="Times New Roman" w:cs="Times New Roman"/>
          <w:lang w:eastAsia="ko-KR"/>
        </w:rPr>
      </w:pPr>
      <w:r w:rsidRPr="005740F5">
        <w:rPr>
          <w:rFonts w:ascii="Times New Roman" w:eastAsia="맑은 고딕" w:hAnsi="Times New Roman" w:cs="Times New Roman"/>
          <w:lang w:eastAsia="ko-KR"/>
        </w:rPr>
        <w:t>This study demonstrates the power of spatial transcriptomics to uncover biologically meaningful patterns in brain tissue. By examining the spatial relationships between core brain cell types and PD/inflammation-related genes, we uncovered consistent modules of gene-cell co-localization. The results highlight strong spatial coupling between astrocytes and vascular cells, while dopaminergic and immune cells remain spatially separated. Additionally, we show that gene-high groups form coherent and reproducible spatial clusters that correlate with biological pathways of inflammation and neurotransmission.</w:t>
      </w:r>
    </w:p>
    <w:p w14:paraId="7E80B6F1" w14:textId="3D657A28" w:rsidR="005740F5" w:rsidRDefault="005740F5" w:rsidP="005740F5">
      <w:pPr>
        <w:spacing w:line="360" w:lineRule="auto"/>
        <w:rPr>
          <w:rFonts w:ascii="Times New Roman" w:eastAsia="맑은 고딕" w:hAnsi="Times New Roman" w:cs="Times New Roman"/>
          <w:lang w:eastAsia="ko-KR"/>
        </w:rPr>
      </w:pPr>
      <w:r w:rsidRPr="005740F5">
        <w:rPr>
          <w:rFonts w:ascii="Times New Roman" w:eastAsia="맑은 고딕" w:hAnsi="Times New Roman" w:cs="Times New Roman"/>
          <w:lang w:eastAsia="ko-KR"/>
        </w:rPr>
        <w:t>These findings contribute new perspectives on how gene expression and cell-type neighborhoods are spatially organized in the brain, offering a framework for future studies that aim to understand and potentially target neuroinflammatory pathways in Parkinson’s disease.</w:t>
      </w:r>
    </w:p>
    <w:p w14:paraId="790C347C" w14:textId="64465EB9" w:rsidR="002D54A8" w:rsidRDefault="002D54A8" w:rsidP="005740F5">
      <w:pPr>
        <w:spacing w:line="360" w:lineRule="auto"/>
        <w:rPr>
          <w:rFonts w:ascii="Times New Roman" w:eastAsia="맑은 고딕" w:hAnsi="Times New Roman" w:cs="Times New Roman"/>
          <w:lang w:eastAsia="ko-KR"/>
        </w:rPr>
      </w:pPr>
    </w:p>
    <w:p w14:paraId="521272B3" w14:textId="77777777" w:rsidR="002D54A8" w:rsidRPr="00046C34" w:rsidRDefault="002D54A8" w:rsidP="002D54A8">
      <w:pPr>
        <w:rPr>
          <w:rFonts w:ascii="Calibri" w:eastAsia="Calibri" w:hAnsi="Calibri" w:cs="Times New Roman"/>
          <w:highlight w:val="yellow"/>
        </w:rPr>
      </w:pPr>
      <w:bookmarkStart w:id="0" w:name="_Hlk191544944"/>
      <w:r w:rsidRPr="00046C34">
        <w:rPr>
          <w:rFonts w:ascii="Calibri" w:eastAsia="Calibri" w:hAnsi="Calibri" w:cs="Times New Roman"/>
          <w:highlight w:val="yellow"/>
        </w:rPr>
        <w:t>Disclaimer (Artificial intelligence)</w:t>
      </w:r>
    </w:p>
    <w:p w14:paraId="79888B86" w14:textId="77777777" w:rsidR="002D54A8" w:rsidRPr="00046C34" w:rsidRDefault="002D54A8" w:rsidP="002D54A8">
      <w:pPr>
        <w:rPr>
          <w:rFonts w:ascii="Calibri" w:eastAsia="Calibri" w:hAnsi="Calibri" w:cs="Times New Roman"/>
          <w:highlight w:val="yellow"/>
        </w:rPr>
      </w:pPr>
      <w:r w:rsidRPr="00046C34">
        <w:rPr>
          <w:rFonts w:ascii="Calibri" w:eastAsia="Calibri" w:hAnsi="Calibri" w:cs="Times New Roman"/>
          <w:highlight w:val="yellow"/>
        </w:rPr>
        <w:t xml:space="preserve">Author(s) hereby </w:t>
      </w:r>
      <w:proofErr w:type="gramStart"/>
      <w:r w:rsidRPr="00046C34">
        <w:rPr>
          <w:rFonts w:ascii="Calibri" w:eastAsia="Calibri" w:hAnsi="Calibri" w:cs="Times New Roman"/>
          <w:highlight w:val="yellow"/>
        </w:rPr>
        <w:t>declare</w:t>
      </w:r>
      <w:proofErr w:type="gramEnd"/>
      <w:r w:rsidRPr="00046C34">
        <w:rPr>
          <w:rFonts w:ascii="Calibri" w:eastAsia="Calibri" w:hAnsi="Calibri" w:cs="Times New Roman"/>
          <w:highlight w:val="yellow"/>
        </w:rPr>
        <w:t xml:space="preserve"> that NO generative AI technologies such as Large Language Models (ChatGPT, COPILOT, etc.) and text-to-image generators have been used during the writing or editing of this manuscript. </w:t>
      </w:r>
    </w:p>
    <w:bookmarkEnd w:id="0"/>
    <w:p w14:paraId="698F86EE" w14:textId="77777777" w:rsidR="00842C2F" w:rsidRPr="00842C2F" w:rsidRDefault="00842C2F" w:rsidP="00EB5C8B">
      <w:pPr>
        <w:spacing w:line="360" w:lineRule="auto"/>
        <w:rPr>
          <w:rFonts w:ascii="Times New Roman" w:eastAsia="맑은 고딕" w:hAnsi="Times New Roman" w:cs="Times New Roman"/>
          <w:lang w:eastAsia="ko-KR"/>
        </w:rPr>
      </w:pPr>
    </w:p>
    <w:p w14:paraId="2D76BDC4" w14:textId="11B8C97B" w:rsidR="00EB5C8B" w:rsidRPr="00962C22" w:rsidRDefault="00962C22">
      <w:pPr>
        <w:spacing w:line="360" w:lineRule="auto"/>
        <w:rPr>
          <w:rFonts w:ascii="Times New Roman" w:eastAsia="맑은 고딕" w:hAnsi="Times New Roman" w:cs="Times New Roman"/>
          <w:b/>
          <w:bCs/>
          <w:lang w:eastAsia="ko-KR"/>
        </w:rPr>
      </w:pPr>
      <w:r w:rsidRPr="00962C22">
        <w:rPr>
          <w:rFonts w:ascii="Times New Roman" w:eastAsia="맑은 고딕" w:hAnsi="Times New Roman" w:cs="Times New Roman" w:hint="eastAsia"/>
          <w:b/>
          <w:bCs/>
          <w:lang w:eastAsia="ko-KR"/>
        </w:rPr>
        <w:t>Reference</w:t>
      </w:r>
    </w:p>
    <w:p w14:paraId="66D26182" w14:textId="77777777" w:rsidR="00962C22" w:rsidRPr="00962C22" w:rsidRDefault="00962C22" w:rsidP="00962C22">
      <w:pPr>
        <w:pStyle w:val="Bibliography"/>
        <w:rPr>
          <w:rFonts w:ascii="Times New Roman" w:hAnsi="Times New Roman" w:cs="Times New Roman"/>
        </w:rPr>
      </w:pPr>
      <w:r>
        <w:rPr>
          <w:rFonts w:eastAsia="맑은 고딕"/>
          <w:lang w:eastAsia="ko-KR"/>
        </w:rPr>
        <w:fldChar w:fldCharType="begin"/>
      </w:r>
      <w:r>
        <w:rPr>
          <w:rFonts w:eastAsia="맑은 고딕"/>
          <w:lang w:eastAsia="ko-KR"/>
        </w:rPr>
        <w:instrText xml:space="preserve"> ADDIN ZOTERO_BIBL {"uncited":[],"omitted":[],"custom":[]} CSL_BIBLIOGRAPHY </w:instrText>
      </w:r>
      <w:r>
        <w:rPr>
          <w:rFonts w:eastAsia="맑은 고딕"/>
          <w:lang w:eastAsia="ko-KR"/>
        </w:rPr>
        <w:fldChar w:fldCharType="separate"/>
      </w:r>
      <w:r w:rsidRPr="00962C22">
        <w:rPr>
          <w:rFonts w:ascii="Times New Roman" w:hAnsi="Times New Roman" w:cs="Times New Roman"/>
        </w:rPr>
        <w:t xml:space="preserve">Beaulieu, J.-M., &amp; Gainetdinov, R. R. (2011). The physiology, signaling, and pharmacology of dopamine receptors. </w:t>
      </w:r>
      <w:r w:rsidRPr="00962C22">
        <w:rPr>
          <w:rFonts w:ascii="Times New Roman" w:hAnsi="Times New Roman" w:cs="Times New Roman"/>
          <w:i/>
          <w:iCs/>
        </w:rPr>
        <w:t>Pharmacological Reviews</w:t>
      </w:r>
      <w:r w:rsidRPr="00962C22">
        <w:rPr>
          <w:rFonts w:ascii="Times New Roman" w:hAnsi="Times New Roman" w:cs="Times New Roman"/>
        </w:rPr>
        <w:t xml:space="preserve">, </w:t>
      </w:r>
      <w:r w:rsidRPr="00962C22">
        <w:rPr>
          <w:rFonts w:ascii="Times New Roman" w:hAnsi="Times New Roman" w:cs="Times New Roman"/>
          <w:i/>
          <w:iCs/>
        </w:rPr>
        <w:t>63</w:t>
      </w:r>
      <w:r w:rsidRPr="00962C22">
        <w:rPr>
          <w:rFonts w:ascii="Times New Roman" w:hAnsi="Times New Roman" w:cs="Times New Roman"/>
        </w:rPr>
        <w:t>(1), 182–217. https://doi.org/10.1124/pr.110.002642</w:t>
      </w:r>
    </w:p>
    <w:p w14:paraId="2FF39B0F" w14:textId="77777777" w:rsidR="00962C22" w:rsidRPr="00962C22" w:rsidRDefault="00962C22" w:rsidP="00962C22">
      <w:pPr>
        <w:pStyle w:val="Bibliography"/>
        <w:rPr>
          <w:rFonts w:ascii="Times New Roman" w:hAnsi="Times New Roman" w:cs="Times New Roman"/>
        </w:rPr>
      </w:pPr>
      <w:r w:rsidRPr="00962C22">
        <w:rPr>
          <w:rFonts w:ascii="Times New Roman" w:hAnsi="Times New Roman" w:cs="Times New Roman"/>
        </w:rPr>
        <w:t xml:space="preserve">Burgess, D. J. (2019). Spatial transcriptomics coming of age. </w:t>
      </w:r>
      <w:r w:rsidRPr="00962C22">
        <w:rPr>
          <w:rFonts w:ascii="Times New Roman" w:hAnsi="Times New Roman" w:cs="Times New Roman"/>
          <w:i/>
          <w:iCs/>
        </w:rPr>
        <w:t>Nature Reviews Genetics</w:t>
      </w:r>
      <w:r w:rsidRPr="00962C22">
        <w:rPr>
          <w:rFonts w:ascii="Times New Roman" w:hAnsi="Times New Roman" w:cs="Times New Roman"/>
        </w:rPr>
        <w:t xml:space="preserve">, </w:t>
      </w:r>
      <w:r w:rsidRPr="00962C22">
        <w:rPr>
          <w:rFonts w:ascii="Times New Roman" w:hAnsi="Times New Roman" w:cs="Times New Roman"/>
          <w:i/>
          <w:iCs/>
        </w:rPr>
        <w:t>20</w:t>
      </w:r>
      <w:r w:rsidRPr="00962C22">
        <w:rPr>
          <w:rFonts w:ascii="Times New Roman" w:hAnsi="Times New Roman" w:cs="Times New Roman"/>
        </w:rPr>
        <w:t>(6), 317–317. https://doi.org/10.1038/s41576-019-0129-z</w:t>
      </w:r>
    </w:p>
    <w:p w14:paraId="2F905854" w14:textId="77777777" w:rsidR="00962C22" w:rsidRPr="00962C22" w:rsidRDefault="00962C22" w:rsidP="00962C22">
      <w:pPr>
        <w:pStyle w:val="Bibliography"/>
        <w:rPr>
          <w:rFonts w:ascii="Times New Roman" w:hAnsi="Times New Roman" w:cs="Times New Roman"/>
        </w:rPr>
      </w:pPr>
      <w:r w:rsidRPr="00962C22">
        <w:rPr>
          <w:rFonts w:ascii="Times New Roman" w:hAnsi="Times New Roman" w:cs="Times New Roman"/>
        </w:rPr>
        <w:t xml:space="preserve">Chaudhuri, K. R., Healy, D. G., Schapira, A. H. V., &amp; National Institute for Clinical Excellence. (2006). Non-motor symptoms of Parkinson’s disease: Diagnosis and management. </w:t>
      </w:r>
      <w:r w:rsidRPr="00962C22">
        <w:rPr>
          <w:rFonts w:ascii="Times New Roman" w:hAnsi="Times New Roman" w:cs="Times New Roman"/>
          <w:i/>
          <w:iCs/>
        </w:rPr>
        <w:t>The Lancet. Neurology</w:t>
      </w:r>
      <w:r w:rsidRPr="00962C22">
        <w:rPr>
          <w:rFonts w:ascii="Times New Roman" w:hAnsi="Times New Roman" w:cs="Times New Roman"/>
        </w:rPr>
        <w:t xml:space="preserve">, </w:t>
      </w:r>
      <w:r w:rsidRPr="00962C22">
        <w:rPr>
          <w:rFonts w:ascii="Times New Roman" w:hAnsi="Times New Roman" w:cs="Times New Roman"/>
          <w:i/>
          <w:iCs/>
        </w:rPr>
        <w:t>5</w:t>
      </w:r>
      <w:r w:rsidRPr="00962C22">
        <w:rPr>
          <w:rFonts w:ascii="Times New Roman" w:hAnsi="Times New Roman" w:cs="Times New Roman"/>
        </w:rPr>
        <w:t>(3), 235–245. https://doi.org/10.1016/S1474-4422(06)70373-8</w:t>
      </w:r>
    </w:p>
    <w:p w14:paraId="4F996C1A" w14:textId="77777777" w:rsidR="00962C22" w:rsidRPr="00962C22" w:rsidRDefault="00962C22" w:rsidP="00962C22">
      <w:pPr>
        <w:pStyle w:val="Bibliography"/>
        <w:rPr>
          <w:rFonts w:ascii="Times New Roman" w:hAnsi="Times New Roman" w:cs="Times New Roman"/>
        </w:rPr>
      </w:pPr>
      <w:r w:rsidRPr="00962C22">
        <w:rPr>
          <w:rFonts w:ascii="Times New Roman" w:hAnsi="Times New Roman" w:cs="Times New Roman"/>
        </w:rPr>
        <w:t xml:space="preserve">Chen, K. H., Boettiger, A. N., Moffitt, J. R., Wang, S., &amp; Zhuang, X. (2015). Spatially resolved, highly multiplexed RNA profiling in single cells. </w:t>
      </w:r>
      <w:r w:rsidRPr="00962C22">
        <w:rPr>
          <w:rFonts w:ascii="Times New Roman" w:hAnsi="Times New Roman" w:cs="Times New Roman"/>
          <w:i/>
          <w:iCs/>
        </w:rPr>
        <w:t>Science</w:t>
      </w:r>
      <w:r w:rsidRPr="00962C22">
        <w:rPr>
          <w:rFonts w:ascii="Times New Roman" w:hAnsi="Times New Roman" w:cs="Times New Roman"/>
        </w:rPr>
        <w:t xml:space="preserve">, </w:t>
      </w:r>
      <w:r w:rsidRPr="00962C22">
        <w:rPr>
          <w:rFonts w:ascii="Times New Roman" w:hAnsi="Times New Roman" w:cs="Times New Roman"/>
          <w:i/>
          <w:iCs/>
        </w:rPr>
        <w:t>348</w:t>
      </w:r>
      <w:r w:rsidRPr="00962C22">
        <w:rPr>
          <w:rFonts w:ascii="Times New Roman" w:hAnsi="Times New Roman" w:cs="Times New Roman"/>
        </w:rPr>
        <w:t>(6233), aaa6090. https://doi.org/10.1126/science.aaa6090</w:t>
      </w:r>
    </w:p>
    <w:p w14:paraId="4BD4F644" w14:textId="77777777" w:rsidR="00962C22" w:rsidRPr="00962C22" w:rsidRDefault="00962C22" w:rsidP="00962C22">
      <w:pPr>
        <w:pStyle w:val="Bibliography"/>
        <w:rPr>
          <w:rFonts w:ascii="Times New Roman" w:hAnsi="Times New Roman" w:cs="Times New Roman"/>
        </w:rPr>
      </w:pPr>
      <w:r w:rsidRPr="00962C22">
        <w:rPr>
          <w:rFonts w:ascii="Times New Roman" w:hAnsi="Times New Roman" w:cs="Times New Roman"/>
        </w:rPr>
        <w:t xml:space="preserve">Dauer, W., &amp; Przedborski, S. (2003). Parkinson’s disease: Mechanisms and models. </w:t>
      </w:r>
      <w:r w:rsidRPr="00962C22">
        <w:rPr>
          <w:rFonts w:ascii="Times New Roman" w:hAnsi="Times New Roman" w:cs="Times New Roman"/>
          <w:i/>
          <w:iCs/>
        </w:rPr>
        <w:t>Neuron</w:t>
      </w:r>
      <w:r w:rsidRPr="00962C22">
        <w:rPr>
          <w:rFonts w:ascii="Times New Roman" w:hAnsi="Times New Roman" w:cs="Times New Roman"/>
        </w:rPr>
        <w:t xml:space="preserve">, </w:t>
      </w:r>
      <w:r w:rsidRPr="00962C22">
        <w:rPr>
          <w:rFonts w:ascii="Times New Roman" w:hAnsi="Times New Roman" w:cs="Times New Roman"/>
          <w:i/>
          <w:iCs/>
        </w:rPr>
        <w:t>39</w:t>
      </w:r>
      <w:r w:rsidRPr="00962C22">
        <w:rPr>
          <w:rFonts w:ascii="Times New Roman" w:hAnsi="Times New Roman" w:cs="Times New Roman"/>
        </w:rPr>
        <w:t>(6), 889–909. https://doi.org/10.1016/s0896-6273(03)00568-3</w:t>
      </w:r>
    </w:p>
    <w:p w14:paraId="43F859DB" w14:textId="77777777" w:rsidR="00962C22" w:rsidRPr="00962C22" w:rsidRDefault="00962C22" w:rsidP="00962C22">
      <w:pPr>
        <w:pStyle w:val="Bibliography"/>
        <w:rPr>
          <w:rFonts w:ascii="Times New Roman" w:hAnsi="Times New Roman" w:cs="Times New Roman"/>
        </w:rPr>
      </w:pPr>
      <w:r w:rsidRPr="00962C22">
        <w:rPr>
          <w:rFonts w:ascii="Times New Roman" w:hAnsi="Times New Roman" w:cs="Times New Roman"/>
        </w:rPr>
        <w:t xml:space="preserve">Eng, L. F. (1985). Glial fibrillary acidic protein (GFAP): The major protein of glial intermediate filaments in differentiated astrocytes. </w:t>
      </w:r>
      <w:r w:rsidRPr="00962C22">
        <w:rPr>
          <w:rFonts w:ascii="Times New Roman" w:hAnsi="Times New Roman" w:cs="Times New Roman"/>
          <w:i/>
          <w:iCs/>
        </w:rPr>
        <w:t>Journal of Neuroimmunology</w:t>
      </w:r>
      <w:r w:rsidRPr="00962C22">
        <w:rPr>
          <w:rFonts w:ascii="Times New Roman" w:hAnsi="Times New Roman" w:cs="Times New Roman"/>
        </w:rPr>
        <w:t xml:space="preserve">, </w:t>
      </w:r>
      <w:r w:rsidRPr="00962C22">
        <w:rPr>
          <w:rFonts w:ascii="Times New Roman" w:hAnsi="Times New Roman" w:cs="Times New Roman"/>
          <w:i/>
          <w:iCs/>
        </w:rPr>
        <w:t>8</w:t>
      </w:r>
      <w:r w:rsidRPr="00962C22">
        <w:rPr>
          <w:rFonts w:ascii="Times New Roman" w:hAnsi="Times New Roman" w:cs="Times New Roman"/>
        </w:rPr>
        <w:t>(4–6), 203–214. https://doi.org/10.1016/s0165-5728(85)80063-1</w:t>
      </w:r>
    </w:p>
    <w:p w14:paraId="299C0784" w14:textId="77777777" w:rsidR="00962C22" w:rsidRPr="00962C22" w:rsidRDefault="00962C22" w:rsidP="00962C22">
      <w:pPr>
        <w:pStyle w:val="Bibliography"/>
        <w:rPr>
          <w:rFonts w:ascii="Times New Roman" w:hAnsi="Times New Roman" w:cs="Times New Roman"/>
        </w:rPr>
      </w:pPr>
      <w:r w:rsidRPr="00962C22">
        <w:rPr>
          <w:rFonts w:ascii="Times New Roman" w:hAnsi="Times New Roman" w:cs="Times New Roman"/>
        </w:rPr>
        <w:t xml:space="preserve">Gainetdinov, R. R., &amp; Caron, M. G. (2003). Monoamine transporters: From genes to behavior. </w:t>
      </w:r>
      <w:r w:rsidRPr="00962C22">
        <w:rPr>
          <w:rFonts w:ascii="Times New Roman" w:hAnsi="Times New Roman" w:cs="Times New Roman"/>
          <w:i/>
          <w:iCs/>
        </w:rPr>
        <w:t>Annual Review of Pharmacology and Toxicology</w:t>
      </w:r>
      <w:r w:rsidRPr="00962C22">
        <w:rPr>
          <w:rFonts w:ascii="Times New Roman" w:hAnsi="Times New Roman" w:cs="Times New Roman"/>
        </w:rPr>
        <w:t xml:space="preserve">, </w:t>
      </w:r>
      <w:r w:rsidRPr="00962C22">
        <w:rPr>
          <w:rFonts w:ascii="Times New Roman" w:hAnsi="Times New Roman" w:cs="Times New Roman"/>
          <w:i/>
          <w:iCs/>
        </w:rPr>
        <w:t>43</w:t>
      </w:r>
      <w:r w:rsidRPr="00962C22">
        <w:rPr>
          <w:rFonts w:ascii="Times New Roman" w:hAnsi="Times New Roman" w:cs="Times New Roman"/>
        </w:rPr>
        <w:t>, 261–284. https://doi.org/10.1146/annurev.pharmtox.43.050802.112309</w:t>
      </w:r>
    </w:p>
    <w:p w14:paraId="61D92E70" w14:textId="77777777" w:rsidR="00962C22" w:rsidRPr="00962C22" w:rsidRDefault="00962C22" w:rsidP="00962C22">
      <w:pPr>
        <w:pStyle w:val="Bibliography"/>
        <w:rPr>
          <w:rFonts w:ascii="Times New Roman" w:hAnsi="Times New Roman" w:cs="Times New Roman"/>
        </w:rPr>
      </w:pPr>
      <w:r w:rsidRPr="00962C22">
        <w:rPr>
          <w:rFonts w:ascii="Times New Roman" w:hAnsi="Times New Roman" w:cs="Times New Roman"/>
        </w:rPr>
        <w:t xml:space="preserve">Gao, H.-M., &amp; Hong, J.-S. (2008). Why neurodegenerative diseases are progressive: Uncontrolled inflammation drives disease progression. </w:t>
      </w:r>
      <w:r w:rsidRPr="00962C22">
        <w:rPr>
          <w:rFonts w:ascii="Times New Roman" w:hAnsi="Times New Roman" w:cs="Times New Roman"/>
          <w:i/>
          <w:iCs/>
        </w:rPr>
        <w:t>Trends in Immunology</w:t>
      </w:r>
      <w:r w:rsidRPr="00962C22">
        <w:rPr>
          <w:rFonts w:ascii="Times New Roman" w:hAnsi="Times New Roman" w:cs="Times New Roman"/>
        </w:rPr>
        <w:t xml:space="preserve">, </w:t>
      </w:r>
      <w:r w:rsidRPr="00962C22">
        <w:rPr>
          <w:rFonts w:ascii="Times New Roman" w:hAnsi="Times New Roman" w:cs="Times New Roman"/>
          <w:i/>
          <w:iCs/>
        </w:rPr>
        <w:t>29</w:t>
      </w:r>
      <w:r w:rsidRPr="00962C22">
        <w:rPr>
          <w:rFonts w:ascii="Times New Roman" w:hAnsi="Times New Roman" w:cs="Times New Roman"/>
        </w:rPr>
        <w:t>(8), 357–365. https://doi.org/10.1016/j.it.2008.05.002</w:t>
      </w:r>
    </w:p>
    <w:p w14:paraId="63D77692" w14:textId="77777777" w:rsidR="00962C22" w:rsidRPr="00962C22" w:rsidRDefault="00962C22" w:rsidP="00962C22">
      <w:pPr>
        <w:pStyle w:val="Bibliography"/>
        <w:rPr>
          <w:rFonts w:ascii="Times New Roman" w:hAnsi="Times New Roman" w:cs="Times New Roman"/>
        </w:rPr>
      </w:pPr>
      <w:r w:rsidRPr="00962C22">
        <w:rPr>
          <w:rFonts w:ascii="Times New Roman" w:hAnsi="Times New Roman" w:cs="Times New Roman"/>
        </w:rPr>
        <w:t xml:space="preserve">Halliday, G. M., &amp; Stevens, C. H. (2011). Glia: Initiators and progressors of pathology in Parkinson’s disease. </w:t>
      </w:r>
      <w:r w:rsidRPr="00962C22">
        <w:rPr>
          <w:rFonts w:ascii="Times New Roman" w:hAnsi="Times New Roman" w:cs="Times New Roman"/>
          <w:i/>
          <w:iCs/>
        </w:rPr>
        <w:t>Movement Disorders: Official Journal of the Movement Disorder Society</w:t>
      </w:r>
      <w:r w:rsidRPr="00962C22">
        <w:rPr>
          <w:rFonts w:ascii="Times New Roman" w:hAnsi="Times New Roman" w:cs="Times New Roman"/>
        </w:rPr>
        <w:t xml:space="preserve">, </w:t>
      </w:r>
      <w:r w:rsidRPr="00962C22">
        <w:rPr>
          <w:rFonts w:ascii="Times New Roman" w:hAnsi="Times New Roman" w:cs="Times New Roman"/>
          <w:i/>
          <w:iCs/>
        </w:rPr>
        <w:t>26</w:t>
      </w:r>
      <w:r w:rsidRPr="00962C22">
        <w:rPr>
          <w:rFonts w:ascii="Times New Roman" w:hAnsi="Times New Roman" w:cs="Times New Roman"/>
        </w:rPr>
        <w:t>(1), 6–17. https://doi.org/10.1002/mds.23455</w:t>
      </w:r>
    </w:p>
    <w:p w14:paraId="5BECB0DB" w14:textId="77777777" w:rsidR="00962C22" w:rsidRPr="00962C22" w:rsidRDefault="00962C22" w:rsidP="00962C22">
      <w:pPr>
        <w:pStyle w:val="Bibliography"/>
        <w:rPr>
          <w:rFonts w:ascii="Times New Roman" w:hAnsi="Times New Roman" w:cs="Times New Roman"/>
        </w:rPr>
      </w:pPr>
      <w:r w:rsidRPr="00962C22">
        <w:rPr>
          <w:rFonts w:ascii="Times New Roman" w:hAnsi="Times New Roman" w:cs="Times New Roman"/>
        </w:rPr>
        <w:t xml:space="preserve">Hirsch, E. C., &amp; Hunot, S. (2009). Neuroinflammation in Parkinson’s disease: A target for neuroprotection? </w:t>
      </w:r>
      <w:r w:rsidRPr="00962C22">
        <w:rPr>
          <w:rFonts w:ascii="Times New Roman" w:hAnsi="Times New Roman" w:cs="Times New Roman"/>
          <w:i/>
          <w:iCs/>
        </w:rPr>
        <w:t>The Lancet. Neurology</w:t>
      </w:r>
      <w:r w:rsidRPr="00962C22">
        <w:rPr>
          <w:rFonts w:ascii="Times New Roman" w:hAnsi="Times New Roman" w:cs="Times New Roman"/>
        </w:rPr>
        <w:t xml:space="preserve">, </w:t>
      </w:r>
      <w:r w:rsidRPr="00962C22">
        <w:rPr>
          <w:rFonts w:ascii="Times New Roman" w:hAnsi="Times New Roman" w:cs="Times New Roman"/>
          <w:i/>
          <w:iCs/>
        </w:rPr>
        <w:t>8</w:t>
      </w:r>
      <w:r w:rsidRPr="00962C22">
        <w:rPr>
          <w:rFonts w:ascii="Times New Roman" w:hAnsi="Times New Roman" w:cs="Times New Roman"/>
        </w:rPr>
        <w:t>(4), 382–397. https://doi.org/10.1016/S1474-4422(09)70062-6</w:t>
      </w:r>
    </w:p>
    <w:p w14:paraId="22499807" w14:textId="77777777" w:rsidR="00962C22" w:rsidRPr="00962C22" w:rsidRDefault="00962C22" w:rsidP="00962C22">
      <w:pPr>
        <w:pStyle w:val="Bibliography"/>
        <w:rPr>
          <w:rFonts w:ascii="Times New Roman" w:hAnsi="Times New Roman" w:cs="Times New Roman"/>
        </w:rPr>
      </w:pPr>
      <w:r w:rsidRPr="00962C22">
        <w:rPr>
          <w:rFonts w:ascii="Times New Roman" w:hAnsi="Times New Roman" w:cs="Times New Roman"/>
        </w:rPr>
        <w:t xml:space="preserve">Jankovic, J. (2008). Parkinson’s disease: Clinical features and diagnosis. </w:t>
      </w:r>
      <w:r w:rsidRPr="00962C22">
        <w:rPr>
          <w:rFonts w:ascii="Times New Roman" w:hAnsi="Times New Roman" w:cs="Times New Roman"/>
          <w:i/>
          <w:iCs/>
        </w:rPr>
        <w:t>Journal of Neurology, Neurosurgery, and Psychiatry</w:t>
      </w:r>
      <w:r w:rsidRPr="00962C22">
        <w:rPr>
          <w:rFonts w:ascii="Times New Roman" w:hAnsi="Times New Roman" w:cs="Times New Roman"/>
        </w:rPr>
        <w:t xml:space="preserve">, </w:t>
      </w:r>
      <w:r w:rsidRPr="00962C22">
        <w:rPr>
          <w:rFonts w:ascii="Times New Roman" w:hAnsi="Times New Roman" w:cs="Times New Roman"/>
          <w:i/>
          <w:iCs/>
        </w:rPr>
        <w:t>79</w:t>
      </w:r>
      <w:r w:rsidRPr="00962C22">
        <w:rPr>
          <w:rFonts w:ascii="Times New Roman" w:hAnsi="Times New Roman" w:cs="Times New Roman"/>
        </w:rPr>
        <w:t>(4), 368–376. https://doi.org/10.1136/jnnp.2007.131045</w:t>
      </w:r>
    </w:p>
    <w:p w14:paraId="7C5A0F8B" w14:textId="77777777" w:rsidR="00962C22" w:rsidRPr="00962C22" w:rsidRDefault="00962C22" w:rsidP="00962C22">
      <w:pPr>
        <w:pStyle w:val="Bibliography"/>
        <w:rPr>
          <w:rFonts w:ascii="Times New Roman" w:hAnsi="Times New Roman" w:cs="Times New Roman"/>
        </w:rPr>
      </w:pPr>
      <w:r w:rsidRPr="00962C22">
        <w:rPr>
          <w:rFonts w:ascii="Times New Roman" w:hAnsi="Times New Roman" w:cs="Times New Roman"/>
        </w:rPr>
        <w:t xml:space="preserve">Kalia, L. V., &amp; Lang, A. E. (2015). Parkinson’s disease. </w:t>
      </w:r>
      <w:r w:rsidRPr="00962C22">
        <w:rPr>
          <w:rFonts w:ascii="Times New Roman" w:hAnsi="Times New Roman" w:cs="Times New Roman"/>
          <w:i/>
          <w:iCs/>
        </w:rPr>
        <w:t>Lancet (London, England)</w:t>
      </w:r>
      <w:r w:rsidRPr="00962C22">
        <w:rPr>
          <w:rFonts w:ascii="Times New Roman" w:hAnsi="Times New Roman" w:cs="Times New Roman"/>
        </w:rPr>
        <w:t xml:space="preserve">, </w:t>
      </w:r>
      <w:r w:rsidRPr="00962C22">
        <w:rPr>
          <w:rFonts w:ascii="Times New Roman" w:hAnsi="Times New Roman" w:cs="Times New Roman"/>
          <w:i/>
          <w:iCs/>
        </w:rPr>
        <w:t>386</w:t>
      </w:r>
      <w:r w:rsidRPr="00962C22">
        <w:rPr>
          <w:rFonts w:ascii="Times New Roman" w:hAnsi="Times New Roman" w:cs="Times New Roman"/>
        </w:rPr>
        <w:t>(9996), 896–912. https://doi.org/10.1016/S0140-6736(14)61393-3</w:t>
      </w:r>
    </w:p>
    <w:p w14:paraId="261340E2" w14:textId="77777777" w:rsidR="00962C22" w:rsidRPr="00962C22" w:rsidRDefault="00962C22" w:rsidP="00962C22">
      <w:pPr>
        <w:pStyle w:val="Bibliography"/>
        <w:rPr>
          <w:rFonts w:ascii="Times New Roman" w:hAnsi="Times New Roman" w:cs="Times New Roman"/>
        </w:rPr>
      </w:pPr>
      <w:r w:rsidRPr="00962C22">
        <w:rPr>
          <w:rFonts w:ascii="Times New Roman" w:hAnsi="Times New Roman" w:cs="Times New Roman"/>
        </w:rPr>
        <w:t xml:space="preserve">Le, W.-D., Xu, P., Jankovic, J., Jiang, H., Appel, S. H., Smith, R. G., &amp; Vassilatis, D. K. (2003). Mutations in NR4A2 associated with familial Parkinson disease. </w:t>
      </w:r>
      <w:r w:rsidRPr="00962C22">
        <w:rPr>
          <w:rFonts w:ascii="Times New Roman" w:hAnsi="Times New Roman" w:cs="Times New Roman"/>
          <w:i/>
          <w:iCs/>
        </w:rPr>
        <w:t>Nature Genetics</w:t>
      </w:r>
      <w:r w:rsidRPr="00962C22">
        <w:rPr>
          <w:rFonts w:ascii="Times New Roman" w:hAnsi="Times New Roman" w:cs="Times New Roman"/>
        </w:rPr>
        <w:t xml:space="preserve">, </w:t>
      </w:r>
      <w:r w:rsidRPr="00962C22">
        <w:rPr>
          <w:rFonts w:ascii="Times New Roman" w:hAnsi="Times New Roman" w:cs="Times New Roman"/>
          <w:i/>
          <w:iCs/>
        </w:rPr>
        <w:t>33</w:t>
      </w:r>
      <w:r w:rsidRPr="00962C22">
        <w:rPr>
          <w:rFonts w:ascii="Times New Roman" w:hAnsi="Times New Roman" w:cs="Times New Roman"/>
        </w:rPr>
        <w:t>(1), 85–89. https://doi.org/10.1038/ng1066</w:t>
      </w:r>
    </w:p>
    <w:p w14:paraId="4BACDB78" w14:textId="77777777" w:rsidR="00962C22" w:rsidRPr="00962C22" w:rsidRDefault="00962C22" w:rsidP="00962C22">
      <w:pPr>
        <w:pStyle w:val="Bibliography"/>
        <w:rPr>
          <w:rFonts w:ascii="Times New Roman" w:hAnsi="Times New Roman" w:cs="Times New Roman"/>
        </w:rPr>
      </w:pPr>
      <w:r w:rsidRPr="00962C22">
        <w:rPr>
          <w:rFonts w:ascii="Times New Roman" w:hAnsi="Times New Roman" w:cs="Times New Roman"/>
        </w:rPr>
        <w:t xml:space="preserve">Marx, V. (2021). Method of the Year: Spatially resolved transcriptomics. </w:t>
      </w:r>
      <w:r w:rsidRPr="00962C22">
        <w:rPr>
          <w:rFonts w:ascii="Times New Roman" w:hAnsi="Times New Roman" w:cs="Times New Roman"/>
          <w:i/>
          <w:iCs/>
        </w:rPr>
        <w:t>Nature Methods</w:t>
      </w:r>
      <w:r w:rsidRPr="00962C22">
        <w:rPr>
          <w:rFonts w:ascii="Times New Roman" w:hAnsi="Times New Roman" w:cs="Times New Roman"/>
        </w:rPr>
        <w:t xml:space="preserve">, </w:t>
      </w:r>
      <w:r w:rsidRPr="00962C22">
        <w:rPr>
          <w:rFonts w:ascii="Times New Roman" w:hAnsi="Times New Roman" w:cs="Times New Roman"/>
          <w:i/>
          <w:iCs/>
        </w:rPr>
        <w:t>18</w:t>
      </w:r>
      <w:r w:rsidRPr="00962C22">
        <w:rPr>
          <w:rFonts w:ascii="Times New Roman" w:hAnsi="Times New Roman" w:cs="Times New Roman"/>
        </w:rPr>
        <w:t>(1), 9–14. https://doi.org/10.1038/s41592-020-01033-y</w:t>
      </w:r>
    </w:p>
    <w:p w14:paraId="416C5B5E" w14:textId="77777777" w:rsidR="00962C22" w:rsidRPr="00962C22" w:rsidRDefault="00962C22" w:rsidP="00962C22">
      <w:pPr>
        <w:pStyle w:val="Bibliography"/>
        <w:rPr>
          <w:rFonts w:ascii="Times New Roman" w:hAnsi="Times New Roman" w:cs="Times New Roman"/>
        </w:rPr>
      </w:pPr>
      <w:r w:rsidRPr="00962C22">
        <w:rPr>
          <w:rFonts w:ascii="Times New Roman" w:hAnsi="Times New Roman" w:cs="Times New Roman"/>
        </w:rPr>
        <w:t xml:space="preserve">McGeer, P. L., &amp; McGeer, E. G. (2004). Inflammation and neurodegeneration in Parkinson’s disease. </w:t>
      </w:r>
      <w:r w:rsidRPr="00962C22">
        <w:rPr>
          <w:rFonts w:ascii="Times New Roman" w:hAnsi="Times New Roman" w:cs="Times New Roman"/>
          <w:i/>
          <w:iCs/>
        </w:rPr>
        <w:t>Parkinsonism &amp; Related Disorders</w:t>
      </w:r>
      <w:r w:rsidRPr="00962C22">
        <w:rPr>
          <w:rFonts w:ascii="Times New Roman" w:hAnsi="Times New Roman" w:cs="Times New Roman"/>
        </w:rPr>
        <w:t xml:space="preserve">, </w:t>
      </w:r>
      <w:r w:rsidRPr="00962C22">
        <w:rPr>
          <w:rFonts w:ascii="Times New Roman" w:hAnsi="Times New Roman" w:cs="Times New Roman"/>
          <w:i/>
          <w:iCs/>
        </w:rPr>
        <w:t>10 Suppl 1</w:t>
      </w:r>
      <w:r w:rsidRPr="00962C22">
        <w:rPr>
          <w:rFonts w:ascii="Times New Roman" w:hAnsi="Times New Roman" w:cs="Times New Roman"/>
        </w:rPr>
        <w:t>, S3-7. https://doi.org/10.1016/j.parkreldis.2004.01.005</w:t>
      </w:r>
    </w:p>
    <w:p w14:paraId="74F9F7A4" w14:textId="77777777" w:rsidR="00962C22" w:rsidRPr="00962C22" w:rsidRDefault="00962C22" w:rsidP="00962C22">
      <w:pPr>
        <w:pStyle w:val="Bibliography"/>
        <w:rPr>
          <w:rFonts w:ascii="Times New Roman" w:hAnsi="Times New Roman" w:cs="Times New Roman"/>
        </w:rPr>
      </w:pPr>
      <w:r w:rsidRPr="00962C22">
        <w:rPr>
          <w:rFonts w:ascii="Times New Roman" w:hAnsi="Times New Roman" w:cs="Times New Roman"/>
        </w:rPr>
        <w:t xml:space="preserve">Moffitt, J. R., Hao, J., Wang, G., Chen, K. H., Babcock, H. P., &amp; Zhuang, X. (2016). High-throughput single-cell gene-expression profiling with multiplexed error-robust fluorescence in situ hybridization. </w:t>
      </w:r>
      <w:r w:rsidRPr="00962C22">
        <w:rPr>
          <w:rFonts w:ascii="Times New Roman" w:hAnsi="Times New Roman" w:cs="Times New Roman"/>
          <w:i/>
          <w:iCs/>
        </w:rPr>
        <w:t>Proceedings of the National Academy of Sciences of the United States of America</w:t>
      </w:r>
      <w:r w:rsidRPr="00962C22">
        <w:rPr>
          <w:rFonts w:ascii="Times New Roman" w:hAnsi="Times New Roman" w:cs="Times New Roman"/>
        </w:rPr>
        <w:t xml:space="preserve">, </w:t>
      </w:r>
      <w:r w:rsidRPr="00962C22">
        <w:rPr>
          <w:rFonts w:ascii="Times New Roman" w:hAnsi="Times New Roman" w:cs="Times New Roman"/>
          <w:i/>
          <w:iCs/>
        </w:rPr>
        <w:t>113</w:t>
      </w:r>
      <w:r w:rsidRPr="00962C22">
        <w:rPr>
          <w:rFonts w:ascii="Times New Roman" w:hAnsi="Times New Roman" w:cs="Times New Roman"/>
        </w:rPr>
        <w:t>(39), 11046–11051. https://doi.org/10.1073/pnas.1612826113</w:t>
      </w:r>
    </w:p>
    <w:p w14:paraId="349E4E42" w14:textId="77777777" w:rsidR="00962C22" w:rsidRPr="00962C22" w:rsidRDefault="00962C22" w:rsidP="00962C22">
      <w:pPr>
        <w:pStyle w:val="Bibliography"/>
        <w:rPr>
          <w:rFonts w:ascii="Times New Roman" w:hAnsi="Times New Roman" w:cs="Times New Roman"/>
        </w:rPr>
      </w:pPr>
      <w:r w:rsidRPr="00962C22">
        <w:rPr>
          <w:rFonts w:ascii="Times New Roman" w:hAnsi="Times New Roman" w:cs="Times New Roman"/>
        </w:rPr>
        <w:t xml:space="preserve">Nagatsu, T., Levitt, M., &amp; Udenfriend, S. (1964). TYROSINE HYDROXYLASE. THE INITIAL STEP IN NOREPINEPHRINE BIOSYNTHESIS. </w:t>
      </w:r>
      <w:r w:rsidRPr="00962C22">
        <w:rPr>
          <w:rFonts w:ascii="Times New Roman" w:hAnsi="Times New Roman" w:cs="Times New Roman"/>
          <w:i/>
          <w:iCs/>
        </w:rPr>
        <w:t>The Journal of Biological Chemistry</w:t>
      </w:r>
      <w:r w:rsidRPr="00962C22">
        <w:rPr>
          <w:rFonts w:ascii="Times New Roman" w:hAnsi="Times New Roman" w:cs="Times New Roman"/>
        </w:rPr>
        <w:t xml:space="preserve">, </w:t>
      </w:r>
      <w:r w:rsidRPr="00962C22">
        <w:rPr>
          <w:rFonts w:ascii="Times New Roman" w:hAnsi="Times New Roman" w:cs="Times New Roman"/>
          <w:i/>
          <w:iCs/>
        </w:rPr>
        <w:t>239</w:t>
      </w:r>
      <w:r w:rsidRPr="00962C22">
        <w:rPr>
          <w:rFonts w:ascii="Times New Roman" w:hAnsi="Times New Roman" w:cs="Times New Roman"/>
        </w:rPr>
        <w:t>, 2910–2917.</w:t>
      </w:r>
    </w:p>
    <w:p w14:paraId="382D013C" w14:textId="77777777" w:rsidR="00962C22" w:rsidRPr="00962C22" w:rsidRDefault="00962C22" w:rsidP="00962C22">
      <w:pPr>
        <w:pStyle w:val="Bibliography"/>
        <w:rPr>
          <w:rFonts w:ascii="Times New Roman" w:hAnsi="Times New Roman" w:cs="Times New Roman"/>
        </w:rPr>
      </w:pPr>
      <w:r w:rsidRPr="00962C22">
        <w:rPr>
          <w:rFonts w:ascii="Times New Roman" w:hAnsi="Times New Roman" w:cs="Times New Roman"/>
        </w:rPr>
        <w:t xml:space="preserve">Poewe, W., Seppi, K., Tanner, C. M., Halliday, G. M., Brundin, P., Volkmann, J., Schrag, A.-E., &amp; Lang, A. E. (2017). Parkinson disease. </w:t>
      </w:r>
      <w:r w:rsidRPr="00962C22">
        <w:rPr>
          <w:rFonts w:ascii="Times New Roman" w:hAnsi="Times New Roman" w:cs="Times New Roman"/>
          <w:i/>
          <w:iCs/>
        </w:rPr>
        <w:t>Nature Reviews. Disease Primers</w:t>
      </w:r>
      <w:r w:rsidRPr="00962C22">
        <w:rPr>
          <w:rFonts w:ascii="Times New Roman" w:hAnsi="Times New Roman" w:cs="Times New Roman"/>
        </w:rPr>
        <w:t xml:space="preserve">, </w:t>
      </w:r>
      <w:r w:rsidRPr="00962C22">
        <w:rPr>
          <w:rFonts w:ascii="Times New Roman" w:hAnsi="Times New Roman" w:cs="Times New Roman"/>
          <w:i/>
          <w:iCs/>
        </w:rPr>
        <w:t>3</w:t>
      </w:r>
      <w:r w:rsidRPr="00962C22">
        <w:rPr>
          <w:rFonts w:ascii="Times New Roman" w:hAnsi="Times New Roman" w:cs="Times New Roman"/>
        </w:rPr>
        <w:t>, 17013. https://doi.org/10.1038/nrdp.2017.13</w:t>
      </w:r>
    </w:p>
    <w:p w14:paraId="31952AAC" w14:textId="77777777" w:rsidR="00962C22" w:rsidRPr="00962C22" w:rsidRDefault="00962C22" w:rsidP="00962C22">
      <w:pPr>
        <w:pStyle w:val="Bibliography"/>
        <w:rPr>
          <w:rFonts w:ascii="Times New Roman" w:hAnsi="Times New Roman" w:cs="Times New Roman"/>
        </w:rPr>
      </w:pPr>
      <w:r w:rsidRPr="00962C22">
        <w:rPr>
          <w:rFonts w:ascii="Times New Roman" w:hAnsi="Times New Roman" w:cs="Times New Roman"/>
        </w:rPr>
        <w:t xml:space="preserve">Sveinbjornsdottir, S. (2016). The clinical symptoms of Parkinson’s disease. </w:t>
      </w:r>
      <w:r w:rsidRPr="00962C22">
        <w:rPr>
          <w:rFonts w:ascii="Times New Roman" w:hAnsi="Times New Roman" w:cs="Times New Roman"/>
          <w:i/>
          <w:iCs/>
        </w:rPr>
        <w:t>Journal of Neurochemistry</w:t>
      </w:r>
      <w:r w:rsidRPr="00962C22">
        <w:rPr>
          <w:rFonts w:ascii="Times New Roman" w:hAnsi="Times New Roman" w:cs="Times New Roman"/>
        </w:rPr>
        <w:t xml:space="preserve">, </w:t>
      </w:r>
      <w:r w:rsidRPr="00962C22">
        <w:rPr>
          <w:rFonts w:ascii="Times New Roman" w:hAnsi="Times New Roman" w:cs="Times New Roman"/>
          <w:i/>
          <w:iCs/>
        </w:rPr>
        <w:t>139 Suppl 1</w:t>
      </w:r>
      <w:r w:rsidRPr="00962C22">
        <w:rPr>
          <w:rFonts w:ascii="Times New Roman" w:hAnsi="Times New Roman" w:cs="Times New Roman"/>
        </w:rPr>
        <w:t>, 318–324. https://doi.org/10.1111/jnc.13691</w:t>
      </w:r>
    </w:p>
    <w:p w14:paraId="4292D416" w14:textId="77777777" w:rsidR="00962C22" w:rsidRPr="00962C22" w:rsidRDefault="00962C22" w:rsidP="00962C22">
      <w:pPr>
        <w:pStyle w:val="Bibliography"/>
        <w:rPr>
          <w:rFonts w:ascii="Times New Roman" w:hAnsi="Times New Roman" w:cs="Times New Roman"/>
        </w:rPr>
      </w:pPr>
      <w:r w:rsidRPr="00962C22">
        <w:rPr>
          <w:rFonts w:ascii="Times New Roman" w:hAnsi="Times New Roman" w:cs="Times New Roman"/>
        </w:rPr>
        <w:t xml:space="preserve">Tansey, M. G., &amp; Goldberg, M. S. (2010). Neuroinflammation in Parkinson’s disease: Its role in neuronal death and implications for therapeutic intervention. </w:t>
      </w:r>
      <w:r w:rsidRPr="00962C22">
        <w:rPr>
          <w:rFonts w:ascii="Times New Roman" w:hAnsi="Times New Roman" w:cs="Times New Roman"/>
          <w:i/>
          <w:iCs/>
        </w:rPr>
        <w:t>Neurobiology of Disease</w:t>
      </w:r>
      <w:r w:rsidRPr="00962C22">
        <w:rPr>
          <w:rFonts w:ascii="Times New Roman" w:hAnsi="Times New Roman" w:cs="Times New Roman"/>
        </w:rPr>
        <w:t xml:space="preserve">, </w:t>
      </w:r>
      <w:r w:rsidRPr="00962C22">
        <w:rPr>
          <w:rFonts w:ascii="Times New Roman" w:hAnsi="Times New Roman" w:cs="Times New Roman"/>
          <w:i/>
          <w:iCs/>
        </w:rPr>
        <w:t>37</w:t>
      </w:r>
      <w:r w:rsidRPr="00962C22">
        <w:rPr>
          <w:rFonts w:ascii="Times New Roman" w:hAnsi="Times New Roman" w:cs="Times New Roman"/>
        </w:rPr>
        <w:t>(3), 510–518. https://doi.org/10.1016/j.nbd.2009.11.004</w:t>
      </w:r>
    </w:p>
    <w:p w14:paraId="15DF3466" w14:textId="77777777" w:rsidR="00962C22" w:rsidRPr="00962C22" w:rsidRDefault="00962C22" w:rsidP="00962C22">
      <w:pPr>
        <w:pStyle w:val="Bibliography"/>
        <w:rPr>
          <w:rFonts w:ascii="Times New Roman" w:hAnsi="Times New Roman" w:cs="Times New Roman"/>
        </w:rPr>
      </w:pPr>
      <w:r w:rsidRPr="00962C22">
        <w:rPr>
          <w:rFonts w:ascii="Times New Roman" w:hAnsi="Times New Roman" w:cs="Times New Roman"/>
        </w:rPr>
        <w:t xml:space="preserve">Zarezadeh Mehrabadi, A., Aghamohamadi, N., Khoshmirsafa, M., Aghamajidi, A., Pilehforoshha, M., Massoumi, R., &amp; Falak, R. (2022). The roles of interleukin-1 receptor accessory protein in certain inflammatory conditions. </w:t>
      </w:r>
      <w:r w:rsidRPr="00962C22">
        <w:rPr>
          <w:rFonts w:ascii="Times New Roman" w:hAnsi="Times New Roman" w:cs="Times New Roman"/>
          <w:i/>
          <w:iCs/>
        </w:rPr>
        <w:t>Immunology</w:t>
      </w:r>
      <w:r w:rsidRPr="00962C22">
        <w:rPr>
          <w:rFonts w:ascii="Times New Roman" w:hAnsi="Times New Roman" w:cs="Times New Roman"/>
        </w:rPr>
        <w:t xml:space="preserve">, </w:t>
      </w:r>
      <w:r w:rsidRPr="00962C22">
        <w:rPr>
          <w:rFonts w:ascii="Times New Roman" w:hAnsi="Times New Roman" w:cs="Times New Roman"/>
          <w:i/>
          <w:iCs/>
        </w:rPr>
        <w:t>166</w:t>
      </w:r>
      <w:r w:rsidRPr="00962C22">
        <w:rPr>
          <w:rFonts w:ascii="Times New Roman" w:hAnsi="Times New Roman" w:cs="Times New Roman"/>
        </w:rPr>
        <w:t>(1), 38–46. https://doi.org/10.1111/imm.13462</w:t>
      </w:r>
    </w:p>
    <w:p w14:paraId="2EE9EFD1" w14:textId="77777777" w:rsidR="00962C22" w:rsidRPr="00962C22" w:rsidRDefault="00962C22" w:rsidP="00962C22">
      <w:pPr>
        <w:pStyle w:val="Bibliography"/>
        <w:rPr>
          <w:rFonts w:ascii="Times New Roman" w:hAnsi="Times New Roman" w:cs="Times New Roman"/>
        </w:rPr>
      </w:pPr>
      <w:r w:rsidRPr="00962C22">
        <w:rPr>
          <w:rFonts w:ascii="Times New Roman" w:hAnsi="Times New Roman" w:cs="Times New Roman"/>
        </w:rPr>
        <w:t xml:space="preserve">Zhang, M., Eichhorn, S. W., Zingg, B., Yao, Z., Cotter, K., Zeng, H., Dong, H., &amp; Zhuang, X. (2021). Spatially resolved cell atlas of the mouse primary motor cortex by MERFISH. </w:t>
      </w:r>
      <w:r w:rsidRPr="00962C22">
        <w:rPr>
          <w:rFonts w:ascii="Times New Roman" w:hAnsi="Times New Roman" w:cs="Times New Roman"/>
          <w:i/>
          <w:iCs/>
        </w:rPr>
        <w:t>Nature</w:t>
      </w:r>
      <w:r w:rsidRPr="00962C22">
        <w:rPr>
          <w:rFonts w:ascii="Times New Roman" w:hAnsi="Times New Roman" w:cs="Times New Roman"/>
        </w:rPr>
        <w:t xml:space="preserve">, </w:t>
      </w:r>
      <w:r w:rsidRPr="00962C22">
        <w:rPr>
          <w:rFonts w:ascii="Times New Roman" w:hAnsi="Times New Roman" w:cs="Times New Roman"/>
          <w:i/>
          <w:iCs/>
        </w:rPr>
        <w:t>598</w:t>
      </w:r>
      <w:r w:rsidRPr="00962C22">
        <w:rPr>
          <w:rFonts w:ascii="Times New Roman" w:hAnsi="Times New Roman" w:cs="Times New Roman"/>
        </w:rPr>
        <w:t>(7879), 137–143. https://doi.org/10.1038/s41586-021-03705-x</w:t>
      </w:r>
    </w:p>
    <w:p w14:paraId="5FA1F8B2" w14:textId="77777777" w:rsidR="00962C22" w:rsidRPr="00962C22" w:rsidRDefault="00962C22" w:rsidP="00962C22">
      <w:pPr>
        <w:pStyle w:val="Bibliography"/>
        <w:rPr>
          <w:rFonts w:ascii="Times New Roman" w:hAnsi="Times New Roman" w:cs="Times New Roman"/>
        </w:rPr>
      </w:pPr>
      <w:r w:rsidRPr="00962C22">
        <w:rPr>
          <w:rFonts w:ascii="Times New Roman" w:hAnsi="Times New Roman" w:cs="Times New Roman"/>
        </w:rPr>
        <w:t xml:space="preserve">Zhang, M., Pan, X., Jung, W., Halpern, A., Eichhorn, S. W., Lei, Z., Cohen, L., Smith, K. A., Tasic, B., Yao, Z., Zeng, H., &amp; Zhuang, X. (2023). </w:t>
      </w:r>
      <w:r w:rsidRPr="00962C22">
        <w:rPr>
          <w:rFonts w:ascii="Times New Roman" w:hAnsi="Times New Roman" w:cs="Times New Roman"/>
          <w:i/>
          <w:iCs/>
        </w:rPr>
        <w:t>A molecularly defined and spatially resolved cell atlas of the whole mouse brain</w:t>
      </w:r>
      <w:r w:rsidRPr="00962C22">
        <w:rPr>
          <w:rFonts w:ascii="Times New Roman" w:hAnsi="Times New Roman" w:cs="Times New Roman"/>
        </w:rPr>
        <w:t xml:space="preserve"> (p. 2023.03.06.531348). bioRxiv. https://doi.org/10.1101/2023.03.06.531348</w:t>
      </w:r>
    </w:p>
    <w:p w14:paraId="606DB2A3" w14:textId="63C6F501" w:rsidR="00962C22" w:rsidRPr="00842C2F" w:rsidRDefault="00962C22">
      <w:pPr>
        <w:spacing w:line="360" w:lineRule="auto"/>
        <w:rPr>
          <w:rFonts w:ascii="Times New Roman" w:eastAsia="맑은 고딕" w:hAnsi="Times New Roman" w:cs="Times New Roman"/>
          <w:lang w:eastAsia="ko-KR"/>
        </w:rPr>
      </w:pPr>
      <w:r>
        <w:rPr>
          <w:rFonts w:ascii="Times New Roman" w:eastAsia="맑은 고딕" w:hAnsi="Times New Roman" w:cs="Times New Roman"/>
          <w:lang w:eastAsia="ko-KR"/>
        </w:rPr>
        <w:fldChar w:fldCharType="end"/>
      </w:r>
    </w:p>
    <w:sectPr w:rsidR="00962C22" w:rsidRPr="00842C2F">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5AA1AF" w14:textId="77777777" w:rsidR="00CA03C7" w:rsidRDefault="00CA03C7" w:rsidP="00EA206B">
      <w:pPr>
        <w:spacing w:after="0" w:line="240" w:lineRule="auto"/>
      </w:pPr>
      <w:r>
        <w:separator/>
      </w:r>
    </w:p>
  </w:endnote>
  <w:endnote w:type="continuationSeparator" w:id="0">
    <w:p w14:paraId="418ACB2A" w14:textId="77777777" w:rsidR="00CA03C7" w:rsidRDefault="00CA03C7" w:rsidP="00EA20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맑은 고딕">
    <w:panose1 w:val="020B0503020000020004"/>
    <w:charset w:val="81"/>
    <w:family w:val="modern"/>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57D92" w14:textId="77777777" w:rsidR="00EA3687" w:rsidRDefault="00EA36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8418578"/>
      <w:docPartObj>
        <w:docPartGallery w:val="Page Numbers (Bottom of Page)"/>
        <w:docPartUnique/>
      </w:docPartObj>
    </w:sdtPr>
    <w:sdtEndPr>
      <w:rPr>
        <w:noProof/>
      </w:rPr>
    </w:sdtEndPr>
    <w:sdtContent>
      <w:p w14:paraId="23A17631" w14:textId="23B41128" w:rsidR="00EA206B" w:rsidRDefault="00EA20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DEF1AF5" w14:textId="77777777" w:rsidR="00EA206B" w:rsidRDefault="00EA20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77A7F" w14:textId="77777777" w:rsidR="00EA3687" w:rsidRDefault="00EA36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CA6A0C" w14:textId="77777777" w:rsidR="00CA03C7" w:rsidRDefault="00CA03C7" w:rsidP="00EA206B">
      <w:pPr>
        <w:spacing w:after="0" w:line="240" w:lineRule="auto"/>
      </w:pPr>
      <w:r>
        <w:separator/>
      </w:r>
    </w:p>
  </w:footnote>
  <w:footnote w:type="continuationSeparator" w:id="0">
    <w:p w14:paraId="27DB797D" w14:textId="77777777" w:rsidR="00CA03C7" w:rsidRDefault="00CA03C7" w:rsidP="00EA20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C3477" w14:textId="3D592612" w:rsidR="00EA3687" w:rsidRDefault="00000000">
    <w:pPr>
      <w:pStyle w:val="Header"/>
    </w:pPr>
    <w:r>
      <w:rPr>
        <w:noProof/>
      </w:rPr>
      <w:pict w14:anchorId="1DB4D4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071594"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DDC9C" w14:textId="63367702" w:rsidR="00EA3687" w:rsidRDefault="00000000">
    <w:pPr>
      <w:pStyle w:val="Header"/>
    </w:pPr>
    <w:r>
      <w:rPr>
        <w:noProof/>
      </w:rPr>
      <w:pict w14:anchorId="0062A3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071595"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0E84D" w14:textId="11531A9F" w:rsidR="00EA3687" w:rsidRDefault="00000000">
    <w:pPr>
      <w:pStyle w:val="Header"/>
    </w:pPr>
    <w:r>
      <w:rPr>
        <w:noProof/>
      </w:rPr>
      <w:pict w14:anchorId="1829A9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071593"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revisionView w:inkAnnotations="0"/>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C2F"/>
    <w:rsid w:val="00027827"/>
    <w:rsid w:val="00187A37"/>
    <w:rsid w:val="001C3F47"/>
    <w:rsid w:val="00201CE3"/>
    <w:rsid w:val="00264D93"/>
    <w:rsid w:val="002D54A8"/>
    <w:rsid w:val="003021EA"/>
    <w:rsid w:val="003A16BD"/>
    <w:rsid w:val="003B2922"/>
    <w:rsid w:val="004153A7"/>
    <w:rsid w:val="005740F5"/>
    <w:rsid w:val="005A3A74"/>
    <w:rsid w:val="006A4CFB"/>
    <w:rsid w:val="006E2C1C"/>
    <w:rsid w:val="00786743"/>
    <w:rsid w:val="007C7D20"/>
    <w:rsid w:val="007D6F71"/>
    <w:rsid w:val="00842C2F"/>
    <w:rsid w:val="008749E8"/>
    <w:rsid w:val="00916D9B"/>
    <w:rsid w:val="00962C22"/>
    <w:rsid w:val="009A66DD"/>
    <w:rsid w:val="009C3F54"/>
    <w:rsid w:val="00A65407"/>
    <w:rsid w:val="00A92F78"/>
    <w:rsid w:val="00B06BA2"/>
    <w:rsid w:val="00B8048D"/>
    <w:rsid w:val="00C75D6E"/>
    <w:rsid w:val="00C87F07"/>
    <w:rsid w:val="00CA03C7"/>
    <w:rsid w:val="00CC6A42"/>
    <w:rsid w:val="00DC5490"/>
    <w:rsid w:val="00EA206B"/>
    <w:rsid w:val="00EA3687"/>
    <w:rsid w:val="00EB5C8B"/>
    <w:rsid w:val="00F045DD"/>
    <w:rsid w:val="00F07D33"/>
    <w:rsid w:val="00F32A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DFAC71"/>
  <w15:chartTrackingRefBased/>
  <w15:docId w15:val="{546D057F-1D85-4916-A805-4F05679FF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42C2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42C2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42C2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42C2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42C2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42C2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42C2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42C2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42C2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2C2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42C2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42C2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42C2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42C2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42C2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42C2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42C2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42C2F"/>
    <w:rPr>
      <w:rFonts w:eastAsiaTheme="majorEastAsia" w:cstheme="majorBidi"/>
      <w:color w:val="272727" w:themeColor="text1" w:themeTint="D8"/>
    </w:rPr>
  </w:style>
  <w:style w:type="paragraph" w:styleId="Title">
    <w:name w:val="Title"/>
    <w:basedOn w:val="Normal"/>
    <w:next w:val="Normal"/>
    <w:link w:val="TitleChar"/>
    <w:uiPriority w:val="10"/>
    <w:qFormat/>
    <w:rsid w:val="00842C2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42C2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42C2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42C2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42C2F"/>
    <w:pPr>
      <w:spacing w:before="160"/>
      <w:jc w:val="center"/>
    </w:pPr>
    <w:rPr>
      <w:i/>
      <w:iCs/>
      <w:color w:val="404040" w:themeColor="text1" w:themeTint="BF"/>
    </w:rPr>
  </w:style>
  <w:style w:type="character" w:customStyle="1" w:styleId="QuoteChar">
    <w:name w:val="Quote Char"/>
    <w:basedOn w:val="DefaultParagraphFont"/>
    <w:link w:val="Quote"/>
    <w:uiPriority w:val="29"/>
    <w:rsid w:val="00842C2F"/>
    <w:rPr>
      <w:i/>
      <w:iCs/>
      <w:color w:val="404040" w:themeColor="text1" w:themeTint="BF"/>
    </w:rPr>
  </w:style>
  <w:style w:type="paragraph" w:styleId="ListParagraph">
    <w:name w:val="List Paragraph"/>
    <w:basedOn w:val="Normal"/>
    <w:uiPriority w:val="34"/>
    <w:qFormat/>
    <w:rsid w:val="00842C2F"/>
    <w:pPr>
      <w:ind w:left="720"/>
      <w:contextualSpacing/>
    </w:pPr>
  </w:style>
  <w:style w:type="character" w:styleId="IntenseEmphasis">
    <w:name w:val="Intense Emphasis"/>
    <w:basedOn w:val="DefaultParagraphFont"/>
    <w:uiPriority w:val="21"/>
    <w:qFormat/>
    <w:rsid w:val="00842C2F"/>
    <w:rPr>
      <w:i/>
      <w:iCs/>
      <w:color w:val="0F4761" w:themeColor="accent1" w:themeShade="BF"/>
    </w:rPr>
  </w:style>
  <w:style w:type="paragraph" w:styleId="IntenseQuote">
    <w:name w:val="Intense Quote"/>
    <w:basedOn w:val="Normal"/>
    <w:next w:val="Normal"/>
    <w:link w:val="IntenseQuoteChar"/>
    <w:uiPriority w:val="30"/>
    <w:qFormat/>
    <w:rsid w:val="00842C2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42C2F"/>
    <w:rPr>
      <w:i/>
      <w:iCs/>
      <w:color w:val="0F4761" w:themeColor="accent1" w:themeShade="BF"/>
    </w:rPr>
  </w:style>
  <w:style w:type="character" w:styleId="IntenseReference">
    <w:name w:val="Intense Reference"/>
    <w:basedOn w:val="DefaultParagraphFont"/>
    <w:uiPriority w:val="32"/>
    <w:qFormat/>
    <w:rsid w:val="00842C2F"/>
    <w:rPr>
      <w:b/>
      <w:bCs/>
      <w:smallCaps/>
      <w:color w:val="0F4761" w:themeColor="accent1" w:themeShade="BF"/>
      <w:spacing w:val="5"/>
    </w:rPr>
  </w:style>
  <w:style w:type="paragraph" w:styleId="Bibliography">
    <w:name w:val="Bibliography"/>
    <w:basedOn w:val="Normal"/>
    <w:next w:val="Normal"/>
    <w:uiPriority w:val="37"/>
    <w:unhideWhenUsed/>
    <w:rsid w:val="00962C22"/>
    <w:pPr>
      <w:spacing w:after="0" w:line="480" w:lineRule="auto"/>
      <w:ind w:left="720" w:hanging="720"/>
    </w:pPr>
  </w:style>
  <w:style w:type="character" w:styleId="Hyperlink">
    <w:name w:val="Hyperlink"/>
    <w:basedOn w:val="DefaultParagraphFont"/>
    <w:uiPriority w:val="99"/>
    <w:unhideWhenUsed/>
    <w:rsid w:val="00F32AF1"/>
    <w:rPr>
      <w:color w:val="467886" w:themeColor="hyperlink"/>
      <w:u w:val="single"/>
    </w:rPr>
  </w:style>
  <w:style w:type="character" w:styleId="UnresolvedMention">
    <w:name w:val="Unresolved Mention"/>
    <w:basedOn w:val="DefaultParagraphFont"/>
    <w:uiPriority w:val="99"/>
    <w:semiHidden/>
    <w:unhideWhenUsed/>
    <w:rsid w:val="00F32AF1"/>
    <w:rPr>
      <w:color w:val="605E5C"/>
      <w:shd w:val="clear" w:color="auto" w:fill="E1DFDD"/>
    </w:rPr>
  </w:style>
  <w:style w:type="paragraph" w:styleId="Header">
    <w:name w:val="header"/>
    <w:basedOn w:val="Normal"/>
    <w:link w:val="HeaderChar"/>
    <w:uiPriority w:val="99"/>
    <w:unhideWhenUsed/>
    <w:rsid w:val="00EA20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206B"/>
  </w:style>
  <w:style w:type="paragraph" w:styleId="Footer">
    <w:name w:val="footer"/>
    <w:basedOn w:val="Normal"/>
    <w:link w:val="FooterChar"/>
    <w:uiPriority w:val="99"/>
    <w:unhideWhenUsed/>
    <w:rsid w:val="00EA20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20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37100">
      <w:bodyDiv w:val="1"/>
      <w:marLeft w:val="0"/>
      <w:marRight w:val="0"/>
      <w:marTop w:val="0"/>
      <w:marBottom w:val="0"/>
      <w:divBdr>
        <w:top w:val="none" w:sz="0" w:space="0" w:color="auto"/>
        <w:left w:val="none" w:sz="0" w:space="0" w:color="auto"/>
        <w:bottom w:val="none" w:sz="0" w:space="0" w:color="auto"/>
        <w:right w:val="none" w:sz="0" w:space="0" w:color="auto"/>
      </w:divBdr>
    </w:div>
    <w:div w:id="52823717">
      <w:bodyDiv w:val="1"/>
      <w:marLeft w:val="0"/>
      <w:marRight w:val="0"/>
      <w:marTop w:val="0"/>
      <w:marBottom w:val="0"/>
      <w:divBdr>
        <w:top w:val="none" w:sz="0" w:space="0" w:color="auto"/>
        <w:left w:val="none" w:sz="0" w:space="0" w:color="auto"/>
        <w:bottom w:val="none" w:sz="0" w:space="0" w:color="auto"/>
        <w:right w:val="none" w:sz="0" w:space="0" w:color="auto"/>
      </w:divBdr>
    </w:div>
    <w:div w:id="76833279">
      <w:bodyDiv w:val="1"/>
      <w:marLeft w:val="0"/>
      <w:marRight w:val="0"/>
      <w:marTop w:val="0"/>
      <w:marBottom w:val="0"/>
      <w:divBdr>
        <w:top w:val="none" w:sz="0" w:space="0" w:color="auto"/>
        <w:left w:val="none" w:sz="0" w:space="0" w:color="auto"/>
        <w:bottom w:val="none" w:sz="0" w:space="0" w:color="auto"/>
        <w:right w:val="none" w:sz="0" w:space="0" w:color="auto"/>
      </w:divBdr>
    </w:div>
    <w:div w:id="118694865">
      <w:bodyDiv w:val="1"/>
      <w:marLeft w:val="0"/>
      <w:marRight w:val="0"/>
      <w:marTop w:val="0"/>
      <w:marBottom w:val="0"/>
      <w:divBdr>
        <w:top w:val="none" w:sz="0" w:space="0" w:color="auto"/>
        <w:left w:val="none" w:sz="0" w:space="0" w:color="auto"/>
        <w:bottom w:val="none" w:sz="0" w:space="0" w:color="auto"/>
        <w:right w:val="none" w:sz="0" w:space="0" w:color="auto"/>
      </w:divBdr>
    </w:div>
    <w:div w:id="136529303">
      <w:bodyDiv w:val="1"/>
      <w:marLeft w:val="0"/>
      <w:marRight w:val="0"/>
      <w:marTop w:val="0"/>
      <w:marBottom w:val="0"/>
      <w:divBdr>
        <w:top w:val="none" w:sz="0" w:space="0" w:color="auto"/>
        <w:left w:val="none" w:sz="0" w:space="0" w:color="auto"/>
        <w:bottom w:val="none" w:sz="0" w:space="0" w:color="auto"/>
        <w:right w:val="none" w:sz="0" w:space="0" w:color="auto"/>
      </w:divBdr>
    </w:div>
    <w:div w:id="251085416">
      <w:bodyDiv w:val="1"/>
      <w:marLeft w:val="0"/>
      <w:marRight w:val="0"/>
      <w:marTop w:val="0"/>
      <w:marBottom w:val="0"/>
      <w:divBdr>
        <w:top w:val="none" w:sz="0" w:space="0" w:color="auto"/>
        <w:left w:val="none" w:sz="0" w:space="0" w:color="auto"/>
        <w:bottom w:val="none" w:sz="0" w:space="0" w:color="auto"/>
        <w:right w:val="none" w:sz="0" w:space="0" w:color="auto"/>
      </w:divBdr>
    </w:div>
    <w:div w:id="256716207">
      <w:bodyDiv w:val="1"/>
      <w:marLeft w:val="0"/>
      <w:marRight w:val="0"/>
      <w:marTop w:val="0"/>
      <w:marBottom w:val="0"/>
      <w:divBdr>
        <w:top w:val="none" w:sz="0" w:space="0" w:color="auto"/>
        <w:left w:val="none" w:sz="0" w:space="0" w:color="auto"/>
        <w:bottom w:val="none" w:sz="0" w:space="0" w:color="auto"/>
        <w:right w:val="none" w:sz="0" w:space="0" w:color="auto"/>
      </w:divBdr>
    </w:div>
    <w:div w:id="388959988">
      <w:bodyDiv w:val="1"/>
      <w:marLeft w:val="0"/>
      <w:marRight w:val="0"/>
      <w:marTop w:val="0"/>
      <w:marBottom w:val="0"/>
      <w:divBdr>
        <w:top w:val="none" w:sz="0" w:space="0" w:color="auto"/>
        <w:left w:val="none" w:sz="0" w:space="0" w:color="auto"/>
        <w:bottom w:val="none" w:sz="0" w:space="0" w:color="auto"/>
        <w:right w:val="none" w:sz="0" w:space="0" w:color="auto"/>
      </w:divBdr>
    </w:div>
    <w:div w:id="403333424">
      <w:bodyDiv w:val="1"/>
      <w:marLeft w:val="0"/>
      <w:marRight w:val="0"/>
      <w:marTop w:val="0"/>
      <w:marBottom w:val="0"/>
      <w:divBdr>
        <w:top w:val="none" w:sz="0" w:space="0" w:color="auto"/>
        <w:left w:val="none" w:sz="0" w:space="0" w:color="auto"/>
        <w:bottom w:val="none" w:sz="0" w:space="0" w:color="auto"/>
        <w:right w:val="none" w:sz="0" w:space="0" w:color="auto"/>
      </w:divBdr>
    </w:div>
    <w:div w:id="566064888">
      <w:bodyDiv w:val="1"/>
      <w:marLeft w:val="0"/>
      <w:marRight w:val="0"/>
      <w:marTop w:val="0"/>
      <w:marBottom w:val="0"/>
      <w:divBdr>
        <w:top w:val="none" w:sz="0" w:space="0" w:color="auto"/>
        <w:left w:val="none" w:sz="0" w:space="0" w:color="auto"/>
        <w:bottom w:val="none" w:sz="0" w:space="0" w:color="auto"/>
        <w:right w:val="none" w:sz="0" w:space="0" w:color="auto"/>
      </w:divBdr>
    </w:div>
    <w:div w:id="572203690">
      <w:bodyDiv w:val="1"/>
      <w:marLeft w:val="0"/>
      <w:marRight w:val="0"/>
      <w:marTop w:val="0"/>
      <w:marBottom w:val="0"/>
      <w:divBdr>
        <w:top w:val="none" w:sz="0" w:space="0" w:color="auto"/>
        <w:left w:val="none" w:sz="0" w:space="0" w:color="auto"/>
        <w:bottom w:val="none" w:sz="0" w:space="0" w:color="auto"/>
        <w:right w:val="none" w:sz="0" w:space="0" w:color="auto"/>
      </w:divBdr>
    </w:div>
    <w:div w:id="588269348">
      <w:bodyDiv w:val="1"/>
      <w:marLeft w:val="0"/>
      <w:marRight w:val="0"/>
      <w:marTop w:val="0"/>
      <w:marBottom w:val="0"/>
      <w:divBdr>
        <w:top w:val="none" w:sz="0" w:space="0" w:color="auto"/>
        <w:left w:val="none" w:sz="0" w:space="0" w:color="auto"/>
        <w:bottom w:val="none" w:sz="0" w:space="0" w:color="auto"/>
        <w:right w:val="none" w:sz="0" w:space="0" w:color="auto"/>
      </w:divBdr>
    </w:div>
    <w:div w:id="669018084">
      <w:bodyDiv w:val="1"/>
      <w:marLeft w:val="0"/>
      <w:marRight w:val="0"/>
      <w:marTop w:val="0"/>
      <w:marBottom w:val="0"/>
      <w:divBdr>
        <w:top w:val="none" w:sz="0" w:space="0" w:color="auto"/>
        <w:left w:val="none" w:sz="0" w:space="0" w:color="auto"/>
        <w:bottom w:val="none" w:sz="0" w:space="0" w:color="auto"/>
        <w:right w:val="none" w:sz="0" w:space="0" w:color="auto"/>
      </w:divBdr>
    </w:div>
    <w:div w:id="913391054">
      <w:bodyDiv w:val="1"/>
      <w:marLeft w:val="0"/>
      <w:marRight w:val="0"/>
      <w:marTop w:val="0"/>
      <w:marBottom w:val="0"/>
      <w:divBdr>
        <w:top w:val="none" w:sz="0" w:space="0" w:color="auto"/>
        <w:left w:val="none" w:sz="0" w:space="0" w:color="auto"/>
        <w:bottom w:val="none" w:sz="0" w:space="0" w:color="auto"/>
        <w:right w:val="none" w:sz="0" w:space="0" w:color="auto"/>
      </w:divBdr>
    </w:div>
    <w:div w:id="954023136">
      <w:bodyDiv w:val="1"/>
      <w:marLeft w:val="0"/>
      <w:marRight w:val="0"/>
      <w:marTop w:val="0"/>
      <w:marBottom w:val="0"/>
      <w:divBdr>
        <w:top w:val="none" w:sz="0" w:space="0" w:color="auto"/>
        <w:left w:val="none" w:sz="0" w:space="0" w:color="auto"/>
        <w:bottom w:val="none" w:sz="0" w:space="0" w:color="auto"/>
        <w:right w:val="none" w:sz="0" w:space="0" w:color="auto"/>
      </w:divBdr>
    </w:div>
    <w:div w:id="971323522">
      <w:bodyDiv w:val="1"/>
      <w:marLeft w:val="0"/>
      <w:marRight w:val="0"/>
      <w:marTop w:val="0"/>
      <w:marBottom w:val="0"/>
      <w:divBdr>
        <w:top w:val="none" w:sz="0" w:space="0" w:color="auto"/>
        <w:left w:val="none" w:sz="0" w:space="0" w:color="auto"/>
        <w:bottom w:val="none" w:sz="0" w:space="0" w:color="auto"/>
        <w:right w:val="none" w:sz="0" w:space="0" w:color="auto"/>
      </w:divBdr>
    </w:div>
    <w:div w:id="1013068997">
      <w:bodyDiv w:val="1"/>
      <w:marLeft w:val="0"/>
      <w:marRight w:val="0"/>
      <w:marTop w:val="0"/>
      <w:marBottom w:val="0"/>
      <w:divBdr>
        <w:top w:val="none" w:sz="0" w:space="0" w:color="auto"/>
        <w:left w:val="none" w:sz="0" w:space="0" w:color="auto"/>
        <w:bottom w:val="none" w:sz="0" w:space="0" w:color="auto"/>
        <w:right w:val="none" w:sz="0" w:space="0" w:color="auto"/>
      </w:divBdr>
    </w:div>
    <w:div w:id="1027096927">
      <w:bodyDiv w:val="1"/>
      <w:marLeft w:val="0"/>
      <w:marRight w:val="0"/>
      <w:marTop w:val="0"/>
      <w:marBottom w:val="0"/>
      <w:divBdr>
        <w:top w:val="none" w:sz="0" w:space="0" w:color="auto"/>
        <w:left w:val="none" w:sz="0" w:space="0" w:color="auto"/>
        <w:bottom w:val="none" w:sz="0" w:space="0" w:color="auto"/>
        <w:right w:val="none" w:sz="0" w:space="0" w:color="auto"/>
      </w:divBdr>
    </w:div>
    <w:div w:id="1194609975">
      <w:bodyDiv w:val="1"/>
      <w:marLeft w:val="0"/>
      <w:marRight w:val="0"/>
      <w:marTop w:val="0"/>
      <w:marBottom w:val="0"/>
      <w:divBdr>
        <w:top w:val="none" w:sz="0" w:space="0" w:color="auto"/>
        <w:left w:val="none" w:sz="0" w:space="0" w:color="auto"/>
        <w:bottom w:val="none" w:sz="0" w:space="0" w:color="auto"/>
        <w:right w:val="none" w:sz="0" w:space="0" w:color="auto"/>
      </w:divBdr>
    </w:div>
    <w:div w:id="1196232715">
      <w:bodyDiv w:val="1"/>
      <w:marLeft w:val="0"/>
      <w:marRight w:val="0"/>
      <w:marTop w:val="0"/>
      <w:marBottom w:val="0"/>
      <w:divBdr>
        <w:top w:val="none" w:sz="0" w:space="0" w:color="auto"/>
        <w:left w:val="none" w:sz="0" w:space="0" w:color="auto"/>
        <w:bottom w:val="none" w:sz="0" w:space="0" w:color="auto"/>
        <w:right w:val="none" w:sz="0" w:space="0" w:color="auto"/>
      </w:divBdr>
    </w:div>
    <w:div w:id="1240402827">
      <w:bodyDiv w:val="1"/>
      <w:marLeft w:val="0"/>
      <w:marRight w:val="0"/>
      <w:marTop w:val="0"/>
      <w:marBottom w:val="0"/>
      <w:divBdr>
        <w:top w:val="none" w:sz="0" w:space="0" w:color="auto"/>
        <w:left w:val="none" w:sz="0" w:space="0" w:color="auto"/>
        <w:bottom w:val="none" w:sz="0" w:space="0" w:color="auto"/>
        <w:right w:val="none" w:sz="0" w:space="0" w:color="auto"/>
      </w:divBdr>
    </w:div>
    <w:div w:id="1350257045">
      <w:bodyDiv w:val="1"/>
      <w:marLeft w:val="0"/>
      <w:marRight w:val="0"/>
      <w:marTop w:val="0"/>
      <w:marBottom w:val="0"/>
      <w:divBdr>
        <w:top w:val="none" w:sz="0" w:space="0" w:color="auto"/>
        <w:left w:val="none" w:sz="0" w:space="0" w:color="auto"/>
        <w:bottom w:val="none" w:sz="0" w:space="0" w:color="auto"/>
        <w:right w:val="none" w:sz="0" w:space="0" w:color="auto"/>
      </w:divBdr>
    </w:div>
    <w:div w:id="1368531423">
      <w:bodyDiv w:val="1"/>
      <w:marLeft w:val="0"/>
      <w:marRight w:val="0"/>
      <w:marTop w:val="0"/>
      <w:marBottom w:val="0"/>
      <w:divBdr>
        <w:top w:val="none" w:sz="0" w:space="0" w:color="auto"/>
        <w:left w:val="none" w:sz="0" w:space="0" w:color="auto"/>
        <w:bottom w:val="none" w:sz="0" w:space="0" w:color="auto"/>
        <w:right w:val="none" w:sz="0" w:space="0" w:color="auto"/>
      </w:divBdr>
    </w:div>
    <w:div w:id="1536774922">
      <w:bodyDiv w:val="1"/>
      <w:marLeft w:val="0"/>
      <w:marRight w:val="0"/>
      <w:marTop w:val="0"/>
      <w:marBottom w:val="0"/>
      <w:divBdr>
        <w:top w:val="none" w:sz="0" w:space="0" w:color="auto"/>
        <w:left w:val="none" w:sz="0" w:space="0" w:color="auto"/>
        <w:bottom w:val="none" w:sz="0" w:space="0" w:color="auto"/>
        <w:right w:val="none" w:sz="0" w:space="0" w:color="auto"/>
      </w:divBdr>
    </w:div>
    <w:div w:id="1609040207">
      <w:bodyDiv w:val="1"/>
      <w:marLeft w:val="0"/>
      <w:marRight w:val="0"/>
      <w:marTop w:val="0"/>
      <w:marBottom w:val="0"/>
      <w:divBdr>
        <w:top w:val="none" w:sz="0" w:space="0" w:color="auto"/>
        <w:left w:val="none" w:sz="0" w:space="0" w:color="auto"/>
        <w:bottom w:val="none" w:sz="0" w:space="0" w:color="auto"/>
        <w:right w:val="none" w:sz="0" w:space="0" w:color="auto"/>
      </w:divBdr>
    </w:div>
    <w:div w:id="1787657061">
      <w:bodyDiv w:val="1"/>
      <w:marLeft w:val="0"/>
      <w:marRight w:val="0"/>
      <w:marTop w:val="0"/>
      <w:marBottom w:val="0"/>
      <w:divBdr>
        <w:top w:val="none" w:sz="0" w:space="0" w:color="auto"/>
        <w:left w:val="none" w:sz="0" w:space="0" w:color="auto"/>
        <w:bottom w:val="none" w:sz="0" w:space="0" w:color="auto"/>
        <w:right w:val="none" w:sz="0" w:space="0" w:color="auto"/>
      </w:divBdr>
    </w:div>
    <w:div w:id="1882130087">
      <w:bodyDiv w:val="1"/>
      <w:marLeft w:val="0"/>
      <w:marRight w:val="0"/>
      <w:marTop w:val="0"/>
      <w:marBottom w:val="0"/>
      <w:divBdr>
        <w:top w:val="none" w:sz="0" w:space="0" w:color="auto"/>
        <w:left w:val="none" w:sz="0" w:space="0" w:color="auto"/>
        <w:bottom w:val="none" w:sz="0" w:space="0" w:color="auto"/>
        <w:right w:val="none" w:sz="0" w:space="0" w:color="auto"/>
      </w:divBdr>
    </w:div>
    <w:div w:id="1900170398">
      <w:bodyDiv w:val="1"/>
      <w:marLeft w:val="0"/>
      <w:marRight w:val="0"/>
      <w:marTop w:val="0"/>
      <w:marBottom w:val="0"/>
      <w:divBdr>
        <w:top w:val="none" w:sz="0" w:space="0" w:color="auto"/>
        <w:left w:val="none" w:sz="0" w:space="0" w:color="auto"/>
        <w:bottom w:val="none" w:sz="0" w:space="0" w:color="auto"/>
        <w:right w:val="none" w:sz="0" w:space="0" w:color="auto"/>
      </w:divBdr>
    </w:div>
    <w:div w:id="1980332063">
      <w:bodyDiv w:val="1"/>
      <w:marLeft w:val="0"/>
      <w:marRight w:val="0"/>
      <w:marTop w:val="0"/>
      <w:marBottom w:val="0"/>
      <w:divBdr>
        <w:top w:val="none" w:sz="0" w:space="0" w:color="auto"/>
        <w:left w:val="none" w:sz="0" w:space="0" w:color="auto"/>
        <w:bottom w:val="none" w:sz="0" w:space="0" w:color="auto"/>
        <w:right w:val="none" w:sz="0" w:space="0" w:color="auto"/>
      </w:divBdr>
    </w:div>
    <w:div w:id="2104184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583982-610C-4A2F-B984-D8B2C9DE0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21</Pages>
  <Words>9692</Words>
  <Characters>64164</Characters>
  <Application>Microsoft Office Word</Application>
  <DocSecurity>0</DocSecurity>
  <Lines>1051</Lines>
  <Paragraphs>335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jxs1663</dc:creator>
  <cp:keywords/>
  <dc:description/>
  <cp:lastModifiedBy>Jongbin Lee</cp:lastModifiedBy>
  <cp:revision>9</cp:revision>
  <dcterms:created xsi:type="dcterms:W3CDTF">2025-04-28T18:09:00Z</dcterms:created>
  <dcterms:modified xsi:type="dcterms:W3CDTF">2025-05-04T00:35:00Z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id="rJNtGcJg"/&gt;&lt;style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y fmtid="{D5CDD505-2E9C-101B-9397-08002B2CF9AE}" pid="4" name="GrammarlyDocumentId">
    <vt:lpwstr>5a305f749da16aebcb08dc74fcf5818007523009b97d5a02d73074981f54e235</vt:lpwstr>
  </property>
</Properties>
</file>