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43374" w14:textId="77777777" w:rsidR="000574EE" w:rsidRDefault="00AC3F5F">
      <w:pPr>
        <w:widowControl/>
        <w:jc w:val="center"/>
        <w:rPr>
          <w:rFonts w:ascii="Calibri" w:eastAsia="Calibri" w:hAnsi="Calibri" w:cs="Calibri"/>
          <w:b/>
          <w:bCs/>
          <w:kern w:val="0"/>
          <w:szCs w:val="28"/>
          <w:lang w:val="ms-MY"/>
        </w:rPr>
      </w:pPr>
      <w:r>
        <w:rPr>
          <w:rFonts w:ascii="Calibri" w:eastAsia="Calibri" w:hAnsi="Calibri" w:cs="Calibri"/>
          <w:b/>
          <w:bCs/>
          <w:kern w:val="0"/>
          <w:szCs w:val="28"/>
          <w:lang w:val="ms-MY"/>
        </w:rPr>
        <w:t xml:space="preserve">Development </w:t>
      </w:r>
      <w:r>
        <w:rPr>
          <w:rFonts w:ascii="Calibri" w:eastAsia="Calibri" w:hAnsi="Calibri" w:cs="Calibri" w:hint="eastAsia"/>
          <w:b/>
          <w:bCs/>
          <w:kern w:val="0"/>
          <w:szCs w:val="28"/>
          <w:lang w:val="ms-MY"/>
        </w:rPr>
        <w:t>and</w:t>
      </w:r>
      <w:r>
        <w:rPr>
          <w:rFonts w:ascii="Calibri" w:eastAsia="Calibri" w:hAnsi="Calibri" w:cs="Calibri"/>
          <w:b/>
          <w:bCs/>
          <w:kern w:val="0"/>
          <w:szCs w:val="28"/>
          <w:lang w:val="ms-MY"/>
        </w:rPr>
        <w:t xml:space="preserve"> Validation </w:t>
      </w:r>
      <w:r>
        <w:rPr>
          <w:rFonts w:ascii="Calibri" w:eastAsia="Calibri" w:hAnsi="Calibri" w:cs="Calibri" w:hint="eastAsia"/>
          <w:b/>
          <w:bCs/>
          <w:kern w:val="0"/>
          <w:szCs w:val="28"/>
          <w:lang w:val="ms-MY"/>
        </w:rPr>
        <w:t>of</w:t>
      </w:r>
      <w:r>
        <w:rPr>
          <w:rFonts w:ascii="Calibri" w:eastAsia="Calibri" w:hAnsi="Calibri" w:cs="Calibri"/>
          <w:b/>
          <w:bCs/>
          <w:kern w:val="0"/>
          <w:szCs w:val="28"/>
          <w:lang w:val="ms-MY"/>
        </w:rPr>
        <w:t xml:space="preserve"> </w:t>
      </w:r>
      <w:r>
        <w:rPr>
          <w:rFonts w:ascii="Calibri" w:eastAsia="Calibri" w:hAnsi="Calibri" w:cs="Calibri" w:hint="eastAsia"/>
          <w:b/>
          <w:bCs/>
          <w:kern w:val="0"/>
          <w:szCs w:val="28"/>
          <w:lang w:val="ms-MY"/>
        </w:rPr>
        <w:t>EFL</w:t>
      </w:r>
      <w:r>
        <w:rPr>
          <w:rFonts w:ascii="Calibri" w:eastAsia="Calibri" w:hAnsi="Calibri" w:cs="Calibri"/>
          <w:b/>
          <w:bCs/>
          <w:kern w:val="0"/>
          <w:szCs w:val="28"/>
          <w:lang w:val="ms-MY"/>
        </w:rPr>
        <w:t xml:space="preserve"> Speaking Strategy, Speaking Anxiety, Learning Motivation, </w:t>
      </w:r>
      <w:r>
        <w:rPr>
          <w:rFonts w:ascii="Calibri" w:eastAsia="Calibri" w:hAnsi="Calibri" w:cs="Calibri" w:hint="eastAsia"/>
          <w:b/>
          <w:bCs/>
          <w:kern w:val="0"/>
          <w:szCs w:val="28"/>
          <w:lang w:val="ms-MY"/>
        </w:rPr>
        <w:t>and</w:t>
      </w:r>
      <w:r>
        <w:rPr>
          <w:rFonts w:ascii="Calibri" w:eastAsia="Calibri" w:hAnsi="Calibri" w:cs="Calibri"/>
          <w:b/>
          <w:bCs/>
          <w:kern w:val="0"/>
          <w:szCs w:val="28"/>
          <w:lang w:val="ms-MY"/>
        </w:rPr>
        <w:t xml:space="preserve"> Learning Attitude Questionnaires</w:t>
      </w:r>
    </w:p>
    <w:p w14:paraId="45F697F9" w14:textId="77777777" w:rsidR="000574EE" w:rsidRDefault="000574EE">
      <w:pPr>
        <w:spacing w:line="360" w:lineRule="auto"/>
        <w:rPr>
          <w:sz w:val="24"/>
        </w:rPr>
      </w:pPr>
    </w:p>
    <w:p w14:paraId="2030F317" w14:textId="77777777" w:rsidR="000574EE" w:rsidRDefault="000574EE">
      <w:pPr>
        <w:spacing w:line="360" w:lineRule="auto"/>
        <w:rPr>
          <w:sz w:val="24"/>
        </w:rPr>
      </w:pPr>
    </w:p>
    <w:p w14:paraId="10EA85B6" w14:textId="77777777" w:rsidR="000574EE" w:rsidRDefault="00AC3F5F">
      <w:pPr>
        <w:jc w:val="center"/>
        <w:rPr>
          <w:sz w:val="24"/>
        </w:rPr>
      </w:pPr>
      <w:r>
        <w:rPr>
          <w:sz w:val="24"/>
        </w:rPr>
        <w:t>ABSTRACT</w:t>
      </w:r>
    </w:p>
    <w:p w14:paraId="10184E1E" w14:textId="5532CB4A" w:rsidR="000574EE" w:rsidRDefault="00AC3F5F">
      <w:pPr>
        <w:rPr>
          <w:sz w:val="22"/>
          <w:szCs w:val="22"/>
        </w:rPr>
      </w:pPr>
      <w:r>
        <w:rPr>
          <w:rFonts w:hint="eastAsia"/>
          <w:sz w:val="22"/>
          <w:szCs w:val="22"/>
        </w:rPr>
        <w:t>Effectively assessing the speaking performance of English as a Foreign Language (EFL) students remains a major challenge for language educators, particularly in the context of Chinese universities. Speaking strategy use, speaking anxiety, learning motivation, and learning attitude are four critical constructs that significantly influence EFL learners</w:t>
      </w:r>
      <w:r>
        <w:rPr>
          <w:sz w:val="22"/>
          <w:szCs w:val="22"/>
        </w:rPr>
        <w:t>’</w:t>
      </w:r>
      <w:r>
        <w:rPr>
          <w:rFonts w:hint="eastAsia"/>
          <w:sz w:val="22"/>
          <w:szCs w:val="22"/>
        </w:rPr>
        <w:t xml:space="preserve"> speaking proficiency. While previous studies have examined these factors individually or in limited combinations, few have focused on developing a comprehensive tool that measures them collectively within the Chinese EFL context.</w:t>
      </w:r>
      <w:r>
        <w:rPr>
          <w:rFonts w:hint="eastAsia"/>
          <w:color w:val="000000" w:themeColor="text1"/>
          <w:sz w:val="22"/>
          <w:szCs w:val="22"/>
        </w:rPr>
        <w:t xml:space="preserve"> Therefore, this pilot study aimed to develop and validate a questionnaire</w:t>
      </w:r>
      <w:r w:rsidR="00981415">
        <w:rPr>
          <w:color w:val="000000" w:themeColor="text1"/>
          <w:sz w:val="22"/>
          <w:szCs w:val="22"/>
        </w:rPr>
        <w:t xml:space="preserve">, </w:t>
      </w:r>
      <w:r>
        <w:rPr>
          <w:rFonts w:hint="eastAsia"/>
          <w:color w:val="000000" w:themeColor="text1"/>
          <w:sz w:val="22"/>
          <w:szCs w:val="22"/>
        </w:rPr>
        <w:t>designed to assess speaking strategies, speaking anxiety, learning motivation, and learning attitudes among Chinese EFL students</w:t>
      </w:r>
      <w:r w:rsidR="00981415" w:rsidRPr="002A574D">
        <w:rPr>
          <w:color w:val="000000" w:themeColor="text1"/>
          <w:sz w:val="22"/>
          <w:szCs w:val="22"/>
          <w:highlight w:val="cyan"/>
        </w:rPr>
        <w:t xml:space="preserve">, </w:t>
      </w:r>
      <w:r w:rsidR="002A574D">
        <w:rPr>
          <w:color w:val="000000" w:themeColor="text1"/>
          <w:sz w:val="22"/>
          <w:szCs w:val="22"/>
          <w:highlight w:val="cyan"/>
        </w:rPr>
        <w:t xml:space="preserve">which </w:t>
      </w:r>
      <w:r w:rsidR="00981415" w:rsidRPr="002A574D">
        <w:rPr>
          <w:color w:val="000000" w:themeColor="text1"/>
          <w:sz w:val="22"/>
          <w:szCs w:val="22"/>
          <w:highlight w:val="cyan"/>
        </w:rPr>
        <w:t>consist of 45, 30, 22</w:t>
      </w:r>
      <w:r w:rsidR="002A574D" w:rsidRPr="002A574D">
        <w:rPr>
          <w:color w:val="000000" w:themeColor="text1"/>
          <w:sz w:val="22"/>
          <w:szCs w:val="22"/>
          <w:highlight w:val="cyan"/>
        </w:rPr>
        <w:t xml:space="preserve"> and 49-items scale </w:t>
      </w:r>
      <w:r w:rsidR="002A574D">
        <w:rPr>
          <w:color w:val="000000" w:themeColor="text1"/>
          <w:sz w:val="22"/>
          <w:szCs w:val="22"/>
          <w:highlight w:val="cyan"/>
        </w:rPr>
        <w:t xml:space="preserve">for each </w:t>
      </w:r>
      <w:r w:rsidR="002A574D" w:rsidRPr="002A574D">
        <w:rPr>
          <w:color w:val="000000" w:themeColor="text1"/>
          <w:sz w:val="22"/>
          <w:szCs w:val="22"/>
          <w:highlight w:val="cyan"/>
        </w:rPr>
        <w:t>respectively</w:t>
      </w:r>
      <w:r>
        <w:rPr>
          <w:rFonts w:hint="eastAsia"/>
          <w:color w:val="000000" w:themeColor="text1"/>
          <w:sz w:val="22"/>
          <w:szCs w:val="22"/>
        </w:rPr>
        <w:t xml:space="preserve">. </w:t>
      </w:r>
      <w:r>
        <w:rPr>
          <w:rFonts w:hint="eastAsia"/>
          <w:color w:val="0000FF"/>
          <w:sz w:val="22"/>
          <w:szCs w:val="22"/>
        </w:rPr>
        <w:t>The purpose of this pilot test was to ensure the reliability and validity of the instrument before it is used in a larger-scale study.</w:t>
      </w:r>
      <w:r w:rsidR="002A574D">
        <w:rPr>
          <w:color w:val="0000FF"/>
          <w:sz w:val="22"/>
          <w:szCs w:val="22"/>
        </w:rPr>
        <w:t xml:space="preserve"> </w:t>
      </w:r>
      <w:r w:rsidR="002A574D" w:rsidRPr="002A574D">
        <w:rPr>
          <w:color w:val="000000" w:themeColor="text1"/>
          <w:sz w:val="22"/>
          <w:szCs w:val="22"/>
          <w:highlight w:val="cyan"/>
        </w:rPr>
        <w:t xml:space="preserve">The questionnaire was assessed by surveying on 60 participants selected </w:t>
      </w:r>
      <w:r w:rsidR="002A574D" w:rsidRPr="002A574D">
        <w:rPr>
          <w:rFonts w:eastAsia="SimHei" w:cs="Times New Roman"/>
          <w:bCs/>
          <w:color w:val="000000" w:themeColor="text1"/>
          <w:kern w:val="0"/>
          <w:sz w:val="24"/>
          <w:highlight w:val="cyan"/>
          <w:lang w:bidi="en-US"/>
        </w:rPr>
        <w:t>from 1</w:t>
      </w:r>
      <w:r w:rsidR="002A574D" w:rsidRPr="002A574D">
        <w:rPr>
          <w:rFonts w:eastAsia="SimHei" w:cs="Times New Roman"/>
          <w:bCs/>
          <w:color w:val="000000" w:themeColor="text1"/>
          <w:kern w:val="0"/>
          <w:sz w:val="24"/>
          <w:highlight w:val="cyan"/>
          <w:vertAlign w:val="superscript"/>
          <w:lang w:bidi="en-US"/>
        </w:rPr>
        <w:t>s</w:t>
      </w:r>
      <w:r w:rsidR="002A574D" w:rsidRPr="002A574D">
        <w:rPr>
          <w:rFonts w:eastAsia="SimHei" w:cs="Times New Roman"/>
          <w:bCs/>
          <w:kern w:val="0"/>
          <w:sz w:val="24"/>
          <w:highlight w:val="cyan"/>
          <w:vertAlign w:val="superscript"/>
          <w:lang w:bidi="en-US"/>
        </w:rPr>
        <w:t>t</w:t>
      </w:r>
      <w:r w:rsidR="002A574D" w:rsidRPr="002A574D">
        <w:rPr>
          <w:rFonts w:eastAsia="SimHei" w:cs="Times New Roman"/>
          <w:bCs/>
          <w:kern w:val="0"/>
          <w:sz w:val="24"/>
          <w:highlight w:val="cyan"/>
          <w:lang w:bidi="en-US"/>
        </w:rPr>
        <w:t xml:space="preserve"> and 2</w:t>
      </w:r>
      <w:r w:rsidR="002A574D" w:rsidRPr="002A574D">
        <w:rPr>
          <w:rFonts w:eastAsia="SimHei" w:cs="Times New Roman"/>
          <w:bCs/>
          <w:kern w:val="0"/>
          <w:sz w:val="24"/>
          <w:highlight w:val="cyan"/>
          <w:vertAlign w:val="superscript"/>
          <w:lang w:bidi="en-US"/>
        </w:rPr>
        <w:t>nd</w:t>
      </w:r>
      <w:r w:rsidR="002A574D" w:rsidRPr="002A574D">
        <w:rPr>
          <w:rFonts w:eastAsia="SimHei" w:cs="Times New Roman"/>
          <w:bCs/>
          <w:kern w:val="0"/>
          <w:sz w:val="24"/>
          <w:highlight w:val="cyan"/>
          <w:lang w:bidi="en-US"/>
        </w:rPr>
        <w:t xml:space="preserve"> year non-English major undergraduate students at a university in China, with a sample of</w:t>
      </w:r>
      <w:r w:rsidRPr="002A574D">
        <w:rPr>
          <w:rFonts w:hint="eastAsia"/>
          <w:color w:val="000000" w:themeColor="text1"/>
          <w:sz w:val="22"/>
          <w:szCs w:val="22"/>
          <w:highlight w:val="cyan"/>
        </w:rPr>
        <w:t xml:space="preserve"> </w:t>
      </w:r>
      <w:r w:rsidR="002A574D" w:rsidRPr="002A574D">
        <w:rPr>
          <w:color w:val="000000" w:themeColor="text1"/>
          <w:sz w:val="22"/>
          <w:szCs w:val="22"/>
          <w:highlight w:val="cyan"/>
        </w:rPr>
        <w:t>27 males and 33 females, along with 34 freshmen and 26 sophomores.</w:t>
      </w:r>
      <w:r w:rsidR="002A574D">
        <w:rPr>
          <w:color w:val="000000" w:themeColor="text1"/>
          <w:sz w:val="22"/>
          <w:szCs w:val="22"/>
        </w:rPr>
        <w:t xml:space="preserve"> </w:t>
      </w:r>
      <w:r>
        <w:rPr>
          <w:rFonts w:hint="eastAsia"/>
          <w:color w:val="000000" w:themeColor="text1"/>
          <w:sz w:val="22"/>
          <w:szCs w:val="22"/>
        </w:rPr>
        <w:t>A five-phase approach was followed: item development based on literature review, definition of constructs, expert validation by two appli</w:t>
      </w:r>
      <w:r>
        <w:rPr>
          <w:rFonts w:hint="eastAsia"/>
          <w:sz w:val="22"/>
          <w:szCs w:val="22"/>
        </w:rPr>
        <w:t xml:space="preserve">ed linguistics scholars, and a pilot administration involving 60 first- and second-year Chinese university students. The results showed strong content validity and high internal consistency, </w:t>
      </w:r>
      <w:r w:rsidR="00981415" w:rsidRPr="00981415">
        <w:rPr>
          <w:sz w:val="22"/>
          <w:szCs w:val="22"/>
          <w:highlight w:val="cyan"/>
        </w:rPr>
        <w:t>with a reliability value of 0.787 for speaking strategies, 0.674 for speaking anxiety, 0.775 for learning motivation, and 0.796 for learning attitudes, making the questionnaire highly</w:t>
      </w:r>
      <w:r w:rsidRPr="00981415">
        <w:rPr>
          <w:rFonts w:hint="eastAsia"/>
          <w:sz w:val="22"/>
          <w:szCs w:val="22"/>
          <w:highlight w:val="cyan"/>
        </w:rPr>
        <w:t xml:space="preserve"> reliable</w:t>
      </w:r>
      <w:r>
        <w:rPr>
          <w:rFonts w:hint="eastAsia"/>
          <w:sz w:val="22"/>
          <w:szCs w:val="22"/>
        </w:rPr>
        <w:t xml:space="preserve"> and valid tool for future research. This study offers a valuable instrument for educators and researchers to investigate the interconnected roles of these key psychological and behavioral factors in EFL speaking development, particularly within the Chinese academic context</w:t>
      </w:r>
      <w:r>
        <w:rPr>
          <w:sz w:val="22"/>
          <w:szCs w:val="22"/>
        </w:rPr>
        <w:t>.</w:t>
      </w:r>
    </w:p>
    <w:p w14:paraId="0F7994D1" w14:textId="77777777" w:rsidR="000574EE" w:rsidRDefault="000574EE">
      <w:pPr>
        <w:spacing w:line="360" w:lineRule="auto"/>
        <w:rPr>
          <w:sz w:val="22"/>
          <w:szCs w:val="22"/>
        </w:rPr>
      </w:pPr>
    </w:p>
    <w:p w14:paraId="464EC714" w14:textId="4BBB0C63" w:rsidR="000574EE" w:rsidRDefault="00AC3F5F">
      <w:pPr>
        <w:spacing w:line="360" w:lineRule="auto"/>
        <w:rPr>
          <w:i/>
          <w:iCs/>
          <w:sz w:val="22"/>
          <w:szCs w:val="22"/>
        </w:rPr>
      </w:pPr>
      <w:r>
        <w:rPr>
          <w:b/>
          <w:bCs/>
          <w:sz w:val="22"/>
          <w:szCs w:val="22"/>
        </w:rPr>
        <w:t xml:space="preserve">Keywords: </w:t>
      </w:r>
      <w:r>
        <w:rPr>
          <w:i/>
          <w:iCs/>
          <w:sz w:val="22"/>
          <w:szCs w:val="22"/>
        </w:rPr>
        <w:t>Speaking Strategy, Speaking Anxiety, Learning Motivation, Learning Attitude, Reliability</w:t>
      </w:r>
      <w:r w:rsidR="00AF21AB">
        <w:rPr>
          <w:i/>
          <w:iCs/>
          <w:sz w:val="22"/>
          <w:szCs w:val="22"/>
        </w:rPr>
        <w:t>.</w:t>
      </w:r>
    </w:p>
    <w:p w14:paraId="57382A19" w14:textId="77777777" w:rsidR="000574EE" w:rsidRDefault="000574EE">
      <w:pPr>
        <w:spacing w:line="360" w:lineRule="auto"/>
        <w:rPr>
          <w:i/>
          <w:iCs/>
          <w:sz w:val="22"/>
          <w:szCs w:val="22"/>
        </w:rPr>
      </w:pPr>
    </w:p>
    <w:p w14:paraId="20B3E723" w14:textId="77777777" w:rsidR="000574EE" w:rsidRDefault="00AC3F5F">
      <w:pPr>
        <w:pStyle w:val="Heading1"/>
        <w:keepLines w:val="0"/>
        <w:widowControl/>
        <w:spacing w:before="360" w:after="240" w:line="240" w:lineRule="auto"/>
        <w:ind w:right="567"/>
        <w:contextualSpacing/>
        <w:jc w:val="center"/>
        <w:rPr>
          <w:rFonts w:cs="Arial"/>
          <w:b w:val="0"/>
          <w:kern w:val="32"/>
          <w:sz w:val="24"/>
          <w:szCs w:val="32"/>
          <w:lang w:bidi="en-US"/>
        </w:rPr>
      </w:pPr>
      <w:r>
        <w:rPr>
          <w:rFonts w:cs="Arial"/>
          <w:b w:val="0"/>
          <w:kern w:val="32"/>
          <w:sz w:val="24"/>
          <w:szCs w:val="32"/>
          <w:lang w:bidi="en-US"/>
        </w:rPr>
        <w:t>INTRODUCTION</w:t>
      </w:r>
    </w:p>
    <w:p w14:paraId="30B6EC54" w14:textId="4B5AFBE7" w:rsidR="000574EE" w:rsidRDefault="00AC3F5F">
      <w:pPr>
        <w:pStyle w:val="Paragraph"/>
        <w:spacing w:before="0"/>
        <w:rPr>
          <w:rFonts w:cs="Times New Roman Regular"/>
          <w:sz w:val="24"/>
        </w:rPr>
      </w:pPr>
      <w:r>
        <w:rPr>
          <w:rFonts w:cs="Times New Roman Regular"/>
          <w:sz w:val="24"/>
        </w:rPr>
        <w:t xml:space="preserve">The significance of English as a second language has grown alongside globalization, with the number of English speakers increasing from 1.13 billion in 2019 to 1.46 billion in 2023 (Talbot, 2023). China, aiming to align with international standards, has emphasized English education, particularly in higher education, where even non-English major students must complete the prescribed courses and </w:t>
      </w:r>
      <w:r w:rsidR="00804EC3">
        <w:rPr>
          <w:rFonts w:cs="Times New Roman Regular"/>
          <w:sz w:val="24"/>
        </w:rPr>
        <w:t xml:space="preserve">the </w:t>
      </w:r>
      <w:r>
        <w:rPr>
          <w:rFonts w:cs="Times New Roman Regular"/>
          <w:sz w:val="24"/>
        </w:rPr>
        <w:t xml:space="preserve">duration of English learning (Chen et al., 2020). This reflects the increasing role of English in global communication and China's proactive approach to adapting its education system for international development. </w:t>
      </w:r>
      <w:r w:rsidR="00804EC3">
        <w:rPr>
          <w:rFonts w:cs="Times New Roman Regular"/>
          <w:sz w:val="24"/>
        </w:rPr>
        <w:t>As</w:t>
      </w:r>
      <w:r>
        <w:rPr>
          <w:rFonts w:cs="Times New Roman Regular"/>
          <w:sz w:val="24"/>
        </w:rPr>
        <w:t xml:space="preserve"> China's economic globalization deepens, English has become a key language in cross-cultural business communication, further </w:t>
      </w:r>
      <w:r>
        <w:rPr>
          <w:rFonts w:cs="Times New Roman Regular"/>
          <w:sz w:val="24"/>
        </w:rPr>
        <w:lastRenderedPageBreak/>
        <w:t>fueling the demand for English proficiency among students (</w:t>
      </w:r>
      <w:proofErr w:type="spellStart"/>
      <w:r>
        <w:rPr>
          <w:rFonts w:cs="Times New Roman Regular"/>
          <w:sz w:val="24"/>
        </w:rPr>
        <w:t>Alneyadi</w:t>
      </w:r>
      <w:proofErr w:type="spellEnd"/>
      <w:r>
        <w:rPr>
          <w:rFonts w:cs="Times New Roman Regular"/>
          <w:sz w:val="24"/>
        </w:rPr>
        <w:t xml:space="preserve"> et al., 2023; Phan, 2021; Yao &amp; Du Babcock, 2023).</w:t>
      </w:r>
    </w:p>
    <w:p w14:paraId="74951859" w14:textId="76A2CD8B" w:rsidR="000574EE" w:rsidRPr="001459F5" w:rsidRDefault="00AC3F5F" w:rsidP="001459F5">
      <w:pPr>
        <w:pStyle w:val="Paragraph"/>
        <w:spacing w:afterLines="100" w:after="312"/>
        <w:ind w:firstLineChars="300" w:firstLine="720"/>
        <w:rPr>
          <w:rFonts w:cs="Times New Roman Regular"/>
          <w:sz w:val="24"/>
        </w:rPr>
      </w:pPr>
      <w:r>
        <w:rPr>
          <w:rFonts w:cs="Times New Roman Regular"/>
          <w:sz w:val="24"/>
        </w:rPr>
        <w:t>Non-English major students in China encounter significant challenges in developing their speaking skills, largely due to limited practice opportunities and heightened speaking anxiety (</w:t>
      </w:r>
      <w:proofErr w:type="spellStart"/>
      <w:r>
        <w:rPr>
          <w:rFonts w:cs="Times New Roman Regular"/>
          <w:sz w:val="24"/>
        </w:rPr>
        <w:t>AbdAlgane</w:t>
      </w:r>
      <w:proofErr w:type="spellEnd"/>
      <w:r>
        <w:rPr>
          <w:rFonts w:cs="Times New Roman Regular"/>
          <w:sz w:val="24"/>
        </w:rPr>
        <w:t xml:space="preserve"> &amp; Idris, 2020</w:t>
      </w:r>
      <w:r w:rsidRPr="00167A0D">
        <w:rPr>
          <w:rFonts w:cs="Times New Roman Regular"/>
          <w:sz w:val="24"/>
          <w:highlight w:val="cyan"/>
        </w:rPr>
        <w:t>;</w:t>
      </w:r>
      <w:r w:rsidR="003B5FA4" w:rsidRPr="00167A0D">
        <w:rPr>
          <w:rFonts w:cs="Times New Roman Regular"/>
          <w:sz w:val="24"/>
          <w:highlight w:val="cyan"/>
        </w:rPr>
        <w:t xml:space="preserve"> Dashti, 2020</w:t>
      </w:r>
      <w:r>
        <w:rPr>
          <w:rFonts w:cs="Times New Roman Regular"/>
          <w:sz w:val="24"/>
        </w:rPr>
        <w:t>). These issues are exacerbated by the uneven distribution of educational resources and a curriculum prioritizing exam performance over practical language use, leaving students underprepared for real-world oral communication (</w:t>
      </w:r>
      <w:proofErr w:type="spellStart"/>
      <w:r>
        <w:rPr>
          <w:rFonts w:cs="Times New Roman Regular"/>
          <w:sz w:val="24"/>
        </w:rPr>
        <w:t>Vattøy</w:t>
      </w:r>
      <w:proofErr w:type="spellEnd"/>
      <w:r>
        <w:rPr>
          <w:rFonts w:cs="Times New Roman Regular"/>
          <w:sz w:val="24"/>
        </w:rPr>
        <w:t>, 2020).</w:t>
      </w:r>
      <w:r w:rsidR="00167A0D">
        <w:rPr>
          <w:rFonts w:cs="Times New Roman Regular"/>
          <w:sz w:val="24"/>
        </w:rPr>
        <w:t xml:space="preserve"> </w:t>
      </w:r>
      <w:r w:rsidR="00167A0D" w:rsidRPr="00E41DA0">
        <w:rPr>
          <w:rFonts w:cs="Times New Roman Regular"/>
          <w:sz w:val="24"/>
          <w:highlight w:val="cyan"/>
        </w:rPr>
        <w:t xml:space="preserve">This leads to speaking anxiety and negative affect on the </w:t>
      </w:r>
      <w:r w:rsidR="00E41DA0" w:rsidRPr="00E41DA0">
        <w:rPr>
          <w:rFonts w:cs="Times New Roman Regular"/>
          <w:sz w:val="24"/>
          <w:highlight w:val="cyan"/>
        </w:rPr>
        <w:t>learning motivation and attitude of the students, along with building speaking strategies to cope with the issues.</w:t>
      </w:r>
      <w:r>
        <w:rPr>
          <w:rFonts w:cs="Times New Roman Regular"/>
          <w:sz w:val="24"/>
        </w:rPr>
        <w:t xml:space="preserve"> </w:t>
      </w:r>
      <w:r w:rsidR="001459F5" w:rsidRPr="001459F5">
        <w:rPr>
          <w:rFonts w:cs="Times New Roman Regular"/>
          <w:sz w:val="24"/>
          <w:highlight w:val="cyan"/>
        </w:rPr>
        <w:t>Speaking strategies are the learning strategies, techniques, and approaches used by the learners of a language (especially a second language) to learn and recall the phonological and prosodic and content information (Wael et al. 2018</w:t>
      </w:r>
      <w:r w:rsidR="001459F5" w:rsidRPr="0081380D">
        <w:rPr>
          <w:rFonts w:cs="Times New Roman Regular"/>
          <w:sz w:val="24"/>
          <w:highlight w:val="cyan"/>
        </w:rPr>
        <w:t xml:space="preserve">). </w:t>
      </w:r>
      <w:r w:rsidR="0081380D" w:rsidRPr="0081380D">
        <w:rPr>
          <w:rFonts w:cs="Times New Roman Regular"/>
          <w:sz w:val="24"/>
          <w:highlight w:val="cyan"/>
        </w:rPr>
        <w:t>Speaking anxiety is the result of the individual reflection of lack of competence in the learning language or due to the social discriminatory instances that affects their learning motivation and attitudes (Gregory &amp; Noto, 2018).</w:t>
      </w:r>
      <w:r w:rsidR="0081380D">
        <w:rPr>
          <w:rFonts w:cs="Times New Roman Regular"/>
          <w:sz w:val="24"/>
          <w:highlight w:val="cyan"/>
        </w:rPr>
        <w:t xml:space="preserve"> </w:t>
      </w:r>
      <w:r w:rsidR="0081380D" w:rsidRPr="0081380D">
        <w:rPr>
          <w:rFonts w:cs="Times New Roman Regular"/>
          <w:sz w:val="24"/>
          <w:highlight w:val="cyan"/>
        </w:rPr>
        <w:t>Learning motivation, both extrinsic and intrinsic, is the culmination of the positive attitude towards the learning language and the willingness to communicate with the same (</w:t>
      </w:r>
      <w:proofErr w:type="spellStart"/>
      <w:r w:rsidR="0081380D" w:rsidRPr="0081380D">
        <w:rPr>
          <w:rFonts w:cs="Times New Roman Regular"/>
          <w:sz w:val="24"/>
          <w:highlight w:val="cyan"/>
        </w:rPr>
        <w:t>Erniyati</w:t>
      </w:r>
      <w:proofErr w:type="spellEnd"/>
      <w:r w:rsidR="0081380D" w:rsidRPr="0081380D">
        <w:rPr>
          <w:rFonts w:cs="Times New Roman Regular"/>
          <w:sz w:val="24"/>
          <w:highlight w:val="cyan"/>
        </w:rPr>
        <w:t xml:space="preserve"> &amp; Putra, 2022</w:t>
      </w:r>
      <w:r w:rsidR="0081380D" w:rsidRPr="005973E0">
        <w:rPr>
          <w:rFonts w:cs="Times New Roman Regular"/>
          <w:sz w:val="24"/>
          <w:highlight w:val="cyan"/>
        </w:rPr>
        <w:t>).</w:t>
      </w:r>
      <w:r w:rsidR="005973E0" w:rsidRPr="005973E0">
        <w:rPr>
          <w:rFonts w:cs="Times New Roman Regular"/>
          <w:sz w:val="24"/>
          <w:highlight w:val="cyan"/>
        </w:rPr>
        <w:t xml:space="preserve"> This implies that speaking anxiety and dilemma in choosing the right strategy can hinder the motivation towards learning, which can induce negative evaluations by the learner, thus affecting the learning attitude as well.</w:t>
      </w:r>
      <w:r w:rsidR="005973E0">
        <w:rPr>
          <w:rFonts w:cs="Times New Roman Regular"/>
          <w:sz w:val="24"/>
        </w:rPr>
        <w:t xml:space="preserve"> </w:t>
      </w:r>
      <w:r w:rsidR="0081380D" w:rsidRPr="005973E0">
        <w:rPr>
          <w:rFonts w:cs="Times New Roman Regular"/>
          <w:sz w:val="24"/>
          <w:highlight w:val="cyan"/>
        </w:rPr>
        <w:t>Nevertheless,</w:t>
      </w:r>
      <w:r w:rsidR="005973E0" w:rsidRPr="005973E0">
        <w:rPr>
          <w:rFonts w:cs="Times New Roman Regular"/>
          <w:sz w:val="24"/>
          <w:highlight w:val="cyan"/>
        </w:rPr>
        <w:t xml:space="preserve"> </w:t>
      </w:r>
      <w:r w:rsidRPr="005973E0">
        <w:rPr>
          <w:rFonts w:cs="Times New Roman Regular"/>
          <w:sz w:val="24"/>
          <w:highlight w:val="cyan"/>
        </w:rPr>
        <w:t xml:space="preserve">speaking </w:t>
      </w:r>
      <w:r w:rsidR="005973E0" w:rsidRPr="005973E0">
        <w:rPr>
          <w:rFonts w:cs="Times New Roman Regular"/>
          <w:sz w:val="24"/>
          <w:highlight w:val="cyan"/>
        </w:rPr>
        <w:t xml:space="preserve">anxiety and </w:t>
      </w:r>
      <w:r w:rsidRPr="005973E0">
        <w:rPr>
          <w:rFonts w:cs="Times New Roman Regular"/>
          <w:sz w:val="24"/>
          <w:highlight w:val="cyan"/>
        </w:rPr>
        <w:t xml:space="preserve">strategies </w:t>
      </w:r>
      <w:r w:rsidR="005973E0" w:rsidRPr="005973E0">
        <w:rPr>
          <w:rFonts w:cs="Times New Roman Regular"/>
          <w:sz w:val="24"/>
          <w:highlight w:val="cyan"/>
        </w:rPr>
        <w:t xml:space="preserve">to cope with it </w:t>
      </w:r>
      <w:r w:rsidR="005973E0">
        <w:rPr>
          <w:rFonts w:cs="Times New Roman Regular"/>
          <w:sz w:val="24"/>
          <w:highlight w:val="cyan"/>
        </w:rPr>
        <w:t xml:space="preserve">have </w:t>
      </w:r>
      <w:r w:rsidR="0081380D" w:rsidRPr="005973E0">
        <w:rPr>
          <w:rFonts w:cs="Times New Roman Regular"/>
          <w:sz w:val="24"/>
          <w:highlight w:val="cyan"/>
        </w:rPr>
        <w:t>shown to</w:t>
      </w:r>
      <w:r w:rsidRPr="005973E0">
        <w:rPr>
          <w:rFonts w:cs="Times New Roman Regular"/>
          <w:sz w:val="24"/>
          <w:highlight w:val="cyan"/>
        </w:rPr>
        <w:t xml:space="preserve"> influence learning motivation and attitudes, though findings are mixed regarding the strength of these relationships</w:t>
      </w:r>
      <w:r>
        <w:rPr>
          <w:rFonts w:cs="Times New Roman Regular"/>
          <w:sz w:val="24"/>
        </w:rPr>
        <w:t xml:space="preserve"> (Le &amp; Le, 2022; Luo et al., 2020; Liu et al., 2021; </w:t>
      </w:r>
      <w:proofErr w:type="spellStart"/>
      <w:r>
        <w:rPr>
          <w:rFonts w:cs="Times New Roman Regular"/>
          <w:sz w:val="24"/>
        </w:rPr>
        <w:t>Pabro-Maquidato</w:t>
      </w:r>
      <w:proofErr w:type="spellEnd"/>
      <w:r>
        <w:rPr>
          <w:rFonts w:cs="Times New Roman Regular"/>
          <w:sz w:val="24"/>
        </w:rPr>
        <w:t xml:space="preserve">, 2021). The current discussion on the relationship between speaking strategies, speaking anxiety, learning motivation, and learning attitudes is still lively, but there is </w:t>
      </w:r>
      <w:r w:rsidRPr="0081380D">
        <w:rPr>
          <w:rFonts w:cs="Times New Roman Regular"/>
          <w:sz w:val="24"/>
          <w:highlight w:val="cyan"/>
        </w:rPr>
        <w:t xml:space="preserve">currently </w:t>
      </w:r>
      <w:r w:rsidR="00804EC3" w:rsidRPr="0081380D">
        <w:rPr>
          <w:rFonts w:cs="Times New Roman Regular"/>
          <w:sz w:val="24"/>
          <w:highlight w:val="cyan"/>
        </w:rPr>
        <w:t>a dearth</w:t>
      </w:r>
      <w:r w:rsidRPr="0081380D">
        <w:rPr>
          <w:rFonts w:cs="Times New Roman Regular"/>
          <w:sz w:val="24"/>
          <w:highlight w:val="cyan"/>
        </w:rPr>
        <w:t xml:space="preserve"> of</w:t>
      </w:r>
      <w:r>
        <w:rPr>
          <w:rFonts w:cs="Times New Roman Regular"/>
          <w:sz w:val="24"/>
        </w:rPr>
        <w:t xml:space="preserve"> a comprehensive survey questionnaire. In addition, the current questionnaires for measuring speaking strategies, speaking anxiety, learning motivation, and learning attitudes are uneven, and there are differences in the ways and methods of measuring the</w:t>
      </w:r>
      <w:r w:rsidR="004B36F4">
        <w:rPr>
          <w:rFonts w:cs="Times New Roman Regular"/>
          <w:sz w:val="24"/>
        </w:rPr>
        <w:t>m</w:t>
      </w:r>
      <w:r>
        <w:rPr>
          <w:rFonts w:cs="Times New Roman Regular"/>
          <w:sz w:val="24"/>
        </w:rPr>
        <w:t>, without forming a unified standard (Aida,1994; Al-</w:t>
      </w:r>
      <w:proofErr w:type="spellStart"/>
      <w:r>
        <w:rPr>
          <w:rFonts w:cs="Times New Roman Regular"/>
          <w:sz w:val="24"/>
        </w:rPr>
        <w:t>Muslimawi</w:t>
      </w:r>
      <w:proofErr w:type="spellEnd"/>
      <w:r>
        <w:rPr>
          <w:rFonts w:cs="Times New Roman Regular"/>
          <w:sz w:val="24"/>
        </w:rPr>
        <w:t xml:space="preserve"> &amp; Al-</w:t>
      </w:r>
      <w:proofErr w:type="spellStart"/>
      <w:r>
        <w:rPr>
          <w:rFonts w:cs="Times New Roman Regular"/>
          <w:sz w:val="24"/>
        </w:rPr>
        <w:t>Shamarti</w:t>
      </w:r>
      <w:proofErr w:type="spellEnd"/>
      <w:r>
        <w:rPr>
          <w:rFonts w:cs="Times New Roman Regular"/>
          <w:sz w:val="24"/>
        </w:rPr>
        <w:t xml:space="preserve">, 2023; </w:t>
      </w:r>
      <w:r>
        <w:rPr>
          <w:rFonts w:cs="Times New Roman Regular" w:hint="eastAsia"/>
          <w:sz w:val="24"/>
        </w:rPr>
        <w:t>Aydin</w:t>
      </w:r>
      <w:r>
        <w:rPr>
          <w:rFonts w:cs="Times New Roman Regular"/>
          <w:sz w:val="24"/>
        </w:rPr>
        <w:t xml:space="preserve"> et al., 2014; </w:t>
      </w:r>
      <w:proofErr w:type="spellStart"/>
      <w:r>
        <w:rPr>
          <w:rFonts w:cs="Times New Roman Regular"/>
          <w:sz w:val="24"/>
        </w:rPr>
        <w:t>Erniyati</w:t>
      </w:r>
      <w:proofErr w:type="spellEnd"/>
      <w:r>
        <w:rPr>
          <w:rFonts w:cs="Times New Roman Regular"/>
          <w:sz w:val="24"/>
        </w:rPr>
        <w:t xml:space="preserve"> &amp; Putra, 2022; Tran, 2020; Nguyen et al., 2022; </w:t>
      </w:r>
      <w:proofErr w:type="spellStart"/>
      <w:r>
        <w:rPr>
          <w:rFonts w:cs="Times New Roman Regular"/>
          <w:sz w:val="24"/>
        </w:rPr>
        <w:t>Paneerselvam</w:t>
      </w:r>
      <w:proofErr w:type="spellEnd"/>
      <w:r>
        <w:rPr>
          <w:rFonts w:cs="Times New Roman Regular"/>
          <w:sz w:val="24"/>
        </w:rPr>
        <w:t xml:space="preserve"> &amp; </w:t>
      </w:r>
      <w:proofErr w:type="spellStart"/>
      <w:r>
        <w:rPr>
          <w:rFonts w:cs="Times New Roman Regular"/>
          <w:sz w:val="24"/>
        </w:rPr>
        <w:t>Yamat</w:t>
      </w:r>
      <w:proofErr w:type="spellEnd"/>
      <w:r>
        <w:rPr>
          <w:rFonts w:cs="Times New Roman Regular"/>
          <w:sz w:val="24"/>
        </w:rPr>
        <w:t>, 2021). Therefore, this study develop</w:t>
      </w:r>
      <w:r w:rsidR="0081380D">
        <w:rPr>
          <w:rFonts w:cs="Times New Roman Regular"/>
          <w:sz w:val="24"/>
        </w:rPr>
        <w:t>s</w:t>
      </w:r>
      <w:r>
        <w:rPr>
          <w:rFonts w:cs="Times New Roman Regular"/>
          <w:sz w:val="24"/>
        </w:rPr>
        <w:t xml:space="preserve"> a comprehensive questionnaire on speaking strategies, speaking anxiety, learning motivation, and attitudes to provide insights for more targeted language education interventions.</w:t>
      </w:r>
    </w:p>
    <w:p w14:paraId="16D3F343" w14:textId="77777777" w:rsidR="000574EE" w:rsidRDefault="00AC3F5F">
      <w:pPr>
        <w:pStyle w:val="Heading1"/>
        <w:keepLines w:val="0"/>
        <w:widowControl/>
        <w:spacing w:before="0" w:after="0" w:line="240" w:lineRule="auto"/>
        <w:ind w:right="567"/>
        <w:contextualSpacing/>
        <w:jc w:val="center"/>
        <w:rPr>
          <w:rFonts w:cs="Arial"/>
          <w:b w:val="0"/>
          <w:kern w:val="32"/>
          <w:sz w:val="24"/>
          <w:lang w:bidi="en-US"/>
        </w:rPr>
      </w:pPr>
      <w:r>
        <w:rPr>
          <w:rFonts w:cs="Arial"/>
          <w:b w:val="0"/>
          <w:kern w:val="32"/>
          <w:sz w:val="24"/>
          <w:lang w:bidi="en-US"/>
        </w:rPr>
        <w:t>LITERATURE REVIEW</w:t>
      </w:r>
    </w:p>
    <w:p w14:paraId="5C281E97" w14:textId="77777777" w:rsidR="000574EE" w:rsidRDefault="00AC3F5F">
      <w:pPr>
        <w:pStyle w:val="Paragraph"/>
        <w:spacing w:after="240"/>
        <w:rPr>
          <w:i/>
          <w:iCs/>
          <w:sz w:val="24"/>
          <w:szCs w:val="22"/>
        </w:rPr>
      </w:pPr>
      <w:r>
        <w:rPr>
          <w:i/>
          <w:iCs/>
          <w:sz w:val="24"/>
          <w:szCs w:val="22"/>
        </w:rPr>
        <w:t>Previous Instruments Developed on</w:t>
      </w:r>
      <w:r>
        <w:rPr>
          <w:rFonts w:hint="eastAsia"/>
          <w:i/>
          <w:iCs/>
          <w:sz w:val="24"/>
          <w:szCs w:val="22"/>
        </w:rPr>
        <w:t xml:space="preserve"> S</w:t>
      </w:r>
      <w:r>
        <w:rPr>
          <w:i/>
          <w:iCs/>
          <w:sz w:val="24"/>
          <w:szCs w:val="22"/>
        </w:rPr>
        <w:t xml:space="preserve">peaking </w:t>
      </w:r>
      <w:r>
        <w:rPr>
          <w:rFonts w:hint="eastAsia"/>
          <w:i/>
          <w:iCs/>
          <w:sz w:val="24"/>
          <w:szCs w:val="22"/>
        </w:rPr>
        <w:t>S</w:t>
      </w:r>
      <w:r>
        <w:rPr>
          <w:i/>
          <w:iCs/>
          <w:sz w:val="24"/>
          <w:szCs w:val="22"/>
        </w:rPr>
        <w:t>trategies</w:t>
      </w:r>
    </w:p>
    <w:p w14:paraId="0A2A6B1D" w14:textId="77777777" w:rsidR="000574EE" w:rsidRDefault="00AC3F5F">
      <w:pPr>
        <w:autoSpaceDE w:val="0"/>
        <w:autoSpaceDN w:val="0"/>
        <w:rPr>
          <w:rFonts w:eastAsia="SimHei" w:cs="Times New Roman"/>
          <w:bCs/>
          <w:kern w:val="0"/>
          <w:sz w:val="24"/>
          <w:lang w:bidi="en-US"/>
        </w:rPr>
      </w:pPr>
      <w:r>
        <w:rPr>
          <w:rFonts w:eastAsia="SimHei" w:cs="Times New Roman"/>
          <w:bCs/>
          <w:kern w:val="0"/>
          <w:sz w:val="24"/>
          <w:lang w:bidi="en-US"/>
        </w:rPr>
        <w:t xml:space="preserve">Numerous questionnaires have been developed to investigate speaking strategies among EFL learners. Among these, the majority of research has utilized the Oral Communication Strategy Inventory (OCSI), a scale developed by Nakatani (2006), which has been widely applied in the context of EFL learners (Nguyen et al., 2022; Nowak &amp; </w:t>
      </w:r>
      <w:proofErr w:type="spellStart"/>
      <w:r>
        <w:rPr>
          <w:rFonts w:eastAsia="SimHei" w:cs="Times New Roman"/>
          <w:bCs/>
          <w:kern w:val="0"/>
          <w:sz w:val="24"/>
          <w:lang w:bidi="en-US"/>
        </w:rPr>
        <w:t>Przybył</w:t>
      </w:r>
      <w:proofErr w:type="spellEnd"/>
      <w:r>
        <w:rPr>
          <w:rFonts w:eastAsia="SimHei" w:cs="Times New Roman"/>
          <w:bCs/>
          <w:kern w:val="0"/>
          <w:sz w:val="24"/>
          <w:lang w:bidi="en-US"/>
        </w:rPr>
        <w:t xml:space="preserve">, 2023; </w:t>
      </w:r>
      <w:proofErr w:type="spellStart"/>
      <w:r>
        <w:rPr>
          <w:rFonts w:eastAsia="SimHei" w:cs="Times New Roman"/>
          <w:bCs/>
          <w:kern w:val="0"/>
          <w:sz w:val="24"/>
          <w:lang w:bidi="en-US"/>
        </w:rPr>
        <w:t>Rayati</w:t>
      </w:r>
      <w:proofErr w:type="spellEnd"/>
      <w:r>
        <w:rPr>
          <w:rFonts w:eastAsia="SimHei" w:cs="Times New Roman"/>
          <w:bCs/>
          <w:kern w:val="0"/>
          <w:sz w:val="24"/>
          <w:lang w:bidi="en-US"/>
        </w:rPr>
        <w:t xml:space="preserve"> et al., 2022; </w:t>
      </w:r>
      <w:proofErr w:type="spellStart"/>
      <w:r>
        <w:rPr>
          <w:rFonts w:eastAsia="SimHei" w:cs="Times New Roman"/>
          <w:bCs/>
          <w:kern w:val="0"/>
          <w:sz w:val="24"/>
          <w:lang w:bidi="en-US"/>
        </w:rPr>
        <w:t>Sausan</w:t>
      </w:r>
      <w:proofErr w:type="spellEnd"/>
      <w:r>
        <w:rPr>
          <w:rFonts w:eastAsia="SimHei" w:cs="Times New Roman"/>
          <w:bCs/>
          <w:kern w:val="0"/>
          <w:sz w:val="24"/>
          <w:lang w:bidi="en-US"/>
        </w:rPr>
        <w:t xml:space="preserve">, 2023; </w:t>
      </w:r>
      <w:proofErr w:type="spellStart"/>
      <w:r>
        <w:rPr>
          <w:rFonts w:eastAsia="SimHei" w:cs="Times New Roman"/>
          <w:bCs/>
          <w:kern w:val="0"/>
          <w:sz w:val="24"/>
          <w:lang w:bidi="en-US"/>
        </w:rPr>
        <w:t>Widianti</w:t>
      </w:r>
      <w:proofErr w:type="spellEnd"/>
      <w:r>
        <w:rPr>
          <w:rFonts w:eastAsia="SimHei" w:cs="Times New Roman"/>
          <w:bCs/>
          <w:kern w:val="0"/>
          <w:sz w:val="24"/>
          <w:lang w:bidi="en-US"/>
        </w:rPr>
        <w:t xml:space="preserve">, 2024). Nakatani's (2006) scale consists of 32 questions, offering a detailed classification of speaking strategies, including Social Affective, Fluency-Oriented, Negotiation for Meaning, Accuracy-Oriented, Message Reduction, Nonverbal, Message Abandonment, and Attempt to Think in English strategies. Metcalfe &amp; </w:t>
      </w:r>
      <w:proofErr w:type="spellStart"/>
      <w:r>
        <w:rPr>
          <w:rFonts w:eastAsia="SimHei" w:cs="Times New Roman"/>
          <w:bCs/>
          <w:kern w:val="0"/>
          <w:sz w:val="24"/>
          <w:lang w:bidi="en-US"/>
        </w:rPr>
        <w:t>Noom-Ura</w:t>
      </w:r>
      <w:proofErr w:type="spellEnd"/>
      <w:r>
        <w:rPr>
          <w:rFonts w:eastAsia="SimHei" w:cs="Times New Roman"/>
          <w:bCs/>
          <w:kern w:val="0"/>
          <w:sz w:val="24"/>
          <w:lang w:bidi="en-US"/>
        </w:rPr>
        <w:t xml:space="preserve"> (2013) stated that since the </w:t>
      </w:r>
      <w:r>
        <w:rPr>
          <w:rFonts w:eastAsia="SimHei" w:cs="Times New Roman"/>
          <w:bCs/>
          <w:kern w:val="0"/>
          <w:sz w:val="24"/>
          <w:lang w:bidi="en-US"/>
        </w:rPr>
        <w:lastRenderedPageBreak/>
        <w:t xml:space="preserve">OCSI was initially developed in Japanese, the English version published by Nakatani (2006) contains complex vocabulary that may hinder comprehension among EFL learners. However, the questionnaire developed by Nakatani (2006) is still a model for many researchers to refer to (Kusuma &amp; Adamson, 2020; </w:t>
      </w:r>
      <w:proofErr w:type="spellStart"/>
      <w:r>
        <w:rPr>
          <w:rFonts w:eastAsia="SimHei" w:cs="Times New Roman"/>
          <w:bCs/>
          <w:kern w:val="0"/>
          <w:sz w:val="24"/>
          <w:lang w:bidi="en-US"/>
        </w:rPr>
        <w:t>Luque</w:t>
      </w:r>
      <w:proofErr w:type="spellEnd"/>
      <w:r>
        <w:rPr>
          <w:rFonts w:eastAsia="SimHei" w:cs="Times New Roman"/>
          <w:bCs/>
          <w:kern w:val="0"/>
          <w:sz w:val="24"/>
          <w:lang w:bidi="en-US"/>
        </w:rPr>
        <w:t xml:space="preserve">, 2023; </w:t>
      </w:r>
      <w:proofErr w:type="spellStart"/>
      <w:r>
        <w:rPr>
          <w:rFonts w:eastAsia="SimHei" w:cs="Times New Roman"/>
          <w:bCs/>
          <w:kern w:val="0"/>
          <w:sz w:val="24"/>
          <w:lang w:bidi="en-US"/>
        </w:rPr>
        <w:t>Shirkhani</w:t>
      </w:r>
      <w:proofErr w:type="spellEnd"/>
      <w:r>
        <w:rPr>
          <w:rFonts w:eastAsia="SimHei" w:cs="Times New Roman"/>
          <w:bCs/>
          <w:kern w:val="0"/>
          <w:sz w:val="24"/>
          <w:lang w:bidi="en-US"/>
        </w:rPr>
        <w:t xml:space="preserve"> &amp; </w:t>
      </w:r>
      <w:proofErr w:type="spellStart"/>
      <w:r>
        <w:rPr>
          <w:rFonts w:eastAsia="SimHei" w:cs="Times New Roman"/>
          <w:bCs/>
          <w:kern w:val="0"/>
          <w:sz w:val="24"/>
          <w:lang w:bidi="en-US"/>
        </w:rPr>
        <w:t>Meigouni</w:t>
      </w:r>
      <w:proofErr w:type="spellEnd"/>
      <w:r>
        <w:rPr>
          <w:rFonts w:eastAsia="SimHei" w:cs="Times New Roman"/>
          <w:bCs/>
          <w:kern w:val="0"/>
          <w:sz w:val="24"/>
          <w:lang w:bidi="en-US"/>
        </w:rPr>
        <w:t>, 2020). For example, the study by Wright et al. (2022) adapted Nakatani's (2006) design by balancing six listening and six speaking strategies for between-mode comparisons, maintaining high internal consistency, and focusing on meaning vs. form distinctions, and two strategies were reframed to allow for comparability while adjusting for listening and speaking in English.</w:t>
      </w:r>
    </w:p>
    <w:p w14:paraId="185BEC5D" w14:textId="77777777" w:rsidR="000574EE" w:rsidRDefault="00AC3F5F">
      <w:pPr>
        <w:autoSpaceDE w:val="0"/>
        <w:autoSpaceDN w:val="0"/>
        <w:spacing w:before="240" w:after="240"/>
        <w:rPr>
          <w:i/>
          <w:iCs/>
          <w:sz w:val="24"/>
          <w:szCs w:val="22"/>
        </w:rPr>
      </w:pPr>
      <w:r>
        <w:rPr>
          <w:i/>
          <w:iCs/>
          <w:sz w:val="24"/>
          <w:szCs w:val="22"/>
        </w:rPr>
        <w:t>Previous Instruments Developed on</w:t>
      </w:r>
      <w:r>
        <w:rPr>
          <w:rFonts w:hint="eastAsia"/>
          <w:i/>
          <w:iCs/>
          <w:sz w:val="24"/>
          <w:szCs w:val="22"/>
        </w:rPr>
        <w:t xml:space="preserve"> S</w:t>
      </w:r>
      <w:r>
        <w:rPr>
          <w:i/>
          <w:iCs/>
          <w:sz w:val="24"/>
          <w:szCs w:val="22"/>
        </w:rPr>
        <w:t>peaking</w:t>
      </w:r>
      <w:r>
        <w:rPr>
          <w:rFonts w:hint="eastAsia"/>
          <w:i/>
          <w:iCs/>
          <w:sz w:val="24"/>
          <w:szCs w:val="22"/>
        </w:rPr>
        <w:t xml:space="preserve"> </w:t>
      </w:r>
      <w:r>
        <w:rPr>
          <w:i/>
          <w:iCs/>
          <w:sz w:val="24"/>
          <w:szCs w:val="22"/>
        </w:rPr>
        <w:t>Anxiety</w:t>
      </w:r>
    </w:p>
    <w:p w14:paraId="19876170" w14:textId="77777777" w:rsidR="000574EE" w:rsidRDefault="00AC3F5F">
      <w:pPr>
        <w:autoSpaceDE w:val="0"/>
        <w:autoSpaceDN w:val="0"/>
        <w:rPr>
          <w:rFonts w:eastAsia="SimHei" w:cs="Times New Roman"/>
          <w:bCs/>
          <w:kern w:val="0"/>
          <w:sz w:val="24"/>
          <w:lang w:bidi="en-US"/>
        </w:rPr>
      </w:pPr>
      <w:r>
        <w:rPr>
          <w:rFonts w:eastAsia="SimHei" w:cs="Times New Roman"/>
          <w:bCs/>
          <w:kern w:val="0"/>
          <w:sz w:val="24"/>
          <w:lang w:bidi="en-US"/>
        </w:rPr>
        <w:t xml:space="preserve">Horwitz et al. (1986) developed the Foreign Language Classroom Anxiety Scale (FLCAS), consisting of 33 items designed to measure students' self-reported anxiety levels. The scale categorizes anxiety into three primary dimensions: fear of negative evaluation, communication apprehension, and test anxiety. Building on this framework, Aida (1994) conducted a factor analysis of the FLCAS to explore the underlying structure of its 33 items, subsequently adapting the scale to assess learning anxiety among Japanese students. Aida's analysis revealed four factors: speech anxiety, fear of failure, comfort, and negative attitudes. Pérez-Paredes and Martínez-Sánchez (2000-2001), referencing Aida's work, applied the Spanish version of the FLCAS, identifying four distinct factors: communication apprehension, anxiety related to language learning processes and situations, comfort with using English both inside and outside the classroom, and negative attitudes toward language learning. Tóth (2008) further analyzed the FLCAS in the context of Hungarian learners of English, identifying four key factors of foreign language anxiety: speaking apprehension, fear of negative evaluation, fear of inadequate performance, and classroom-related anxiety, with the first factor encompassing most items related to speaking performance and fear of negative evaluation. In addition to these scholars, the questionnaire developed by Horwitz et al. (1986) continues to serve as a key instrument for assessing speaking anxiety in numerous recent studies (Dellah et al., 2020; </w:t>
      </w:r>
      <w:proofErr w:type="spellStart"/>
      <w:r>
        <w:rPr>
          <w:rFonts w:eastAsia="SimHei" w:cs="Times New Roman"/>
          <w:bCs/>
          <w:kern w:val="0"/>
          <w:sz w:val="24"/>
          <w:lang w:bidi="en-US"/>
        </w:rPr>
        <w:t>Kabigting</w:t>
      </w:r>
      <w:proofErr w:type="spellEnd"/>
      <w:r>
        <w:rPr>
          <w:rFonts w:eastAsia="SimHei" w:cs="Times New Roman"/>
          <w:bCs/>
          <w:kern w:val="0"/>
          <w:sz w:val="24"/>
          <w:lang w:bidi="en-US"/>
        </w:rPr>
        <w:t xml:space="preserve"> &amp; </w:t>
      </w:r>
      <w:proofErr w:type="spellStart"/>
      <w:r>
        <w:rPr>
          <w:rFonts w:eastAsia="SimHei" w:cs="Times New Roman"/>
          <w:bCs/>
          <w:kern w:val="0"/>
          <w:sz w:val="24"/>
          <w:lang w:bidi="en-US"/>
        </w:rPr>
        <w:t>Nanud</w:t>
      </w:r>
      <w:proofErr w:type="spellEnd"/>
      <w:r>
        <w:rPr>
          <w:rFonts w:eastAsia="SimHei" w:cs="Times New Roman"/>
          <w:bCs/>
          <w:kern w:val="0"/>
          <w:sz w:val="24"/>
          <w:lang w:bidi="en-US"/>
        </w:rPr>
        <w:t xml:space="preserve">, 2020; </w:t>
      </w:r>
      <w:proofErr w:type="spellStart"/>
      <w:r>
        <w:rPr>
          <w:rFonts w:eastAsia="SimHei" w:cs="Times New Roman"/>
          <w:bCs/>
          <w:kern w:val="0"/>
          <w:sz w:val="24"/>
          <w:lang w:bidi="en-US"/>
        </w:rPr>
        <w:t>Paneerselvam</w:t>
      </w:r>
      <w:proofErr w:type="spellEnd"/>
      <w:r>
        <w:rPr>
          <w:rFonts w:eastAsia="SimHei" w:cs="Times New Roman"/>
          <w:bCs/>
          <w:kern w:val="0"/>
          <w:sz w:val="24"/>
          <w:lang w:bidi="en-US"/>
        </w:rPr>
        <w:t xml:space="preserve"> &amp; </w:t>
      </w:r>
      <w:proofErr w:type="spellStart"/>
      <w:r>
        <w:rPr>
          <w:rFonts w:eastAsia="SimHei" w:cs="Times New Roman"/>
          <w:bCs/>
          <w:kern w:val="0"/>
          <w:sz w:val="24"/>
          <w:lang w:bidi="en-US"/>
        </w:rPr>
        <w:t>Yamat</w:t>
      </w:r>
      <w:proofErr w:type="spellEnd"/>
      <w:r>
        <w:rPr>
          <w:rFonts w:eastAsia="SimHei" w:cs="Times New Roman"/>
          <w:bCs/>
          <w:kern w:val="0"/>
          <w:sz w:val="24"/>
          <w:lang w:bidi="en-US"/>
        </w:rPr>
        <w:t>, 2021). Despite variations in the dimensional frameworks proposed by these researchers, their findings consistently identify four core factors of foreign language anxiety: speaking apprehension, fear of negative evaluation, fear of inadequate performance, and classroom-related anxiety.</w:t>
      </w:r>
    </w:p>
    <w:p w14:paraId="79B1BB42" w14:textId="77777777" w:rsidR="000574EE" w:rsidRDefault="00AC3F5F">
      <w:pPr>
        <w:autoSpaceDE w:val="0"/>
        <w:autoSpaceDN w:val="0"/>
        <w:spacing w:before="240" w:after="240"/>
        <w:rPr>
          <w:i/>
          <w:iCs/>
          <w:sz w:val="24"/>
          <w:szCs w:val="22"/>
        </w:rPr>
      </w:pPr>
      <w:r>
        <w:rPr>
          <w:i/>
          <w:iCs/>
          <w:sz w:val="24"/>
          <w:szCs w:val="22"/>
        </w:rPr>
        <w:t>Previous Instruments Developed on</w:t>
      </w:r>
      <w:r>
        <w:rPr>
          <w:rFonts w:hint="eastAsia"/>
          <w:i/>
          <w:iCs/>
          <w:sz w:val="24"/>
          <w:szCs w:val="22"/>
        </w:rPr>
        <w:t xml:space="preserve"> learning </w:t>
      </w:r>
      <w:r>
        <w:rPr>
          <w:i/>
          <w:iCs/>
          <w:sz w:val="24"/>
          <w:szCs w:val="22"/>
        </w:rPr>
        <w:t>motivation</w:t>
      </w:r>
    </w:p>
    <w:p w14:paraId="3269CE4F" w14:textId="77777777" w:rsidR="000574EE" w:rsidRDefault="00AC3F5F">
      <w:pPr>
        <w:autoSpaceDE w:val="0"/>
        <w:autoSpaceDN w:val="0"/>
        <w:rPr>
          <w:rFonts w:eastAsia="SimHei" w:cs="Times New Roman"/>
          <w:bCs/>
          <w:kern w:val="0"/>
          <w:sz w:val="24"/>
          <w:lang w:bidi="en-US"/>
        </w:rPr>
      </w:pPr>
      <w:proofErr w:type="spellStart"/>
      <w:r>
        <w:rPr>
          <w:rFonts w:eastAsia="SimHei" w:cs="Times New Roman"/>
          <w:bCs/>
          <w:kern w:val="0"/>
          <w:sz w:val="24"/>
          <w:lang w:bidi="en-US"/>
        </w:rPr>
        <w:t>Zubairi</w:t>
      </w:r>
      <w:proofErr w:type="spellEnd"/>
      <w:r>
        <w:rPr>
          <w:rFonts w:eastAsia="SimHei" w:cs="Times New Roman"/>
          <w:bCs/>
          <w:kern w:val="0"/>
          <w:sz w:val="24"/>
          <w:lang w:bidi="en-US"/>
        </w:rPr>
        <w:t xml:space="preserve"> and </w:t>
      </w:r>
      <w:proofErr w:type="spellStart"/>
      <w:r>
        <w:rPr>
          <w:rFonts w:eastAsia="SimHei" w:cs="Times New Roman"/>
          <w:bCs/>
          <w:kern w:val="0"/>
          <w:sz w:val="24"/>
          <w:lang w:bidi="en-US"/>
        </w:rPr>
        <w:t>Sarudin</w:t>
      </w:r>
      <w:proofErr w:type="spellEnd"/>
      <w:r>
        <w:rPr>
          <w:rFonts w:eastAsia="SimHei" w:cs="Times New Roman"/>
          <w:bCs/>
          <w:kern w:val="0"/>
          <w:sz w:val="24"/>
          <w:lang w:bidi="en-US"/>
        </w:rPr>
        <w:t xml:space="preserve"> (2009) assessed learners' motivation to study a foreign language using 16 questions that examined both intrinsic and extrinsic factors. Similarly, Dhanapala and Hirakawa (2016) categorized students' learning motivation into internal and external dimensions. In recent years, many scholars have continued to classify EFL learners' motivation into two main types: intrinsic and extrinsic motivation (</w:t>
      </w:r>
      <w:proofErr w:type="spellStart"/>
      <w:r>
        <w:rPr>
          <w:rFonts w:eastAsia="SimHei" w:cs="Times New Roman"/>
          <w:bCs/>
          <w:kern w:val="0"/>
          <w:sz w:val="24"/>
          <w:lang w:bidi="en-US"/>
        </w:rPr>
        <w:t>Erniyati</w:t>
      </w:r>
      <w:proofErr w:type="spellEnd"/>
      <w:r>
        <w:rPr>
          <w:rFonts w:eastAsia="SimHei" w:cs="Times New Roman"/>
          <w:bCs/>
          <w:kern w:val="0"/>
          <w:sz w:val="24"/>
          <w:lang w:bidi="en-US"/>
        </w:rPr>
        <w:t xml:space="preserve"> &amp; Putra, 2022; </w:t>
      </w:r>
      <w:proofErr w:type="spellStart"/>
      <w:r>
        <w:rPr>
          <w:rFonts w:eastAsia="SimHei" w:cs="Times New Roman"/>
          <w:bCs/>
          <w:kern w:val="0"/>
          <w:sz w:val="24"/>
          <w:lang w:bidi="en-US"/>
        </w:rPr>
        <w:t>Kulusakli</w:t>
      </w:r>
      <w:proofErr w:type="spellEnd"/>
      <w:r>
        <w:rPr>
          <w:rFonts w:eastAsia="SimHei" w:cs="Times New Roman"/>
          <w:bCs/>
          <w:kern w:val="0"/>
          <w:sz w:val="24"/>
          <w:lang w:bidi="en-US"/>
        </w:rPr>
        <w:t xml:space="preserve">, 2021; </w:t>
      </w:r>
      <w:proofErr w:type="spellStart"/>
      <w:r>
        <w:rPr>
          <w:rFonts w:eastAsia="SimHei" w:cs="Times New Roman"/>
          <w:bCs/>
          <w:kern w:val="0"/>
          <w:sz w:val="24"/>
          <w:lang w:bidi="en-US"/>
        </w:rPr>
        <w:t>Salehpour</w:t>
      </w:r>
      <w:proofErr w:type="spellEnd"/>
      <w:r>
        <w:rPr>
          <w:rFonts w:eastAsia="SimHei" w:cs="Times New Roman"/>
          <w:bCs/>
          <w:kern w:val="0"/>
          <w:sz w:val="24"/>
          <w:lang w:bidi="en-US"/>
        </w:rPr>
        <w:t xml:space="preserve"> &amp; </w:t>
      </w:r>
      <w:proofErr w:type="spellStart"/>
      <w:r>
        <w:rPr>
          <w:rFonts w:eastAsia="SimHei" w:cs="Times New Roman"/>
          <w:bCs/>
          <w:kern w:val="0"/>
          <w:sz w:val="24"/>
          <w:lang w:bidi="en-US"/>
        </w:rPr>
        <w:t>Roohani</w:t>
      </w:r>
      <w:proofErr w:type="spellEnd"/>
      <w:r>
        <w:rPr>
          <w:rFonts w:eastAsia="SimHei" w:cs="Times New Roman"/>
          <w:bCs/>
          <w:kern w:val="0"/>
          <w:sz w:val="24"/>
          <w:lang w:bidi="en-US"/>
        </w:rPr>
        <w:t xml:space="preserve">, 2020; </w:t>
      </w:r>
      <w:proofErr w:type="spellStart"/>
      <w:r>
        <w:rPr>
          <w:rFonts w:eastAsia="SimHei" w:cs="Times New Roman"/>
          <w:bCs/>
          <w:kern w:val="0"/>
          <w:sz w:val="24"/>
          <w:lang w:bidi="en-US"/>
        </w:rPr>
        <w:t>Santovac</w:t>
      </w:r>
      <w:proofErr w:type="spellEnd"/>
      <w:r>
        <w:rPr>
          <w:rFonts w:eastAsia="SimHei" w:cs="Times New Roman"/>
          <w:bCs/>
          <w:kern w:val="0"/>
          <w:sz w:val="24"/>
          <w:lang w:bidi="en-US"/>
        </w:rPr>
        <w:t xml:space="preserve"> &amp; Popović, 2022). For instance, </w:t>
      </w:r>
      <w:proofErr w:type="spellStart"/>
      <w:r>
        <w:rPr>
          <w:rFonts w:eastAsia="SimHei" w:cs="Times New Roman"/>
          <w:bCs/>
          <w:kern w:val="0"/>
          <w:sz w:val="24"/>
          <w:lang w:bidi="en-US"/>
        </w:rPr>
        <w:t>Pranawengtias</w:t>
      </w:r>
      <w:proofErr w:type="spellEnd"/>
      <w:r>
        <w:rPr>
          <w:rFonts w:eastAsia="SimHei" w:cs="Times New Roman"/>
          <w:bCs/>
          <w:kern w:val="0"/>
          <w:sz w:val="24"/>
          <w:lang w:bidi="en-US"/>
        </w:rPr>
        <w:t xml:space="preserve"> (2022) measured the motivation of undergraduate students at an Indonesian university to learn English by dividing it into intrinsic and extrinsic components, utilizing 30 questions for the assessment. In contrast to these studies, </w:t>
      </w:r>
      <w:r>
        <w:rPr>
          <w:rFonts w:eastAsia="SimHei" w:cs="Times New Roman" w:hint="eastAsia"/>
          <w:bCs/>
          <w:kern w:val="0"/>
          <w:sz w:val="24"/>
          <w:lang w:bidi="en-US"/>
        </w:rPr>
        <w:t>Aydin</w:t>
      </w:r>
      <w:r>
        <w:rPr>
          <w:rFonts w:eastAsia="SimHei" w:cs="Times New Roman"/>
          <w:bCs/>
          <w:kern w:val="0"/>
          <w:sz w:val="24"/>
          <w:lang w:bidi="en-US"/>
        </w:rPr>
        <w:t xml:space="preserve"> et al. (2014) provided a more detailed categorization of motivation in the context of biology learning, using 19 questions to assess </w:t>
      </w:r>
      <w:r>
        <w:rPr>
          <w:rFonts w:eastAsia="SimHei" w:cs="Times New Roman"/>
          <w:bCs/>
          <w:kern w:val="0"/>
          <w:sz w:val="24"/>
          <w:lang w:bidi="en-US"/>
        </w:rPr>
        <w:lastRenderedPageBreak/>
        <w:t>four distinct factors: intrinsic motivation, extrinsic motivation, extrinsic career motivation, and extrinsic social motivation.</w:t>
      </w:r>
    </w:p>
    <w:p w14:paraId="201C85F1" w14:textId="77777777" w:rsidR="000574EE" w:rsidRDefault="00AC3F5F">
      <w:pPr>
        <w:autoSpaceDE w:val="0"/>
        <w:autoSpaceDN w:val="0"/>
        <w:spacing w:before="240" w:after="240"/>
        <w:rPr>
          <w:i/>
          <w:iCs/>
          <w:sz w:val="24"/>
          <w:szCs w:val="22"/>
        </w:rPr>
      </w:pPr>
      <w:r>
        <w:rPr>
          <w:i/>
          <w:iCs/>
          <w:sz w:val="24"/>
          <w:szCs w:val="22"/>
        </w:rPr>
        <w:t>Previous Instruments Developed on</w:t>
      </w:r>
      <w:r>
        <w:rPr>
          <w:rFonts w:hint="eastAsia"/>
          <w:i/>
          <w:iCs/>
          <w:sz w:val="24"/>
          <w:szCs w:val="22"/>
        </w:rPr>
        <w:t xml:space="preserve"> Learning A</w:t>
      </w:r>
      <w:r>
        <w:rPr>
          <w:i/>
          <w:iCs/>
          <w:sz w:val="24"/>
          <w:szCs w:val="22"/>
        </w:rPr>
        <w:t>ttitude</w:t>
      </w:r>
    </w:p>
    <w:p w14:paraId="014B2ED8" w14:textId="77777777" w:rsidR="000574EE" w:rsidRDefault="00AC3F5F">
      <w:pPr>
        <w:autoSpaceDE w:val="0"/>
        <w:autoSpaceDN w:val="0"/>
        <w:spacing w:before="240" w:after="240"/>
        <w:rPr>
          <w:b/>
          <w:bCs/>
          <w:i/>
          <w:iCs/>
          <w:sz w:val="24"/>
          <w:szCs w:val="22"/>
        </w:rPr>
      </w:pPr>
      <w:r>
        <w:rPr>
          <w:rFonts w:eastAsia="SimHei" w:cs="Times New Roman"/>
          <w:bCs/>
          <w:kern w:val="0"/>
          <w:sz w:val="24"/>
          <w:lang w:bidi="en-US"/>
        </w:rPr>
        <w:t>Abidin et al. (2012) developed a 45-item attitude questionnaire, drawing on prior research (</w:t>
      </w:r>
      <w:proofErr w:type="spellStart"/>
      <w:r>
        <w:rPr>
          <w:rFonts w:eastAsia="SimHei" w:cs="Times New Roman"/>
          <w:bCs/>
          <w:kern w:val="0"/>
          <w:sz w:val="24"/>
          <w:lang w:bidi="en-US"/>
        </w:rPr>
        <w:t>Boonrangsri</w:t>
      </w:r>
      <w:proofErr w:type="spellEnd"/>
      <w:r>
        <w:rPr>
          <w:rFonts w:eastAsia="SimHei" w:cs="Times New Roman"/>
          <w:bCs/>
          <w:kern w:val="0"/>
          <w:sz w:val="24"/>
          <w:lang w:bidi="en-US"/>
        </w:rPr>
        <w:t xml:space="preserve"> et al., 2004; Gardner, 1985) and teaching experiences, to assess participants' attitudes toward learning English. The questionnaire measured three key dimensions of attitude: behavioral, cognitive, and emotional, using a 5-point Likert scale. Similarly, Tran (2020) employed 12 questions to evaluate learning attitudes by focusing on cognitive and affective-behavioral components. Ahmed et al. (2021) also assessed students' attitudes toward learning English with 10 questions, examining the cognitive, behavioral, and emotional aspects. Ali Ahmed et al. (2021) used 10 questions to measure learners' cognitive, behavioral, and emotional aspects of learning. In recent years, numerous studies have continued to explore and measure learning attitudes based on these three dimensions (Al-</w:t>
      </w:r>
      <w:proofErr w:type="spellStart"/>
      <w:r>
        <w:rPr>
          <w:rFonts w:eastAsia="SimHei" w:cs="Times New Roman"/>
          <w:bCs/>
          <w:kern w:val="0"/>
          <w:sz w:val="24"/>
          <w:lang w:bidi="en-US"/>
        </w:rPr>
        <w:t>Muslimawi</w:t>
      </w:r>
      <w:proofErr w:type="spellEnd"/>
      <w:r>
        <w:rPr>
          <w:rFonts w:eastAsia="SimHei" w:cs="Times New Roman"/>
          <w:bCs/>
          <w:kern w:val="0"/>
          <w:sz w:val="24"/>
          <w:lang w:bidi="en-US"/>
        </w:rPr>
        <w:t xml:space="preserve"> &amp; Al-</w:t>
      </w:r>
      <w:proofErr w:type="spellStart"/>
      <w:r>
        <w:rPr>
          <w:rFonts w:eastAsia="SimHei" w:cs="Times New Roman"/>
          <w:bCs/>
          <w:kern w:val="0"/>
          <w:sz w:val="24"/>
          <w:lang w:bidi="en-US"/>
        </w:rPr>
        <w:t>Shamarti</w:t>
      </w:r>
      <w:proofErr w:type="spellEnd"/>
      <w:r>
        <w:rPr>
          <w:rFonts w:eastAsia="SimHei" w:cs="Times New Roman"/>
          <w:bCs/>
          <w:kern w:val="0"/>
          <w:sz w:val="24"/>
          <w:lang w:bidi="en-US"/>
        </w:rPr>
        <w:t>, 2023; Al-</w:t>
      </w:r>
      <w:proofErr w:type="spellStart"/>
      <w:r>
        <w:rPr>
          <w:rFonts w:eastAsia="SimHei" w:cs="Times New Roman"/>
          <w:bCs/>
          <w:kern w:val="0"/>
          <w:sz w:val="24"/>
          <w:lang w:bidi="en-US"/>
        </w:rPr>
        <w:t>Obaydi</w:t>
      </w:r>
      <w:proofErr w:type="spellEnd"/>
      <w:r>
        <w:rPr>
          <w:rFonts w:eastAsia="SimHei" w:cs="Times New Roman"/>
          <w:bCs/>
          <w:kern w:val="0"/>
          <w:sz w:val="24"/>
          <w:lang w:bidi="en-US"/>
        </w:rPr>
        <w:t xml:space="preserve"> et al., 2023; </w:t>
      </w:r>
      <w:proofErr w:type="spellStart"/>
      <w:r>
        <w:rPr>
          <w:rFonts w:eastAsia="SimHei" w:cs="Times New Roman"/>
          <w:bCs/>
          <w:kern w:val="0"/>
          <w:sz w:val="24"/>
          <w:lang w:bidi="en-US"/>
        </w:rPr>
        <w:t>Ghanizadeh</w:t>
      </w:r>
      <w:proofErr w:type="spellEnd"/>
      <w:r>
        <w:rPr>
          <w:rFonts w:eastAsia="SimHei" w:cs="Times New Roman"/>
          <w:bCs/>
          <w:kern w:val="0"/>
          <w:sz w:val="24"/>
          <w:lang w:bidi="en-US"/>
        </w:rPr>
        <w:t xml:space="preserve"> et al., 202</w:t>
      </w:r>
      <w:r>
        <w:rPr>
          <w:rFonts w:eastAsia="SimHei" w:cs="Times New Roman" w:hint="eastAsia"/>
          <w:bCs/>
          <w:kern w:val="0"/>
          <w:sz w:val="24"/>
          <w:lang w:bidi="en-US"/>
        </w:rPr>
        <w:t>0</w:t>
      </w:r>
      <w:r>
        <w:rPr>
          <w:rFonts w:eastAsia="SimHei" w:cs="Times New Roman"/>
          <w:bCs/>
          <w:kern w:val="0"/>
          <w:sz w:val="24"/>
          <w:lang w:bidi="en-US"/>
        </w:rPr>
        <w:t>; Yuliani et al., 2023). However, while most studies cover the same dimensions, the number of measurement items tends to be smaller compared to Abidin et al. (2012), making their survey questionnaire more comprehensive in capturing learners' learning experiences.</w:t>
      </w:r>
    </w:p>
    <w:p w14:paraId="3C50C21A" w14:textId="77777777" w:rsidR="000574EE" w:rsidRDefault="00AC3F5F">
      <w:pPr>
        <w:autoSpaceDE w:val="0"/>
        <w:autoSpaceDN w:val="0"/>
        <w:spacing w:before="240" w:after="240"/>
        <w:jc w:val="left"/>
        <w:rPr>
          <w:i/>
          <w:iCs/>
          <w:sz w:val="24"/>
          <w:szCs w:val="22"/>
        </w:rPr>
      </w:pPr>
      <w:r>
        <w:rPr>
          <w:i/>
          <w:iCs/>
          <w:sz w:val="24"/>
          <w:szCs w:val="22"/>
        </w:rPr>
        <w:t>Research Gap</w:t>
      </w:r>
    </w:p>
    <w:p w14:paraId="01332AAE" w14:textId="77777777" w:rsidR="000574EE" w:rsidRDefault="00AC3F5F">
      <w:pPr>
        <w:autoSpaceDE w:val="0"/>
        <w:autoSpaceDN w:val="0"/>
        <w:spacing w:before="240" w:after="240"/>
        <w:rPr>
          <w:rFonts w:eastAsia="SimHei" w:cs="Times New Roman"/>
          <w:bCs/>
          <w:kern w:val="0"/>
          <w:sz w:val="24"/>
          <w:lang w:bidi="en-US"/>
        </w:rPr>
      </w:pPr>
      <w:r>
        <w:rPr>
          <w:rFonts w:eastAsia="SimHei" w:cs="Times New Roman"/>
          <w:bCs/>
          <w:kern w:val="0"/>
          <w:sz w:val="24"/>
          <w:lang w:bidi="en-US"/>
        </w:rPr>
        <w:t xml:space="preserve">Although various scales have been developed to assess speaking strategies and language anxiety among EFL learners, certain gaps remain in the literature. For instance, Nakatani's (2006) OCSI has been widely adopted, but its complexity, particularly for non-native speakers, can limit its applicability in different cultural and linguistic contexts. Moreover, despite modifications and adaptations, such as those by Wright et al. (2022), no unified framework has emerged that fully balances both speaking and listening strategies across different EFL contexts. Additionally, while Horwitz et al.'s (1986) Foreign Language Classroom Anxiety Scale (FLCAS) remains a cornerstone for measuring language anxiety, most studies focus on anxiety in classroom settings, with limited exploration of anxiety during real-life communication outside the classroom. Furthermore, although the intrinsic and extrinsic dimensions of learner motivation are well-established, detailed classifications, such as those presented by </w:t>
      </w:r>
      <w:r>
        <w:rPr>
          <w:rFonts w:eastAsia="SimHei" w:cs="Times New Roman" w:hint="eastAsia"/>
          <w:bCs/>
          <w:kern w:val="0"/>
          <w:sz w:val="24"/>
          <w:lang w:bidi="en-US"/>
        </w:rPr>
        <w:t>Aydin</w:t>
      </w:r>
      <w:r>
        <w:rPr>
          <w:rFonts w:eastAsia="SimHei" w:cs="Times New Roman"/>
          <w:bCs/>
          <w:kern w:val="0"/>
          <w:sz w:val="24"/>
          <w:lang w:bidi="en-US"/>
        </w:rPr>
        <w:t xml:space="preserve"> et al. (2014), have not been sufficiently applied to speaking strategies research. Lastly, while attitudes toward language learning are often measured using behavioral, cognitive, and emotional dimensions (Abidin et al., 2012), there is a need for a more comprehensive tool that integrates these attitudes with specific speaking strategies and anxiety factors. This study aims to address these gaps by developing a comprehensive questionnaire that integrates speaking strategies, anxiety, motivation, and attitudes to provide a more holistic understanding of EFL learners' speaking experiences.</w:t>
      </w:r>
    </w:p>
    <w:p w14:paraId="22F8FBE0" w14:textId="77777777" w:rsidR="000574EE" w:rsidRDefault="00AC3F5F">
      <w:pPr>
        <w:autoSpaceDE w:val="0"/>
        <w:autoSpaceDN w:val="0"/>
        <w:spacing w:before="240" w:after="240"/>
        <w:rPr>
          <w:i/>
          <w:iCs/>
          <w:sz w:val="24"/>
          <w:szCs w:val="22"/>
        </w:rPr>
      </w:pPr>
      <w:r>
        <w:rPr>
          <w:i/>
          <w:iCs/>
          <w:sz w:val="24"/>
          <w:szCs w:val="22"/>
        </w:rPr>
        <w:t xml:space="preserve">Purpose </w:t>
      </w:r>
      <w:r>
        <w:rPr>
          <w:rFonts w:hint="eastAsia"/>
          <w:i/>
          <w:iCs/>
          <w:sz w:val="24"/>
          <w:szCs w:val="22"/>
        </w:rPr>
        <w:t>o</w:t>
      </w:r>
      <w:r>
        <w:rPr>
          <w:i/>
          <w:iCs/>
          <w:sz w:val="24"/>
          <w:szCs w:val="22"/>
        </w:rPr>
        <w:t xml:space="preserve">f </w:t>
      </w:r>
      <w:r>
        <w:rPr>
          <w:rFonts w:hint="eastAsia"/>
          <w:i/>
          <w:iCs/>
          <w:sz w:val="24"/>
          <w:szCs w:val="22"/>
        </w:rPr>
        <w:t>t</w:t>
      </w:r>
      <w:r>
        <w:rPr>
          <w:i/>
          <w:iCs/>
          <w:sz w:val="24"/>
          <w:szCs w:val="22"/>
        </w:rPr>
        <w:t>he Study</w:t>
      </w:r>
    </w:p>
    <w:p w14:paraId="44E38FBA" w14:textId="77777777" w:rsidR="000574EE" w:rsidRDefault="00AC3F5F">
      <w:pPr>
        <w:pStyle w:val="Heading1"/>
        <w:keepLines w:val="0"/>
        <w:widowControl/>
        <w:spacing w:before="360" w:afterLines="100" w:after="312" w:line="240" w:lineRule="auto"/>
        <w:ind w:right="567"/>
        <w:contextualSpacing/>
        <w:rPr>
          <w:rFonts w:eastAsia="SimHei" w:cs="Times New Roman"/>
          <w:b w:val="0"/>
          <w:bCs/>
          <w:kern w:val="0"/>
          <w:sz w:val="24"/>
          <w:lang w:bidi="en-US"/>
        </w:rPr>
      </w:pPr>
      <w:r>
        <w:rPr>
          <w:rFonts w:eastAsia="SimHei" w:cs="Times New Roman"/>
          <w:b w:val="0"/>
          <w:bCs/>
          <w:kern w:val="0"/>
          <w:sz w:val="24"/>
          <w:lang w:bidi="en-US"/>
        </w:rPr>
        <w:t xml:space="preserve">The purpose of this study is to develop a comprehensive questionnaire that integrates speaking strategies, speaking anxiety, learning motivation, and learning attitudes among </w:t>
      </w:r>
      <w:r>
        <w:rPr>
          <w:rFonts w:eastAsia="SimHei" w:cs="Times New Roman"/>
          <w:b w:val="0"/>
          <w:bCs/>
          <w:kern w:val="0"/>
          <w:sz w:val="24"/>
          <w:lang w:bidi="en-US"/>
        </w:rPr>
        <w:lastRenderedPageBreak/>
        <w:t>EFL learners. Building on existing frameworks such as Nakatani's (2006) OCSI and Horwitz et al.'s (1986) FLCAS, this study aims to address gaps in the literature by creating a tool that not only captures speaking strategies but also accounts for real-life communication anxiety, a detailed classification of learner motivation, and a holistic view of attitudes toward language learning. By combining these elements, the study seeks to provide a more in-depth understanding of the factors influencing EFL learners' speaking experiences across diverse educational and cultural contexts.</w:t>
      </w:r>
    </w:p>
    <w:p w14:paraId="690D9F42" w14:textId="77777777" w:rsidR="000574EE" w:rsidRDefault="00AC3F5F">
      <w:pPr>
        <w:autoSpaceDE w:val="0"/>
        <w:autoSpaceDN w:val="0"/>
        <w:spacing w:before="240" w:after="240"/>
        <w:jc w:val="center"/>
        <w:rPr>
          <w:b/>
          <w:bCs/>
          <w:sz w:val="24"/>
          <w:szCs w:val="22"/>
        </w:rPr>
      </w:pPr>
      <w:r>
        <w:rPr>
          <w:b/>
          <w:bCs/>
          <w:sz w:val="24"/>
          <w:szCs w:val="22"/>
        </w:rPr>
        <w:t>METHODOLOGY</w:t>
      </w:r>
    </w:p>
    <w:p w14:paraId="4AA3907A" w14:textId="77777777" w:rsidR="000574EE" w:rsidRDefault="00AC3F5F">
      <w:pPr>
        <w:autoSpaceDE w:val="0"/>
        <w:autoSpaceDN w:val="0"/>
        <w:spacing w:before="240" w:after="240"/>
        <w:rPr>
          <w:i/>
          <w:iCs/>
          <w:sz w:val="24"/>
          <w:szCs w:val="22"/>
        </w:rPr>
      </w:pPr>
      <w:r>
        <w:rPr>
          <w:rFonts w:hint="eastAsia"/>
          <w:color w:val="0000FF"/>
          <w:sz w:val="24"/>
          <w:szCs w:val="22"/>
        </w:rPr>
        <w:t>This study employed a pilot research design aimed solely at developing and validating a questionnaire. The primary objective was not to test hypotheses or analyze relationships among variables, but rather to ensure that the instruments designed to measure speaking strategies, speaking anxiety, learning motivation, and learning attitude were both reliable and valid for use in future large-scale investigations</w:t>
      </w:r>
      <w:r>
        <w:rPr>
          <w:rFonts w:hint="eastAsia"/>
          <w:i/>
          <w:iCs/>
          <w:sz w:val="24"/>
          <w:szCs w:val="22"/>
        </w:rPr>
        <w:t>.</w:t>
      </w:r>
    </w:p>
    <w:p w14:paraId="7FEA6891" w14:textId="77777777" w:rsidR="000574EE" w:rsidRDefault="00AC3F5F">
      <w:pPr>
        <w:autoSpaceDE w:val="0"/>
        <w:autoSpaceDN w:val="0"/>
        <w:spacing w:before="240" w:after="240"/>
        <w:rPr>
          <w:i/>
          <w:iCs/>
          <w:sz w:val="24"/>
          <w:szCs w:val="22"/>
        </w:rPr>
      </w:pPr>
      <w:r>
        <w:rPr>
          <w:i/>
          <w:iCs/>
          <w:sz w:val="24"/>
          <w:szCs w:val="22"/>
        </w:rPr>
        <w:t>Process for Developing the Instruments</w:t>
      </w:r>
    </w:p>
    <w:p w14:paraId="5EBA711E" w14:textId="77777777" w:rsidR="000574EE" w:rsidRDefault="00AC3F5F">
      <w:pPr>
        <w:autoSpaceDE w:val="0"/>
        <w:autoSpaceDN w:val="0"/>
        <w:spacing w:before="240" w:after="240"/>
        <w:rPr>
          <w:rFonts w:eastAsia="SimHei" w:cs="Times New Roman"/>
          <w:bCs/>
          <w:kern w:val="0"/>
          <w:sz w:val="24"/>
          <w:lang w:bidi="en-US"/>
        </w:rPr>
      </w:pPr>
      <w:r>
        <w:rPr>
          <w:rFonts w:eastAsia="SimHei" w:cs="Times New Roman"/>
          <w:bCs/>
          <w:kern w:val="0"/>
          <w:sz w:val="24"/>
          <w:lang w:bidi="en-US"/>
        </w:rPr>
        <w:t>A five-phase model for the questionnaire development process, established by Meerah et al. (2012), was utilized (see Figure 1).</w:t>
      </w:r>
    </w:p>
    <w:p w14:paraId="31928236" w14:textId="77777777" w:rsidR="000574EE" w:rsidRDefault="00AC3F5F">
      <w:pPr>
        <w:autoSpaceDE w:val="0"/>
        <w:autoSpaceDN w:val="0"/>
        <w:spacing w:beforeLines="100" w:before="312"/>
        <w:jc w:val="center"/>
        <w:rPr>
          <w:sz w:val="24"/>
        </w:rPr>
      </w:pPr>
      <w:r>
        <w:rPr>
          <w:noProof/>
          <w:sz w:val="24"/>
          <w:lang w:val="tr-TR" w:eastAsia="tr-TR"/>
        </w:rPr>
        <w:drawing>
          <wp:inline distT="0" distB="0" distL="114300" distR="114300" wp14:anchorId="46ED2D8F" wp14:editId="13F991CE">
            <wp:extent cx="2912745" cy="2962275"/>
            <wp:effectExtent l="0" t="0" r="825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912745" cy="2962275"/>
                    </a:xfrm>
                    <a:prstGeom prst="rect">
                      <a:avLst/>
                    </a:prstGeom>
                    <a:noFill/>
                    <a:ln>
                      <a:noFill/>
                    </a:ln>
                  </pic:spPr>
                </pic:pic>
              </a:graphicData>
            </a:graphic>
          </wp:inline>
        </w:drawing>
      </w:r>
    </w:p>
    <w:p w14:paraId="5C9A2430" w14:textId="77777777" w:rsidR="000574EE" w:rsidRDefault="00AC3F5F">
      <w:pPr>
        <w:autoSpaceDE w:val="0"/>
        <w:autoSpaceDN w:val="0"/>
        <w:jc w:val="center"/>
        <w:rPr>
          <w:rFonts w:eastAsia="SimHei" w:cs="Times New Roman"/>
          <w:bCs/>
          <w:kern w:val="0"/>
          <w:sz w:val="22"/>
          <w:szCs w:val="22"/>
          <w:lang w:bidi="en-US"/>
        </w:rPr>
      </w:pPr>
      <w:r>
        <w:rPr>
          <w:rFonts w:eastAsia="SimHei" w:cs="Times New Roman"/>
          <w:bCs/>
          <w:kern w:val="0"/>
          <w:sz w:val="22"/>
          <w:szCs w:val="22"/>
          <w:lang w:bidi="en-US"/>
        </w:rPr>
        <w:t>Figure 1: Five-phase Model</w:t>
      </w:r>
      <w:r>
        <w:rPr>
          <w:rFonts w:eastAsia="SimHei" w:cs="Times New Roman" w:hint="eastAsia"/>
          <w:bCs/>
          <w:kern w:val="0"/>
          <w:sz w:val="22"/>
          <w:szCs w:val="22"/>
          <w:lang w:bidi="en-US"/>
        </w:rPr>
        <w:t xml:space="preserve"> (a</w:t>
      </w:r>
      <w:r>
        <w:rPr>
          <w:rFonts w:eastAsia="SimHei" w:cs="Times New Roman"/>
          <w:bCs/>
          <w:kern w:val="0"/>
          <w:sz w:val="22"/>
          <w:szCs w:val="22"/>
          <w:lang w:bidi="en-US"/>
        </w:rPr>
        <w:t>dapted from Meerah et al. (2012)</w:t>
      </w:r>
      <w:r>
        <w:rPr>
          <w:rFonts w:eastAsia="SimHei" w:cs="Times New Roman" w:hint="eastAsia"/>
          <w:bCs/>
          <w:kern w:val="0"/>
          <w:sz w:val="22"/>
          <w:szCs w:val="22"/>
          <w:lang w:bidi="en-US"/>
        </w:rPr>
        <w:t>)</w:t>
      </w:r>
    </w:p>
    <w:p w14:paraId="206B25B9" w14:textId="77777777" w:rsidR="000574EE" w:rsidRDefault="000574EE">
      <w:pPr>
        <w:autoSpaceDE w:val="0"/>
        <w:autoSpaceDN w:val="0"/>
        <w:ind w:firstLineChars="300" w:firstLine="720"/>
        <w:rPr>
          <w:rFonts w:eastAsia="SimHei" w:cs="Times New Roman"/>
          <w:bCs/>
          <w:kern w:val="0"/>
          <w:sz w:val="24"/>
          <w:lang w:bidi="en-US"/>
        </w:rPr>
      </w:pPr>
    </w:p>
    <w:p w14:paraId="4992ED58" w14:textId="77777777" w:rsidR="000574EE" w:rsidRDefault="00AC3F5F">
      <w:pPr>
        <w:numPr>
          <w:ilvl w:val="0"/>
          <w:numId w:val="1"/>
        </w:numPr>
        <w:autoSpaceDE w:val="0"/>
        <w:autoSpaceDN w:val="0"/>
        <w:spacing w:before="240" w:after="240"/>
        <w:rPr>
          <w:i/>
          <w:iCs/>
          <w:sz w:val="24"/>
          <w:szCs w:val="22"/>
        </w:rPr>
      </w:pPr>
      <w:r>
        <w:rPr>
          <w:i/>
          <w:iCs/>
          <w:sz w:val="24"/>
          <w:szCs w:val="22"/>
        </w:rPr>
        <w:t>Phase I</w:t>
      </w:r>
    </w:p>
    <w:p w14:paraId="24A81938" w14:textId="23A4D7E1" w:rsidR="000574EE" w:rsidRDefault="00AC3F5F">
      <w:pPr>
        <w:autoSpaceDE w:val="0"/>
        <w:autoSpaceDN w:val="0"/>
        <w:rPr>
          <w:rFonts w:eastAsia="SimHei" w:cs="Times New Roman"/>
          <w:bCs/>
          <w:kern w:val="0"/>
          <w:sz w:val="24"/>
          <w:lang w:bidi="en-US"/>
        </w:rPr>
      </w:pPr>
      <w:r>
        <w:rPr>
          <w:rFonts w:eastAsia="SimHei" w:cs="Times New Roman"/>
          <w:bCs/>
          <w:kern w:val="0"/>
          <w:sz w:val="24"/>
          <w:lang w:bidi="en-US"/>
        </w:rPr>
        <w:t xml:space="preserve">Conduct an extensive literature review to outline the direction of the questionnaire on speaking strategies, speaking anxiety, learning motivation, and learning attitudes. The study identified several deficiencies in the survey questionnaires </w:t>
      </w:r>
      <w:r w:rsidR="00804EC3">
        <w:rPr>
          <w:rFonts w:eastAsia="SimHei" w:cs="Times New Roman"/>
          <w:bCs/>
          <w:kern w:val="0"/>
          <w:sz w:val="24"/>
          <w:lang w:bidi="en-US"/>
        </w:rPr>
        <w:t>about</w:t>
      </w:r>
      <w:r>
        <w:rPr>
          <w:rFonts w:eastAsia="SimHei" w:cs="Times New Roman"/>
          <w:bCs/>
          <w:kern w:val="0"/>
          <w:sz w:val="24"/>
          <w:lang w:bidi="en-US"/>
        </w:rPr>
        <w:t xml:space="preserve"> speaking strategies, speaking anxiety, learning motivation, and learning attitudes. For instance, Nakatani's (2006) </w:t>
      </w:r>
      <w:r>
        <w:rPr>
          <w:rFonts w:eastAsia="SimHei" w:cs="Times New Roman"/>
          <w:bCs/>
          <w:kern w:val="0"/>
          <w:sz w:val="24"/>
          <w:lang w:bidi="en-US"/>
        </w:rPr>
        <w:lastRenderedPageBreak/>
        <w:t>classification of speaking strategies reveals an imbalance, with some dimensions comprising six measurement items while others include only two. A similar inconsistency is observed in the measurement of speaking anxiety. Additionally, certain expressions used to assess attitude and motivation are excessively similar, resulting in potential overlaps that may not accurately capture the respondents' true sentiments.</w:t>
      </w:r>
    </w:p>
    <w:p w14:paraId="5FDC416C" w14:textId="77777777" w:rsidR="000574EE" w:rsidRDefault="00AC3F5F">
      <w:pPr>
        <w:numPr>
          <w:ilvl w:val="0"/>
          <w:numId w:val="1"/>
        </w:numPr>
        <w:autoSpaceDE w:val="0"/>
        <w:autoSpaceDN w:val="0"/>
        <w:spacing w:before="240" w:after="240"/>
        <w:rPr>
          <w:rFonts w:eastAsia="SimHei" w:cs="Times New Roman"/>
          <w:kern w:val="0"/>
          <w:sz w:val="24"/>
          <w:lang w:bidi="en-US"/>
        </w:rPr>
      </w:pPr>
      <w:r>
        <w:rPr>
          <w:i/>
          <w:iCs/>
          <w:sz w:val="24"/>
          <w:szCs w:val="22"/>
        </w:rPr>
        <w:t>Phase II</w:t>
      </w:r>
    </w:p>
    <w:p w14:paraId="1FC6C266" w14:textId="77777777" w:rsidR="000574EE" w:rsidRDefault="00AC3F5F">
      <w:pPr>
        <w:autoSpaceDE w:val="0"/>
        <w:autoSpaceDN w:val="0"/>
        <w:rPr>
          <w:rFonts w:eastAsia="SimHei" w:cs="Times New Roman"/>
          <w:bCs/>
          <w:kern w:val="0"/>
          <w:sz w:val="24"/>
          <w:lang w:bidi="en-US"/>
        </w:rPr>
      </w:pPr>
      <w:r>
        <w:rPr>
          <w:rFonts w:eastAsia="SimHei" w:cs="Times New Roman"/>
          <w:bCs/>
          <w:kern w:val="0"/>
          <w:sz w:val="24"/>
          <w:lang w:bidi="en-US"/>
        </w:rPr>
        <w:t>Provide operational definitions for speaking strategies, speaking anxiety, learning motivation, and learning attitudes. The operational definitions of the constructs are as follows:</w:t>
      </w:r>
    </w:p>
    <w:p w14:paraId="271C87B1" w14:textId="77777777" w:rsidR="000574EE" w:rsidRDefault="00AC3F5F">
      <w:pPr>
        <w:numPr>
          <w:ilvl w:val="0"/>
          <w:numId w:val="2"/>
        </w:numPr>
        <w:autoSpaceDE w:val="0"/>
        <w:autoSpaceDN w:val="0"/>
        <w:rPr>
          <w:rFonts w:cs="Times New Roman Regular"/>
          <w:sz w:val="24"/>
        </w:rPr>
      </w:pPr>
      <w:r>
        <w:rPr>
          <w:rFonts w:cs="Times New Roman Regular"/>
          <w:sz w:val="24"/>
        </w:rPr>
        <w:t xml:space="preserve">Speaking strategies: The direct and indirect strategies used by non-English major students when speaking English. </w:t>
      </w:r>
    </w:p>
    <w:p w14:paraId="0C8E5377" w14:textId="77777777" w:rsidR="000574EE" w:rsidRDefault="00AC3F5F">
      <w:pPr>
        <w:numPr>
          <w:ilvl w:val="0"/>
          <w:numId w:val="2"/>
        </w:numPr>
        <w:autoSpaceDE w:val="0"/>
        <w:autoSpaceDN w:val="0"/>
        <w:rPr>
          <w:rFonts w:eastAsia="SimHei" w:cs="Times New Roman"/>
          <w:bCs/>
          <w:kern w:val="0"/>
          <w:sz w:val="24"/>
          <w:lang w:bidi="en-US"/>
        </w:rPr>
      </w:pPr>
      <w:r>
        <w:rPr>
          <w:rFonts w:cs="Times New Roman Regular"/>
          <w:sz w:val="24"/>
        </w:rPr>
        <w:t xml:space="preserve">Speaking </w:t>
      </w:r>
      <w:r>
        <w:rPr>
          <w:rFonts w:eastAsia="SimHei" w:cs="Times New Roman"/>
          <w:bCs/>
          <w:kern w:val="0"/>
          <w:sz w:val="24"/>
          <w:lang w:bidi="en-US"/>
        </w:rPr>
        <w:t>anxiety: The tense emotions felt by non-English major students when speaking English.</w:t>
      </w:r>
    </w:p>
    <w:p w14:paraId="4B24BE9E" w14:textId="7C23224A" w:rsidR="000574EE" w:rsidRDefault="00AC3F5F">
      <w:pPr>
        <w:numPr>
          <w:ilvl w:val="0"/>
          <w:numId w:val="2"/>
        </w:numPr>
        <w:autoSpaceDE w:val="0"/>
        <w:autoSpaceDN w:val="0"/>
        <w:rPr>
          <w:rFonts w:eastAsia="SimHei" w:cs="Times New Roman"/>
          <w:bCs/>
          <w:kern w:val="0"/>
          <w:sz w:val="24"/>
          <w:lang w:bidi="en-US"/>
        </w:rPr>
      </w:pPr>
      <w:r>
        <w:rPr>
          <w:rFonts w:cs="Times New Roman Regular"/>
          <w:sz w:val="24"/>
        </w:rPr>
        <w:t xml:space="preserve">Learning motivation: The combination of intrinsic interest, lack of interest (amotivation), career-related goals, and social recognition </w:t>
      </w:r>
      <w:r w:rsidR="00804EC3">
        <w:rPr>
          <w:rFonts w:cs="Times New Roman Regular"/>
          <w:sz w:val="24"/>
        </w:rPr>
        <w:t>drives</w:t>
      </w:r>
      <w:r>
        <w:rPr>
          <w:rFonts w:cs="Times New Roman Regular"/>
          <w:sz w:val="24"/>
        </w:rPr>
        <w:t xml:space="preserve"> </w:t>
      </w:r>
      <w:r>
        <w:rPr>
          <w:rFonts w:eastAsia="SimHei" w:cs="Times New Roman"/>
          <w:bCs/>
          <w:kern w:val="0"/>
          <w:sz w:val="24"/>
          <w:lang w:bidi="en-US"/>
        </w:rPr>
        <w:t>non-English major</w:t>
      </w:r>
      <w:r>
        <w:rPr>
          <w:rFonts w:cs="Times New Roman Regular"/>
          <w:sz w:val="24"/>
        </w:rPr>
        <w:t xml:space="preserve"> students' engagement in learning </w:t>
      </w:r>
      <w:r>
        <w:rPr>
          <w:rFonts w:eastAsia="SimHei" w:cs="Times New Roman"/>
          <w:bCs/>
          <w:kern w:val="0"/>
          <w:sz w:val="24"/>
          <w:lang w:bidi="en-US"/>
        </w:rPr>
        <w:t>English.</w:t>
      </w:r>
    </w:p>
    <w:p w14:paraId="5BB18AB0" w14:textId="4A159FBE" w:rsidR="000574EE" w:rsidRDefault="00AC3F5F">
      <w:pPr>
        <w:numPr>
          <w:ilvl w:val="0"/>
          <w:numId w:val="2"/>
        </w:numPr>
        <w:rPr>
          <w:rFonts w:eastAsia="SimSun" w:cs="Times New Roman Regular"/>
          <w:sz w:val="24"/>
        </w:rPr>
      </w:pPr>
      <w:r>
        <w:rPr>
          <w:rFonts w:eastAsia="SimHei" w:cs="Times New Roman"/>
          <w:bCs/>
          <w:kern w:val="0"/>
          <w:sz w:val="24"/>
          <w:lang w:bidi="en-US"/>
        </w:rPr>
        <w:t>Learning attitudes: T</w:t>
      </w:r>
      <w:r>
        <w:rPr>
          <w:rFonts w:eastAsia="SimSun" w:cs="Times New Roman Regular"/>
          <w:sz w:val="24"/>
        </w:rPr>
        <w:t>he set of beliefs learners hold towards language</w:t>
      </w:r>
      <w:r>
        <w:rPr>
          <w:rFonts w:eastAsia="SimSun" w:cs="Times New Roman Regular" w:hint="eastAsia"/>
          <w:sz w:val="24"/>
        </w:rPr>
        <w:t xml:space="preserve"> </w:t>
      </w:r>
      <w:r>
        <w:rPr>
          <w:rFonts w:eastAsia="SimSun" w:cs="Times New Roman Regular"/>
          <w:sz w:val="24"/>
        </w:rPr>
        <w:t>learning</w:t>
      </w:r>
      <w:r w:rsidR="00804EC3">
        <w:rPr>
          <w:rFonts w:eastAsia="SimSun" w:cs="Times New Roman Regular"/>
          <w:sz w:val="24"/>
        </w:rPr>
        <w:t>,</w:t>
      </w:r>
      <w:r>
        <w:rPr>
          <w:rFonts w:eastAsia="SimSun" w:cs="Times New Roman Regular"/>
          <w:sz w:val="24"/>
        </w:rPr>
        <w:t xml:space="preserve"> which consist</w:t>
      </w:r>
      <w:r>
        <w:rPr>
          <w:rFonts w:eastAsia="SimSun" w:cs="Times New Roman Regular" w:hint="eastAsia"/>
          <w:sz w:val="24"/>
        </w:rPr>
        <w:t>s</w:t>
      </w:r>
      <w:r>
        <w:rPr>
          <w:rFonts w:eastAsia="SimSun" w:cs="Times New Roman Regular"/>
          <w:sz w:val="24"/>
        </w:rPr>
        <w:t xml:space="preserve"> of behavioral, cognitive</w:t>
      </w:r>
      <w:r w:rsidR="00804EC3">
        <w:rPr>
          <w:rFonts w:eastAsia="SimSun" w:cs="Times New Roman Regular"/>
          <w:sz w:val="24"/>
        </w:rPr>
        <w:t>,</w:t>
      </w:r>
      <w:r>
        <w:rPr>
          <w:rFonts w:eastAsia="SimSun" w:cs="Times New Roman Regular"/>
          <w:sz w:val="24"/>
        </w:rPr>
        <w:t xml:space="preserve"> and affective aspects.</w:t>
      </w:r>
    </w:p>
    <w:p w14:paraId="4522733B" w14:textId="7978D6F8" w:rsidR="000574EE" w:rsidRDefault="00AC3F5F">
      <w:pPr>
        <w:spacing w:before="240"/>
        <w:ind w:firstLineChars="300" w:firstLine="720"/>
        <w:rPr>
          <w:rFonts w:eastAsia="SimHei" w:cs="Times New Roman"/>
          <w:bCs/>
          <w:kern w:val="0"/>
          <w:sz w:val="24"/>
          <w:lang w:bidi="en-US"/>
        </w:rPr>
      </w:pPr>
      <w:r>
        <w:rPr>
          <w:rFonts w:eastAsia="SimSun" w:cs="Times New Roman Regular" w:hint="eastAsia"/>
          <w:sz w:val="24"/>
        </w:rPr>
        <w:t xml:space="preserve">Clear and well-justified instruments are essential for obtaining accurate and reliable results when </w:t>
      </w:r>
      <w:r w:rsidR="004B36F4">
        <w:rPr>
          <w:rFonts w:eastAsia="SimSun" w:cs="Times New Roman Regular"/>
          <w:sz w:val="24"/>
        </w:rPr>
        <w:t>computing</w:t>
      </w:r>
      <w:r>
        <w:rPr>
          <w:rFonts w:eastAsia="SimSun" w:cs="Times New Roman Regular" w:hint="eastAsia"/>
          <w:sz w:val="24"/>
        </w:rPr>
        <w:t xml:space="preserve"> variables. In this study, several items were adapted from previously developed questionnaires on speaking strategies, speaking anxiety, learning motivation, and learning attitudes. For example, the item </w:t>
      </w:r>
      <w:r>
        <w:rPr>
          <w:rFonts w:eastAsia="SimSun" w:cs="Times New Roman Regular"/>
          <w:sz w:val="24"/>
        </w:rPr>
        <w:t>“</w:t>
      </w:r>
      <w:r>
        <w:rPr>
          <w:rFonts w:eastAsia="SimSun" w:cs="Times New Roman Regular" w:hint="eastAsia"/>
          <w:sz w:val="24"/>
        </w:rPr>
        <w:t>When I can</w:t>
      </w:r>
      <w:r>
        <w:rPr>
          <w:rFonts w:eastAsia="SimSun" w:cs="Times New Roman Regular"/>
          <w:sz w:val="24"/>
        </w:rPr>
        <w:t>’</w:t>
      </w:r>
      <w:r>
        <w:rPr>
          <w:rFonts w:eastAsia="SimSun" w:cs="Times New Roman Regular" w:hint="eastAsia"/>
          <w:sz w:val="24"/>
        </w:rPr>
        <w:t>t think of a word, I use mime to try and convey the meaning</w:t>
      </w:r>
      <w:r>
        <w:rPr>
          <w:rFonts w:eastAsia="SimSun" w:cs="Times New Roman Regular"/>
          <w:sz w:val="24"/>
        </w:rPr>
        <w:t>”</w:t>
      </w:r>
      <w:r>
        <w:rPr>
          <w:rFonts w:eastAsia="SimSun" w:cs="Times New Roman Regular" w:hint="eastAsia"/>
          <w:sz w:val="24"/>
        </w:rPr>
        <w:t xml:space="preserve"> was revised to </w:t>
      </w:r>
      <w:r>
        <w:rPr>
          <w:rFonts w:eastAsia="SimSun" w:cs="Times New Roman Regular"/>
          <w:sz w:val="24"/>
        </w:rPr>
        <w:t>“</w:t>
      </w:r>
      <w:r>
        <w:rPr>
          <w:rFonts w:eastAsia="SimSun" w:cs="Times New Roman Regular" w:hint="eastAsia"/>
          <w:sz w:val="24"/>
        </w:rPr>
        <w:t>I use mime to try and convey the meaning when I can</w:t>
      </w:r>
      <w:r>
        <w:rPr>
          <w:rFonts w:eastAsia="SimSun" w:cs="Times New Roman Regular"/>
          <w:sz w:val="24"/>
        </w:rPr>
        <w:t>’</w:t>
      </w:r>
      <w:r>
        <w:rPr>
          <w:rFonts w:eastAsia="SimSun" w:cs="Times New Roman Regular" w:hint="eastAsia"/>
          <w:sz w:val="24"/>
        </w:rPr>
        <w:t>t think of a word,</w:t>
      </w:r>
      <w:r>
        <w:rPr>
          <w:rFonts w:eastAsia="SimSun" w:cs="Times New Roman Regular"/>
          <w:sz w:val="24"/>
        </w:rPr>
        <w:t>”</w:t>
      </w:r>
      <w:r>
        <w:rPr>
          <w:rFonts w:eastAsia="SimSun" w:cs="Times New Roman Regular" w:hint="eastAsia"/>
          <w:sz w:val="24"/>
        </w:rPr>
        <w:t xml:space="preserve"> ensuring a clearer and more precise expression. </w:t>
      </w:r>
      <w:r>
        <w:rPr>
          <w:rFonts w:eastAsia="SimSun" w:cs="Times New Roman Regular" w:hint="eastAsia"/>
          <w:color w:val="0000FF"/>
          <w:sz w:val="24"/>
        </w:rPr>
        <w:t xml:space="preserve">This modification aligns with recommendations from previous research (Derrick, 2016), which emphasizes the importance of clear phrasing in language learning instruments to reduce potential confusion. </w:t>
      </w:r>
      <w:r>
        <w:rPr>
          <w:rFonts w:eastAsia="SimSun" w:cs="Times New Roman Regular" w:hint="eastAsia"/>
          <w:sz w:val="24"/>
        </w:rPr>
        <w:t xml:space="preserve">Some speaking anxiety items, which contained multiple pieces of information, were split into separate items. For instance, the item </w:t>
      </w:r>
      <w:r>
        <w:rPr>
          <w:rFonts w:eastAsia="SimSun" w:cs="Times New Roman Regular"/>
          <w:sz w:val="24"/>
        </w:rPr>
        <w:t>“</w:t>
      </w:r>
      <w:r>
        <w:rPr>
          <w:rFonts w:eastAsia="SimSun" w:cs="Times New Roman Regular" w:hint="eastAsia"/>
          <w:sz w:val="24"/>
        </w:rPr>
        <w:t>I get nervous and confused when I am speaking in my language class</w:t>
      </w:r>
      <w:r>
        <w:rPr>
          <w:rFonts w:eastAsia="SimSun" w:cs="Times New Roman Regular"/>
          <w:sz w:val="24"/>
        </w:rPr>
        <w:t>”</w:t>
      </w:r>
      <w:r>
        <w:rPr>
          <w:rFonts w:eastAsia="SimSun" w:cs="Times New Roman Regular" w:hint="eastAsia"/>
          <w:sz w:val="24"/>
        </w:rPr>
        <w:t xml:space="preserve"> was separated into </w:t>
      </w:r>
      <w:r>
        <w:rPr>
          <w:rFonts w:eastAsia="SimSun" w:cs="Times New Roman Regular"/>
          <w:sz w:val="24"/>
        </w:rPr>
        <w:t>“</w:t>
      </w:r>
      <w:r>
        <w:rPr>
          <w:rFonts w:eastAsia="SimSun" w:cs="Times New Roman Regular" w:hint="eastAsia"/>
          <w:sz w:val="24"/>
        </w:rPr>
        <w:t>I am nervous when I am speaking in my English class</w:t>
      </w:r>
      <w:r>
        <w:rPr>
          <w:rFonts w:eastAsia="SimSun" w:cs="Times New Roman Regular"/>
          <w:sz w:val="24"/>
        </w:rPr>
        <w:t>”</w:t>
      </w:r>
      <w:r>
        <w:rPr>
          <w:rFonts w:eastAsia="SimSun" w:cs="Times New Roman Regular" w:hint="eastAsia"/>
          <w:sz w:val="24"/>
        </w:rPr>
        <w:t xml:space="preserve"> and </w:t>
      </w:r>
      <w:r>
        <w:rPr>
          <w:rFonts w:eastAsia="SimSun" w:cs="Times New Roman Regular"/>
          <w:sz w:val="24"/>
        </w:rPr>
        <w:t>“</w:t>
      </w:r>
      <w:r>
        <w:rPr>
          <w:rFonts w:eastAsia="SimSun" w:cs="Times New Roman Regular" w:hint="eastAsia"/>
          <w:sz w:val="24"/>
        </w:rPr>
        <w:t>I am confused when I am speaking in my English class</w:t>
      </w:r>
      <w:r>
        <w:rPr>
          <w:rFonts w:eastAsia="SimSun" w:cs="Times New Roman Regular"/>
          <w:sz w:val="24"/>
        </w:rPr>
        <w:t>”</w:t>
      </w:r>
      <w:r>
        <w:rPr>
          <w:rFonts w:eastAsia="SimSun" w:cs="Times New Roman Regular" w:hint="eastAsia"/>
          <w:sz w:val="24"/>
        </w:rPr>
        <w:t xml:space="preserve"> to improve clarity and focus. </w:t>
      </w:r>
      <w:r>
        <w:rPr>
          <w:rFonts w:eastAsia="SimSun" w:cs="Times New Roman Regular" w:hint="eastAsia"/>
          <w:color w:val="0000FF"/>
          <w:sz w:val="24"/>
        </w:rPr>
        <w:t>This change is consistent with suggestions from item analysis studies (DeVellis &amp; Thorpe, 2021), which argue that splitting multi-faceted items can improve response accuracy by ensuring each construct is measured independently.</w:t>
      </w:r>
      <w:r>
        <w:rPr>
          <w:rFonts w:eastAsia="SimSun" w:cs="Times New Roman Regular" w:hint="eastAsia"/>
          <w:sz w:val="24"/>
        </w:rPr>
        <w:t xml:space="preserve"> </w:t>
      </w:r>
      <w:r>
        <w:rPr>
          <w:rFonts w:eastAsia="SimHei" w:cs="Times New Roman" w:hint="eastAsia"/>
          <w:bCs/>
          <w:kern w:val="0"/>
          <w:sz w:val="24"/>
          <w:lang w:bidi="en-US"/>
        </w:rPr>
        <w:t xml:space="preserve">Similarly, for learning motivation, the item </w:t>
      </w:r>
      <w:r>
        <w:rPr>
          <w:rFonts w:eastAsia="SimHei" w:cs="Times New Roman"/>
          <w:bCs/>
          <w:kern w:val="0"/>
          <w:sz w:val="24"/>
          <w:lang w:bidi="en-US"/>
        </w:rPr>
        <w:t>“</w:t>
      </w:r>
      <w:r>
        <w:rPr>
          <w:rFonts w:eastAsia="SimHei" w:cs="Times New Roman" w:hint="eastAsia"/>
          <w:bCs/>
          <w:kern w:val="0"/>
          <w:sz w:val="24"/>
          <w:lang w:bidi="en-US"/>
        </w:rPr>
        <w:t xml:space="preserve">I enjoy making </w:t>
      </w:r>
      <w:r w:rsidR="00804EC3">
        <w:rPr>
          <w:rFonts w:eastAsia="SimHei" w:cs="Times New Roman"/>
          <w:bCs/>
          <w:kern w:val="0"/>
          <w:sz w:val="24"/>
          <w:lang w:bidi="en-US"/>
        </w:rPr>
        <w:t>discussions</w:t>
      </w:r>
      <w:r>
        <w:rPr>
          <w:rFonts w:eastAsia="SimHei" w:cs="Times New Roman" w:hint="eastAsia"/>
          <w:bCs/>
          <w:kern w:val="0"/>
          <w:sz w:val="24"/>
          <w:lang w:bidi="en-US"/>
        </w:rPr>
        <w:t xml:space="preserve"> on biology subjects</w:t>
      </w:r>
      <w:r>
        <w:rPr>
          <w:rFonts w:eastAsia="SimHei" w:cs="Times New Roman"/>
          <w:bCs/>
          <w:kern w:val="0"/>
          <w:sz w:val="24"/>
          <w:lang w:bidi="en-US"/>
        </w:rPr>
        <w:t>”</w:t>
      </w:r>
      <w:r>
        <w:rPr>
          <w:rFonts w:eastAsia="SimHei" w:cs="Times New Roman" w:hint="eastAsia"/>
          <w:bCs/>
          <w:kern w:val="0"/>
          <w:sz w:val="24"/>
          <w:lang w:bidi="en-US"/>
        </w:rPr>
        <w:t xml:space="preserve"> was modified to </w:t>
      </w:r>
      <w:r>
        <w:rPr>
          <w:rFonts w:eastAsia="SimHei" w:cs="Times New Roman"/>
          <w:bCs/>
          <w:kern w:val="0"/>
          <w:sz w:val="24"/>
          <w:lang w:bidi="en-US"/>
        </w:rPr>
        <w:t>“</w:t>
      </w:r>
      <w:r>
        <w:rPr>
          <w:rFonts w:eastAsia="SimHei" w:cs="Times New Roman" w:hint="eastAsia"/>
          <w:bCs/>
          <w:kern w:val="0"/>
          <w:sz w:val="24"/>
          <w:lang w:bidi="en-US"/>
        </w:rPr>
        <w:t xml:space="preserve">I enjoy making </w:t>
      </w:r>
      <w:r w:rsidR="00804EC3">
        <w:rPr>
          <w:rFonts w:eastAsia="SimHei" w:cs="Times New Roman"/>
          <w:bCs/>
          <w:kern w:val="0"/>
          <w:sz w:val="24"/>
          <w:lang w:bidi="en-US"/>
        </w:rPr>
        <w:t>discussions</w:t>
      </w:r>
      <w:r>
        <w:rPr>
          <w:rFonts w:eastAsia="SimHei" w:cs="Times New Roman" w:hint="eastAsia"/>
          <w:bCs/>
          <w:kern w:val="0"/>
          <w:sz w:val="24"/>
          <w:lang w:bidi="en-US"/>
        </w:rPr>
        <w:t xml:space="preserve"> in English</w:t>
      </w:r>
      <w:r>
        <w:rPr>
          <w:rFonts w:eastAsia="SimHei" w:cs="Times New Roman"/>
          <w:bCs/>
          <w:kern w:val="0"/>
          <w:sz w:val="24"/>
          <w:lang w:bidi="en-US"/>
        </w:rPr>
        <w:t>”</w:t>
      </w:r>
      <w:r>
        <w:rPr>
          <w:rFonts w:eastAsia="SimHei" w:cs="Times New Roman" w:hint="eastAsia"/>
          <w:bCs/>
          <w:kern w:val="0"/>
          <w:sz w:val="24"/>
          <w:lang w:bidi="en-US"/>
        </w:rPr>
        <w:t xml:space="preserve"> to better align with the study</w:t>
      </w:r>
      <w:r>
        <w:rPr>
          <w:rFonts w:eastAsia="SimHei" w:cs="Times New Roman"/>
          <w:bCs/>
          <w:kern w:val="0"/>
          <w:sz w:val="24"/>
          <w:lang w:bidi="en-US"/>
        </w:rPr>
        <w:t>’</w:t>
      </w:r>
      <w:r>
        <w:rPr>
          <w:rFonts w:eastAsia="SimHei" w:cs="Times New Roman" w:hint="eastAsia"/>
          <w:bCs/>
          <w:kern w:val="0"/>
          <w:sz w:val="24"/>
          <w:lang w:bidi="en-US"/>
        </w:rPr>
        <w:t xml:space="preserve">s focus. </w:t>
      </w:r>
      <w:r>
        <w:rPr>
          <w:rFonts w:eastAsia="SimHei" w:cs="Times New Roman" w:hint="eastAsia"/>
          <w:bCs/>
          <w:color w:val="0000FF"/>
          <w:kern w:val="0"/>
          <w:sz w:val="24"/>
          <w:lang w:bidi="en-US"/>
        </w:rPr>
        <w:t xml:space="preserve">This revision ensures that the item more directly reflects the study's emphasis on language learning motivation, aligning with earlier research that advocates for instrument alignment with the specific context (Yang, 2023). </w:t>
      </w:r>
      <w:r>
        <w:rPr>
          <w:rFonts w:eastAsia="SimHei" w:cs="Times New Roman" w:hint="eastAsia"/>
          <w:bCs/>
          <w:kern w:val="0"/>
          <w:sz w:val="24"/>
          <w:lang w:bidi="en-US"/>
        </w:rPr>
        <w:t xml:space="preserve">The learning attitude items were also modified for clarity; for example, </w:t>
      </w:r>
      <w:r>
        <w:rPr>
          <w:rFonts w:eastAsia="SimHei" w:cs="Times New Roman"/>
          <w:bCs/>
          <w:kern w:val="0"/>
          <w:sz w:val="24"/>
          <w:lang w:bidi="en-US"/>
        </w:rPr>
        <w:t>“</w:t>
      </w:r>
      <w:r>
        <w:rPr>
          <w:rFonts w:eastAsia="SimHei" w:cs="Times New Roman" w:hint="eastAsia"/>
          <w:bCs/>
          <w:kern w:val="0"/>
          <w:sz w:val="24"/>
          <w:lang w:bidi="en-US"/>
        </w:rPr>
        <w:t>Studying English is important because it will make me more educated</w:t>
      </w:r>
      <w:r>
        <w:rPr>
          <w:rFonts w:eastAsia="SimHei" w:cs="Times New Roman"/>
          <w:bCs/>
          <w:kern w:val="0"/>
          <w:sz w:val="24"/>
          <w:lang w:bidi="en-US"/>
        </w:rPr>
        <w:t>”</w:t>
      </w:r>
      <w:r>
        <w:rPr>
          <w:rFonts w:eastAsia="SimHei" w:cs="Times New Roman" w:hint="eastAsia"/>
          <w:bCs/>
          <w:kern w:val="0"/>
          <w:sz w:val="24"/>
          <w:lang w:bidi="en-US"/>
        </w:rPr>
        <w:t xml:space="preserve"> was changed to </w:t>
      </w:r>
      <w:r>
        <w:rPr>
          <w:rFonts w:eastAsia="SimHei" w:cs="Times New Roman"/>
          <w:bCs/>
          <w:kern w:val="0"/>
          <w:sz w:val="24"/>
          <w:lang w:bidi="en-US"/>
        </w:rPr>
        <w:t>“</w:t>
      </w:r>
      <w:r>
        <w:rPr>
          <w:rFonts w:eastAsia="SimHei" w:cs="Times New Roman" w:hint="eastAsia"/>
          <w:bCs/>
          <w:kern w:val="0"/>
          <w:sz w:val="24"/>
          <w:lang w:bidi="en-US"/>
        </w:rPr>
        <w:t>I think studying English is important because it will make me more educated.</w:t>
      </w:r>
      <w:r>
        <w:rPr>
          <w:rFonts w:eastAsia="SimHei" w:cs="Times New Roman"/>
          <w:bCs/>
          <w:kern w:val="0"/>
          <w:sz w:val="24"/>
          <w:lang w:bidi="en-US"/>
        </w:rPr>
        <w:t>”</w:t>
      </w:r>
      <w:r>
        <w:rPr>
          <w:rFonts w:eastAsia="SimHei" w:cs="Times New Roman" w:hint="eastAsia"/>
          <w:bCs/>
          <w:kern w:val="0"/>
          <w:sz w:val="24"/>
          <w:lang w:bidi="en-US"/>
        </w:rPr>
        <w:t xml:space="preserve"> This adjustment clarifies the subject's perspective and reduces the likelihood of misinterpretation. These revisions were made to enhance the precision of the instrument and ensure that the items accurately capture the intended constructs. After these modifications, the final questionnaire consisted of 146 measurement </w:t>
      </w:r>
      <w:r>
        <w:rPr>
          <w:rFonts w:eastAsia="SimHei" w:cs="Times New Roman" w:hint="eastAsia"/>
          <w:bCs/>
          <w:kern w:val="0"/>
          <w:sz w:val="24"/>
          <w:lang w:bidi="en-US"/>
        </w:rPr>
        <w:lastRenderedPageBreak/>
        <w:t>items. However, it is important to note that some item revisions were made without detailed empirical reasoning or cognitive testing, which could be considered a limitation in justifying the changes. Future research could benefit from more rigorous cognitive testing or empirical validation of these revisions to strengthen the instrument's validity</w:t>
      </w:r>
      <w:r>
        <w:rPr>
          <w:rFonts w:eastAsia="SimHei" w:cs="Times New Roman"/>
          <w:bCs/>
          <w:kern w:val="0"/>
          <w:sz w:val="24"/>
          <w:lang w:bidi="en-US"/>
        </w:rPr>
        <w:t>.</w:t>
      </w:r>
    </w:p>
    <w:p w14:paraId="55AB6A7C" w14:textId="77777777" w:rsidR="000574EE" w:rsidRDefault="00AC3F5F">
      <w:pPr>
        <w:numPr>
          <w:ilvl w:val="0"/>
          <w:numId w:val="1"/>
        </w:numPr>
        <w:autoSpaceDE w:val="0"/>
        <w:autoSpaceDN w:val="0"/>
        <w:spacing w:before="240" w:after="240"/>
        <w:rPr>
          <w:i/>
          <w:iCs/>
          <w:sz w:val="24"/>
          <w:szCs w:val="22"/>
        </w:rPr>
      </w:pPr>
      <w:r>
        <w:rPr>
          <w:i/>
          <w:iCs/>
          <w:sz w:val="24"/>
          <w:szCs w:val="22"/>
        </w:rPr>
        <w:t>Phase III</w:t>
      </w:r>
    </w:p>
    <w:p w14:paraId="2C20FEE6" w14:textId="6397E25E" w:rsidR="000574EE" w:rsidRDefault="00AC3F5F">
      <w:pPr>
        <w:autoSpaceDE w:val="0"/>
        <w:autoSpaceDN w:val="0"/>
        <w:rPr>
          <w:rFonts w:eastAsia="SimHei" w:cs="Times New Roman"/>
          <w:bCs/>
          <w:kern w:val="0"/>
          <w:sz w:val="24"/>
          <w:lang w:bidi="en-US"/>
        </w:rPr>
      </w:pPr>
      <w:r>
        <w:rPr>
          <w:rFonts w:eastAsia="SimHei" w:cs="Times New Roman"/>
          <w:bCs/>
          <w:kern w:val="0"/>
          <w:sz w:val="24"/>
          <w:lang w:bidi="en-US"/>
        </w:rPr>
        <w:t>Inviting two experts in the field of applied linguistics determines the validity of the questionnaire's content. Inviting experts to review a questionnaire is crucial for ensuring content validity, question clarity, and overall reliability (Leon et al., 2020). Experts help verify that the questionnaire comprehensively covers the study's objectives, eliminate</w:t>
      </w:r>
      <w:r>
        <w:rPr>
          <w:rFonts w:eastAsia="SimHei" w:cs="Times New Roman" w:hint="eastAsia"/>
          <w:bCs/>
          <w:kern w:val="0"/>
          <w:sz w:val="24"/>
          <w:lang w:bidi="en-US"/>
        </w:rPr>
        <w:t>s</w:t>
      </w:r>
      <w:r>
        <w:rPr>
          <w:rFonts w:eastAsia="SimHei" w:cs="Times New Roman"/>
          <w:bCs/>
          <w:kern w:val="0"/>
          <w:sz w:val="24"/>
          <w:lang w:bidi="en-US"/>
        </w:rPr>
        <w:t xml:space="preserve"> ambiguities, and ensure</w:t>
      </w:r>
      <w:r>
        <w:rPr>
          <w:rFonts w:eastAsia="SimHei" w:cs="Times New Roman" w:hint="eastAsia"/>
          <w:bCs/>
          <w:kern w:val="0"/>
          <w:sz w:val="24"/>
          <w:lang w:bidi="en-US"/>
        </w:rPr>
        <w:t>s</w:t>
      </w:r>
      <w:r>
        <w:rPr>
          <w:rFonts w:eastAsia="SimHei" w:cs="Times New Roman"/>
          <w:bCs/>
          <w:kern w:val="0"/>
          <w:sz w:val="24"/>
          <w:lang w:bidi="en-US"/>
        </w:rPr>
        <w:t xml:space="preserve"> technical accuracy (Rea &amp; Parker, 2014). Their review enhances the relevance and construct validity of the questions, refines the instrument before pilot testing, and boosts the research's credibility by demonstrating a commitment to thorough and accurate data collection (Gehlbach &amp; Brinkworth, 2011). In this present study, two experts from the field of applied linguistics were involved in the validation process of the questionnaires. The experts have adjusted the Chinese and English expressions in the questionnaire to better align with the understanding of </w:t>
      </w:r>
      <w:r w:rsidR="00804EC3">
        <w:rPr>
          <w:rFonts w:eastAsia="SimHei" w:cs="Times New Roman"/>
          <w:bCs/>
          <w:kern w:val="0"/>
          <w:sz w:val="24"/>
          <w:lang w:bidi="en-US"/>
        </w:rPr>
        <w:t>non-English</w:t>
      </w:r>
      <w:r>
        <w:rPr>
          <w:rFonts w:eastAsia="SimHei" w:cs="Times New Roman"/>
          <w:bCs/>
          <w:kern w:val="0"/>
          <w:sz w:val="24"/>
          <w:lang w:bidi="en-US"/>
        </w:rPr>
        <w:t xml:space="preserve"> major students in China. </w:t>
      </w:r>
    </w:p>
    <w:p w14:paraId="08DF8DF5" w14:textId="77777777" w:rsidR="000574EE" w:rsidRDefault="00AC3F5F">
      <w:pPr>
        <w:numPr>
          <w:ilvl w:val="0"/>
          <w:numId w:val="1"/>
        </w:numPr>
        <w:autoSpaceDE w:val="0"/>
        <w:autoSpaceDN w:val="0"/>
        <w:spacing w:before="240" w:after="240"/>
        <w:rPr>
          <w:i/>
          <w:iCs/>
          <w:sz w:val="24"/>
          <w:szCs w:val="22"/>
        </w:rPr>
      </w:pPr>
      <w:r>
        <w:rPr>
          <w:i/>
          <w:iCs/>
          <w:sz w:val="24"/>
          <w:szCs w:val="22"/>
        </w:rPr>
        <w:t>Phase IV</w:t>
      </w:r>
    </w:p>
    <w:p w14:paraId="03559FAA" w14:textId="77777777" w:rsidR="000574EE" w:rsidRDefault="00AC3F5F">
      <w:pPr>
        <w:autoSpaceDE w:val="0"/>
        <w:autoSpaceDN w:val="0"/>
        <w:rPr>
          <w:rFonts w:eastAsia="SimHei" w:cs="Times New Roman"/>
          <w:bCs/>
          <w:kern w:val="0"/>
          <w:sz w:val="24"/>
          <w:lang w:bidi="en-US"/>
        </w:rPr>
      </w:pPr>
      <w:r>
        <w:rPr>
          <w:rFonts w:eastAsia="SimHei" w:cs="Times New Roman"/>
          <w:bCs/>
          <w:kern w:val="0"/>
          <w:sz w:val="24"/>
          <w:lang w:bidi="en-US"/>
        </w:rPr>
        <w:t>Following adjustments, the final questionnaire was developed. During this phase, all items were thoroughly reviewed once more, and a 5-point Likert scale was incorporated into the questionnaire. After meticulous and repeated evaluations, the final version of the questionnaire was established.</w:t>
      </w:r>
    </w:p>
    <w:p w14:paraId="06DADDF4" w14:textId="77777777" w:rsidR="000574EE" w:rsidRDefault="00AC3F5F">
      <w:pPr>
        <w:numPr>
          <w:ilvl w:val="0"/>
          <w:numId w:val="1"/>
        </w:numPr>
        <w:autoSpaceDE w:val="0"/>
        <w:autoSpaceDN w:val="0"/>
        <w:spacing w:before="240" w:after="240"/>
        <w:rPr>
          <w:i/>
          <w:iCs/>
          <w:sz w:val="24"/>
          <w:szCs w:val="22"/>
        </w:rPr>
      </w:pPr>
      <w:r>
        <w:rPr>
          <w:i/>
          <w:iCs/>
          <w:sz w:val="24"/>
          <w:szCs w:val="22"/>
        </w:rPr>
        <w:t>Phase V</w:t>
      </w:r>
    </w:p>
    <w:p w14:paraId="15819F07" w14:textId="1FCC0B0E" w:rsidR="000574EE" w:rsidRDefault="00AC3F5F">
      <w:pPr>
        <w:autoSpaceDE w:val="0"/>
        <w:autoSpaceDN w:val="0"/>
        <w:rPr>
          <w:rFonts w:eastAsia="TimesNewRomanPS" w:cs="TimesNewRomanPS"/>
          <w:b/>
          <w:bCs/>
          <w:sz w:val="24"/>
        </w:rPr>
      </w:pPr>
      <w:r>
        <w:rPr>
          <w:rFonts w:eastAsia="SimHei" w:cs="Times New Roman"/>
          <w:bCs/>
          <w:kern w:val="0"/>
          <w:sz w:val="24"/>
          <w:lang w:bidi="en-US"/>
        </w:rPr>
        <w:t>A pilot survey questionnaire was conducted on 60 Chinese non-English major students, and the reliability</w:t>
      </w:r>
      <w:r w:rsidR="00804EC3">
        <w:rPr>
          <w:rFonts w:eastAsia="SimHei" w:cs="Times New Roman"/>
          <w:bCs/>
          <w:kern w:val="0"/>
          <w:sz w:val="24"/>
          <w:lang w:bidi="en-US"/>
        </w:rPr>
        <w:t xml:space="preserve"> was assessed</w:t>
      </w:r>
      <w:r>
        <w:rPr>
          <w:rFonts w:eastAsia="SimHei" w:cs="Times New Roman"/>
          <w:bCs/>
          <w:kern w:val="0"/>
          <w:sz w:val="24"/>
          <w:lang w:bidi="en-US"/>
        </w:rPr>
        <w:t>.</w:t>
      </w:r>
    </w:p>
    <w:p w14:paraId="28BE8AAA" w14:textId="77777777" w:rsidR="000574EE" w:rsidRDefault="00AC3F5F">
      <w:pPr>
        <w:pStyle w:val="Heading1"/>
        <w:keepLines w:val="0"/>
        <w:widowControl/>
        <w:spacing w:before="240" w:after="240" w:line="240" w:lineRule="auto"/>
        <w:ind w:right="567"/>
        <w:contextualSpacing/>
        <w:rPr>
          <w:b w:val="0"/>
          <w:i/>
          <w:iCs/>
          <w:kern w:val="2"/>
          <w:sz w:val="24"/>
          <w:szCs w:val="22"/>
        </w:rPr>
      </w:pPr>
      <w:r>
        <w:rPr>
          <w:b w:val="0"/>
          <w:i/>
          <w:iCs/>
          <w:kern w:val="2"/>
          <w:sz w:val="24"/>
          <w:szCs w:val="22"/>
        </w:rPr>
        <w:t>Participants</w:t>
      </w:r>
    </w:p>
    <w:p w14:paraId="30DA5B4C" w14:textId="67A3C8A8" w:rsidR="000574EE" w:rsidRDefault="00AC3F5F">
      <w:pPr>
        <w:pStyle w:val="NormalWeb"/>
        <w:widowControl/>
        <w:spacing w:beforeAutospacing="0" w:afterAutospacing="0"/>
        <w:jc w:val="both"/>
        <w:rPr>
          <w:rFonts w:eastAsia="SimHei"/>
          <w:bCs/>
          <w:lang w:bidi="en-US"/>
        </w:rPr>
      </w:pPr>
      <w:r>
        <w:rPr>
          <w:rFonts w:eastAsia="SimHei"/>
          <w:bCs/>
          <w:lang w:bidi="en-US"/>
        </w:rPr>
        <w:t xml:space="preserve">The participants for this study have been drawn from a cohort of non-English major undergraduate students enrolled at a university in China. This cohort consists of freshmen and sophomores for whom English is not a mandatory component of their academic curriculum. Despite the non-compulsory nature of English instruction, these participants exhibit homogeneous educational backgrounds and share comparable experiences in English language acquisition. The sample </w:t>
      </w:r>
      <w:r w:rsidR="00804EC3">
        <w:rPr>
          <w:rFonts w:eastAsia="SimHei"/>
          <w:bCs/>
          <w:lang w:bidi="en-US"/>
        </w:rPr>
        <w:t>included</w:t>
      </w:r>
      <w:r>
        <w:rPr>
          <w:rFonts w:eastAsia="SimHei"/>
          <w:bCs/>
          <w:lang w:bidi="en-US"/>
        </w:rPr>
        <w:t xml:space="preserve"> </w:t>
      </w:r>
      <w:bookmarkStart w:id="0" w:name="_Hlk197875646"/>
      <w:r>
        <w:rPr>
          <w:rFonts w:eastAsia="SimHei"/>
          <w:bCs/>
          <w:lang w:bidi="en-US"/>
        </w:rPr>
        <w:t>27 males and 33 females, with 34 freshmen and 26 sophomores.</w:t>
      </w:r>
      <w:bookmarkEnd w:id="0"/>
      <w:r>
        <w:rPr>
          <w:rFonts w:eastAsia="SimHei"/>
          <w:bCs/>
          <w:lang w:bidi="en-US"/>
        </w:rPr>
        <w:t xml:space="preserve"> Among them, 19 participants are majoring in humanities, 20 in science and engineering, and 21 in business and social sciences. Their selection into the university indicates a certain level of academic proficiency and commitment to higher education, making them an appropriate sample for investigating the targeted variables within the realm of English language learning.</w:t>
      </w:r>
    </w:p>
    <w:p w14:paraId="43ED4DA6" w14:textId="77777777" w:rsidR="000574EE" w:rsidRDefault="00AC3F5F">
      <w:pPr>
        <w:pStyle w:val="NormalWeb"/>
        <w:widowControl/>
        <w:spacing w:before="240" w:beforeAutospacing="0" w:after="240" w:afterAutospacing="0"/>
        <w:jc w:val="both"/>
        <w:rPr>
          <w:rFonts w:cstheme="minorBidi"/>
          <w:i/>
          <w:iCs/>
          <w:kern w:val="2"/>
          <w:szCs w:val="22"/>
        </w:rPr>
      </w:pPr>
      <w:r>
        <w:rPr>
          <w:rFonts w:cstheme="minorBidi"/>
          <w:i/>
          <w:iCs/>
          <w:kern w:val="2"/>
          <w:szCs w:val="22"/>
        </w:rPr>
        <w:t>Development of research instruments</w:t>
      </w:r>
    </w:p>
    <w:p w14:paraId="01C8A762" w14:textId="75DB59EA" w:rsidR="000574EE" w:rsidRDefault="00AC3F5F">
      <w:pPr>
        <w:pStyle w:val="NormalWeb"/>
        <w:widowControl/>
        <w:spacing w:beforeAutospacing="0" w:afterAutospacing="0"/>
        <w:jc w:val="both"/>
        <w:rPr>
          <w:rFonts w:eastAsia="SimHei"/>
          <w:bCs/>
          <w:lang w:bidi="en-US"/>
        </w:rPr>
      </w:pPr>
      <w:r>
        <w:rPr>
          <w:rFonts w:eastAsia="SimHei" w:hint="eastAsia"/>
          <w:bCs/>
          <w:lang w:bidi="en-US"/>
        </w:rPr>
        <w:lastRenderedPageBreak/>
        <w:t xml:space="preserve">The research instruments employed in this study comprise a survey questionnaire designed to assess various dimensions of EFL speaking strategies, speaking anxiety, learning motivation, and learning attitudes. The construction of the survey questionnaire drew upon established literature in the field. Specifically, the items </w:t>
      </w:r>
      <w:r w:rsidR="00804EC3">
        <w:rPr>
          <w:rFonts w:eastAsia="SimHei"/>
          <w:bCs/>
          <w:lang w:bidi="en-US"/>
        </w:rPr>
        <w:t>of</w:t>
      </w:r>
      <w:r>
        <w:rPr>
          <w:rFonts w:eastAsia="SimHei" w:hint="eastAsia"/>
          <w:bCs/>
          <w:lang w:bidi="en-US"/>
        </w:rPr>
        <w:t xml:space="preserve"> speaking strategy were adapted from seminal works by </w:t>
      </w:r>
      <w:proofErr w:type="spellStart"/>
      <w:r>
        <w:rPr>
          <w:rFonts w:eastAsia="SimHei" w:hint="eastAsia"/>
          <w:bCs/>
          <w:lang w:bidi="en-US"/>
        </w:rPr>
        <w:t>Chuanchaisit</w:t>
      </w:r>
      <w:proofErr w:type="spellEnd"/>
      <w:r>
        <w:rPr>
          <w:rFonts w:eastAsia="SimHei" w:hint="eastAsia"/>
          <w:bCs/>
          <w:lang w:bidi="en-US"/>
        </w:rPr>
        <w:t xml:space="preserve"> and </w:t>
      </w:r>
      <w:proofErr w:type="spellStart"/>
      <w:r>
        <w:rPr>
          <w:rFonts w:eastAsia="SimHei" w:hint="eastAsia"/>
          <w:bCs/>
          <w:lang w:bidi="en-US"/>
        </w:rPr>
        <w:t>Prapphal</w:t>
      </w:r>
      <w:proofErr w:type="spellEnd"/>
      <w:r>
        <w:rPr>
          <w:rFonts w:eastAsia="SimHei" w:hint="eastAsia"/>
          <w:bCs/>
          <w:lang w:bidi="en-US"/>
        </w:rPr>
        <w:t xml:space="preserve"> (2009), Metcalfe and </w:t>
      </w:r>
      <w:proofErr w:type="spellStart"/>
      <w:r>
        <w:rPr>
          <w:rFonts w:eastAsia="SimHei" w:hint="eastAsia"/>
          <w:bCs/>
          <w:lang w:bidi="en-US"/>
        </w:rPr>
        <w:t>Noom-Ura</w:t>
      </w:r>
      <w:proofErr w:type="spellEnd"/>
      <w:r>
        <w:rPr>
          <w:rFonts w:eastAsia="SimHei" w:hint="eastAsia"/>
          <w:bCs/>
          <w:lang w:bidi="en-US"/>
        </w:rPr>
        <w:t xml:space="preserve"> (2013), Nakatani (2006), and Sun et al. (2016). Similarly, items related to speaking anxiety were derived from studies conducted by Aydin (2008), Aydin (2014), and Horwitz et al. (1986). Learning attitude items were adapted from the research of Abidin et al. (2012), while learning motivation items were sourced from studies by Aydin et al. (2014), Schreglmann (2018), Lim (2012), and Selvarajah et al. (2021).</w:t>
      </w:r>
    </w:p>
    <w:p w14:paraId="09CA186C" w14:textId="12EE7A1B" w:rsidR="000574EE" w:rsidRDefault="00AC3F5F">
      <w:pPr>
        <w:pStyle w:val="NormalWeb"/>
        <w:widowControl/>
        <w:spacing w:beforeAutospacing="0" w:afterAutospacing="0"/>
        <w:ind w:firstLineChars="300" w:firstLine="720"/>
        <w:jc w:val="both"/>
        <w:rPr>
          <w:rFonts w:eastAsia="SimHei"/>
          <w:bCs/>
          <w:lang w:bidi="en-US"/>
        </w:rPr>
      </w:pPr>
      <w:r>
        <w:rPr>
          <w:rFonts w:eastAsia="SimHei" w:hint="eastAsia"/>
          <w:bCs/>
          <w:lang w:bidi="en-US"/>
        </w:rPr>
        <w:t xml:space="preserve">The administration of the survey questionnaire took place via face-to-face interactions, with the informed consent of all participants secured </w:t>
      </w:r>
      <w:r w:rsidR="00804EC3">
        <w:rPr>
          <w:rFonts w:eastAsia="SimHei"/>
          <w:bCs/>
          <w:lang w:bidi="en-US"/>
        </w:rPr>
        <w:t>before</w:t>
      </w:r>
      <w:r>
        <w:rPr>
          <w:rFonts w:eastAsia="SimHei" w:hint="eastAsia"/>
          <w:bCs/>
          <w:lang w:bidi="en-US"/>
        </w:rPr>
        <w:t xml:space="preserve"> their involvement in the study. The sample size consisted of 60 participants, evenly divided into two groups of 30 individuals each, who </w:t>
      </w:r>
      <w:r w:rsidR="00804EC3">
        <w:rPr>
          <w:rFonts w:eastAsia="SimHei"/>
          <w:bCs/>
          <w:lang w:bidi="en-US"/>
        </w:rPr>
        <w:t>responded</w:t>
      </w:r>
      <w:r>
        <w:rPr>
          <w:rFonts w:eastAsia="SimHei" w:hint="eastAsia"/>
          <w:bCs/>
          <w:lang w:bidi="en-US"/>
        </w:rPr>
        <w:t xml:space="preserve"> </w:t>
      </w:r>
      <w:r w:rsidR="00804EC3">
        <w:rPr>
          <w:rFonts w:eastAsia="SimHei"/>
          <w:bCs/>
          <w:lang w:bidi="en-US"/>
        </w:rPr>
        <w:t xml:space="preserve">in </w:t>
      </w:r>
      <w:r>
        <w:rPr>
          <w:rFonts w:eastAsia="SimHei" w:hint="eastAsia"/>
          <w:bCs/>
          <w:lang w:bidi="en-US"/>
        </w:rPr>
        <w:t xml:space="preserve">sequential batches. The survey questionnaire comprised two types of questions: multiple-choice questions addressing participants' demographic information and questions </w:t>
      </w:r>
      <w:r w:rsidR="00804EC3">
        <w:rPr>
          <w:rFonts w:eastAsia="SimHei"/>
          <w:bCs/>
          <w:lang w:bidi="en-US"/>
        </w:rPr>
        <w:t>on</w:t>
      </w:r>
      <w:r>
        <w:rPr>
          <w:rFonts w:eastAsia="SimHei" w:hint="eastAsia"/>
          <w:bCs/>
          <w:lang w:bidi="en-US"/>
        </w:rPr>
        <w:t xml:space="preserve"> the variables measured using a 5-point Likert scale. On the Likert scale, respondents indicated their level of agreement with statements, with SD denoting "strongly disagree," D indicating "disagree," N signifying "neutral," A representing "agree," and SA indicating "strongly agree.".</w:t>
      </w:r>
    </w:p>
    <w:p w14:paraId="29179518" w14:textId="77777777" w:rsidR="000574EE" w:rsidRDefault="00AC3F5F">
      <w:pPr>
        <w:numPr>
          <w:ilvl w:val="0"/>
          <w:numId w:val="3"/>
        </w:numPr>
        <w:autoSpaceDE w:val="0"/>
        <w:autoSpaceDN w:val="0"/>
        <w:spacing w:before="240" w:after="240"/>
        <w:rPr>
          <w:i/>
          <w:iCs/>
          <w:sz w:val="24"/>
          <w:szCs w:val="22"/>
        </w:rPr>
      </w:pPr>
      <w:r>
        <w:rPr>
          <w:i/>
          <w:iCs/>
          <w:sz w:val="24"/>
          <w:szCs w:val="22"/>
        </w:rPr>
        <w:t>Speaking Strategies</w:t>
      </w:r>
    </w:p>
    <w:p w14:paraId="08BF8A7C" w14:textId="529F7063" w:rsidR="000574EE" w:rsidRDefault="00AC3F5F">
      <w:pPr>
        <w:pStyle w:val="NormalWeb"/>
        <w:widowControl/>
        <w:spacing w:beforeAutospacing="0" w:after="240" w:afterAutospacing="0"/>
        <w:jc w:val="both"/>
        <w:rPr>
          <w:rFonts w:eastAsia="SimHei"/>
          <w:bCs/>
          <w:lang w:bidi="en-US"/>
        </w:rPr>
      </w:pPr>
      <w:r>
        <w:rPr>
          <w:rFonts w:eastAsia="SimHei" w:hint="eastAsia"/>
          <w:bCs/>
          <w:lang w:bidi="en-US"/>
        </w:rPr>
        <w:t>The classification of speaking strategies utilized in this study aligns with Nakatani's (2006) taxonomy of English as an EFL learners' Oral Communication Strategy Inventory (OCSI). Nakatani provides a detailed classification of speaking strategies, including Social Affective Strategies, Fluency-Oriented Strategies, Negotiation for Meaning while Speaking, Accuracy-Oriented Strategies, Message Reduction and Alteration Strategies, Nonverbal Strategies while Speaking, Message Abandonment Strategies, and Attempt to Think in English</w:t>
      </w:r>
      <w:r w:rsidR="0020453D">
        <w:rPr>
          <w:rFonts w:eastAsia="SimHei"/>
          <w:bCs/>
          <w:lang w:bidi="en-US"/>
        </w:rPr>
        <w:t xml:space="preserve"> (Table 1)</w:t>
      </w:r>
      <w:r>
        <w:rPr>
          <w:rFonts w:eastAsia="SimHei" w:hint="eastAsia"/>
          <w:bCs/>
          <w:lang w:bidi="en-US"/>
        </w:rPr>
        <w:t xml:space="preserve">. These detailed strategies comprehensively measure different speaking methods; therefore, this study adopts Nakatani's (2006) 36-item questionnaire for assessing speaking strategies. However, given that some speaking strategies, such as </w:t>
      </w:r>
      <w:r>
        <w:rPr>
          <w:rFonts w:eastAsia="SimHei"/>
          <w:bCs/>
          <w:lang w:bidi="en-US"/>
        </w:rPr>
        <w:t>“</w:t>
      </w:r>
      <w:r>
        <w:rPr>
          <w:rFonts w:eastAsia="SimHei" w:hint="eastAsia"/>
          <w:bCs/>
          <w:lang w:bidi="en-US"/>
        </w:rPr>
        <w:t>Attention to Think in English,</w:t>
      </w:r>
      <w:r>
        <w:rPr>
          <w:rFonts w:eastAsia="SimHei"/>
          <w:bCs/>
          <w:lang w:bidi="en-US"/>
        </w:rPr>
        <w:t>”</w:t>
      </w:r>
      <w:r>
        <w:rPr>
          <w:rFonts w:eastAsia="SimHei" w:hint="eastAsia"/>
          <w:bCs/>
          <w:lang w:bidi="en-US"/>
        </w:rPr>
        <w:t xml:space="preserve"> are represented by only two types of measurement questions</w:t>
      </w:r>
      <w:r>
        <w:rPr>
          <w:rFonts w:eastAsia="SimHei"/>
          <w:bCs/>
          <w:lang w:bidi="en-US"/>
        </w:rPr>
        <w:t>”</w:t>
      </w:r>
      <w:r w:rsidR="00804EC3">
        <w:rPr>
          <w:rFonts w:eastAsia="SimHei"/>
          <w:bCs/>
          <w:lang w:bidi="en-US"/>
        </w:rPr>
        <w:t xml:space="preserve"> </w:t>
      </w:r>
      <w:r>
        <w:rPr>
          <w:rFonts w:eastAsia="SimHei" w:hint="eastAsia"/>
          <w:bCs/>
          <w:lang w:bidi="en-US"/>
        </w:rPr>
        <w:t>I think first of a sentence I already know in English and then try to change it to fit the situation</w:t>
      </w:r>
      <w:r>
        <w:rPr>
          <w:rFonts w:eastAsia="SimHei"/>
          <w:bCs/>
          <w:lang w:bidi="en-US"/>
        </w:rPr>
        <w:t>”</w:t>
      </w:r>
      <w:r>
        <w:rPr>
          <w:rFonts w:eastAsia="SimHei" w:hint="eastAsia"/>
          <w:bCs/>
          <w:lang w:bidi="en-US"/>
        </w:rPr>
        <w:t xml:space="preserve"> and </w:t>
      </w:r>
      <w:r>
        <w:rPr>
          <w:rFonts w:eastAsia="SimHei"/>
          <w:bCs/>
          <w:lang w:bidi="en-US"/>
        </w:rPr>
        <w:t>“</w:t>
      </w:r>
      <w:r>
        <w:rPr>
          <w:rFonts w:eastAsia="SimHei" w:hint="eastAsia"/>
          <w:bCs/>
          <w:lang w:bidi="en-US"/>
        </w:rPr>
        <w:t>I think of what I want to say in my native language and then construct the English sentence</w:t>
      </w:r>
      <w:r>
        <w:rPr>
          <w:rFonts w:eastAsia="SimHei"/>
          <w:bCs/>
          <w:lang w:bidi="en-US"/>
        </w:rPr>
        <w:t>”</w:t>
      </w:r>
      <w:r>
        <w:rPr>
          <w:rFonts w:eastAsia="SimHei" w:hint="eastAsia"/>
          <w:bCs/>
          <w:lang w:bidi="en-US"/>
        </w:rPr>
        <w:t xml:space="preserve"> additional measures have been deemed necessary. To enhance the measurement standards of these strategies, the research instruments also incorporate elements from the works of </w:t>
      </w:r>
      <w:proofErr w:type="spellStart"/>
      <w:r>
        <w:rPr>
          <w:rFonts w:eastAsia="SimHei" w:hint="eastAsia"/>
          <w:bCs/>
          <w:lang w:bidi="en-US"/>
        </w:rPr>
        <w:t>Chuanchaisit</w:t>
      </w:r>
      <w:proofErr w:type="spellEnd"/>
      <w:r>
        <w:rPr>
          <w:rFonts w:eastAsia="SimHei" w:hint="eastAsia"/>
          <w:bCs/>
          <w:lang w:bidi="en-US"/>
        </w:rPr>
        <w:t xml:space="preserve"> and </w:t>
      </w:r>
      <w:proofErr w:type="spellStart"/>
      <w:r>
        <w:rPr>
          <w:rFonts w:eastAsia="SimHei"/>
          <w:bCs/>
          <w:lang w:bidi="en-US"/>
        </w:rPr>
        <w:t>Prapphal</w:t>
      </w:r>
      <w:proofErr w:type="spellEnd"/>
      <w:r>
        <w:rPr>
          <w:rFonts w:eastAsia="SimHei" w:hint="eastAsia"/>
          <w:bCs/>
          <w:lang w:bidi="en-US"/>
        </w:rPr>
        <w:t xml:space="preserve"> (2009), Metcalfe and </w:t>
      </w:r>
      <w:proofErr w:type="spellStart"/>
      <w:r>
        <w:rPr>
          <w:rFonts w:eastAsia="SimHei" w:hint="eastAsia"/>
          <w:bCs/>
          <w:lang w:bidi="en-US"/>
        </w:rPr>
        <w:t>Noom-Ura</w:t>
      </w:r>
      <w:proofErr w:type="spellEnd"/>
      <w:r>
        <w:rPr>
          <w:rFonts w:eastAsia="SimHei" w:hint="eastAsia"/>
          <w:bCs/>
          <w:lang w:bidi="en-US"/>
        </w:rPr>
        <w:t xml:space="preserve"> (2013), and Sun et al. have also been adapted. Furthermore, certain questions have been modified to better align with the comprehension levels of Chinese students, resulting in a refined questionnaire containing 45 items.</w:t>
      </w:r>
    </w:p>
    <w:p w14:paraId="37307A4C" w14:textId="77777777" w:rsidR="000574EE" w:rsidRDefault="00AC3F5F">
      <w:pPr>
        <w:pStyle w:val="NormalWeb"/>
        <w:widowControl/>
        <w:spacing w:beforeAutospacing="0" w:afterAutospacing="0"/>
        <w:jc w:val="both"/>
        <w:rPr>
          <w:rFonts w:eastAsia="SimHei"/>
          <w:bCs/>
          <w:sz w:val="20"/>
          <w:szCs w:val="20"/>
          <w:lang w:bidi="en-US"/>
        </w:rPr>
      </w:pPr>
      <w:r>
        <w:rPr>
          <w:rFonts w:eastAsia="SimHei" w:hint="eastAsia"/>
          <w:bCs/>
          <w:sz w:val="20"/>
          <w:szCs w:val="20"/>
          <w:lang w:bidi="en-US"/>
        </w:rPr>
        <w:t>Table 1: Questionnaire of speaking strategies</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5"/>
        <w:gridCol w:w="1370"/>
        <w:gridCol w:w="3681"/>
      </w:tblGrid>
      <w:tr w:rsidR="000574EE" w14:paraId="77DB7C36" w14:textId="77777777">
        <w:trPr>
          <w:jc w:val="center"/>
        </w:trPr>
        <w:tc>
          <w:tcPr>
            <w:tcW w:w="4195" w:type="dxa"/>
            <w:tcBorders>
              <w:bottom w:val="single" w:sz="4" w:space="0" w:color="auto"/>
            </w:tcBorders>
            <w:vAlign w:val="center"/>
          </w:tcPr>
          <w:p w14:paraId="59D07D21" w14:textId="77777777" w:rsidR="000574EE" w:rsidRDefault="00AC3F5F">
            <w:pPr>
              <w:pStyle w:val="NormalWeb"/>
              <w:widowControl/>
              <w:spacing w:beforeAutospacing="0" w:afterAutospacing="0"/>
              <w:jc w:val="center"/>
              <w:rPr>
                <w:rFonts w:eastAsia="SimHei"/>
                <w:b/>
                <w:sz w:val="20"/>
                <w:szCs w:val="20"/>
                <w:lang w:bidi="en-US"/>
              </w:rPr>
            </w:pPr>
            <w:r>
              <w:rPr>
                <w:rFonts w:eastAsia="SimHei" w:hint="eastAsia"/>
                <w:b/>
                <w:sz w:val="20"/>
                <w:szCs w:val="20"/>
                <w:lang w:bidi="en-US"/>
              </w:rPr>
              <w:t>D</w:t>
            </w:r>
            <w:r>
              <w:rPr>
                <w:rFonts w:eastAsia="SimHei"/>
                <w:b/>
                <w:sz w:val="20"/>
                <w:szCs w:val="20"/>
                <w:lang w:bidi="en-US"/>
              </w:rPr>
              <w:t>imension</w:t>
            </w:r>
          </w:p>
        </w:tc>
        <w:tc>
          <w:tcPr>
            <w:tcW w:w="1370" w:type="dxa"/>
            <w:tcBorders>
              <w:bottom w:val="single" w:sz="4" w:space="0" w:color="auto"/>
            </w:tcBorders>
            <w:vAlign w:val="center"/>
          </w:tcPr>
          <w:p w14:paraId="2E5D301C" w14:textId="77777777" w:rsidR="000574EE" w:rsidRDefault="00AC3F5F">
            <w:pPr>
              <w:pStyle w:val="NormalWeb"/>
              <w:widowControl/>
              <w:spacing w:beforeAutospacing="0" w:afterAutospacing="0"/>
              <w:jc w:val="center"/>
              <w:rPr>
                <w:rFonts w:eastAsia="SimHei"/>
                <w:b/>
                <w:sz w:val="20"/>
                <w:szCs w:val="20"/>
                <w:lang w:bidi="en-US"/>
              </w:rPr>
            </w:pPr>
            <w:r>
              <w:rPr>
                <w:rFonts w:eastAsia="SimHei"/>
                <w:b/>
                <w:sz w:val="20"/>
                <w:szCs w:val="20"/>
                <w:lang w:bidi="en-US"/>
              </w:rPr>
              <w:t>Number of questions</w:t>
            </w:r>
          </w:p>
        </w:tc>
        <w:tc>
          <w:tcPr>
            <w:tcW w:w="3681" w:type="dxa"/>
            <w:tcBorders>
              <w:bottom w:val="single" w:sz="4" w:space="0" w:color="auto"/>
            </w:tcBorders>
            <w:vAlign w:val="center"/>
          </w:tcPr>
          <w:p w14:paraId="480B62D6" w14:textId="77777777" w:rsidR="000574EE" w:rsidRDefault="00AC3F5F">
            <w:pPr>
              <w:pStyle w:val="NormalWeb"/>
              <w:widowControl/>
              <w:spacing w:beforeAutospacing="0" w:afterAutospacing="0"/>
              <w:jc w:val="center"/>
              <w:rPr>
                <w:rFonts w:eastAsia="SimHei"/>
                <w:b/>
                <w:sz w:val="20"/>
                <w:szCs w:val="20"/>
                <w:lang w:bidi="en-US"/>
              </w:rPr>
            </w:pPr>
            <w:r>
              <w:rPr>
                <w:rFonts w:eastAsia="SimHei"/>
                <w:b/>
                <w:sz w:val="20"/>
                <w:szCs w:val="20"/>
                <w:lang w:bidi="en-US"/>
              </w:rPr>
              <w:t>Source</w:t>
            </w:r>
          </w:p>
        </w:tc>
      </w:tr>
      <w:tr w:rsidR="000574EE" w14:paraId="7428911B" w14:textId="77777777">
        <w:trPr>
          <w:jc w:val="center"/>
        </w:trPr>
        <w:tc>
          <w:tcPr>
            <w:tcW w:w="4195" w:type="dxa"/>
            <w:tcBorders>
              <w:top w:val="single" w:sz="4" w:space="0" w:color="auto"/>
              <w:bottom w:val="nil"/>
            </w:tcBorders>
            <w:vAlign w:val="center"/>
          </w:tcPr>
          <w:p w14:paraId="3A3926F8"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Social Affective Strategies</w:t>
            </w:r>
          </w:p>
        </w:tc>
        <w:tc>
          <w:tcPr>
            <w:tcW w:w="1370" w:type="dxa"/>
            <w:tcBorders>
              <w:top w:val="single" w:sz="4" w:space="0" w:color="auto"/>
              <w:bottom w:val="nil"/>
            </w:tcBorders>
            <w:vAlign w:val="center"/>
          </w:tcPr>
          <w:p w14:paraId="3D98BB9B"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6</w:t>
            </w:r>
          </w:p>
        </w:tc>
        <w:tc>
          <w:tcPr>
            <w:tcW w:w="3681" w:type="dxa"/>
            <w:tcBorders>
              <w:top w:val="single" w:sz="4" w:space="0" w:color="auto"/>
              <w:bottom w:val="nil"/>
            </w:tcBorders>
            <w:vAlign w:val="center"/>
          </w:tcPr>
          <w:p w14:paraId="2761F609"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p>
        </w:tc>
      </w:tr>
      <w:tr w:rsidR="000574EE" w14:paraId="75E1DE56" w14:textId="77777777">
        <w:trPr>
          <w:jc w:val="center"/>
        </w:trPr>
        <w:tc>
          <w:tcPr>
            <w:tcW w:w="4195" w:type="dxa"/>
            <w:tcBorders>
              <w:top w:val="nil"/>
            </w:tcBorders>
            <w:vAlign w:val="center"/>
          </w:tcPr>
          <w:p w14:paraId="5353B0D8" w14:textId="2DCC7F7B" w:rsidR="000574EE" w:rsidRDefault="00804EC3">
            <w:pPr>
              <w:pStyle w:val="NormalWeb"/>
              <w:widowControl/>
              <w:spacing w:beforeAutospacing="0" w:afterAutospacing="0"/>
              <w:rPr>
                <w:rFonts w:eastAsia="SimHei"/>
                <w:bCs/>
                <w:sz w:val="20"/>
                <w:szCs w:val="20"/>
                <w:lang w:bidi="en-US"/>
              </w:rPr>
            </w:pPr>
            <w:r>
              <w:rPr>
                <w:rFonts w:eastAsia="SimHei"/>
                <w:bCs/>
                <w:sz w:val="20"/>
                <w:szCs w:val="20"/>
                <w:lang w:bidi="en-US"/>
              </w:rPr>
              <w:t>Fluency-Oriented Strategies</w:t>
            </w:r>
          </w:p>
        </w:tc>
        <w:tc>
          <w:tcPr>
            <w:tcW w:w="1370" w:type="dxa"/>
            <w:tcBorders>
              <w:top w:val="nil"/>
            </w:tcBorders>
            <w:vAlign w:val="center"/>
          </w:tcPr>
          <w:p w14:paraId="4CB42802"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6</w:t>
            </w:r>
          </w:p>
        </w:tc>
        <w:tc>
          <w:tcPr>
            <w:tcW w:w="3681" w:type="dxa"/>
            <w:tcBorders>
              <w:top w:val="nil"/>
            </w:tcBorders>
            <w:vAlign w:val="center"/>
          </w:tcPr>
          <w:p w14:paraId="366FB0E4"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p>
        </w:tc>
      </w:tr>
      <w:tr w:rsidR="000574EE" w14:paraId="02E60738" w14:textId="77777777">
        <w:trPr>
          <w:jc w:val="center"/>
        </w:trPr>
        <w:tc>
          <w:tcPr>
            <w:tcW w:w="4195" w:type="dxa"/>
            <w:vAlign w:val="center"/>
          </w:tcPr>
          <w:p w14:paraId="751B7C54"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lastRenderedPageBreak/>
              <w:t>Negotiation for Meaning while Speaking</w:t>
            </w:r>
          </w:p>
        </w:tc>
        <w:tc>
          <w:tcPr>
            <w:tcW w:w="1370" w:type="dxa"/>
            <w:vAlign w:val="center"/>
          </w:tcPr>
          <w:p w14:paraId="3A7DA2B8"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3681" w:type="dxa"/>
            <w:vAlign w:val="center"/>
          </w:tcPr>
          <w:p w14:paraId="00D83E98"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r>
              <w:rPr>
                <w:rFonts w:eastAsia="SimHei" w:hint="eastAsia"/>
                <w:bCs/>
                <w:sz w:val="20"/>
                <w:szCs w:val="20"/>
                <w:lang w:bidi="en-US"/>
              </w:rPr>
              <w:t xml:space="preserve">; </w:t>
            </w:r>
            <w:r>
              <w:rPr>
                <w:rFonts w:eastAsia="SimHei"/>
                <w:bCs/>
                <w:sz w:val="20"/>
                <w:szCs w:val="20"/>
                <w:lang w:bidi="en-US"/>
              </w:rPr>
              <w:t>Sun</w:t>
            </w:r>
            <w:r>
              <w:rPr>
                <w:rFonts w:eastAsia="SimHei" w:hint="eastAsia"/>
                <w:bCs/>
                <w:sz w:val="20"/>
                <w:szCs w:val="20"/>
                <w:lang w:bidi="en-US"/>
              </w:rPr>
              <w:t xml:space="preserve"> et al.</w:t>
            </w:r>
            <w:r>
              <w:rPr>
                <w:rFonts w:eastAsia="SimHei"/>
                <w:bCs/>
                <w:sz w:val="20"/>
                <w:szCs w:val="20"/>
                <w:lang w:bidi="en-US"/>
              </w:rPr>
              <w:t xml:space="preserve"> (2016)</w:t>
            </w:r>
          </w:p>
        </w:tc>
      </w:tr>
      <w:tr w:rsidR="000574EE" w14:paraId="041324FB" w14:textId="77777777">
        <w:trPr>
          <w:trHeight w:val="90"/>
          <w:jc w:val="center"/>
        </w:trPr>
        <w:tc>
          <w:tcPr>
            <w:tcW w:w="4195" w:type="dxa"/>
            <w:vAlign w:val="center"/>
          </w:tcPr>
          <w:p w14:paraId="4DAF9316" w14:textId="49F3EBB0" w:rsidR="000574EE" w:rsidRDefault="00804EC3">
            <w:pPr>
              <w:pStyle w:val="NormalWeb"/>
              <w:widowControl/>
              <w:spacing w:beforeAutospacing="0" w:afterAutospacing="0"/>
              <w:rPr>
                <w:rFonts w:eastAsia="SimHei"/>
                <w:bCs/>
                <w:sz w:val="20"/>
                <w:szCs w:val="20"/>
                <w:lang w:bidi="en-US"/>
              </w:rPr>
            </w:pPr>
            <w:r>
              <w:rPr>
                <w:rFonts w:eastAsia="SimHei"/>
                <w:bCs/>
                <w:sz w:val="20"/>
                <w:szCs w:val="20"/>
                <w:lang w:bidi="en-US"/>
              </w:rPr>
              <w:t>Accuracy-Oriented Strategies</w:t>
            </w:r>
          </w:p>
        </w:tc>
        <w:tc>
          <w:tcPr>
            <w:tcW w:w="1370" w:type="dxa"/>
            <w:vAlign w:val="center"/>
          </w:tcPr>
          <w:p w14:paraId="63AA8A9E"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6</w:t>
            </w:r>
          </w:p>
        </w:tc>
        <w:tc>
          <w:tcPr>
            <w:tcW w:w="3681" w:type="dxa"/>
            <w:vAlign w:val="center"/>
          </w:tcPr>
          <w:p w14:paraId="2094B5E7"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p>
        </w:tc>
      </w:tr>
      <w:tr w:rsidR="000574EE" w14:paraId="0340798A" w14:textId="77777777">
        <w:trPr>
          <w:jc w:val="center"/>
        </w:trPr>
        <w:tc>
          <w:tcPr>
            <w:tcW w:w="4195" w:type="dxa"/>
            <w:vAlign w:val="center"/>
          </w:tcPr>
          <w:p w14:paraId="6D7E5E4A"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Message Reduction and Alteration Strategies</w:t>
            </w:r>
          </w:p>
        </w:tc>
        <w:tc>
          <w:tcPr>
            <w:tcW w:w="1370" w:type="dxa"/>
            <w:vAlign w:val="center"/>
          </w:tcPr>
          <w:p w14:paraId="23F42410"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6</w:t>
            </w:r>
          </w:p>
        </w:tc>
        <w:tc>
          <w:tcPr>
            <w:tcW w:w="3681" w:type="dxa"/>
            <w:vAlign w:val="center"/>
          </w:tcPr>
          <w:p w14:paraId="681831EF"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r>
              <w:rPr>
                <w:rFonts w:eastAsia="SimHei" w:hint="eastAsia"/>
                <w:bCs/>
                <w:sz w:val="20"/>
                <w:szCs w:val="20"/>
                <w:lang w:bidi="en-US"/>
              </w:rPr>
              <w:t xml:space="preserve">; </w:t>
            </w:r>
            <w:proofErr w:type="spellStart"/>
            <w:r>
              <w:rPr>
                <w:rFonts w:eastAsia="SimHei"/>
                <w:bCs/>
                <w:sz w:val="20"/>
                <w:szCs w:val="20"/>
                <w:lang w:bidi="en-US"/>
              </w:rPr>
              <w:t>Chuanchaisit</w:t>
            </w:r>
            <w:proofErr w:type="spellEnd"/>
            <w:r>
              <w:rPr>
                <w:rFonts w:eastAsia="SimHei"/>
                <w:bCs/>
                <w:sz w:val="20"/>
                <w:szCs w:val="20"/>
                <w:lang w:bidi="en-US"/>
              </w:rPr>
              <w:t xml:space="preserve"> &amp; </w:t>
            </w:r>
            <w:proofErr w:type="spellStart"/>
            <w:r>
              <w:rPr>
                <w:rFonts w:eastAsia="SimHei"/>
                <w:bCs/>
                <w:sz w:val="20"/>
                <w:szCs w:val="20"/>
                <w:lang w:bidi="en-US"/>
              </w:rPr>
              <w:t>Prapphal</w:t>
            </w:r>
            <w:proofErr w:type="spellEnd"/>
            <w:r>
              <w:rPr>
                <w:rFonts w:eastAsia="SimHei"/>
                <w:bCs/>
                <w:sz w:val="20"/>
                <w:szCs w:val="20"/>
                <w:lang w:bidi="en-US"/>
              </w:rPr>
              <w:t xml:space="preserve"> (2009)</w:t>
            </w:r>
          </w:p>
        </w:tc>
      </w:tr>
      <w:tr w:rsidR="000574EE" w14:paraId="1B82E703" w14:textId="77777777">
        <w:trPr>
          <w:jc w:val="center"/>
        </w:trPr>
        <w:tc>
          <w:tcPr>
            <w:tcW w:w="4195" w:type="dxa"/>
            <w:vAlign w:val="center"/>
          </w:tcPr>
          <w:p w14:paraId="5B836332" w14:textId="4655AB48" w:rsidR="000574EE" w:rsidRDefault="00804EC3">
            <w:pPr>
              <w:pStyle w:val="NormalWeb"/>
              <w:widowControl/>
              <w:spacing w:beforeAutospacing="0" w:afterAutospacing="0"/>
              <w:rPr>
                <w:rFonts w:eastAsia="SimHei"/>
                <w:bCs/>
                <w:sz w:val="20"/>
                <w:szCs w:val="20"/>
                <w:lang w:bidi="en-US"/>
              </w:rPr>
            </w:pPr>
            <w:r>
              <w:rPr>
                <w:rFonts w:eastAsia="SimHei"/>
                <w:bCs/>
                <w:sz w:val="20"/>
                <w:szCs w:val="20"/>
                <w:lang w:bidi="en-US"/>
              </w:rPr>
              <w:t>Nonverbal Strategies while Speaking</w:t>
            </w:r>
          </w:p>
        </w:tc>
        <w:tc>
          <w:tcPr>
            <w:tcW w:w="1370" w:type="dxa"/>
            <w:vAlign w:val="center"/>
          </w:tcPr>
          <w:p w14:paraId="5A815A9E"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6</w:t>
            </w:r>
          </w:p>
        </w:tc>
        <w:tc>
          <w:tcPr>
            <w:tcW w:w="3681" w:type="dxa"/>
            <w:vAlign w:val="center"/>
          </w:tcPr>
          <w:p w14:paraId="2F7E4DFE"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r>
              <w:rPr>
                <w:rFonts w:eastAsia="SimHei" w:hint="eastAsia"/>
                <w:bCs/>
                <w:sz w:val="20"/>
                <w:szCs w:val="20"/>
                <w:lang w:bidi="en-US"/>
              </w:rPr>
              <w:t xml:space="preserve">; </w:t>
            </w:r>
            <w:r>
              <w:rPr>
                <w:rFonts w:eastAsia="SimHei"/>
                <w:bCs/>
                <w:sz w:val="20"/>
                <w:szCs w:val="20"/>
                <w:lang w:bidi="en-US"/>
              </w:rPr>
              <w:t xml:space="preserve">Metcalfe &amp; </w:t>
            </w:r>
            <w:proofErr w:type="spellStart"/>
            <w:r>
              <w:rPr>
                <w:rFonts w:eastAsia="SimHei"/>
                <w:bCs/>
                <w:sz w:val="20"/>
                <w:szCs w:val="20"/>
                <w:lang w:bidi="en-US"/>
              </w:rPr>
              <w:t>Noom-Ura</w:t>
            </w:r>
            <w:proofErr w:type="spellEnd"/>
            <w:r>
              <w:rPr>
                <w:rFonts w:eastAsia="SimHei"/>
                <w:bCs/>
                <w:sz w:val="20"/>
                <w:szCs w:val="20"/>
                <w:lang w:bidi="en-US"/>
              </w:rPr>
              <w:t xml:space="preserve"> (2013)</w:t>
            </w:r>
          </w:p>
        </w:tc>
      </w:tr>
      <w:tr w:rsidR="000574EE" w14:paraId="425C2390" w14:textId="77777777">
        <w:trPr>
          <w:trHeight w:val="881"/>
          <w:jc w:val="center"/>
        </w:trPr>
        <w:tc>
          <w:tcPr>
            <w:tcW w:w="4195" w:type="dxa"/>
            <w:vAlign w:val="center"/>
          </w:tcPr>
          <w:p w14:paraId="07E51A7C"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Message Abandonment Strategies</w:t>
            </w:r>
          </w:p>
        </w:tc>
        <w:tc>
          <w:tcPr>
            <w:tcW w:w="1370" w:type="dxa"/>
            <w:vAlign w:val="center"/>
          </w:tcPr>
          <w:p w14:paraId="7B35C9F4"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3681" w:type="dxa"/>
            <w:vAlign w:val="center"/>
          </w:tcPr>
          <w:p w14:paraId="59919DB6"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r>
              <w:rPr>
                <w:rFonts w:eastAsia="SimHei" w:hint="eastAsia"/>
                <w:bCs/>
                <w:sz w:val="20"/>
                <w:szCs w:val="20"/>
                <w:lang w:bidi="en-US"/>
              </w:rPr>
              <w:t xml:space="preserve">; </w:t>
            </w:r>
            <w:r>
              <w:rPr>
                <w:rFonts w:eastAsia="SimHei"/>
                <w:bCs/>
                <w:sz w:val="20"/>
                <w:szCs w:val="20"/>
                <w:lang w:bidi="en-US"/>
              </w:rPr>
              <w:t xml:space="preserve">Metcalfe &amp; </w:t>
            </w:r>
            <w:proofErr w:type="spellStart"/>
            <w:r>
              <w:rPr>
                <w:rFonts w:eastAsia="SimHei"/>
                <w:bCs/>
                <w:sz w:val="20"/>
                <w:szCs w:val="20"/>
                <w:lang w:bidi="en-US"/>
              </w:rPr>
              <w:t>Noom-Ura</w:t>
            </w:r>
            <w:proofErr w:type="spellEnd"/>
            <w:r>
              <w:rPr>
                <w:rFonts w:eastAsia="SimHei"/>
                <w:bCs/>
                <w:sz w:val="20"/>
                <w:szCs w:val="20"/>
                <w:lang w:bidi="en-US"/>
              </w:rPr>
              <w:t xml:space="preserve"> (2013)</w:t>
            </w:r>
          </w:p>
        </w:tc>
      </w:tr>
      <w:tr w:rsidR="000574EE" w14:paraId="15EFBF27" w14:textId="77777777">
        <w:trPr>
          <w:jc w:val="center"/>
        </w:trPr>
        <w:tc>
          <w:tcPr>
            <w:tcW w:w="4195" w:type="dxa"/>
            <w:vAlign w:val="center"/>
          </w:tcPr>
          <w:p w14:paraId="63CD19FC"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Attempt to Think in English</w:t>
            </w:r>
          </w:p>
        </w:tc>
        <w:tc>
          <w:tcPr>
            <w:tcW w:w="1370" w:type="dxa"/>
            <w:vAlign w:val="center"/>
          </w:tcPr>
          <w:p w14:paraId="4E6ACE1C"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3681" w:type="dxa"/>
            <w:vAlign w:val="center"/>
          </w:tcPr>
          <w:p w14:paraId="7271E1C9"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r>
              <w:rPr>
                <w:rFonts w:eastAsia="SimHei" w:hint="eastAsia"/>
                <w:bCs/>
                <w:sz w:val="20"/>
                <w:szCs w:val="20"/>
                <w:lang w:bidi="en-US"/>
              </w:rPr>
              <w:t xml:space="preserve">; </w:t>
            </w:r>
            <w:r>
              <w:rPr>
                <w:rFonts w:eastAsia="SimHei"/>
                <w:bCs/>
                <w:sz w:val="20"/>
                <w:szCs w:val="20"/>
                <w:lang w:bidi="en-US"/>
              </w:rPr>
              <w:t>Sun</w:t>
            </w:r>
            <w:r>
              <w:rPr>
                <w:rFonts w:eastAsia="SimHei" w:hint="eastAsia"/>
                <w:bCs/>
                <w:sz w:val="20"/>
                <w:szCs w:val="20"/>
                <w:lang w:bidi="en-US"/>
              </w:rPr>
              <w:t xml:space="preserve"> et al.</w:t>
            </w:r>
            <w:r>
              <w:rPr>
                <w:rFonts w:eastAsia="SimHei"/>
                <w:bCs/>
                <w:sz w:val="20"/>
                <w:szCs w:val="20"/>
                <w:lang w:bidi="en-US"/>
              </w:rPr>
              <w:t xml:space="preserve"> (2016)</w:t>
            </w:r>
          </w:p>
        </w:tc>
      </w:tr>
    </w:tbl>
    <w:p w14:paraId="2984FAA2" w14:textId="77777777" w:rsidR="000574EE" w:rsidRDefault="00AC3F5F">
      <w:pPr>
        <w:numPr>
          <w:ilvl w:val="0"/>
          <w:numId w:val="3"/>
        </w:numPr>
        <w:autoSpaceDE w:val="0"/>
        <w:autoSpaceDN w:val="0"/>
        <w:spacing w:before="240" w:after="240"/>
        <w:rPr>
          <w:i/>
          <w:iCs/>
          <w:sz w:val="24"/>
          <w:szCs w:val="22"/>
        </w:rPr>
      </w:pPr>
      <w:r>
        <w:rPr>
          <w:i/>
          <w:iCs/>
          <w:sz w:val="24"/>
          <w:szCs w:val="22"/>
        </w:rPr>
        <w:t>Speaking Anxiety</w:t>
      </w:r>
    </w:p>
    <w:p w14:paraId="6D8FECEB" w14:textId="02DB9DB6" w:rsidR="000574EE" w:rsidRDefault="00AC3F5F">
      <w:pPr>
        <w:pStyle w:val="NormalWeb"/>
        <w:widowControl/>
        <w:spacing w:beforeAutospacing="0" w:after="240" w:afterAutospacing="0"/>
        <w:jc w:val="both"/>
        <w:rPr>
          <w:rFonts w:eastAsia="SimHei"/>
          <w:bCs/>
          <w:lang w:bidi="en-US"/>
        </w:rPr>
      </w:pPr>
      <w:r>
        <w:rPr>
          <w:rFonts w:eastAsia="SimHei" w:hint="eastAsia"/>
          <w:bCs/>
          <w:lang w:bidi="en-US"/>
        </w:rPr>
        <w:t>This study references Horwitz et al.'s (1986) questionnaire due to its comprehensive and seminal taxonomy for delineating dimensions of speaking anxiety, as outlined in their "Foreign Language Classroom Anxiety" measurement scale. This scale categorizes speaking anxiety into six distinct types: Interaction Anxiety, Audience Anxiety, Confidence Anxiety, Language Proficiency Anxiety, Negative Evaluation Anxiety, and Test Anxiety</w:t>
      </w:r>
      <w:r w:rsidR="0020453D">
        <w:rPr>
          <w:rFonts w:eastAsia="SimHei"/>
          <w:bCs/>
          <w:lang w:bidi="en-US"/>
        </w:rPr>
        <w:t xml:space="preserve"> (Table 2)</w:t>
      </w:r>
      <w:r>
        <w:rPr>
          <w:rFonts w:eastAsia="SimHei" w:hint="eastAsia"/>
          <w:bCs/>
          <w:lang w:bidi="en-US"/>
        </w:rPr>
        <w:t>. By employing this well-established framework, the study ensures a robust and nuanced measurement of speaking anxiety, facilitating a thorough exploration of its various facets and their impact on English language learning. Furthermore, to enhance the comprehensiveness of the measurement scale utilized in this study, measurement items have been sourced and adapted from the works of Aydin (2008) and Aydin (2014). Following adjustments and modifications, a total of 30 items have been retained for inclusion in the measurement scale.</w:t>
      </w:r>
    </w:p>
    <w:p w14:paraId="4580EBEE" w14:textId="77777777" w:rsidR="000574EE" w:rsidRDefault="00AC3F5F">
      <w:pPr>
        <w:pStyle w:val="NormalWeb"/>
        <w:widowControl/>
        <w:spacing w:beforeAutospacing="0" w:afterAutospacing="0"/>
        <w:jc w:val="both"/>
        <w:rPr>
          <w:rFonts w:eastAsia="SimHei"/>
          <w:bCs/>
          <w:sz w:val="20"/>
          <w:szCs w:val="20"/>
          <w:lang w:bidi="en-US"/>
        </w:rPr>
      </w:pPr>
      <w:r>
        <w:rPr>
          <w:rFonts w:eastAsia="SimHei" w:hint="eastAsia"/>
          <w:bCs/>
          <w:sz w:val="20"/>
          <w:szCs w:val="20"/>
          <w:lang w:bidi="en-US"/>
        </w:rPr>
        <w:t>Table 2: Questionnaire of speaking anxiety</w:t>
      </w:r>
    </w:p>
    <w:tbl>
      <w:tblPr>
        <w:tblStyle w:val="TableGrid"/>
        <w:tblW w:w="4999"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1"/>
        <w:gridCol w:w="1672"/>
        <w:gridCol w:w="3967"/>
      </w:tblGrid>
      <w:tr w:rsidR="000574EE" w14:paraId="23B1CF47" w14:textId="77777777">
        <w:trPr>
          <w:jc w:val="center"/>
        </w:trPr>
        <w:tc>
          <w:tcPr>
            <w:tcW w:w="1891" w:type="pct"/>
            <w:tcBorders>
              <w:top w:val="single" w:sz="4" w:space="0" w:color="auto"/>
              <w:bottom w:val="single" w:sz="4" w:space="0" w:color="auto"/>
            </w:tcBorders>
            <w:vAlign w:val="center"/>
          </w:tcPr>
          <w:p w14:paraId="7DE7ED56" w14:textId="77777777" w:rsidR="000574EE" w:rsidRDefault="00AC3F5F">
            <w:pPr>
              <w:pStyle w:val="NormalWeb"/>
              <w:widowControl/>
              <w:spacing w:beforeAutospacing="0" w:afterAutospacing="0"/>
              <w:jc w:val="center"/>
              <w:rPr>
                <w:rFonts w:eastAsia="SimHei"/>
                <w:b/>
                <w:sz w:val="20"/>
                <w:szCs w:val="20"/>
                <w:lang w:bidi="en-US"/>
              </w:rPr>
            </w:pPr>
            <w:r>
              <w:rPr>
                <w:rFonts w:eastAsia="SimHei" w:hint="eastAsia"/>
                <w:b/>
                <w:sz w:val="20"/>
                <w:szCs w:val="20"/>
                <w:lang w:bidi="en-US"/>
              </w:rPr>
              <w:t>D</w:t>
            </w:r>
            <w:r>
              <w:rPr>
                <w:rFonts w:eastAsia="SimHei"/>
                <w:b/>
                <w:sz w:val="20"/>
                <w:szCs w:val="20"/>
                <w:lang w:bidi="en-US"/>
              </w:rPr>
              <w:t>imension</w:t>
            </w:r>
          </w:p>
        </w:tc>
        <w:tc>
          <w:tcPr>
            <w:tcW w:w="921" w:type="pct"/>
            <w:tcBorders>
              <w:top w:val="single" w:sz="4" w:space="0" w:color="auto"/>
              <w:bottom w:val="single" w:sz="4" w:space="0" w:color="auto"/>
            </w:tcBorders>
            <w:vAlign w:val="center"/>
          </w:tcPr>
          <w:p w14:paraId="45890151" w14:textId="77777777" w:rsidR="000574EE" w:rsidRDefault="00AC3F5F">
            <w:pPr>
              <w:pStyle w:val="NormalWeb"/>
              <w:widowControl/>
              <w:spacing w:beforeAutospacing="0" w:afterAutospacing="0"/>
              <w:jc w:val="center"/>
              <w:rPr>
                <w:rFonts w:eastAsia="SimHei"/>
                <w:b/>
                <w:sz w:val="20"/>
                <w:szCs w:val="20"/>
                <w:lang w:bidi="en-US"/>
              </w:rPr>
            </w:pPr>
            <w:r>
              <w:rPr>
                <w:rFonts w:eastAsia="SimHei"/>
                <w:b/>
                <w:sz w:val="20"/>
                <w:szCs w:val="20"/>
                <w:lang w:bidi="en-US"/>
              </w:rPr>
              <w:t>Number of questions</w:t>
            </w:r>
          </w:p>
        </w:tc>
        <w:tc>
          <w:tcPr>
            <w:tcW w:w="2187" w:type="pct"/>
            <w:tcBorders>
              <w:top w:val="single" w:sz="4" w:space="0" w:color="auto"/>
              <w:bottom w:val="single" w:sz="4" w:space="0" w:color="auto"/>
            </w:tcBorders>
            <w:vAlign w:val="center"/>
          </w:tcPr>
          <w:p w14:paraId="34044AAE" w14:textId="77777777" w:rsidR="000574EE" w:rsidRDefault="00AC3F5F">
            <w:pPr>
              <w:pStyle w:val="NormalWeb"/>
              <w:widowControl/>
              <w:spacing w:beforeAutospacing="0" w:afterAutospacing="0"/>
              <w:jc w:val="center"/>
              <w:rPr>
                <w:rFonts w:eastAsia="SimHei"/>
                <w:b/>
                <w:sz w:val="20"/>
                <w:szCs w:val="20"/>
                <w:lang w:bidi="en-US"/>
              </w:rPr>
            </w:pPr>
            <w:r>
              <w:rPr>
                <w:rFonts w:eastAsia="SimHei"/>
                <w:b/>
                <w:sz w:val="20"/>
                <w:szCs w:val="20"/>
                <w:lang w:bidi="en-US"/>
              </w:rPr>
              <w:t>Source</w:t>
            </w:r>
          </w:p>
        </w:tc>
      </w:tr>
      <w:tr w:rsidR="000574EE" w14:paraId="02CF196C" w14:textId="77777777">
        <w:trPr>
          <w:jc w:val="center"/>
        </w:trPr>
        <w:tc>
          <w:tcPr>
            <w:tcW w:w="1891" w:type="pct"/>
            <w:tcBorders>
              <w:top w:val="single" w:sz="4" w:space="0" w:color="auto"/>
            </w:tcBorders>
            <w:vAlign w:val="center"/>
          </w:tcPr>
          <w:p w14:paraId="77699701" w14:textId="77777777" w:rsidR="000574EE" w:rsidRDefault="00AC3F5F">
            <w:pPr>
              <w:pStyle w:val="NormalWeb"/>
              <w:widowControl/>
              <w:spacing w:beforeAutospacing="0" w:afterAutospacing="0"/>
              <w:rPr>
                <w:rFonts w:eastAsia="SimHei"/>
                <w:bCs/>
                <w:sz w:val="20"/>
                <w:szCs w:val="20"/>
                <w:lang w:bidi="en-US"/>
              </w:rPr>
            </w:pPr>
            <w:r>
              <w:rPr>
                <w:rFonts w:eastAsia="SimHei" w:hint="eastAsia"/>
                <w:bCs/>
                <w:sz w:val="20"/>
                <w:szCs w:val="20"/>
                <w:lang w:bidi="en-US"/>
              </w:rPr>
              <w:t>I</w:t>
            </w:r>
            <w:r>
              <w:rPr>
                <w:rFonts w:eastAsia="SimHei"/>
                <w:bCs/>
                <w:sz w:val="20"/>
                <w:szCs w:val="20"/>
                <w:lang w:bidi="en-US"/>
              </w:rPr>
              <w:t>nteraction Anxiety</w:t>
            </w:r>
          </w:p>
        </w:tc>
        <w:tc>
          <w:tcPr>
            <w:tcW w:w="921" w:type="pct"/>
            <w:tcBorders>
              <w:top w:val="single" w:sz="4" w:space="0" w:color="auto"/>
            </w:tcBorders>
            <w:vAlign w:val="center"/>
          </w:tcPr>
          <w:p w14:paraId="28D2F4C1"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187" w:type="pct"/>
            <w:tcBorders>
              <w:top w:val="single" w:sz="4" w:space="0" w:color="auto"/>
            </w:tcBorders>
            <w:vAlign w:val="center"/>
          </w:tcPr>
          <w:p w14:paraId="40045F76" w14:textId="77777777" w:rsidR="000574EE" w:rsidRDefault="00AC3F5F">
            <w:pPr>
              <w:pStyle w:val="NormalWeb"/>
              <w:widowControl/>
              <w:spacing w:beforeAutospacing="0" w:afterAutospacing="0"/>
              <w:jc w:val="both"/>
              <w:rPr>
                <w:rFonts w:eastAsia="SimHei"/>
                <w:bCs/>
                <w:sz w:val="20"/>
                <w:szCs w:val="20"/>
                <w:lang w:bidi="en-US"/>
              </w:rPr>
            </w:pPr>
            <w:r>
              <w:rPr>
                <w:rFonts w:eastAsia="SimHei"/>
                <w:bCs/>
                <w:sz w:val="20"/>
                <w:szCs w:val="20"/>
                <w:lang w:bidi="en-US"/>
              </w:rPr>
              <w:t>Horwitz et al. (1986)</w:t>
            </w:r>
          </w:p>
        </w:tc>
      </w:tr>
      <w:tr w:rsidR="000574EE" w14:paraId="429F1D71" w14:textId="77777777">
        <w:trPr>
          <w:jc w:val="center"/>
        </w:trPr>
        <w:tc>
          <w:tcPr>
            <w:tcW w:w="1891" w:type="pct"/>
            <w:vAlign w:val="center"/>
          </w:tcPr>
          <w:p w14:paraId="5E0EF8C2"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Audience Anxiety</w:t>
            </w:r>
          </w:p>
        </w:tc>
        <w:tc>
          <w:tcPr>
            <w:tcW w:w="921" w:type="pct"/>
            <w:vAlign w:val="center"/>
          </w:tcPr>
          <w:p w14:paraId="7F6A10FA"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187" w:type="pct"/>
            <w:vAlign w:val="center"/>
          </w:tcPr>
          <w:p w14:paraId="231A4A3F" w14:textId="77777777" w:rsidR="000574EE" w:rsidRDefault="00AC3F5F">
            <w:pPr>
              <w:pStyle w:val="NormalWeb"/>
              <w:widowControl/>
              <w:spacing w:beforeAutospacing="0" w:afterAutospacing="0"/>
              <w:jc w:val="both"/>
              <w:rPr>
                <w:rFonts w:eastAsia="SimHei"/>
                <w:bCs/>
                <w:sz w:val="20"/>
                <w:szCs w:val="20"/>
                <w:lang w:bidi="en-US"/>
              </w:rPr>
            </w:pPr>
            <w:r>
              <w:rPr>
                <w:rFonts w:eastAsia="SimHei"/>
                <w:bCs/>
                <w:sz w:val="20"/>
                <w:szCs w:val="20"/>
                <w:lang w:bidi="en-US"/>
              </w:rPr>
              <w:t>Horwitz et al. (1986)</w:t>
            </w:r>
          </w:p>
        </w:tc>
      </w:tr>
      <w:tr w:rsidR="000574EE" w14:paraId="2B5DE926" w14:textId="77777777">
        <w:trPr>
          <w:jc w:val="center"/>
        </w:trPr>
        <w:tc>
          <w:tcPr>
            <w:tcW w:w="1891" w:type="pct"/>
            <w:vAlign w:val="center"/>
          </w:tcPr>
          <w:p w14:paraId="6D39479F"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Confidence Anxiety</w:t>
            </w:r>
          </w:p>
        </w:tc>
        <w:tc>
          <w:tcPr>
            <w:tcW w:w="921" w:type="pct"/>
            <w:vAlign w:val="center"/>
          </w:tcPr>
          <w:p w14:paraId="497D9B38"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187" w:type="pct"/>
            <w:vAlign w:val="center"/>
          </w:tcPr>
          <w:p w14:paraId="72B881F1" w14:textId="77777777" w:rsidR="000574EE" w:rsidRDefault="00AC3F5F">
            <w:pPr>
              <w:pStyle w:val="NormalWeb"/>
              <w:widowControl/>
              <w:spacing w:beforeAutospacing="0" w:afterAutospacing="0"/>
              <w:jc w:val="both"/>
              <w:rPr>
                <w:rFonts w:eastAsia="SimHei"/>
                <w:bCs/>
                <w:sz w:val="20"/>
                <w:szCs w:val="20"/>
                <w:lang w:bidi="en-US"/>
              </w:rPr>
            </w:pPr>
            <w:r>
              <w:rPr>
                <w:rFonts w:eastAsia="SimHei"/>
                <w:bCs/>
                <w:sz w:val="20"/>
                <w:szCs w:val="20"/>
                <w:lang w:bidi="en-US"/>
              </w:rPr>
              <w:t>Horwitz et al. (1986)</w:t>
            </w:r>
          </w:p>
        </w:tc>
      </w:tr>
      <w:tr w:rsidR="000574EE" w14:paraId="12EBF98E" w14:textId="77777777">
        <w:trPr>
          <w:jc w:val="center"/>
        </w:trPr>
        <w:tc>
          <w:tcPr>
            <w:tcW w:w="1891" w:type="pct"/>
            <w:vAlign w:val="center"/>
          </w:tcPr>
          <w:p w14:paraId="4CC60E2D"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Language Proficiency Anxiety</w:t>
            </w:r>
          </w:p>
        </w:tc>
        <w:tc>
          <w:tcPr>
            <w:tcW w:w="921" w:type="pct"/>
            <w:vAlign w:val="center"/>
          </w:tcPr>
          <w:p w14:paraId="651AB71A"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187" w:type="pct"/>
            <w:vAlign w:val="center"/>
          </w:tcPr>
          <w:p w14:paraId="4CEF49B8" w14:textId="77777777" w:rsidR="000574EE" w:rsidRDefault="00AC3F5F">
            <w:pPr>
              <w:pStyle w:val="NormalWeb"/>
              <w:widowControl/>
              <w:spacing w:beforeAutospacing="0" w:afterAutospacing="0"/>
              <w:jc w:val="both"/>
              <w:rPr>
                <w:rFonts w:eastAsia="SimHei"/>
                <w:bCs/>
                <w:sz w:val="20"/>
                <w:szCs w:val="20"/>
                <w:lang w:bidi="en-US"/>
              </w:rPr>
            </w:pPr>
            <w:r>
              <w:rPr>
                <w:rFonts w:eastAsia="SimHei"/>
                <w:bCs/>
                <w:sz w:val="20"/>
                <w:szCs w:val="20"/>
                <w:lang w:bidi="en-US"/>
              </w:rPr>
              <w:t>Horwitz et al. (1986)</w:t>
            </w:r>
          </w:p>
        </w:tc>
      </w:tr>
      <w:tr w:rsidR="000574EE" w14:paraId="2E8A7451" w14:textId="77777777">
        <w:trPr>
          <w:jc w:val="center"/>
        </w:trPr>
        <w:tc>
          <w:tcPr>
            <w:tcW w:w="1891" w:type="pct"/>
            <w:vAlign w:val="center"/>
          </w:tcPr>
          <w:p w14:paraId="01D16AAC"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Negative Evaluation Anxiety</w:t>
            </w:r>
          </w:p>
        </w:tc>
        <w:tc>
          <w:tcPr>
            <w:tcW w:w="921" w:type="pct"/>
            <w:vAlign w:val="center"/>
          </w:tcPr>
          <w:p w14:paraId="59F5F0CB"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187" w:type="pct"/>
            <w:vAlign w:val="center"/>
          </w:tcPr>
          <w:p w14:paraId="4B239150" w14:textId="77777777" w:rsidR="000574EE" w:rsidRDefault="00AC3F5F">
            <w:pPr>
              <w:pStyle w:val="NormalWeb"/>
              <w:widowControl/>
              <w:spacing w:beforeAutospacing="0" w:afterAutospacing="0"/>
              <w:jc w:val="both"/>
              <w:rPr>
                <w:rFonts w:eastAsia="SimHei"/>
                <w:bCs/>
                <w:sz w:val="20"/>
                <w:szCs w:val="20"/>
                <w:lang w:bidi="en-US"/>
              </w:rPr>
            </w:pPr>
            <w:r>
              <w:rPr>
                <w:rFonts w:eastAsia="SimHei"/>
                <w:bCs/>
                <w:sz w:val="20"/>
                <w:szCs w:val="20"/>
                <w:lang w:bidi="en-US"/>
              </w:rPr>
              <w:t>Horwitz et al. (1986)</w:t>
            </w:r>
            <w:r>
              <w:rPr>
                <w:rFonts w:eastAsia="SimHei" w:hint="eastAsia"/>
                <w:bCs/>
                <w:sz w:val="20"/>
                <w:szCs w:val="20"/>
                <w:lang w:bidi="en-US"/>
              </w:rPr>
              <w:t xml:space="preserve">, Aydin </w:t>
            </w:r>
            <w:r>
              <w:rPr>
                <w:rFonts w:eastAsia="SimHei"/>
                <w:bCs/>
                <w:sz w:val="20"/>
                <w:szCs w:val="20"/>
                <w:lang w:bidi="en-US"/>
              </w:rPr>
              <w:t>(2008)</w:t>
            </w:r>
          </w:p>
        </w:tc>
      </w:tr>
      <w:tr w:rsidR="000574EE" w14:paraId="102CF28A" w14:textId="77777777">
        <w:trPr>
          <w:jc w:val="center"/>
        </w:trPr>
        <w:tc>
          <w:tcPr>
            <w:tcW w:w="1891" w:type="pct"/>
            <w:vAlign w:val="center"/>
          </w:tcPr>
          <w:p w14:paraId="109D217E"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Test Anxiety</w:t>
            </w:r>
          </w:p>
        </w:tc>
        <w:tc>
          <w:tcPr>
            <w:tcW w:w="921" w:type="pct"/>
            <w:vAlign w:val="center"/>
          </w:tcPr>
          <w:p w14:paraId="771A9EFC"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187" w:type="pct"/>
            <w:vAlign w:val="center"/>
          </w:tcPr>
          <w:p w14:paraId="53521CF0" w14:textId="77777777" w:rsidR="000574EE" w:rsidRDefault="00AC3F5F">
            <w:pPr>
              <w:pStyle w:val="NormalWeb"/>
              <w:widowControl/>
              <w:spacing w:beforeAutospacing="0" w:afterAutospacing="0"/>
              <w:jc w:val="both"/>
              <w:rPr>
                <w:rFonts w:eastAsia="SimHei"/>
                <w:bCs/>
                <w:sz w:val="20"/>
                <w:szCs w:val="20"/>
                <w:lang w:bidi="en-US"/>
              </w:rPr>
            </w:pPr>
            <w:r>
              <w:rPr>
                <w:rFonts w:eastAsia="SimHei"/>
                <w:bCs/>
                <w:sz w:val="20"/>
                <w:szCs w:val="20"/>
                <w:lang w:bidi="en-US"/>
              </w:rPr>
              <w:t>Horwitz et al. (1986)</w:t>
            </w:r>
            <w:r>
              <w:rPr>
                <w:rFonts w:eastAsia="SimHei" w:hint="eastAsia"/>
                <w:bCs/>
                <w:sz w:val="20"/>
                <w:szCs w:val="20"/>
                <w:lang w:bidi="en-US"/>
              </w:rPr>
              <w:t>, Aydin</w:t>
            </w:r>
            <w:r>
              <w:rPr>
                <w:rFonts w:eastAsia="SimHei"/>
                <w:bCs/>
                <w:sz w:val="20"/>
                <w:szCs w:val="20"/>
                <w:lang w:bidi="en-US"/>
              </w:rPr>
              <w:t xml:space="preserve"> (201</w:t>
            </w:r>
            <w:r>
              <w:rPr>
                <w:rFonts w:eastAsia="SimHei" w:hint="eastAsia"/>
                <w:bCs/>
                <w:sz w:val="20"/>
                <w:szCs w:val="20"/>
                <w:lang w:bidi="en-US"/>
              </w:rPr>
              <w:t>4</w:t>
            </w:r>
            <w:r>
              <w:rPr>
                <w:rFonts w:eastAsia="SimHei"/>
                <w:bCs/>
                <w:sz w:val="20"/>
                <w:szCs w:val="20"/>
                <w:lang w:bidi="en-US"/>
              </w:rPr>
              <w:t>)</w:t>
            </w:r>
          </w:p>
        </w:tc>
      </w:tr>
    </w:tbl>
    <w:p w14:paraId="27615952" w14:textId="77777777" w:rsidR="000574EE" w:rsidRDefault="00AC3F5F">
      <w:pPr>
        <w:numPr>
          <w:ilvl w:val="0"/>
          <w:numId w:val="3"/>
        </w:numPr>
        <w:autoSpaceDE w:val="0"/>
        <w:autoSpaceDN w:val="0"/>
        <w:spacing w:before="240" w:after="240"/>
        <w:rPr>
          <w:i/>
          <w:iCs/>
          <w:sz w:val="24"/>
          <w:szCs w:val="22"/>
        </w:rPr>
      </w:pPr>
      <w:r>
        <w:rPr>
          <w:i/>
          <w:iCs/>
          <w:sz w:val="24"/>
          <w:szCs w:val="22"/>
        </w:rPr>
        <w:t>Learning Motivation</w:t>
      </w:r>
    </w:p>
    <w:p w14:paraId="5CAC79AD" w14:textId="6492C899" w:rsidR="000574EE" w:rsidRDefault="00AC3F5F">
      <w:pPr>
        <w:pStyle w:val="NormalWeb"/>
        <w:widowControl/>
        <w:spacing w:beforeAutospacing="0" w:after="240" w:afterAutospacing="0"/>
        <w:jc w:val="both"/>
        <w:rPr>
          <w:rFonts w:eastAsia="SimHei"/>
          <w:bCs/>
          <w:lang w:bidi="en-US"/>
        </w:rPr>
      </w:pPr>
      <w:r>
        <w:rPr>
          <w:rFonts w:eastAsia="SimHei" w:hint="eastAsia"/>
          <w:bCs/>
          <w:lang w:bidi="en-US"/>
        </w:rPr>
        <w:t>The classification of learning motivation dimensions in this study is based on Aydin et al.'s (2014) "Academic Motivation Scale for Learning Biology," which categorizes motivation into four distinct types: Intrinsic Motivation, Amotivation, External Motivation - Career, and External Motivation - Social. The choice of Aydin et al.'s scale is motivated by its divergence from the traditional classification of intrinsic and extrinsic motivation used by many predecessors, as it incorporates Amotivation. Additionally, it more specifically divides extrinsic motivation into two categories: occupational and social</w:t>
      </w:r>
      <w:r w:rsidR="0020453D">
        <w:rPr>
          <w:rFonts w:eastAsia="SimHei"/>
          <w:bCs/>
          <w:lang w:bidi="en-US"/>
        </w:rPr>
        <w:t xml:space="preserve"> (Table 3)</w:t>
      </w:r>
      <w:r>
        <w:rPr>
          <w:rFonts w:eastAsia="SimHei" w:hint="eastAsia"/>
          <w:bCs/>
          <w:lang w:bidi="en-US"/>
        </w:rPr>
        <w:t xml:space="preserve">. Utilizing Aydin et al. (2014)'s scale allows for a more nuanced understanding of motivation across various contexts and domains. Furthermore, to enhance the comprehensiveness of the measurement scale used in </w:t>
      </w:r>
      <w:r>
        <w:rPr>
          <w:rFonts w:eastAsia="SimHei" w:hint="eastAsia"/>
          <w:bCs/>
          <w:lang w:bidi="en-US"/>
        </w:rPr>
        <w:lastRenderedPageBreak/>
        <w:t xml:space="preserve">this study, measurement items were sourced and adapted from the works of </w:t>
      </w:r>
      <w:proofErr w:type="spellStart"/>
      <w:r>
        <w:rPr>
          <w:rFonts w:eastAsia="SimHei" w:hint="eastAsia"/>
          <w:bCs/>
          <w:lang w:bidi="en-US"/>
        </w:rPr>
        <w:t>Schreglmann</w:t>
      </w:r>
      <w:proofErr w:type="spellEnd"/>
      <w:r>
        <w:rPr>
          <w:rFonts w:eastAsia="SimHei" w:hint="eastAsia"/>
          <w:bCs/>
          <w:lang w:bidi="en-US"/>
        </w:rPr>
        <w:t xml:space="preserve"> (2018), Lim (2012), and Selvarajah et al. (2021). Following adjustments and refinements, a total of 22 items were retained for inclusion in the measurement scale.</w:t>
      </w:r>
    </w:p>
    <w:p w14:paraId="5FC4C859" w14:textId="77777777" w:rsidR="000574EE" w:rsidRDefault="00AC3F5F">
      <w:pPr>
        <w:pStyle w:val="NormalWeb"/>
        <w:widowControl/>
        <w:spacing w:beforeAutospacing="0" w:afterAutospacing="0"/>
        <w:jc w:val="both"/>
        <w:rPr>
          <w:rFonts w:eastAsia="SimHei"/>
          <w:bCs/>
          <w:sz w:val="20"/>
          <w:szCs w:val="20"/>
          <w:lang w:bidi="en-US"/>
        </w:rPr>
      </w:pPr>
      <w:r>
        <w:rPr>
          <w:rFonts w:eastAsia="SimHei" w:hint="eastAsia"/>
          <w:bCs/>
          <w:sz w:val="20"/>
          <w:szCs w:val="20"/>
          <w:lang w:bidi="en-US"/>
        </w:rPr>
        <w:t>Table 3: questionnaire of learning motivation</w:t>
      </w:r>
    </w:p>
    <w:tbl>
      <w:tblPr>
        <w:tblStyle w:val="TableGrid"/>
        <w:tblW w:w="4997"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0"/>
        <w:gridCol w:w="1561"/>
        <w:gridCol w:w="4196"/>
      </w:tblGrid>
      <w:tr w:rsidR="000574EE" w14:paraId="25A386BF" w14:textId="77777777">
        <w:tc>
          <w:tcPr>
            <w:tcW w:w="1825" w:type="pct"/>
            <w:tcBorders>
              <w:bottom w:val="single" w:sz="4" w:space="0" w:color="auto"/>
            </w:tcBorders>
            <w:vAlign w:val="center"/>
          </w:tcPr>
          <w:p w14:paraId="1B46EAC1" w14:textId="77777777" w:rsidR="000574EE" w:rsidRDefault="00AC3F5F">
            <w:pPr>
              <w:pStyle w:val="NormalWeb"/>
              <w:widowControl/>
              <w:spacing w:beforeAutospacing="0" w:afterAutospacing="0"/>
              <w:jc w:val="center"/>
              <w:rPr>
                <w:rFonts w:eastAsia="SimHei"/>
                <w:b/>
                <w:sz w:val="20"/>
                <w:szCs w:val="20"/>
                <w:lang w:bidi="en-US"/>
              </w:rPr>
            </w:pPr>
            <w:r>
              <w:rPr>
                <w:rFonts w:eastAsia="SimHei" w:hint="eastAsia"/>
                <w:b/>
                <w:sz w:val="20"/>
                <w:szCs w:val="20"/>
                <w:lang w:bidi="en-US"/>
              </w:rPr>
              <w:t>D</w:t>
            </w:r>
            <w:r>
              <w:rPr>
                <w:rFonts w:eastAsia="SimHei"/>
                <w:b/>
                <w:sz w:val="20"/>
                <w:szCs w:val="20"/>
                <w:lang w:bidi="en-US"/>
              </w:rPr>
              <w:t>imension</w:t>
            </w:r>
          </w:p>
        </w:tc>
        <w:tc>
          <w:tcPr>
            <w:tcW w:w="860" w:type="pct"/>
            <w:tcBorders>
              <w:bottom w:val="single" w:sz="4" w:space="0" w:color="auto"/>
            </w:tcBorders>
            <w:vAlign w:val="center"/>
          </w:tcPr>
          <w:p w14:paraId="0AA8C196" w14:textId="77777777" w:rsidR="000574EE" w:rsidRDefault="00AC3F5F">
            <w:pPr>
              <w:pStyle w:val="NormalWeb"/>
              <w:widowControl/>
              <w:spacing w:beforeAutospacing="0" w:afterAutospacing="0"/>
              <w:jc w:val="center"/>
              <w:rPr>
                <w:rFonts w:eastAsia="SimHei"/>
                <w:b/>
                <w:sz w:val="20"/>
                <w:szCs w:val="20"/>
                <w:lang w:bidi="en-US"/>
              </w:rPr>
            </w:pPr>
            <w:r>
              <w:rPr>
                <w:rFonts w:eastAsia="SimHei"/>
                <w:b/>
                <w:sz w:val="20"/>
                <w:szCs w:val="20"/>
                <w:lang w:bidi="en-US"/>
              </w:rPr>
              <w:t>Number of questions</w:t>
            </w:r>
          </w:p>
        </w:tc>
        <w:tc>
          <w:tcPr>
            <w:tcW w:w="2314" w:type="pct"/>
            <w:tcBorders>
              <w:bottom w:val="single" w:sz="4" w:space="0" w:color="auto"/>
            </w:tcBorders>
            <w:vAlign w:val="center"/>
          </w:tcPr>
          <w:p w14:paraId="0717584F" w14:textId="77777777" w:rsidR="000574EE" w:rsidRDefault="00AC3F5F">
            <w:pPr>
              <w:pStyle w:val="NormalWeb"/>
              <w:widowControl/>
              <w:spacing w:beforeAutospacing="0" w:afterAutospacing="0"/>
              <w:jc w:val="center"/>
              <w:rPr>
                <w:rFonts w:eastAsia="SimHei"/>
                <w:b/>
                <w:sz w:val="20"/>
                <w:szCs w:val="20"/>
                <w:lang w:bidi="en-US"/>
              </w:rPr>
            </w:pPr>
            <w:r>
              <w:rPr>
                <w:rFonts w:eastAsia="SimHei"/>
                <w:b/>
                <w:sz w:val="20"/>
                <w:szCs w:val="20"/>
                <w:lang w:bidi="en-US"/>
              </w:rPr>
              <w:t>Source</w:t>
            </w:r>
          </w:p>
        </w:tc>
      </w:tr>
      <w:tr w:rsidR="000574EE" w14:paraId="4CA501F2" w14:textId="77777777">
        <w:tc>
          <w:tcPr>
            <w:tcW w:w="1825" w:type="pct"/>
            <w:tcBorders>
              <w:top w:val="single" w:sz="4" w:space="0" w:color="auto"/>
            </w:tcBorders>
            <w:vAlign w:val="center"/>
          </w:tcPr>
          <w:p w14:paraId="0D752222" w14:textId="77777777" w:rsidR="000574EE" w:rsidRDefault="00AC3F5F">
            <w:pPr>
              <w:pStyle w:val="NormalWeb"/>
              <w:widowControl/>
              <w:spacing w:beforeAutospacing="0" w:afterAutospacing="0"/>
              <w:jc w:val="both"/>
              <w:rPr>
                <w:rFonts w:eastAsia="SimHei"/>
                <w:bCs/>
                <w:sz w:val="20"/>
                <w:szCs w:val="20"/>
                <w:lang w:bidi="en-US"/>
              </w:rPr>
            </w:pPr>
            <w:r>
              <w:rPr>
                <w:rFonts w:eastAsia="SimHei"/>
                <w:bCs/>
                <w:sz w:val="20"/>
                <w:szCs w:val="20"/>
                <w:lang w:bidi="en-US"/>
              </w:rPr>
              <w:t xml:space="preserve">Intrinsic </w:t>
            </w:r>
            <w:r>
              <w:rPr>
                <w:rFonts w:eastAsia="SimHei" w:hint="eastAsia"/>
                <w:bCs/>
                <w:sz w:val="20"/>
                <w:szCs w:val="20"/>
                <w:lang w:bidi="en-US"/>
              </w:rPr>
              <w:t>M</w:t>
            </w:r>
            <w:r>
              <w:rPr>
                <w:rFonts w:eastAsia="SimHei"/>
                <w:bCs/>
                <w:sz w:val="20"/>
                <w:szCs w:val="20"/>
                <w:lang w:bidi="en-US"/>
              </w:rPr>
              <w:t>otivation</w:t>
            </w:r>
          </w:p>
        </w:tc>
        <w:tc>
          <w:tcPr>
            <w:tcW w:w="860" w:type="pct"/>
            <w:tcBorders>
              <w:top w:val="single" w:sz="4" w:space="0" w:color="auto"/>
            </w:tcBorders>
            <w:vAlign w:val="center"/>
          </w:tcPr>
          <w:p w14:paraId="61AB3689"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6</w:t>
            </w:r>
          </w:p>
        </w:tc>
        <w:tc>
          <w:tcPr>
            <w:tcW w:w="2314" w:type="pct"/>
            <w:tcBorders>
              <w:top w:val="single" w:sz="4" w:space="0" w:color="auto"/>
            </w:tcBorders>
            <w:vAlign w:val="center"/>
          </w:tcPr>
          <w:p w14:paraId="00580ADA" w14:textId="77777777" w:rsidR="000574EE" w:rsidRDefault="00AC3F5F">
            <w:pPr>
              <w:pStyle w:val="NormalWeb"/>
              <w:widowControl/>
              <w:spacing w:beforeAutospacing="0" w:afterAutospacing="0"/>
              <w:jc w:val="both"/>
              <w:rPr>
                <w:rFonts w:eastAsia="SimHei"/>
                <w:bCs/>
                <w:sz w:val="20"/>
                <w:szCs w:val="20"/>
                <w:lang w:bidi="en-US"/>
              </w:rPr>
            </w:pPr>
            <w:r>
              <w:rPr>
                <w:rFonts w:eastAsia="SimHei" w:hint="eastAsia"/>
                <w:bCs/>
                <w:sz w:val="20"/>
                <w:szCs w:val="20"/>
                <w:lang w:bidi="en-US"/>
              </w:rPr>
              <w:t>Aydin</w:t>
            </w:r>
            <w:r>
              <w:rPr>
                <w:rFonts w:eastAsia="SimHei"/>
                <w:bCs/>
                <w:sz w:val="20"/>
                <w:szCs w:val="20"/>
                <w:lang w:bidi="en-US"/>
              </w:rPr>
              <w:t xml:space="preserve"> et al. (2014)</w:t>
            </w:r>
          </w:p>
        </w:tc>
      </w:tr>
      <w:tr w:rsidR="000574EE" w14:paraId="47528724" w14:textId="77777777">
        <w:tc>
          <w:tcPr>
            <w:tcW w:w="1825" w:type="pct"/>
            <w:vAlign w:val="center"/>
          </w:tcPr>
          <w:p w14:paraId="714875F5" w14:textId="77777777" w:rsidR="000574EE" w:rsidRDefault="00AC3F5F">
            <w:pPr>
              <w:pStyle w:val="NormalWeb"/>
              <w:widowControl/>
              <w:spacing w:beforeAutospacing="0" w:afterAutospacing="0"/>
              <w:jc w:val="both"/>
              <w:rPr>
                <w:rFonts w:eastAsia="SimHei"/>
                <w:bCs/>
                <w:sz w:val="20"/>
                <w:szCs w:val="20"/>
                <w:lang w:bidi="en-US"/>
              </w:rPr>
            </w:pPr>
            <w:r>
              <w:rPr>
                <w:rFonts w:eastAsia="SimHei"/>
                <w:bCs/>
                <w:sz w:val="20"/>
                <w:szCs w:val="20"/>
                <w:lang w:bidi="en-US"/>
              </w:rPr>
              <w:t>Amotivation</w:t>
            </w:r>
          </w:p>
        </w:tc>
        <w:tc>
          <w:tcPr>
            <w:tcW w:w="860" w:type="pct"/>
            <w:vAlign w:val="center"/>
          </w:tcPr>
          <w:p w14:paraId="03E22674"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6</w:t>
            </w:r>
          </w:p>
        </w:tc>
        <w:tc>
          <w:tcPr>
            <w:tcW w:w="2314" w:type="pct"/>
            <w:vAlign w:val="center"/>
          </w:tcPr>
          <w:p w14:paraId="15E9D9BB" w14:textId="77777777" w:rsidR="000574EE" w:rsidRDefault="00AC3F5F">
            <w:pPr>
              <w:pStyle w:val="NormalWeb"/>
              <w:widowControl/>
              <w:spacing w:beforeAutospacing="0" w:afterAutospacing="0"/>
              <w:jc w:val="both"/>
              <w:rPr>
                <w:rFonts w:eastAsia="SimHei"/>
                <w:bCs/>
                <w:sz w:val="20"/>
                <w:szCs w:val="20"/>
                <w:lang w:bidi="en-US"/>
              </w:rPr>
            </w:pPr>
            <w:r>
              <w:rPr>
                <w:rFonts w:eastAsia="SimHei" w:hint="eastAsia"/>
                <w:bCs/>
                <w:sz w:val="20"/>
                <w:szCs w:val="20"/>
                <w:lang w:bidi="en-US"/>
              </w:rPr>
              <w:t>Aydin</w:t>
            </w:r>
            <w:r>
              <w:rPr>
                <w:rFonts w:eastAsia="SimHei"/>
                <w:bCs/>
                <w:sz w:val="20"/>
                <w:szCs w:val="20"/>
                <w:lang w:bidi="en-US"/>
              </w:rPr>
              <w:t xml:space="preserve"> et al. (2014)</w:t>
            </w:r>
            <w:r>
              <w:rPr>
                <w:rFonts w:eastAsia="SimHei" w:hint="eastAsia"/>
                <w:bCs/>
                <w:sz w:val="20"/>
                <w:szCs w:val="20"/>
                <w:lang w:bidi="en-US"/>
              </w:rPr>
              <w:t xml:space="preserve">, </w:t>
            </w:r>
            <w:r>
              <w:rPr>
                <w:rFonts w:eastAsia="SimHei"/>
                <w:bCs/>
                <w:sz w:val="20"/>
                <w:szCs w:val="20"/>
                <w:lang w:bidi="en-US"/>
              </w:rPr>
              <w:t>Schreglmann (2018)</w:t>
            </w:r>
          </w:p>
        </w:tc>
      </w:tr>
      <w:tr w:rsidR="000574EE" w14:paraId="68B536A0" w14:textId="77777777">
        <w:tc>
          <w:tcPr>
            <w:tcW w:w="1825" w:type="pct"/>
            <w:vAlign w:val="center"/>
          </w:tcPr>
          <w:p w14:paraId="4417505C" w14:textId="77777777" w:rsidR="000574EE" w:rsidRDefault="00AC3F5F">
            <w:pPr>
              <w:pStyle w:val="NormalWeb"/>
              <w:widowControl/>
              <w:spacing w:beforeAutospacing="0" w:afterAutospacing="0"/>
              <w:jc w:val="both"/>
              <w:rPr>
                <w:rFonts w:eastAsia="SimHei"/>
                <w:bCs/>
                <w:sz w:val="20"/>
                <w:szCs w:val="20"/>
                <w:lang w:bidi="en-US"/>
              </w:rPr>
            </w:pPr>
            <w:r>
              <w:rPr>
                <w:rFonts w:eastAsia="SimHei"/>
                <w:bCs/>
                <w:sz w:val="20"/>
                <w:szCs w:val="20"/>
                <w:lang w:bidi="en-US"/>
              </w:rPr>
              <w:t>External Motivation - Career</w:t>
            </w:r>
          </w:p>
        </w:tc>
        <w:tc>
          <w:tcPr>
            <w:tcW w:w="860" w:type="pct"/>
            <w:vAlign w:val="center"/>
          </w:tcPr>
          <w:p w14:paraId="4D72C2EC"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314" w:type="pct"/>
            <w:vAlign w:val="center"/>
          </w:tcPr>
          <w:p w14:paraId="46ACA7FC" w14:textId="77777777" w:rsidR="000574EE" w:rsidRDefault="00AC3F5F">
            <w:pPr>
              <w:pStyle w:val="NormalWeb"/>
              <w:widowControl/>
              <w:spacing w:beforeAutospacing="0" w:afterAutospacing="0"/>
              <w:jc w:val="both"/>
              <w:rPr>
                <w:rFonts w:eastAsia="SimHei"/>
                <w:bCs/>
                <w:sz w:val="20"/>
                <w:szCs w:val="20"/>
                <w:lang w:bidi="en-US"/>
              </w:rPr>
            </w:pPr>
            <w:r>
              <w:rPr>
                <w:rFonts w:eastAsia="SimHei" w:hint="eastAsia"/>
                <w:bCs/>
                <w:sz w:val="20"/>
                <w:szCs w:val="20"/>
                <w:lang w:bidi="en-US"/>
              </w:rPr>
              <w:t>Aydin</w:t>
            </w:r>
            <w:r>
              <w:rPr>
                <w:rFonts w:eastAsia="SimHei"/>
                <w:bCs/>
                <w:sz w:val="20"/>
                <w:szCs w:val="20"/>
                <w:lang w:bidi="en-US"/>
              </w:rPr>
              <w:t xml:space="preserve"> et al. (2014)</w:t>
            </w:r>
            <w:r>
              <w:rPr>
                <w:rFonts w:eastAsia="SimHei" w:hint="eastAsia"/>
                <w:bCs/>
                <w:sz w:val="20"/>
                <w:szCs w:val="20"/>
                <w:lang w:bidi="en-US"/>
              </w:rPr>
              <w:t xml:space="preserve">, </w:t>
            </w:r>
            <w:r>
              <w:rPr>
                <w:rFonts w:eastAsia="SimHei"/>
                <w:bCs/>
                <w:sz w:val="20"/>
                <w:szCs w:val="20"/>
                <w:lang w:bidi="en-US"/>
              </w:rPr>
              <w:t>Lim (2012)</w:t>
            </w:r>
          </w:p>
        </w:tc>
      </w:tr>
      <w:tr w:rsidR="000574EE" w14:paraId="6F6CDA11" w14:textId="77777777">
        <w:trPr>
          <w:trHeight w:val="345"/>
        </w:trPr>
        <w:tc>
          <w:tcPr>
            <w:tcW w:w="1825" w:type="pct"/>
            <w:vAlign w:val="center"/>
          </w:tcPr>
          <w:p w14:paraId="0AFD8E4A" w14:textId="77777777" w:rsidR="000574EE" w:rsidRDefault="00AC3F5F">
            <w:pPr>
              <w:pStyle w:val="NormalWeb"/>
              <w:widowControl/>
              <w:spacing w:beforeAutospacing="0" w:afterAutospacing="0"/>
              <w:jc w:val="both"/>
              <w:rPr>
                <w:rFonts w:eastAsia="SimHei"/>
                <w:bCs/>
                <w:sz w:val="20"/>
                <w:szCs w:val="20"/>
                <w:lang w:bidi="en-US"/>
              </w:rPr>
            </w:pPr>
            <w:r>
              <w:rPr>
                <w:rFonts w:eastAsia="SimHei"/>
                <w:bCs/>
                <w:sz w:val="20"/>
                <w:szCs w:val="20"/>
                <w:lang w:bidi="en-US"/>
              </w:rPr>
              <w:t>External Motivation - Social</w:t>
            </w:r>
          </w:p>
        </w:tc>
        <w:tc>
          <w:tcPr>
            <w:tcW w:w="860" w:type="pct"/>
            <w:vAlign w:val="center"/>
          </w:tcPr>
          <w:p w14:paraId="3C487185" w14:textId="77777777" w:rsidR="000574EE" w:rsidRDefault="00AC3F5F">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314" w:type="pct"/>
            <w:vAlign w:val="center"/>
          </w:tcPr>
          <w:p w14:paraId="4237BD7A" w14:textId="77777777" w:rsidR="000574EE" w:rsidRDefault="00AC3F5F">
            <w:pPr>
              <w:pStyle w:val="NormalWeb"/>
              <w:widowControl/>
              <w:spacing w:beforeAutospacing="0" w:afterAutospacing="0"/>
              <w:jc w:val="both"/>
              <w:rPr>
                <w:rFonts w:eastAsia="SimHei"/>
                <w:bCs/>
                <w:sz w:val="20"/>
                <w:szCs w:val="20"/>
                <w:lang w:bidi="en-US"/>
              </w:rPr>
            </w:pPr>
            <w:r>
              <w:rPr>
                <w:rFonts w:eastAsia="SimHei" w:hint="eastAsia"/>
                <w:bCs/>
                <w:sz w:val="20"/>
                <w:szCs w:val="20"/>
                <w:lang w:bidi="en-US"/>
              </w:rPr>
              <w:t>Aydin</w:t>
            </w:r>
            <w:r>
              <w:rPr>
                <w:rFonts w:eastAsia="SimHei"/>
                <w:bCs/>
                <w:sz w:val="20"/>
                <w:szCs w:val="20"/>
                <w:lang w:bidi="en-US"/>
              </w:rPr>
              <w:t xml:space="preserve"> et al. (2014)</w:t>
            </w:r>
            <w:r>
              <w:rPr>
                <w:rFonts w:eastAsia="SimHei" w:hint="eastAsia"/>
                <w:bCs/>
                <w:sz w:val="20"/>
                <w:szCs w:val="20"/>
                <w:lang w:bidi="en-US"/>
              </w:rPr>
              <w:t xml:space="preserve">, </w:t>
            </w:r>
            <w:r>
              <w:rPr>
                <w:rFonts w:eastAsia="SimHei"/>
                <w:bCs/>
                <w:sz w:val="20"/>
                <w:szCs w:val="20"/>
                <w:lang w:bidi="en-US"/>
              </w:rPr>
              <w:t>Selvarajah et al.,(2021)</w:t>
            </w:r>
          </w:p>
        </w:tc>
      </w:tr>
    </w:tbl>
    <w:p w14:paraId="3DF6BBD5" w14:textId="77777777" w:rsidR="000574EE" w:rsidRDefault="00AC3F5F">
      <w:pPr>
        <w:numPr>
          <w:ilvl w:val="0"/>
          <w:numId w:val="3"/>
        </w:numPr>
        <w:autoSpaceDE w:val="0"/>
        <w:autoSpaceDN w:val="0"/>
        <w:spacing w:before="240" w:after="240"/>
        <w:rPr>
          <w:i/>
          <w:iCs/>
          <w:sz w:val="24"/>
          <w:szCs w:val="22"/>
        </w:rPr>
      </w:pPr>
      <w:r>
        <w:rPr>
          <w:i/>
          <w:iCs/>
          <w:sz w:val="24"/>
          <w:szCs w:val="22"/>
        </w:rPr>
        <w:t xml:space="preserve">Learning Attitude </w:t>
      </w:r>
    </w:p>
    <w:p w14:paraId="3D90A562" w14:textId="7DFF5087" w:rsidR="000574EE" w:rsidRDefault="00AC3F5F">
      <w:pPr>
        <w:pStyle w:val="NormalWeb"/>
        <w:widowControl/>
        <w:spacing w:beforeAutospacing="0" w:after="240" w:afterAutospacing="0"/>
        <w:jc w:val="both"/>
        <w:rPr>
          <w:rFonts w:eastAsia="SimHei"/>
          <w:bCs/>
          <w:lang w:bidi="en-US"/>
        </w:rPr>
      </w:pPr>
      <w:r>
        <w:rPr>
          <w:rFonts w:eastAsia="SimHei"/>
          <w:bCs/>
          <w:lang w:bidi="en-US"/>
        </w:rPr>
        <w:t>The decision to adopt Abidin et al.'s (2012) survey questionnaire is based on its well-established framework for categorizing learning attitudes among EFL students. Their measurement scale, EFL Students' Attitudes towards Learning English Language, systematically classifies three distinct types of attitudes: affective, behavioral, and cognitive. This comprehensive categorization provides a structured approach to understanding how students perceive and engage with the process of learning English, encompassing emotional, behavioral, and cognitive dimensions. By utilizing Abidin et al.'s scale, this study ensures a thorough assessment of the various facets of learning attitudes relevant to EFL contexts. The adaptation and refinement of their questionnaire to include 49 items further enhance its applicability and relevance to the specific research objectives</w:t>
      </w:r>
      <w:r w:rsidR="0020453D">
        <w:rPr>
          <w:rFonts w:eastAsia="SimHei"/>
          <w:bCs/>
          <w:lang w:bidi="en-US"/>
        </w:rPr>
        <w:t xml:space="preserve"> (Table 4)</w:t>
      </w:r>
      <w:r>
        <w:rPr>
          <w:rFonts w:eastAsia="SimHei"/>
          <w:bCs/>
          <w:lang w:bidi="en-US"/>
        </w:rPr>
        <w:t>. This approach not only facilitates a detailed exploration of students' attitudes toward learning English but also supports the development of targeted interventions and educational strategies aimed at improving learning outcomes. Overall, Abidin et al.'s scale offers a robust foundation for examining and interpreting the complex interplay between attitudes and language learning processes among EFL students.</w:t>
      </w:r>
    </w:p>
    <w:p w14:paraId="7125739F" w14:textId="77777777" w:rsidR="000574EE" w:rsidRDefault="00AC3F5F">
      <w:pPr>
        <w:pStyle w:val="NormalWeb"/>
        <w:widowControl/>
        <w:spacing w:beforeAutospacing="0" w:afterAutospacing="0"/>
        <w:jc w:val="both"/>
        <w:rPr>
          <w:rFonts w:eastAsia="SimHei"/>
          <w:bCs/>
          <w:sz w:val="21"/>
          <w:szCs w:val="21"/>
          <w:lang w:bidi="en-US"/>
        </w:rPr>
      </w:pPr>
      <w:r>
        <w:rPr>
          <w:rFonts w:eastAsia="SimHei"/>
          <w:bCs/>
          <w:sz w:val="21"/>
          <w:szCs w:val="21"/>
          <w:lang w:bidi="en-US"/>
        </w:rPr>
        <w:t xml:space="preserve">Table 4: </w:t>
      </w:r>
      <w:r>
        <w:rPr>
          <w:rFonts w:eastAsia="SimHei" w:hint="eastAsia"/>
          <w:bCs/>
          <w:sz w:val="21"/>
          <w:szCs w:val="21"/>
          <w:lang w:bidi="en-US"/>
        </w:rPr>
        <w:t>Q</w:t>
      </w:r>
      <w:r>
        <w:rPr>
          <w:rFonts w:eastAsia="SimHei"/>
          <w:bCs/>
          <w:sz w:val="21"/>
          <w:szCs w:val="21"/>
          <w:lang w:bidi="en-US"/>
        </w:rPr>
        <w:t>uestionnaire of learning motivation</w:t>
      </w:r>
    </w:p>
    <w:tbl>
      <w:tblPr>
        <w:tblStyle w:val="TableGrid"/>
        <w:tblW w:w="4998"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5"/>
        <w:gridCol w:w="2720"/>
        <w:gridCol w:w="3393"/>
      </w:tblGrid>
      <w:tr w:rsidR="000574EE" w14:paraId="45EA9744" w14:textId="77777777">
        <w:trPr>
          <w:jc w:val="center"/>
        </w:trPr>
        <w:tc>
          <w:tcPr>
            <w:tcW w:w="1629" w:type="pct"/>
            <w:tcBorders>
              <w:bottom w:val="single" w:sz="4" w:space="0" w:color="auto"/>
            </w:tcBorders>
            <w:vAlign w:val="center"/>
          </w:tcPr>
          <w:p w14:paraId="44D17E7E" w14:textId="77777777" w:rsidR="000574EE" w:rsidRDefault="00AC3F5F">
            <w:pPr>
              <w:pStyle w:val="NormalWeb"/>
              <w:widowControl/>
              <w:spacing w:beforeAutospacing="0" w:afterAutospacing="0"/>
              <w:jc w:val="center"/>
              <w:rPr>
                <w:rFonts w:eastAsia="SimHei"/>
                <w:b/>
                <w:sz w:val="20"/>
                <w:szCs w:val="20"/>
                <w:lang w:bidi="en-US"/>
              </w:rPr>
            </w:pPr>
            <w:r>
              <w:rPr>
                <w:rFonts w:eastAsia="SimHei"/>
                <w:b/>
                <w:sz w:val="20"/>
                <w:szCs w:val="20"/>
                <w:lang w:bidi="en-US"/>
              </w:rPr>
              <w:t>Dimension</w:t>
            </w:r>
          </w:p>
        </w:tc>
        <w:tc>
          <w:tcPr>
            <w:tcW w:w="1499" w:type="pct"/>
            <w:tcBorders>
              <w:bottom w:val="single" w:sz="4" w:space="0" w:color="auto"/>
            </w:tcBorders>
            <w:vAlign w:val="center"/>
          </w:tcPr>
          <w:p w14:paraId="33EE789F" w14:textId="77777777" w:rsidR="000574EE" w:rsidRDefault="00AC3F5F">
            <w:pPr>
              <w:pStyle w:val="NormalWeb"/>
              <w:widowControl/>
              <w:spacing w:beforeAutospacing="0" w:afterAutospacing="0"/>
              <w:jc w:val="center"/>
              <w:rPr>
                <w:rFonts w:eastAsia="SimHei"/>
                <w:b/>
                <w:sz w:val="20"/>
                <w:szCs w:val="20"/>
                <w:lang w:bidi="en-US"/>
              </w:rPr>
            </w:pPr>
            <w:r>
              <w:rPr>
                <w:rFonts w:eastAsia="SimHei"/>
                <w:b/>
                <w:sz w:val="20"/>
                <w:szCs w:val="20"/>
                <w:lang w:bidi="en-US"/>
              </w:rPr>
              <w:t>Number of questions</w:t>
            </w:r>
          </w:p>
        </w:tc>
        <w:tc>
          <w:tcPr>
            <w:tcW w:w="1871" w:type="pct"/>
            <w:tcBorders>
              <w:bottom w:val="single" w:sz="4" w:space="0" w:color="auto"/>
            </w:tcBorders>
            <w:vAlign w:val="center"/>
          </w:tcPr>
          <w:p w14:paraId="5E964539" w14:textId="77777777" w:rsidR="000574EE" w:rsidRDefault="00AC3F5F">
            <w:pPr>
              <w:pStyle w:val="NormalWeb"/>
              <w:widowControl/>
              <w:spacing w:beforeAutospacing="0" w:afterAutospacing="0"/>
              <w:jc w:val="center"/>
              <w:rPr>
                <w:rFonts w:eastAsia="SimHei"/>
                <w:b/>
                <w:sz w:val="20"/>
                <w:szCs w:val="20"/>
                <w:lang w:bidi="en-US"/>
              </w:rPr>
            </w:pPr>
            <w:r>
              <w:rPr>
                <w:rFonts w:eastAsia="SimHei"/>
                <w:b/>
                <w:sz w:val="20"/>
                <w:szCs w:val="20"/>
                <w:lang w:bidi="en-US"/>
              </w:rPr>
              <w:t>Source</w:t>
            </w:r>
          </w:p>
        </w:tc>
      </w:tr>
      <w:tr w:rsidR="000574EE" w14:paraId="48442E0B" w14:textId="77777777">
        <w:trPr>
          <w:jc w:val="center"/>
        </w:trPr>
        <w:tc>
          <w:tcPr>
            <w:tcW w:w="1629" w:type="pct"/>
            <w:tcBorders>
              <w:top w:val="single" w:sz="4" w:space="0" w:color="auto"/>
            </w:tcBorders>
            <w:vAlign w:val="center"/>
          </w:tcPr>
          <w:p w14:paraId="53B9D355"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Affective Attitude</w:t>
            </w:r>
          </w:p>
        </w:tc>
        <w:tc>
          <w:tcPr>
            <w:tcW w:w="1499" w:type="pct"/>
            <w:tcBorders>
              <w:top w:val="single" w:sz="4" w:space="0" w:color="auto"/>
            </w:tcBorders>
            <w:vAlign w:val="center"/>
          </w:tcPr>
          <w:p w14:paraId="1AED5699" w14:textId="77777777" w:rsidR="000574EE" w:rsidRDefault="00AC3F5F">
            <w:pPr>
              <w:pStyle w:val="NormalWeb"/>
              <w:widowControl/>
              <w:spacing w:beforeAutospacing="0" w:afterAutospacing="0"/>
              <w:jc w:val="center"/>
              <w:rPr>
                <w:rFonts w:eastAsia="SimHei"/>
                <w:bCs/>
                <w:sz w:val="20"/>
                <w:szCs w:val="20"/>
                <w:lang w:bidi="en-US"/>
              </w:rPr>
            </w:pPr>
            <w:r>
              <w:rPr>
                <w:rFonts w:eastAsia="SimHei"/>
                <w:bCs/>
                <w:sz w:val="20"/>
                <w:szCs w:val="20"/>
                <w:lang w:bidi="en-US"/>
              </w:rPr>
              <w:t>1</w:t>
            </w:r>
            <w:r>
              <w:rPr>
                <w:rFonts w:eastAsia="SimHei" w:hint="eastAsia"/>
                <w:bCs/>
                <w:sz w:val="20"/>
                <w:szCs w:val="20"/>
                <w:lang w:bidi="en-US"/>
              </w:rPr>
              <w:t>7</w:t>
            </w:r>
          </w:p>
        </w:tc>
        <w:tc>
          <w:tcPr>
            <w:tcW w:w="1871" w:type="pct"/>
            <w:vMerge w:val="restart"/>
            <w:tcBorders>
              <w:top w:val="single" w:sz="4" w:space="0" w:color="auto"/>
            </w:tcBorders>
            <w:vAlign w:val="center"/>
          </w:tcPr>
          <w:p w14:paraId="1E1FE295" w14:textId="77777777" w:rsidR="000574EE" w:rsidRDefault="00AC3F5F">
            <w:pPr>
              <w:pStyle w:val="NormalWeb"/>
              <w:widowControl/>
              <w:spacing w:beforeAutospacing="0" w:afterAutospacing="0"/>
              <w:jc w:val="center"/>
              <w:rPr>
                <w:rFonts w:eastAsia="SimHei"/>
                <w:bCs/>
                <w:sz w:val="20"/>
                <w:szCs w:val="20"/>
                <w:lang w:bidi="en-US"/>
              </w:rPr>
            </w:pPr>
            <w:r>
              <w:rPr>
                <w:rFonts w:eastAsia="SimHei"/>
                <w:bCs/>
                <w:sz w:val="20"/>
                <w:szCs w:val="20"/>
                <w:lang w:bidi="en-US"/>
              </w:rPr>
              <w:t>Abidin et al. (2012)</w:t>
            </w:r>
          </w:p>
        </w:tc>
      </w:tr>
      <w:tr w:rsidR="000574EE" w14:paraId="5EA7A270" w14:textId="77777777">
        <w:trPr>
          <w:jc w:val="center"/>
        </w:trPr>
        <w:tc>
          <w:tcPr>
            <w:tcW w:w="1629" w:type="pct"/>
            <w:vAlign w:val="center"/>
          </w:tcPr>
          <w:p w14:paraId="7AA73382"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Behavioral Attitude</w:t>
            </w:r>
          </w:p>
        </w:tc>
        <w:tc>
          <w:tcPr>
            <w:tcW w:w="1499" w:type="pct"/>
            <w:vAlign w:val="center"/>
          </w:tcPr>
          <w:p w14:paraId="7B70086B" w14:textId="77777777" w:rsidR="000574EE" w:rsidRDefault="00AC3F5F">
            <w:pPr>
              <w:pStyle w:val="NormalWeb"/>
              <w:widowControl/>
              <w:spacing w:beforeAutospacing="0" w:afterAutospacing="0"/>
              <w:jc w:val="center"/>
              <w:rPr>
                <w:rFonts w:eastAsia="SimHei"/>
                <w:bCs/>
                <w:sz w:val="20"/>
                <w:szCs w:val="20"/>
                <w:lang w:bidi="en-US"/>
              </w:rPr>
            </w:pPr>
            <w:r>
              <w:rPr>
                <w:rFonts w:eastAsia="SimHei"/>
                <w:bCs/>
                <w:sz w:val="20"/>
                <w:szCs w:val="20"/>
                <w:lang w:bidi="en-US"/>
              </w:rPr>
              <w:t>16</w:t>
            </w:r>
          </w:p>
        </w:tc>
        <w:tc>
          <w:tcPr>
            <w:tcW w:w="1871" w:type="pct"/>
            <w:vMerge/>
            <w:vAlign w:val="center"/>
          </w:tcPr>
          <w:p w14:paraId="13FFFD5D" w14:textId="77777777" w:rsidR="000574EE" w:rsidRDefault="000574EE">
            <w:pPr>
              <w:pStyle w:val="NormalWeb"/>
              <w:widowControl/>
              <w:spacing w:beforeAutospacing="0" w:afterAutospacing="0"/>
              <w:jc w:val="center"/>
              <w:rPr>
                <w:rFonts w:eastAsia="SimHei"/>
                <w:bCs/>
                <w:sz w:val="22"/>
                <w:szCs w:val="22"/>
                <w:lang w:bidi="en-US"/>
              </w:rPr>
            </w:pPr>
          </w:p>
        </w:tc>
      </w:tr>
      <w:tr w:rsidR="000574EE" w14:paraId="6C65CB9E" w14:textId="77777777">
        <w:trPr>
          <w:jc w:val="center"/>
        </w:trPr>
        <w:tc>
          <w:tcPr>
            <w:tcW w:w="1629" w:type="pct"/>
            <w:vAlign w:val="center"/>
          </w:tcPr>
          <w:p w14:paraId="600F91BB" w14:textId="77777777" w:rsidR="000574EE" w:rsidRDefault="00AC3F5F">
            <w:pPr>
              <w:pStyle w:val="NormalWeb"/>
              <w:widowControl/>
              <w:spacing w:beforeAutospacing="0" w:afterAutospacing="0"/>
              <w:rPr>
                <w:rFonts w:eastAsia="SimHei"/>
                <w:bCs/>
                <w:sz w:val="20"/>
                <w:szCs w:val="20"/>
                <w:lang w:bidi="en-US"/>
              </w:rPr>
            </w:pPr>
            <w:r>
              <w:rPr>
                <w:rFonts w:eastAsia="SimHei"/>
                <w:bCs/>
                <w:sz w:val="20"/>
                <w:szCs w:val="20"/>
                <w:lang w:bidi="en-US"/>
              </w:rPr>
              <w:t>Cognitive Attitude</w:t>
            </w:r>
          </w:p>
        </w:tc>
        <w:tc>
          <w:tcPr>
            <w:tcW w:w="1499" w:type="pct"/>
            <w:vAlign w:val="center"/>
          </w:tcPr>
          <w:p w14:paraId="5056941D" w14:textId="77777777" w:rsidR="000574EE" w:rsidRDefault="00AC3F5F">
            <w:pPr>
              <w:pStyle w:val="NormalWeb"/>
              <w:widowControl/>
              <w:spacing w:beforeAutospacing="0" w:afterAutospacing="0"/>
              <w:jc w:val="center"/>
              <w:rPr>
                <w:rFonts w:eastAsia="SimHei"/>
                <w:bCs/>
                <w:sz w:val="20"/>
                <w:szCs w:val="20"/>
                <w:lang w:bidi="en-US"/>
              </w:rPr>
            </w:pPr>
            <w:r>
              <w:rPr>
                <w:rFonts w:eastAsia="SimHei"/>
                <w:bCs/>
                <w:sz w:val="20"/>
                <w:szCs w:val="20"/>
                <w:lang w:bidi="en-US"/>
              </w:rPr>
              <w:t>1</w:t>
            </w:r>
            <w:r>
              <w:rPr>
                <w:rFonts w:eastAsia="SimHei" w:hint="eastAsia"/>
                <w:bCs/>
                <w:sz w:val="20"/>
                <w:szCs w:val="20"/>
                <w:lang w:bidi="en-US"/>
              </w:rPr>
              <w:t>6</w:t>
            </w:r>
          </w:p>
        </w:tc>
        <w:tc>
          <w:tcPr>
            <w:tcW w:w="1871" w:type="pct"/>
            <w:vMerge/>
            <w:vAlign w:val="center"/>
          </w:tcPr>
          <w:p w14:paraId="247D0CEE" w14:textId="77777777" w:rsidR="000574EE" w:rsidRDefault="000574EE">
            <w:pPr>
              <w:pStyle w:val="NormalWeb"/>
              <w:widowControl/>
              <w:spacing w:beforeAutospacing="0" w:afterAutospacing="0"/>
              <w:jc w:val="both"/>
              <w:rPr>
                <w:rFonts w:eastAsia="SimHei"/>
                <w:bCs/>
                <w:sz w:val="22"/>
                <w:szCs w:val="22"/>
                <w:lang w:bidi="en-US"/>
              </w:rPr>
            </w:pPr>
          </w:p>
        </w:tc>
      </w:tr>
    </w:tbl>
    <w:p w14:paraId="18415F57" w14:textId="77777777" w:rsidR="000574EE" w:rsidRDefault="00AC3F5F">
      <w:pPr>
        <w:pStyle w:val="NormalWeb"/>
        <w:widowControl/>
        <w:spacing w:before="240" w:beforeAutospacing="0" w:afterAutospacing="0"/>
        <w:jc w:val="both"/>
        <w:rPr>
          <w:rFonts w:eastAsia="SimHei"/>
          <w:bCs/>
          <w:lang w:bidi="en-US"/>
        </w:rPr>
      </w:pPr>
      <w:r>
        <w:rPr>
          <w:rFonts w:eastAsia="SimHei"/>
          <w:bCs/>
          <w:lang w:bidi="en-US"/>
        </w:rPr>
        <w:t>Given that the participants were Chinese students, the survey questionnaire was designed in a bilingual format, incorporating both Chinese and English to facilitate comprehension. To ensure the accuracy and fidelity of the translation, two professors specializing in English language teaching from a reputable Chinese university conducted a comprehensive review of the questionnaire. After this rigorous review process, the final version of the questionnaire was completed. During the on-site administration of the survey, 39 students expressed uncertainty regarding whether the term "native language" in the EFL Learning Attention questionnaire referred to dialects or Standard Chinese. In response, adjustments were made to clarify this ambiguity. Ultimately, a total of 60 valid responses were collected.</w:t>
      </w:r>
    </w:p>
    <w:p w14:paraId="1EF358A9" w14:textId="77777777" w:rsidR="000574EE" w:rsidRDefault="00AC3F5F">
      <w:pPr>
        <w:pStyle w:val="Heading1"/>
        <w:keepLines w:val="0"/>
        <w:widowControl/>
        <w:spacing w:before="240" w:after="240" w:line="240" w:lineRule="auto"/>
        <w:ind w:right="567"/>
        <w:contextualSpacing/>
        <w:rPr>
          <w:b w:val="0"/>
          <w:i/>
          <w:iCs/>
          <w:kern w:val="2"/>
          <w:sz w:val="24"/>
          <w:szCs w:val="22"/>
        </w:rPr>
      </w:pPr>
      <w:r>
        <w:rPr>
          <w:b w:val="0"/>
          <w:i/>
          <w:iCs/>
          <w:kern w:val="2"/>
          <w:sz w:val="24"/>
          <w:szCs w:val="22"/>
        </w:rPr>
        <w:lastRenderedPageBreak/>
        <w:t>Data Collection Procedure</w:t>
      </w:r>
    </w:p>
    <w:p w14:paraId="789D0CE1" w14:textId="77777777" w:rsidR="000574EE" w:rsidRDefault="00AC3F5F">
      <w:pPr>
        <w:autoSpaceDE w:val="0"/>
        <w:autoSpaceDN w:val="0"/>
        <w:rPr>
          <w:rFonts w:eastAsia="SimHei" w:cs="Times New Roman"/>
          <w:bCs/>
          <w:kern w:val="0"/>
          <w:sz w:val="24"/>
          <w:lang w:bidi="en-US"/>
        </w:rPr>
      </w:pPr>
      <w:r>
        <w:rPr>
          <w:rFonts w:eastAsia="SimHei" w:cs="Times New Roman"/>
          <w:bCs/>
          <w:kern w:val="0"/>
          <w:sz w:val="24"/>
          <w:lang w:bidi="en-US"/>
        </w:rPr>
        <w:t xml:space="preserve">The data for this study were collected in a single day from first- and second-year non-English major undergraduate students at a university in China. Prior to administering the questionnaire, the researchers provided a detailed explanation of the study's purpose and the privacy protection policy. Participants were then given a consent form, which they all signed, indicating their informed consent to participate in the study. To facilitate the efficient management of participants and ensure timely feedback on the survey, the 60 participants were divided into two groups, completing the questionnaire sequentially. During data collection, 39 participants expressed uncertainty regarding the term "mother tongue" in the learning attitudes section, specifically whether it referred to dialects or Mandarin. To address this, the researchers clarified that "mother tongue" referred to Mandarin Chinese. </w:t>
      </w:r>
    </w:p>
    <w:p w14:paraId="3C040A80" w14:textId="77777777" w:rsidR="000574EE" w:rsidRDefault="00AC3F5F">
      <w:pPr>
        <w:autoSpaceDE w:val="0"/>
        <w:autoSpaceDN w:val="0"/>
        <w:ind w:firstLineChars="300" w:firstLine="720"/>
        <w:rPr>
          <w:rFonts w:cs="Arial"/>
          <w:bCs/>
          <w:kern w:val="32"/>
          <w:sz w:val="24"/>
          <w:lang w:bidi="en-US"/>
        </w:rPr>
      </w:pPr>
      <w:r>
        <w:rPr>
          <w:rFonts w:eastAsia="SimHei" w:cs="Times New Roman"/>
          <w:bCs/>
          <w:kern w:val="0"/>
          <w:sz w:val="24"/>
          <w:lang w:bidi="en-US"/>
        </w:rPr>
        <w:t>The survey instrument was structured into five sections. The first section focused on demographic information, while the remaining four sections assessed the core areas of interest: speaking strategies, speaking anxiety, learning motivation, and learning attitudes. Participants were allocated 40-45 minutes to complete the questionnaire. Upon completion, the researchers prompted participants to review their responses to ensure completeness. After cleaning and organizing the data, all 60 responses were deemed valid. In conclusion, the data collection process was conducted in a supportive environment, allowing participants to seek clarification when necessary.</w:t>
      </w:r>
    </w:p>
    <w:p w14:paraId="0213A699" w14:textId="77777777" w:rsidR="000574EE" w:rsidRDefault="00AC3F5F">
      <w:pPr>
        <w:pStyle w:val="Heading1"/>
        <w:keepLines w:val="0"/>
        <w:widowControl/>
        <w:spacing w:before="240" w:after="240" w:line="240" w:lineRule="auto"/>
        <w:ind w:right="567"/>
        <w:contextualSpacing/>
        <w:rPr>
          <w:b w:val="0"/>
          <w:i/>
          <w:iCs/>
          <w:kern w:val="2"/>
          <w:sz w:val="24"/>
          <w:szCs w:val="22"/>
        </w:rPr>
      </w:pPr>
      <w:r>
        <w:rPr>
          <w:b w:val="0"/>
          <w:i/>
          <w:iCs/>
          <w:kern w:val="2"/>
          <w:sz w:val="24"/>
          <w:szCs w:val="22"/>
        </w:rPr>
        <w:t>Reliability of the Instruments</w:t>
      </w:r>
    </w:p>
    <w:p w14:paraId="46EAE3BE" w14:textId="77777777" w:rsidR="000574EE" w:rsidRDefault="00AC3F5F">
      <w:pPr>
        <w:autoSpaceDE w:val="0"/>
        <w:autoSpaceDN w:val="0"/>
        <w:rPr>
          <w:rFonts w:eastAsia="SimHei" w:cs="Times New Roman"/>
          <w:bCs/>
          <w:kern w:val="0"/>
          <w:sz w:val="24"/>
          <w:lang w:bidi="en-US"/>
        </w:rPr>
      </w:pPr>
      <w:r>
        <w:rPr>
          <w:rFonts w:eastAsia="SimHei" w:cs="Times New Roman"/>
          <w:bCs/>
          <w:kern w:val="0"/>
          <w:sz w:val="24"/>
          <w:lang w:bidi="en-US"/>
        </w:rPr>
        <w:t>Reliability refers to the consistency and stability of a measurement instrument, indicating its ability to produce the same results under similar conditions over time (</w:t>
      </w:r>
      <w:proofErr w:type="spellStart"/>
      <w:r>
        <w:rPr>
          <w:rFonts w:eastAsia="SimHei" w:cs="Times New Roman"/>
          <w:bCs/>
          <w:kern w:val="0"/>
          <w:sz w:val="24"/>
          <w:lang w:bidi="en-US"/>
        </w:rPr>
        <w:t>Sürücü</w:t>
      </w:r>
      <w:proofErr w:type="spellEnd"/>
      <w:r>
        <w:rPr>
          <w:rFonts w:eastAsia="SimHei" w:cs="Times New Roman"/>
          <w:bCs/>
          <w:kern w:val="0"/>
          <w:sz w:val="24"/>
          <w:lang w:bidi="en-US"/>
        </w:rPr>
        <w:t xml:space="preserve"> &amp; </w:t>
      </w:r>
      <w:proofErr w:type="spellStart"/>
      <w:r>
        <w:rPr>
          <w:rFonts w:eastAsia="SimHei" w:cs="Times New Roman"/>
          <w:bCs/>
          <w:kern w:val="0"/>
          <w:sz w:val="24"/>
          <w:lang w:bidi="en-US"/>
        </w:rPr>
        <w:t>Maslakci</w:t>
      </w:r>
      <w:proofErr w:type="spellEnd"/>
      <w:r>
        <w:rPr>
          <w:rFonts w:eastAsia="SimHei" w:cs="Times New Roman"/>
          <w:bCs/>
          <w:kern w:val="0"/>
          <w:sz w:val="24"/>
          <w:lang w:bidi="en-US"/>
        </w:rPr>
        <w:t>, 2020). Key indicators of reliability include test-retest reliability, which assesses consistency when the same individuals are tested multiple times; internal consistency, often evaluated using Cronbach's Alpha, which examines the coherence of items within a scale; inter-rater reliability, which measures the agreement between different observers; and parallel forms reliability, which evaluates consistency across different versions of the same test.</w:t>
      </w:r>
      <w:r>
        <w:rPr>
          <w:rFonts w:eastAsia="SimHei" w:cs="Times New Roman" w:hint="eastAsia"/>
          <w:bCs/>
          <w:kern w:val="0"/>
          <w:sz w:val="24"/>
          <w:lang w:bidi="en-US"/>
        </w:rPr>
        <w:t xml:space="preserve"> </w:t>
      </w:r>
      <w:r>
        <w:rPr>
          <w:rFonts w:eastAsia="SimHei" w:cs="Times New Roman"/>
          <w:bCs/>
          <w:kern w:val="0"/>
          <w:sz w:val="24"/>
          <w:lang w:bidi="en-US"/>
        </w:rPr>
        <w:t>Cronbach’s Alpha is typically interpreted as follows: a value above 0.9 indicates excellent reliability, above 0.8 is good, above 0.7 is acceptable, and values below 0.7 are deemed questionable or poor (</w:t>
      </w:r>
      <w:proofErr w:type="spellStart"/>
      <w:r>
        <w:rPr>
          <w:rFonts w:eastAsia="SimHei" w:cs="Times New Roman"/>
          <w:bCs/>
          <w:kern w:val="0"/>
          <w:sz w:val="24"/>
          <w:lang w:bidi="en-US"/>
        </w:rPr>
        <w:t>Ahady</w:t>
      </w:r>
      <w:proofErr w:type="spellEnd"/>
      <w:r>
        <w:rPr>
          <w:rFonts w:eastAsia="SimHei" w:cs="Times New Roman"/>
          <w:bCs/>
          <w:kern w:val="0"/>
          <w:sz w:val="24"/>
          <w:lang w:bidi="en-US"/>
        </w:rPr>
        <w:t xml:space="preserve"> et al., 2017). Reliability contributes to data integrity by minimizing random errors and enhances the generalizability of findings across diverse populations and settings (Barnett et al., 2023). Thus, reliability is fundamental for producing accurate, trustworthy, and dependable data in research contexts.</w:t>
      </w:r>
    </w:p>
    <w:p w14:paraId="3C2FD7A7" w14:textId="77777777" w:rsidR="000574EE" w:rsidRDefault="00AC3F5F">
      <w:pPr>
        <w:autoSpaceDE w:val="0"/>
        <w:autoSpaceDN w:val="0"/>
        <w:spacing w:before="240" w:after="240"/>
        <w:jc w:val="center"/>
        <w:rPr>
          <w:rFonts w:eastAsia="SimHei" w:cs="Times New Roman Bold"/>
          <w:b/>
          <w:kern w:val="0"/>
          <w:sz w:val="24"/>
          <w:lang w:bidi="en-US"/>
        </w:rPr>
      </w:pPr>
      <w:r>
        <w:rPr>
          <w:rFonts w:eastAsia="SimHei" w:cs="Times New Roman Bold"/>
          <w:b/>
          <w:kern w:val="0"/>
          <w:sz w:val="24"/>
          <w:lang w:bidi="en-US"/>
        </w:rPr>
        <w:t>RESULTS AND DISCUSSION</w:t>
      </w:r>
    </w:p>
    <w:p w14:paraId="1270F42B" w14:textId="46B590EC" w:rsidR="000574EE" w:rsidRDefault="00AC3F5F">
      <w:pPr>
        <w:autoSpaceDE w:val="0"/>
        <w:autoSpaceDN w:val="0"/>
        <w:rPr>
          <w:rFonts w:eastAsia="SimHei" w:cs="Times New Roman"/>
          <w:bCs/>
          <w:kern w:val="0"/>
          <w:sz w:val="24"/>
          <w:lang w:bidi="en-US"/>
        </w:rPr>
      </w:pPr>
      <w:r>
        <w:rPr>
          <w:rFonts w:eastAsia="SimHei" w:cs="Times New Roman"/>
          <w:bCs/>
          <w:kern w:val="0"/>
          <w:sz w:val="24"/>
          <w:lang w:bidi="en-US"/>
        </w:rPr>
        <w:t>The primary aim of this study is to design and validate a comprehensive questionnaire that encompasses four critical constructs: speaking strategies, speaking anxiety, learning motivation, and learning attitudes</w:t>
      </w:r>
      <w:r w:rsidR="0020453D">
        <w:rPr>
          <w:rFonts w:eastAsia="SimHei" w:cs="Times New Roman"/>
          <w:bCs/>
          <w:kern w:val="0"/>
          <w:sz w:val="24"/>
          <w:lang w:bidi="en-US"/>
        </w:rPr>
        <w:t xml:space="preserve"> (Table 5)</w:t>
      </w:r>
      <w:r>
        <w:rPr>
          <w:rFonts w:eastAsia="SimHei" w:cs="Times New Roman"/>
          <w:bCs/>
          <w:kern w:val="0"/>
          <w:sz w:val="24"/>
          <w:lang w:bidi="en-US"/>
        </w:rPr>
        <w:t>. This multifaceted approach seeks to capture the complexities of language learning experiences among students, thereby providing a robust tool for future research. To assess the reliability of the instrument, data were rigorously analyzed using Cronbach's alpha</w:t>
      </w:r>
      <w:r>
        <w:rPr>
          <w:rFonts w:eastAsia="SimHei" w:cs="Times New Roman" w:hint="eastAsia"/>
          <w:bCs/>
          <w:kern w:val="0"/>
          <w:sz w:val="24"/>
          <w:lang w:bidi="en-US"/>
        </w:rPr>
        <w:t xml:space="preserve"> and </w:t>
      </w:r>
      <w:r>
        <w:rPr>
          <w:rFonts w:eastAsia="SimHei" w:cs="Times New Roman" w:hint="eastAsia"/>
          <w:bCs/>
          <w:color w:val="0000FF"/>
          <w:kern w:val="0"/>
          <w:sz w:val="24"/>
          <w:lang w:bidi="en-US"/>
        </w:rPr>
        <w:t>Kaiser-Meyer-Olkin (KMO) and Bartlett</w:t>
      </w:r>
      <w:r>
        <w:rPr>
          <w:rFonts w:eastAsia="SimHei" w:cs="Times New Roman"/>
          <w:bCs/>
          <w:color w:val="0000FF"/>
          <w:kern w:val="0"/>
          <w:sz w:val="24"/>
          <w:lang w:bidi="en-US"/>
        </w:rPr>
        <w:t>’</w:t>
      </w:r>
      <w:r>
        <w:rPr>
          <w:rFonts w:eastAsia="SimHei" w:cs="Times New Roman" w:hint="eastAsia"/>
          <w:bCs/>
          <w:color w:val="0000FF"/>
          <w:kern w:val="0"/>
          <w:sz w:val="24"/>
          <w:lang w:bidi="en-US"/>
        </w:rPr>
        <w:t>s Test</w:t>
      </w:r>
      <w:r>
        <w:rPr>
          <w:rFonts w:eastAsia="SimHei" w:cs="Times New Roman"/>
          <w:bCs/>
          <w:kern w:val="0"/>
          <w:sz w:val="24"/>
          <w:lang w:bidi="en-US"/>
        </w:rPr>
        <w:t xml:space="preserve"> within SPSS version 27. </w:t>
      </w:r>
    </w:p>
    <w:p w14:paraId="1253C893" w14:textId="77777777" w:rsidR="000574EE" w:rsidRDefault="00AC3F5F">
      <w:pPr>
        <w:autoSpaceDE w:val="0"/>
        <w:autoSpaceDN w:val="0"/>
        <w:ind w:firstLineChars="300" w:firstLine="720"/>
        <w:rPr>
          <w:rFonts w:eastAsia="SimHei" w:cs="Times New Roman"/>
          <w:bCs/>
          <w:color w:val="000000" w:themeColor="text1"/>
          <w:kern w:val="0"/>
          <w:sz w:val="24"/>
          <w:lang w:bidi="en-US"/>
        </w:rPr>
      </w:pPr>
      <w:r>
        <w:rPr>
          <w:rFonts w:eastAsia="SimHei" w:cs="Times New Roman" w:hint="eastAsia"/>
          <w:bCs/>
          <w:color w:val="000000" w:themeColor="text1"/>
          <w:kern w:val="0"/>
          <w:sz w:val="24"/>
          <w:lang w:bidi="en-US"/>
        </w:rPr>
        <w:lastRenderedPageBreak/>
        <w:t>As stated by Chen et al. (2020) and following their rule of thumb in Table 5, reliability is considered to be not reliable if it is 0.30 or below, barely reliable if it is between 0.30 and 0.40, and slightly reliable if it falls between 0.40 and 0.50. Reliability is considered acceptable within the common range of 0.50 to 0.70, very reliable between 0.70 and 0.90, and highly reliable if it exceeds 0.90.</w:t>
      </w:r>
    </w:p>
    <w:p w14:paraId="334276A9" w14:textId="77777777" w:rsidR="000574EE" w:rsidRDefault="000574EE">
      <w:pPr>
        <w:autoSpaceDE w:val="0"/>
        <w:autoSpaceDN w:val="0"/>
        <w:ind w:firstLineChars="300" w:firstLine="720"/>
        <w:rPr>
          <w:rFonts w:eastAsia="SimHei" w:cs="Times New Roman"/>
          <w:bCs/>
          <w:color w:val="000000" w:themeColor="text1"/>
          <w:kern w:val="0"/>
          <w:sz w:val="24"/>
          <w:lang w:bidi="en-US"/>
        </w:rPr>
      </w:pPr>
    </w:p>
    <w:p w14:paraId="17CF0145" w14:textId="77777777" w:rsidR="000574EE" w:rsidRDefault="00AC3F5F">
      <w:pPr>
        <w:spacing w:line="360" w:lineRule="auto"/>
        <w:rPr>
          <w:color w:val="000000" w:themeColor="text1"/>
          <w:sz w:val="20"/>
          <w:szCs w:val="20"/>
        </w:rPr>
      </w:pPr>
      <w:r>
        <w:rPr>
          <w:rFonts w:hint="eastAsia"/>
          <w:color w:val="000000" w:themeColor="text1"/>
          <w:sz w:val="20"/>
          <w:szCs w:val="20"/>
        </w:rPr>
        <w:t xml:space="preserve">Table 5: Classification of Reliability Coefficients and Their Credibility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5551"/>
      </w:tblGrid>
      <w:tr w:rsidR="000574EE" w14:paraId="69CDA8CD" w14:textId="77777777">
        <w:trPr>
          <w:trHeight w:val="428"/>
        </w:trPr>
        <w:tc>
          <w:tcPr>
            <w:tcW w:w="1940" w:type="pct"/>
            <w:tcBorders>
              <w:top w:val="single" w:sz="4" w:space="0" w:color="auto"/>
              <w:left w:val="nil"/>
              <w:bottom w:val="single" w:sz="4" w:space="0" w:color="auto"/>
              <w:right w:val="nil"/>
            </w:tcBorders>
            <w:shd w:val="clear" w:color="auto" w:fill="auto"/>
            <w:vAlign w:val="center"/>
          </w:tcPr>
          <w:p w14:paraId="7B707FAA" w14:textId="77777777" w:rsidR="000574EE" w:rsidRDefault="00AC3F5F">
            <w:pPr>
              <w:jc w:val="center"/>
              <w:rPr>
                <w:b/>
                <w:bCs/>
                <w:color w:val="000000" w:themeColor="text1"/>
                <w:sz w:val="20"/>
                <w:szCs w:val="20"/>
              </w:rPr>
            </w:pPr>
            <w:r>
              <w:rPr>
                <w:b/>
                <w:bCs/>
                <w:color w:val="000000" w:themeColor="text1"/>
                <w:sz w:val="20"/>
                <w:szCs w:val="20"/>
              </w:rPr>
              <w:t>Reliability Coefficient</w:t>
            </w:r>
          </w:p>
        </w:tc>
        <w:tc>
          <w:tcPr>
            <w:tcW w:w="3059" w:type="pct"/>
            <w:tcBorders>
              <w:top w:val="single" w:sz="4" w:space="0" w:color="auto"/>
              <w:left w:val="nil"/>
              <w:bottom w:val="single" w:sz="4" w:space="0" w:color="auto"/>
              <w:right w:val="nil"/>
            </w:tcBorders>
            <w:shd w:val="clear" w:color="auto" w:fill="auto"/>
            <w:vAlign w:val="center"/>
          </w:tcPr>
          <w:p w14:paraId="25DEA787" w14:textId="77777777" w:rsidR="000574EE" w:rsidRDefault="00AC3F5F">
            <w:pPr>
              <w:jc w:val="center"/>
              <w:rPr>
                <w:b/>
                <w:bCs/>
                <w:color w:val="000000" w:themeColor="text1"/>
                <w:sz w:val="20"/>
                <w:szCs w:val="20"/>
              </w:rPr>
            </w:pPr>
            <w:r>
              <w:rPr>
                <w:b/>
                <w:bCs/>
                <w:color w:val="000000" w:themeColor="text1"/>
                <w:sz w:val="20"/>
                <w:szCs w:val="20"/>
              </w:rPr>
              <w:t>Credibility</w:t>
            </w:r>
          </w:p>
        </w:tc>
      </w:tr>
      <w:tr w:rsidR="000574EE" w14:paraId="6C900C8F" w14:textId="77777777">
        <w:trPr>
          <w:trHeight w:val="336"/>
        </w:trPr>
        <w:tc>
          <w:tcPr>
            <w:tcW w:w="1940" w:type="pct"/>
            <w:tcBorders>
              <w:top w:val="single" w:sz="4" w:space="0" w:color="auto"/>
              <w:left w:val="nil"/>
              <w:bottom w:val="nil"/>
              <w:right w:val="nil"/>
            </w:tcBorders>
            <w:shd w:val="clear" w:color="auto" w:fill="auto"/>
            <w:vAlign w:val="center"/>
          </w:tcPr>
          <w:p w14:paraId="11D1BA9C" w14:textId="77777777" w:rsidR="000574EE" w:rsidRDefault="00AC3F5F">
            <w:pPr>
              <w:jc w:val="center"/>
              <w:rPr>
                <w:color w:val="000000" w:themeColor="text1"/>
                <w:sz w:val="20"/>
                <w:szCs w:val="20"/>
              </w:rPr>
            </w:pPr>
            <w:r>
              <w:rPr>
                <w:color w:val="000000" w:themeColor="text1"/>
                <w:sz w:val="20"/>
                <w:szCs w:val="20"/>
              </w:rPr>
              <w:t>reliability ≤ 0.30</w:t>
            </w:r>
          </w:p>
        </w:tc>
        <w:tc>
          <w:tcPr>
            <w:tcW w:w="3059" w:type="pct"/>
            <w:tcBorders>
              <w:top w:val="single" w:sz="4" w:space="0" w:color="auto"/>
              <w:left w:val="nil"/>
              <w:bottom w:val="nil"/>
              <w:right w:val="nil"/>
            </w:tcBorders>
            <w:shd w:val="clear" w:color="auto" w:fill="auto"/>
            <w:vAlign w:val="center"/>
          </w:tcPr>
          <w:p w14:paraId="35F0A8FF" w14:textId="77777777" w:rsidR="000574EE" w:rsidRDefault="00AC3F5F">
            <w:pPr>
              <w:jc w:val="center"/>
              <w:rPr>
                <w:color w:val="000000" w:themeColor="text1"/>
                <w:sz w:val="20"/>
                <w:szCs w:val="20"/>
              </w:rPr>
            </w:pPr>
            <w:r>
              <w:rPr>
                <w:color w:val="000000" w:themeColor="text1"/>
                <w:sz w:val="20"/>
                <w:szCs w:val="20"/>
              </w:rPr>
              <w:t>Not reliable</w:t>
            </w:r>
          </w:p>
        </w:tc>
      </w:tr>
      <w:tr w:rsidR="000574EE" w14:paraId="604815B0" w14:textId="77777777">
        <w:trPr>
          <w:trHeight w:val="355"/>
        </w:trPr>
        <w:tc>
          <w:tcPr>
            <w:tcW w:w="1940" w:type="pct"/>
            <w:tcBorders>
              <w:top w:val="nil"/>
              <w:left w:val="nil"/>
              <w:bottom w:val="nil"/>
              <w:right w:val="nil"/>
            </w:tcBorders>
            <w:shd w:val="clear" w:color="auto" w:fill="auto"/>
            <w:vAlign w:val="center"/>
          </w:tcPr>
          <w:p w14:paraId="6D3EC68D" w14:textId="77777777" w:rsidR="000574EE" w:rsidRDefault="00AC3F5F">
            <w:pPr>
              <w:jc w:val="center"/>
              <w:rPr>
                <w:color w:val="000000" w:themeColor="text1"/>
                <w:sz w:val="20"/>
                <w:szCs w:val="20"/>
              </w:rPr>
            </w:pPr>
            <w:r>
              <w:rPr>
                <w:color w:val="000000" w:themeColor="text1"/>
                <w:sz w:val="20"/>
                <w:szCs w:val="20"/>
              </w:rPr>
              <w:t>0.30 &lt; reliability ≤ 0.40</w:t>
            </w:r>
          </w:p>
        </w:tc>
        <w:tc>
          <w:tcPr>
            <w:tcW w:w="3059" w:type="pct"/>
            <w:tcBorders>
              <w:top w:val="nil"/>
              <w:left w:val="nil"/>
              <w:bottom w:val="nil"/>
              <w:right w:val="nil"/>
            </w:tcBorders>
            <w:shd w:val="clear" w:color="auto" w:fill="auto"/>
            <w:vAlign w:val="center"/>
          </w:tcPr>
          <w:p w14:paraId="1C541220" w14:textId="77777777" w:rsidR="000574EE" w:rsidRDefault="00AC3F5F">
            <w:pPr>
              <w:jc w:val="center"/>
              <w:rPr>
                <w:color w:val="000000" w:themeColor="text1"/>
                <w:sz w:val="20"/>
                <w:szCs w:val="20"/>
              </w:rPr>
            </w:pPr>
            <w:r>
              <w:rPr>
                <w:color w:val="000000" w:themeColor="text1"/>
                <w:sz w:val="20"/>
                <w:szCs w:val="20"/>
              </w:rPr>
              <w:t>Barely reliable (preliminary study)</w:t>
            </w:r>
          </w:p>
        </w:tc>
      </w:tr>
      <w:tr w:rsidR="000574EE" w14:paraId="61345B2C" w14:textId="77777777">
        <w:trPr>
          <w:trHeight w:val="297"/>
        </w:trPr>
        <w:tc>
          <w:tcPr>
            <w:tcW w:w="1940" w:type="pct"/>
            <w:tcBorders>
              <w:top w:val="nil"/>
              <w:left w:val="nil"/>
              <w:bottom w:val="nil"/>
              <w:right w:val="nil"/>
            </w:tcBorders>
            <w:shd w:val="clear" w:color="auto" w:fill="auto"/>
            <w:vAlign w:val="center"/>
          </w:tcPr>
          <w:p w14:paraId="4874E664" w14:textId="77777777" w:rsidR="000574EE" w:rsidRDefault="00AC3F5F">
            <w:pPr>
              <w:jc w:val="center"/>
              <w:rPr>
                <w:color w:val="000000" w:themeColor="text1"/>
                <w:sz w:val="20"/>
                <w:szCs w:val="20"/>
              </w:rPr>
            </w:pPr>
            <w:r>
              <w:rPr>
                <w:color w:val="000000" w:themeColor="text1"/>
                <w:sz w:val="20"/>
                <w:szCs w:val="20"/>
              </w:rPr>
              <w:t>0.40 &lt; reliability ≤ 0.50</w:t>
            </w:r>
          </w:p>
        </w:tc>
        <w:tc>
          <w:tcPr>
            <w:tcW w:w="3059" w:type="pct"/>
            <w:tcBorders>
              <w:top w:val="nil"/>
              <w:left w:val="nil"/>
              <w:bottom w:val="nil"/>
              <w:right w:val="nil"/>
            </w:tcBorders>
            <w:shd w:val="clear" w:color="auto" w:fill="auto"/>
            <w:vAlign w:val="center"/>
          </w:tcPr>
          <w:p w14:paraId="47B761EB" w14:textId="77777777" w:rsidR="000574EE" w:rsidRDefault="00AC3F5F">
            <w:pPr>
              <w:jc w:val="center"/>
              <w:rPr>
                <w:color w:val="000000" w:themeColor="text1"/>
                <w:sz w:val="20"/>
                <w:szCs w:val="20"/>
              </w:rPr>
            </w:pPr>
            <w:r>
              <w:rPr>
                <w:color w:val="000000" w:themeColor="text1"/>
                <w:sz w:val="20"/>
                <w:szCs w:val="20"/>
              </w:rPr>
              <w:t>Slightly reliable</w:t>
            </w:r>
          </w:p>
        </w:tc>
      </w:tr>
      <w:tr w:rsidR="000574EE" w14:paraId="526125BC" w14:textId="77777777">
        <w:trPr>
          <w:trHeight w:val="341"/>
        </w:trPr>
        <w:tc>
          <w:tcPr>
            <w:tcW w:w="1940" w:type="pct"/>
            <w:tcBorders>
              <w:top w:val="nil"/>
              <w:left w:val="nil"/>
              <w:bottom w:val="nil"/>
              <w:right w:val="nil"/>
            </w:tcBorders>
            <w:shd w:val="clear" w:color="auto" w:fill="auto"/>
            <w:vAlign w:val="center"/>
          </w:tcPr>
          <w:p w14:paraId="309A88EB" w14:textId="77777777" w:rsidR="000574EE" w:rsidRDefault="00AC3F5F">
            <w:pPr>
              <w:jc w:val="center"/>
              <w:rPr>
                <w:color w:val="000000" w:themeColor="text1"/>
                <w:sz w:val="20"/>
                <w:szCs w:val="20"/>
              </w:rPr>
            </w:pPr>
            <w:r>
              <w:rPr>
                <w:color w:val="000000" w:themeColor="text1"/>
                <w:sz w:val="20"/>
                <w:szCs w:val="20"/>
              </w:rPr>
              <w:t>0.50 &lt; reliability ≤ 0.70</w:t>
            </w:r>
          </w:p>
        </w:tc>
        <w:tc>
          <w:tcPr>
            <w:tcW w:w="3059" w:type="pct"/>
            <w:tcBorders>
              <w:top w:val="nil"/>
              <w:left w:val="nil"/>
              <w:bottom w:val="nil"/>
              <w:right w:val="nil"/>
            </w:tcBorders>
            <w:shd w:val="clear" w:color="auto" w:fill="auto"/>
            <w:vAlign w:val="center"/>
          </w:tcPr>
          <w:p w14:paraId="3383625C" w14:textId="77777777" w:rsidR="000574EE" w:rsidRDefault="00AC3F5F">
            <w:pPr>
              <w:jc w:val="center"/>
              <w:rPr>
                <w:color w:val="000000" w:themeColor="text1"/>
                <w:sz w:val="20"/>
                <w:szCs w:val="20"/>
              </w:rPr>
            </w:pPr>
            <w:r>
              <w:rPr>
                <w:color w:val="000000" w:themeColor="text1"/>
                <w:sz w:val="20"/>
                <w:szCs w:val="20"/>
              </w:rPr>
              <w:t>Reliable (common range)</w:t>
            </w:r>
          </w:p>
        </w:tc>
      </w:tr>
      <w:tr w:rsidR="000574EE" w14:paraId="008E6652" w14:textId="77777777">
        <w:trPr>
          <w:trHeight w:val="90"/>
        </w:trPr>
        <w:tc>
          <w:tcPr>
            <w:tcW w:w="1940" w:type="pct"/>
            <w:tcBorders>
              <w:top w:val="nil"/>
              <w:left w:val="nil"/>
              <w:bottom w:val="nil"/>
              <w:right w:val="nil"/>
            </w:tcBorders>
            <w:shd w:val="clear" w:color="auto" w:fill="auto"/>
            <w:vAlign w:val="center"/>
          </w:tcPr>
          <w:p w14:paraId="73F16D9E" w14:textId="77777777" w:rsidR="000574EE" w:rsidRDefault="00AC3F5F">
            <w:pPr>
              <w:jc w:val="center"/>
              <w:rPr>
                <w:color w:val="000000" w:themeColor="text1"/>
                <w:sz w:val="20"/>
                <w:szCs w:val="20"/>
              </w:rPr>
            </w:pPr>
            <w:r>
              <w:rPr>
                <w:color w:val="000000" w:themeColor="text1"/>
                <w:sz w:val="20"/>
                <w:szCs w:val="20"/>
              </w:rPr>
              <w:t>0.70 &lt; reliability ≤ 0.90</w:t>
            </w:r>
          </w:p>
        </w:tc>
        <w:tc>
          <w:tcPr>
            <w:tcW w:w="3059" w:type="pct"/>
            <w:tcBorders>
              <w:top w:val="nil"/>
              <w:left w:val="nil"/>
              <w:bottom w:val="nil"/>
              <w:right w:val="nil"/>
            </w:tcBorders>
            <w:shd w:val="clear" w:color="auto" w:fill="auto"/>
            <w:vAlign w:val="center"/>
          </w:tcPr>
          <w:p w14:paraId="10073BD0" w14:textId="77777777" w:rsidR="000574EE" w:rsidRDefault="00AC3F5F">
            <w:pPr>
              <w:jc w:val="center"/>
              <w:rPr>
                <w:color w:val="000000" w:themeColor="text1"/>
                <w:sz w:val="20"/>
                <w:szCs w:val="20"/>
              </w:rPr>
            </w:pPr>
            <w:r>
              <w:rPr>
                <w:color w:val="000000" w:themeColor="text1"/>
                <w:sz w:val="20"/>
                <w:szCs w:val="20"/>
              </w:rPr>
              <w:t>Very reliable (second common range)</w:t>
            </w:r>
          </w:p>
        </w:tc>
      </w:tr>
      <w:tr w:rsidR="000574EE" w14:paraId="7CC01F1A" w14:textId="77777777">
        <w:trPr>
          <w:trHeight w:val="265"/>
        </w:trPr>
        <w:tc>
          <w:tcPr>
            <w:tcW w:w="1940" w:type="pct"/>
            <w:tcBorders>
              <w:top w:val="nil"/>
              <w:left w:val="nil"/>
              <w:bottom w:val="single" w:sz="4" w:space="0" w:color="auto"/>
              <w:right w:val="nil"/>
            </w:tcBorders>
            <w:shd w:val="clear" w:color="auto" w:fill="auto"/>
            <w:vAlign w:val="center"/>
          </w:tcPr>
          <w:p w14:paraId="71F7FD66" w14:textId="77777777" w:rsidR="000574EE" w:rsidRDefault="00AC3F5F">
            <w:pPr>
              <w:jc w:val="center"/>
              <w:rPr>
                <w:color w:val="000000" w:themeColor="text1"/>
                <w:sz w:val="20"/>
                <w:szCs w:val="20"/>
              </w:rPr>
            </w:pPr>
            <w:r>
              <w:rPr>
                <w:color w:val="000000" w:themeColor="text1"/>
                <w:sz w:val="20"/>
                <w:szCs w:val="20"/>
              </w:rPr>
              <w:t>0.90 &lt; reliability</w:t>
            </w:r>
          </w:p>
        </w:tc>
        <w:tc>
          <w:tcPr>
            <w:tcW w:w="3059" w:type="pct"/>
            <w:tcBorders>
              <w:top w:val="nil"/>
              <w:left w:val="nil"/>
              <w:bottom w:val="single" w:sz="4" w:space="0" w:color="auto"/>
              <w:right w:val="nil"/>
            </w:tcBorders>
            <w:shd w:val="clear" w:color="auto" w:fill="auto"/>
            <w:vAlign w:val="center"/>
          </w:tcPr>
          <w:p w14:paraId="51C1394D" w14:textId="77777777" w:rsidR="000574EE" w:rsidRDefault="00AC3F5F">
            <w:pPr>
              <w:jc w:val="center"/>
              <w:rPr>
                <w:color w:val="000000" w:themeColor="text1"/>
                <w:sz w:val="20"/>
                <w:szCs w:val="20"/>
              </w:rPr>
            </w:pPr>
            <w:r>
              <w:rPr>
                <w:color w:val="000000" w:themeColor="text1"/>
                <w:sz w:val="20"/>
                <w:szCs w:val="20"/>
              </w:rPr>
              <w:t>Highly reliable</w:t>
            </w:r>
          </w:p>
        </w:tc>
      </w:tr>
    </w:tbl>
    <w:p w14:paraId="71762A5E" w14:textId="77777777" w:rsidR="000574EE" w:rsidRDefault="00AC3F5F">
      <w:pPr>
        <w:spacing w:line="360" w:lineRule="auto"/>
        <w:rPr>
          <w:color w:val="000000" w:themeColor="text1"/>
          <w:sz w:val="20"/>
          <w:szCs w:val="20"/>
        </w:rPr>
      </w:pPr>
      <w:r>
        <w:rPr>
          <w:rFonts w:hint="eastAsia"/>
          <w:color w:val="000000" w:themeColor="text1"/>
          <w:sz w:val="20"/>
          <w:szCs w:val="20"/>
        </w:rPr>
        <w:t>Source: Courtesy of Chen et al. (2020)</w:t>
      </w:r>
    </w:p>
    <w:p w14:paraId="5D445727" w14:textId="77777777" w:rsidR="000574EE" w:rsidRDefault="000574EE">
      <w:pPr>
        <w:autoSpaceDE w:val="0"/>
        <w:autoSpaceDN w:val="0"/>
        <w:ind w:firstLineChars="300" w:firstLine="720"/>
        <w:rPr>
          <w:rFonts w:eastAsia="SimHei" w:cs="Times New Roman"/>
          <w:bCs/>
          <w:color w:val="000000" w:themeColor="text1"/>
          <w:kern w:val="0"/>
          <w:sz w:val="24"/>
          <w:lang w:bidi="en-US"/>
        </w:rPr>
      </w:pPr>
    </w:p>
    <w:p w14:paraId="21D04883" w14:textId="0F4CF9C2" w:rsidR="000574EE" w:rsidRDefault="00AC3F5F">
      <w:pPr>
        <w:autoSpaceDE w:val="0"/>
        <w:autoSpaceDN w:val="0"/>
        <w:ind w:firstLineChars="300" w:firstLine="720"/>
        <w:rPr>
          <w:rFonts w:eastAsia="SimHei" w:cs="Times New Roman"/>
          <w:bCs/>
          <w:color w:val="0000FF"/>
          <w:kern w:val="0"/>
          <w:sz w:val="24"/>
          <w:lang w:bidi="en-US"/>
        </w:rPr>
      </w:pPr>
      <w:r>
        <w:rPr>
          <w:rFonts w:eastAsia="SimHei" w:cs="Times New Roman" w:hint="eastAsia"/>
          <w:bCs/>
          <w:color w:val="0000FF"/>
          <w:kern w:val="0"/>
          <w:sz w:val="24"/>
          <w:lang w:bidi="en-US"/>
        </w:rPr>
        <w:t>To determine the suitability of the dataset for factor analysis, the KMO Measure of Sampling Adequacy and Bartlett</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s Test of Sphericity are commonly employed. The KMO index assesses whether the partial correlations among variables are small, which is a prerequisite for valid factor analysis. According to Kaiser (1974), KMO values between 0.70 and 0.79 are considered </w:t>
      </w:r>
      <w:r>
        <w:rPr>
          <w:rFonts w:eastAsia="SimHei" w:cs="Times New Roman"/>
          <w:bCs/>
          <w:color w:val="0000FF"/>
          <w:kern w:val="0"/>
          <w:sz w:val="24"/>
          <w:lang w:bidi="en-US"/>
        </w:rPr>
        <w:t>“</w:t>
      </w:r>
      <w:r>
        <w:rPr>
          <w:rFonts w:eastAsia="SimHei" w:cs="Times New Roman" w:hint="eastAsia"/>
          <w:bCs/>
          <w:color w:val="0000FF"/>
          <w:kern w:val="0"/>
          <w:sz w:val="24"/>
          <w:lang w:bidi="en-US"/>
        </w:rPr>
        <w:t>middling,</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 values above 0.80 are regarded as </w:t>
      </w:r>
      <w:r>
        <w:rPr>
          <w:rFonts w:eastAsia="SimHei" w:cs="Times New Roman"/>
          <w:bCs/>
          <w:color w:val="0000FF"/>
          <w:kern w:val="0"/>
          <w:sz w:val="24"/>
          <w:lang w:bidi="en-US"/>
        </w:rPr>
        <w:t>“</w:t>
      </w:r>
      <w:r>
        <w:rPr>
          <w:rFonts w:eastAsia="SimHei" w:cs="Times New Roman" w:hint="eastAsia"/>
          <w:bCs/>
          <w:color w:val="0000FF"/>
          <w:kern w:val="0"/>
          <w:sz w:val="24"/>
          <w:lang w:bidi="en-US"/>
        </w:rPr>
        <w:t>meritorious</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 or </w:t>
      </w:r>
      <w:r>
        <w:rPr>
          <w:rFonts w:eastAsia="SimHei" w:cs="Times New Roman"/>
          <w:bCs/>
          <w:color w:val="0000FF"/>
          <w:kern w:val="0"/>
          <w:sz w:val="24"/>
          <w:lang w:bidi="en-US"/>
        </w:rPr>
        <w:t>“</w:t>
      </w:r>
      <w:r>
        <w:rPr>
          <w:rFonts w:eastAsia="SimHei" w:cs="Times New Roman" w:hint="eastAsia"/>
          <w:bCs/>
          <w:color w:val="0000FF"/>
          <w:kern w:val="0"/>
          <w:sz w:val="24"/>
          <w:lang w:bidi="en-US"/>
        </w:rPr>
        <w:t>excellent,</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 while values below 0.50 are deemed </w:t>
      </w:r>
      <w:r>
        <w:rPr>
          <w:rFonts w:eastAsia="SimHei" w:cs="Times New Roman"/>
          <w:bCs/>
          <w:color w:val="0000FF"/>
          <w:kern w:val="0"/>
          <w:sz w:val="24"/>
          <w:lang w:bidi="en-US"/>
        </w:rPr>
        <w:t>“</w:t>
      </w:r>
      <w:r>
        <w:rPr>
          <w:rFonts w:eastAsia="SimHei" w:cs="Times New Roman" w:hint="eastAsia"/>
          <w:bCs/>
          <w:color w:val="0000FF"/>
          <w:kern w:val="0"/>
          <w:sz w:val="24"/>
          <w:lang w:bidi="en-US"/>
        </w:rPr>
        <w:t>unacceptable.</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 Bartlett</w:t>
      </w:r>
      <w:r>
        <w:rPr>
          <w:rFonts w:eastAsia="SimHei" w:cs="Times New Roman"/>
          <w:bCs/>
          <w:color w:val="0000FF"/>
          <w:kern w:val="0"/>
          <w:sz w:val="24"/>
          <w:lang w:bidi="en-US"/>
        </w:rPr>
        <w:t>’</w:t>
      </w:r>
      <w:r>
        <w:rPr>
          <w:rFonts w:eastAsia="SimHei" w:cs="Times New Roman" w:hint="eastAsia"/>
          <w:bCs/>
          <w:color w:val="0000FF"/>
          <w:kern w:val="0"/>
          <w:sz w:val="24"/>
          <w:lang w:bidi="en-US"/>
        </w:rPr>
        <w:t>s Test of Sphericity, on the other hand, examines whether the correlation matrix significantly deviates from the identity matrix</w:t>
      </w:r>
      <w:r w:rsidR="0020453D">
        <w:rPr>
          <w:rFonts w:eastAsia="SimHei" w:cs="Times New Roman"/>
          <w:bCs/>
          <w:color w:val="0000FF"/>
          <w:kern w:val="0"/>
          <w:sz w:val="24"/>
          <w:lang w:bidi="en-US"/>
        </w:rPr>
        <w:t xml:space="preserve"> (Table 6)</w:t>
      </w:r>
      <w:bookmarkStart w:id="1" w:name="_GoBack"/>
      <w:bookmarkEnd w:id="1"/>
      <w:r>
        <w:rPr>
          <w:rFonts w:eastAsia="SimHei" w:cs="Times New Roman" w:hint="eastAsia"/>
          <w:bCs/>
          <w:color w:val="0000FF"/>
          <w:kern w:val="0"/>
          <w:sz w:val="24"/>
          <w:lang w:bidi="en-US"/>
        </w:rPr>
        <w:t>. A statistically significant result (typically p &lt; 0.05) indicates that the variables are sufficiently correlated to justify the application of factor analysis (Bartlett, 1954).</w:t>
      </w:r>
    </w:p>
    <w:p w14:paraId="4E7A9F28" w14:textId="77777777" w:rsidR="000574EE" w:rsidRDefault="000574EE">
      <w:pPr>
        <w:autoSpaceDE w:val="0"/>
        <w:autoSpaceDN w:val="0"/>
        <w:ind w:firstLineChars="300" w:firstLine="720"/>
        <w:rPr>
          <w:rFonts w:eastAsia="SimHei" w:cs="Times New Roman"/>
          <w:bCs/>
          <w:color w:val="0000FF"/>
          <w:kern w:val="0"/>
          <w:sz w:val="24"/>
          <w:lang w:bidi="en-US"/>
        </w:rPr>
      </w:pPr>
    </w:p>
    <w:p w14:paraId="5138AC01" w14:textId="77777777" w:rsidR="000574EE" w:rsidRDefault="00AC3F5F">
      <w:pPr>
        <w:spacing w:line="360" w:lineRule="auto"/>
        <w:rPr>
          <w:color w:val="0000FF"/>
          <w:sz w:val="20"/>
          <w:szCs w:val="20"/>
        </w:rPr>
      </w:pPr>
      <w:r>
        <w:rPr>
          <w:rFonts w:hint="eastAsia"/>
          <w:color w:val="0000FF"/>
          <w:sz w:val="20"/>
          <w:szCs w:val="20"/>
        </w:rPr>
        <w:t xml:space="preserve">Table 6: Classification of Validity Coefficients and Their Credibility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5551"/>
      </w:tblGrid>
      <w:tr w:rsidR="000574EE" w14:paraId="05250979" w14:textId="77777777">
        <w:trPr>
          <w:trHeight w:val="428"/>
        </w:trPr>
        <w:tc>
          <w:tcPr>
            <w:tcW w:w="1940" w:type="pct"/>
            <w:tcBorders>
              <w:top w:val="single" w:sz="4" w:space="0" w:color="auto"/>
              <w:left w:val="nil"/>
              <w:bottom w:val="single" w:sz="4" w:space="0" w:color="auto"/>
              <w:right w:val="nil"/>
            </w:tcBorders>
            <w:shd w:val="clear" w:color="auto" w:fill="auto"/>
            <w:vAlign w:val="center"/>
          </w:tcPr>
          <w:p w14:paraId="062B807A" w14:textId="77777777" w:rsidR="000574EE" w:rsidRDefault="00AC3F5F">
            <w:pPr>
              <w:jc w:val="center"/>
              <w:rPr>
                <w:b/>
                <w:bCs/>
                <w:color w:val="0000FF"/>
                <w:sz w:val="20"/>
                <w:szCs w:val="20"/>
              </w:rPr>
            </w:pPr>
            <w:r>
              <w:rPr>
                <w:rFonts w:hint="eastAsia"/>
                <w:b/>
                <w:bCs/>
                <w:color w:val="0000FF"/>
                <w:sz w:val="20"/>
                <w:szCs w:val="20"/>
              </w:rPr>
              <w:t>KMO Value Range</w:t>
            </w:r>
          </w:p>
        </w:tc>
        <w:tc>
          <w:tcPr>
            <w:tcW w:w="3059" w:type="pct"/>
            <w:tcBorders>
              <w:top w:val="single" w:sz="4" w:space="0" w:color="auto"/>
              <w:left w:val="nil"/>
              <w:bottom w:val="single" w:sz="4" w:space="0" w:color="auto"/>
              <w:right w:val="nil"/>
            </w:tcBorders>
            <w:shd w:val="clear" w:color="auto" w:fill="auto"/>
            <w:vAlign w:val="center"/>
          </w:tcPr>
          <w:p w14:paraId="4DEC8131" w14:textId="77777777" w:rsidR="000574EE" w:rsidRDefault="00AC3F5F">
            <w:pPr>
              <w:jc w:val="center"/>
              <w:rPr>
                <w:b/>
                <w:bCs/>
                <w:color w:val="0000FF"/>
                <w:sz w:val="20"/>
                <w:szCs w:val="20"/>
              </w:rPr>
            </w:pPr>
            <w:r>
              <w:rPr>
                <w:rFonts w:hint="eastAsia"/>
                <w:b/>
                <w:bCs/>
                <w:color w:val="0000FF"/>
                <w:sz w:val="20"/>
                <w:szCs w:val="20"/>
              </w:rPr>
              <w:t>Interpretation</w:t>
            </w:r>
          </w:p>
        </w:tc>
      </w:tr>
      <w:tr w:rsidR="000574EE" w14:paraId="40F106D0" w14:textId="77777777">
        <w:trPr>
          <w:trHeight w:val="336"/>
        </w:trPr>
        <w:tc>
          <w:tcPr>
            <w:tcW w:w="3604" w:type="dxa"/>
            <w:tcBorders>
              <w:top w:val="single" w:sz="4" w:space="0" w:color="auto"/>
              <w:left w:val="nil"/>
              <w:bottom w:val="nil"/>
              <w:right w:val="nil"/>
            </w:tcBorders>
            <w:shd w:val="clear" w:color="auto" w:fill="auto"/>
            <w:vAlign w:val="center"/>
          </w:tcPr>
          <w:p w14:paraId="78E9242C" w14:textId="77777777" w:rsidR="000574EE" w:rsidRDefault="00AC3F5F">
            <w:pPr>
              <w:jc w:val="center"/>
              <w:rPr>
                <w:color w:val="0000FF"/>
                <w:sz w:val="20"/>
                <w:szCs w:val="20"/>
              </w:rPr>
            </w:pPr>
            <w:r>
              <w:rPr>
                <w:rFonts w:hint="eastAsia"/>
                <w:color w:val="0000FF"/>
                <w:sz w:val="20"/>
                <w:szCs w:val="20"/>
              </w:rPr>
              <w:t>0.90 to 1.00</w:t>
            </w:r>
          </w:p>
        </w:tc>
        <w:tc>
          <w:tcPr>
            <w:tcW w:w="5682" w:type="dxa"/>
            <w:tcBorders>
              <w:top w:val="single" w:sz="4" w:space="0" w:color="auto"/>
              <w:left w:val="nil"/>
              <w:bottom w:val="nil"/>
              <w:right w:val="nil"/>
            </w:tcBorders>
            <w:shd w:val="clear" w:color="auto" w:fill="auto"/>
            <w:vAlign w:val="center"/>
          </w:tcPr>
          <w:p w14:paraId="231D9530" w14:textId="77777777" w:rsidR="000574EE" w:rsidRDefault="00AC3F5F">
            <w:pPr>
              <w:jc w:val="center"/>
              <w:rPr>
                <w:color w:val="0000FF"/>
                <w:sz w:val="20"/>
                <w:szCs w:val="20"/>
              </w:rPr>
            </w:pPr>
            <w:r>
              <w:rPr>
                <w:rFonts w:hint="eastAsia"/>
                <w:color w:val="0000FF"/>
                <w:sz w:val="20"/>
                <w:szCs w:val="20"/>
              </w:rPr>
              <w:t>Marvelous / Excellent</w:t>
            </w:r>
          </w:p>
        </w:tc>
      </w:tr>
      <w:tr w:rsidR="000574EE" w14:paraId="66F2EBAD" w14:textId="77777777">
        <w:trPr>
          <w:trHeight w:val="355"/>
        </w:trPr>
        <w:tc>
          <w:tcPr>
            <w:tcW w:w="3604" w:type="dxa"/>
            <w:tcBorders>
              <w:top w:val="nil"/>
              <w:left w:val="nil"/>
              <w:bottom w:val="nil"/>
              <w:right w:val="nil"/>
            </w:tcBorders>
            <w:shd w:val="clear" w:color="auto" w:fill="auto"/>
            <w:vAlign w:val="center"/>
          </w:tcPr>
          <w:p w14:paraId="799F3220" w14:textId="77777777" w:rsidR="000574EE" w:rsidRDefault="00AC3F5F">
            <w:pPr>
              <w:jc w:val="center"/>
              <w:rPr>
                <w:color w:val="0000FF"/>
                <w:sz w:val="20"/>
                <w:szCs w:val="20"/>
              </w:rPr>
            </w:pPr>
            <w:r>
              <w:rPr>
                <w:rFonts w:hint="eastAsia"/>
                <w:color w:val="0000FF"/>
                <w:sz w:val="20"/>
                <w:szCs w:val="20"/>
              </w:rPr>
              <w:t>0.80 to 0.89</w:t>
            </w:r>
          </w:p>
        </w:tc>
        <w:tc>
          <w:tcPr>
            <w:tcW w:w="5682" w:type="dxa"/>
            <w:tcBorders>
              <w:top w:val="nil"/>
              <w:left w:val="nil"/>
              <w:bottom w:val="nil"/>
              <w:right w:val="nil"/>
            </w:tcBorders>
            <w:shd w:val="clear" w:color="auto" w:fill="auto"/>
            <w:vAlign w:val="center"/>
          </w:tcPr>
          <w:p w14:paraId="6B52EA49" w14:textId="77777777" w:rsidR="000574EE" w:rsidRDefault="00AC3F5F">
            <w:pPr>
              <w:jc w:val="center"/>
              <w:rPr>
                <w:color w:val="0000FF"/>
                <w:sz w:val="20"/>
                <w:szCs w:val="20"/>
              </w:rPr>
            </w:pPr>
            <w:r>
              <w:rPr>
                <w:rFonts w:hint="eastAsia"/>
                <w:color w:val="0000FF"/>
                <w:sz w:val="20"/>
                <w:szCs w:val="20"/>
              </w:rPr>
              <w:t>Meritorious / Good</w:t>
            </w:r>
          </w:p>
        </w:tc>
      </w:tr>
      <w:tr w:rsidR="000574EE" w14:paraId="1948780C" w14:textId="77777777">
        <w:trPr>
          <w:trHeight w:val="307"/>
        </w:trPr>
        <w:tc>
          <w:tcPr>
            <w:tcW w:w="3604" w:type="dxa"/>
            <w:tcBorders>
              <w:top w:val="nil"/>
              <w:left w:val="nil"/>
              <w:bottom w:val="nil"/>
              <w:right w:val="nil"/>
            </w:tcBorders>
            <w:shd w:val="clear" w:color="auto" w:fill="auto"/>
            <w:vAlign w:val="center"/>
          </w:tcPr>
          <w:p w14:paraId="1048411D" w14:textId="77777777" w:rsidR="000574EE" w:rsidRDefault="00AC3F5F">
            <w:pPr>
              <w:jc w:val="center"/>
              <w:rPr>
                <w:color w:val="0000FF"/>
                <w:sz w:val="20"/>
                <w:szCs w:val="20"/>
              </w:rPr>
            </w:pPr>
            <w:r>
              <w:rPr>
                <w:rFonts w:hint="eastAsia"/>
                <w:color w:val="0000FF"/>
                <w:sz w:val="20"/>
                <w:szCs w:val="20"/>
              </w:rPr>
              <w:t>0.70 to 0.79</w:t>
            </w:r>
          </w:p>
        </w:tc>
        <w:tc>
          <w:tcPr>
            <w:tcW w:w="5682" w:type="dxa"/>
            <w:tcBorders>
              <w:top w:val="nil"/>
              <w:left w:val="nil"/>
              <w:bottom w:val="nil"/>
              <w:right w:val="nil"/>
            </w:tcBorders>
            <w:shd w:val="clear" w:color="auto" w:fill="auto"/>
            <w:vAlign w:val="center"/>
          </w:tcPr>
          <w:p w14:paraId="3EF6B347" w14:textId="77777777" w:rsidR="000574EE" w:rsidRDefault="00AC3F5F">
            <w:pPr>
              <w:jc w:val="center"/>
              <w:rPr>
                <w:color w:val="0000FF"/>
                <w:sz w:val="20"/>
                <w:szCs w:val="20"/>
              </w:rPr>
            </w:pPr>
            <w:r>
              <w:rPr>
                <w:rFonts w:hint="eastAsia"/>
                <w:color w:val="0000FF"/>
                <w:sz w:val="20"/>
                <w:szCs w:val="20"/>
              </w:rPr>
              <w:t>Middling / Average</w:t>
            </w:r>
          </w:p>
        </w:tc>
      </w:tr>
      <w:tr w:rsidR="000574EE" w14:paraId="3BA7C0B3" w14:textId="77777777">
        <w:trPr>
          <w:trHeight w:val="341"/>
        </w:trPr>
        <w:tc>
          <w:tcPr>
            <w:tcW w:w="3604" w:type="dxa"/>
            <w:tcBorders>
              <w:top w:val="nil"/>
              <w:left w:val="nil"/>
              <w:bottom w:val="nil"/>
              <w:right w:val="nil"/>
            </w:tcBorders>
            <w:shd w:val="clear" w:color="auto" w:fill="auto"/>
            <w:vAlign w:val="center"/>
          </w:tcPr>
          <w:p w14:paraId="0C322241" w14:textId="77777777" w:rsidR="000574EE" w:rsidRDefault="00AC3F5F">
            <w:pPr>
              <w:jc w:val="center"/>
              <w:rPr>
                <w:color w:val="0000FF"/>
                <w:sz w:val="20"/>
                <w:szCs w:val="20"/>
              </w:rPr>
            </w:pPr>
            <w:r>
              <w:rPr>
                <w:rFonts w:hint="eastAsia"/>
                <w:color w:val="0000FF"/>
                <w:sz w:val="20"/>
                <w:szCs w:val="20"/>
              </w:rPr>
              <w:t>0.60 to 0.69</w:t>
            </w:r>
          </w:p>
        </w:tc>
        <w:tc>
          <w:tcPr>
            <w:tcW w:w="5682" w:type="dxa"/>
            <w:tcBorders>
              <w:top w:val="nil"/>
              <w:left w:val="nil"/>
              <w:bottom w:val="nil"/>
              <w:right w:val="nil"/>
            </w:tcBorders>
            <w:shd w:val="clear" w:color="auto" w:fill="auto"/>
            <w:vAlign w:val="center"/>
          </w:tcPr>
          <w:p w14:paraId="7A58CC6F" w14:textId="77777777" w:rsidR="000574EE" w:rsidRDefault="00AC3F5F">
            <w:pPr>
              <w:jc w:val="center"/>
              <w:rPr>
                <w:color w:val="0000FF"/>
                <w:sz w:val="20"/>
                <w:szCs w:val="20"/>
              </w:rPr>
            </w:pPr>
            <w:r>
              <w:rPr>
                <w:rFonts w:hint="eastAsia"/>
                <w:color w:val="0000FF"/>
                <w:sz w:val="20"/>
                <w:szCs w:val="20"/>
              </w:rPr>
              <w:t>Mediocre / Fair</w:t>
            </w:r>
          </w:p>
        </w:tc>
      </w:tr>
      <w:tr w:rsidR="000574EE" w14:paraId="4A37821E" w14:textId="77777777">
        <w:trPr>
          <w:trHeight w:val="90"/>
        </w:trPr>
        <w:tc>
          <w:tcPr>
            <w:tcW w:w="3604" w:type="dxa"/>
            <w:tcBorders>
              <w:top w:val="nil"/>
              <w:left w:val="nil"/>
              <w:bottom w:val="nil"/>
              <w:right w:val="nil"/>
            </w:tcBorders>
            <w:shd w:val="clear" w:color="auto" w:fill="auto"/>
            <w:vAlign w:val="center"/>
          </w:tcPr>
          <w:p w14:paraId="2D986EF7" w14:textId="77777777" w:rsidR="000574EE" w:rsidRDefault="00AC3F5F">
            <w:pPr>
              <w:jc w:val="center"/>
              <w:rPr>
                <w:color w:val="0000FF"/>
                <w:sz w:val="20"/>
                <w:szCs w:val="20"/>
              </w:rPr>
            </w:pPr>
            <w:r>
              <w:rPr>
                <w:rFonts w:hint="eastAsia"/>
                <w:color w:val="0000FF"/>
                <w:sz w:val="20"/>
                <w:szCs w:val="20"/>
              </w:rPr>
              <w:t>0.50 to 0.59</w:t>
            </w:r>
          </w:p>
        </w:tc>
        <w:tc>
          <w:tcPr>
            <w:tcW w:w="5682" w:type="dxa"/>
            <w:tcBorders>
              <w:top w:val="nil"/>
              <w:left w:val="nil"/>
              <w:bottom w:val="nil"/>
              <w:right w:val="nil"/>
            </w:tcBorders>
            <w:shd w:val="clear" w:color="auto" w:fill="auto"/>
            <w:vAlign w:val="center"/>
          </w:tcPr>
          <w:p w14:paraId="4BE5CEB3" w14:textId="77777777" w:rsidR="000574EE" w:rsidRDefault="00AC3F5F">
            <w:pPr>
              <w:jc w:val="center"/>
              <w:rPr>
                <w:color w:val="0000FF"/>
                <w:sz w:val="20"/>
                <w:szCs w:val="20"/>
              </w:rPr>
            </w:pPr>
            <w:r>
              <w:rPr>
                <w:rFonts w:hint="eastAsia"/>
                <w:color w:val="0000FF"/>
                <w:sz w:val="20"/>
                <w:szCs w:val="20"/>
              </w:rPr>
              <w:t>Miserable / Poor</w:t>
            </w:r>
          </w:p>
        </w:tc>
      </w:tr>
      <w:tr w:rsidR="000574EE" w14:paraId="4B7F17E8" w14:textId="77777777">
        <w:trPr>
          <w:trHeight w:val="265"/>
        </w:trPr>
        <w:tc>
          <w:tcPr>
            <w:tcW w:w="3604" w:type="dxa"/>
            <w:tcBorders>
              <w:top w:val="nil"/>
              <w:left w:val="nil"/>
              <w:bottom w:val="single" w:sz="4" w:space="0" w:color="auto"/>
              <w:right w:val="nil"/>
            </w:tcBorders>
            <w:shd w:val="clear" w:color="auto" w:fill="auto"/>
            <w:vAlign w:val="center"/>
          </w:tcPr>
          <w:p w14:paraId="4E87919D" w14:textId="77777777" w:rsidR="000574EE" w:rsidRDefault="00AC3F5F">
            <w:pPr>
              <w:jc w:val="center"/>
              <w:rPr>
                <w:color w:val="0000FF"/>
                <w:sz w:val="20"/>
                <w:szCs w:val="20"/>
              </w:rPr>
            </w:pPr>
            <w:r>
              <w:rPr>
                <w:rFonts w:hint="eastAsia"/>
                <w:color w:val="0000FF"/>
                <w:sz w:val="20"/>
                <w:szCs w:val="20"/>
              </w:rPr>
              <w:t>Below 0.50</w:t>
            </w:r>
          </w:p>
        </w:tc>
        <w:tc>
          <w:tcPr>
            <w:tcW w:w="5682" w:type="dxa"/>
            <w:tcBorders>
              <w:top w:val="nil"/>
              <w:left w:val="nil"/>
              <w:bottom w:val="single" w:sz="4" w:space="0" w:color="auto"/>
              <w:right w:val="nil"/>
            </w:tcBorders>
            <w:shd w:val="clear" w:color="auto" w:fill="auto"/>
            <w:vAlign w:val="center"/>
          </w:tcPr>
          <w:p w14:paraId="41EA1046" w14:textId="77777777" w:rsidR="000574EE" w:rsidRDefault="00AC3F5F">
            <w:pPr>
              <w:jc w:val="center"/>
              <w:rPr>
                <w:color w:val="0000FF"/>
                <w:sz w:val="20"/>
                <w:szCs w:val="20"/>
              </w:rPr>
            </w:pPr>
            <w:r>
              <w:rPr>
                <w:rFonts w:hint="eastAsia"/>
                <w:color w:val="0000FF"/>
                <w:sz w:val="20"/>
                <w:szCs w:val="20"/>
              </w:rPr>
              <w:t>Unacceptable / Very Poor</w:t>
            </w:r>
          </w:p>
        </w:tc>
      </w:tr>
    </w:tbl>
    <w:p w14:paraId="65C50E40" w14:textId="77777777" w:rsidR="000574EE" w:rsidRDefault="00AC3F5F">
      <w:pPr>
        <w:spacing w:line="360" w:lineRule="auto"/>
        <w:rPr>
          <w:b/>
          <w:bCs/>
          <w:i/>
          <w:iCs/>
          <w:color w:val="000000" w:themeColor="text1"/>
          <w:sz w:val="24"/>
          <w:szCs w:val="22"/>
        </w:rPr>
      </w:pPr>
      <w:r>
        <w:rPr>
          <w:rFonts w:hint="eastAsia"/>
          <w:color w:val="0000FF"/>
          <w:sz w:val="20"/>
          <w:szCs w:val="20"/>
        </w:rPr>
        <w:t>Source: Courtesy of Kaiser (1974) and Bartlett (1954)</w:t>
      </w:r>
    </w:p>
    <w:p w14:paraId="53C08776" w14:textId="77777777" w:rsidR="000574EE" w:rsidRDefault="00AC3F5F">
      <w:pPr>
        <w:spacing w:beforeLines="100" w:before="312" w:line="360" w:lineRule="auto"/>
        <w:rPr>
          <w:b/>
          <w:bCs/>
          <w:i/>
          <w:iCs/>
          <w:color w:val="000000" w:themeColor="text1"/>
          <w:sz w:val="24"/>
          <w:szCs w:val="22"/>
        </w:rPr>
      </w:pPr>
      <w:r>
        <w:rPr>
          <w:rFonts w:hint="eastAsia"/>
          <w:b/>
          <w:bCs/>
          <w:i/>
          <w:iCs/>
          <w:color w:val="000000" w:themeColor="text1"/>
          <w:sz w:val="24"/>
          <w:szCs w:val="22"/>
        </w:rPr>
        <w:t xml:space="preserve">Speaking </w:t>
      </w:r>
      <w:r>
        <w:rPr>
          <w:b/>
          <w:bCs/>
          <w:i/>
          <w:iCs/>
          <w:color w:val="000000" w:themeColor="text1"/>
          <w:sz w:val="24"/>
          <w:szCs w:val="22"/>
        </w:rPr>
        <w:t>Strateg</w:t>
      </w:r>
      <w:r>
        <w:rPr>
          <w:rFonts w:hint="eastAsia"/>
          <w:b/>
          <w:bCs/>
          <w:i/>
          <w:iCs/>
          <w:color w:val="000000" w:themeColor="text1"/>
          <w:sz w:val="24"/>
          <w:szCs w:val="22"/>
        </w:rPr>
        <w:t>ies</w:t>
      </w:r>
      <w:r>
        <w:rPr>
          <w:b/>
          <w:bCs/>
          <w:i/>
          <w:iCs/>
          <w:color w:val="000000" w:themeColor="text1"/>
          <w:sz w:val="24"/>
          <w:szCs w:val="22"/>
        </w:rPr>
        <w:t xml:space="preserve"> Questionnaire</w:t>
      </w:r>
    </w:p>
    <w:p w14:paraId="1C19AE62" w14:textId="77777777" w:rsidR="000574EE" w:rsidRDefault="00AC3F5F">
      <w:pPr>
        <w:spacing w:line="360" w:lineRule="auto"/>
        <w:rPr>
          <w:color w:val="000000" w:themeColor="text1"/>
          <w:sz w:val="20"/>
          <w:szCs w:val="20"/>
        </w:rPr>
      </w:pPr>
      <w:r>
        <w:rPr>
          <w:color w:val="000000" w:themeColor="text1"/>
          <w:sz w:val="20"/>
          <w:szCs w:val="20"/>
        </w:rPr>
        <w:t xml:space="preserve">Table </w:t>
      </w:r>
      <w:r>
        <w:rPr>
          <w:rFonts w:hint="eastAsia"/>
          <w:color w:val="000000" w:themeColor="text1"/>
          <w:sz w:val="20"/>
          <w:szCs w:val="20"/>
        </w:rPr>
        <w:t xml:space="preserve">7: </w:t>
      </w:r>
      <w:r>
        <w:rPr>
          <w:color w:val="000000" w:themeColor="text1"/>
          <w:sz w:val="20"/>
          <w:szCs w:val="20"/>
        </w:rPr>
        <w:t xml:space="preserve">Reliability of </w:t>
      </w:r>
      <w:r>
        <w:rPr>
          <w:rFonts w:hint="eastAsia"/>
          <w:color w:val="000000" w:themeColor="text1"/>
          <w:sz w:val="20"/>
          <w:szCs w:val="20"/>
        </w:rPr>
        <w:t>q</w:t>
      </w:r>
      <w:r>
        <w:rPr>
          <w:color w:val="000000" w:themeColor="text1"/>
          <w:sz w:val="20"/>
          <w:szCs w:val="20"/>
        </w:rPr>
        <w:t xml:space="preserve">uestionnaire on </w:t>
      </w:r>
      <w:r>
        <w:rPr>
          <w:rFonts w:hint="eastAsia"/>
          <w:color w:val="000000" w:themeColor="text1"/>
          <w:sz w:val="20"/>
          <w:szCs w:val="20"/>
        </w:rPr>
        <w:t>speaking strategies</w:t>
      </w:r>
    </w:p>
    <w:tbl>
      <w:tblPr>
        <w:tblW w:w="4996" w:type="pct"/>
        <w:jc w:val="center"/>
        <w:tblBorders>
          <w:top w:val="single" w:sz="4" w:space="0" w:color="auto"/>
          <w:bottom w:val="single" w:sz="4" w:space="0" w:color="auto"/>
        </w:tblBorders>
        <w:tblLayout w:type="fixed"/>
        <w:tblLook w:val="04A0" w:firstRow="1" w:lastRow="0" w:firstColumn="1" w:lastColumn="0" w:noHBand="0" w:noVBand="1"/>
      </w:tblPr>
      <w:tblGrid>
        <w:gridCol w:w="336"/>
        <w:gridCol w:w="4233"/>
        <w:gridCol w:w="1079"/>
        <w:gridCol w:w="2023"/>
        <w:gridCol w:w="1394"/>
      </w:tblGrid>
      <w:tr w:rsidR="000574EE" w14:paraId="617E454D" w14:textId="77777777">
        <w:trPr>
          <w:trHeight w:val="890"/>
          <w:jc w:val="center"/>
        </w:trPr>
        <w:tc>
          <w:tcPr>
            <w:tcW w:w="185" w:type="pct"/>
            <w:tcBorders>
              <w:bottom w:val="single" w:sz="4" w:space="0" w:color="auto"/>
            </w:tcBorders>
            <w:shd w:val="clear" w:color="auto" w:fill="auto"/>
            <w:noWrap/>
            <w:vAlign w:val="center"/>
          </w:tcPr>
          <w:p w14:paraId="2043AA63" w14:textId="77777777" w:rsidR="000574EE" w:rsidRDefault="000574EE">
            <w:pPr>
              <w:spacing w:line="360" w:lineRule="auto"/>
              <w:jc w:val="center"/>
              <w:rPr>
                <w:color w:val="000000" w:themeColor="text1"/>
                <w:sz w:val="22"/>
                <w:szCs w:val="22"/>
              </w:rPr>
            </w:pPr>
          </w:p>
        </w:tc>
        <w:tc>
          <w:tcPr>
            <w:tcW w:w="2333" w:type="pct"/>
            <w:tcBorders>
              <w:bottom w:val="single" w:sz="4" w:space="0" w:color="auto"/>
            </w:tcBorders>
            <w:shd w:val="clear" w:color="auto" w:fill="auto"/>
            <w:noWrap/>
            <w:vAlign w:val="center"/>
          </w:tcPr>
          <w:p w14:paraId="5EEC6810" w14:textId="77777777" w:rsidR="000574EE" w:rsidRDefault="00AC3F5F">
            <w:pPr>
              <w:spacing w:line="360" w:lineRule="auto"/>
              <w:jc w:val="center"/>
              <w:rPr>
                <w:b/>
                <w:bCs/>
                <w:color w:val="000000" w:themeColor="text1"/>
                <w:sz w:val="20"/>
                <w:szCs w:val="20"/>
              </w:rPr>
            </w:pPr>
            <w:r>
              <w:rPr>
                <w:rFonts w:hint="eastAsia"/>
                <w:b/>
                <w:bCs/>
                <w:color w:val="000000" w:themeColor="text1"/>
                <w:sz w:val="20"/>
                <w:szCs w:val="20"/>
              </w:rPr>
              <w:t>S</w:t>
            </w:r>
            <w:r>
              <w:rPr>
                <w:b/>
                <w:bCs/>
                <w:color w:val="000000" w:themeColor="text1"/>
                <w:sz w:val="20"/>
                <w:szCs w:val="20"/>
              </w:rPr>
              <w:t>peaking strategies Subscales</w:t>
            </w:r>
          </w:p>
        </w:tc>
        <w:tc>
          <w:tcPr>
            <w:tcW w:w="595" w:type="pct"/>
            <w:tcBorders>
              <w:bottom w:val="single" w:sz="4" w:space="0" w:color="auto"/>
            </w:tcBorders>
            <w:shd w:val="clear" w:color="auto" w:fill="auto"/>
            <w:vAlign w:val="center"/>
          </w:tcPr>
          <w:p w14:paraId="2E610E52" w14:textId="77777777" w:rsidR="000574EE" w:rsidRDefault="00AC3F5F">
            <w:pPr>
              <w:widowControl/>
              <w:jc w:val="left"/>
              <w:rPr>
                <w:b/>
                <w:bCs/>
                <w:color w:val="000000" w:themeColor="text1"/>
                <w:sz w:val="20"/>
                <w:szCs w:val="20"/>
              </w:rPr>
            </w:pPr>
            <w:r>
              <w:rPr>
                <w:rFonts w:eastAsia="SimSun" w:cs="Calibri"/>
                <w:b/>
                <w:bCs/>
                <w:color w:val="000000" w:themeColor="text1"/>
                <w:kern w:val="0"/>
                <w:sz w:val="20"/>
                <w:szCs w:val="20"/>
                <w:lang w:bidi="ar"/>
              </w:rPr>
              <w:t xml:space="preserve">Number </w:t>
            </w:r>
          </w:p>
          <w:p w14:paraId="5C6F37D4" w14:textId="77777777" w:rsidR="000574EE" w:rsidRDefault="00AC3F5F">
            <w:pPr>
              <w:widowControl/>
              <w:jc w:val="left"/>
              <w:rPr>
                <w:b/>
                <w:bCs/>
                <w:color w:val="000000" w:themeColor="text1"/>
                <w:sz w:val="20"/>
                <w:szCs w:val="20"/>
              </w:rPr>
            </w:pPr>
            <w:r>
              <w:rPr>
                <w:rFonts w:eastAsia="SimSun" w:cs="Calibri"/>
                <w:b/>
                <w:bCs/>
                <w:color w:val="000000" w:themeColor="text1"/>
                <w:kern w:val="0"/>
                <w:sz w:val="20"/>
                <w:szCs w:val="20"/>
                <w:lang w:bidi="ar"/>
              </w:rPr>
              <w:t>of Items</w:t>
            </w:r>
          </w:p>
        </w:tc>
        <w:tc>
          <w:tcPr>
            <w:tcW w:w="1115" w:type="pct"/>
            <w:tcBorders>
              <w:bottom w:val="single" w:sz="4" w:space="0" w:color="auto"/>
            </w:tcBorders>
            <w:shd w:val="clear" w:color="auto" w:fill="auto"/>
            <w:vAlign w:val="center"/>
          </w:tcPr>
          <w:p w14:paraId="31BDAA44" w14:textId="77777777" w:rsidR="000574EE" w:rsidRDefault="00AC3F5F">
            <w:pPr>
              <w:widowControl/>
              <w:jc w:val="center"/>
              <w:rPr>
                <w:rFonts w:eastAsia="SimSun" w:cs="Calibri"/>
                <w:b/>
                <w:bCs/>
                <w:color w:val="000000" w:themeColor="text1"/>
                <w:kern w:val="0"/>
                <w:sz w:val="20"/>
                <w:szCs w:val="20"/>
                <w:lang w:bidi="ar"/>
              </w:rPr>
            </w:pPr>
            <w:r>
              <w:rPr>
                <w:rFonts w:eastAsia="SimSun" w:cs="Calibri"/>
                <w:b/>
                <w:bCs/>
                <w:color w:val="000000" w:themeColor="text1"/>
                <w:kern w:val="0"/>
                <w:sz w:val="20"/>
                <w:szCs w:val="20"/>
                <w:lang w:bidi="ar"/>
              </w:rPr>
              <w:t>Cronbach’s</w:t>
            </w:r>
          </w:p>
          <w:p w14:paraId="5439BBE8" w14:textId="77777777" w:rsidR="000574EE" w:rsidRDefault="00AC3F5F">
            <w:pPr>
              <w:widowControl/>
              <w:jc w:val="center"/>
              <w:rPr>
                <w:b/>
                <w:bCs/>
                <w:color w:val="000000" w:themeColor="text1"/>
                <w:sz w:val="20"/>
                <w:szCs w:val="20"/>
              </w:rPr>
            </w:pPr>
            <w:r>
              <w:rPr>
                <w:rFonts w:eastAsia="SimSun" w:cs="Calibri"/>
                <w:b/>
                <w:bCs/>
                <w:color w:val="000000" w:themeColor="text1"/>
                <w:kern w:val="0"/>
                <w:sz w:val="20"/>
                <w:szCs w:val="20"/>
                <w:lang w:bidi="ar"/>
              </w:rPr>
              <w:t>Alpha</w:t>
            </w:r>
          </w:p>
        </w:tc>
        <w:tc>
          <w:tcPr>
            <w:tcW w:w="769" w:type="pct"/>
            <w:tcBorders>
              <w:bottom w:val="single" w:sz="4" w:space="0" w:color="auto"/>
            </w:tcBorders>
            <w:shd w:val="clear" w:color="auto" w:fill="FFFFFF"/>
            <w:vAlign w:val="center"/>
          </w:tcPr>
          <w:p w14:paraId="45EA9EE1" w14:textId="77777777" w:rsidR="000574EE" w:rsidRDefault="00AC3F5F">
            <w:pPr>
              <w:widowControl/>
              <w:jc w:val="center"/>
              <w:rPr>
                <w:b/>
                <w:bCs/>
                <w:color w:val="000000" w:themeColor="text1"/>
                <w:sz w:val="20"/>
                <w:szCs w:val="20"/>
              </w:rPr>
            </w:pPr>
            <w:r>
              <w:rPr>
                <w:rFonts w:eastAsia="SimSun" w:cs="Calibri"/>
                <w:b/>
                <w:bCs/>
                <w:color w:val="000000" w:themeColor="text1"/>
                <w:kern w:val="0"/>
                <w:sz w:val="20"/>
                <w:szCs w:val="20"/>
                <w:lang w:bidi="ar"/>
              </w:rPr>
              <w:t>Reliability</w:t>
            </w:r>
          </w:p>
          <w:p w14:paraId="54DDF148" w14:textId="77777777" w:rsidR="000574EE" w:rsidRDefault="000574EE">
            <w:pPr>
              <w:spacing w:line="360" w:lineRule="auto"/>
              <w:jc w:val="center"/>
              <w:rPr>
                <w:b/>
                <w:bCs/>
                <w:color w:val="000000" w:themeColor="text1"/>
                <w:sz w:val="20"/>
                <w:szCs w:val="20"/>
              </w:rPr>
            </w:pPr>
          </w:p>
        </w:tc>
      </w:tr>
      <w:tr w:rsidR="000574EE" w14:paraId="2C676B02" w14:textId="77777777">
        <w:trPr>
          <w:trHeight w:val="451"/>
          <w:jc w:val="center"/>
        </w:trPr>
        <w:tc>
          <w:tcPr>
            <w:tcW w:w="185" w:type="pct"/>
            <w:tcBorders>
              <w:top w:val="single" w:sz="4" w:space="0" w:color="auto"/>
            </w:tcBorders>
            <w:shd w:val="clear" w:color="auto" w:fill="auto"/>
          </w:tcPr>
          <w:p w14:paraId="44357543" w14:textId="77777777" w:rsidR="000574EE" w:rsidRDefault="00AC3F5F">
            <w:pPr>
              <w:spacing w:line="360" w:lineRule="auto"/>
              <w:rPr>
                <w:color w:val="000000" w:themeColor="text1"/>
                <w:sz w:val="20"/>
                <w:szCs w:val="20"/>
              </w:rPr>
            </w:pPr>
            <w:r>
              <w:rPr>
                <w:color w:val="000000" w:themeColor="text1"/>
                <w:sz w:val="20"/>
                <w:szCs w:val="20"/>
              </w:rPr>
              <w:t>1</w:t>
            </w:r>
          </w:p>
        </w:tc>
        <w:tc>
          <w:tcPr>
            <w:tcW w:w="2333" w:type="pct"/>
            <w:tcBorders>
              <w:top w:val="single" w:sz="4" w:space="0" w:color="auto"/>
            </w:tcBorders>
            <w:shd w:val="clear" w:color="auto" w:fill="auto"/>
          </w:tcPr>
          <w:p w14:paraId="51E06075" w14:textId="77777777" w:rsidR="000574EE" w:rsidRDefault="00AC3F5F">
            <w:pPr>
              <w:spacing w:line="360" w:lineRule="auto"/>
              <w:rPr>
                <w:color w:val="000000" w:themeColor="text1"/>
                <w:sz w:val="20"/>
                <w:szCs w:val="20"/>
              </w:rPr>
            </w:pPr>
            <w:r>
              <w:rPr>
                <w:color w:val="000000" w:themeColor="text1"/>
                <w:sz w:val="20"/>
                <w:szCs w:val="20"/>
              </w:rPr>
              <w:t>Social Affective Strategies</w:t>
            </w:r>
          </w:p>
        </w:tc>
        <w:tc>
          <w:tcPr>
            <w:tcW w:w="595" w:type="pct"/>
            <w:tcBorders>
              <w:top w:val="single" w:sz="4" w:space="0" w:color="auto"/>
            </w:tcBorders>
            <w:shd w:val="clear" w:color="auto" w:fill="auto"/>
          </w:tcPr>
          <w:p w14:paraId="27E14F88" w14:textId="77777777" w:rsidR="000574EE" w:rsidRDefault="00AC3F5F">
            <w:pPr>
              <w:spacing w:line="360" w:lineRule="auto"/>
              <w:jc w:val="center"/>
              <w:rPr>
                <w:color w:val="000000" w:themeColor="text1"/>
                <w:sz w:val="20"/>
                <w:szCs w:val="20"/>
              </w:rPr>
            </w:pPr>
            <w:r>
              <w:rPr>
                <w:color w:val="000000" w:themeColor="text1"/>
                <w:sz w:val="20"/>
                <w:szCs w:val="20"/>
              </w:rPr>
              <w:t>6</w:t>
            </w:r>
          </w:p>
        </w:tc>
        <w:tc>
          <w:tcPr>
            <w:tcW w:w="1115" w:type="pct"/>
            <w:tcBorders>
              <w:top w:val="single" w:sz="4" w:space="0" w:color="auto"/>
            </w:tcBorders>
            <w:shd w:val="clear" w:color="auto" w:fill="auto"/>
          </w:tcPr>
          <w:p w14:paraId="09B4E4E2" w14:textId="77777777" w:rsidR="000574EE" w:rsidRDefault="00AC3F5F">
            <w:pPr>
              <w:spacing w:line="360" w:lineRule="auto"/>
              <w:jc w:val="center"/>
              <w:rPr>
                <w:color w:val="000000" w:themeColor="text1"/>
                <w:sz w:val="20"/>
                <w:szCs w:val="20"/>
              </w:rPr>
            </w:pPr>
            <w:r>
              <w:rPr>
                <w:rFonts w:hint="eastAsia"/>
                <w:color w:val="000000" w:themeColor="text1"/>
                <w:sz w:val="20"/>
                <w:szCs w:val="20"/>
              </w:rPr>
              <w:t>0.740</w:t>
            </w:r>
          </w:p>
        </w:tc>
        <w:tc>
          <w:tcPr>
            <w:tcW w:w="769" w:type="pct"/>
            <w:tcBorders>
              <w:top w:val="single" w:sz="4" w:space="0" w:color="auto"/>
            </w:tcBorders>
            <w:shd w:val="clear" w:color="auto" w:fill="F9F9FB"/>
          </w:tcPr>
          <w:p w14:paraId="7BBD68B9" w14:textId="77777777" w:rsidR="000574EE" w:rsidRDefault="00AC3F5F">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2FAAF736" w14:textId="77777777">
        <w:trPr>
          <w:trHeight w:val="351"/>
          <w:jc w:val="center"/>
        </w:trPr>
        <w:tc>
          <w:tcPr>
            <w:tcW w:w="185" w:type="pct"/>
            <w:shd w:val="clear" w:color="auto" w:fill="auto"/>
          </w:tcPr>
          <w:p w14:paraId="1680F17D" w14:textId="77777777" w:rsidR="000574EE" w:rsidRDefault="00AC3F5F">
            <w:pPr>
              <w:spacing w:line="360" w:lineRule="auto"/>
              <w:rPr>
                <w:color w:val="000000" w:themeColor="text1"/>
                <w:sz w:val="20"/>
                <w:szCs w:val="20"/>
              </w:rPr>
            </w:pPr>
            <w:r>
              <w:rPr>
                <w:color w:val="000000" w:themeColor="text1"/>
                <w:sz w:val="20"/>
                <w:szCs w:val="20"/>
              </w:rPr>
              <w:t>2</w:t>
            </w:r>
          </w:p>
        </w:tc>
        <w:tc>
          <w:tcPr>
            <w:tcW w:w="2333" w:type="pct"/>
            <w:shd w:val="clear" w:color="auto" w:fill="auto"/>
          </w:tcPr>
          <w:p w14:paraId="6BBD0001" w14:textId="77777777" w:rsidR="000574EE" w:rsidRDefault="00AC3F5F">
            <w:pPr>
              <w:spacing w:line="360" w:lineRule="auto"/>
              <w:rPr>
                <w:color w:val="000000" w:themeColor="text1"/>
                <w:sz w:val="20"/>
                <w:szCs w:val="20"/>
              </w:rPr>
            </w:pPr>
            <w:r>
              <w:rPr>
                <w:color w:val="000000" w:themeColor="text1"/>
                <w:sz w:val="20"/>
                <w:szCs w:val="20"/>
              </w:rPr>
              <w:t>Fluency Oriented Strategies</w:t>
            </w:r>
          </w:p>
        </w:tc>
        <w:tc>
          <w:tcPr>
            <w:tcW w:w="595" w:type="pct"/>
            <w:shd w:val="clear" w:color="auto" w:fill="auto"/>
          </w:tcPr>
          <w:p w14:paraId="4CB61E06" w14:textId="77777777" w:rsidR="000574EE" w:rsidRDefault="00AC3F5F">
            <w:pPr>
              <w:spacing w:line="360" w:lineRule="auto"/>
              <w:jc w:val="center"/>
              <w:rPr>
                <w:color w:val="000000" w:themeColor="text1"/>
                <w:sz w:val="20"/>
                <w:szCs w:val="20"/>
              </w:rPr>
            </w:pPr>
            <w:r>
              <w:rPr>
                <w:color w:val="000000" w:themeColor="text1"/>
                <w:sz w:val="20"/>
                <w:szCs w:val="20"/>
              </w:rPr>
              <w:t>6</w:t>
            </w:r>
          </w:p>
        </w:tc>
        <w:tc>
          <w:tcPr>
            <w:tcW w:w="1115" w:type="pct"/>
            <w:shd w:val="clear" w:color="auto" w:fill="auto"/>
          </w:tcPr>
          <w:p w14:paraId="01AAA92B" w14:textId="77777777" w:rsidR="000574EE" w:rsidRDefault="00AC3F5F">
            <w:pPr>
              <w:spacing w:line="360" w:lineRule="auto"/>
              <w:jc w:val="center"/>
              <w:rPr>
                <w:color w:val="000000" w:themeColor="text1"/>
                <w:sz w:val="20"/>
                <w:szCs w:val="20"/>
              </w:rPr>
            </w:pPr>
            <w:r>
              <w:rPr>
                <w:rFonts w:hint="eastAsia"/>
                <w:color w:val="000000" w:themeColor="text1"/>
                <w:sz w:val="20"/>
                <w:szCs w:val="20"/>
              </w:rPr>
              <w:t>0.802</w:t>
            </w:r>
          </w:p>
        </w:tc>
        <w:tc>
          <w:tcPr>
            <w:tcW w:w="769" w:type="pct"/>
            <w:shd w:val="clear" w:color="auto" w:fill="F9F9FB"/>
          </w:tcPr>
          <w:p w14:paraId="0B289A0F" w14:textId="77777777" w:rsidR="000574EE" w:rsidRDefault="00AC3F5F">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7108A3CB" w14:textId="77777777">
        <w:trPr>
          <w:trHeight w:val="351"/>
          <w:jc w:val="center"/>
        </w:trPr>
        <w:tc>
          <w:tcPr>
            <w:tcW w:w="185" w:type="pct"/>
            <w:shd w:val="clear" w:color="auto" w:fill="auto"/>
          </w:tcPr>
          <w:p w14:paraId="4CDAA135" w14:textId="77777777" w:rsidR="000574EE" w:rsidRDefault="00AC3F5F">
            <w:pPr>
              <w:spacing w:line="360" w:lineRule="auto"/>
              <w:rPr>
                <w:color w:val="000000" w:themeColor="text1"/>
                <w:sz w:val="20"/>
                <w:szCs w:val="20"/>
              </w:rPr>
            </w:pPr>
            <w:r>
              <w:rPr>
                <w:color w:val="000000" w:themeColor="text1"/>
                <w:sz w:val="20"/>
                <w:szCs w:val="20"/>
              </w:rPr>
              <w:t>3</w:t>
            </w:r>
          </w:p>
        </w:tc>
        <w:tc>
          <w:tcPr>
            <w:tcW w:w="2333" w:type="pct"/>
            <w:shd w:val="clear" w:color="auto" w:fill="auto"/>
          </w:tcPr>
          <w:p w14:paraId="7A674D99" w14:textId="77777777" w:rsidR="000574EE" w:rsidRDefault="00AC3F5F">
            <w:pPr>
              <w:spacing w:line="360" w:lineRule="auto"/>
              <w:rPr>
                <w:color w:val="000000" w:themeColor="text1"/>
                <w:sz w:val="20"/>
                <w:szCs w:val="20"/>
              </w:rPr>
            </w:pPr>
            <w:r>
              <w:rPr>
                <w:color w:val="000000" w:themeColor="text1"/>
                <w:sz w:val="20"/>
                <w:szCs w:val="20"/>
              </w:rPr>
              <w:t>Negotiation for Meaning while Speaking</w:t>
            </w:r>
          </w:p>
        </w:tc>
        <w:tc>
          <w:tcPr>
            <w:tcW w:w="595" w:type="pct"/>
            <w:shd w:val="clear" w:color="auto" w:fill="auto"/>
          </w:tcPr>
          <w:p w14:paraId="6818D8EC" w14:textId="77777777" w:rsidR="000574EE" w:rsidRDefault="00AC3F5F">
            <w:pPr>
              <w:spacing w:line="360" w:lineRule="auto"/>
              <w:jc w:val="center"/>
              <w:rPr>
                <w:color w:val="000000" w:themeColor="text1"/>
                <w:sz w:val="20"/>
                <w:szCs w:val="20"/>
              </w:rPr>
            </w:pPr>
            <w:r>
              <w:rPr>
                <w:color w:val="000000" w:themeColor="text1"/>
                <w:sz w:val="20"/>
                <w:szCs w:val="20"/>
              </w:rPr>
              <w:t>5</w:t>
            </w:r>
          </w:p>
        </w:tc>
        <w:tc>
          <w:tcPr>
            <w:tcW w:w="1115" w:type="pct"/>
            <w:shd w:val="clear" w:color="auto" w:fill="auto"/>
          </w:tcPr>
          <w:p w14:paraId="1C46B6C5" w14:textId="77777777" w:rsidR="000574EE" w:rsidRDefault="00AC3F5F">
            <w:pPr>
              <w:spacing w:line="360" w:lineRule="auto"/>
              <w:jc w:val="center"/>
              <w:rPr>
                <w:color w:val="000000" w:themeColor="text1"/>
                <w:sz w:val="20"/>
                <w:szCs w:val="20"/>
              </w:rPr>
            </w:pPr>
            <w:r>
              <w:rPr>
                <w:rFonts w:hint="eastAsia"/>
                <w:color w:val="000000" w:themeColor="text1"/>
                <w:sz w:val="20"/>
                <w:szCs w:val="20"/>
              </w:rPr>
              <w:t>0.751</w:t>
            </w:r>
          </w:p>
        </w:tc>
        <w:tc>
          <w:tcPr>
            <w:tcW w:w="769" w:type="pct"/>
            <w:shd w:val="clear" w:color="auto" w:fill="F9F9FB"/>
          </w:tcPr>
          <w:p w14:paraId="5FDE5FA8" w14:textId="77777777" w:rsidR="000574EE" w:rsidRDefault="00AC3F5F">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57E0B4AB" w14:textId="77777777">
        <w:trPr>
          <w:trHeight w:val="351"/>
          <w:jc w:val="center"/>
        </w:trPr>
        <w:tc>
          <w:tcPr>
            <w:tcW w:w="185" w:type="pct"/>
            <w:shd w:val="clear" w:color="auto" w:fill="auto"/>
          </w:tcPr>
          <w:p w14:paraId="738094EF" w14:textId="77777777" w:rsidR="000574EE" w:rsidRDefault="00AC3F5F">
            <w:pPr>
              <w:spacing w:line="360" w:lineRule="auto"/>
              <w:rPr>
                <w:color w:val="000000" w:themeColor="text1"/>
                <w:sz w:val="20"/>
                <w:szCs w:val="20"/>
              </w:rPr>
            </w:pPr>
            <w:r>
              <w:rPr>
                <w:color w:val="000000" w:themeColor="text1"/>
                <w:sz w:val="20"/>
                <w:szCs w:val="20"/>
              </w:rPr>
              <w:t>4</w:t>
            </w:r>
          </w:p>
        </w:tc>
        <w:tc>
          <w:tcPr>
            <w:tcW w:w="2333" w:type="pct"/>
            <w:shd w:val="clear" w:color="auto" w:fill="auto"/>
          </w:tcPr>
          <w:p w14:paraId="26DE8E23" w14:textId="77777777" w:rsidR="000574EE" w:rsidRDefault="00AC3F5F">
            <w:pPr>
              <w:spacing w:line="360" w:lineRule="auto"/>
              <w:rPr>
                <w:color w:val="000000" w:themeColor="text1"/>
                <w:sz w:val="20"/>
                <w:szCs w:val="20"/>
              </w:rPr>
            </w:pPr>
            <w:r>
              <w:rPr>
                <w:color w:val="000000" w:themeColor="text1"/>
                <w:sz w:val="20"/>
                <w:szCs w:val="20"/>
              </w:rPr>
              <w:t xml:space="preserve">Accuracy Oriented </w:t>
            </w:r>
          </w:p>
        </w:tc>
        <w:tc>
          <w:tcPr>
            <w:tcW w:w="595" w:type="pct"/>
            <w:shd w:val="clear" w:color="auto" w:fill="auto"/>
          </w:tcPr>
          <w:p w14:paraId="42FF8B30" w14:textId="77777777" w:rsidR="000574EE" w:rsidRDefault="00AC3F5F">
            <w:pPr>
              <w:spacing w:line="360" w:lineRule="auto"/>
              <w:jc w:val="center"/>
              <w:rPr>
                <w:color w:val="000000" w:themeColor="text1"/>
                <w:sz w:val="20"/>
                <w:szCs w:val="20"/>
              </w:rPr>
            </w:pPr>
            <w:r>
              <w:rPr>
                <w:color w:val="000000" w:themeColor="text1"/>
                <w:sz w:val="20"/>
                <w:szCs w:val="20"/>
              </w:rPr>
              <w:t>6</w:t>
            </w:r>
          </w:p>
        </w:tc>
        <w:tc>
          <w:tcPr>
            <w:tcW w:w="1115" w:type="pct"/>
            <w:shd w:val="clear" w:color="auto" w:fill="auto"/>
          </w:tcPr>
          <w:p w14:paraId="608B8C4C" w14:textId="77777777" w:rsidR="000574EE" w:rsidRDefault="00AC3F5F">
            <w:pPr>
              <w:spacing w:line="360" w:lineRule="auto"/>
              <w:jc w:val="center"/>
              <w:rPr>
                <w:color w:val="000000" w:themeColor="text1"/>
                <w:sz w:val="20"/>
                <w:szCs w:val="20"/>
              </w:rPr>
            </w:pPr>
            <w:r>
              <w:rPr>
                <w:rFonts w:hint="eastAsia"/>
                <w:color w:val="000000" w:themeColor="text1"/>
                <w:sz w:val="20"/>
                <w:szCs w:val="20"/>
              </w:rPr>
              <w:t>0.763</w:t>
            </w:r>
          </w:p>
        </w:tc>
        <w:tc>
          <w:tcPr>
            <w:tcW w:w="769" w:type="pct"/>
            <w:shd w:val="clear" w:color="auto" w:fill="F9F9FB"/>
          </w:tcPr>
          <w:p w14:paraId="649233F9" w14:textId="77777777" w:rsidR="000574EE" w:rsidRDefault="00AC3F5F">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1FF3DF9F" w14:textId="77777777">
        <w:trPr>
          <w:trHeight w:val="351"/>
          <w:jc w:val="center"/>
        </w:trPr>
        <w:tc>
          <w:tcPr>
            <w:tcW w:w="185" w:type="pct"/>
            <w:shd w:val="clear" w:color="auto" w:fill="auto"/>
          </w:tcPr>
          <w:p w14:paraId="627FDC76" w14:textId="77777777" w:rsidR="000574EE" w:rsidRDefault="00AC3F5F">
            <w:pPr>
              <w:spacing w:line="360" w:lineRule="auto"/>
              <w:rPr>
                <w:color w:val="000000" w:themeColor="text1"/>
                <w:sz w:val="20"/>
                <w:szCs w:val="20"/>
              </w:rPr>
            </w:pPr>
            <w:r>
              <w:rPr>
                <w:color w:val="000000" w:themeColor="text1"/>
                <w:sz w:val="20"/>
                <w:szCs w:val="20"/>
              </w:rPr>
              <w:t>5</w:t>
            </w:r>
          </w:p>
        </w:tc>
        <w:tc>
          <w:tcPr>
            <w:tcW w:w="2333" w:type="pct"/>
            <w:shd w:val="clear" w:color="auto" w:fill="auto"/>
          </w:tcPr>
          <w:p w14:paraId="5E397AA0" w14:textId="77777777" w:rsidR="000574EE" w:rsidRDefault="00AC3F5F">
            <w:pPr>
              <w:spacing w:line="360" w:lineRule="auto"/>
              <w:rPr>
                <w:color w:val="000000" w:themeColor="text1"/>
                <w:sz w:val="20"/>
                <w:szCs w:val="20"/>
              </w:rPr>
            </w:pPr>
            <w:r>
              <w:rPr>
                <w:color w:val="000000" w:themeColor="text1"/>
                <w:sz w:val="20"/>
                <w:szCs w:val="20"/>
              </w:rPr>
              <w:t>Message Reduction and Alteration Strategies</w:t>
            </w:r>
          </w:p>
        </w:tc>
        <w:tc>
          <w:tcPr>
            <w:tcW w:w="595" w:type="pct"/>
            <w:shd w:val="clear" w:color="auto" w:fill="auto"/>
          </w:tcPr>
          <w:p w14:paraId="5E222B35" w14:textId="77777777" w:rsidR="000574EE" w:rsidRDefault="00AC3F5F">
            <w:pPr>
              <w:spacing w:line="360" w:lineRule="auto"/>
              <w:jc w:val="center"/>
              <w:rPr>
                <w:color w:val="000000" w:themeColor="text1"/>
                <w:sz w:val="20"/>
                <w:szCs w:val="20"/>
              </w:rPr>
            </w:pPr>
            <w:r>
              <w:rPr>
                <w:color w:val="000000" w:themeColor="text1"/>
                <w:sz w:val="20"/>
                <w:szCs w:val="20"/>
              </w:rPr>
              <w:t>6</w:t>
            </w:r>
          </w:p>
        </w:tc>
        <w:tc>
          <w:tcPr>
            <w:tcW w:w="1115" w:type="pct"/>
            <w:shd w:val="clear" w:color="auto" w:fill="auto"/>
          </w:tcPr>
          <w:p w14:paraId="5FE07D59" w14:textId="77777777" w:rsidR="000574EE" w:rsidRDefault="00AC3F5F">
            <w:pPr>
              <w:spacing w:line="360" w:lineRule="auto"/>
              <w:jc w:val="center"/>
              <w:rPr>
                <w:color w:val="000000" w:themeColor="text1"/>
                <w:sz w:val="20"/>
                <w:szCs w:val="20"/>
              </w:rPr>
            </w:pPr>
            <w:r>
              <w:rPr>
                <w:rFonts w:hint="eastAsia"/>
                <w:color w:val="000000" w:themeColor="text1"/>
                <w:sz w:val="20"/>
                <w:szCs w:val="20"/>
              </w:rPr>
              <w:t>0.769</w:t>
            </w:r>
          </w:p>
        </w:tc>
        <w:tc>
          <w:tcPr>
            <w:tcW w:w="769" w:type="pct"/>
            <w:shd w:val="clear" w:color="auto" w:fill="F9F9FB"/>
          </w:tcPr>
          <w:p w14:paraId="4235AB27" w14:textId="77777777" w:rsidR="000574EE" w:rsidRDefault="00AC3F5F">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534C6F8F" w14:textId="77777777">
        <w:trPr>
          <w:trHeight w:val="351"/>
          <w:jc w:val="center"/>
        </w:trPr>
        <w:tc>
          <w:tcPr>
            <w:tcW w:w="185" w:type="pct"/>
            <w:shd w:val="clear" w:color="auto" w:fill="auto"/>
          </w:tcPr>
          <w:p w14:paraId="69D6922D" w14:textId="77777777" w:rsidR="000574EE" w:rsidRDefault="00AC3F5F">
            <w:pPr>
              <w:spacing w:line="360" w:lineRule="auto"/>
              <w:rPr>
                <w:color w:val="000000" w:themeColor="text1"/>
                <w:sz w:val="20"/>
                <w:szCs w:val="20"/>
              </w:rPr>
            </w:pPr>
            <w:r>
              <w:rPr>
                <w:color w:val="000000" w:themeColor="text1"/>
                <w:sz w:val="20"/>
                <w:szCs w:val="20"/>
              </w:rPr>
              <w:t>6</w:t>
            </w:r>
          </w:p>
        </w:tc>
        <w:tc>
          <w:tcPr>
            <w:tcW w:w="2333" w:type="pct"/>
            <w:shd w:val="clear" w:color="auto" w:fill="auto"/>
          </w:tcPr>
          <w:p w14:paraId="67B2CA1F" w14:textId="77777777" w:rsidR="000574EE" w:rsidRDefault="00AC3F5F">
            <w:pPr>
              <w:spacing w:line="360" w:lineRule="auto"/>
              <w:rPr>
                <w:color w:val="000000" w:themeColor="text1"/>
                <w:sz w:val="20"/>
                <w:szCs w:val="20"/>
              </w:rPr>
            </w:pPr>
            <w:r>
              <w:rPr>
                <w:color w:val="000000" w:themeColor="text1"/>
                <w:sz w:val="20"/>
                <w:szCs w:val="20"/>
              </w:rPr>
              <w:t>Non-verbal Strategies while Speaking</w:t>
            </w:r>
          </w:p>
        </w:tc>
        <w:tc>
          <w:tcPr>
            <w:tcW w:w="595" w:type="pct"/>
            <w:shd w:val="clear" w:color="auto" w:fill="auto"/>
          </w:tcPr>
          <w:p w14:paraId="5100F82E" w14:textId="77777777" w:rsidR="000574EE" w:rsidRDefault="00AC3F5F">
            <w:pPr>
              <w:spacing w:line="360" w:lineRule="auto"/>
              <w:jc w:val="center"/>
              <w:rPr>
                <w:color w:val="000000" w:themeColor="text1"/>
                <w:sz w:val="20"/>
                <w:szCs w:val="20"/>
              </w:rPr>
            </w:pPr>
            <w:r>
              <w:rPr>
                <w:color w:val="000000" w:themeColor="text1"/>
                <w:sz w:val="20"/>
                <w:szCs w:val="20"/>
              </w:rPr>
              <w:t>6</w:t>
            </w:r>
          </w:p>
        </w:tc>
        <w:tc>
          <w:tcPr>
            <w:tcW w:w="1115" w:type="pct"/>
            <w:shd w:val="clear" w:color="auto" w:fill="auto"/>
          </w:tcPr>
          <w:p w14:paraId="2D3DCC49" w14:textId="77777777" w:rsidR="000574EE" w:rsidRDefault="00AC3F5F">
            <w:pPr>
              <w:spacing w:line="360" w:lineRule="auto"/>
              <w:jc w:val="center"/>
              <w:rPr>
                <w:color w:val="000000" w:themeColor="text1"/>
                <w:sz w:val="20"/>
                <w:szCs w:val="20"/>
              </w:rPr>
            </w:pPr>
            <w:r>
              <w:rPr>
                <w:rFonts w:hint="eastAsia"/>
                <w:color w:val="000000" w:themeColor="text1"/>
                <w:sz w:val="20"/>
                <w:szCs w:val="20"/>
              </w:rPr>
              <w:t>0.767</w:t>
            </w:r>
          </w:p>
        </w:tc>
        <w:tc>
          <w:tcPr>
            <w:tcW w:w="769" w:type="pct"/>
            <w:shd w:val="clear" w:color="auto" w:fill="F9F9FB"/>
          </w:tcPr>
          <w:p w14:paraId="36D2E29D" w14:textId="77777777" w:rsidR="000574EE" w:rsidRDefault="00AC3F5F">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2F43B0CD" w14:textId="77777777">
        <w:trPr>
          <w:trHeight w:val="351"/>
          <w:jc w:val="center"/>
        </w:trPr>
        <w:tc>
          <w:tcPr>
            <w:tcW w:w="185" w:type="pct"/>
            <w:shd w:val="clear" w:color="auto" w:fill="auto"/>
          </w:tcPr>
          <w:p w14:paraId="3660A893" w14:textId="77777777" w:rsidR="000574EE" w:rsidRDefault="00AC3F5F">
            <w:pPr>
              <w:spacing w:line="360" w:lineRule="auto"/>
              <w:rPr>
                <w:color w:val="000000" w:themeColor="text1"/>
                <w:sz w:val="20"/>
                <w:szCs w:val="20"/>
              </w:rPr>
            </w:pPr>
            <w:r>
              <w:rPr>
                <w:color w:val="000000" w:themeColor="text1"/>
                <w:sz w:val="20"/>
                <w:szCs w:val="20"/>
              </w:rPr>
              <w:t>7</w:t>
            </w:r>
          </w:p>
        </w:tc>
        <w:tc>
          <w:tcPr>
            <w:tcW w:w="2333" w:type="pct"/>
            <w:shd w:val="clear" w:color="auto" w:fill="auto"/>
          </w:tcPr>
          <w:p w14:paraId="352FF142" w14:textId="77777777" w:rsidR="000574EE" w:rsidRDefault="00AC3F5F">
            <w:pPr>
              <w:spacing w:line="360" w:lineRule="auto"/>
              <w:rPr>
                <w:color w:val="000000" w:themeColor="text1"/>
                <w:sz w:val="20"/>
                <w:szCs w:val="20"/>
              </w:rPr>
            </w:pPr>
            <w:r>
              <w:rPr>
                <w:color w:val="000000" w:themeColor="text1"/>
                <w:sz w:val="20"/>
                <w:szCs w:val="20"/>
              </w:rPr>
              <w:t>Message Abandonment Strategies</w:t>
            </w:r>
          </w:p>
        </w:tc>
        <w:tc>
          <w:tcPr>
            <w:tcW w:w="595" w:type="pct"/>
            <w:shd w:val="clear" w:color="auto" w:fill="auto"/>
          </w:tcPr>
          <w:p w14:paraId="0B47535C" w14:textId="77777777" w:rsidR="000574EE" w:rsidRDefault="00AC3F5F">
            <w:pPr>
              <w:spacing w:line="360" w:lineRule="auto"/>
              <w:jc w:val="center"/>
              <w:rPr>
                <w:color w:val="000000" w:themeColor="text1"/>
                <w:sz w:val="20"/>
                <w:szCs w:val="20"/>
              </w:rPr>
            </w:pPr>
            <w:r>
              <w:rPr>
                <w:color w:val="000000" w:themeColor="text1"/>
                <w:sz w:val="20"/>
                <w:szCs w:val="20"/>
              </w:rPr>
              <w:t>5</w:t>
            </w:r>
          </w:p>
        </w:tc>
        <w:tc>
          <w:tcPr>
            <w:tcW w:w="1115" w:type="pct"/>
            <w:shd w:val="clear" w:color="auto" w:fill="auto"/>
          </w:tcPr>
          <w:p w14:paraId="4A55B6DB" w14:textId="77777777" w:rsidR="000574EE" w:rsidRDefault="00AC3F5F">
            <w:pPr>
              <w:spacing w:line="360" w:lineRule="auto"/>
              <w:jc w:val="center"/>
              <w:rPr>
                <w:color w:val="000000" w:themeColor="text1"/>
                <w:sz w:val="20"/>
                <w:szCs w:val="20"/>
              </w:rPr>
            </w:pPr>
            <w:r>
              <w:rPr>
                <w:rFonts w:hint="eastAsia"/>
                <w:color w:val="000000" w:themeColor="text1"/>
                <w:sz w:val="20"/>
                <w:szCs w:val="20"/>
              </w:rPr>
              <w:t>0.771</w:t>
            </w:r>
          </w:p>
        </w:tc>
        <w:tc>
          <w:tcPr>
            <w:tcW w:w="769" w:type="pct"/>
            <w:shd w:val="clear" w:color="auto" w:fill="F9F9FB"/>
          </w:tcPr>
          <w:p w14:paraId="5554BF82" w14:textId="77777777" w:rsidR="000574EE" w:rsidRDefault="00AC3F5F">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58FBC2AA" w14:textId="77777777">
        <w:trPr>
          <w:trHeight w:val="351"/>
          <w:jc w:val="center"/>
        </w:trPr>
        <w:tc>
          <w:tcPr>
            <w:tcW w:w="185" w:type="pct"/>
            <w:shd w:val="clear" w:color="auto" w:fill="auto"/>
          </w:tcPr>
          <w:p w14:paraId="52E26264" w14:textId="77777777" w:rsidR="000574EE" w:rsidRDefault="00AC3F5F">
            <w:pPr>
              <w:spacing w:line="360" w:lineRule="auto"/>
              <w:rPr>
                <w:color w:val="000000" w:themeColor="text1"/>
                <w:sz w:val="20"/>
                <w:szCs w:val="20"/>
              </w:rPr>
            </w:pPr>
            <w:r>
              <w:rPr>
                <w:color w:val="000000" w:themeColor="text1"/>
                <w:sz w:val="20"/>
                <w:szCs w:val="20"/>
              </w:rPr>
              <w:t>8</w:t>
            </w:r>
          </w:p>
        </w:tc>
        <w:tc>
          <w:tcPr>
            <w:tcW w:w="2333" w:type="pct"/>
            <w:shd w:val="clear" w:color="auto" w:fill="auto"/>
          </w:tcPr>
          <w:p w14:paraId="51E57FD4" w14:textId="77777777" w:rsidR="000574EE" w:rsidRDefault="00AC3F5F">
            <w:pPr>
              <w:spacing w:line="360" w:lineRule="auto"/>
              <w:rPr>
                <w:color w:val="000000" w:themeColor="text1"/>
                <w:sz w:val="20"/>
                <w:szCs w:val="20"/>
              </w:rPr>
            </w:pPr>
            <w:r>
              <w:rPr>
                <w:color w:val="000000" w:themeColor="text1"/>
                <w:sz w:val="20"/>
                <w:szCs w:val="20"/>
              </w:rPr>
              <w:t>Attempt to Think in English Strategies</w:t>
            </w:r>
          </w:p>
        </w:tc>
        <w:tc>
          <w:tcPr>
            <w:tcW w:w="595" w:type="pct"/>
            <w:shd w:val="clear" w:color="auto" w:fill="auto"/>
          </w:tcPr>
          <w:p w14:paraId="6C65B843" w14:textId="77777777" w:rsidR="000574EE" w:rsidRDefault="00AC3F5F">
            <w:pPr>
              <w:spacing w:line="360" w:lineRule="auto"/>
              <w:jc w:val="center"/>
              <w:rPr>
                <w:color w:val="000000" w:themeColor="text1"/>
                <w:sz w:val="20"/>
                <w:szCs w:val="20"/>
              </w:rPr>
            </w:pPr>
            <w:r>
              <w:rPr>
                <w:color w:val="000000" w:themeColor="text1"/>
                <w:sz w:val="20"/>
                <w:szCs w:val="20"/>
              </w:rPr>
              <w:t>5</w:t>
            </w:r>
          </w:p>
        </w:tc>
        <w:tc>
          <w:tcPr>
            <w:tcW w:w="1115" w:type="pct"/>
            <w:shd w:val="clear" w:color="auto" w:fill="auto"/>
          </w:tcPr>
          <w:p w14:paraId="155AD0C9" w14:textId="77777777" w:rsidR="000574EE" w:rsidRDefault="00AC3F5F">
            <w:pPr>
              <w:spacing w:line="360" w:lineRule="auto"/>
              <w:jc w:val="center"/>
              <w:rPr>
                <w:color w:val="000000" w:themeColor="text1"/>
                <w:sz w:val="20"/>
                <w:szCs w:val="20"/>
              </w:rPr>
            </w:pPr>
            <w:r>
              <w:rPr>
                <w:rFonts w:hint="eastAsia"/>
                <w:color w:val="000000" w:themeColor="text1"/>
                <w:sz w:val="20"/>
                <w:szCs w:val="20"/>
              </w:rPr>
              <w:t>0.742</w:t>
            </w:r>
          </w:p>
        </w:tc>
        <w:tc>
          <w:tcPr>
            <w:tcW w:w="769" w:type="pct"/>
            <w:shd w:val="clear" w:color="auto" w:fill="F9F9FB"/>
          </w:tcPr>
          <w:p w14:paraId="58087EF8" w14:textId="77777777" w:rsidR="000574EE" w:rsidRDefault="00AC3F5F">
            <w:pPr>
              <w:spacing w:line="360" w:lineRule="auto"/>
              <w:jc w:val="center"/>
              <w:rPr>
                <w:color w:val="000000" w:themeColor="text1"/>
                <w:sz w:val="20"/>
                <w:szCs w:val="20"/>
              </w:rPr>
            </w:pPr>
            <w:r>
              <w:rPr>
                <w:rFonts w:hint="eastAsia"/>
                <w:color w:val="000000" w:themeColor="text1"/>
                <w:sz w:val="20"/>
                <w:szCs w:val="20"/>
              </w:rPr>
              <w:t>Very r</w:t>
            </w:r>
            <w:r>
              <w:rPr>
                <w:color w:val="000000" w:themeColor="text1"/>
                <w:sz w:val="20"/>
                <w:szCs w:val="20"/>
              </w:rPr>
              <w:t>eliable</w:t>
            </w:r>
          </w:p>
        </w:tc>
      </w:tr>
      <w:tr w:rsidR="000574EE" w14:paraId="2ACA219B" w14:textId="77777777">
        <w:trPr>
          <w:trHeight w:val="351"/>
          <w:jc w:val="center"/>
        </w:trPr>
        <w:tc>
          <w:tcPr>
            <w:tcW w:w="185" w:type="pct"/>
            <w:shd w:val="clear" w:color="auto" w:fill="auto"/>
          </w:tcPr>
          <w:p w14:paraId="4D67D40A" w14:textId="77777777" w:rsidR="000574EE" w:rsidRDefault="000574EE">
            <w:pPr>
              <w:spacing w:line="360" w:lineRule="auto"/>
              <w:rPr>
                <w:color w:val="000000" w:themeColor="text1"/>
                <w:sz w:val="22"/>
                <w:szCs w:val="22"/>
              </w:rPr>
            </w:pPr>
          </w:p>
        </w:tc>
        <w:tc>
          <w:tcPr>
            <w:tcW w:w="2333" w:type="pct"/>
            <w:shd w:val="clear" w:color="auto" w:fill="auto"/>
          </w:tcPr>
          <w:p w14:paraId="233E6D22" w14:textId="77777777" w:rsidR="000574EE" w:rsidRDefault="00AC3F5F">
            <w:pPr>
              <w:spacing w:line="360" w:lineRule="auto"/>
              <w:rPr>
                <w:color w:val="000000" w:themeColor="text1"/>
                <w:sz w:val="20"/>
                <w:szCs w:val="20"/>
              </w:rPr>
            </w:pPr>
            <w:r>
              <w:rPr>
                <w:color w:val="000000" w:themeColor="text1"/>
                <w:sz w:val="20"/>
                <w:szCs w:val="20"/>
              </w:rPr>
              <w:t>All items</w:t>
            </w:r>
          </w:p>
        </w:tc>
        <w:tc>
          <w:tcPr>
            <w:tcW w:w="595" w:type="pct"/>
            <w:shd w:val="clear" w:color="auto" w:fill="auto"/>
          </w:tcPr>
          <w:p w14:paraId="2CED819A" w14:textId="77777777" w:rsidR="000574EE" w:rsidRDefault="00AC3F5F">
            <w:pPr>
              <w:spacing w:line="360" w:lineRule="auto"/>
              <w:jc w:val="center"/>
              <w:rPr>
                <w:color w:val="000000" w:themeColor="text1"/>
                <w:sz w:val="20"/>
                <w:szCs w:val="20"/>
              </w:rPr>
            </w:pPr>
            <w:r>
              <w:rPr>
                <w:color w:val="000000" w:themeColor="text1"/>
                <w:sz w:val="20"/>
                <w:szCs w:val="20"/>
              </w:rPr>
              <w:t>45</w:t>
            </w:r>
          </w:p>
        </w:tc>
        <w:tc>
          <w:tcPr>
            <w:tcW w:w="1115" w:type="pct"/>
            <w:shd w:val="clear" w:color="auto" w:fill="auto"/>
          </w:tcPr>
          <w:p w14:paraId="2E91B907" w14:textId="77777777" w:rsidR="000574EE" w:rsidRDefault="00AC3F5F">
            <w:pPr>
              <w:spacing w:line="360" w:lineRule="auto"/>
              <w:jc w:val="center"/>
              <w:rPr>
                <w:color w:val="000000" w:themeColor="text1"/>
                <w:sz w:val="20"/>
                <w:szCs w:val="20"/>
              </w:rPr>
            </w:pPr>
            <w:r>
              <w:rPr>
                <w:color w:val="000000" w:themeColor="text1"/>
                <w:sz w:val="20"/>
                <w:szCs w:val="20"/>
              </w:rPr>
              <w:t>0.</w:t>
            </w:r>
            <w:r>
              <w:rPr>
                <w:rFonts w:hint="eastAsia"/>
                <w:color w:val="000000" w:themeColor="text1"/>
                <w:sz w:val="20"/>
                <w:szCs w:val="20"/>
              </w:rPr>
              <w:t>787</w:t>
            </w:r>
          </w:p>
        </w:tc>
        <w:tc>
          <w:tcPr>
            <w:tcW w:w="769" w:type="pct"/>
            <w:shd w:val="clear" w:color="auto" w:fill="F9F9FB"/>
          </w:tcPr>
          <w:p w14:paraId="27741158" w14:textId="77777777" w:rsidR="000574EE" w:rsidRDefault="00AC3F5F">
            <w:pPr>
              <w:spacing w:line="360" w:lineRule="auto"/>
              <w:jc w:val="center"/>
              <w:rPr>
                <w:color w:val="000000" w:themeColor="text1"/>
                <w:sz w:val="20"/>
                <w:szCs w:val="20"/>
              </w:rPr>
            </w:pPr>
            <w:r>
              <w:rPr>
                <w:rFonts w:hint="eastAsia"/>
                <w:color w:val="000000" w:themeColor="text1"/>
                <w:sz w:val="20"/>
                <w:szCs w:val="20"/>
              </w:rPr>
              <w:t>Very r</w:t>
            </w:r>
            <w:r>
              <w:rPr>
                <w:color w:val="000000" w:themeColor="text1"/>
                <w:sz w:val="20"/>
                <w:szCs w:val="20"/>
              </w:rPr>
              <w:t>eliable</w:t>
            </w:r>
          </w:p>
        </w:tc>
      </w:tr>
    </w:tbl>
    <w:p w14:paraId="2777F979" w14:textId="77777777" w:rsidR="000574EE" w:rsidRDefault="000574EE">
      <w:pPr>
        <w:spacing w:line="360" w:lineRule="auto"/>
        <w:rPr>
          <w:i/>
          <w:iCs/>
          <w:color w:val="000000" w:themeColor="text1"/>
          <w:sz w:val="22"/>
          <w:szCs w:val="22"/>
        </w:rPr>
      </w:pPr>
    </w:p>
    <w:p w14:paraId="40AA5958" w14:textId="0998346F" w:rsidR="000574EE" w:rsidRDefault="00AC3F5F">
      <w:pPr>
        <w:autoSpaceDE w:val="0"/>
        <w:autoSpaceDN w:val="0"/>
        <w:rPr>
          <w:rFonts w:eastAsia="SimHei" w:cs="Times New Roman"/>
          <w:bCs/>
          <w:kern w:val="0"/>
          <w:sz w:val="24"/>
          <w:lang w:bidi="en-US"/>
        </w:rPr>
      </w:pPr>
      <w:r>
        <w:rPr>
          <w:rFonts w:eastAsia="SimHei" w:cs="Times New Roman"/>
          <w:bCs/>
          <w:color w:val="000000" w:themeColor="text1"/>
          <w:kern w:val="0"/>
          <w:sz w:val="24"/>
          <w:lang w:bidi="en-US"/>
        </w:rPr>
        <w:t xml:space="preserve">Table </w:t>
      </w:r>
      <w:r>
        <w:rPr>
          <w:rFonts w:eastAsia="SimHei" w:cs="Times New Roman" w:hint="eastAsia"/>
          <w:bCs/>
          <w:color w:val="000000" w:themeColor="text1"/>
          <w:kern w:val="0"/>
          <w:sz w:val="24"/>
          <w:lang w:bidi="en-US"/>
        </w:rPr>
        <w:t>7</w:t>
      </w:r>
      <w:r>
        <w:rPr>
          <w:rFonts w:eastAsia="SimHei" w:cs="Times New Roman"/>
          <w:bCs/>
          <w:color w:val="000000" w:themeColor="text1"/>
          <w:kern w:val="0"/>
          <w:sz w:val="24"/>
          <w:lang w:bidi="en-US"/>
        </w:rPr>
        <w:t xml:space="preserve"> presents the reliability analysis of the survey questionnaire for non-English major undergraduate students, comprising eight subscales, with the main speaking strategy scale containing a total of 45 items. The results indicate that all subscales of the speaking strategy scale exhibited acceptable reliability, with an overall Cronbach’s α of 0.787. According to the classification of reliability coefficients by Chen et al. (2020), this falls within the range of 0.70 &lt; reliability ≤ 0.90, indicating a "very reliable" level. This confirms the internal consistency of the scale and supports its reliability for measuring speaking strategies. These findings are consistent with Nakatani’s (2006) OCSI, which reported an alpha value of 0.86. Similarly, Kusuma and Adamson’s (2020) speaking strategy questionnaire achieved an alp</w:t>
      </w:r>
      <w:r>
        <w:rPr>
          <w:rFonts w:eastAsia="SimHei" w:cs="Times New Roman"/>
          <w:bCs/>
          <w:kern w:val="0"/>
          <w:sz w:val="24"/>
          <w:lang w:bidi="en-US"/>
        </w:rPr>
        <w:t xml:space="preserve">ha of 0.943, indicating a highly reliable instrument. However, some researchers, such as Nowak and </w:t>
      </w:r>
      <w:proofErr w:type="spellStart"/>
      <w:r>
        <w:rPr>
          <w:rFonts w:eastAsia="SimHei" w:cs="Times New Roman"/>
          <w:bCs/>
          <w:kern w:val="0"/>
          <w:sz w:val="24"/>
          <w:lang w:bidi="en-US"/>
        </w:rPr>
        <w:t>Przybył</w:t>
      </w:r>
      <w:proofErr w:type="spellEnd"/>
      <w:r>
        <w:rPr>
          <w:rFonts w:eastAsia="SimHei" w:cs="Times New Roman"/>
          <w:bCs/>
          <w:kern w:val="0"/>
          <w:sz w:val="24"/>
          <w:lang w:bidi="en-US"/>
        </w:rPr>
        <w:t xml:space="preserve"> (2023), have identified issues with the reliability and validity of adapted questionnaires, necessitating the removal of certain items to enhance reliability. Compared to these prior studies, the current questionnaire demonstrates superior reliability, offering a robust tool for assessing speaking strategies among non-English major undergraduate students</w:t>
      </w:r>
      <w:r>
        <w:rPr>
          <w:rFonts w:eastAsia="SimHei" w:cs="Times New Roman" w:hint="eastAsia"/>
          <w:bCs/>
          <w:kern w:val="0"/>
          <w:sz w:val="24"/>
          <w:lang w:bidi="en-US"/>
        </w:rPr>
        <w:t xml:space="preserve">. </w:t>
      </w:r>
    </w:p>
    <w:p w14:paraId="62325C42" w14:textId="2F204D82" w:rsidR="000574EE" w:rsidRDefault="00AC3F5F">
      <w:pPr>
        <w:autoSpaceDE w:val="0"/>
        <w:autoSpaceDN w:val="0"/>
        <w:ind w:firstLineChars="300" w:firstLine="720"/>
        <w:rPr>
          <w:rFonts w:eastAsia="SimHei" w:cs="Times New Roman"/>
          <w:bCs/>
          <w:color w:val="0000FF"/>
          <w:kern w:val="0"/>
          <w:sz w:val="24"/>
          <w:lang w:bidi="en-US"/>
        </w:rPr>
      </w:pPr>
      <w:r>
        <w:rPr>
          <w:rFonts w:eastAsia="SimHei" w:cs="Times New Roman" w:hint="eastAsia"/>
          <w:bCs/>
          <w:color w:val="0000FF"/>
          <w:kern w:val="0"/>
          <w:sz w:val="24"/>
          <w:lang w:bidi="en-US"/>
        </w:rPr>
        <w:t>Table 8 shows the results of the KMO test</w:t>
      </w:r>
      <w:r w:rsidR="00E9453A">
        <w:rPr>
          <w:rFonts w:eastAsia="SimHei" w:cs="Times New Roman"/>
          <w:bCs/>
          <w:color w:val="0000FF"/>
          <w:kern w:val="0"/>
          <w:sz w:val="24"/>
          <w:lang w:bidi="en-US"/>
        </w:rPr>
        <w:t>,</w:t>
      </w:r>
      <w:r>
        <w:rPr>
          <w:rFonts w:eastAsia="SimHei" w:cs="Times New Roman" w:hint="eastAsia"/>
          <w:bCs/>
          <w:color w:val="0000FF"/>
          <w:kern w:val="0"/>
          <w:sz w:val="24"/>
          <w:lang w:bidi="en-US"/>
        </w:rPr>
        <w:t xml:space="preserve"> and Bartlett</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s Test of Sphericity confirmed the suitability of the data for factor analysis. The KMO value was 0.783, which falls within the </w:t>
      </w:r>
      <w:r>
        <w:rPr>
          <w:rFonts w:eastAsia="SimHei" w:cs="Times New Roman"/>
          <w:bCs/>
          <w:color w:val="0000FF"/>
          <w:kern w:val="0"/>
          <w:sz w:val="24"/>
          <w:lang w:bidi="en-US"/>
        </w:rPr>
        <w:t>“</w:t>
      </w:r>
      <w:r>
        <w:rPr>
          <w:rFonts w:eastAsia="SimHei" w:cs="Times New Roman" w:hint="eastAsia"/>
          <w:bCs/>
          <w:color w:val="0000FF"/>
          <w:kern w:val="0"/>
          <w:sz w:val="24"/>
          <w:lang w:bidi="en-US"/>
        </w:rPr>
        <w:t>middling</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 range according to Kaiser (1974), indicating a moderate level of common variance among variables and supporting the appropriateness of proceeding with factor analysis. Bartlett</w:t>
      </w:r>
      <w:r>
        <w:rPr>
          <w:rFonts w:eastAsia="SimHei" w:cs="Times New Roman"/>
          <w:bCs/>
          <w:color w:val="0000FF"/>
          <w:kern w:val="0"/>
          <w:sz w:val="24"/>
          <w:lang w:bidi="en-US"/>
        </w:rPr>
        <w:t>’</w:t>
      </w:r>
      <w:r>
        <w:rPr>
          <w:rFonts w:eastAsia="SimHei" w:cs="Times New Roman" w:hint="eastAsia"/>
          <w:bCs/>
          <w:color w:val="0000FF"/>
          <w:kern w:val="0"/>
          <w:sz w:val="24"/>
          <w:lang w:bidi="en-US"/>
        </w:rPr>
        <w:t>s Test was significant (Chi-Square = 120.391, df = 28, p &lt; 0.001), suggesting sufficient correlations among variables to justify factor analysis.</w:t>
      </w:r>
    </w:p>
    <w:p w14:paraId="410A4145" w14:textId="77777777" w:rsidR="000574EE" w:rsidRDefault="000574EE">
      <w:pPr>
        <w:autoSpaceDE w:val="0"/>
        <w:autoSpaceDN w:val="0"/>
        <w:rPr>
          <w:rFonts w:eastAsia="SimHei" w:cs="Times New Roman"/>
          <w:bCs/>
          <w:color w:val="0000FF"/>
          <w:kern w:val="0"/>
          <w:sz w:val="24"/>
          <w:lang w:bidi="en-US"/>
        </w:rPr>
      </w:pPr>
    </w:p>
    <w:p w14:paraId="4176C01E" w14:textId="77777777" w:rsidR="000574EE" w:rsidRDefault="00AC3F5F">
      <w:pPr>
        <w:spacing w:line="360" w:lineRule="auto"/>
        <w:rPr>
          <w:color w:val="0000FF"/>
          <w:sz w:val="20"/>
          <w:szCs w:val="20"/>
        </w:rPr>
      </w:pPr>
      <w:r>
        <w:rPr>
          <w:rFonts w:hint="eastAsia"/>
          <w:color w:val="0000FF"/>
          <w:sz w:val="20"/>
          <w:szCs w:val="20"/>
        </w:rPr>
        <w:t>Table 8: KMO and Bartlett's Test on Speaking Strategies</w:t>
      </w:r>
    </w:p>
    <w:tbl>
      <w:tblPr>
        <w:tblW w:w="4996" w:type="pct"/>
        <w:tblLook w:val="04A0" w:firstRow="1" w:lastRow="0" w:firstColumn="1" w:lastColumn="0" w:noHBand="0" w:noVBand="1"/>
      </w:tblPr>
      <w:tblGrid>
        <w:gridCol w:w="3651"/>
        <w:gridCol w:w="2510"/>
        <w:gridCol w:w="2904"/>
      </w:tblGrid>
      <w:tr w:rsidR="000574EE" w14:paraId="25BADBD3" w14:textId="77777777">
        <w:trPr>
          <w:trHeight w:val="546"/>
        </w:trPr>
        <w:tc>
          <w:tcPr>
            <w:tcW w:w="3397" w:type="pct"/>
            <w:gridSpan w:val="2"/>
            <w:tcBorders>
              <w:top w:val="single" w:sz="4" w:space="0" w:color="auto"/>
              <w:left w:val="nil"/>
              <w:bottom w:val="single" w:sz="4" w:space="0" w:color="auto"/>
              <w:right w:val="nil"/>
            </w:tcBorders>
            <w:shd w:val="clear" w:color="auto" w:fill="auto"/>
          </w:tcPr>
          <w:p w14:paraId="03B526C1" w14:textId="77777777" w:rsidR="000574EE" w:rsidRDefault="00AC3F5F">
            <w:pPr>
              <w:spacing w:line="360" w:lineRule="auto"/>
              <w:jc w:val="right"/>
              <w:rPr>
                <w:rFonts w:eastAsia="SimHei"/>
                <w:bCs/>
                <w:color w:val="0000FF"/>
                <w:sz w:val="20"/>
                <w:szCs w:val="20"/>
              </w:rPr>
            </w:pPr>
            <w:r>
              <w:rPr>
                <w:rFonts w:eastAsia="SimSun" w:cs="Calibri" w:hint="eastAsia"/>
                <w:b/>
                <w:bCs/>
                <w:color w:val="0000FF"/>
                <w:kern w:val="0"/>
                <w:sz w:val="20"/>
                <w:szCs w:val="20"/>
                <w:lang w:bidi="ar"/>
              </w:rPr>
              <w:t>Kaiser-Meyer-Olkin Measure of Sampling Adequacy.</w:t>
            </w:r>
          </w:p>
        </w:tc>
        <w:tc>
          <w:tcPr>
            <w:tcW w:w="1602" w:type="pct"/>
            <w:tcBorders>
              <w:top w:val="single" w:sz="4" w:space="0" w:color="auto"/>
              <w:left w:val="nil"/>
              <w:bottom w:val="single" w:sz="4" w:space="0" w:color="auto"/>
              <w:right w:val="nil"/>
            </w:tcBorders>
            <w:shd w:val="clear" w:color="auto" w:fill="auto"/>
            <w:noWrap/>
            <w:vAlign w:val="center"/>
          </w:tcPr>
          <w:p w14:paraId="579C6426"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0.783</w:t>
            </w:r>
          </w:p>
        </w:tc>
      </w:tr>
      <w:tr w:rsidR="000574EE" w14:paraId="0260D889" w14:textId="77777777">
        <w:trPr>
          <w:trHeight w:val="435"/>
        </w:trPr>
        <w:tc>
          <w:tcPr>
            <w:tcW w:w="2013" w:type="pct"/>
            <w:vMerge w:val="restart"/>
            <w:tcBorders>
              <w:top w:val="single" w:sz="4" w:space="0" w:color="auto"/>
              <w:left w:val="nil"/>
              <w:bottom w:val="nil"/>
              <w:right w:val="nil"/>
            </w:tcBorders>
            <w:shd w:val="clear" w:color="auto" w:fill="auto"/>
          </w:tcPr>
          <w:p w14:paraId="0C8FF536" w14:textId="77777777" w:rsidR="000574EE" w:rsidRDefault="000574EE">
            <w:pPr>
              <w:spacing w:line="360" w:lineRule="auto"/>
              <w:jc w:val="right"/>
              <w:rPr>
                <w:rFonts w:eastAsia="SimSun" w:cs="Calibri"/>
                <w:b/>
                <w:bCs/>
                <w:color w:val="0000FF"/>
                <w:kern w:val="0"/>
                <w:sz w:val="20"/>
                <w:szCs w:val="20"/>
                <w:lang w:bidi="ar"/>
              </w:rPr>
            </w:pPr>
          </w:p>
          <w:p w14:paraId="09BEDE01" w14:textId="77777777" w:rsidR="000574EE" w:rsidRDefault="00AC3F5F">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lastRenderedPageBreak/>
              <w:t>Bartlett's Test of Sphericity</w:t>
            </w:r>
          </w:p>
        </w:tc>
        <w:tc>
          <w:tcPr>
            <w:tcW w:w="1384" w:type="pct"/>
            <w:tcBorders>
              <w:top w:val="single" w:sz="4" w:space="0" w:color="auto"/>
              <w:left w:val="nil"/>
              <w:bottom w:val="nil"/>
              <w:right w:val="nil"/>
            </w:tcBorders>
            <w:shd w:val="clear" w:color="auto" w:fill="auto"/>
          </w:tcPr>
          <w:p w14:paraId="7A57877A" w14:textId="77777777" w:rsidR="000574EE" w:rsidRDefault="00AC3F5F">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lastRenderedPageBreak/>
              <w:t>Approx. Chi-Square</w:t>
            </w:r>
          </w:p>
        </w:tc>
        <w:tc>
          <w:tcPr>
            <w:tcW w:w="1602" w:type="pct"/>
            <w:tcBorders>
              <w:top w:val="single" w:sz="4" w:space="0" w:color="auto"/>
              <w:left w:val="nil"/>
              <w:bottom w:val="nil"/>
              <w:right w:val="nil"/>
            </w:tcBorders>
            <w:shd w:val="clear" w:color="auto" w:fill="F9F9FB"/>
          </w:tcPr>
          <w:p w14:paraId="0AF55F97"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120.391</w:t>
            </w:r>
          </w:p>
        </w:tc>
      </w:tr>
      <w:tr w:rsidR="000574EE" w14:paraId="02A73C4C" w14:textId="77777777">
        <w:trPr>
          <w:trHeight w:val="351"/>
        </w:trPr>
        <w:tc>
          <w:tcPr>
            <w:tcW w:w="2013" w:type="pct"/>
            <w:vMerge/>
            <w:tcBorders>
              <w:top w:val="nil"/>
              <w:left w:val="nil"/>
              <w:bottom w:val="nil"/>
              <w:right w:val="nil"/>
            </w:tcBorders>
            <w:shd w:val="clear" w:color="auto" w:fill="auto"/>
          </w:tcPr>
          <w:p w14:paraId="585FA77B" w14:textId="77777777" w:rsidR="000574EE" w:rsidRDefault="000574EE">
            <w:pPr>
              <w:spacing w:line="360" w:lineRule="auto"/>
              <w:jc w:val="right"/>
              <w:rPr>
                <w:rFonts w:eastAsia="SimSun" w:cs="Calibri"/>
                <w:b/>
                <w:bCs/>
                <w:color w:val="0000FF"/>
                <w:kern w:val="0"/>
                <w:sz w:val="20"/>
                <w:szCs w:val="20"/>
                <w:lang w:bidi="ar"/>
              </w:rPr>
            </w:pPr>
          </w:p>
        </w:tc>
        <w:tc>
          <w:tcPr>
            <w:tcW w:w="1384" w:type="pct"/>
            <w:tcBorders>
              <w:top w:val="nil"/>
              <w:left w:val="nil"/>
              <w:bottom w:val="nil"/>
              <w:right w:val="nil"/>
            </w:tcBorders>
            <w:shd w:val="clear" w:color="auto" w:fill="auto"/>
          </w:tcPr>
          <w:p w14:paraId="68A8FDDD" w14:textId="77777777" w:rsidR="000574EE" w:rsidRDefault="00AC3F5F">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df</w:t>
            </w:r>
          </w:p>
        </w:tc>
        <w:tc>
          <w:tcPr>
            <w:tcW w:w="1602" w:type="pct"/>
            <w:tcBorders>
              <w:top w:val="nil"/>
              <w:left w:val="nil"/>
              <w:bottom w:val="nil"/>
              <w:right w:val="nil"/>
            </w:tcBorders>
            <w:shd w:val="clear" w:color="auto" w:fill="F9F9FB"/>
          </w:tcPr>
          <w:p w14:paraId="361FF282"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28</w:t>
            </w:r>
          </w:p>
        </w:tc>
      </w:tr>
      <w:tr w:rsidR="000574EE" w14:paraId="2611FA39" w14:textId="77777777">
        <w:trPr>
          <w:trHeight w:val="108"/>
        </w:trPr>
        <w:tc>
          <w:tcPr>
            <w:tcW w:w="2013" w:type="pct"/>
            <w:vMerge/>
            <w:tcBorders>
              <w:top w:val="nil"/>
              <w:left w:val="nil"/>
              <w:bottom w:val="single" w:sz="4" w:space="0" w:color="auto"/>
              <w:right w:val="nil"/>
            </w:tcBorders>
            <w:shd w:val="clear" w:color="auto" w:fill="auto"/>
          </w:tcPr>
          <w:p w14:paraId="64C0E5A1" w14:textId="77777777" w:rsidR="000574EE" w:rsidRDefault="000574EE">
            <w:pPr>
              <w:spacing w:line="360" w:lineRule="auto"/>
              <w:jc w:val="right"/>
              <w:rPr>
                <w:rFonts w:eastAsia="SimHei"/>
                <w:bCs/>
                <w:color w:val="0000FF"/>
                <w:sz w:val="20"/>
                <w:szCs w:val="20"/>
              </w:rPr>
            </w:pPr>
          </w:p>
        </w:tc>
        <w:tc>
          <w:tcPr>
            <w:tcW w:w="1384" w:type="pct"/>
            <w:tcBorders>
              <w:top w:val="nil"/>
              <w:left w:val="nil"/>
              <w:bottom w:val="single" w:sz="4" w:space="0" w:color="auto"/>
              <w:right w:val="nil"/>
            </w:tcBorders>
            <w:shd w:val="clear" w:color="auto" w:fill="auto"/>
          </w:tcPr>
          <w:p w14:paraId="57365045" w14:textId="77777777" w:rsidR="000574EE" w:rsidRDefault="00AC3F5F">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Sig.</w:t>
            </w:r>
          </w:p>
        </w:tc>
        <w:tc>
          <w:tcPr>
            <w:tcW w:w="1602" w:type="pct"/>
            <w:tcBorders>
              <w:top w:val="nil"/>
              <w:left w:val="nil"/>
              <w:bottom w:val="single" w:sz="4" w:space="0" w:color="auto"/>
              <w:right w:val="nil"/>
            </w:tcBorders>
            <w:shd w:val="clear" w:color="auto" w:fill="F9F9FB"/>
          </w:tcPr>
          <w:p w14:paraId="59B23E6E"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&lt; 0.001</w:t>
            </w:r>
          </w:p>
        </w:tc>
      </w:tr>
    </w:tbl>
    <w:p w14:paraId="1AB924A4" w14:textId="77777777" w:rsidR="000574EE" w:rsidRDefault="000574EE">
      <w:pPr>
        <w:autoSpaceDE w:val="0"/>
        <w:autoSpaceDN w:val="0"/>
        <w:rPr>
          <w:rFonts w:eastAsia="SimHei" w:cs="Times New Roman"/>
          <w:bCs/>
          <w:kern w:val="0"/>
          <w:sz w:val="24"/>
          <w:lang w:bidi="en-US"/>
        </w:rPr>
      </w:pPr>
    </w:p>
    <w:p w14:paraId="4BBF6971" w14:textId="77777777" w:rsidR="000574EE" w:rsidRDefault="00AC3F5F">
      <w:pPr>
        <w:spacing w:line="360" w:lineRule="auto"/>
        <w:rPr>
          <w:b/>
          <w:bCs/>
          <w:i/>
          <w:iCs/>
          <w:color w:val="000000" w:themeColor="text1"/>
          <w:sz w:val="24"/>
          <w:szCs w:val="22"/>
        </w:rPr>
      </w:pPr>
      <w:r>
        <w:rPr>
          <w:rFonts w:hint="eastAsia"/>
          <w:b/>
          <w:bCs/>
          <w:i/>
          <w:iCs/>
          <w:color w:val="000000" w:themeColor="text1"/>
          <w:sz w:val="24"/>
          <w:szCs w:val="22"/>
        </w:rPr>
        <w:t>Speaking Anxiety</w:t>
      </w:r>
      <w:r>
        <w:rPr>
          <w:b/>
          <w:bCs/>
          <w:i/>
          <w:iCs/>
          <w:color w:val="000000" w:themeColor="text1"/>
          <w:sz w:val="24"/>
          <w:szCs w:val="22"/>
        </w:rPr>
        <w:t xml:space="preserve"> Questionnaire</w:t>
      </w:r>
    </w:p>
    <w:p w14:paraId="093CE0EE" w14:textId="77777777" w:rsidR="000574EE" w:rsidRDefault="00AC3F5F">
      <w:pPr>
        <w:spacing w:line="360" w:lineRule="auto"/>
        <w:rPr>
          <w:color w:val="000000" w:themeColor="text1"/>
          <w:sz w:val="20"/>
          <w:szCs w:val="20"/>
        </w:rPr>
      </w:pPr>
      <w:r>
        <w:rPr>
          <w:color w:val="000000" w:themeColor="text1"/>
          <w:sz w:val="20"/>
          <w:szCs w:val="20"/>
        </w:rPr>
        <w:t xml:space="preserve">Table </w:t>
      </w:r>
      <w:r>
        <w:rPr>
          <w:rFonts w:hint="eastAsia"/>
          <w:color w:val="000000" w:themeColor="text1"/>
          <w:sz w:val="20"/>
          <w:szCs w:val="20"/>
        </w:rPr>
        <w:t xml:space="preserve">9: </w:t>
      </w:r>
      <w:r>
        <w:rPr>
          <w:color w:val="000000" w:themeColor="text1"/>
          <w:sz w:val="20"/>
          <w:szCs w:val="20"/>
        </w:rPr>
        <w:t xml:space="preserve">Reliability of </w:t>
      </w:r>
      <w:r>
        <w:rPr>
          <w:rFonts w:hint="eastAsia"/>
          <w:color w:val="000000" w:themeColor="text1"/>
          <w:sz w:val="20"/>
          <w:szCs w:val="20"/>
        </w:rPr>
        <w:t>q</w:t>
      </w:r>
      <w:r>
        <w:rPr>
          <w:color w:val="000000" w:themeColor="text1"/>
          <w:sz w:val="20"/>
          <w:szCs w:val="20"/>
        </w:rPr>
        <w:t xml:space="preserve">uestionnaire on </w:t>
      </w:r>
      <w:r>
        <w:rPr>
          <w:rFonts w:hint="eastAsia"/>
          <w:color w:val="000000" w:themeColor="text1"/>
          <w:sz w:val="20"/>
          <w:szCs w:val="20"/>
        </w:rPr>
        <w:t>speaking anxiety</w:t>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39"/>
        <w:gridCol w:w="3181"/>
        <w:gridCol w:w="1917"/>
        <w:gridCol w:w="1918"/>
        <w:gridCol w:w="1335"/>
      </w:tblGrid>
      <w:tr w:rsidR="000574EE" w14:paraId="1CC412AF" w14:textId="77777777">
        <w:trPr>
          <w:trHeight w:val="655"/>
          <w:jc w:val="center"/>
        </w:trPr>
        <w:tc>
          <w:tcPr>
            <w:tcW w:w="339" w:type="dxa"/>
            <w:tcBorders>
              <w:bottom w:val="single" w:sz="4" w:space="0" w:color="auto"/>
            </w:tcBorders>
            <w:shd w:val="clear" w:color="auto" w:fill="auto"/>
            <w:noWrap/>
            <w:vAlign w:val="center"/>
          </w:tcPr>
          <w:p w14:paraId="7F8DCBDF" w14:textId="77777777" w:rsidR="000574EE" w:rsidRDefault="000574EE">
            <w:pPr>
              <w:spacing w:line="360" w:lineRule="auto"/>
              <w:jc w:val="center"/>
              <w:rPr>
                <w:color w:val="000000" w:themeColor="text1"/>
                <w:sz w:val="22"/>
                <w:szCs w:val="22"/>
              </w:rPr>
            </w:pPr>
          </w:p>
        </w:tc>
        <w:tc>
          <w:tcPr>
            <w:tcW w:w="3181" w:type="dxa"/>
            <w:tcBorders>
              <w:bottom w:val="single" w:sz="4" w:space="0" w:color="auto"/>
            </w:tcBorders>
            <w:shd w:val="clear" w:color="auto" w:fill="auto"/>
            <w:noWrap/>
            <w:vAlign w:val="center"/>
          </w:tcPr>
          <w:p w14:paraId="7DD319CD" w14:textId="77777777" w:rsidR="000574EE" w:rsidRDefault="00AC3F5F">
            <w:pPr>
              <w:spacing w:line="360" w:lineRule="auto"/>
              <w:jc w:val="center"/>
              <w:rPr>
                <w:b/>
                <w:bCs/>
                <w:color w:val="000000" w:themeColor="text1"/>
                <w:sz w:val="20"/>
                <w:szCs w:val="20"/>
              </w:rPr>
            </w:pPr>
            <w:r>
              <w:rPr>
                <w:rFonts w:hint="eastAsia"/>
                <w:b/>
                <w:bCs/>
                <w:color w:val="000000" w:themeColor="text1"/>
                <w:sz w:val="20"/>
                <w:szCs w:val="20"/>
              </w:rPr>
              <w:t>S</w:t>
            </w:r>
            <w:r>
              <w:rPr>
                <w:b/>
                <w:bCs/>
                <w:color w:val="000000" w:themeColor="text1"/>
                <w:sz w:val="20"/>
                <w:szCs w:val="20"/>
              </w:rPr>
              <w:t xml:space="preserve">peaking </w:t>
            </w:r>
            <w:r>
              <w:rPr>
                <w:rFonts w:hint="eastAsia"/>
                <w:b/>
                <w:bCs/>
                <w:color w:val="000000" w:themeColor="text1"/>
                <w:sz w:val="20"/>
                <w:szCs w:val="20"/>
              </w:rPr>
              <w:t>S</w:t>
            </w:r>
            <w:r>
              <w:rPr>
                <w:b/>
                <w:bCs/>
                <w:color w:val="000000" w:themeColor="text1"/>
                <w:sz w:val="20"/>
                <w:szCs w:val="20"/>
              </w:rPr>
              <w:t>trategies Subscales</w:t>
            </w:r>
          </w:p>
        </w:tc>
        <w:tc>
          <w:tcPr>
            <w:tcW w:w="1917" w:type="dxa"/>
            <w:tcBorders>
              <w:bottom w:val="single" w:sz="4" w:space="0" w:color="auto"/>
            </w:tcBorders>
            <w:shd w:val="clear" w:color="auto" w:fill="auto"/>
            <w:vAlign w:val="center"/>
          </w:tcPr>
          <w:p w14:paraId="2691CDFA" w14:textId="77777777" w:rsidR="000574EE" w:rsidRDefault="00AC3F5F">
            <w:pPr>
              <w:widowControl/>
              <w:jc w:val="left"/>
              <w:rPr>
                <w:b/>
                <w:bCs/>
                <w:color w:val="000000" w:themeColor="text1"/>
                <w:sz w:val="20"/>
                <w:szCs w:val="20"/>
              </w:rPr>
            </w:pPr>
            <w:r>
              <w:rPr>
                <w:rFonts w:eastAsia="SimSun" w:cs="Calibri"/>
                <w:b/>
                <w:bCs/>
                <w:color w:val="000000" w:themeColor="text1"/>
                <w:kern w:val="0"/>
                <w:sz w:val="20"/>
                <w:szCs w:val="20"/>
                <w:lang w:bidi="ar"/>
              </w:rPr>
              <w:t>Number of Items</w:t>
            </w:r>
          </w:p>
        </w:tc>
        <w:tc>
          <w:tcPr>
            <w:tcW w:w="1918" w:type="dxa"/>
            <w:tcBorders>
              <w:bottom w:val="single" w:sz="4" w:space="0" w:color="auto"/>
            </w:tcBorders>
            <w:shd w:val="clear" w:color="auto" w:fill="auto"/>
            <w:vAlign w:val="center"/>
          </w:tcPr>
          <w:p w14:paraId="4297B714" w14:textId="77777777" w:rsidR="000574EE" w:rsidRDefault="00AC3F5F">
            <w:pPr>
              <w:widowControl/>
              <w:jc w:val="left"/>
              <w:rPr>
                <w:b/>
                <w:bCs/>
                <w:color w:val="000000" w:themeColor="text1"/>
                <w:sz w:val="20"/>
                <w:szCs w:val="20"/>
              </w:rPr>
            </w:pPr>
            <w:r>
              <w:rPr>
                <w:rFonts w:eastAsia="SimSun" w:cs="Calibri"/>
                <w:b/>
                <w:bCs/>
                <w:color w:val="000000" w:themeColor="text1"/>
                <w:kern w:val="0"/>
                <w:sz w:val="20"/>
                <w:szCs w:val="20"/>
                <w:lang w:bidi="ar"/>
              </w:rPr>
              <w:t>Cronbach’s Alpha</w:t>
            </w:r>
          </w:p>
        </w:tc>
        <w:tc>
          <w:tcPr>
            <w:tcW w:w="1335" w:type="dxa"/>
            <w:tcBorders>
              <w:bottom w:val="single" w:sz="4" w:space="0" w:color="auto"/>
            </w:tcBorders>
            <w:shd w:val="clear" w:color="auto" w:fill="FFFFFF"/>
            <w:vAlign w:val="center"/>
          </w:tcPr>
          <w:p w14:paraId="51574A23" w14:textId="77777777" w:rsidR="000574EE" w:rsidRDefault="00AC3F5F">
            <w:pPr>
              <w:widowControl/>
              <w:jc w:val="left"/>
              <w:rPr>
                <w:b/>
                <w:bCs/>
                <w:color w:val="000000" w:themeColor="text1"/>
                <w:sz w:val="20"/>
                <w:szCs w:val="20"/>
              </w:rPr>
            </w:pPr>
            <w:r>
              <w:rPr>
                <w:rFonts w:eastAsia="SimSun" w:cs="Calibri"/>
                <w:b/>
                <w:bCs/>
                <w:color w:val="000000" w:themeColor="text1"/>
                <w:kern w:val="0"/>
                <w:sz w:val="20"/>
                <w:szCs w:val="20"/>
                <w:lang w:bidi="ar"/>
              </w:rPr>
              <w:t>Reliability</w:t>
            </w:r>
          </w:p>
        </w:tc>
      </w:tr>
      <w:tr w:rsidR="000574EE" w14:paraId="5A6991D9" w14:textId="77777777">
        <w:trPr>
          <w:trHeight w:val="351"/>
          <w:jc w:val="center"/>
        </w:trPr>
        <w:tc>
          <w:tcPr>
            <w:tcW w:w="339" w:type="dxa"/>
            <w:tcBorders>
              <w:top w:val="single" w:sz="4" w:space="0" w:color="auto"/>
            </w:tcBorders>
            <w:shd w:val="clear" w:color="auto" w:fill="auto"/>
          </w:tcPr>
          <w:p w14:paraId="290D819E" w14:textId="77777777" w:rsidR="000574EE" w:rsidRDefault="00AC3F5F">
            <w:pPr>
              <w:spacing w:line="360" w:lineRule="auto"/>
              <w:rPr>
                <w:color w:val="000000" w:themeColor="text1"/>
                <w:sz w:val="20"/>
                <w:szCs w:val="20"/>
              </w:rPr>
            </w:pPr>
            <w:r>
              <w:rPr>
                <w:color w:val="000000" w:themeColor="text1"/>
                <w:sz w:val="20"/>
                <w:szCs w:val="20"/>
              </w:rPr>
              <w:t>1</w:t>
            </w:r>
          </w:p>
        </w:tc>
        <w:tc>
          <w:tcPr>
            <w:tcW w:w="3181" w:type="dxa"/>
            <w:tcBorders>
              <w:top w:val="single" w:sz="4" w:space="0" w:color="auto"/>
            </w:tcBorders>
            <w:shd w:val="clear" w:color="auto" w:fill="auto"/>
          </w:tcPr>
          <w:p w14:paraId="06324D2A" w14:textId="77777777" w:rsidR="000574EE" w:rsidRDefault="00AC3F5F">
            <w:pPr>
              <w:spacing w:line="360" w:lineRule="auto"/>
              <w:rPr>
                <w:color w:val="000000" w:themeColor="text1"/>
                <w:sz w:val="20"/>
                <w:szCs w:val="20"/>
              </w:rPr>
            </w:pPr>
            <w:r>
              <w:rPr>
                <w:rFonts w:eastAsia="SimHei"/>
                <w:bCs/>
                <w:color w:val="000000" w:themeColor="text1"/>
                <w:sz w:val="20"/>
                <w:szCs w:val="20"/>
              </w:rPr>
              <w:t>Interaction Anxiety</w:t>
            </w:r>
          </w:p>
        </w:tc>
        <w:tc>
          <w:tcPr>
            <w:tcW w:w="1917" w:type="dxa"/>
            <w:tcBorders>
              <w:top w:val="single" w:sz="4" w:space="0" w:color="auto"/>
            </w:tcBorders>
            <w:shd w:val="clear" w:color="auto" w:fill="auto"/>
          </w:tcPr>
          <w:p w14:paraId="52C6F1AA" w14:textId="77777777" w:rsidR="000574EE" w:rsidRDefault="00AC3F5F">
            <w:pPr>
              <w:spacing w:line="360" w:lineRule="auto"/>
              <w:jc w:val="center"/>
              <w:rPr>
                <w:color w:val="000000" w:themeColor="text1"/>
                <w:sz w:val="20"/>
                <w:szCs w:val="20"/>
              </w:rPr>
            </w:pPr>
            <w:r>
              <w:rPr>
                <w:rFonts w:hint="eastAsia"/>
                <w:color w:val="000000" w:themeColor="text1"/>
                <w:sz w:val="20"/>
                <w:szCs w:val="20"/>
              </w:rPr>
              <w:t>5</w:t>
            </w:r>
          </w:p>
        </w:tc>
        <w:tc>
          <w:tcPr>
            <w:tcW w:w="1918" w:type="dxa"/>
            <w:tcBorders>
              <w:top w:val="single" w:sz="4" w:space="0" w:color="auto"/>
            </w:tcBorders>
            <w:shd w:val="clear" w:color="auto" w:fill="auto"/>
          </w:tcPr>
          <w:p w14:paraId="3531E372" w14:textId="77777777" w:rsidR="000574EE" w:rsidRDefault="00AC3F5F">
            <w:pPr>
              <w:spacing w:line="360" w:lineRule="auto"/>
              <w:jc w:val="center"/>
              <w:rPr>
                <w:color w:val="000000" w:themeColor="text1"/>
                <w:sz w:val="20"/>
                <w:szCs w:val="20"/>
              </w:rPr>
            </w:pPr>
            <w:r>
              <w:rPr>
                <w:rFonts w:hint="eastAsia"/>
                <w:color w:val="000000" w:themeColor="text1"/>
                <w:sz w:val="20"/>
                <w:szCs w:val="20"/>
              </w:rPr>
              <w:t>0.640</w:t>
            </w:r>
          </w:p>
        </w:tc>
        <w:tc>
          <w:tcPr>
            <w:tcW w:w="1335" w:type="dxa"/>
            <w:tcBorders>
              <w:top w:val="single" w:sz="4" w:space="0" w:color="auto"/>
            </w:tcBorders>
            <w:shd w:val="clear" w:color="auto" w:fill="F9F9FB"/>
          </w:tcPr>
          <w:p w14:paraId="55EF5A57" w14:textId="77777777" w:rsidR="000574EE" w:rsidRDefault="00AC3F5F">
            <w:pPr>
              <w:spacing w:line="360" w:lineRule="auto"/>
              <w:jc w:val="center"/>
              <w:rPr>
                <w:color w:val="000000" w:themeColor="text1"/>
                <w:sz w:val="20"/>
                <w:szCs w:val="20"/>
              </w:rPr>
            </w:pPr>
            <w:r>
              <w:rPr>
                <w:color w:val="000000" w:themeColor="text1"/>
                <w:sz w:val="20"/>
                <w:szCs w:val="20"/>
              </w:rPr>
              <w:t>Reliable</w:t>
            </w:r>
          </w:p>
        </w:tc>
      </w:tr>
      <w:tr w:rsidR="000574EE" w14:paraId="31E818D6" w14:textId="77777777">
        <w:trPr>
          <w:trHeight w:val="351"/>
          <w:jc w:val="center"/>
        </w:trPr>
        <w:tc>
          <w:tcPr>
            <w:tcW w:w="339" w:type="dxa"/>
            <w:shd w:val="clear" w:color="auto" w:fill="auto"/>
          </w:tcPr>
          <w:p w14:paraId="1F0D0E4C" w14:textId="77777777" w:rsidR="000574EE" w:rsidRDefault="00AC3F5F">
            <w:pPr>
              <w:spacing w:line="360" w:lineRule="auto"/>
              <w:rPr>
                <w:color w:val="000000" w:themeColor="text1"/>
                <w:sz w:val="20"/>
                <w:szCs w:val="20"/>
              </w:rPr>
            </w:pPr>
            <w:r>
              <w:rPr>
                <w:color w:val="000000" w:themeColor="text1"/>
                <w:sz w:val="20"/>
                <w:szCs w:val="20"/>
              </w:rPr>
              <w:t>2</w:t>
            </w:r>
          </w:p>
        </w:tc>
        <w:tc>
          <w:tcPr>
            <w:tcW w:w="3181" w:type="dxa"/>
            <w:shd w:val="clear" w:color="auto" w:fill="auto"/>
          </w:tcPr>
          <w:p w14:paraId="52EA32A1" w14:textId="77777777" w:rsidR="000574EE" w:rsidRDefault="00AC3F5F">
            <w:pPr>
              <w:spacing w:line="360" w:lineRule="auto"/>
              <w:rPr>
                <w:color w:val="000000" w:themeColor="text1"/>
                <w:sz w:val="20"/>
                <w:szCs w:val="20"/>
              </w:rPr>
            </w:pPr>
            <w:r>
              <w:rPr>
                <w:rFonts w:eastAsia="SimHei"/>
                <w:bCs/>
                <w:color w:val="000000" w:themeColor="text1"/>
                <w:sz w:val="20"/>
                <w:szCs w:val="20"/>
              </w:rPr>
              <w:t>Audience Anxiety</w:t>
            </w:r>
          </w:p>
        </w:tc>
        <w:tc>
          <w:tcPr>
            <w:tcW w:w="1917" w:type="dxa"/>
            <w:shd w:val="clear" w:color="auto" w:fill="auto"/>
          </w:tcPr>
          <w:p w14:paraId="7DA52D17" w14:textId="77777777" w:rsidR="000574EE" w:rsidRDefault="00AC3F5F">
            <w:pPr>
              <w:spacing w:line="360" w:lineRule="auto"/>
              <w:jc w:val="center"/>
              <w:rPr>
                <w:color w:val="000000" w:themeColor="text1"/>
                <w:sz w:val="20"/>
                <w:szCs w:val="20"/>
              </w:rPr>
            </w:pPr>
            <w:r>
              <w:rPr>
                <w:rFonts w:hint="eastAsia"/>
                <w:color w:val="000000" w:themeColor="text1"/>
                <w:sz w:val="20"/>
                <w:szCs w:val="20"/>
              </w:rPr>
              <w:t>5</w:t>
            </w:r>
          </w:p>
        </w:tc>
        <w:tc>
          <w:tcPr>
            <w:tcW w:w="1918" w:type="dxa"/>
            <w:shd w:val="clear" w:color="auto" w:fill="auto"/>
          </w:tcPr>
          <w:p w14:paraId="44BFCD0E" w14:textId="77777777" w:rsidR="000574EE" w:rsidRDefault="00AC3F5F">
            <w:pPr>
              <w:spacing w:line="360" w:lineRule="auto"/>
              <w:jc w:val="center"/>
              <w:rPr>
                <w:color w:val="000000" w:themeColor="text1"/>
                <w:sz w:val="20"/>
                <w:szCs w:val="20"/>
              </w:rPr>
            </w:pPr>
            <w:r>
              <w:rPr>
                <w:rFonts w:hint="eastAsia"/>
                <w:color w:val="000000" w:themeColor="text1"/>
                <w:sz w:val="20"/>
                <w:szCs w:val="20"/>
              </w:rPr>
              <w:t>0.645</w:t>
            </w:r>
          </w:p>
        </w:tc>
        <w:tc>
          <w:tcPr>
            <w:tcW w:w="1335" w:type="dxa"/>
            <w:shd w:val="clear" w:color="auto" w:fill="F9F9FB"/>
          </w:tcPr>
          <w:p w14:paraId="0D2A7C1D" w14:textId="77777777" w:rsidR="000574EE" w:rsidRDefault="00AC3F5F">
            <w:pPr>
              <w:spacing w:line="360" w:lineRule="auto"/>
              <w:jc w:val="center"/>
              <w:rPr>
                <w:color w:val="000000" w:themeColor="text1"/>
                <w:sz w:val="20"/>
                <w:szCs w:val="20"/>
              </w:rPr>
            </w:pPr>
            <w:r>
              <w:rPr>
                <w:color w:val="000000" w:themeColor="text1"/>
                <w:sz w:val="20"/>
                <w:szCs w:val="20"/>
              </w:rPr>
              <w:t>Reliable</w:t>
            </w:r>
          </w:p>
        </w:tc>
      </w:tr>
      <w:tr w:rsidR="000574EE" w14:paraId="4673123D" w14:textId="77777777">
        <w:trPr>
          <w:trHeight w:val="351"/>
          <w:jc w:val="center"/>
        </w:trPr>
        <w:tc>
          <w:tcPr>
            <w:tcW w:w="339" w:type="dxa"/>
            <w:shd w:val="clear" w:color="auto" w:fill="auto"/>
          </w:tcPr>
          <w:p w14:paraId="300D9B57" w14:textId="77777777" w:rsidR="000574EE" w:rsidRDefault="00AC3F5F">
            <w:pPr>
              <w:spacing w:line="360" w:lineRule="auto"/>
              <w:rPr>
                <w:color w:val="000000" w:themeColor="text1"/>
                <w:sz w:val="20"/>
                <w:szCs w:val="20"/>
              </w:rPr>
            </w:pPr>
            <w:r>
              <w:rPr>
                <w:color w:val="000000" w:themeColor="text1"/>
                <w:sz w:val="20"/>
                <w:szCs w:val="20"/>
              </w:rPr>
              <w:t>3</w:t>
            </w:r>
          </w:p>
        </w:tc>
        <w:tc>
          <w:tcPr>
            <w:tcW w:w="3181" w:type="dxa"/>
            <w:shd w:val="clear" w:color="auto" w:fill="auto"/>
          </w:tcPr>
          <w:p w14:paraId="150D2B08" w14:textId="77777777" w:rsidR="000574EE" w:rsidRDefault="00AC3F5F">
            <w:pPr>
              <w:spacing w:line="360" w:lineRule="auto"/>
              <w:rPr>
                <w:color w:val="000000" w:themeColor="text1"/>
                <w:sz w:val="20"/>
                <w:szCs w:val="20"/>
              </w:rPr>
            </w:pPr>
            <w:r>
              <w:rPr>
                <w:rFonts w:eastAsia="SimHei"/>
                <w:bCs/>
                <w:color w:val="000000" w:themeColor="text1"/>
                <w:sz w:val="20"/>
                <w:szCs w:val="20"/>
              </w:rPr>
              <w:t>Confidence Anxiety</w:t>
            </w:r>
          </w:p>
        </w:tc>
        <w:tc>
          <w:tcPr>
            <w:tcW w:w="1917" w:type="dxa"/>
            <w:shd w:val="clear" w:color="auto" w:fill="auto"/>
          </w:tcPr>
          <w:p w14:paraId="35387DE4" w14:textId="77777777" w:rsidR="000574EE" w:rsidRDefault="00AC3F5F">
            <w:pPr>
              <w:spacing w:line="360" w:lineRule="auto"/>
              <w:jc w:val="center"/>
              <w:rPr>
                <w:color w:val="000000" w:themeColor="text1"/>
                <w:sz w:val="20"/>
                <w:szCs w:val="20"/>
              </w:rPr>
            </w:pPr>
            <w:r>
              <w:rPr>
                <w:color w:val="000000" w:themeColor="text1"/>
                <w:sz w:val="20"/>
                <w:szCs w:val="20"/>
              </w:rPr>
              <w:t>5</w:t>
            </w:r>
          </w:p>
        </w:tc>
        <w:tc>
          <w:tcPr>
            <w:tcW w:w="1918" w:type="dxa"/>
            <w:shd w:val="clear" w:color="auto" w:fill="auto"/>
          </w:tcPr>
          <w:p w14:paraId="53425F35" w14:textId="77777777" w:rsidR="000574EE" w:rsidRDefault="00AC3F5F">
            <w:pPr>
              <w:spacing w:line="360" w:lineRule="auto"/>
              <w:jc w:val="center"/>
              <w:rPr>
                <w:color w:val="000000" w:themeColor="text1"/>
                <w:sz w:val="20"/>
                <w:szCs w:val="20"/>
              </w:rPr>
            </w:pPr>
            <w:r>
              <w:rPr>
                <w:rFonts w:hint="eastAsia"/>
                <w:color w:val="000000" w:themeColor="text1"/>
                <w:sz w:val="20"/>
                <w:szCs w:val="20"/>
              </w:rPr>
              <w:t>0.621</w:t>
            </w:r>
          </w:p>
        </w:tc>
        <w:tc>
          <w:tcPr>
            <w:tcW w:w="1335" w:type="dxa"/>
            <w:shd w:val="clear" w:color="auto" w:fill="F9F9FB"/>
          </w:tcPr>
          <w:p w14:paraId="344B43C1" w14:textId="77777777" w:rsidR="000574EE" w:rsidRDefault="00AC3F5F">
            <w:pPr>
              <w:spacing w:line="360" w:lineRule="auto"/>
              <w:jc w:val="center"/>
              <w:rPr>
                <w:color w:val="000000" w:themeColor="text1"/>
                <w:sz w:val="20"/>
                <w:szCs w:val="20"/>
              </w:rPr>
            </w:pPr>
            <w:r>
              <w:rPr>
                <w:color w:val="000000" w:themeColor="text1"/>
                <w:sz w:val="20"/>
                <w:szCs w:val="20"/>
              </w:rPr>
              <w:t>Reliable</w:t>
            </w:r>
          </w:p>
        </w:tc>
      </w:tr>
      <w:tr w:rsidR="000574EE" w14:paraId="4EC3C5FC" w14:textId="77777777">
        <w:trPr>
          <w:trHeight w:val="351"/>
          <w:jc w:val="center"/>
        </w:trPr>
        <w:tc>
          <w:tcPr>
            <w:tcW w:w="339" w:type="dxa"/>
            <w:shd w:val="clear" w:color="auto" w:fill="auto"/>
          </w:tcPr>
          <w:p w14:paraId="478F80CE" w14:textId="77777777" w:rsidR="000574EE" w:rsidRDefault="00AC3F5F">
            <w:pPr>
              <w:spacing w:line="360" w:lineRule="auto"/>
              <w:rPr>
                <w:color w:val="000000" w:themeColor="text1"/>
                <w:sz w:val="20"/>
                <w:szCs w:val="20"/>
              </w:rPr>
            </w:pPr>
            <w:r>
              <w:rPr>
                <w:color w:val="000000" w:themeColor="text1"/>
                <w:sz w:val="20"/>
                <w:szCs w:val="20"/>
              </w:rPr>
              <w:t>4</w:t>
            </w:r>
          </w:p>
        </w:tc>
        <w:tc>
          <w:tcPr>
            <w:tcW w:w="3181" w:type="dxa"/>
            <w:shd w:val="clear" w:color="auto" w:fill="auto"/>
          </w:tcPr>
          <w:p w14:paraId="674D4616" w14:textId="77777777" w:rsidR="000574EE" w:rsidRDefault="00AC3F5F">
            <w:pPr>
              <w:spacing w:line="360" w:lineRule="auto"/>
              <w:rPr>
                <w:color w:val="000000" w:themeColor="text1"/>
                <w:sz w:val="20"/>
                <w:szCs w:val="20"/>
              </w:rPr>
            </w:pPr>
            <w:r>
              <w:rPr>
                <w:rFonts w:eastAsia="SimHei"/>
                <w:bCs/>
                <w:color w:val="000000" w:themeColor="text1"/>
                <w:sz w:val="20"/>
                <w:szCs w:val="20"/>
              </w:rPr>
              <w:t>Language Proficiency Anxiety</w:t>
            </w:r>
          </w:p>
        </w:tc>
        <w:tc>
          <w:tcPr>
            <w:tcW w:w="1917" w:type="dxa"/>
            <w:shd w:val="clear" w:color="auto" w:fill="auto"/>
          </w:tcPr>
          <w:p w14:paraId="1A869F5F" w14:textId="77777777" w:rsidR="000574EE" w:rsidRDefault="00AC3F5F">
            <w:pPr>
              <w:spacing w:line="360" w:lineRule="auto"/>
              <w:jc w:val="center"/>
              <w:rPr>
                <w:color w:val="000000" w:themeColor="text1"/>
                <w:sz w:val="20"/>
                <w:szCs w:val="20"/>
              </w:rPr>
            </w:pPr>
            <w:r>
              <w:rPr>
                <w:rFonts w:hint="eastAsia"/>
                <w:color w:val="000000" w:themeColor="text1"/>
                <w:sz w:val="20"/>
                <w:szCs w:val="20"/>
              </w:rPr>
              <w:t>5</w:t>
            </w:r>
          </w:p>
        </w:tc>
        <w:tc>
          <w:tcPr>
            <w:tcW w:w="1918" w:type="dxa"/>
            <w:shd w:val="clear" w:color="auto" w:fill="auto"/>
          </w:tcPr>
          <w:p w14:paraId="399CD023" w14:textId="77777777" w:rsidR="000574EE" w:rsidRDefault="00AC3F5F">
            <w:pPr>
              <w:spacing w:line="360" w:lineRule="auto"/>
              <w:jc w:val="center"/>
              <w:rPr>
                <w:color w:val="000000" w:themeColor="text1"/>
                <w:sz w:val="20"/>
                <w:szCs w:val="20"/>
              </w:rPr>
            </w:pPr>
            <w:r>
              <w:rPr>
                <w:rFonts w:hint="eastAsia"/>
                <w:color w:val="000000" w:themeColor="text1"/>
                <w:sz w:val="20"/>
                <w:szCs w:val="20"/>
              </w:rPr>
              <w:t>0.668</w:t>
            </w:r>
          </w:p>
        </w:tc>
        <w:tc>
          <w:tcPr>
            <w:tcW w:w="1335" w:type="dxa"/>
            <w:shd w:val="clear" w:color="auto" w:fill="F9F9FB"/>
          </w:tcPr>
          <w:p w14:paraId="4FE99346" w14:textId="77777777" w:rsidR="000574EE" w:rsidRDefault="00AC3F5F">
            <w:pPr>
              <w:spacing w:line="360" w:lineRule="auto"/>
              <w:jc w:val="center"/>
              <w:rPr>
                <w:color w:val="000000" w:themeColor="text1"/>
                <w:sz w:val="20"/>
                <w:szCs w:val="20"/>
              </w:rPr>
            </w:pPr>
            <w:r>
              <w:rPr>
                <w:color w:val="000000" w:themeColor="text1"/>
                <w:sz w:val="20"/>
                <w:szCs w:val="20"/>
              </w:rPr>
              <w:t>Reliable</w:t>
            </w:r>
          </w:p>
        </w:tc>
      </w:tr>
      <w:tr w:rsidR="000574EE" w14:paraId="42BAFCE5" w14:textId="77777777">
        <w:trPr>
          <w:trHeight w:val="351"/>
          <w:jc w:val="center"/>
        </w:trPr>
        <w:tc>
          <w:tcPr>
            <w:tcW w:w="339" w:type="dxa"/>
            <w:shd w:val="clear" w:color="auto" w:fill="auto"/>
          </w:tcPr>
          <w:p w14:paraId="478F416B" w14:textId="77777777" w:rsidR="000574EE" w:rsidRDefault="00AC3F5F">
            <w:pPr>
              <w:spacing w:line="360" w:lineRule="auto"/>
              <w:rPr>
                <w:color w:val="000000" w:themeColor="text1"/>
                <w:sz w:val="20"/>
                <w:szCs w:val="20"/>
              </w:rPr>
            </w:pPr>
            <w:r>
              <w:rPr>
                <w:color w:val="000000" w:themeColor="text1"/>
                <w:sz w:val="20"/>
                <w:szCs w:val="20"/>
              </w:rPr>
              <w:t>5</w:t>
            </w:r>
          </w:p>
        </w:tc>
        <w:tc>
          <w:tcPr>
            <w:tcW w:w="3181" w:type="dxa"/>
            <w:shd w:val="clear" w:color="auto" w:fill="auto"/>
          </w:tcPr>
          <w:p w14:paraId="5DCD7CC9" w14:textId="77777777" w:rsidR="000574EE" w:rsidRDefault="00AC3F5F">
            <w:pPr>
              <w:spacing w:line="360" w:lineRule="auto"/>
              <w:rPr>
                <w:color w:val="000000" w:themeColor="text1"/>
                <w:sz w:val="20"/>
                <w:szCs w:val="20"/>
              </w:rPr>
            </w:pPr>
            <w:r>
              <w:rPr>
                <w:rFonts w:eastAsia="SimHei"/>
                <w:bCs/>
                <w:color w:val="000000" w:themeColor="text1"/>
                <w:sz w:val="20"/>
                <w:szCs w:val="20"/>
              </w:rPr>
              <w:t>Negative Evaluation Anxiety</w:t>
            </w:r>
          </w:p>
        </w:tc>
        <w:tc>
          <w:tcPr>
            <w:tcW w:w="1917" w:type="dxa"/>
            <w:shd w:val="clear" w:color="auto" w:fill="auto"/>
          </w:tcPr>
          <w:p w14:paraId="2F391FD6" w14:textId="77777777" w:rsidR="000574EE" w:rsidRDefault="00AC3F5F">
            <w:pPr>
              <w:spacing w:line="360" w:lineRule="auto"/>
              <w:jc w:val="center"/>
              <w:rPr>
                <w:color w:val="000000" w:themeColor="text1"/>
                <w:sz w:val="20"/>
                <w:szCs w:val="20"/>
              </w:rPr>
            </w:pPr>
            <w:r>
              <w:rPr>
                <w:rFonts w:hint="eastAsia"/>
                <w:color w:val="000000" w:themeColor="text1"/>
                <w:sz w:val="20"/>
                <w:szCs w:val="20"/>
              </w:rPr>
              <w:t>5</w:t>
            </w:r>
          </w:p>
        </w:tc>
        <w:tc>
          <w:tcPr>
            <w:tcW w:w="1918" w:type="dxa"/>
            <w:shd w:val="clear" w:color="auto" w:fill="auto"/>
          </w:tcPr>
          <w:p w14:paraId="3D870F09" w14:textId="77777777" w:rsidR="000574EE" w:rsidRDefault="00AC3F5F">
            <w:pPr>
              <w:spacing w:line="360" w:lineRule="auto"/>
              <w:jc w:val="center"/>
              <w:rPr>
                <w:color w:val="000000" w:themeColor="text1"/>
                <w:sz w:val="20"/>
                <w:szCs w:val="20"/>
              </w:rPr>
            </w:pPr>
            <w:r>
              <w:rPr>
                <w:rFonts w:hint="eastAsia"/>
                <w:color w:val="000000" w:themeColor="text1"/>
                <w:sz w:val="20"/>
                <w:szCs w:val="20"/>
              </w:rPr>
              <w:t>0.612</w:t>
            </w:r>
          </w:p>
        </w:tc>
        <w:tc>
          <w:tcPr>
            <w:tcW w:w="1335" w:type="dxa"/>
            <w:shd w:val="clear" w:color="auto" w:fill="F9F9FB"/>
          </w:tcPr>
          <w:p w14:paraId="0158B240" w14:textId="77777777" w:rsidR="000574EE" w:rsidRDefault="00AC3F5F">
            <w:pPr>
              <w:spacing w:line="360" w:lineRule="auto"/>
              <w:jc w:val="center"/>
              <w:rPr>
                <w:color w:val="000000" w:themeColor="text1"/>
                <w:sz w:val="20"/>
                <w:szCs w:val="20"/>
              </w:rPr>
            </w:pPr>
            <w:r>
              <w:rPr>
                <w:color w:val="000000" w:themeColor="text1"/>
                <w:sz w:val="20"/>
                <w:szCs w:val="20"/>
              </w:rPr>
              <w:t>Reliable</w:t>
            </w:r>
          </w:p>
        </w:tc>
      </w:tr>
      <w:tr w:rsidR="000574EE" w14:paraId="2E116AA2" w14:textId="77777777">
        <w:trPr>
          <w:trHeight w:val="351"/>
          <w:jc w:val="center"/>
        </w:trPr>
        <w:tc>
          <w:tcPr>
            <w:tcW w:w="339" w:type="dxa"/>
            <w:shd w:val="clear" w:color="auto" w:fill="auto"/>
          </w:tcPr>
          <w:p w14:paraId="1A84A726" w14:textId="77777777" w:rsidR="000574EE" w:rsidRDefault="00AC3F5F">
            <w:pPr>
              <w:spacing w:line="360" w:lineRule="auto"/>
              <w:rPr>
                <w:color w:val="000000" w:themeColor="text1"/>
                <w:sz w:val="20"/>
                <w:szCs w:val="20"/>
              </w:rPr>
            </w:pPr>
            <w:r>
              <w:rPr>
                <w:color w:val="000000" w:themeColor="text1"/>
                <w:sz w:val="20"/>
                <w:szCs w:val="20"/>
              </w:rPr>
              <w:t>6</w:t>
            </w:r>
          </w:p>
        </w:tc>
        <w:tc>
          <w:tcPr>
            <w:tcW w:w="3181" w:type="dxa"/>
            <w:shd w:val="clear" w:color="auto" w:fill="auto"/>
          </w:tcPr>
          <w:p w14:paraId="6E0D2675" w14:textId="77777777" w:rsidR="000574EE" w:rsidRDefault="00AC3F5F">
            <w:pPr>
              <w:spacing w:line="360" w:lineRule="auto"/>
              <w:rPr>
                <w:color w:val="000000" w:themeColor="text1"/>
                <w:sz w:val="20"/>
                <w:szCs w:val="20"/>
              </w:rPr>
            </w:pPr>
            <w:r>
              <w:rPr>
                <w:rFonts w:eastAsia="SimHei"/>
                <w:bCs/>
                <w:color w:val="000000" w:themeColor="text1"/>
                <w:sz w:val="20"/>
                <w:szCs w:val="20"/>
              </w:rPr>
              <w:t>Test Anxiety</w:t>
            </w:r>
          </w:p>
        </w:tc>
        <w:tc>
          <w:tcPr>
            <w:tcW w:w="1917" w:type="dxa"/>
            <w:shd w:val="clear" w:color="auto" w:fill="auto"/>
          </w:tcPr>
          <w:p w14:paraId="0989458D" w14:textId="77777777" w:rsidR="000574EE" w:rsidRDefault="00AC3F5F">
            <w:pPr>
              <w:spacing w:line="360" w:lineRule="auto"/>
              <w:jc w:val="center"/>
              <w:rPr>
                <w:color w:val="000000" w:themeColor="text1"/>
                <w:sz w:val="20"/>
                <w:szCs w:val="20"/>
              </w:rPr>
            </w:pPr>
            <w:r>
              <w:rPr>
                <w:rFonts w:hint="eastAsia"/>
                <w:color w:val="000000" w:themeColor="text1"/>
                <w:sz w:val="20"/>
                <w:szCs w:val="20"/>
              </w:rPr>
              <w:t>5</w:t>
            </w:r>
          </w:p>
        </w:tc>
        <w:tc>
          <w:tcPr>
            <w:tcW w:w="1918" w:type="dxa"/>
            <w:shd w:val="clear" w:color="auto" w:fill="auto"/>
          </w:tcPr>
          <w:p w14:paraId="723DED30" w14:textId="77777777" w:rsidR="000574EE" w:rsidRDefault="00AC3F5F">
            <w:pPr>
              <w:spacing w:line="360" w:lineRule="auto"/>
              <w:jc w:val="center"/>
              <w:rPr>
                <w:color w:val="000000" w:themeColor="text1"/>
                <w:sz w:val="20"/>
                <w:szCs w:val="20"/>
              </w:rPr>
            </w:pPr>
            <w:r>
              <w:rPr>
                <w:rFonts w:hint="eastAsia"/>
                <w:color w:val="000000" w:themeColor="text1"/>
                <w:sz w:val="20"/>
                <w:szCs w:val="20"/>
              </w:rPr>
              <w:t>0.604</w:t>
            </w:r>
          </w:p>
        </w:tc>
        <w:tc>
          <w:tcPr>
            <w:tcW w:w="1335" w:type="dxa"/>
            <w:shd w:val="clear" w:color="auto" w:fill="F9F9FB"/>
          </w:tcPr>
          <w:p w14:paraId="4CC148C4" w14:textId="77777777" w:rsidR="000574EE" w:rsidRDefault="00AC3F5F">
            <w:pPr>
              <w:spacing w:line="360" w:lineRule="auto"/>
              <w:jc w:val="center"/>
              <w:rPr>
                <w:color w:val="000000" w:themeColor="text1"/>
                <w:sz w:val="20"/>
                <w:szCs w:val="20"/>
              </w:rPr>
            </w:pPr>
            <w:r>
              <w:rPr>
                <w:color w:val="000000" w:themeColor="text1"/>
                <w:sz w:val="20"/>
                <w:szCs w:val="20"/>
              </w:rPr>
              <w:t>Reliable</w:t>
            </w:r>
          </w:p>
        </w:tc>
      </w:tr>
      <w:tr w:rsidR="000574EE" w14:paraId="06C1D64C" w14:textId="77777777">
        <w:trPr>
          <w:trHeight w:val="351"/>
          <w:jc w:val="center"/>
        </w:trPr>
        <w:tc>
          <w:tcPr>
            <w:tcW w:w="339" w:type="dxa"/>
            <w:shd w:val="clear" w:color="auto" w:fill="auto"/>
          </w:tcPr>
          <w:p w14:paraId="6D34A41D" w14:textId="77777777" w:rsidR="000574EE" w:rsidRDefault="000574EE">
            <w:pPr>
              <w:spacing w:line="360" w:lineRule="auto"/>
              <w:rPr>
                <w:color w:val="000000" w:themeColor="text1"/>
                <w:sz w:val="22"/>
                <w:szCs w:val="22"/>
              </w:rPr>
            </w:pPr>
          </w:p>
        </w:tc>
        <w:tc>
          <w:tcPr>
            <w:tcW w:w="3181" w:type="dxa"/>
            <w:shd w:val="clear" w:color="auto" w:fill="auto"/>
          </w:tcPr>
          <w:p w14:paraId="1788CF85" w14:textId="77777777" w:rsidR="000574EE" w:rsidRDefault="00AC3F5F">
            <w:pPr>
              <w:spacing w:line="360" w:lineRule="auto"/>
              <w:rPr>
                <w:color w:val="000000" w:themeColor="text1"/>
                <w:sz w:val="20"/>
                <w:szCs w:val="20"/>
              </w:rPr>
            </w:pPr>
            <w:r>
              <w:rPr>
                <w:color w:val="000000" w:themeColor="text1"/>
                <w:sz w:val="20"/>
                <w:szCs w:val="20"/>
              </w:rPr>
              <w:t>All items</w:t>
            </w:r>
          </w:p>
        </w:tc>
        <w:tc>
          <w:tcPr>
            <w:tcW w:w="1917" w:type="dxa"/>
            <w:shd w:val="clear" w:color="auto" w:fill="auto"/>
          </w:tcPr>
          <w:p w14:paraId="768DD2D7" w14:textId="77777777" w:rsidR="000574EE" w:rsidRDefault="00AC3F5F">
            <w:pPr>
              <w:spacing w:line="360" w:lineRule="auto"/>
              <w:jc w:val="center"/>
              <w:rPr>
                <w:color w:val="000000" w:themeColor="text1"/>
                <w:sz w:val="20"/>
                <w:szCs w:val="20"/>
              </w:rPr>
            </w:pPr>
            <w:r>
              <w:rPr>
                <w:rFonts w:hint="eastAsia"/>
                <w:color w:val="000000" w:themeColor="text1"/>
                <w:sz w:val="20"/>
                <w:szCs w:val="20"/>
              </w:rPr>
              <w:t>30</w:t>
            </w:r>
          </w:p>
        </w:tc>
        <w:tc>
          <w:tcPr>
            <w:tcW w:w="1918" w:type="dxa"/>
            <w:shd w:val="clear" w:color="auto" w:fill="auto"/>
          </w:tcPr>
          <w:p w14:paraId="39DE84C8" w14:textId="77777777" w:rsidR="000574EE" w:rsidRDefault="00AC3F5F">
            <w:pPr>
              <w:spacing w:line="360" w:lineRule="auto"/>
              <w:jc w:val="center"/>
              <w:rPr>
                <w:color w:val="000000" w:themeColor="text1"/>
                <w:sz w:val="20"/>
                <w:szCs w:val="20"/>
              </w:rPr>
            </w:pPr>
            <w:r>
              <w:rPr>
                <w:color w:val="000000" w:themeColor="text1"/>
                <w:sz w:val="20"/>
                <w:szCs w:val="20"/>
              </w:rPr>
              <w:t>0.</w:t>
            </w:r>
            <w:r>
              <w:rPr>
                <w:rFonts w:hint="eastAsia"/>
                <w:color w:val="000000" w:themeColor="text1"/>
                <w:sz w:val="20"/>
                <w:szCs w:val="20"/>
              </w:rPr>
              <w:t>674</w:t>
            </w:r>
          </w:p>
        </w:tc>
        <w:tc>
          <w:tcPr>
            <w:tcW w:w="1335" w:type="dxa"/>
            <w:shd w:val="clear" w:color="auto" w:fill="F9F9FB"/>
          </w:tcPr>
          <w:p w14:paraId="2898BE1B" w14:textId="77777777" w:rsidR="000574EE" w:rsidRDefault="00AC3F5F">
            <w:pPr>
              <w:spacing w:line="360" w:lineRule="auto"/>
              <w:jc w:val="center"/>
              <w:rPr>
                <w:color w:val="000000" w:themeColor="text1"/>
                <w:sz w:val="20"/>
                <w:szCs w:val="20"/>
              </w:rPr>
            </w:pPr>
            <w:r>
              <w:rPr>
                <w:color w:val="000000" w:themeColor="text1"/>
                <w:sz w:val="20"/>
                <w:szCs w:val="20"/>
              </w:rPr>
              <w:t>Reliable</w:t>
            </w:r>
          </w:p>
        </w:tc>
      </w:tr>
    </w:tbl>
    <w:p w14:paraId="5546D5D5" w14:textId="77777777" w:rsidR="000574EE" w:rsidRDefault="000574EE">
      <w:pPr>
        <w:spacing w:line="360" w:lineRule="auto"/>
        <w:rPr>
          <w:b/>
          <w:bCs/>
          <w:i/>
          <w:iCs/>
          <w:color w:val="000000" w:themeColor="text1"/>
          <w:sz w:val="24"/>
          <w:szCs w:val="22"/>
        </w:rPr>
      </w:pPr>
    </w:p>
    <w:p w14:paraId="19863D60" w14:textId="0C181114" w:rsidR="000574EE" w:rsidRDefault="00AC3F5F">
      <w:pPr>
        <w:autoSpaceDE w:val="0"/>
        <w:autoSpaceDN w:val="0"/>
        <w:rPr>
          <w:rFonts w:eastAsia="SimHei" w:cs="Times New Roman"/>
          <w:bCs/>
          <w:color w:val="000000" w:themeColor="text1"/>
          <w:kern w:val="0"/>
          <w:sz w:val="24"/>
          <w:lang w:bidi="en-US"/>
        </w:rPr>
      </w:pPr>
      <w:r>
        <w:rPr>
          <w:rFonts w:eastAsia="SimHei" w:cs="Times New Roman" w:hint="eastAsia"/>
          <w:bCs/>
          <w:color w:val="000000" w:themeColor="text1"/>
          <w:kern w:val="0"/>
          <w:sz w:val="24"/>
          <w:lang w:bidi="en-US"/>
        </w:rPr>
        <w:t>Table 9 presents the domain-specific reliability analysis of the speaking anxiety questionnaire administered to non-English major undergraduate students. This questionnaire encompasses six domains: Interaction Anxiety, Audience Anxiety, Confidence Anxiety, Language Proficiency Anxiety, Negative Evaluation Anxiety, and Test Anxiety. The overall reliability of the 30-item scale was found to be acceptable, with a Cronbach</w:t>
      </w:r>
      <w:r>
        <w:rPr>
          <w:rFonts w:eastAsia="SimHei" w:cs="Times New Roman"/>
          <w:bCs/>
          <w:color w:val="000000" w:themeColor="text1"/>
          <w:kern w:val="0"/>
          <w:sz w:val="24"/>
          <w:lang w:bidi="en-US"/>
        </w:rPr>
        <w:t>’</w:t>
      </w:r>
      <w:r>
        <w:rPr>
          <w:rFonts w:eastAsia="SimHei" w:cs="Times New Roman" w:hint="eastAsia"/>
          <w:bCs/>
          <w:color w:val="000000" w:themeColor="text1"/>
          <w:kern w:val="0"/>
          <w:sz w:val="24"/>
          <w:lang w:bidi="en-US"/>
        </w:rPr>
        <w:t xml:space="preserve">s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of 0.674. Each of the six subscales demonstrated a reliability coefficient exceeding 0.6, indicating </w:t>
      </w:r>
      <w:r w:rsidR="00E9453A">
        <w:rPr>
          <w:rFonts w:eastAsia="SimHei" w:cs="Times New Roman"/>
          <w:bCs/>
          <w:color w:val="000000" w:themeColor="text1"/>
          <w:kern w:val="0"/>
          <w:sz w:val="24"/>
          <w:lang w:bidi="en-US"/>
        </w:rPr>
        <w:t>an</w:t>
      </w:r>
      <w:r>
        <w:rPr>
          <w:rFonts w:eastAsia="SimHei" w:cs="Times New Roman" w:hint="eastAsia"/>
          <w:bCs/>
          <w:color w:val="000000" w:themeColor="text1"/>
          <w:kern w:val="0"/>
          <w:sz w:val="24"/>
          <w:lang w:bidi="en-US"/>
        </w:rPr>
        <w:t xml:space="preserve"> acceptable reliability. Consequently, both the subscales and the full set of items were confirmed to be reliable.</w:t>
      </w:r>
    </w:p>
    <w:p w14:paraId="4DED3C0E" w14:textId="38423C1C" w:rsidR="000574EE" w:rsidRDefault="00AC3F5F">
      <w:pPr>
        <w:autoSpaceDE w:val="0"/>
        <w:autoSpaceDN w:val="0"/>
        <w:ind w:firstLineChars="300" w:firstLine="720"/>
        <w:rPr>
          <w:rFonts w:eastAsia="SimHei" w:cs="Times New Roman"/>
          <w:bCs/>
          <w:color w:val="000000" w:themeColor="text1"/>
          <w:kern w:val="0"/>
          <w:sz w:val="24"/>
          <w:lang w:bidi="en-US"/>
        </w:rPr>
      </w:pPr>
      <w:r>
        <w:rPr>
          <w:rFonts w:eastAsia="SimHei" w:cs="Times New Roman" w:hint="eastAsia"/>
          <w:bCs/>
          <w:color w:val="000000" w:themeColor="text1"/>
          <w:kern w:val="0"/>
          <w:sz w:val="24"/>
          <w:lang w:bidi="en-US"/>
        </w:rPr>
        <w:t xml:space="preserve">These findings align with the work of Horwitz et al. (1986), who developed and validated </w:t>
      </w:r>
      <w:r w:rsidR="00E9453A">
        <w:rPr>
          <w:rFonts w:eastAsia="SimHei" w:cs="Times New Roman"/>
          <w:bCs/>
          <w:color w:val="000000" w:themeColor="text1"/>
          <w:kern w:val="0"/>
          <w:sz w:val="24"/>
          <w:lang w:bidi="en-US"/>
        </w:rPr>
        <w:t>an</w:t>
      </w:r>
      <w:r>
        <w:rPr>
          <w:rFonts w:eastAsia="SimHei" w:cs="Times New Roman" w:hint="eastAsia"/>
          <w:bCs/>
          <w:color w:val="000000" w:themeColor="text1"/>
          <w:kern w:val="0"/>
          <w:sz w:val="24"/>
          <w:lang w:bidi="en-US"/>
        </w:rPr>
        <w:t xml:space="preserve"> FLCAS based on six anxiety domains, reporting a high Cronbach</w:t>
      </w:r>
      <w:r>
        <w:rPr>
          <w:rFonts w:eastAsia="SimHei" w:cs="Times New Roman"/>
          <w:bCs/>
          <w:color w:val="000000" w:themeColor="text1"/>
          <w:kern w:val="0"/>
          <w:sz w:val="24"/>
          <w:lang w:bidi="en-US"/>
        </w:rPr>
        <w:t>’</w:t>
      </w:r>
      <w:r>
        <w:rPr>
          <w:rFonts w:eastAsia="SimHei" w:cs="Times New Roman" w:hint="eastAsia"/>
          <w:bCs/>
          <w:color w:val="000000" w:themeColor="text1"/>
          <w:kern w:val="0"/>
          <w:sz w:val="24"/>
          <w:lang w:bidi="en-US"/>
        </w:rPr>
        <w:t xml:space="preserve">s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w:t>
      </w:r>
      <w:proofErr w:type="spellStart"/>
      <w:r>
        <w:rPr>
          <w:rFonts w:eastAsia="SimHei" w:cs="Times New Roman" w:hint="eastAsia"/>
          <w:bCs/>
          <w:color w:val="000000" w:themeColor="text1"/>
          <w:kern w:val="0"/>
          <w:sz w:val="24"/>
          <w:lang w:bidi="en-US"/>
        </w:rPr>
        <w:t>Kabigting</w:t>
      </w:r>
      <w:proofErr w:type="spellEnd"/>
      <w:r>
        <w:rPr>
          <w:rFonts w:eastAsia="SimHei" w:cs="Times New Roman" w:hint="eastAsia"/>
          <w:bCs/>
          <w:color w:val="000000" w:themeColor="text1"/>
          <w:kern w:val="0"/>
          <w:sz w:val="24"/>
          <w:lang w:bidi="en-US"/>
        </w:rPr>
        <w:t xml:space="preserve"> and </w:t>
      </w:r>
      <w:proofErr w:type="spellStart"/>
      <w:r>
        <w:rPr>
          <w:rFonts w:eastAsia="SimHei" w:cs="Times New Roman" w:hint="eastAsia"/>
          <w:bCs/>
          <w:color w:val="000000" w:themeColor="text1"/>
          <w:kern w:val="0"/>
          <w:sz w:val="24"/>
          <w:lang w:bidi="en-US"/>
        </w:rPr>
        <w:t>Nanud</w:t>
      </w:r>
      <w:proofErr w:type="spellEnd"/>
      <w:r>
        <w:rPr>
          <w:rFonts w:eastAsia="SimHei" w:cs="Times New Roman" w:hint="eastAsia"/>
          <w:bCs/>
          <w:color w:val="000000" w:themeColor="text1"/>
          <w:kern w:val="0"/>
          <w:sz w:val="24"/>
          <w:lang w:bidi="en-US"/>
        </w:rPr>
        <w:t xml:space="preserve"> (2020), building on Horwitz et al.</w:t>
      </w:r>
      <w:r>
        <w:rPr>
          <w:rFonts w:eastAsia="SimHei" w:cs="Times New Roman"/>
          <w:bCs/>
          <w:color w:val="000000" w:themeColor="text1"/>
          <w:kern w:val="0"/>
          <w:sz w:val="24"/>
          <w:lang w:bidi="en-US"/>
        </w:rPr>
        <w:t>’</w:t>
      </w:r>
      <w:r>
        <w:rPr>
          <w:rFonts w:eastAsia="SimHei" w:cs="Times New Roman" w:hint="eastAsia"/>
          <w:bCs/>
          <w:color w:val="000000" w:themeColor="text1"/>
          <w:kern w:val="0"/>
          <w:sz w:val="24"/>
          <w:lang w:bidi="en-US"/>
        </w:rPr>
        <w:t xml:space="preserve">s framework, reduced the questionnaire to 31 items and reported a similarly high reliability coefficient of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 0.87. </w:t>
      </w:r>
      <w:proofErr w:type="spellStart"/>
      <w:r>
        <w:rPr>
          <w:rFonts w:eastAsia="SimHei" w:cs="Times New Roman" w:hint="eastAsia"/>
          <w:bCs/>
          <w:color w:val="000000" w:themeColor="text1"/>
          <w:kern w:val="0"/>
          <w:sz w:val="24"/>
          <w:lang w:bidi="en-US"/>
        </w:rPr>
        <w:t>Paneerselvam</w:t>
      </w:r>
      <w:proofErr w:type="spellEnd"/>
      <w:r>
        <w:rPr>
          <w:rFonts w:eastAsia="SimHei" w:cs="Times New Roman" w:hint="eastAsia"/>
          <w:bCs/>
          <w:color w:val="000000" w:themeColor="text1"/>
          <w:kern w:val="0"/>
          <w:sz w:val="24"/>
          <w:lang w:bidi="en-US"/>
        </w:rPr>
        <w:t xml:space="preserve"> and </w:t>
      </w:r>
      <w:proofErr w:type="spellStart"/>
      <w:r>
        <w:rPr>
          <w:rFonts w:eastAsia="SimHei" w:cs="Times New Roman" w:hint="eastAsia"/>
          <w:bCs/>
          <w:color w:val="000000" w:themeColor="text1"/>
          <w:kern w:val="0"/>
          <w:sz w:val="24"/>
          <w:lang w:bidi="en-US"/>
        </w:rPr>
        <w:t>Yamat</w:t>
      </w:r>
      <w:proofErr w:type="spellEnd"/>
      <w:r>
        <w:rPr>
          <w:rFonts w:eastAsia="SimHei" w:cs="Times New Roman" w:hint="eastAsia"/>
          <w:bCs/>
          <w:color w:val="000000" w:themeColor="text1"/>
          <w:kern w:val="0"/>
          <w:sz w:val="24"/>
          <w:lang w:bidi="en-US"/>
        </w:rPr>
        <w:t xml:space="preserve"> (2021) further validated Horwitz et al.</w:t>
      </w:r>
      <w:r>
        <w:rPr>
          <w:rFonts w:eastAsia="SimHei" w:cs="Times New Roman"/>
          <w:bCs/>
          <w:color w:val="000000" w:themeColor="text1"/>
          <w:kern w:val="0"/>
          <w:sz w:val="24"/>
          <w:lang w:bidi="en-US"/>
        </w:rPr>
        <w:t>’</w:t>
      </w:r>
      <w:r>
        <w:rPr>
          <w:rFonts w:eastAsia="SimHei" w:cs="Times New Roman" w:hint="eastAsia"/>
          <w:bCs/>
          <w:color w:val="000000" w:themeColor="text1"/>
          <w:kern w:val="0"/>
          <w:sz w:val="24"/>
          <w:lang w:bidi="en-US"/>
        </w:rPr>
        <w:t>s instrument, achieving a Cronbach</w:t>
      </w:r>
      <w:r>
        <w:rPr>
          <w:rFonts w:eastAsia="SimHei" w:cs="Times New Roman"/>
          <w:bCs/>
          <w:color w:val="000000" w:themeColor="text1"/>
          <w:kern w:val="0"/>
          <w:sz w:val="24"/>
          <w:lang w:bidi="en-US"/>
        </w:rPr>
        <w:t>’</w:t>
      </w:r>
      <w:r>
        <w:rPr>
          <w:rFonts w:eastAsia="SimHei" w:cs="Times New Roman" w:hint="eastAsia"/>
          <w:bCs/>
          <w:color w:val="000000" w:themeColor="text1"/>
          <w:kern w:val="0"/>
          <w:sz w:val="24"/>
          <w:lang w:bidi="en-US"/>
        </w:rPr>
        <w:t xml:space="preserve">s alpha of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 0.894. The consistently high reliability across studies, including the current one, highlights the robustness of speaking anxiety questionnaires based on Horwitz et al. (1986)</w:t>
      </w:r>
      <w:r>
        <w:rPr>
          <w:rFonts w:eastAsia="SimHei" w:cs="Times New Roman"/>
          <w:bCs/>
          <w:color w:val="000000" w:themeColor="text1"/>
          <w:kern w:val="0"/>
          <w:sz w:val="24"/>
          <w:lang w:bidi="en-US"/>
        </w:rPr>
        <w:t>’</w:t>
      </w:r>
      <w:r>
        <w:rPr>
          <w:rFonts w:eastAsia="SimHei" w:cs="Times New Roman" w:hint="eastAsia"/>
          <w:bCs/>
          <w:color w:val="000000" w:themeColor="text1"/>
          <w:kern w:val="0"/>
          <w:sz w:val="24"/>
          <w:lang w:bidi="en-US"/>
        </w:rPr>
        <w:t>s work. This study reinforces the instrument</w:t>
      </w:r>
      <w:r>
        <w:rPr>
          <w:rFonts w:eastAsia="SimHei" w:cs="Times New Roman"/>
          <w:bCs/>
          <w:color w:val="000000" w:themeColor="text1"/>
          <w:kern w:val="0"/>
          <w:sz w:val="24"/>
          <w:lang w:bidi="en-US"/>
        </w:rPr>
        <w:t>’</w:t>
      </w:r>
      <w:r>
        <w:rPr>
          <w:rFonts w:eastAsia="SimHei" w:cs="Times New Roman" w:hint="eastAsia"/>
          <w:bCs/>
          <w:color w:val="000000" w:themeColor="text1"/>
          <w:kern w:val="0"/>
          <w:sz w:val="24"/>
          <w:lang w:bidi="en-US"/>
        </w:rPr>
        <w:t>s efficacy in reliably measuring speaking anxiety among non-English major students, thereby contributing to the broader literature.</w:t>
      </w:r>
    </w:p>
    <w:p w14:paraId="2125B70F" w14:textId="77777777" w:rsidR="000574EE" w:rsidRDefault="00AC3F5F">
      <w:pPr>
        <w:autoSpaceDE w:val="0"/>
        <w:autoSpaceDN w:val="0"/>
        <w:ind w:firstLineChars="300" w:firstLine="720"/>
        <w:rPr>
          <w:rFonts w:eastAsia="SimHei" w:cs="Times New Roman"/>
          <w:bCs/>
          <w:color w:val="0000FF"/>
          <w:kern w:val="0"/>
          <w:sz w:val="24"/>
          <w:lang w:bidi="en-US"/>
        </w:rPr>
      </w:pPr>
      <w:r>
        <w:rPr>
          <w:rFonts w:eastAsia="SimHei" w:cs="Times New Roman" w:hint="eastAsia"/>
          <w:bCs/>
          <w:color w:val="0000FF"/>
          <w:kern w:val="0"/>
          <w:sz w:val="24"/>
          <w:lang w:bidi="en-US"/>
        </w:rPr>
        <w:t>Table 10 presents the results of the KMO and Bartlett</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s Test for Speaking Anxiety, confirming the suitability of the data for factor analysis. The KMO value for Speaking Anxiety was 0.739, which falls within the </w:t>
      </w:r>
      <w:r>
        <w:rPr>
          <w:rFonts w:eastAsia="SimHei" w:cs="Times New Roman"/>
          <w:bCs/>
          <w:color w:val="0000FF"/>
          <w:kern w:val="0"/>
          <w:sz w:val="24"/>
          <w:lang w:bidi="en-US"/>
        </w:rPr>
        <w:t>“</w:t>
      </w:r>
      <w:r>
        <w:rPr>
          <w:rFonts w:eastAsia="SimHei" w:cs="Times New Roman" w:hint="eastAsia"/>
          <w:bCs/>
          <w:color w:val="0000FF"/>
          <w:kern w:val="0"/>
          <w:sz w:val="24"/>
          <w:lang w:bidi="en-US"/>
        </w:rPr>
        <w:t>middling</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 range according to Kaiser (1974), indicating an adequate level of sampling adequacy for factor analysis. Bartlett</w:t>
      </w:r>
      <w:r>
        <w:rPr>
          <w:rFonts w:eastAsia="SimHei" w:cs="Times New Roman"/>
          <w:bCs/>
          <w:color w:val="0000FF"/>
          <w:kern w:val="0"/>
          <w:sz w:val="24"/>
          <w:lang w:bidi="en-US"/>
        </w:rPr>
        <w:t>’</w:t>
      </w:r>
      <w:r>
        <w:rPr>
          <w:rFonts w:eastAsia="SimHei" w:cs="Times New Roman" w:hint="eastAsia"/>
          <w:bCs/>
          <w:color w:val="0000FF"/>
          <w:kern w:val="0"/>
          <w:sz w:val="24"/>
          <w:lang w:bidi="en-US"/>
        </w:rPr>
        <w:t>s Test of Sphericity was significant (Chi-Square = 45.55, df = 28, p &lt; 0.001), suggesting that there are sufficient correlations among the variables related to Speaking Anxiety to support the application of factor analysis.</w:t>
      </w:r>
    </w:p>
    <w:p w14:paraId="3EEC8959" w14:textId="77777777" w:rsidR="000574EE" w:rsidRDefault="000574EE">
      <w:pPr>
        <w:autoSpaceDE w:val="0"/>
        <w:autoSpaceDN w:val="0"/>
        <w:rPr>
          <w:rFonts w:eastAsia="SimHei" w:cs="Times New Roman"/>
          <w:bCs/>
          <w:color w:val="0000FF"/>
          <w:kern w:val="0"/>
          <w:sz w:val="24"/>
          <w:lang w:bidi="en-US"/>
        </w:rPr>
      </w:pPr>
    </w:p>
    <w:p w14:paraId="135DFF70" w14:textId="77777777" w:rsidR="000574EE" w:rsidRDefault="00AC3F5F">
      <w:pPr>
        <w:spacing w:line="360" w:lineRule="auto"/>
        <w:rPr>
          <w:color w:val="0000FF"/>
          <w:sz w:val="20"/>
          <w:szCs w:val="20"/>
        </w:rPr>
      </w:pPr>
      <w:r>
        <w:rPr>
          <w:rFonts w:hint="eastAsia"/>
          <w:color w:val="0000FF"/>
          <w:sz w:val="20"/>
          <w:szCs w:val="20"/>
        </w:rPr>
        <w:t xml:space="preserve">Table 10: KMO and Bartlett's Test on Speaking Anxiety </w:t>
      </w:r>
    </w:p>
    <w:tbl>
      <w:tblPr>
        <w:tblW w:w="4996" w:type="pct"/>
        <w:tblLook w:val="04A0" w:firstRow="1" w:lastRow="0" w:firstColumn="1" w:lastColumn="0" w:noHBand="0" w:noVBand="1"/>
      </w:tblPr>
      <w:tblGrid>
        <w:gridCol w:w="3651"/>
        <w:gridCol w:w="2510"/>
        <w:gridCol w:w="2904"/>
      </w:tblGrid>
      <w:tr w:rsidR="000574EE" w14:paraId="05A8513E" w14:textId="77777777">
        <w:trPr>
          <w:trHeight w:val="546"/>
        </w:trPr>
        <w:tc>
          <w:tcPr>
            <w:tcW w:w="3397" w:type="pct"/>
            <w:gridSpan w:val="2"/>
            <w:tcBorders>
              <w:top w:val="single" w:sz="4" w:space="0" w:color="auto"/>
              <w:left w:val="nil"/>
              <w:bottom w:val="single" w:sz="4" w:space="0" w:color="auto"/>
              <w:right w:val="nil"/>
            </w:tcBorders>
            <w:shd w:val="clear" w:color="auto" w:fill="auto"/>
          </w:tcPr>
          <w:p w14:paraId="181D38F1" w14:textId="77777777" w:rsidR="000574EE" w:rsidRDefault="00AC3F5F">
            <w:pPr>
              <w:spacing w:line="360" w:lineRule="auto"/>
              <w:jc w:val="right"/>
              <w:rPr>
                <w:rFonts w:eastAsia="SimHei"/>
                <w:bCs/>
                <w:color w:val="0000FF"/>
                <w:sz w:val="20"/>
                <w:szCs w:val="20"/>
              </w:rPr>
            </w:pPr>
            <w:r>
              <w:rPr>
                <w:rFonts w:eastAsia="SimSun" w:cs="Calibri" w:hint="eastAsia"/>
                <w:b/>
                <w:bCs/>
                <w:color w:val="0000FF"/>
                <w:kern w:val="0"/>
                <w:sz w:val="20"/>
                <w:szCs w:val="20"/>
                <w:lang w:bidi="ar"/>
              </w:rPr>
              <w:t>Kaiser-Meyer-Olkin Measure of Sampling Adequacy.</w:t>
            </w:r>
          </w:p>
        </w:tc>
        <w:tc>
          <w:tcPr>
            <w:tcW w:w="1602" w:type="pct"/>
            <w:tcBorders>
              <w:top w:val="single" w:sz="4" w:space="0" w:color="auto"/>
              <w:left w:val="nil"/>
              <w:bottom w:val="single" w:sz="4" w:space="0" w:color="auto"/>
              <w:right w:val="nil"/>
            </w:tcBorders>
            <w:shd w:val="clear" w:color="auto" w:fill="auto"/>
            <w:noWrap/>
            <w:vAlign w:val="center"/>
          </w:tcPr>
          <w:p w14:paraId="341E3371"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0.739</w:t>
            </w:r>
          </w:p>
        </w:tc>
      </w:tr>
      <w:tr w:rsidR="000574EE" w14:paraId="7D020F65" w14:textId="77777777">
        <w:trPr>
          <w:trHeight w:val="435"/>
        </w:trPr>
        <w:tc>
          <w:tcPr>
            <w:tcW w:w="2013" w:type="pct"/>
            <w:vMerge w:val="restart"/>
            <w:tcBorders>
              <w:top w:val="single" w:sz="4" w:space="0" w:color="auto"/>
              <w:left w:val="nil"/>
              <w:bottom w:val="nil"/>
              <w:right w:val="nil"/>
            </w:tcBorders>
            <w:shd w:val="clear" w:color="auto" w:fill="auto"/>
          </w:tcPr>
          <w:p w14:paraId="25416D2D" w14:textId="77777777" w:rsidR="000574EE" w:rsidRDefault="000574EE">
            <w:pPr>
              <w:spacing w:line="360" w:lineRule="auto"/>
              <w:jc w:val="right"/>
              <w:rPr>
                <w:rFonts w:eastAsia="SimSun" w:cs="Calibri"/>
                <w:b/>
                <w:bCs/>
                <w:color w:val="0000FF"/>
                <w:kern w:val="0"/>
                <w:sz w:val="20"/>
                <w:szCs w:val="20"/>
                <w:lang w:bidi="ar"/>
              </w:rPr>
            </w:pPr>
          </w:p>
          <w:p w14:paraId="5A060CEC" w14:textId="77777777" w:rsidR="000574EE" w:rsidRDefault="00AC3F5F">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Bartlett's Test of Sphericity</w:t>
            </w:r>
          </w:p>
        </w:tc>
        <w:tc>
          <w:tcPr>
            <w:tcW w:w="1384" w:type="pct"/>
            <w:tcBorders>
              <w:top w:val="single" w:sz="4" w:space="0" w:color="auto"/>
              <w:left w:val="nil"/>
              <w:bottom w:val="nil"/>
              <w:right w:val="nil"/>
            </w:tcBorders>
            <w:shd w:val="clear" w:color="auto" w:fill="auto"/>
          </w:tcPr>
          <w:p w14:paraId="352A8EB4" w14:textId="77777777" w:rsidR="000574EE" w:rsidRDefault="00AC3F5F">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Approx. Chi-Square</w:t>
            </w:r>
          </w:p>
        </w:tc>
        <w:tc>
          <w:tcPr>
            <w:tcW w:w="1602" w:type="pct"/>
            <w:tcBorders>
              <w:top w:val="single" w:sz="4" w:space="0" w:color="auto"/>
              <w:left w:val="nil"/>
              <w:bottom w:val="nil"/>
              <w:right w:val="nil"/>
            </w:tcBorders>
            <w:shd w:val="clear" w:color="auto" w:fill="F9F9FB"/>
          </w:tcPr>
          <w:p w14:paraId="3CB1687B"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45.55</w:t>
            </w:r>
          </w:p>
        </w:tc>
      </w:tr>
      <w:tr w:rsidR="000574EE" w14:paraId="72438199" w14:textId="77777777">
        <w:trPr>
          <w:trHeight w:val="351"/>
        </w:trPr>
        <w:tc>
          <w:tcPr>
            <w:tcW w:w="2013" w:type="pct"/>
            <w:vMerge/>
            <w:tcBorders>
              <w:top w:val="nil"/>
              <w:left w:val="nil"/>
              <w:bottom w:val="nil"/>
              <w:right w:val="nil"/>
            </w:tcBorders>
            <w:shd w:val="clear" w:color="auto" w:fill="auto"/>
          </w:tcPr>
          <w:p w14:paraId="5315984A" w14:textId="77777777" w:rsidR="000574EE" w:rsidRDefault="000574EE">
            <w:pPr>
              <w:spacing w:line="360" w:lineRule="auto"/>
              <w:jc w:val="right"/>
              <w:rPr>
                <w:rFonts w:eastAsia="SimSun" w:cs="Calibri"/>
                <w:b/>
                <w:bCs/>
                <w:color w:val="0000FF"/>
                <w:kern w:val="0"/>
                <w:sz w:val="20"/>
                <w:szCs w:val="20"/>
                <w:lang w:bidi="ar"/>
              </w:rPr>
            </w:pPr>
          </w:p>
        </w:tc>
        <w:tc>
          <w:tcPr>
            <w:tcW w:w="1384" w:type="pct"/>
            <w:tcBorders>
              <w:top w:val="nil"/>
              <w:left w:val="nil"/>
              <w:bottom w:val="nil"/>
              <w:right w:val="nil"/>
            </w:tcBorders>
            <w:shd w:val="clear" w:color="auto" w:fill="auto"/>
          </w:tcPr>
          <w:p w14:paraId="7E803FCC" w14:textId="77777777" w:rsidR="000574EE" w:rsidRDefault="00AC3F5F">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df</w:t>
            </w:r>
          </w:p>
        </w:tc>
        <w:tc>
          <w:tcPr>
            <w:tcW w:w="1602" w:type="pct"/>
            <w:tcBorders>
              <w:top w:val="nil"/>
              <w:left w:val="nil"/>
              <w:bottom w:val="nil"/>
              <w:right w:val="nil"/>
            </w:tcBorders>
            <w:shd w:val="clear" w:color="auto" w:fill="F9F9FB"/>
          </w:tcPr>
          <w:p w14:paraId="191C6B0D"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28</w:t>
            </w:r>
          </w:p>
        </w:tc>
      </w:tr>
      <w:tr w:rsidR="000574EE" w14:paraId="3A500468" w14:textId="77777777">
        <w:trPr>
          <w:trHeight w:val="108"/>
        </w:trPr>
        <w:tc>
          <w:tcPr>
            <w:tcW w:w="2013" w:type="pct"/>
            <w:vMerge/>
            <w:tcBorders>
              <w:top w:val="nil"/>
              <w:left w:val="nil"/>
              <w:bottom w:val="single" w:sz="4" w:space="0" w:color="auto"/>
              <w:right w:val="nil"/>
            </w:tcBorders>
            <w:shd w:val="clear" w:color="auto" w:fill="auto"/>
          </w:tcPr>
          <w:p w14:paraId="22CFCD69" w14:textId="77777777" w:rsidR="000574EE" w:rsidRDefault="000574EE">
            <w:pPr>
              <w:spacing w:line="360" w:lineRule="auto"/>
              <w:jc w:val="right"/>
              <w:rPr>
                <w:rFonts w:eastAsia="SimHei"/>
                <w:bCs/>
                <w:color w:val="0000FF"/>
                <w:sz w:val="20"/>
                <w:szCs w:val="20"/>
              </w:rPr>
            </w:pPr>
          </w:p>
        </w:tc>
        <w:tc>
          <w:tcPr>
            <w:tcW w:w="1384" w:type="pct"/>
            <w:tcBorders>
              <w:top w:val="nil"/>
              <w:left w:val="nil"/>
              <w:bottom w:val="single" w:sz="4" w:space="0" w:color="auto"/>
              <w:right w:val="nil"/>
            </w:tcBorders>
            <w:shd w:val="clear" w:color="auto" w:fill="auto"/>
          </w:tcPr>
          <w:p w14:paraId="1907EE51" w14:textId="77777777" w:rsidR="000574EE" w:rsidRDefault="00AC3F5F">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Sig.</w:t>
            </w:r>
          </w:p>
        </w:tc>
        <w:tc>
          <w:tcPr>
            <w:tcW w:w="1602" w:type="pct"/>
            <w:tcBorders>
              <w:top w:val="nil"/>
              <w:left w:val="nil"/>
              <w:bottom w:val="single" w:sz="4" w:space="0" w:color="auto"/>
              <w:right w:val="nil"/>
            </w:tcBorders>
            <w:shd w:val="clear" w:color="auto" w:fill="F9F9FB"/>
          </w:tcPr>
          <w:p w14:paraId="604E639A"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&lt; 0.001</w:t>
            </w:r>
          </w:p>
        </w:tc>
      </w:tr>
    </w:tbl>
    <w:p w14:paraId="2AC5CE1E" w14:textId="77777777" w:rsidR="000574EE" w:rsidRDefault="000574EE">
      <w:pPr>
        <w:autoSpaceDE w:val="0"/>
        <w:autoSpaceDN w:val="0"/>
        <w:rPr>
          <w:rFonts w:eastAsia="SimHei" w:cs="Times New Roman"/>
          <w:bCs/>
          <w:color w:val="000000" w:themeColor="text1"/>
          <w:kern w:val="0"/>
          <w:sz w:val="24"/>
          <w:lang w:bidi="en-US"/>
        </w:rPr>
      </w:pPr>
    </w:p>
    <w:p w14:paraId="0181218E" w14:textId="77777777" w:rsidR="000574EE" w:rsidRDefault="00AC3F5F">
      <w:pPr>
        <w:spacing w:line="360" w:lineRule="auto"/>
        <w:rPr>
          <w:b/>
          <w:bCs/>
          <w:i/>
          <w:iCs/>
          <w:color w:val="000000" w:themeColor="text1"/>
          <w:sz w:val="24"/>
          <w:szCs w:val="22"/>
        </w:rPr>
      </w:pPr>
      <w:r>
        <w:rPr>
          <w:rFonts w:hint="eastAsia"/>
          <w:b/>
          <w:bCs/>
          <w:i/>
          <w:iCs/>
          <w:color w:val="000000" w:themeColor="text1"/>
          <w:sz w:val="24"/>
          <w:szCs w:val="22"/>
        </w:rPr>
        <w:t>Learning Motivation</w:t>
      </w:r>
      <w:r>
        <w:rPr>
          <w:b/>
          <w:bCs/>
          <w:i/>
          <w:iCs/>
          <w:color w:val="000000" w:themeColor="text1"/>
          <w:sz w:val="24"/>
          <w:szCs w:val="22"/>
        </w:rPr>
        <w:t xml:space="preserve"> Questionnaire</w:t>
      </w:r>
    </w:p>
    <w:p w14:paraId="51F0F118" w14:textId="77777777" w:rsidR="000574EE" w:rsidRDefault="00AC3F5F">
      <w:pPr>
        <w:spacing w:line="360" w:lineRule="auto"/>
        <w:rPr>
          <w:color w:val="000000" w:themeColor="text1"/>
          <w:sz w:val="20"/>
          <w:szCs w:val="20"/>
        </w:rPr>
      </w:pPr>
      <w:r>
        <w:rPr>
          <w:color w:val="000000" w:themeColor="text1"/>
          <w:sz w:val="20"/>
          <w:szCs w:val="20"/>
        </w:rPr>
        <w:t xml:space="preserve">Table </w:t>
      </w:r>
      <w:r>
        <w:rPr>
          <w:rFonts w:hint="eastAsia"/>
          <w:color w:val="000000" w:themeColor="text1"/>
          <w:sz w:val="20"/>
          <w:szCs w:val="20"/>
        </w:rPr>
        <w:t xml:space="preserve">11: </w:t>
      </w:r>
      <w:r>
        <w:rPr>
          <w:color w:val="000000" w:themeColor="text1"/>
          <w:sz w:val="20"/>
          <w:szCs w:val="20"/>
        </w:rPr>
        <w:t xml:space="preserve">Reliability of </w:t>
      </w:r>
      <w:r>
        <w:rPr>
          <w:rFonts w:hint="eastAsia"/>
          <w:color w:val="000000" w:themeColor="text1"/>
          <w:sz w:val="20"/>
          <w:szCs w:val="20"/>
        </w:rPr>
        <w:t>q</w:t>
      </w:r>
      <w:r>
        <w:rPr>
          <w:color w:val="000000" w:themeColor="text1"/>
          <w:sz w:val="20"/>
          <w:szCs w:val="20"/>
        </w:rPr>
        <w:t xml:space="preserve">uestionnaire on </w:t>
      </w:r>
      <w:r>
        <w:rPr>
          <w:rFonts w:hint="eastAsia"/>
          <w:color w:val="000000" w:themeColor="text1"/>
          <w:sz w:val="20"/>
          <w:szCs w:val="20"/>
        </w:rPr>
        <w:t>learning motivation</w:t>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39"/>
        <w:gridCol w:w="3190"/>
        <w:gridCol w:w="1868"/>
        <w:gridCol w:w="1915"/>
        <w:gridCol w:w="1496"/>
      </w:tblGrid>
      <w:tr w:rsidR="000574EE" w14:paraId="55CF2AE6" w14:textId="77777777">
        <w:trPr>
          <w:trHeight w:val="655"/>
          <w:jc w:val="center"/>
        </w:trPr>
        <w:tc>
          <w:tcPr>
            <w:tcW w:w="339" w:type="dxa"/>
            <w:tcBorders>
              <w:bottom w:val="single" w:sz="4" w:space="0" w:color="auto"/>
            </w:tcBorders>
            <w:shd w:val="clear" w:color="auto" w:fill="auto"/>
            <w:noWrap/>
            <w:vAlign w:val="center"/>
          </w:tcPr>
          <w:p w14:paraId="235DFB84" w14:textId="77777777" w:rsidR="000574EE" w:rsidRDefault="000574EE">
            <w:pPr>
              <w:spacing w:line="360" w:lineRule="auto"/>
              <w:jc w:val="center"/>
              <w:rPr>
                <w:color w:val="000000" w:themeColor="text1"/>
                <w:sz w:val="22"/>
                <w:szCs w:val="22"/>
              </w:rPr>
            </w:pPr>
          </w:p>
        </w:tc>
        <w:tc>
          <w:tcPr>
            <w:tcW w:w="3190" w:type="dxa"/>
            <w:tcBorders>
              <w:bottom w:val="single" w:sz="4" w:space="0" w:color="auto"/>
            </w:tcBorders>
            <w:shd w:val="clear" w:color="auto" w:fill="auto"/>
            <w:noWrap/>
            <w:vAlign w:val="center"/>
          </w:tcPr>
          <w:p w14:paraId="6786B511" w14:textId="77777777" w:rsidR="000574EE" w:rsidRDefault="00AC3F5F">
            <w:pPr>
              <w:spacing w:line="360" w:lineRule="auto"/>
              <w:jc w:val="center"/>
              <w:rPr>
                <w:b/>
                <w:bCs/>
                <w:color w:val="000000" w:themeColor="text1"/>
                <w:sz w:val="20"/>
                <w:szCs w:val="20"/>
              </w:rPr>
            </w:pPr>
            <w:r>
              <w:rPr>
                <w:rFonts w:hint="eastAsia"/>
                <w:b/>
                <w:bCs/>
                <w:color w:val="000000" w:themeColor="text1"/>
                <w:sz w:val="20"/>
                <w:szCs w:val="20"/>
              </w:rPr>
              <w:t>S</w:t>
            </w:r>
            <w:r>
              <w:rPr>
                <w:b/>
                <w:bCs/>
                <w:color w:val="000000" w:themeColor="text1"/>
                <w:sz w:val="20"/>
                <w:szCs w:val="20"/>
              </w:rPr>
              <w:t xml:space="preserve">peaking </w:t>
            </w:r>
            <w:r>
              <w:rPr>
                <w:rFonts w:hint="eastAsia"/>
                <w:b/>
                <w:bCs/>
                <w:color w:val="000000" w:themeColor="text1"/>
                <w:sz w:val="20"/>
                <w:szCs w:val="20"/>
              </w:rPr>
              <w:t>S</w:t>
            </w:r>
            <w:r>
              <w:rPr>
                <w:b/>
                <w:bCs/>
                <w:color w:val="000000" w:themeColor="text1"/>
                <w:sz w:val="20"/>
                <w:szCs w:val="20"/>
              </w:rPr>
              <w:t>trategies Subscales</w:t>
            </w:r>
          </w:p>
        </w:tc>
        <w:tc>
          <w:tcPr>
            <w:tcW w:w="1868" w:type="dxa"/>
            <w:tcBorders>
              <w:bottom w:val="single" w:sz="4" w:space="0" w:color="auto"/>
            </w:tcBorders>
            <w:shd w:val="clear" w:color="auto" w:fill="auto"/>
            <w:vAlign w:val="center"/>
          </w:tcPr>
          <w:p w14:paraId="35DD3D45" w14:textId="77777777" w:rsidR="000574EE" w:rsidRDefault="00AC3F5F">
            <w:pPr>
              <w:spacing w:line="360" w:lineRule="auto"/>
              <w:jc w:val="center"/>
              <w:rPr>
                <w:b/>
                <w:bCs/>
                <w:color w:val="000000" w:themeColor="text1"/>
                <w:sz w:val="20"/>
                <w:szCs w:val="20"/>
              </w:rPr>
            </w:pPr>
            <w:r>
              <w:rPr>
                <w:b/>
                <w:bCs/>
                <w:color w:val="000000" w:themeColor="text1"/>
                <w:sz w:val="20"/>
                <w:szCs w:val="20"/>
              </w:rPr>
              <w:t>Number of Items</w:t>
            </w:r>
          </w:p>
        </w:tc>
        <w:tc>
          <w:tcPr>
            <w:tcW w:w="1915" w:type="dxa"/>
            <w:tcBorders>
              <w:bottom w:val="single" w:sz="4" w:space="0" w:color="auto"/>
            </w:tcBorders>
            <w:shd w:val="clear" w:color="auto" w:fill="auto"/>
            <w:vAlign w:val="center"/>
          </w:tcPr>
          <w:p w14:paraId="03844FB8" w14:textId="77777777" w:rsidR="000574EE" w:rsidRDefault="00AC3F5F">
            <w:pPr>
              <w:spacing w:line="360" w:lineRule="auto"/>
              <w:jc w:val="center"/>
              <w:rPr>
                <w:b/>
                <w:bCs/>
                <w:color w:val="000000" w:themeColor="text1"/>
                <w:sz w:val="20"/>
                <w:szCs w:val="20"/>
              </w:rPr>
            </w:pPr>
            <w:r>
              <w:rPr>
                <w:b/>
                <w:bCs/>
                <w:color w:val="000000" w:themeColor="text1"/>
                <w:sz w:val="20"/>
                <w:szCs w:val="20"/>
              </w:rPr>
              <w:t>Cronbach’s Alpha</w:t>
            </w:r>
          </w:p>
        </w:tc>
        <w:tc>
          <w:tcPr>
            <w:tcW w:w="1496" w:type="dxa"/>
            <w:tcBorders>
              <w:bottom w:val="single" w:sz="4" w:space="0" w:color="auto"/>
            </w:tcBorders>
            <w:shd w:val="clear" w:color="auto" w:fill="FFFFFF"/>
            <w:vAlign w:val="center"/>
          </w:tcPr>
          <w:p w14:paraId="05F2FC8C" w14:textId="77777777" w:rsidR="000574EE" w:rsidRDefault="00AC3F5F">
            <w:pPr>
              <w:spacing w:line="360" w:lineRule="auto"/>
              <w:jc w:val="center"/>
              <w:rPr>
                <w:b/>
                <w:bCs/>
                <w:color w:val="000000" w:themeColor="text1"/>
                <w:sz w:val="20"/>
                <w:szCs w:val="20"/>
              </w:rPr>
            </w:pPr>
            <w:r>
              <w:rPr>
                <w:b/>
                <w:bCs/>
                <w:color w:val="000000" w:themeColor="text1"/>
                <w:sz w:val="20"/>
                <w:szCs w:val="20"/>
              </w:rPr>
              <w:t>Reliability</w:t>
            </w:r>
          </w:p>
        </w:tc>
      </w:tr>
      <w:tr w:rsidR="000574EE" w14:paraId="3870FAD4" w14:textId="77777777">
        <w:trPr>
          <w:trHeight w:val="351"/>
          <w:jc w:val="center"/>
        </w:trPr>
        <w:tc>
          <w:tcPr>
            <w:tcW w:w="339" w:type="dxa"/>
            <w:tcBorders>
              <w:top w:val="single" w:sz="4" w:space="0" w:color="auto"/>
            </w:tcBorders>
            <w:shd w:val="clear" w:color="auto" w:fill="auto"/>
          </w:tcPr>
          <w:p w14:paraId="07ADA18F" w14:textId="77777777" w:rsidR="000574EE" w:rsidRDefault="00AC3F5F">
            <w:pPr>
              <w:spacing w:line="360" w:lineRule="auto"/>
              <w:rPr>
                <w:color w:val="000000" w:themeColor="text1"/>
                <w:sz w:val="20"/>
                <w:szCs w:val="20"/>
              </w:rPr>
            </w:pPr>
            <w:r>
              <w:rPr>
                <w:color w:val="000000" w:themeColor="text1"/>
                <w:sz w:val="20"/>
                <w:szCs w:val="20"/>
              </w:rPr>
              <w:t>1</w:t>
            </w:r>
          </w:p>
        </w:tc>
        <w:tc>
          <w:tcPr>
            <w:tcW w:w="3190" w:type="dxa"/>
            <w:tcBorders>
              <w:top w:val="single" w:sz="4" w:space="0" w:color="auto"/>
            </w:tcBorders>
            <w:shd w:val="clear" w:color="auto" w:fill="auto"/>
          </w:tcPr>
          <w:p w14:paraId="2B1BA2EC" w14:textId="77777777" w:rsidR="000574EE" w:rsidRDefault="00AC3F5F">
            <w:pPr>
              <w:spacing w:line="360" w:lineRule="auto"/>
              <w:rPr>
                <w:color w:val="000000" w:themeColor="text1"/>
                <w:sz w:val="20"/>
                <w:szCs w:val="20"/>
              </w:rPr>
            </w:pPr>
            <w:r>
              <w:rPr>
                <w:rFonts w:hint="eastAsia"/>
                <w:color w:val="000000" w:themeColor="text1"/>
                <w:sz w:val="20"/>
                <w:szCs w:val="20"/>
              </w:rPr>
              <w:t>Intrinsic Motivation</w:t>
            </w:r>
          </w:p>
        </w:tc>
        <w:tc>
          <w:tcPr>
            <w:tcW w:w="1868" w:type="dxa"/>
            <w:tcBorders>
              <w:top w:val="single" w:sz="4" w:space="0" w:color="auto"/>
            </w:tcBorders>
            <w:shd w:val="clear" w:color="auto" w:fill="auto"/>
          </w:tcPr>
          <w:p w14:paraId="5E460582" w14:textId="77777777" w:rsidR="000574EE" w:rsidRDefault="00AC3F5F">
            <w:pPr>
              <w:spacing w:line="360" w:lineRule="auto"/>
              <w:jc w:val="center"/>
              <w:rPr>
                <w:color w:val="000000" w:themeColor="text1"/>
                <w:sz w:val="20"/>
                <w:szCs w:val="20"/>
              </w:rPr>
            </w:pPr>
            <w:r>
              <w:rPr>
                <w:rFonts w:hint="eastAsia"/>
                <w:color w:val="000000" w:themeColor="text1"/>
                <w:sz w:val="20"/>
                <w:szCs w:val="20"/>
              </w:rPr>
              <w:t>6</w:t>
            </w:r>
          </w:p>
        </w:tc>
        <w:tc>
          <w:tcPr>
            <w:tcW w:w="1915" w:type="dxa"/>
            <w:tcBorders>
              <w:top w:val="single" w:sz="4" w:space="0" w:color="auto"/>
            </w:tcBorders>
            <w:shd w:val="clear" w:color="auto" w:fill="auto"/>
          </w:tcPr>
          <w:p w14:paraId="3F4E3AE5" w14:textId="77777777" w:rsidR="000574EE" w:rsidRDefault="00AC3F5F">
            <w:pPr>
              <w:spacing w:line="360" w:lineRule="auto"/>
              <w:jc w:val="center"/>
              <w:rPr>
                <w:color w:val="000000" w:themeColor="text1"/>
                <w:sz w:val="20"/>
                <w:szCs w:val="20"/>
              </w:rPr>
            </w:pPr>
            <w:r>
              <w:rPr>
                <w:rFonts w:hint="eastAsia"/>
                <w:color w:val="000000" w:themeColor="text1"/>
                <w:sz w:val="20"/>
                <w:szCs w:val="20"/>
              </w:rPr>
              <w:t>0.745</w:t>
            </w:r>
          </w:p>
        </w:tc>
        <w:tc>
          <w:tcPr>
            <w:tcW w:w="1496" w:type="dxa"/>
            <w:tcBorders>
              <w:top w:val="single" w:sz="4" w:space="0" w:color="auto"/>
            </w:tcBorders>
            <w:shd w:val="clear" w:color="auto" w:fill="F9F9FB"/>
          </w:tcPr>
          <w:p w14:paraId="373647E5" w14:textId="77777777" w:rsidR="000574EE" w:rsidRDefault="00AC3F5F">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6E1998E9" w14:textId="77777777">
        <w:trPr>
          <w:trHeight w:val="351"/>
          <w:jc w:val="center"/>
        </w:trPr>
        <w:tc>
          <w:tcPr>
            <w:tcW w:w="339" w:type="dxa"/>
            <w:shd w:val="clear" w:color="auto" w:fill="auto"/>
          </w:tcPr>
          <w:p w14:paraId="61535A4D" w14:textId="77777777" w:rsidR="000574EE" w:rsidRDefault="00AC3F5F">
            <w:pPr>
              <w:spacing w:line="360" w:lineRule="auto"/>
              <w:rPr>
                <w:color w:val="000000" w:themeColor="text1"/>
                <w:sz w:val="20"/>
                <w:szCs w:val="20"/>
              </w:rPr>
            </w:pPr>
            <w:r>
              <w:rPr>
                <w:color w:val="000000" w:themeColor="text1"/>
                <w:sz w:val="20"/>
                <w:szCs w:val="20"/>
              </w:rPr>
              <w:t>2</w:t>
            </w:r>
          </w:p>
        </w:tc>
        <w:tc>
          <w:tcPr>
            <w:tcW w:w="3190" w:type="dxa"/>
            <w:shd w:val="clear" w:color="auto" w:fill="auto"/>
          </w:tcPr>
          <w:p w14:paraId="55BC1A28" w14:textId="77777777" w:rsidR="000574EE" w:rsidRDefault="00AC3F5F">
            <w:pPr>
              <w:spacing w:line="360" w:lineRule="auto"/>
              <w:rPr>
                <w:color w:val="000000" w:themeColor="text1"/>
                <w:sz w:val="20"/>
                <w:szCs w:val="20"/>
              </w:rPr>
            </w:pPr>
            <w:r>
              <w:rPr>
                <w:rFonts w:hint="eastAsia"/>
                <w:color w:val="000000" w:themeColor="text1"/>
                <w:sz w:val="20"/>
                <w:szCs w:val="20"/>
              </w:rPr>
              <w:t>Amotivation</w:t>
            </w:r>
          </w:p>
        </w:tc>
        <w:tc>
          <w:tcPr>
            <w:tcW w:w="1868" w:type="dxa"/>
            <w:shd w:val="clear" w:color="auto" w:fill="auto"/>
          </w:tcPr>
          <w:p w14:paraId="2C4456BC" w14:textId="77777777" w:rsidR="000574EE" w:rsidRDefault="00AC3F5F">
            <w:pPr>
              <w:spacing w:line="360" w:lineRule="auto"/>
              <w:jc w:val="center"/>
              <w:rPr>
                <w:color w:val="000000" w:themeColor="text1"/>
                <w:sz w:val="20"/>
                <w:szCs w:val="20"/>
              </w:rPr>
            </w:pPr>
            <w:r>
              <w:rPr>
                <w:rFonts w:hint="eastAsia"/>
                <w:color w:val="000000" w:themeColor="text1"/>
                <w:sz w:val="20"/>
                <w:szCs w:val="20"/>
              </w:rPr>
              <w:t>6</w:t>
            </w:r>
          </w:p>
        </w:tc>
        <w:tc>
          <w:tcPr>
            <w:tcW w:w="1915" w:type="dxa"/>
            <w:shd w:val="clear" w:color="auto" w:fill="auto"/>
          </w:tcPr>
          <w:p w14:paraId="54C03AD8" w14:textId="77777777" w:rsidR="000574EE" w:rsidRDefault="00AC3F5F">
            <w:pPr>
              <w:spacing w:line="360" w:lineRule="auto"/>
              <w:jc w:val="center"/>
              <w:rPr>
                <w:color w:val="000000" w:themeColor="text1"/>
                <w:sz w:val="20"/>
                <w:szCs w:val="20"/>
              </w:rPr>
            </w:pPr>
            <w:r>
              <w:rPr>
                <w:rFonts w:hint="eastAsia"/>
                <w:color w:val="000000" w:themeColor="text1"/>
                <w:sz w:val="20"/>
                <w:szCs w:val="20"/>
              </w:rPr>
              <w:t>0.684</w:t>
            </w:r>
          </w:p>
        </w:tc>
        <w:tc>
          <w:tcPr>
            <w:tcW w:w="1496" w:type="dxa"/>
            <w:shd w:val="clear" w:color="auto" w:fill="F9F9FB"/>
          </w:tcPr>
          <w:p w14:paraId="6D9E546C" w14:textId="77777777" w:rsidR="000574EE" w:rsidRDefault="00AC3F5F">
            <w:pPr>
              <w:spacing w:line="360" w:lineRule="auto"/>
              <w:jc w:val="center"/>
              <w:rPr>
                <w:color w:val="000000" w:themeColor="text1"/>
                <w:sz w:val="20"/>
                <w:szCs w:val="20"/>
              </w:rPr>
            </w:pPr>
            <w:r>
              <w:rPr>
                <w:color w:val="000000" w:themeColor="text1"/>
                <w:sz w:val="20"/>
                <w:szCs w:val="20"/>
              </w:rPr>
              <w:t>Reliable</w:t>
            </w:r>
          </w:p>
        </w:tc>
      </w:tr>
      <w:tr w:rsidR="000574EE" w14:paraId="63A5F1C7" w14:textId="77777777">
        <w:trPr>
          <w:trHeight w:val="351"/>
          <w:jc w:val="center"/>
        </w:trPr>
        <w:tc>
          <w:tcPr>
            <w:tcW w:w="339" w:type="dxa"/>
            <w:shd w:val="clear" w:color="auto" w:fill="auto"/>
          </w:tcPr>
          <w:p w14:paraId="670C0F37" w14:textId="77777777" w:rsidR="000574EE" w:rsidRDefault="00AC3F5F">
            <w:pPr>
              <w:spacing w:line="360" w:lineRule="auto"/>
              <w:rPr>
                <w:color w:val="000000" w:themeColor="text1"/>
                <w:sz w:val="20"/>
                <w:szCs w:val="20"/>
              </w:rPr>
            </w:pPr>
            <w:r>
              <w:rPr>
                <w:color w:val="000000" w:themeColor="text1"/>
                <w:sz w:val="20"/>
                <w:szCs w:val="20"/>
              </w:rPr>
              <w:t>3</w:t>
            </w:r>
          </w:p>
        </w:tc>
        <w:tc>
          <w:tcPr>
            <w:tcW w:w="3190" w:type="dxa"/>
            <w:shd w:val="clear" w:color="auto" w:fill="auto"/>
          </w:tcPr>
          <w:p w14:paraId="54B09276" w14:textId="77777777" w:rsidR="000574EE" w:rsidRDefault="00AC3F5F">
            <w:pPr>
              <w:spacing w:line="360" w:lineRule="auto"/>
              <w:rPr>
                <w:color w:val="000000" w:themeColor="text1"/>
                <w:sz w:val="20"/>
                <w:szCs w:val="20"/>
              </w:rPr>
            </w:pPr>
            <w:r>
              <w:rPr>
                <w:rFonts w:hint="eastAsia"/>
                <w:color w:val="000000" w:themeColor="text1"/>
                <w:sz w:val="20"/>
                <w:szCs w:val="20"/>
              </w:rPr>
              <w:t>External Motivation - Career</w:t>
            </w:r>
          </w:p>
        </w:tc>
        <w:tc>
          <w:tcPr>
            <w:tcW w:w="1868" w:type="dxa"/>
            <w:shd w:val="clear" w:color="auto" w:fill="auto"/>
          </w:tcPr>
          <w:p w14:paraId="14EF9EC6" w14:textId="77777777" w:rsidR="000574EE" w:rsidRDefault="00AC3F5F">
            <w:pPr>
              <w:spacing w:line="360" w:lineRule="auto"/>
              <w:jc w:val="center"/>
              <w:rPr>
                <w:color w:val="000000" w:themeColor="text1"/>
                <w:sz w:val="20"/>
                <w:szCs w:val="20"/>
              </w:rPr>
            </w:pPr>
            <w:r>
              <w:rPr>
                <w:color w:val="000000" w:themeColor="text1"/>
                <w:sz w:val="20"/>
                <w:szCs w:val="20"/>
              </w:rPr>
              <w:t>5</w:t>
            </w:r>
          </w:p>
        </w:tc>
        <w:tc>
          <w:tcPr>
            <w:tcW w:w="1915" w:type="dxa"/>
            <w:shd w:val="clear" w:color="auto" w:fill="auto"/>
          </w:tcPr>
          <w:p w14:paraId="47AAC69B" w14:textId="77777777" w:rsidR="000574EE" w:rsidRDefault="00AC3F5F">
            <w:pPr>
              <w:spacing w:line="360" w:lineRule="auto"/>
              <w:jc w:val="center"/>
              <w:rPr>
                <w:color w:val="000000" w:themeColor="text1"/>
                <w:sz w:val="20"/>
                <w:szCs w:val="20"/>
              </w:rPr>
            </w:pPr>
            <w:r>
              <w:rPr>
                <w:rFonts w:hint="eastAsia"/>
                <w:color w:val="000000" w:themeColor="text1"/>
                <w:sz w:val="20"/>
                <w:szCs w:val="20"/>
              </w:rPr>
              <w:t>0.694</w:t>
            </w:r>
          </w:p>
        </w:tc>
        <w:tc>
          <w:tcPr>
            <w:tcW w:w="1496" w:type="dxa"/>
            <w:shd w:val="clear" w:color="auto" w:fill="F9F9FB"/>
          </w:tcPr>
          <w:p w14:paraId="7D91F661" w14:textId="77777777" w:rsidR="000574EE" w:rsidRDefault="00AC3F5F">
            <w:pPr>
              <w:spacing w:line="360" w:lineRule="auto"/>
              <w:jc w:val="center"/>
              <w:rPr>
                <w:color w:val="000000" w:themeColor="text1"/>
                <w:sz w:val="20"/>
                <w:szCs w:val="20"/>
              </w:rPr>
            </w:pPr>
            <w:r>
              <w:rPr>
                <w:color w:val="000000" w:themeColor="text1"/>
                <w:sz w:val="20"/>
                <w:szCs w:val="20"/>
              </w:rPr>
              <w:t>Reliable</w:t>
            </w:r>
          </w:p>
        </w:tc>
      </w:tr>
      <w:tr w:rsidR="000574EE" w14:paraId="1E5D4A81" w14:textId="77777777">
        <w:trPr>
          <w:trHeight w:val="351"/>
          <w:jc w:val="center"/>
        </w:trPr>
        <w:tc>
          <w:tcPr>
            <w:tcW w:w="339" w:type="dxa"/>
            <w:shd w:val="clear" w:color="auto" w:fill="auto"/>
          </w:tcPr>
          <w:p w14:paraId="703959F3" w14:textId="77777777" w:rsidR="000574EE" w:rsidRDefault="00AC3F5F">
            <w:pPr>
              <w:spacing w:line="360" w:lineRule="auto"/>
              <w:rPr>
                <w:color w:val="000000" w:themeColor="text1"/>
                <w:sz w:val="20"/>
                <w:szCs w:val="20"/>
              </w:rPr>
            </w:pPr>
            <w:r>
              <w:rPr>
                <w:color w:val="000000" w:themeColor="text1"/>
                <w:sz w:val="20"/>
                <w:szCs w:val="20"/>
              </w:rPr>
              <w:t>4</w:t>
            </w:r>
          </w:p>
        </w:tc>
        <w:tc>
          <w:tcPr>
            <w:tcW w:w="3190" w:type="dxa"/>
            <w:shd w:val="clear" w:color="auto" w:fill="auto"/>
          </w:tcPr>
          <w:p w14:paraId="633CA660" w14:textId="77777777" w:rsidR="000574EE" w:rsidRDefault="00AC3F5F">
            <w:pPr>
              <w:spacing w:line="360" w:lineRule="auto"/>
              <w:rPr>
                <w:color w:val="000000" w:themeColor="text1"/>
                <w:sz w:val="20"/>
                <w:szCs w:val="20"/>
              </w:rPr>
            </w:pPr>
            <w:r>
              <w:rPr>
                <w:rFonts w:hint="eastAsia"/>
                <w:color w:val="000000" w:themeColor="text1"/>
                <w:sz w:val="20"/>
                <w:szCs w:val="20"/>
              </w:rPr>
              <w:t>External Motivation - Social</w:t>
            </w:r>
          </w:p>
        </w:tc>
        <w:tc>
          <w:tcPr>
            <w:tcW w:w="1868" w:type="dxa"/>
            <w:shd w:val="clear" w:color="auto" w:fill="auto"/>
          </w:tcPr>
          <w:p w14:paraId="28C7AEAE" w14:textId="77777777" w:rsidR="000574EE" w:rsidRDefault="00AC3F5F">
            <w:pPr>
              <w:spacing w:line="360" w:lineRule="auto"/>
              <w:jc w:val="center"/>
              <w:rPr>
                <w:color w:val="000000" w:themeColor="text1"/>
                <w:sz w:val="20"/>
                <w:szCs w:val="20"/>
              </w:rPr>
            </w:pPr>
            <w:r>
              <w:rPr>
                <w:rFonts w:hint="eastAsia"/>
                <w:color w:val="000000" w:themeColor="text1"/>
                <w:sz w:val="20"/>
                <w:szCs w:val="20"/>
              </w:rPr>
              <w:t>5</w:t>
            </w:r>
          </w:p>
        </w:tc>
        <w:tc>
          <w:tcPr>
            <w:tcW w:w="1915" w:type="dxa"/>
            <w:shd w:val="clear" w:color="auto" w:fill="auto"/>
          </w:tcPr>
          <w:p w14:paraId="0F852214" w14:textId="77777777" w:rsidR="000574EE" w:rsidRDefault="00AC3F5F">
            <w:pPr>
              <w:spacing w:line="360" w:lineRule="auto"/>
              <w:jc w:val="center"/>
              <w:rPr>
                <w:color w:val="000000" w:themeColor="text1"/>
                <w:sz w:val="20"/>
                <w:szCs w:val="20"/>
              </w:rPr>
            </w:pPr>
            <w:r>
              <w:rPr>
                <w:rFonts w:hint="eastAsia"/>
                <w:color w:val="000000" w:themeColor="text1"/>
                <w:sz w:val="20"/>
                <w:szCs w:val="20"/>
              </w:rPr>
              <w:t>0.751</w:t>
            </w:r>
          </w:p>
        </w:tc>
        <w:tc>
          <w:tcPr>
            <w:tcW w:w="1496" w:type="dxa"/>
            <w:shd w:val="clear" w:color="auto" w:fill="F9F9FB"/>
          </w:tcPr>
          <w:p w14:paraId="01791D14" w14:textId="77777777" w:rsidR="000574EE" w:rsidRDefault="00AC3F5F">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473D6778" w14:textId="77777777">
        <w:trPr>
          <w:trHeight w:val="351"/>
          <w:jc w:val="center"/>
        </w:trPr>
        <w:tc>
          <w:tcPr>
            <w:tcW w:w="339" w:type="dxa"/>
            <w:shd w:val="clear" w:color="auto" w:fill="auto"/>
          </w:tcPr>
          <w:p w14:paraId="7C000037" w14:textId="77777777" w:rsidR="000574EE" w:rsidRDefault="000574EE">
            <w:pPr>
              <w:spacing w:line="360" w:lineRule="auto"/>
              <w:rPr>
                <w:color w:val="000000" w:themeColor="text1"/>
                <w:sz w:val="22"/>
                <w:szCs w:val="22"/>
              </w:rPr>
            </w:pPr>
          </w:p>
        </w:tc>
        <w:tc>
          <w:tcPr>
            <w:tcW w:w="3190" w:type="dxa"/>
            <w:shd w:val="clear" w:color="auto" w:fill="auto"/>
          </w:tcPr>
          <w:p w14:paraId="27154304" w14:textId="77777777" w:rsidR="000574EE" w:rsidRDefault="00AC3F5F">
            <w:pPr>
              <w:spacing w:line="360" w:lineRule="auto"/>
              <w:rPr>
                <w:color w:val="000000" w:themeColor="text1"/>
                <w:sz w:val="20"/>
                <w:szCs w:val="20"/>
              </w:rPr>
            </w:pPr>
            <w:r>
              <w:rPr>
                <w:color w:val="000000" w:themeColor="text1"/>
                <w:sz w:val="20"/>
                <w:szCs w:val="20"/>
              </w:rPr>
              <w:t>All items</w:t>
            </w:r>
          </w:p>
        </w:tc>
        <w:tc>
          <w:tcPr>
            <w:tcW w:w="1868" w:type="dxa"/>
            <w:shd w:val="clear" w:color="auto" w:fill="auto"/>
          </w:tcPr>
          <w:p w14:paraId="75B8CA70" w14:textId="77777777" w:rsidR="000574EE" w:rsidRDefault="00AC3F5F">
            <w:pPr>
              <w:spacing w:line="360" w:lineRule="auto"/>
              <w:jc w:val="center"/>
              <w:rPr>
                <w:color w:val="000000" w:themeColor="text1"/>
                <w:sz w:val="20"/>
                <w:szCs w:val="20"/>
              </w:rPr>
            </w:pPr>
            <w:r>
              <w:rPr>
                <w:rFonts w:hint="eastAsia"/>
                <w:color w:val="000000" w:themeColor="text1"/>
                <w:sz w:val="20"/>
                <w:szCs w:val="20"/>
              </w:rPr>
              <w:t>22</w:t>
            </w:r>
          </w:p>
        </w:tc>
        <w:tc>
          <w:tcPr>
            <w:tcW w:w="1915" w:type="dxa"/>
            <w:shd w:val="clear" w:color="auto" w:fill="auto"/>
          </w:tcPr>
          <w:p w14:paraId="4D3B30A9" w14:textId="77777777" w:rsidR="000574EE" w:rsidRDefault="00AC3F5F">
            <w:pPr>
              <w:spacing w:line="360" w:lineRule="auto"/>
              <w:jc w:val="center"/>
              <w:rPr>
                <w:color w:val="000000" w:themeColor="text1"/>
                <w:sz w:val="20"/>
                <w:szCs w:val="20"/>
              </w:rPr>
            </w:pPr>
            <w:r>
              <w:rPr>
                <w:color w:val="000000" w:themeColor="text1"/>
                <w:sz w:val="20"/>
                <w:szCs w:val="20"/>
              </w:rPr>
              <w:t>0.</w:t>
            </w:r>
            <w:r>
              <w:rPr>
                <w:rFonts w:hint="eastAsia"/>
                <w:color w:val="000000" w:themeColor="text1"/>
                <w:sz w:val="20"/>
                <w:szCs w:val="20"/>
              </w:rPr>
              <w:t>775</w:t>
            </w:r>
          </w:p>
        </w:tc>
        <w:tc>
          <w:tcPr>
            <w:tcW w:w="1496" w:type="dxa"/>
            <w:shd w:val="clear" w:color="auto" w:fill="F9F9FB"/>
          </w:tcPr>
          <w:p w14:paraId="72C6948A" w14:textId="77777777" w:rsidR="000574EE" w:rsidRDefault="00AC3F5F">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bl>
    <w:p w14:paraId="19B751D2" w14:textId="77777777" w:rsidR="000574EE" w:rsidRDefault="000574EE">
      <w:pPr>
        <w:spacing w:line="360" w:lineRule="auto"/>
        <w:rPr>
          <w:i/>
          <w:iCs/>
          <w:color w:val="000000" w:themeColor="text1"/>
          <w:sz w:val="22"/>
          <w:szCs w:val="22"/>
        </w:rPr>
      </w:pPr>
    </w:p>
    <w:p w14:paraId="28CA95FF" w14:textId="77777777" w:rsidR="000574EE" w:rsidRDefault="00AC3F5F">
      <w:pPr>
        <w:autoSpaceDE w:val="0"/>
        <w:autoSpaceDN w:val="0"/>
        <w:ind w:firstLineChars="300" w:firstLine="720"/>
        <w:rPr>
          <w:rFonts w:eastAsia="SimHei" w:cs="Times New Roman"/>
          <w:bCs/>
          <w:color w:val="000000" w:themeColor="text1"/>
          <w:kern w:val="0"/>
          <w:sz w:val="24"/>
          <w:lang w:bidi="en-US"/>
        </w:rPr>
      </w:pPr>
      <w:r>
        <w:rPr>
          <w:rFonts w:eastAsia="SimHei" w:cs="Times New Roman" w:hint="eastAsia"/>
          <w:bCs/>
          <w:color w:val="000000" w:themeColor="text1"/>
          <w:kern w:val="0"/>
          <w:sz w:val="24"/>
          <w:lang w:bidi="en-US"/>
        </w:rPr>
        <w:t>Table 11 presents the domain-specific reliability analysis of the learning motivation questionnaire administered to non-English major undergraduate students. The 22-item scale demonstrated a high level of reliability, with an overall Cronbach</w:t>
      </w:r>
      <w:r>
        <w:rPr>
          <w:rFonts w:eastAsia="SimHei" w:cs="Times New Roman"/>
          <w:bCs/>
          <w:color w:val="000000" w:themeColor="text1"/>
          <w:kern w:val="0"/>
          <w:sz w:val="24"/>
          <w:lang w:bidi="en-US"/>
        </w:rPr>
        <w:t>’</w:t>
      </w:r>
      <w:r>
        <w:rPr>
          <w:rFonts w:eastAsia="SimHei" w:cs="Times New Roman" w:hint="eastAsia"/>
          <w:bCs/>
          <w:color w:val="000000" w:themeColor="text1"/>
          <w:kern w:val="0"/>
          <w:sz w:val="24"/>
          <w:lang w:bidi="en-US"/>
        </w:rPr>
        <w:t xml:space="preserve">s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of 0.775. Among the four subscales, Intrinsic Motivation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 0.745) and External Motivation - Social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 0.751) exhibited very high reliability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&gt; 0.75), while Amotivation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 0.684) and External Motivation - Career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 0.694) showed acceptable reliability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&gt; 0.68), indicating a strong internal consistency across the scale. These results are consistent with the findings of Aydin et al. (2014), who reported reliability values of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 0.875 for Intrinsic Motivation,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 0.841 for Amotivation,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 0.844 for External Motivation - Career, and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 0.736 for External Motivation - Social, concluding that the motivation scales demonstrated good reliability.</w:t>
      </w:r>
    </w:p>
    <w:p w14:paraId="7EE90DA8" w14:textId="77777777" w:rsidR="000574EE" w:rsidRDefault="00AC3F5F">
      <w:pPr>
        <w:autoSpaceDE w:val="0"/>
        <w:autoSpaceDN w:val="0"/>
        <w:ind w:firstLineChars="300" w:firstLine="720"/>
        <w:rPr>
          <w:rFonts w:eastAsia="SimHei" w:cs="Times New Roman"/>
          <w:bCs/>
          <w:color w:val="000000" w:themeColor="text1"/>
          <w:kern w:val="0"/>
          <w:sz w:val="24"/>
          <w:lang w:bidi="en-US"/>
        </w:rPr>
      </w:pPr>
      <w:r>
        <w:rPr>
          <w:rFonts w:eastAsia="SimHei" w:cs="Times New Roman" w:hint="eastAsia"/>
          <w:bCs/>
          <w:color w:val="000000" w:themeColor="text1"/>
          <w:kern w:val="0"/>
          <w:sz w:val="24"/>
          <w:lang w:bidi="en-US"/>
        </w:rPr>
        <w:t xml:space="preserve">Although limited research has been conducted using the same dimensions as Aydin et al. (2014), various studies employing learning motivation questionnaires that assess both internal and external motivation have reported similarly satisfactory reliability. For instance, </w:t>
      </w:r>
      <w:proofErr w:type="spellStart"/>
      <w:r>
        <w:rPr>
          <w:rFonts w:eastAsia="SimHei" w:cs="Times New Roman" w:hint="eastAsia"/>
          <w:bCs/>
          <w:color w:val="000000" w:themeColor="text1"/>
          <w:kern w:val="0"/>
          <w:sz w:val="24"/>
          <w:lang w:bidi="en-US"/>
        </w:rPr>
        <w:t>Salehpour</w:t>
      </w:r>
      <w:proofErr w:type="spellEnd"/>
      <w:r>
        <w:rPr>
          <w:rFonts w:eastAsia="SimHei" w:cs="Times New Roman" w:hint="eastAsia"/>
          <w:bCs/>
          <w:color w:val="000000" w:themeColor="text1"/>
          <w:kern w:val="0"/>
          <w:sz w:val="24"/>
          <w:lang w:bidi="en-US"/>
        </w:rPr>
        <w:t xml:space="preserve"> and </w:t>
      </w:r>
      <w:proofErr w:type="spellStart"/>
      <w:r>
        <w:rPr>
          <w:rFonts w:eastAsia="SimHei" w:cs="Times New Roman" w:hint="eastAsia"/>
          <w:bCs/>
          <w:color w:val="000000" w:themeColor="text1"/>
          <w:kern w:val="0"/>
          <w:sz w:val="24"/>
          <w:lang w:bidi="en-US"/>
        </w:rPr>
        <w:t>Roohani</w:t>
      </w:r>
      <w:proofErr w:type="spellEnd"/>
      <w:r>
        <w:rPr>
          <w:rFonts w:eastAsia="SimHei" w:cs="Times New Roman" w:hint="eastAsia"/>
          <w:bCs/>
          <w:color w:val="000000" w:themeColor="text1"/>
          <w:kern w:val="0"/>
          <w:sz w:val="24"/>
          <w:lang w:bidi="en-US"/>
        </w:rPr>
        <w:t xml:space="preserve"> (2020) found a Cronbach</w:t>
      </w:r>
      <w:r>
        <w:rPr>
          <w:rFonts w:eastAsia="SimHei" w:cs="Times New Roman"/>
          <w:bCs/>
          <w:color w:val="000000" w:themeColor="text1"/>
          <w:kern w:val="0"/>
          <w:sz w:val="24"/>
          <w:lang w:bidi="en-US"/>
        </w:rPr>
        <w:t>’</w:t>
      </w:r>
      <w:r>
        <w:rPr>
          <w:rFonts w:eastAsia="SimHei" w:cs="Times New Roman" w:hint="eastAsia"/>
          <w:bCs/>
          <w:color w:val="000000" w:themeColor="text1"/>
          <w:kern w:val="0"/>
          <w:sz w:val="24"/>
          <w:lang w:bidi="en-US"/>
        </w:rPr>
        <w:t xml:space="preserve">s alpha of 0.76, while Hsu (2017) reported values of 0.75 for Extrinsic Motivation and 0.67 for Intrinsic Motivation. Similarly, </w:t>
      </w:r>
      <w:proofErr w:type="spellStart"/>
      <w:r>
        <w:rPr>
          <w:rFonts w:eastAsia="SimHei" w:cs="Times New Roman" w:hint="eastAsia"/>
          <w:bCs/>
          <w:color w:val="000000" w:themeColor="text1"/>
          <w:kern w:val="0"/>
          <w:sz w:val="24"/>
          <w:lang w:bidi="en-US"/>
        </w:rPr>
        <w:t>Vakilifard</w:t>
      </w:r>
      <w:proofErr w:type="spellEnd"/>
      <w:r>
        <w:rPr>
          <w:rFonts w:eastAsia="SimHei" w:cs="Times New Roman" w:hint="eastAsia"/>
          <w:bCs/>
          <w:color w:val="000000" w:themeColor="text1"/>
          <w:kern w:val="0"/>
          <w:sz w:val="24"/>
          <w:lang w:bidi="en-US"/>
        </w:rPr>
        <w:t xml:space="preserve"> et al. (2021) reported a reliability coefficient of 0.79. These findings suggest that motivation scales, particularly those measuring both intrinsic and extrinsic components, consistently demonstrate strong internal consistency across different studies.</w:t>
      </w:r>
    </w:p>
    <w:p w14:paraId="4DBDE4CF" w14:textId="77777777" w:rsidR="000574EE" w:rsidRDefault="00AC3F5F">
      <w:pPr>
        <w:autoSpaceDE w:val="0"/>
        <w:autoSpaceDN w:val="0"/>
        <w:ind w:firstLineChars="300" w:firstLine="720"/>
        <w:rPr>
          <w:rFonts w:eastAsia="SimHei" w:cs="Times New Roman"/>
          <w:bCs/>
          <w:color w:val="0000FF"/>
          <w:kern w:val="0"/>
          <w:sz w:val="24"/>
          <w:lang w:bidi="en-US"/>
        </w:rPr>
      </w:pPr>
      <w:r>
        <w:rPr>
          <w:rFonts w:eastAsia="SimHei" w:cs="Times New Roman" w:hint="eastAsia"/>
          <w:bCs/>
          <w:color w:val="0000FF"/>
          <w:kern w:val="0"/>
          <w:sz w:val="24"/>
          <w:lang w:bidi="en-US"/>
        </w:rPr>
        <w:t>Table 12 reports the results of the KMO Measure of Sampling Adequacy and Bartlett</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s Test of Sphericity for Learning Motivation, both of which confirm the appropriateness of the </w:t>
      </w:r>
      <w:r>
        <w:rPr>
          <w:rFonts w:eastAsia="SimHei" w:cs="Times New Roman" w:hint="eastAsia"/>
          <w:bCs/>
          <w:color w:val="0000FF"/>
          <w:kern w:val="0"/>
          <w:sz w:val="24"/>
          <w:lang w:bidi="en-US"/>
        </w:rPr>
        <w:lastRenderedPageBreak/>
        <w:t xml:space="preserve">data for factor analysis. The KMO value for Learning Motivation was 0.762, which falls within the </w:t>
      </w:r>
      <w:r>
        <w:rPr>
          <w:rFonts w:eastAsia="SimHei" w:cs="Times New Roman"/>
          <w:bCs/>
          <w:color w:val="0000FF"/>
          <w:kern w:val="0"/>
          <w:sz w:val="24"/>
          <w:lang w:bidi="en-US"/>
        </w:rPr>
        <w:t>“</w:t>
      </w:r>
      <w:r>
        <w:rPr>
          <w:rFonts w:eastAsia="SimHei" w:cs="Times New Roman" w:hint="eastAsia"/>
          <w:bCs/>
          <w:color w:val="0000FF"/>
          <w:kern w:val="0"/>
          <w:sz w:val="24"/>
          <w:lang w:bidi="en-US"/>
        </w:rPr>
        <w:t>middling</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 range according to Kaiser (1974), suggesting a moderate level of sampling adequacy for conducting factor analysis. Furthermore, Bartlett</w:t>
      </w:r>
      <w:r>
        <w:rPr>
          <w:rFonts w:eastAsia="SimHei" w:cs="Times New Roman"/>
          <w:bCs/>
          <w:color w:val="0000FF"/>
          <w:kern w:val="0"/>
          <w:sz w:val="24"/>
          <w:lang w:bidi="en-US"/>
        </w:rPr>
        <w:t>’</w:t>
      </w:r>
      <w:r>
        <w:rPr>
          <w:rFonts w:eastAsia="SimHei" w:cs="Times New Roman" w:hint="eastAsia"/>
          <w:bCs/>
          <w:color w:val="0000FF"/>
          <w:kern w:val="0"/>
          <w:sz w:val="24"/>
          <w:lang w:bidi="en-US"/>
        </w:rPr>
        <w:t>s Test of Sphericity yielded a significant result (Chi-Square = 61.375, df = 6, p &lt; 0.001), indicating that the correlation matrix differs significantly from the identity matrix, thus demonstrating that the variables related to Learning Motivation are sufficiently interrelated to justify the application of factor analysis.</w:t>
      </w:r>
    </w:p>
    <w:p w14:paraId="08FFBFEE" w14:textId="77777777" w:rsidR="000574EE" w:rsidRDefault="000574EE">
      <w:pPr>
        <w:autoSpaceDE w:val="0"/>
        <w:autoSpaceDN w:val="0"/>
        <w:rPr>
          <w:rFonts w:eastAsia="SimHei" w:cs="Times New Roman"/>
          <w:bCs/>
          <w:color w:val="0000FF"/>
          <w:kern w:val="0"/>
          <w:sz w:val="24"/>
          <w:lang w:bidi="en-US"/>
        </w:rPr>
      </w:pPr>
    </w:p>
    <w:p w14:paraId="5672C20F" w14:textId="77777777" w:rsidR="000574EE" w:rsidRDefault="00AC3F5F">
      <w:pPr>
        <w:spacing w:line="360" w:lineRule="auto"/>
        <w:rPr>
          <w:color w:val="0000FF"/>
          <w:sz w:val="20"/>
          <w:szCs w:val="20"/>
        </w:rPr>
      </w:pPr>
      <w:r>
        <w:rPr>
          <w:rFonts w:hint="eastAsia"/>
          <w:color w:val="0000FF"/>
          <w:sz w:val="20"/>
          <w:szCs w:val="20"/>
        </w:rPr>
        <w:t xml:space="preserve">Table 12: KMO and Bartlett's Test on Learning Motivation </w:t>
      </w:r>
    </w:p>
    <w:tbl>
      <w:tblPr>
        <w:tblW w:w="4996" w:type="pct"/>
        <w:tblLook w:val="04A0" w:firstRow="1" w:lastRow="0" w:firstColumn="1" w:lastColumn="0" w:noHBand="0" w:noVBand="1"/>
      </w:tblPr>
      <w:tblGrid>
        <w:gridCol w:w="3651"/>
        <w:gridCol w:w="2510"/>
        <w:gridCol w:w="2904"/>
      </w:tblGrid>
      <w:tr w:rsidR="000574EE" w14:paraId="246F3355" w14:textId="77777777">
        <w:trPr>
          <w:trHeight w:val="546"/>
        </w:trPr>
        <w:tc>
          <w:tcPr>
            <w:tcW w:w="3397" w:type="pct"/>
            <w:gridSpan w:val="2"/>
            <w:tcBorders>
              <w:top w:val="single" w:sz="4" w:space="0" w:color="auto"/>
              <w:left w:val="nil"/>
              <w:bottom w:val="single" w:sz="4" w:space="0" w:color="auto"/>
              <w:right w:val="nil"/>
            </w:tcBorders>
            <w:shd w:val="clear" w:color="auto" w:fill="auto"/>
          </w:tcPr>
          <w:p w14:paraId="0B8BA6EC" w14:textId="77777777" w:rsidR="000574EE" w:rsidRDefault="00AC3F5F">
            <w:pPr>
              <w:spacing w:line="360" w:lineRule="auto"/>
              <w:jc w:val="right"/>
              <w:rPr>
                <w:rFonts w:eastAsia="SimHei"/>
                <w:bCs/>
                <w:color w:val="0000FF"/>
                <w:sz w:val="20"/>
                <w:szCs w:val="20"/>
              </w:rPr>
            </w:pPr>
            <w:r>
              <w:rPr>
                <w:rFonts w:eastAsia="SimSun" w:cs="Calibri" w:hint="eastAsia"/>
                <w:b/>
                <w:bCs/>
                <w:color w:val="0000FF"/>
                <w:kern w:val="0"/>
                <w:sz w:val="20"/>
                <w:szCs w:val="20"/>
                <w:lang w:bidi="ar"/>
              </w:rPr>
              <w:t>Kaiser-Meyer-Olkin Measure of Sampling Adequacy.</w:t>
            </w:r>
          </w:p>
        </w:tc>
        <w:tc>
          <w:tcPr>
            <w:tcW w:w="1602" w:type="pct"/>
            <w:tcBorders>
              <w:top w:val="single" w:sz="4" w:space="0" w:color="auto"/>
              <w:left w:val="nil"/>
              <w:bottom w:val="single" w:sz="4" w:space="0" w:color="auto"/>
              <w:right w:val="nil"/>
            </w:tcBorders>
            <w:shd w:val="clear" w:color="auto" w:fill="auto"/>
            <w:noWrap/>
            <w:vAlign w:val="center"/>
          </w:tcPr>
          <w:p w14:paraId="078F6DAD"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0.762</w:t>
            </w:r>
          </w:p>
        </w:tc>
      </w:tr>
      <w:tr w:rsidR="000574EE" w14:paraId="2FE21255" w14:textId="77777777">
        <w:trPr>
          <w:trHeight w:val="435"/>
        </w:trPr>
        <w:tc>
          <w:tcPr>
            <w:tcW w:w="2013" w:type="pct"/>
            <w:vMerge w:val="restart"/>
            <w:tcBorders>
              <w:top w:val="single" w:sz="4" w:space="0" w:color="auto"/>
              <w:left w:val="nil"/>
              <w:bottom w:val="nil"/>
              <w:right w:val="nil"/>
            </w:tcBorders>
            <w:shd w:val="clear" w:color="auto" w:fill="auto"/>
          </w:tcPr>
          <w:p w14:paraId="5911012B" w14:textId="77777777" w:rsidR="000574EE" w:rsidRDefault="000574EE">
            <w:pPr>
              <w:spacing w:line="360" w:lineRule="auto"/>
              <w:jc w:val="right"/>
              <w:rPr>
                <w:rFonts w:eastAsia="SimSun" w:cs="Calibri"/>
                <w:b/>
                <w:bCs/>
                <w:color w:val="0000FF"/>
                <w:kern w:val="0"/>
                <w:sz w:val="20"/>
                <w:szCs w:val="20"/>
                <w:lang w:bidi="ar"/>
              </w:rPr>
            </w:pPr>
          </w:p>
          <w:p w14:paraId="7C66BEC9" w14:textId="77777777" w:rsidR="000574EE" w:rsidRDefault="00AC3F5F">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Bartlett's Test of Sphericity</w:t>
            </w:r>
          </w:p>
        </w:tc>
        <w:tc>
          <w:tcPr>
            <w:tcW w:w="1384" w:type="pct"/>
            <w:tcBorders>
              <w:top w:val="single" w:sz="4" w:space="0" w:color="auto"/>
              <w:left w:val="nil"/>
              <w:bottom w:val="nil"/>
              <w:right w:val="nil"/>
            </w:tcBorders>
            <w:shd w:val="clear" w:color="auto" w:fill="auto"/>
          </w:tcPr>
          <w:p w14:paraId="0CB22201" w14:textId="77777777" w:rsidR="000574EE" w:rsidRDefault="00AC3F5F">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Approx. Chi-Square</w:t>
            </w:r>
          </w:p>
        </w:tc>
        <w:tc>
          <w:tcPr>
            <w:tcW w:w="1602" w:type="pct"/>
            <w:tcBorders>
              <w:top w:val="single" w:sz="4" w:space="0" w:color="auto"/>
              <w:left w:val="nil"/>
              <w:bottom w:val="nil"/>
              <w:right w:val="nil"/>
            </w:tcBorders>
            <w:shd w:val="clear" w:color="auto" w:fill="F9F9FB"/>
          </w:tcPr>
          <w:p w14:paraId="28CF32F1"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61.375</w:t>
            </w:r>
          </w:p>
        </w:tc>
      </w:tr>
      <w:tr w:rsidR="000574EE" w14:paraId="3D97B42C" w14:textId="77777777">
        <w:trPr>
          <w:trHeight w:val="351"/>
        </w:trPr>
        <w:tc>
          <w:tcPr>
            <w:tcW w:w="2013" w:type="pct"/>
            <w:vMerge/>
            <w:tcBorders>
              <w:top w:val="nil"/>
              <w:left w:val="nil"/>
              <w:bottom w:val="nil"/>
              <w:right w:val="nil"/>
            </w:tcBorders>
            <w:shd w:val="clear" w:color="auto" w:fill="auto"/>
          </w:tcPr>
          <w:p w14:paraId="0EE604FF" w14:textId="77777777" w:rsidR="000574EE" w:rsidRDefault="000574EE">
            <w:pPr>
              <w:spacing w:line="360" w:lineRule="auto"/>
              <w:jc w:val="right"/>
              <w:rPr>
                <w:rFonts w:eastAsia="SimSun" w:cs="Calibri"/>
                <w:b/>
                <w:bCs/>
                <w:color w:val="0000FF"/>
                <w:kern w:val="0"/>
                <w:sz w:val="20"/>
                <w:szCs w:val="20"/>
                <w:lang w:bidi="ar"/>
              </w:rPr>
            </w:pPr>
          </w:p>
        </w:tc>
        <w:tc>
          <w:tcPr>
            <w:tcW w:w="1384" w:type="pct"/>
            <w:tcBorders>
              <w:top w:val="nil"/>
              <w:left w:val="nil"/>
              <w:bottom w:val="nil"/>
              <w:right w:val="nil"/>
            </w:tcBorders>
            <w:shd w:val="clear" w:color="auto" w:fill="auto"/>
          </w:tcPr>
          <w:p w14:paraId="295A745E" w14:textId="77777777" w:rsidR="000574EE" w:rsidRDefault="00AC3F5F">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df</w:t>
            </w:r>
          </w:p>
        </w:tc>
        <w:tc>
          <w:tcPr>
            <w:tcW w:w="1602" w:type="pct"/>
            <w:tcBorders>
              <w:top w:val="nil"/>
              <w:left w:val="nil"/>
              <w:bottom w:val="nil"/>
              <w:right w:val="nil"/>
            </w:tcBorders>
            <w:shd w:val="clear" w:color="auto" w:fill="F9F9FB"/>
          </w:tcPr>
          <w:p w14:paraId="0E2F09CD"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6</w:t>
            </w:r>
          </w:p>
        </w:tc>
      </w:tr>
      <w:tr w:rsidR="000574EE" w14:paraId="6E41B706" w14:textId="77777777">
        <w:trPr>
          <w:trHeight w:val="108"/>
        </w:trPr>
        <w:tc>
          <w:tcPr>
            <w:tcW w:w="2013" w:type="pct"/>
            <w:vMerge/>
            <w:tcBorders>
              <w:top w:val="nil"/>
              <w:left w:val="nil"/>
              <w:bottom w:val="single" w:sz="4" w:space="0" w:color="auto"/>
              <w:right w:val="nil"/>
            </w:tcBorders>
            <w:shd w:val="clear" w:color="auto" w:fill="auto"/>
          </w:tcPr>
          <w:p w14:paraId="7FE7C662" w14:textId="77777777" w:rsidR="000574EE" w:rsidRDefault="000574EE">
            <w:pPr>
              <w:spacing w:line="360" w:lineRule="auto"/>
              <w:jc w:val="right"/>
              <w:rPr>
                <w:rFonts w:eastAsia="SimHei"/>
                <w:bCs/>
                <w:color w:val="0000FF"/>
                <w:sz w:val="20"/>
                <w:szCs w:val="20"/>
              </w:rPr>
            </w:pPr>
          </w:p>
        </w:tc>
        <w:tc>
          <w:tcPr>
            <w:tcW w:w="1384" w:type="pct"/>
            <w:tcBorders>
              <w:top w:val="nil"/>
              <w:left w:val="nil"/>
              <w:bottom w:val="single" w:sz="4" w:space="0" w:color="auto"/>
              <w:right w:val="nil"/>
            </w:tcBorders>
            <w:shd w:val="clear" w:color="auto" w:fill="auto"/>
          </w:tcPr>
          <w:p w14:paraId="79B2ABF6" w14:textId="77777777" w:rsidR="000574EE" w:rsidRDefault="00AC3F5F">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Sig.</w:t>
            </w:r>
          </w:p>
        </w:tc>
        <w:tc>
          <w:tcPr>
            <w:tcW w:w="1602" w:type="pct"/>
            <w:tcBorders>
              <w:top w:val="nil"/>
              <w:left w:val="nil"/>
              <w:bottom w:val="single" w:sz="4" w:space="0" w:color="auto"/>
              <w:right w:val="nil"/>
            </w:tcBorders>
            <w:shd w:val="clear" w:color="auto" w:fill="F9F9FB"/>
          </w:tcPr>
          <w:p w14:paraId="567C0110"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&lt; 0.001</w:t>
            </w:r>
          </w:p>
        </w:tc>
      </w:tr>
    </w:tbl>
    <w:p w14:paraId="6A1756D1" w14:textId="77777777" w:rsidR="000574EE" w:rsidRDefault="00AC3F5F">
      <w:pPr>
        <w:spacing w:beforeLines="100" w:before="312" w:line="360" w:lineRule="auto"/>
        <w:rPr>
          <w:b/>
          <w:bCs/>
          <w:i/>
          <w:iCs/>
          <w:sz w:val="24"/>
          <w:szCs w:val="22"/>
        </w:rPr>
      </w:pPr>
      <w:r>
        <w:rPr>
          <w:rFonts w:hint="eastAsia"/>
          <w:b/>
          <w:bCs/>
          <w:i/>
          <w:iCs/>
          <w:sz w:val="24"/>
          <w:szCs w:val="22"/>
        </w:rPr>
        <w:t>Learning Attitude</w:t>
      </w:r>
      <w:r>
        <w:rPr>
          <w:b/>
          <w:bCs/>
          <w:i/>
          <w:iCs/>
          <w:sz w:val="24"/>
          <w:szCs w:val="22"/>
        </w:rPr>
        <w:t xml:space="preserve"> Questionnaire</w:t>
      </w:r>
    </w:p>
    <w:p w14:paraId="1C6A70A9" w14:textId="77777777" w:rsidR="000574EE" w:rsidRDefault="00AC3F5F">
      <w:pPr>
        <w:spacing w:line="360" w:lineRule="auto"/>
        <w:rPr>
          <w:color w:val="000000" w:themeColor="text1"/>
          <w:sz w:val="22"/>
          <w:szCs w:val="22"/>
        </w:rPr>
      </w:pPr>
      <w:r>
        <w:rPr>
          <w:color w:val="000000" w:themeColor="text1"/>
          <w:sz w:val="22"/>
          <w:szCs w:val="22"/>
        </w:rPr>
        <w:t xml:space="preserve">Table </w:t>
      </w:r>
      <w:r>
        <w:rPr>
          <w:rFonts w:hint="eastAsia"/>
          <w:color w:val="000000" w:themeColor="text1"/>
          <w:sz w:val="22"/>
          <w:szCs w:val="22"/>
        </w:rPr>
        <w:t xml:space="preserve">13: </w:t>
      </w:r>
      <w:r>
        <w:rPr>
          <w:color w:val="000000" w:themeColor="text1"/>
          <w:sz w:val="22"/>
          <w:szCs w:val="22"/>
        </w:rPr>
        <w:t xml:space="preserve">Reliability of </w:t>
      </w:r>
      <w:r>
        <w:rPr>
          <w:rFonts w:hint="eastAsia"/>
          <w:color w:val="000000" w:themeColor="text1"/>
          <w:sz w:val="22"/>
          <w:szCs w:val="22"/>
        </w:rPr>
        <w:t>q</w:t>
      </w:r>
      <w:r>
        <w:rPr>
          <w:color w:val="000000" w:themeColor="text1"/>
          <w:sz w:val="22"/>
          <w:szCs w:val="22"/>
        </w:rPr>
        <w:t xml:space="preserve">uestionnaire on </w:t>
      </w:r>
      <w:r>
        <w:rPr>
          <w:rFonts w:hint="eastAsia"/>
          <w:color w:val="000000" w:themeColor="text1"/>
          <w:sz w:val="22"/>
          <w:szCs w:val="22"/>
        </w:rPr>
        <w:t>learning attitude</w:t>
      </w:r>
      <w:r>
        <w:rPr>
          <w:color w:val="000000" w:themeColor="text1"/>
          <w:sz w:val="22"/>
          <w:szCs w:val="22"/>
        </w:rPr>
        <w:t xml:space="preserve"> </w:t>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39"/>
        <w:gridCol w:w="3236"/>
        <w:gridCol w:w="1884"/>
        <w:gridCol w:w="1993"/>
        <w:gridCol w:w="1413"/>
      </w:tblGrid>
      <w:tr w:rsidR="000574EE" w14:paraId="466FAA99" w14:textId="77777777">
        <w:trPr>
          <w:trHeight w:val="655"/>
          <w:jc w:val="center"/>
        </w:trPr>
        <w:tc>
          <w:tcPr>
            <w:tcW w:w="339" w:type="dxa"/>
            <w:tcBorders>
              <w:bottom w:val="single" w:sz="4" w:space="0" w:color="auto"/>
            </w:tcBorders>
            <w:shd w:val="clear" w:color="auto" w:fill="auto"/>
            <w:noWrap/>
            <w:vAlign w:val="center"/>
          </w:tcPr>
          <w:p w14:paraId="3A70C9FA" w14:textId="77777777" w:rsidR="000574EE" w:rsidRDefault="000574EE">
            <w:pPr>
              <w:spacing w:line="360" w:lineRule="auto"/>
              <w:jc w:val="center"/>
              <w:rPr>
                <w:color w:val="000000" w:themeColor="text1"/>
                <w:sz w:val="20"/>
                <w:szCs w:val="20"/>
              </w:rPr>
            </w:pPr>
          </w:p>
        </w:tc>
        <w:tc>
          <w:tcPr>
            <w:tcW w:w="3236" w:type="dxa"/>
            <w:tcBorders>
              <w:bottom w:val="single" w:sz="4" w:space="0" w:color="auto"/>
            </w:tcBorders>
            <w:shd w:val="clear" w:color="auto" w:fill="auto"/>
            <w:noWrap/>
            <w:vAlign w:val="center"/>
          </w:tcPr>
          <w:p w14:paraId="140159B5" w14:textId="77777777" w:rsidR="000574EE" w:rsidRDefault="00AC3F5F">
            <w:pPr>
              <w:spacing w:line="360" w:lineRule="auto"/>
              <w:jc w:val="center"/>
              <w:rPr>
                <w:b/>
                <w:bCs/>
                <w:color w:val="000000" w:themeColor="text1"/>
                <w:sz w:val="20"/>
                <w:szCs w:val="20"/>
              </w:rPr>
            </w:pPr>
            <w:r>
              <w:rPr>
                <w:rFonts w:hint="eastAsia"/>
                <w:b/>
                <w:bCs/>
                <w:color w:val="000000" w:themeColor="text1"/>
                <w:sz w:val="20"/>
                <w:szCs w:val="20"/>
              </w:rPr>
              <w:t>S</w:t>
            </w:r>
            <w:r>
              <w:rPr>
                <w:b/>
                <w:bCs/>
                <w:color w:val="000000" w:themeColor="text1"/>
                <w:sz w:val="20"/>
                <w:szCs w:val="20"/>
              </w:rPr>
              <w:t xml:space="preserve">peaking </w:t>
            </w:r>
            <w:r>
              <w:rPr>
                <w:rFonts w:hint="eastAsia"/>
                <w:b/>
                <w:bCs/>
                <w:color w:val="000000" w:themeColor="text1"/>
                <w:sz w:val="20"/>
                <w:szCs w:val="20"/>
              </w:rPr>
              <w:t>S</w:t>
            </w:r>
            <w:r>
              <w:rPr>
                <w:b/>
                <w:bCs/>
                <w:color w:val="000000" w:themeColor="text1"/>
                <w:sz w:val="20"/>
                <w:szCs w:val="20"/>
              </w:rPr>
              <w:t>trategies Subscales</w:t>
            </w:r>
          </w:p>
        </w:tc>
        <w:tc>
          <w:tcPr>
            <w:tcW w:w="1884" w:type="dxa"/>
            <w:tcBorders>
              <w:bottom w:val="single" w:sz="4" w:space="0" w:color="auto"/>
            </w:tcBorders>
            <w:shd w:val="clear" w:color="auto" w:fill="auto"/>
            <w:vAlign w:val="center"/>
          </w:tcPr>
          <w:p w14:paraId="12DB3F16" w14:textId="77777777" w:rsidR="000574EE" w:rsidRDefault="00AC3F5F">
            <w:pPr>
              <w:widowControl/>
              <w:jc w:val="left"/>
              <w:rPr>
                <w:b/>
                <w:bCs/>
                <w:color w:val="000000" w:themeColor="text1"/>
                <w:sz w:val="20"/>
                <w:szCs w:val="20"/>
              </w:rPr>
            </w:pPr>
            <w:r>
              <w:rPr>
                <w:rFonts w:eastAsia="SimSun" w:cs="Calibri"/>
                <w:b/>
                <w:bCs/>
                <w:color w:val="000000" w:themeColor="text1"/>
                <w:kern w:val="0"/>
                <w:sz w:val="20"/>
                <w:szCs w:val="20"/>
                <w:lang w:bidi="ar"/>
              </w:rPr>
              <w:t>Number of Items</w:t>
            </w:r>
          </w:p>
        </w:tc>
        <w:tc>
          <w:tcPr>
            <w:tcW w:w="1993" w:type="dxa"/>
            <w:tcBorders>
              <w:bottom w:val="single" w:sz="4" w:space="0" w:color="auto"/>
            </w:tcBorders>
            <w:shd w:val="clear" w:color="auto" w:fill="auto"/>
            <w:vAlign w:val="center"/>
          </w:tcPr>
          <w:p w14:paraId="000FE9AA" w14:textId="77777777" w:rsidR="000574EE" w:rsidRDefault="00AC3F5F">
            <w:pPr>
              <w:widowControl/>
              <w:jc w:val="left"/>
              <w:rPr>
                <w:b/>
                <w:bCs/>
                <w:color w:val="000000" w:themeColor="text1"/>
                <w:sz w:val="20"/>
                <w:szCs w:val="20"/>
              </w:rPr>
            </w:pPr>
            <w:r>
              <w:rPr>
                <w:rFonts w:eastAsia="SimSun" w:cs="Calibri"/>
                <w:b/>
                <w:bCs/>
                <w:color w:val="000000" w:themeColor="text1"/>
                <w:kern w:val="0"/>
                <w:sz w:val="20"/>
                <w:szCs w:val="20"/>
                <w:lang w:bidi="ar"/>
              </w:rPr>
              <w:t>Cronbach’s</w:t>
            </w:r>
            <w:r>
              <w:rPr>
                <w:rFonts w:eastAsia="SimSun" w:cs="Calibri" w:hint="eastAsia"/>
                <w:b/>
                <w:bCs/>
                <w:color w:val="000000" w:themeColor="text1"/>
                <w:kern w:val="0"/>
                <w:sz w:val="20"/>
                <w:szCs w:val="20"/>
                <w:lang w:bidi="ar"/>
              </w:rPr>
              <w:t xml:space="preserve"> </w:t>
            </w:r>
            <w:r>
              <w:rPr>
                <w:rFonts w:eastAsia="SimSun" w:cs="Calibri"/>
                <w:b/>
                <w:bCs/>
                <w:color w:val="000000" w:themeColor="text1"/>
                <w:kern w:val="0"/>
                <w:sz w:val="20"/>
                <w:szCs w:val="20"/>
                <w:lang w:bidi="ar"/>
              </w:rPr>
              <w:t>Alpha</w:t>
            </w:r>
          </w:p>
        </w:tc>
        <w:tc>
          <w:tcPr>
            <w:tcW w:w="1413" w:type="dxa"/>
            <w:tcBorders>
              <w:bottom w:val="single" w:sz="4" w:space="0" w:color="auto"/>
            </w:tcBorders>
            <w:shd w:val="clear" w:color="auto" w:fill="FFFFFF"/>
            <w:vAlign w:val="center"/>
          </w:tcPr>
          <w:p w14:paraId="7D83DAD9" w14:textId="77777777" w:rsidR="000574EE" w:rsidRDefault="00AC3F5F">
            <w:pPr>
              <w:widowControl/>
              <w:jc w:val="left"/>
              <w:rPr>
                <w:b/>
                <w:bCs/>
                <w:color w:val="000000" w:themeColor="text1"/>
                <w:sz w:val="20"/>
                <w:szCs w:val="20"/>
              </w:rPr>
            </w:pPr>
            <w:r>
              <w:rPr>
                <w:rFonts w:eastAsia="SimSun" w:cs="Calibri"/>
                <w:b/>
                <w:bCs/>
                <w:color w:val="000000" w:themeColor="text1"/>
                <w:kern w:val="0"/>
                <w:sz w:val="20"/>
                <w:szCs w:val="20"/>
                <w:lang w:bidi="ar"/>
              </w:rPr>
              <w:t>Reliability</w:t>
            </w:r>
          </w:p>
        </w:tc>
      </w:tr>
      <w:tr w:rsidR="000574EE" w14:paraId="06C5725E" w14:textId="77777777">
        <w:trPr>
          <w:trHeight w:val="351"/>
          <w:jc w:val="center"/>
        </w:trPr>
        <w:tc>
          <w:tcPr>
            <w:tcW w:w="339" w:type="dxa"/>
            <w:tcBorders>
              <w:top w:val="single" w:sz="4" w:space="0" w:color="auto"/>
            </w:tcBorders>
            <w:shd w:val="clear" w:color="auto" w:fill="auto"/>
          </w:tcPr>
          <w:p w14:paraId="44F0891F" w14:textId="77777777" w:rsidR="000574EE" w:rsidRDefault="00AC3F5F">
            <w:pPr>
              <w:spacing w:line="360" w:lineRule="auto"/>
              <w:rPr>
                <w:color w:val="000000" w:themeColor="text1"/>
                <w:sz w:val="20"/>
                <w:szCs w:val="20"/>
              </w:rPr>
            </w:pPr>
            <w:r>
              <w:rPr>
                <w:color w:val="000000" w:themeColor="text1"/>
                <w:sz w:val="20"/>
                <w:szCs w:val="20"/>
              </w:rPr>
              <w:t>1</w:t>
            </w:r>
          </w:p>
        </w:tc>
        <w:tc>
          <w:tcPr>
            <w:tcW w:w="3236" w:type="dxa"/>
            <w:tcBorders>
              <w:top w:val="single" w:sz="4" w:space="0" w:color="auto"/>
            </w:tcBorders>
            <w:shd w:val="clear" w:color="auto" w:fill="auto"/>
          </w:tcPr>
          <w:p w14:paraId="5AC9466C" w14:textId="77777777" w:rsidR="000574EE" w:rsidRDefault="00AC3F5F">
            <w:pPr>
              <w:spacing w:line="360" w:lineRule="auto"/>
              <w:rPr>
                <w:color w:val="000000" w:themeColor="text1"/>
                <w:sz w:val="20"/>
                <w:szCs w:val="20"/>
              </w:rPr>
            </w:pPr>
            <w:r>
              <w:rPr>
                <w:rFonts w:hint="eastAsia"/>
                <w:color w:val="000000" w:themeColor="text1"/>
                <w:sz w:val="20"/>
                <w:szCs w:val="20"/>
              </w:rPr>
              <w:t>Cognitive</w:t>
            </w:r>
          </w:p>
        </w:tc>
        <w:tc>
          <w:tcPr>
            <w:tcW w:w="1884" w:type="dxa"/>
            <w:tcBorders>
              <w:top w:val="single" w:sz="4" w:space="0" w:color="auto"/>
            </w:tcBorders>
            <w:shd w:val="clear" w:color="auto" w:fill="auto"/>
          </w:tcPr>
          <w:p w14:paraId="769F871B" w14:textId="77777777" w:rsidR="000574EE" w:rsidRDefault="00AC3F5F">
            <w:pPr>
              <w:spacing w:line="360" w:lineRule="auto"/>
              <w:jc w:val="center"/>
              <w:rPr>
                <w:color w:val="000000" w:themeColor="text1"/>
                <w:sz w:val="20"/>
                <w:szCs w:val="20"/>
              </w:rPr>
            </w:pPr>
            <w:r>
              <w:rPr>
                <w:rFonts w:hint="eastAsia"/>
                <w:color w:val="000000" w:themeColor="text1"/>
                <w:sz w:val="20"/>
                <w:szCs w:val="20"/>
              </w:rPr>
              <w:t>16</w:t>
            </w:r>
          </w:p>
        </w:tc>
        <w:tc>
          <w:tcPr>
            <w:tcW w:w="1993" w:type="dxa"/>
            <w:tcBorders>
              <w:top w:val="single" w:sz="4" w:space="0" w:color="auto"/>
            </w:tcBorders>
            <w:shd w:val="clear" w:color="auto" w:fill="auto"/>
          </w:tcPr>
          <w:p w14:paraId="610F09E6" w14:textId="77777777" w:rsidR="000574EE" w:rsidRDefault="00AC3F5F">
            <w:pPr>
              <w:spacing w:line="360" w:lineRule="auto"/>
              <w:jc w:val="center"/>
              <w:rPr>
                <w:color w:val="000000" w:themeColor="text1"/>
                <w:sz w:val="20"/>
                <w:szCs w:val="20"/>
              </w:rPr>
            </w:pPr>
            <w:r>
              <w:rPr>
                <w:color w:val="000000" w:themeColor="text1"/>
                <w:sz w:val="20"/>
                <w:szCs w:val="20"/>
              </w:rPr>
              <w:t>0.675</w:t>
            </w:r>
          </w:p>
        </w:tc>
        <w:tc>
          <w:tcPr>
            <w:tcW w:w="1413" w:type="dxa"/>
            <w:tcBorders>
              <w:top w:val="single" w:sz="4" w:space="0" w:color="auto"/>
            </w:tcBorders>
            <w:shd w:val="clear" w:color="auto" w:fill="F9F9FB"/>
          </w:tcPr>
          <w:p w14:paraId="18FB9665" w14:textId="77777777" w:rsidR="000574EE" w:rsidRDefault="00AC3F5F">
            <w:pPr>
              <w:spacing w:line="360" w:lineRule="auto"/>
              <w:jc w:val="center"/>
              <w:rPr>
                <w:color w:val="000000" w:themeColor="text1"/>
                <w:sz w:val="20"/>
                <w:szCs w:val="20"/>
              </w:rPr>
            </w:pPr>
            <w:r>
              <w:rPr>
                <w:color w:val="000000" w:themeColor="text1"/>
                <w:sz w:val="20"/>
                <w:szCs w:val="20"/>
              </w:rPr>
              <w:t>Reliable</w:t>
            </w:r>
          </w:p>
        </w:tc>
      </w:tr>
      <w:tr w:rsidR="000574EE" w14:paraId="697CAEB0" w14:textId="77777777">
        <w:trPr>
          <w:trHeight w:val="351"/>
          <w:jc w:val="center"/>
        </w:trPr>
        <w:tc>
          <w:tcPr>
            <w:tcW w:w="339" w:type="dxa"/>
            <w:shd w:val="clear" w:color="auto" w:fill="auto"/>
          </w:tcPr>
          <w:p w14:paraId="5FC1332C" w14:textId="77777777" w:rsidR="000574EE" w:rsidRDefault="00AC3F5F">
            <w:pPr>
              <w:spacing w:line="360" w:lineRule="auto"/>
              <w:rPr>
                <w:color w:val="000000" w:themeColor="text1"/>
                <w:sz w:val="20"/>
                <w:szCs w:val="20"/>
              </w:rPr>
            </w:pPr>
            <w:r>
              <w:rPr>
                <w:color w:val="000000" w:themeColor="text1"/>
                <w:sz w:val="20"/>
                <w:szCs w:val="20"/>
              </w:rPr>
              <w:t>2</w:t>
            </w:r>
          </w:p>
        </w:tc>
        <w:tc>
          <w:tcPr>
            <w:tcW w:w="3236" w:type="dxa"/>
            <w:shd w:val="clear" w:color="auto" w:fill="auto"/>
          </w:tcPr>
          <w:p w14:paraId="11D51393" w14:textId="77777777" w:rsidR="000574EE" w:rsidRDefault="00AC3F5F">
            <w:pPr>
              <w:spacing w:line="360" w:lineRule="auto"/>
              <w:rPr>
                <w:color w:val="000000" w:themeColor="text1"/>
                <w:sz w:val="20"/>
                <w:szCs w:val="20"/>
              </w:rPr>
            </w:pPr>
            <w:r>
              <w:rPr>
                <w:rFonts w:hint="eastAsia"/>
                <w:color w:val="000000" w:themeColor="text1"/>
                <w:sz w:val="20"/>
                <w:szCs w:val="20"/>
              </w:rPr>
              <w:t>Behavioral</w:t>
            </w:r>
          </w:p>
        </w:tc>
        <w:tc>
          <w:tcPr>
            <w:tcW w:w="1884" w:type="dxa"/>
            <w:shd w:val="clear" w:color="auto" w:fill="auto"/>
          </w:tcPr>
          <w:p w14:paraId="365CBA28" w14:textId="77777777" w:rsidR="000574EE" w:rsidRDefault="00AC3F5F">
            <w:pPr>
              <w:spacing w:line="360" w:lineRule="auto"/>
              <w:jc w:val="center"/>
              <w:rPr>
                <w:color w:val="000000" w:themeColor="text1"/>
                <w:sz w:val="20"/>
                <w:szCs w:val="20"/>
              </w:rPr>
            </w:pPr>
            <w:r>
              <w:rPr>
                <w:rFonts w:hint="eastAsia"/>
                <w:color w:val="000000" w:themeColor="text1"/>
                <w:sz w:val="20"/>
                <w:szCs w:val="20"/>
              </w:rPr>
              <w:t>16</w:t>
            </w:r>
          </w:p>
        </w:tc>
        <w:tc>
          <w:tcPr>
            <w:tcW w:w="1993" w:type="dxa"/>
            <w:shd w:val="clear" w:color="auto" w:fill="auto"/>
          </w:tcPr>
          <w:p w14:paraId="1E5E5C83" w14:textId="77777777" w:rsidR="000574EE" w:rsidRDefault="00AC3F5F">
            <w:pPr>
              <w:spacing w:line="360" w:lineRule="auto"/>
              <w:jc w:val="center"/>
              <w:rPr>
                <w:color w:val="000000" w:themeColor="text1"/>
                <w:sz w:val="20"/>
                <w:szCs w:val="20"/>
              </w:rPr>
            </w:pPr>
            <w:r>
              <w:rPr>
                <w:color w:val="000000" w:themeColor="text1"/>
                <w:sz w:val="20"/>
                <w:szCs w:val="20"/>
              </w:rPr>
              <w:t>0.725</w:t>
            </w:r>
          </w:p>
        </w:tc>
        <w:tc>
          <w:tcPr>
            <w:tcW w:w="1413" w:type="dxa"/>
            <w:shd w:val="clear" w:color="auto" w:fill="F9F9FB"/>
          </w:tcPr>
          <w:p w14:paraId="250FC81C" w14:textId="77777777" w:rsidR="000574EE" w:rsidRDefault="00AC3F5F">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1A612E32" w14:textId="77777777">
        <w:trPr>
          <w:trHeight w:val="351"/>
          <w:jc w:val="center"/>
        </w:trPr>
        <w:tc>
          <w:tcPr>
            <w:tcW w:w="339" w:type="dxa"/>
            <w:shd w:val="clear" w:color="auto" w:fill="auto"/>
          </w:tcPr>
          <w:p w14:paraId="6F4691F1" w14:textId="77777777" w:rsidR="000574EE" w:rsidRDefault="00AC3F5F">
            <w:pPr>
              <w:spacing w:line="360" w:lineRule="auto"/>
              <w:rPr>
                <w:color w:val="000000" w:themeColor="text1"/>
                <w:sz w:val="20"/>
                <w:szCs w:val="20"/>
              </w:rPr>
            </w:pPr>
            <w:r>
              <w:rPr>
                <w:color w:val="000000" w:themeColor="text1"/>
                <w:sz w:val="20"/>
                <w:szCs w:val="20"/>
              </w:rPr>
              <w:t>3</w:t>
            </w:r>
          </w:p>
        </w:tc>
        <w:tc>
          <w:tcPr>
            <w:tcW w:w="3236" w:type="dxa"/>
            <w:shd w:val="clear" w:color="auto" w:fill="auto"/>
          </w:tcPr>
          <w:p w14:paraId="0159BBFF" w14:textId="77777777" w:rsidR="000574EE" w:rsidRDefault="00AC3F5F">
            <w:pPr>
              <w:spacing w:line="360" w:lineRule="auto"/>
              <w:rPr>
                <w:color w:val="000000" w:themeColor="text1"/>
                <w:sz w:val="20"/>
                <w:szCs w:val="20"/>
              </w:rPr>
            </w:pPr>
            <w:r>
              <w:rPr>
                <w:rFonts w:hint="eastAsia"/>
                <w:color w:val="000000" w:themeColor="text1"/>
                <w:sz w:val="20"/>
                <w:szCs w:val="20"/>
              </w:rPr>
              <w:t>Affective (Emotional)</w:t>
            </w:r>
          </w:p>
        </w:tc>
        <w:tc>
          <w:tcPr>
            <w:tcW w:w="1884" w:type="dxa"/>
            <w:shd w:val="clear" w:color="auto" w:fill="auto"/>
          </w:tcPr>
          <w:p w14:paraId="6A8DD969" w14:textId="77777777" w:rsidR="000574EE" w:rsidRDefault="00AC3F5F">
            <w:pPr>
              <w:spacing w:line="360" w:lineRule="auto"/>
              <w:jc w:val="center"/>
              <w:rPr>
                <w:color w:val="000000" w:themeColor="text1"/>
                <w:sz w:val="20"/>
                <w:szCs w:val="20"/>
              </w:rPr>
            </w:pPr>
            <w:r>
              <w:rPr>
                <w:rFonts w:hint="eastAsia"/>
                <w:color w:val="000000" w:themeColor="text1"/>
                <w:sz w:val="20"/>
                <w:szCs w:val="20"/>
              </w:rPr>
              <w:t>17</w:t>
            </w:r>
          </w:p>
        </w:tc>
        <w:tc>
          <w:tcPr>
            <w:tcW w:w="1993" w:type="dxa"/>
            <w:shd w:val="clear" w:color="auto" w:fill="auto"/>
          </w:tcPr>
          <w:p w14:paraId="5EDA7EB0" w14:textId="77777777" w:rsidR="000574EE" w:rsidRDefault="00AC3F5F">
            <w:pPr>
              <w:spacing w:line="360" w:lineRule="auto"/>
              <w:jc w:val="center"/>
              <w:rPr>
                <w:color w:val="000000" w:themeColor="text1"/>
                <w:sz w:val="20"/>
                <w:szCs w:val="20"/>
              </w:rPr>
            </w:pPr>
            <w:r>
              <w:rPr>
                <w:color w:val="000000" w:themeColor="text1"/>
                <w:sz w:val="20"/>
                <w:szCs w:val="20"/>
              </w:rPr>
              <w:t>0.767</w:t>
            </w:r>
          </w:p>
        </w:tc>
        <w:tc>
          <w:tcPr>
            <w:tcW w:w="1413" w:type="dxa"/>
            <w:shd w:val="clear" w:color="auto" w:fill="F9F9FB"/>
          </w:tcPr>
          <w:p w14:paraId="7F3B20AB" w14:textId="77777777" w:rsidR="000574EE" w:rsidRDefault="00AC3F5F">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417D5DE1" w14:textId="77777777">
        <w:trPr>
          <w:trHeight w:val="351"/>
          <w:jc w:val="center"/>
        </w:trPr>
        <w:tc>
          <w:tcPr>
            <w:tcW w:w="339" w:type="dxa"/>
            <w:shd w:val="clear" w:color="auto" w:fill="auto"/>
          </w:tcPr>
          <w:p w14:paraId="1D35E133" w14:textId="77777777" w:rsidR="000574EE" w:rsidRDefault="000574EE">
            <w:pPr>
              <w:spacing w:line="360" w:lineRule="auto"/>
              <w:rPr>
                <w:color w:val="000000" w:themeColor="text1"/>
                <w:sz w:val="20"/>
                <w:szCs w:val="20"/>
              </w:rPr>
            </w:pPr>
          </w:p>
        </w:tc>
        <w:tc>
          <w:tcPr>
            <w:tcW w:w="3236" w:type="dxa"/>
            <w:shd w:val="clear" w:color="auto" w:fill="auto"/>
          </w:tcPr>
          <w:p w14:paraId="370D1B5F" w14:textId="77777777" w:rsidR="000574EE" w:rsidRDefault="00AC3F5F">
            <w:pPr>
              <w:spacing w:line="360" w:lineRule="auto"/>
              <w:rPr>
                <w:color w:val="000000" w:themeColor="text1"/>
                <w:sz w:val="20"/>
                <w:szCs w:val="20"/>
              </w:rPr>
            </w:pPr>
            <w:r>
              <w:rPr>
                <w:color w:val="000000" w:themeColor="text1"/>
                <w:sz w:val="20"/>
                <w:szCs w:val="20"/>
              </w:rPr>
              <w:t>All items</w:t>
            </w:r>
          </w:p>
        </w:tc>
        <w:tc>
          <w:tcPr>
            <w:tcW w:w="1884" w:type="dxa"/>
            <w:shd w:val="clear" w:color="auto" w:fill="auto"/>
          </w:tcPr>
          <w:p w14:paraId="0CDFEE0C" w14:textId="77777777" w:rsidR="000574EE" w:rsidRDefault="00AC3F5F">
            <w:pPr>
              <w:spacing w:line="360" w:lineRule="auto"/>
              <w:jc w:val="center"/>
              <w:rPr>
                <w:color w:val="000000" w:themeColor="text1"/>
                <w:sz w:val="20"/>
                <w:szCs w:val="20"/>
              </w:rPr>
            </w:pPr>
            <w:r>
              <w:rPr>
                <w:color w:val="000000" w:themeColor="text1"/>
                <w:sz w:val="20"/>
                <w:szCs w:val="20"/>
              </w:rPr>
              <w:t>4</w:t>
            </w:r>
            <w:r>
              <w:rPr>
                <w:rFonts w:hint="eastAsia"/>
                <w:color w:val="000000" w:themeColor="text1"/>
                <w:sz w:val="20"/>
                <w:szCs w:val="20"/>
              </w:rPr>
              <w:t>9</w:t>
            </w:r>
          </w:p>
        </w:tc>
        <w:tc>
          <w:tcPr>
            <w:tcW w:w="1993" w:type="dxa"/>
            <w:shd w:val="clear" w:color="auto" w:fill="auto"/>
          </w:tcPr>
          <w:p w14:paraId="05BBF05F" w14:textId="77777777" w:rsidR="000574EE" w:rsidRDefault="00AC3F5F">
            <w:pPr>
              <w:spacing w:line="360" w:lineRule="auto"/>
              <w:jc w:val="center"/>
              <w:rPr>
                <w:color w:val="000000" w:themeColor="text1"/>
                <w:sz w:val="20"/>
                <w:szCs w:val="20"/>
              </w:rPr>
            </w:pPr>
            <w:r>
              <w:rPr>
                <w:color w:val="000000" w:themeColor="text1"/>
                <w:sz w:val="20"/>
                <w:szCs w:val="20"/>
              </w:rPr>
              <w:t>0.</w:t>
            </w:r>
            <w:r>
              <w:rPr>
                <w:rFonts w:hint="eastAsia"/>
                <w:color w:val="000000" w:themeColor="text1"/>
                <w:sz w:val="20"/>
                <w:szCs w:val="20"/>
              </w:rPr>
              <w:t>796</w:t>
            </w:r>
          </w:p>
        </w:tc>
        <w:tc>
          <w:tcPr>
            <w:tcW w:w="1413" w:type="dxa"/>
            <w:shd w:val="clear" w:color="auto" w:fill="F9F9FB"/>
          </w:tcPr>
          <w:p w14:paraId="16010DDC" w14:textId="77777777" w:rsidR="000574EE" w:rsidRDefault="00AC3F5F">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bl>
    <w:p w14:paraId="018759FB" w14:textId="77777777" w:rsidR="000574EE" w:rsidRDefault="000574EE">
      <w:pPr>
        <w:spacing w:line="360" w:lineRule="auto"/>
        <w:rPr>
          <w:i/>
          <w:iCs/>
          <w:color w:val="000000" w:themeColor="text1"/>
          <w:sz w:val="22"/>
          <w:szCs w:val="22"/>
        </w:rPr>
      </w:pPr>
    </w:p>
    <w:p w14:paraId="4093B279" w14:textId="77777777" w:rsidR="000574EE" w:rsidRDefault="00AC3F5F">
      <w:pPr>
        <w:autoSpaceDE w:val="0"/>
        <w:autoSpaceDN w:val="0"/>
        <w:rPr>
          <w:rFonts w:eastAsia="SimHei" w:cs="Times New Roman"/>
          <w:bCs/>
          <w:color w:val="000000" w:themeColor="text1"/>
          <w:kern w:val="0"/>
          <w:sz w:val="24"/>
          <w:lang w:bidi="en-US"/>
        </w:rPr>
      </w:pPr>
      <w:r>
        <w:rPr>
          <w:rFonts w:eastAsia="SimHei" w:cs="Times New Roman"/>
          <w:bCs/>
          <w:color w:val="000000" w:themeColor="text1"/>
          <w:kern w:val="0"/>
          <w:sz w:val="24"/>
          <w:lang w:bidi="en-US"/>
        </w:rPr>
        <w:t xml:space="preserve">Table </w:t>
      </w:r>
      <w:r>
        <w:rPr>
          <w:rFonts w:eastAsia="SimHei" w:cs="Times New Roman" w:hint="eastAsia"/>
          <w:bCs/>
          <w:color w:val="000000" w:themeColor="text1"/>
          <w:kern w:val="0"/>
          <w:sz w:val="24"/>
          <w:lang w:bidi="en-US"/>
        </w:rPr>
        <w:t>13</w:t>
      </w:r>
      <w:r>
        <w:rPr>
          <w:rFonts w:eastAsia="SimHei" w:cs="Times New Roman"/>
          <w:bCs/>
          <w:color w:val="000000" w:themeColor="text1"/>
          <w:kern w:val="0"/>
          <w:sz w:val="24"/>
          <w:lang w:bidi="en-US"/>
        </w:rPr>
        <w:t xml:space="preserve"> demonstrates the high reliability of the questionnaire assessing non-English major undergraduate students' attitudes toward learning English, with all items exhibiting strong internal consistency. The Learning Attitude Questionnaire achieved an overall Cronbach’s α of 0.796, indicating very high reliability. Among the three subscales, Affective (Emotional) (α = 0.767) and Behavioral (α = 0.725) demonstrated very high reliability (α &gt; 0.70), while Cognitive (α = 0.675) showed acceptable reliability (α &gt; 0.67), suggesting slightly lower but still sufficient internal consistency. These findings confirm that the questionnaire effectively captures distinct dimensions of learning attitudes with stable and reliable measurement properties.</w:t>
      </w:r>
      <w:r>
        <w:rPr>
          <w:rFonts w:eastAsia="SimHei" w:cs="Times New Roman" w:hint="eastAsia"/>
          <w:bCs/>
          <w:color w:val="000000" w:themeColor="text1"/>
          <w:kern w:val="0"/>
          <w:sz w:val="24"/>
          <w:lang w:bidi="en-US"/>
        </w:rPr>
        <w:t xml:space="preserve"> </w:t>
      </w:r>
      <w:r>
        <w:rPr>
          <w:rFonts w:eastAsia="SimHei" w:cs="Times New Roman"/>
          <w:bCs/>
          <w:color w:val="000000" w:themeColor="text1"/>
          <w:kern w:val="0"/>
          <w:sz w:val="24"/>
          <w:lang w:bidi="en-US"/>
        </w:rPr>
        <w:t>These findings align with Abidin et al. (2012), who reported an overall Cronbach’s alpha of 0.878, indicating acceptable reliability. The reliability coefficients for the three attitude dimensions—behavioral, cognitive, and emotional—were 0.731, 0.772, and 0.677, respectively, reflecting adequate internal consistency.</w:t>
      </w:r>
    </w:p>
    <w:p w14:paraId="7D329FF3" w14:textId="77777777" w:rsidR="000574EE" w:rsidRDefault="00AC3F5F">
      <w:pPr>
        <w:autoSpaceDE w:val="0"/>
        <w:autoSpaceDN w:val="0"/>
        <w:ind w:firstLineChars="300" w:firstLine="720"/>
        <w:rPr>
          <w:rFonts w:eastAsia="SimHei" w:cs="Times New Roman"/>
          <w:bCs/>
          <w:color w:val="000000" w:themeColor="text1"/>
          <w:kern w:val="0"/>
          <w:sz w:val="24"/>
          <w:lang w:bidi="en-US"/>
        </w:rPr>
      </w:pPr>
      <w:r>
        <w:rPr>
          <w:rFonts w:eastAsia="SimHei" w:cs="Times New Roman"/>
          <w:bCs/>
          <w:color w:val="000000" w:themeColor="text1"/>
          <w:kern w:val="0"/>
          <w:sz w:val="24"/>
          <w:lang w:bidi="en-US"/>
        </w:rPr>
        <w:t xml:space="preserve">Furthermore, Al </w:t>
      </w:r>
      <w:proofErr w:type="spellStart"/>
      <w:r>
        <w:rPr>
          <w:rFonts w:eastAsia="SimHei" w:cs="Times New Roman"/>
          <w:bCs/>
          <w:color w:val="000000" w:themeColor="text1"/>
          <w:kern w:val="0"/>
          <w:sz w:val="24"/>
          <w:lang w:bidi="en-US"/>
        </w:rPr>
        <w:t>Obaydi</w:t>
      </w:r>
      <w:proofErr w:type="spellEnd"/>
      <w:r>
        <w:rPr>
          <w:rFonts w:eastAsia="SimHei" w:cs="Times New Roman"/>
          <w:bCs/>
          <w:color w:val="000000" w:themeColor="text1"/>
          <w:kern w:val="0"/>
          <w:sz w:val="24"/>
          <w:lang w:bidi="en-US"/>
        </w:rPr>
        <w:t xml:space="preserve"> et al. (2023) confirmed the validity of these three dimensions, reporting an overall reliability coefficient of 0.936. Similarly, Gregory and Noto (2018) reported a reliability of 0.8. </w:t>
      </w:r>
      <w:proofErr w:type="spellStart"/>
      <w:r>
        <w:rPr>
          <w:rFonts w:eastAsia="SimHei" w:cs="Times New Roman"/>
          <w:bCs/>
          <w:color w:val="000000" w:themeColor="text1"/>
          <w:kern w:val="0"/>
          <w:sz w:val="24"/>
          <w:lang w:bidi="en-US"/>
        </w:rPr>
        <w:t>Katsantonis</w:t>
      </w:r>
      <w:proofErr w:type="spellEnd"/>
      <w:r>
        <w:rPr>
          <w:rFonts w:eastAsia="SimHei" w:cs="Times New Roman"/>
          <w:bCs/>
          <w:color w:val="000000" w:themeColor="text1"/>
          <w:kern w:val="0"/>
          <w:sz w:val="24"/>
          <w:lang w:bidi="en-US"/>
        </w:rPr>
        <w:t xml:space="preserve"> and </w:t>
      </w:r>
      <w:proofErr w:type="spellStart"/>
      <w:r>
        <w:rPr>
          <w:rFonts w:eastAsia="SimHei" w:cs="Times New Roman"/>
          <w:bCs/>
          <w:color w:val="000000" w:themeColor="text1"/>
          <w:kern w:val="0"/>
          <w:sz w:val="24"/>
          <w:lang w:bidi="en-US"/>
        </w:rPr>
        <w:t>Katsantonis</w:t>
      </w:r>
      <w:proofErr w:type="spellEnd"/>
      <w:r>
        <w:rPr>
          <w:rFonts w:eastAsia="SimHei" w:cs="Times New Roman"/>
          <w:bCs/>
          <w:color w:val="000000" w:themeColor="text1"/>
          <w:kern w:val="0"/>
          <w:sz w:val="24"/>
          <w:lang w:bidi="en-US"/>
        </w:rPr>
        <w:t xml:space="preserve"> (2024) clarified that the Cronbach's alphas for the cognitive, behavioral, and emotional dimensions in their study were 0.905, </w:t>
      </w:r>
      <w:r>
        <w:rPr>
          <w:rFonts w:eastAsia="SimHei" w:cs="Times New Roman"/>
          <w:bCs/>
          <w:color w:val="000000" w:themeColor="text1"/>
          <w:kern w:val="0"/>
          <w:sz w:val="24"/>
          <w:lang w:bidi="en-US"/>
        </w:rPr>
        <w:lastRenderedPageBreak/>
        <w:t>0.956, and 0.924, respectively, further supporting the robustness of attitude scales in measuring students' learning attitudes.</w:t>
      </w:r>
    </w:p>
    <w:p w14:paraId="1A2F2A56" w14:textId="77777777" w:rsidR="000574EE" w:rsidRDefault="00AC3F5F">
      <w:pPr>
        <w:autoSpaceDE w:val="0"/>
        <w:autoSpaceDN w:val="0"/>
        <w:ind w:firstLineChars="300" w:firstLine="720"/>
        <w:rPr>
          <w:rFonts w:eastAsia="SimHei" w:cs="Times New Roman"/>
          <w:bCs/>
          <w:color w:val="0000FF"/>
          <w:kern w:val="0"/>
          <w:sz w:val="24"/>
          <w:lang w:bidi="en-US"/>
        </w:rPr>
      </w:pPr>
      <w:r>
        <w:rPr>
          <w:rFonts w:eastAsia="SimHei" w:cs="Times New Roman" w:hint="eastAsia"/>
          <w:bCs/>
          <w:color w:val="0000FF"/>
          <w:kern w:val="0"/>
          <w:sz w:val="24"/>
          <w:lang w:bidi="en-US"/>
        </w:rPr>
        <w:t>Table 14 presents the results of the KMO Measure of Sampling Adequacy and Bartlett</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s Test of Sphericity for Learning Attitude, both of which confirm the suitability of the data for factor analysis. The KMO value for Learning Attitude was 0.70, which falls within the </w:t>
      </w:r>
      <w:r>
        <w:rPr>
          <w:rFonts w:eastAsia="SimHei" w:cs="Times New Roman"/>
          <w:bCs/>
          <w:color w:val="0000FF"/>
          <w:kern w:val="0"/>
          <w:sz w:val="24"/>
          <w:lang w:bidi="en-US"/>
        </w:rPr>
        <w:t>“</w:t>
      </w:r>
      <w:r>
        <w:rPr>
          <w:rFonts w:eastAsia="SimHei" w:cs="Times New Roman" w:hint="eastAsia"/>
          <w:bCs/>
          <w:color w:val="0000FF"/>
          <w:kern w:val="0"/>
          <w:sz w:val="24"/>
          <w:lang w:bidi="en-US"/>
        </w:rPr>
        <w:t>middling</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 range according to Kaiser (1974), indicating a moderate level of sampling adequacy for factor analysis. Additionally, Bartlett</w:t>
      </w:r>
      <w:r>
        <w:rPr>
          <w:rFonts w:eastAsia="SimHei" w:cs="Times New Roman"/>
          <w:bCs/>
          <w:color w:val="0000FF"/>
          <w:kern w:val="0"/>
          <w:sz w:val="24"/>
          <w:lang w:bidi="en-US"/>
        </w:rPr>
        <w:t>’</w:t>
      </w:r>
      <w:r>
        <w:rPr>
          <w:rFonts w:eastAsia="SimHei" w:cs="Times New Roman" w:hint="eastAsia"/>
          <w:bCs/>
          <w:color w:val="0000FF"/>
          <w:kern w:val="0"/>
          <w:sz w:val="24"/>
          <w:lang w:bidi="en-US"/>
        </w:rPr>
        <w:t>s Test of Sphericity produced a significant result (Chi-Square = 54.376, df = 3, p &lt; 0.001), suggesting that the correlation matrix significantly deviates from the identity matrix, thus confirming that the variables related to Learning Attitude are sufficiently interrelated to support the application of factor analysis.</w:t>
      </w:r>
    </w:p>
    <w:p w14:paraId="1E77DEDD" w14:textId="77777777" w:rsidR="000574EE" w:rsidRDefault="000574EE">
      <w:pPr>
        <w:autoSpaceDE w:val="0"/>
        <w:autoSpaceDN w:val="0"/>
        <w:rPr>
          <w:rFonts w:eastAsia="SimHei" w:cs="Times New Roman"/>
          <w:bCs/>
          <w:color w:val="0000FF"/>
          <w:kern w:val="0"/>
          <w:sz w:val="24"/>
          <w:lang w:bidi="en-US"/>
        </w:rPr>
      </w:pPr>
    </w:p>
    <w:p w14:paraId="77AD91E8" w14:textId="77777777" w:rsidR="000574EE" w:rsidRDefault="000574EE">
      <w:pPr>
        <w:autoSpaceDE w:val="0"/>
        <w:autoSpaceDN w:val="0"/>
        <w:rPr>
          <w:rFonts w:eastAsia="SimHei" w:cs="Times New Roman"/>
          <w:bCs/>
          <w:color w:val="0000FF"/>
          <w:kern w:val="0"/>
          <w:sz w:val="24"/>
          <w:lang w:bidi="en-US"/>
        </w:rPr>
      </w:pPr>
    </w:p>
    <w:p w14:paraId="58C37860" w14:textId="77777777" w:rsidR="000574EE" w:rsidRDefault="000574EE">
      <w:pPr>
        <w:autoSpaceDE w:val="0"/>
        <w:autoSpaceDN w:val="0"/>
        <w:rPr>
          <w:rFonts w:eastAsia="SimHei" w:cs="Times New Roman"/>
          <w:bCs/>
          <w:color w:val="0000FF"/>
          <w:kern w:val="0"/>
          <w:sz w:val="24"/>
          <w:lang w:bidi="en-US"/>
        </w:rPr>
      </w:pPr>
    </w:p>
    <w:p w14:paraId="5DEDE7E5" w14:textId="77777777" w:rsidR="000574EE" w:rsidRDefault="000574EE">
      <w:pPr>
        <w:autoSpaceDE w:val="0"/>
        <w:autoSpaceDN w:val="0"/>
        <w:rPr>
          <w:rFonts w:eastAsia="SimHei" w:cs="Times New Roman"/>
          <w:bCs/>
          <w:color w:val="0000FF"/>
          <w:kern w:val="0"/>
          <w:sz w:val="24"/>
          <w:lang w:bidi="en-US"/>
        </w:rPr>
      </w:pPr>
    </w:p>
    <w:p w14:paraId="0AE6210C" w14:textId="77777777" w:rsidR="000574EE" w:rsidRDefault="00AC3F5F">
      <w:pPr>
        <w:spacing w:line="360" w:lineRule="auto"/>
        <w:rPr>
          <w:color w:val="0000FF"/>
          <w:sz w:val="20"/>
          <w:szCs w:val="20"/>
        </w:rPr>
      </w:pPr>
      <w:r>
        <w:rPr>
          <w:rFonts w:hint="eastAsia"/>
          <w:color w:val="0000FF"/>
          <w:sz w:val="20"/>
          <w:szCs w:val="20"/>
        </w:rPr>
        <w:t xml:space="preserve">Table 14: KMO and Bartlett's Test on Learning Attitude </w:t>
      </w:r>
    </w:p>
    <w:tbl>
      <w:tblPr>
        <w:tblW w:w="4996" w:type="pct"/>
        <w:tblLook w:val="04A0" w:firstRow="1" w:lastRow="0" w:firstColumn="1" w:lastColumn="0" w:noHBand="0" w:noVBand="1"/>
      </w:tblPr>
      <w:tblGrid>
        <w:gridCol w:w="3651"/>
        <w:gridCol w:w="2510"/>
        <w:gridCol w:w="2904"/>
      </w:tblGrid>
      <w:tr w:rsidR="000574EE" w14:paraId="3B4BF790" w14:textId="77777777">
        <w:trPr>
          <w:trHeight w:val="546"/>
        </w:trPr>
        <w:tc>
          <w:tcPr>
            <w:tcW w:w="3397" w:type="pct"/>
            <w:gridSpan w:val="2"/>
            <w:tcBorders>
              <w:top w:val="single" w:sz="4" w:space="0" w:color="auto"/>
              <w:left w:val="nil"/>
              <w:bottom w:val="single" w:sz="4" w:space="0" w:color="auto"/>
              <w:right w:val="nil"/>
            </w:tcBorders>
            <w:shd w:val="clear" w:color="auto" w:fill="auto"/>
          </w:tcPr>
          <w:p w14:paraId="398E8F91" w14:textId="77777777" w:rsidR="000574EE" w:rsidRDefault="00AC3F5F">
            <w:pPr>
              <w:spacing w:line="360" w:lineRule="auto"/>
              <w:jc w:val="right"/>
              <w:rPr>
                <w:rFonts w:eastAsia="SimHei"/>
                <w:bCs/>
                <w:color w:val="0000FF"/>
                <w:sz w:val="20"/>
                <w:szCs w:val="20"/>
              </w:rPr>
            </w:pPr>
            <w:r>
              <w:rPr>
                <w:rFonts w:eastAsia="SimSun" w:cs="Calibri" w:hint="eastAsia"/>
                <w:b/>
                <w:bCs/>
                <w:color w:val="0000FF"/>
                <w:kern w:val="0"/>
                <w:sz w:val="20"/>
                <w:szCs w:val="20"/>
                <w:lang w:bidi="ar"/>
              </w:rPr>
              <w:t>Kaiser-Meyer-Olkin Measure of Sampling Adequacy.</w:t>
            </w:r>
          </w:p>
        </w:tc>
        <w:tc>
          <w:tcPr>
            <w:tcW w:w="1602" w:type="pct"/>
            <w:tcBorders>
              <w:top w:val="single" w:sz="4" w:space="0" w:color="auto"/>
              <w:left w:val="nil"/>
              <w:bottom w:val="single" w:sz="4" w:space="0" w:color="auto"/>
              <w:right w:val="nil"/>
            </w:tcBorders>
            <w:shd w:val="clear" w:color="auto" w:fill="auto"/>
            <w:noWrap/>
            <w:vAlign w:val="center"/>
          </w:tcPr>
          <w:p w14:paraId="2D268F16"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0.70</w:t>
            </w:r>
          </w:p>
        </w:tc>
      </w:tr>
      <w:tr w:rsidR="000574EE" w14:paraId="77BBC920" w14:textId="77777777">
        <w:trPr>
          <w:trHeight w:val="435"/>
        </w:trPr>
        <w:tc>
          <w:tcPr>
            <w:tcW w:w="2013" w:type="pct"/>
            <w:vMerge w:val="restart"/>
            <w:tcBorders>
              <w:top w:val="single" w:sz="4" w:space="0" w:color="auto"/>
              <w:left w:val="nil"/>
              <w:bottom w:val="nil"/>
              <w:right w:val="nil"/>
            </w:tcBorders>
            <w:shd w:val="clear" w:color="auto" w:fill="auto"/>
          </w:tcPr>
          <w:p w14:paraId="6C652E78" w14:textId="77777777" w:rsidR="000574EE" w:rsidRDefault="000574EE">
            <w:pPr>
              <w:spacing w:line="360" w:lineRule="auto"/>
              <w:jc w:val="right"/>
              <w:rPr>
                <w:rFonts w:eastAsia="SimSun" w:cs="Calibri"/>
                <w:b/>
                <w:bCs/>
                <w:color w:val="0000FF"/>
                <w:kern w:val="0"/>
                <w:sz w:val="20"/>
                <w:szCs w:val="20"/>
                <w:lang w:bidi="ar"/>
              </w:rPr>
            </w:pPr>
          </w:p>
          <w:p w14:paraId="00B4A5A9" w14:textId="77777777" w:rsidR="000574EE" w:rsidRDefault="00AC3F5F">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Bartlett's Test of Sphericity</w:t>
            </w:r>
          </w:p>
        </w:tc>
        <w:tc>
          <w:tcPr>
            <w:tcW w:w="1384" w:type="pct"/>
            <w:tcBorders>
              <w:top w:val="single" w:sz="4" w:space="0" w:color="auto"/>
              <w:left w:val="nil"/>
              <w:bottom w:val="nil"/>
              <w:right w:val="nil"/>
            </w:tcBorders>
            <w:shd w:val="clear" w:color="auto" w:fill="auto"/>
          </w:tcPr>
          <w:p w14:paraId="2D4405CF" w14:textId="77777777" w:rsidR="000574EE" w:rsidRDefault="00AC3F5F">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Approx. Chi-Square</w:t>
            </w:r>
          </w:p>
        </w:tc>
        <w:tc>
          <w:tcPr>
            <w:tcW w:w="1602" w:type="pct"/>
            <w:tcBorders>
              <w:top w:val="single" w:sz="4" w:space="0" w:color="auto"/>
              <w:left w:val="nil"/>
              <w:bottom w:val="nil"/>
              <w:right w:val="nil"/>
            </w:tcBorders>
            <w:shd w:val="clear" w:color="auto" w:fill="F9F9FB"/>
          </w:tcPr>
          <w:p w14:paraId="259F9FA2"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54.376</w:t>
            </w:r>
          </w:p>
        </w:tc>
      </w:tr>
      <w:tr w:rsidR="000574EE" w14:paraId="696141B5" w14:textId="77777777">
        <w:trPr>
          <w:trHeight w:val="351"/>
        </w:trPr>
        <w:tc>
          <w:tcPr>
            <w:tcW w:w="2013" w:type="pct"/>
            <w:vMerge/>
            <w:tcBorders>
              <w:top w:val="nil"/>
              <w:left w:val="nil"/>
              <w:bottom w:val="nil"/>
              <w:right w:val="nil"/>
            </w:tcBorders>
            <w:shd w:val="clear" w:color="auto" w:fill="auto"/>
          </w:tcPr>
          <w:p w14:paraId="7A1FCCD1" w14:textId="77777777" w:rsidR="000574EE" w:rsidRDefault="000574EE">
            <w:pPr>
              <w:spacing w:line="360" w:lineRule="auto"/>
              <w:jc w:val="right"/>
              <w:rPr>
                <w:rFonts w:eastAsia="SimSun" w:cs="Calibri"/>
                <w:b/>
                <w:bCs/>
                <w:color w:val="0000FF"/>
                <w:kern w:val="0"/>
                <w:sz w:val="20"/>
                <w:szCs w:val="20"/>
                <w:lang w:bidi="ar"/>
              </w:rPr>
            </w:pPr>
          </w:p>
        </w:tc>
        <w:tc>
          <w:tcPr>
            <w:tcW w:w="1384" w:type="pct"/>
            <w:tcBorders>
              <w:top w:val="nil"/>
              <w:left w:val="nil"/>
              <w:bottom w:val="nil"/>
              <w:right w:val="nil"/>
            </w:tcBorders>
            <w:shd w:val="clear" w:color="auto" w:fill="auto"/>
          </w:tcPr>
          <w:p w14:paraId="31015DA5" w14:textId="77777777" w:rsidR="000574EE" w:rsidRDefault="00AC3F5F">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df</w:t>
            </w:r>
          </w:p>
        </w:tc>
        <w:tc>
          <w:tcPr>
            <w:tcW w:w="1602" w:type="pct"/>
            <w:tcBorders>
              <w:top w:val="nil"/>
              <w:left w:val="nil"/>
              <w:bottom w:val="nil"/>
              <w:right w:val="nil"/>
            </w:tcBorders>
            <w:shd w:val="clear" w:color="auto" w:fill="F9F9FB"/>
          </w:tcPr>
          <w:p w14:paraId="1C725630"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3</w:t>
            </w:r>
          </w:p>
        </w:tc>
      </w:tr>
      <w:tr w:rsidR="000574EE" w14:paraId="2427BA79" w14:textId="77777777">
        <w:trPr>
          <w:trHeight w:val="108"/>
        </w:trPr>
        <w:tc>
          <w:tcPr>
            <w:tcW w:w="2013" w:type="pct"/>
            <w:vMerge/>
            <w:tcBorders>
              <w:top w:val="nil"/>
              <w:left w:val="nil"/>
              <w:bottom w:val="single" w:sz="4" w:space="0" w:color="auto"/>
              <w:right w:val="nil"/>
            </w:tcBorders>
            <w:shd w:val="clear" w:color="auto" w:fill="auto"/>
          </w:tcPr>
          <w:p w14:paraId="5322A787" w14:textId="77777777" w:rsidR="000574EE" w:rsidRDefault="000574EE">
            <w:pPr>
              <w:spacing w:line="360" w:lineRule="auto"/>
              <w:jc w:val="right"/>
              <w:rPr>
                <w:rFonts w:eastAsia="SimHei"/>
                <w:bCs/>
                <w:color w:val="0000FF"/>
                <w:sz w:val="20"/>
                <w:szCs w:val="20"/>
              </w:rPr>
            </w:pPr>
          </w:p>
        </w:tc>
        <w:tc>
          <w:tcPr>
            <w:tcW w:w="1384" w:type="pct"/>
            <w:tcBorders>
              <w:top w:val="nil"/>
              <w:left w:val="nil"/>
              <w:bottom w:val="single" w:sz="4" w:space="0" w:color="auto"/>
              <w:right w:val="nil"/>
            </w:tcBorders>
            <w:shd w:val="clear" w:color="auto" w:fill="auto"/>
          </w:tcPr>
          <w:p w14:paraId="7381B9A9" w14:textId="77777777" w:rsidR="000574EE" w:rsidRDefault="00AC3F5F">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Sig.</w:t>
            </w:r>
          </w:p>
        </w:tc>
        <w:tc>
          <w:tcPr>
            <w:tcW w:w="1602" w:type="pct"/>
            <w:tcBorders>
              <w:top w:val="nil"/>
              <w:left w:val="nil"/>
              <w:bottom w:val="single" w:sz="4" w:space="0" w:color="auto"/>
              <w:right w:val="nil"/>
            </w:tcBorders>
            <w:shd w:val="clear" w:color="auto" w:fill="F9F9FB"/>
          </w:tcPr>
          <w:p w14:paraId="52BC7D82" w14:textId="77777777" w:rsidR="000574EE" w:rsidRDefault="00AC3F5F">
            <w:pPr>
              <w:spacing w:line="360" w:lineRule="auto"/>
              <w:jc w:val="center"/>
              <w:rPr>
                <w:rFonts w:eastAsia="SimHei"/>
                <w:bCs/>
                <w:color w:val="0000FF"/>
                <w:sz w:val="20"/>
                <w:szCs w:val="20"/>
              </w:rPr>
            </w:pPr>
            <w:r>
              <w:rPr>
                <w:rFonts w:eastAsia="SimHei" w:hint="eastAsia"/>
                <w:bCs/>
                <w:color w:val="0000FF"/>
                <w:sz w:val="20"/>
                <w:szCs w:val="20"/>
              </w:rPr>
              <w:t>&lt; 0.001</w:t>
            </w:r>
          </w:p>
        </w:tc>
      </w:tr>
    </w:tbl>
    <w:p w14:paraId="23296A0F" w14:textId="77777777" w:rsidR="000574EE" w:rsidRDefault="000574EE">
      <w:pPr>
        <w:autoSpaceDE w:val="0"/>
        <w:autoSpaceDN w:val="0"/>
        <w:rPr>
          <w:rFonts w:eastAsia="SimHei" w:cs="Times New Roman"/>
          <w:bCs/>
          <w:color w:val="000000" w:themeColor="text1"/>
          <w:kern w:val="0"/>
          <w:sz w:val="24"/>
          <w:lang w:bidi="en-US"/>
        </w:rPr>
      </w:pPr>
    </w:p>
    <w:p w14:paraId="06D67A79" w14:textId="77777777" w:rsidR="000574EE" w:rsidRDefault="000574EE">
      <w:pPr>
        <w:autoSpaceDE w:val="0"/>
        <w:autoSpaceDN w:val="0"/>
        <w:ind w:firstLineChars="300" w:firstLine="720"/>
        <w:rPr>
          <w:rFonts w:eastAsia="SimHei" w:cs="Times New Roman"/>
          <w:bCs/>
          <w:color w:val="000000" w:themeColor="text1"/>
          <w:kern w:val="0"/>
          <w:sz w:val="24"/>
          <w:lang w:bidi="en-US"/>
        </w:rPr>
      </w:pPr>
    </w:p>
    <w:p w14:paraId="6D253032" w14:textId="77777777" w:rsidR="000574EE" w:rsidRDefault="00AC3F5F">
      <w:pPr>
        <w:spacing w:before="240" w:after="240"/>
        <w:jc w:val="center"/>
        <w:rPr>
          <w:b/>
          <w:bCs/>
          <w:sz w:val="24"/>
          <w:szCs w:val="22"/>
        </w:rPr>
      </w:pPr>
      <w:r>
        <w:rPr>
          <w:b/>
          <w:bCs/>
          <w:sz w:val="24"/>
          <w:szCs w:val="22"/>
        </w:rPr>
        <w:t>CONCLUSION</w:t>
      </w:r>
    </w:p>
    <w:p w14:paraId="46B6EFDD" w14:textId="77777777" w:rsidR="000574EE" w:rsidRDefault="00AC3F5F">
      <w:pPr>
        <w:autoSpaceDE w:val="0"/>
        <w:autoSpaceDN w:val="0"/>
        <w:rPr>
          <w:rFonts w:eastAsia="SimHei" w:cs="Times New Roman"/>
          <w:bCs/>
          <w:kern w:val="0"/>
          <w:sz w:val="24"/>
          <w:lang w:bidi="en-US"/>
        </w:rPr>
      </w:pPr>
      <w:r>
        <w:rPr>
          <w:rFonts w:eastAsia="SimHei" w:cs="Times New Roman"/>
          <w:bCs/>
          <w:kern w:val="0"/>
          <w:sz w:val="24"/>
          <w:lang w:bidi="en-US"/>
        </w:rPr>
        <w:t>This study aimed to develop and validate questionnaires assessing speaking strategies, speaking anxiety, learning motivation, and learning attitudes. The results indicated that all four instruments demonstrated high reliability, confirming their suitability for the intended research. These findings are significant as they addressed potential ambiguities related to the data collection process and familiarized the researcher with the procedural aspects of the main study. The primary objective of the pilot study was to enhance both the efficiency and quality of the subsequent full-scale study while broadening the researcher’s practical experience (Pearson et al., 2020). Additionally, Teresi et al. (2022) underscored the value of pilot studies in identifying unforeseen issues that may compromise the flow and integrity of the main investigation.</w:t>
      </w:r>
      <w:r>
        <w:rPr>
          <w:rFonts w:eastAsia="SimHei" w:cs="Times New Roman" w:hint="eastAsia"/>
          <w:bCs/>
          <w:kern w:val="0"/>
          <w:sz w:val="24"/>
          <w:lang w:bidi="en-US"/>
        </w:rPr>
        <w:t xml:space="preserve"> </w:t>
      </w:r>
      <w:r>
        <w:rPr>
          <w:rFonts w:eastAsia="SimHei" w:cs="Times New Roman"/>
          <w:bCs/>
          <w:kern w:val="0"/>
          <w:sz w:val="24"/>
          <w:lang w:bidi="en-US"/>
        </w:rPr>
        <w:t xml:space="preserve">Furthermore, this study successfully developed and validated instruments that can be utilized in the main research, with the validation process serving as a reference for future scholars. </w:t>
      </w:r>
      <w:r>
        <w:rPr>
          <w:rFonts w:eastAsia="SimHei" w:cs="Times New Roman" w:hint="eastAsia"/>
          <w:bCs/>
          <w:color w:val="0000FF"/>
          <w:kern w:val="0"/>
          <w:sz w:val="24"/>
          <w:lang w:bidi="en-US"/>
        </w:rPr>
        <w:t xml:space="preserve">This study holds significant value for the scientific community, particularly in the field of language education, by contributing to the development and validation of reliable instruments for assessing speaking strategies, speaking anxiety, learning motivation, and learning attitudes. These constructs are crucial components of language learning and can offer insights into the factors influencing learners' language proficiency. While the study primarily focuses on the validation process of the questionnaires, it lays a strong foundation for future research that can utilize these tools to explore the dynamics of </w:t>
      </w:r>
      <w:r>
        <w:rPr>
          <w:rFonts w:eastAsia="SimHei" w:cs="Times New Roman" w:hint="eastAsia"/>
          <w:bCs/>
          <w:color w:val="0000FF"/>
          <w:kern w:val="0"/>
          <w:sz w:val="24"/>
          <w:lang w:bidi="en-US"/>
        </w:rPr>
        <w:lastRenderedPageBreak/>
        <w:t xml:space="preserve">language learning. By offering a systematic and empirical approach to questionnaire development, this research enhances the methodological rigor in language education studies and provides a valuable resource for scholars seeking to further investigate the complexities of language acquisition. </w:t>
      </w:r>
      <w:r>
        <w:rPr>
          <w:rFonts w:eastAsia="SimHei" w:cs="Times New Roman"/>
          <w:bCs/>
          <w:kern w:val="0"/>
          <w:sz w:val="24"/>
          <w:lang w:bidi="en-US"/>
        </w:rPr>
        <w:t>The pilot study provided critical insights regarding the adequacy of research tools, the feasibility of the main study, and the financial considerations associated with its implementation.</w:t>
      </w:r>
      <w:r>
        <w:rPr>
          <w:rFonts w:eastAsia="SimHei" w:cs="Times New Roman" w:hint="eastAsia"/>
          <w:bCs/>
          <w:kern w:val="0"/>
          <w:sz w:val="24"/>
          <w:lang w:bidi="en-US"/>
        </w:rPr>
        <w:t xml:space="preserve"> </w:t>
      </w:r>
      <w:r>
        <w:rPr>
          <w:rFonts w:eastAsia="SimHei" w:cs="Times New Roman"/>
          <w:bCs/>
          <w:kern w:val="0"/>
          <w:sz w:val="24"/>
          <w:lang w:bidi="en-US"/>
        </w:rPr>
        <w:t>However, certain limitations should be noted. First, the data were collected exclusively from first- and second-year university students, which may limit the generalizability of the findings. Future research is encouraged to incorporate larger and more diverse samples. Second, only Cronbach’s alpha was employed to assess the reliability of the questionnaires; subsequent studies might consider employing additional reliability measures, such as inter-rater reliability or split-half reliability techniques. Lastly, the questionnaire was adapted and validated within the specific context of China and the aims of this research. Future researchers are advised to further adapt and validate these instruments in alignment with their own research contexts and objectives.</w:t>
      </w:r>
    </w:p>
    <w:p w14:paraId="731CDB4E" w14:textId="77777777" w:rsidR="000574EE" w:rsidRDefault="000574EE">
      <w:pPr>
        <w:autoSpaceDE w:val="0"/>
        <w:autoSpaceDN w:val="0"/>
        <w:rPr>
          <w:rFonts w:eastAsia="SimHei" w:cs="Times New Roman"/>
          <w:bCs/>
          <w:kern w:val="0"/>
          <w:sz w:val="24"/>
          <w:lang w:bidi="en-US"/>
        </w:rPr>
      </w:pPr>
    </w:p>
    <w:p w14:paraId="3516405D" w14:textId="77777777" w:rsidR="000574EE" w:rsidRDefault="00AC3F5F">
      <w:pPr>
        <w:widowControl/>
        <w:spacing w:after="200" w:line="276" w:lineRule="auto"/>
        <w:jc w:val="left"/>
        <w:rPr>
          <w:rFonts w:ascii="Calibri" w:eastAsia="Calibri" w:hAnsi="Calibri" w:cs="Times New Roman"/>
          <w:sz w:val="22"/>
          <w:szCs w:val="22"/>
          <w:highlight w:val="yellow"/>
          <w:lang w:eastAsia="en-US"/>
        </w:rPr>
      </w:pPr>
      <w:bookmarkStart w:id="2" w:name="_Hlk191544944"/>
      <w:r>
        <w:rPr>
          <w:rFonts w:ascii="Calibri" w:eastAsia="Calibri" w:hAnsi="Calibri" w:cs="Times New Roman"/>
          <w:sz w:val="22"/>
          <w:szCs w:val="22"/>
          <w:highlight w:val="yellow"/>
          <w:lang w:eastAsia="en-US"/>
        </w:rPr>
        <w:t>Disclaimer (Artificial intelligence)</w:t>
      </w:r>
    </w:p>
    <w:p w14:paraId="31B00188" w14:textId="77777777" w:rsidR="000574EE" w:rsidRDefault="00AC3F5F">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 xml:space="preserve">Option 1: </w:t>
      </w:r>
    </w:p>
    <w:p w14:paraId="48379EC4" w14:textId="77777777" w:rsidR="000574EE" w:rsidRDefault="00AC3F5F">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 xml:space="preserve">Author(s) hereby declare that NO generative AI technologies such as Large Language Models (ChatGPT, COPILOT, etc.) and text-to-image generators have been used during the writing or editing of this manuscript. </w:t>
      </w:r>
    </w:p>
    <w:p w14:paraId="18D28F4F" w14:textId="77777777" w:rsidR="000574EE" w:rsidRDefault="00AC3F5F">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 xml:space="preserve">Option 2: </w:t>
      </w:r>
    </w:p>
    <w:p w14:paraId="60D095D3" w14:textId="77777777" w:rsidR="000574EE" w:rsidRDefault="00AC3F5F">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D10AE79" w14:textId="77777777" w:rsidR="000574EE" w:rsidRDefault="00AC3F5F">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Details of the AI usage are given below:</w:t>
      </w:r>
    </w:p>
    <w:p w14:paraId="4402243C" w14:textId="77777777" w:rsidR="000574EE" w:rsidRDefault="00AC3F5F">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1.</w:t>
      </w:r>
    </w:p>
    <w:p w14:paraId="2134E831" w14:textId="77777777" w:rsidR="000574EE" w:rsidRDefault="00AC3F5F">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2.</w:t>
      </w:r>
    </w:p>
    <w:p w14:paraId="05BC63D7" w14:textId="77777777" w:rsidR="000574EE" w:rsidRDefault="00AC3F5F">
      <w:pPr>
        <w:widowControl/>
        <w:spacing w:after="200" w:line="276" w:lineRule="auto"/>
        <w:jc w:val="left"/>
        <w:rPr>
          <w:rFonts w:ascii="Calibri" w:eastAsia="Calibri" w:hAnsi="Calibri" w:cs="Times New Roman"/>
          <w:sz w:val="22"/>
          <w:szCs w:val="22"/>
          <w:lang w:eastAsia="en-US"/>
        </w:rPr>
      </w:pPr>
      <w:r>
        <w:rPr>
          <w:rFonts w:ascii="Calibri" w:eastAsia="Calibri" w:hAnsi="Calibri" w:cs="Times New Roman"/>
          <w:sz w:val="22"/>
          <w:szCs w:val="22"/>
          <w:highlight w:val="yellow"/>
          <w:lang w:eastAsia="en-US"/>
        </w:rPr>
        <w:t>3.</w:t>
      </w:r>
    </w:p>
    <w:bookmarkEnd w:id="2"/>
    <w:p w14:paraId="274EDFE3" w14:textId="77777777" w:rsidR="000574EE" w:rsidRDefault="000574EE">
      <w:pPr>
        <w:autoSpaceDE w:val="0"/>
        <w:autoSpaceDN w:val="0"/>
        <w:rPr>
          <w:rFonts w:eastAsia="SimHei" w:cs="Times New Roman"/>
          <w:bCs/>
          <w:kern w:val="0"/>
          <w:sz w:val="24"/>
          <w:lang w:bidi="en-US"/>
        </w:rPr>
      </w:pPr>
    </w:p>
    <w:p w14:paraId="17EFC476" w14:textId="77777777" w:rsidR="000574EE" w:rsidRDefault="000574EE">
      <w:pPr>
        <w:widowControl/>
        <w:jc w:val="left"/>
        <w:rPr>
          <w:rFonts w:eastAsia="SimHei" w:cs="Times New Roman"/>
          <w:bCs/>
          <w:kern w:val="0"/>
          <w:sz w:val="24"/>
          <w:lang w:bidi="en-US"/>
        </w:rPr>
      </w:pPr>
    </w:p>
    <w:p w14:paraId="645090CC" w14:textId="77777777" w:rsidR="000574EE" w:rsidRDefault="000574EE">
      <w:pPr>
        <w:autoSpaceDE w:val="0"/>
        <w:autoSpaceDN w:val="0"/>
        <w:rPr>
          <w:rFonts w:eastAsia="SimHei" w:cs="Times New Roman"/>
          <w:bCs/>
          <w:kern w:val="0"/>
          <w:sz w:val="24"/>
          <w:lang w:bidi="en-US"/>
        </w:rPr>
      </w:pPr>
    </w:p>
    <w:p w14:paraId="01CFC937" w14:textId="77777777" w:rsidR="000574EE" w:rsidRDefault="00AC3F5F">
      <w:pPr>
        <w:widowControl/>
        <w:ind w:left="480" w:hangingChars="200" w:hanging="480"/>
        <w:jc w:val="center"/>
        <w:rPr>
          <w:rFonts w:eastAsia="SimSun" w:cs="Arial"/>
          <w:kern w:val="0"/>
          <w:sz w:val="24"/>
          <w:lang w:bidi="ar"/>
        </w:rPr>
      </w:pPr>
      <w:r>
        <w:rPr>
          <w:rFonts w:eastAsia="SimSun" w:cs="Arial"/>
          <w:kern w:val="0"/>
          <w:sz w:val="24"/>
          <w:lang w:bidi="ar"/>
        </w:rPr>
        <w:t>REFERENCES</w:t>
      </w:r>
    </w:p>
    <w:p w14:paraId="1B66F410" w14:textId="5B5BF67B" w:rsidR="000574EE" w:rsidRDefault="00AC3F5F">
      <w:pPr>
        <w:widowControl/>
        <w:ind w:left="480" w:hangingChars="200" w:hanging="480"/>
        <w:rPr>
          <w:rFonts w:eastAsia="SimSun" w:cs="Arial"/>
          <w:i/>
          <w:iCs/>
          <w:kern w:val="0"/>
          <w:sz w:val="24"/>
          <w:lang w:bidi="ar"/>
        </w:rPr>
      </w:pPr>
      <w:proofErr w:type="spellStart"/>
      <w:r>
        <w:rPr>
          <w:rFonts w:eastAsia="SimSun" w:cs="Arial"/>
          <w:kern w:val="0"/>
          <w:sz w:val="24"/>
          <w:lang w:bidi="ar"/>
        </w:rPr>
        <w:t>AbdAlgane</w:t>
      </w:r>
      <w:proofErr w:type="spellEnd"/>
      <w:r>
        <w:rPr>
          <w:rFonts w:eastAsia="SimSun" w:cs="Arial"/>
          <w:kern w:val="0"/>
          <w:sz w:val="24"/>
          <w:lang w:bidi="ar"/>
        </w:rPr>
        <w:t xml:space="preserve"> M., &amp; Idris, S. A. M. (2020). Challenges of pronunciation to EFL learners in spoken English.</w:t>
      </w:r>
      <w:r>
        <w:rPr>
          <w:rFonts w:eastAsia="SimSun" w:cs="Arial"/>
          <w:i/>
          <w:iCs/>
          <w:kern w:val="0"/>
          <w:sz w:val="24"/>
          <w:lang w:bidi="ar"/>
        </w:rPr>
        <w:t xml:space="preserve"> Multicultural Education, </w:t>
      </w:r>
      <w:r w:rsidRPr="003D54BA">
        <w:rPr>
          <w:rFonts w:eastAsia="SimSun" w:cs="Arial"/>
          <w:i/>
          <w:iCs/>
          <w:kern w:val="0"/>
          <w:sz w:val="24"/>
          <w:highlight w:val="cyan"/>
          <w:lang w:bidi="ar"/>
        </w:rPr>
        <w:t>6</w:t>
      </w:r>
      <w:r w:rsidRPr="003D54BA">
        <w:rPr>
          <w:rFonts w:eastAsia="SimSun" w:cs="Arial"/>
          <w:kern w:val="0"/>
          <w:sz w:val="24"/>
          <w:lang w:bidi="ar"/>
        </w:rPr>
        <w:t>(</w:t>
      </w:r>
      <w:r w:rsidRPr="007D098D">
        <w:rPr>
          <w:rFonts w:eastAsia="SimSun" w:cs="Arial"/>
          <w:kern w:val="0"/>
          <w:sz w:val="24"/>
          <w:lang w:bidi="ar"/>
        </w:rPr>
        <w:t>5</w:t>
      </w:r>
      <w:r>
        <w:rPr>
          <w:rFonts w:eastAsia="SimSun" w:cs="Arial"/>
          <w:i/>
          <w:iCs/>
          <w:kern w:val="0"/>
          <w:sz w:val="24"/>
          <w:lang w:bidi="ar"/>
        </w:rPr>
        <w:t xml:space="preserve">). </w:t>
      </w:r>
      <w:r w:rsidR="007D098D" w:rsidRPr="003D54BA">
        <w:rPr>
          <w:rFonts w:eastAsia="SimSun" w:cs="Arial"/>
          <w:kern w:val="0"/>
          <w:sz w:val="24"/>
          <w:highlight w:val="cyan"/>
          <w:lang w:bidi="ar"/>
        </w:rPr>
        <w:t>193-203</w:t>
      </w:r>
      <w:r w:rsidR="007D098D">
        <w:rPr>
          <w:rFonts w:eastAsia="SimSun" w:cs="Arial"/>
          <w:kern w:val="0"/>
          <w:sz w:val="24"/>
          <w:lang w:bidi="ar"/>
        </w:rPr>
        <w:t xml:space="preserve">. </w:t>
      </w:r>
      <w:r>
        <w:rPr>
          <w:rFonts w:eastAsia="SimSun" w:cs="Arial" w:hint="eastAsia"/>
          <w:kern w:val="0"/>
          <w:sz w:val="24"/>
          <w:lang w:bidi="ar"/>
        </w:rPr>
        <w:t>https://doi.org/</w:t>
      </w:r>
      <w:r>
        <w:rPr>
          <w:rFonts w:eastAsia="SimSun" w:cs="Arial"/>
          <w:kern w:val="0"/>
          <w:sz w:val="24"/>
          <w:lang w:bidi="ar"/>
        </w:rPr>
        <w:t>10.5281/zenodo.4408549</w:t>
      </w:r>
    </w:p>
    <w:p w14:paraId="57ADBC51" w14:textId="77777777"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kern w:val="0"/>
          <w:sz w:val="24"/>
          <w:shd w:val="clear" w:color="auto" w:fill="FFFFFF"/>
          <w:lang w:bidi="ar"/>
        </w:rPr>
        <w:lastRenderedPageBreak/>
        <w:t xml:space="preserve">Abidin, M. J. Z., Pour-Mohammadi, M., &amp; </w:t>
      </w:r>
      <w:proofErr w:type="spellStart"/>
      <w:r>
        <w:rPr>
          <w:rFonts w:eastAsia="SimSun" w:cs="Arial"/>
          <w:kern w:val="0"/>
          <w:sz w:val="24"/>
          <w:shd w:val="clear" w:color="auto" w:fill="FFFFFF"/>
          <w:lang w:bidi="ar"/>
        </w:rPr>
        <w:t>Alzwari</w:t>
      </w:r>
      <w:proofErr w:type="spellEnd"/>
      <w:r>
        <w:rPr>
          <w:rFonts w:eastAsia="SimSun" w:cs="Arial"/>
          <w:kern w:val="0"/>
          <w:sz w:val="24"/>
          <w:shd w:val="clear" w:color="auto" w:fill="FFFFFF"/>
          <w:lang w:bidi="ar"/>
        </w:rPr>
        <w:t xml:space="preserve">, H. (2012). EFL students' attitudes towards learning </w:t>
      </w:r>
      <w:r>
        <w:rPr>
          <w:rFonts w:eastAsia="SimSun" w:cs="Arial"/>
          <w:color w:val="000000" w:themeColor="text1"/>
          <w:kern w:val="0"/>
          <w:sz w:val="24"/>
          <w:shd w:val="clear" w:color="auto" w:fill="FFFFFF"/>
          <w:lang w:bidi="ar"/>
        </w:rPr>
        <w:t>English language: The case of Libyan secondary school students. </w:t>
      </w:r>
      <w:r>
        <w:rPr>
          <w:rFonts w:eastAsia="SimSun" w:cs="Arial"/>
          <w:i/>
          <w:iCs/>
          <w:color w:val="000000" w:themeColor="text1"/>
          <w:kern w:val="0"/>
          <w:sz w:val="24"/>
          <w:lang w:bidi="ar"/>
        </w:rPr>
        <w:t>Asian social science</w:t>
      </w:r>
      <w:r>
        <w:rPr>
          <w:rFonts w:eastAsia="SimSun" w:cs="Arial"/>
          <w:color w:val="000000" w:themeColor="text1"/>
          <w:kern w:val="0"/>
          <w:sz w:val="24"/>
          <w:shd w:val="clear" w:color="auto" w:fill="FFFFFF"/>
          <w:lang w:bidi="ar"/>
        </w:rPr>
        <w:t>, </w:t>
      </w:r>
      <w:r w:rsidRPr="003D54BA">
        <w:rPr>
          <w:rFonts w:eastAsia="SimSun" w:cs="Arial"/>
          <w:color w:val="000000" w:themeColor="text1"/>
          <w:kern w:val="0"/>
          <w:sz w:val="24"/>
          <w:highlight w:val="cyan"/>
          <w:lang w:bidi="ar"/>
        </w:rPr>
        <w:t>8</w:t>
      </w:r>
      <w:r>
        <w:rPr>
          <w:rFonts w:eastAsia="SimSun" w:cs="Arial"/>
          <w:color w:val="000000" w:themeColor="text1"/>
          <w:kern w:val="0"/>
          <w:sz w:val="24"/>
          <w:shd w:val="clear" w:color="auto" w:fill="FFFFFF"/>
          <w:lang w:bidi="ar"/>
        </w:rPr>
        <w:t>(2), 119.</w:t>
      </w:r>
      <w:r>
        <w:rPr>
          <w:rFonts w:eastAsia="SimSun" w:cs="Arial" w:hint="eastAsia"/>
          <w:color w:val="000000" w:themeColor="text1"/>
          <w:kern w:val="0"/>
          <w:sz w:val="24"/>
          <w:shd w:val="clear" w:color="auto" w:fill="FFFFFF"/>
          <w:lang w:bidi="ar"/>
        </w:rPr>
        <w:t xml:space="preserve"> </w:t>
      </w:r>
      <w:hyperlink r:id="rId9" w:history="1">
        <w:r>
          <w:rPr>
            <w:rStyle w:val="Hyperlink"/>
            <w:rFonts w:eastAsia="SimSun" w:cs="Arial" w:hint="eastAsia"/>
            <w:color w:val="000000" w:themeColor="text1"/>
            <w:kern w:val="0"/>
            <w:sz w:val="24"/>
            <w:shd w:val="clear" w:color="auto" w:fill="FFFFFF"/>
            <w:lang w:bidi="ar"/>
          </w:rPr>
          <w:t>http://dx.doi.org/10.5539/ass.v8n2p119</w:t>
        </w:r>
      </w:hyperlink>
    </w:p>
    <w:p w14:paraId="3F1E4A3D" w14:textId="7CBA270D" w:rsidR="000574EE" w:rsidRDefault="00AC3F5F">
      <w:pPr>
        <w:widowControl/>
        <w:ind w:left="480" w:hangingChars="200" w:hanging="480"/>
        <w:rPr>
          <w:color w:val="000000" w:themeColor="text1"/>
          <w:sz w:val="24"/>
        </w:rPr>
      </w:pPr>
      <w:proofErr w:type="spellStart"/>
      <w:r>
        <w:rPr>
          <w:rFonts w:eastAsia="SimSun" w:cs="Times New Roman"/>
          <w:color w:val="000000" w:themeColor="text1"/>
          <w:kern w:val="0"/>
          <w:sz w:val="24"/>
          <w:lang w:bidi="ar"/>
        </w:rPr>
        <w:t>Ahady</w:t>
      </w:r>
      <w:proofErr w:type="spellEnd"/>
      <w:r>
        <w:rPr>
          <w:rFonts w:eastAsia="SimSun" w:cs="Times New Roman"/>
          <w:color w:val="000000" w:themeColor="text1"/>
          <w:kern w:val="0"/>
          <w:sz w:val="24"/>
          <w:lang w:bidi="ar"/>
        </w:rPr>
        <w:t>, S.,</w:t>
      </w:r>
      <w:r w:rsidR="00E9453A">
        <w:rPr>
          <w:rFonts w:eastAsia="SimSun" w:cs="Times New Roman"/>
          <w:color w:val="000000" w:themeColor="text1"/>
          <w:kern w:val="0"/>
          <w:sz w:val="24"/>
          <w:lang w:bidi="ar"/>
        </w:rPr>
        <w:t xml:space="preserve"> </w:t>
      </w:r>
      <w:proofErr w:type="spellStart"/>
      <w:proofErr w:type="gramStart"/>
      <w:r>
        <w:rPr>
          <w:rFonts w:eastAsia="SimSun" w:cs="Times New Roman"/>
          <w:color w:val="000000" w:themeColor="text1"/>
          <w:kern w:val="0"/>
          <w:sz w:val="24"/>
          <w:lang w:bidi="ar"/>
        </w:rPr>
        <w:t>Gupta,S</w:t>
      </w:r>
      <w:proofErr w:type="spellEnd"/>
      <w:r>
        <w:rPr>
          <w:rFonts w:eastAsia="SimSun" w:cs="Times New Roman"/>
          <w:color w:val="000000" w:themeColor="text1"/>
          <w:kern w:val="0"/>
          <w:sz w:val="24"/>
          <w:lang w:bidi="ar"/>
        </w:rPr>
        <w:t>.</w:t>
      </w:r>
      <w:proofErr w:type="gramEnd"/>
      <w:r>
        <w:rPr>
          <w:rFonts w:eastAsia="SimSun" w:cs="Times New Roman"/>
          <w:color w:val="000000" w:themeColor="text1"/>
          <w:kern w:val="0"/>
          <w:sz w:val="24"/>
          <w:lang w:bidi="ar"/>
        </w:rPr>
        <w:t xml:space="preserve"> and Malik, R. K. (2017)</w:t>
      </w:r>
      <w:r w:rsidR="003D54BA">
        <w:rPr>
          <w:rFonts w:eastAsia="SimSun" w:cs="Times New Roman"/>
          <w:color w:val="000000" w:themeColor="text1"/>
          <w:kern w:val="0"/>
          <w:sz w:val="24"/>
          <w:lang w:bidi="ar"/>
        </w:rPr>
        <w:t>.</w:t>
      </w:r>
      <w:r>
        <w:rPr>
          <w:rFonts w:eastAsia="SimSun" w:cs="Times New Roman"/>
          <w:color w:val="000000" w:themeColor="text1"/>
          <w:kern w:val="0"/>
          <w:sz w:val="24"/>
          <w:lang w:bidi="ar"/>
        </w:rPr>
        <w:t xml:space="preserve"> ‘A study of the causes of cost overrun in construction industry in Afghanistan’, </w:t>
      </w:r>
      <w:r>
        <w:rPr>
          <w:rFonts w:eastAsia="SimSun" w:cs="Times New Roman"/>
          <w:i/>
          <w:iCs/>
          <w:color w:val="000000" w:themeColor="text1"/>
          <w:kern w:val="0"/>
          <w:sz w:val="24"/>
          <w:lang w:bidi="ar"/>
        </w:rPr>
        <w:t>International Journal of Engineering Development and Research</w:t>
      </w:r>
      <w:r>
        <w:rPr>
          <w:rFonts w:eastAsia="SimSun" w:cs="Times New Roman"/>
          <w:color w:val="000000" w:themeColor="text1"/>
          <w:kern w:val="0"/>
          <w:sz w:val="24"/>
          <w:lang w:bidi="ar"/>
        </w:rPr>
        <w:t xml:space="preserve">, </w:t>
      </w:r>
      <w:r w:rsidRPr="003D54BA">
        <w:rPr>
          <w:rFonts w:eastAsia="SimSun" w:cs="Times New Roman"/>
          <w:i/>
          <w:iCs/>
          <w:color w:val="000000" w:themeColor="text1"/>
          <w:kern w:val="0"/>
          <w:sz w:val="24"/>
          <w:highlight w:val="cyan"/>
          <w:lang w:bidi="ar"/>
        </w:rPr>
        <w:t>5</w:t>
      </w:r>
      <w:r>
        <w:rPr>
          <w:rFonts w:eastAsia="SimSun" w:cs="Times New Roman"/>
          <w:color w:val="000000" w:themeColor="text1"/>
          <w:kern w:val="0"/>
          <w:sz w:val="24"/>
          <w:lang w:bidi="ar"/>
        </w:rPr>
        <w:t>(3),</w:t>
      </w:r>
      <w:r>
        <w:rPr>
          <w:rFonts w:eastAsia="SimSun" w:cs="Times New Roman" w:hint="eastAsia"/>
          <w:color w:val="000000" w:themeColor="text1"/>
          <w:kern w:val="0"/>
          <w:sz w:val="24"/>
          <w:lang w:bidi="ar"/>
        </w:rPr>
        <w:t xml:space="preserve"> </w:t>
      </w:r>
      <w:r>
        <w:rPr>
          <w:rFonts w:eastAsia="SimSun" w:cs="Times New Roman"/>
          <w:color w:val="000000" w:themeColor="text1"/>
          <w:kern w:val="0"/>
          <w:sz w:val="24"/>
          <w:lang w:bidi="ar"/>
        </w:rPr>
        <w:t>978–985.</w:t>
      </w:r>
      <w:r>
        <w:rPr>
          <w:rFonts w:eastAsia="SimSun" w:cs="Times New Roman" w:hint="eastAsia"/>
          <w:color w:val="000000" w:themeColor="text1"/>
          <w:kern w:val="0"/>
          <w:sz w:val="24"/>
          <w:lang w:bidi="ar"/>
        </w:rPr>
        <w:t xml:space="preserve"> https://doi.org/10.51415/10321/1374 </w:t>
      </w:r>
      <w:r>
        <w:rPr>
          <w:rFonts w:eastAsia="SimSun" w:cs="Times New Roman"/>
          <w:color w:val="000000" w:themeColor="text1"/>
          <w:kern w:val="0"/>
          <w:sz w:val="24"/>
          <w:lang w:bidi="ar"/>
        </w:rPr>
        <w:t xml:space="preserve"> </w:t>
      </w:r>
    </w:p>
    <w:p w14:paraId="78EDDC90" w14:textId="0AA98C68" w:rsidR="000574EE" w:rsidRDefault="00AC3F5F">
      <w:pPr>
        <w:widowControl/>
        <w:ind w:left="480" w:hangingChars="200" w:hanging="480"/>
        <w:rPr>
          <w:color w:val="000000" w:themeColor="text1"/>
          <w:sz w:val="24"/>
        </w:rPr>
      </w:pPr>
      <w:r w:rsidRPr="003D54BA">
        <w:rPr>
          <w:rFonts w:eastAsia="SimSun" w:cs="Arial"/>
          <w:color w:val="000000" w:themeColor="text1"/>
          <w:kern w:val="0"/>
          <w:sz w:val="24"/>
          <w:highlight w:val="cyan"/>
          <w:shd w:val="clear" w:color="auto" w:fill="FFFFFF"/>
          <w:lang w:bidi="ar"/>
        </w:rPr>
        <w:t>Ahmed, S</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A</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 Othman, B</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J</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 Gardi, B., Sabir, B</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Y</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 Ismael, N</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B</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 Hamza, P</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A</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 xml:space="preserve">, </w:t>
      </w:r>
      <w:proofErr w:type="spellStart"/>
      <w:r w:rsidRPr="003D54BA">
        <w:rPr>
          <w:rFonts w:eastAsia="SimSun" w:cs="Arial"/>
          <w:color w:val="000000" w:themeColor="text1"/>
          <w:kern w:val="0"/>
          <w:sz w:val="24"/>
          <w:highlight w:val="cyan"/>
          <w:shd w:val="clear" w:color="auto" w:fill="FFFFFF"/>
          <w:lang w:bidi="ar"/>
        </w:rPr>
        <w:t>Sorguli</w:t>
      </w:r>
      <w:proofErr w:type="spellEnd"/>
      <w:r w:rsidRPr="003D54BA">
        <w:rPr>
          <w:rFonts w:eastAsia="SimSun" w:cs="Arial"/>
          <w:color w:val="000000" w:themeColor="text1"/>
          <w:kern w:val="0"/>
          <w:sz w:val="24"/>
          <w:highlight w:val="cyan"/>
          <w:shd w:val="clear" w:color="auto" w:fill="FFFFFF"/>
          <w:lang w:bidi="ar"/>
        </w:rPr>
        <w:t>, S., Aziz, H</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M</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 Ali, B</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J</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 Anwar, G.</w:t>
      </w:r>
      <w:r w:rsidR="003D54BA" w:rsidRPr="003D54BA">
        <w:rPr>
          <w:rFonts w:eastAsia="SimSun" w:cs="Arial"/>
          <w:color w:val="000000" w:themeColor="text1"/>
          <w:kern w:val="0"/>
          <w:sz w:val="24"/>
          <w:highlight w:val="cyan"/>
          <w:shd w:val="clear" w:color="auto" w:fill="FFFFFF"/>
          <w:lang w:bidi="ar"/>
        </w:rPr>
        <w:t xml:space="preserve"> </w:t>
      </w:r>
      <w:r w:rsidRPr="003D54BA">
        <w:rPr>
          <w:rFonts w:eastAsia="SimSun" w:cs="Arial"/>
          <w:color w:val="000000" w:themeColor="text1"/>
          <w:kern w:val="0"/>
          <w:sz w:val="24"/>
          <w:highlight w:val="cyan"/>
          <w:shd w:val="clear" w:color="auto" w:fill="FFFFFF"/>
          <w:lang w:bidi="ar"/>
        </w:rPr>
        <w:t xml:space="preserve">(2021). Students’ Attitudes towards Learning English in the Kurdistan region of Iraq. </w:t>
      </w:r>
      <w:r w:rsidRPr="003D54BA">
        <w:rPr>
          <w:rFonts w:eastAsia="SimSun" w:cs="Arial"/>
          <w:i/>
          <w:iCs/>
          <w:color w:val="000000" w:themeColor="text1"/>
          <w:kern w:val="0"/>
          <w:sz w:val="24"/>
          <w:highlight w:val="cyan"/>
          <w:shd w:val="clear" w:color="auto" w:fill="FFFFFF"/>
          <w:lang w:bidi="ar"/>
        </w:rPr>
        <w:t>International Journal of English Literature and Social Sciences</w:t>
      </w:r>
      <w:r w:rsidRPr="003D54BA">
        <w:rPr>
          <w:rFonts w:eastAsia="SimSun" w:cs="Arial"/>
          <w:color w:val="000000" w:themeColor="text1"/>
          <w:kern w:val="0"/>
          <w:sz w:val="24"/>
          <w:highlight w:val="cyan"/>
          <w:shd w:val="clear" w:color="auto" w:fill="FFFFFF"/>
          <w:lang w:bidi="ar"/>
        </w:rPr>
        <w:t xml:space="preserve">, </w:t>
      </w:r>
      <w:r w:rsidRPr="003D54BA">
        <w:rPr>
          <w:rFonts w:eastAsia="SimSun" w:cs="Arial"/>
          <w:i/>
          <w:iCs/>
          <w:color w:val="000000" w:themeColor="text1"/>
          <w:kern w:val="0"/>
          <w:sz w:val="24"/>
          <w:highlight w:val="cyan"/>
          <w:shd w:val="clear" w:color="auto" w:fill="FFFFFF"/>
          <w:lang w:bidi="ar"/>
        </w:rPr>
        <w:t>6</w:t>
      </w:r>
      <w:r w:rsidRPr="003D54BA">
        <w:rPr>
          <w:rFonts w:eastAsia="SimSun" w:cs="Arial"/>
          <w:color w:val="000000" w:themeColor="text1"/>
          <w:kern w:val="0"/>
          <w:sz w:val="24"/>
          <w:highlight w:val="cyan"/>
          <w:shd w:val="clear" w:color="auto" w:fill="FFFFFF"/>
          <w:lang w:bidi="ar"/>
        </w:rPr>
        <w:t>(3), 072-087.</w:t>
      </w:r>
      <w:r w:rsidRPr="003D54BA">
        <w:rPr>
          <w:rFonts w:eastAsia="SimSun" w:cs="Arial"/>
          <w:i/>
          <w:iCs/>
          <w:color w:val="000000" w:themeColor="text1"/>
          <w:kern w:val="0"/>
          <w:sz w:val="24"/>
          <w:highlight w:val="cyan"/>
          <w:lang w:bidi="ar"/>
        </w:rPr>
        <w:t xml:space="preserve"> </w:t>
      </w:r>
      <w:r w:rsidRPr="003D54BA">
        <w:rPr>
          <w:rFonts w:eastAsia="SimSun" w:cs="Arial"/>
          <w:color w:val="000000" w:themeColor="text1"/>
          <w:kern w:val="0"/>
          <w:sz w:val="24"/>
          <w:highlight w:val="cyan"/>
          <w:shd w:val="clear" w:color="auto" w:fill="FFFFFF"/>
          <w:lang w:bidi="ar"/>
        </w:rPr>
        <w:t>https://doi.org/10.22161/ijels</w:t>
      </w:r>
      <w:r>
        <w:rPr>
          <w:rFonts w:eastAsia="SimSun" w:cs="Arial"/>
          <w:color w:val="000000" w:themeColor="text1"/>
          <w:kern w:val="0"/>
          <w:sz w:val="24"/>
          <w:shd w:val="clear" w:color="auto" w:fill="FFFFFF"/>
          <w:lang w:bidi="ar"/>
        </w:rPr>
        <w:t xml:space="preserve"> </w:t>
      </w:r>
    </w:p>
    <w:p w14:paraId="7154A1BF" w14:textId="2AA87221" w:rsidR="003D54BA" w:rsidRPr="003D54BA" w:rsidRDefault="003D54BA" w:rsidP="003D54BA">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Aida, Y. (1994). Examination of Horwitz, Horwitz and Cope’s construct of foreign language anxiety:</w:t>
      </w:r>
      <w:r>
        <w:rPr>
          <w:rFonts w:eastAsia="TimesNewRomanPSMT" w:cs="TimesNewRomanPSMT"/>
          <w:color w:val="000000" w:themeColor="text1"/>
          <w:sz w:val="24"/>
        </w:rPr>
        <w:t xml:space="preserve"> The case of students of Japanese. </w:t>
      </w:r>
      <w:r>
        <w:rPr>
          <w:rFonts w:eastAsia="TimesNewRomanPS" w:cs="TimesNewRomanPS"/>
          <w:i/>
          <w:iCs/>
          <w:color w:val="000000" w:themeColor="text1"/>
          <w:sz w:val="24"/>
        </w:rPr>
        <w:t>Modern Language Journal, 78</w:t>
      </w:r>
      <w:r w:rsidRPr="003D54BA">
        <w:rPr>
          <w:rFonts w:eastAsia="TimesNewRomanPS" w:cs="TimesNewRomanPS"/>
          <w:color w:val="000000" w:themeColor="text1"/>
          <w:sz w:val="24"/>
        </w:rPr>
        <w:t>(</w:t>
      </w:r>
      <w:r w:rsidRPr="003D54BA">
        <w:rPr>
          <w:rFonts w:eastAsia="TimesNewRomanPS" w:cs="TimesNewRomanPS"/>
          <w:color w:val="000000" w:themeColor="text1"/>
          <w:sz w:val="24"/>
          <w:highlight w:val="cyan"/>
        </w:rPr>
        <w:t>2</w:t>
      </w:r>
      <w:r w:rsidRPr="003D54BA">
        <w:rPr>
          <w:rFonts w:eastAsia="TimesNewRomanPS" w:cs="TimesNewRomanPS"/>
          <w:color w:val="000000" w:themeColor="text1"/>
          <w:sz w:val="24"/>
        </w:rPr>
        <w:t>)</w:t>
      </w:r>
      <w:r>
        <w:rPr>
          <w:rFonts w:eastAsia="TimesNewRomanPS" w:cs="TimesNewRomanPS"/>
          <w:i/>
          <w:iCs/>
          <w:color w:val="000000" w:themeColor="text1"/>
          <w:sz w:val="24"/>
        </w:rPr>
        <w:t xml:space="preserve">, </w:t>
      </w:r>
      <w:r>
        <w:rPr>
          <w:rFonts w:eastAsia="TimesNewRomanPSMT" w:cs="TimesNewRomanPSMT"/>
          <w:color w:val="000000" w:themeColor="text1"/>
          <w:sz w:val="24"/>
        </w:rPr>
        <w:t xml:space="preserve">155-168. http://dx.doi.org/10.1111/j.1540-4781.1994.tb02026.x </w:t>
      </w:r>
    </w:p>
    <w:p w14:paraId="58336B02" w14:textId="33D0EE59"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shd w:val="clear" w:color="auto" w:fill="FFFFFF"/>
          <w:lang w:bidi="ar"/>
        </w:rPr>
        <w:t>Al-Muslimawi, I. A. J., &amp; Al-</w:t>
      </w:r>
      <w:proofErr w:type="spellStart"/>
      <w:r>
        <w:rPr>
          <w:rFonts w:eastAsia="SimSun" w:cs="Arial"/>
          <w:color w:val="000000" w:themeColor="text1"/>
          <w:kern w:val="0"/>
          <w:sz w:val="24"/>
          <w:shd w:val="clear" w:color="auto" w:fill="FFFFFF"/>
          <w:lang w:bidi="ar"/>
        </w:rPr>
        <w:t>Shamarti</w:t>
      </w:r>
      <w:proofErr w:type="spellEnd"/>
      <w:r>
        <w:rPr>
          <w:rFonts w:eastAsia="SimSun" w:cs="Arial"/>
          <w:color w:val="000000" w:themeColor="text1"/>
          <w:kern w:val="0"/>
          <w:sz w:val="24"/>
          <w:shd w:val="clear" w:color="auto" w:fill="FFFFFF"/>
          <w:lang w:bidi="ar"/>
        </w:rPr>
        <w:t>, A. K. (2023). Attitudes of EFL Students towards English Language Learning: A Study at the College of Arts, University of Kufa. </w:t>
      </w:r>
      <w:r>
        <w:rPr>
          <w:rFonts w:eastAsia="SimSun" w:cs="Arial"/>
          <w:i/>
          <w:iCs/>
          <w:color w:val="000000" w:themeColor="text1"/>
          <w:kern w:val="0"/>
          <w:sz w:val="24"/>
          <w:lang w:bidi="ar"/>
        </w:rPr>
        <w:t>Tasnim International Journal for Human, Social and Legal Sciences</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2</w:t>
      </w:r>
      <w:r>
        <w:rPr>
          <w:rFonts w:eastAsia="SimSun" w:cs="Arial"/>
          <w:color w:val="000000" w:themeColor="text1"/>
          <w:kern w:val="0"/>
          <w:sz w:val="24"/>
          <w:shd w:val="clear" w:color="auto" w:fill="FFFFFF"/>
          <w:lang w:bidi="ar"/>
        </w:rPr>
        <w:t>(3), 386-410.</w:t>
      </w:r>
      <w:r>
        <w:rPr>
          <w:rFonts w:eastAsia="SimSun" w:cs="Arial" w:hint="eastAsia"/>
          <w:color w:val="000000" w:themeColor="text1"/>
          <w:kern w:val="0"/>
          <w:sz w:val="24"/>
          <w:shd w:val="clear" w:color="auto" w:fill="FFFFFF"/>
          <w:lang w:bidi="ar"/>
        </w:rPr>
        <w:t xml:space="preserve"> </w:t>
      </w:r>
      <w:hyperlink r:id="rId10" w:history="1">
        <w:r>
          <w:rPr>
            <w:rStyle w:val="Hyperlink"/>
            <w:rFonts w:eastAsia="SimSun" w:cs="Arial" w:hint="eastAsia"/>
            <w:color w:val="000000" w:themeColor="text1"/>
            <w:kern w:val="0"/>
            <w:sz w:val="24"/>
            <w:shd w:val="clear" w:color="auto" w:fill="FFFFFF"/>
            <w:lang w:bidi="ar"/>
          </w:rPr>
          <w:t>https://doi.org/10.56924/tasnim.6.2023/20</w:t>
        </w:r>
      </w:hyperlink>
    </w:p>
    <w:p w14:paraId="479D1EBE" w14:textId="77777777" w:rsidR="000574EE" w:rsidRDefault="00AC3F5F">
      <w:pPr>
        <w:widowControl/>
        <w:ind w:left="480" w:hangingChars="200" w:hanging="480"/>
        <w:rPr>
          <w:rFonts w:eastAsia="SimSun" w:cs="Arial"/>
          <w:color w:val="000000" w:themeColor="text1"/>
          <w:kern w:val="0"/>
          <w:sz w:val="24"/>
          <w:shd w:val="clear" w:color="auto" w:fill="FFFFFF"/>
          <w:lang w:bidi="ar"/>
        </w:rPr>
      </w:pPr>
      <w:proofErr w:type="spellStart"/>
      <w:r>
        <w:rPr>
          <w:rFonts w:eastAsia="SimSun" w:cs="Arial"/>
          <w:color w:val="000000" w:themeColor="text1"/>
          <w:kern w:val="0"/>
          <w:sz w:val="24"/>
          <w:lang w:bidi="ar"/>
        </w:rPr>
        <w:t>Alneyadi</w:t>
      </w:r>
      <w:proofErr w:type="spellEnd"/>
      <w:r>
        <w:rPr>
          <w:rFonts w:eastAsia="SimSun" w:cs="Arial"/>
          <w:color w:val="000000" w:themeColor="text1"/>
          <w:kern w:val="0"/>
          <w:sz w:val="24"/>
          <w:lang w:bidi="ar"/>
        </w:rPr>
        <w:t xml:space="preserve">, M., </w:t>
      </w:r>
      <w:proofErr w:type="spellStart"/>
      <w:r>
        <w:rPr>
          <w:rFonts w:eastAsia="SimSun" w:cs="Arial"/>
          <w:color w:val="000000" w:themeColor="text1"/>
          <w:kern w:val="0"/>
          <w:sz w:val="24"/>
          <w:lang w:bidi="ar"/>
        </w:rPr>
        <w:t>Aljanaahi</w:t>
      </w:r>
      <w:proofErr w:type="spellEnd"/>
      <w:r>
        <w:rPr>
          <w:rFonts w:eastAsia="SimSun" w:cs="Arial"/>
          <w:color w:val="000000" w:themeColor="text1"/>
          <w:kern w:val="0"/>
          <w:sz w:val="24"/>
          <w:lang w:bidi="ar"/>
        </w:rPr>
        <w:t xml:space="preserve">, A., </w:t>
      </w:r>
      <w:proofErr w:type="spellStart"/>
      <w:r>
        <w:rPr>
          <w:rFonts w:eastAsia="SimSun" w:cs="Arial"/>
          <w:color w:val="000000" w:themeColor="text1"/>
          <w:kern w:val="0"/>
          <w:sz w:val="24"/>
          <w:lang w:bidi="ar"/>
        </w:rPr>
        <w:t>Alhammadi</w:t>
      </w:r>
      <w:proofErr w:type="spellEnd"/>
      <w:r>
        <w:rPr>
          <w:rFonts w:eastAsia="SimSun" w:cs="Arial"/>
          <w:color w:val="000000" w:themeColor="text1"/>
          <w:kern w:val="0"/>
          <w:sz w:val="24"/>
          <w:lang w:bidi="ar"/>
        </w:rPr>
        <w:t xml:space="preserve">, E., </w:t>
      </w:r>
      <w:proofErr w:type="spellStart"/>
      <w:r>
        <w:rPr>
          <w:rFonts w:eastAsia="SimSun" w:cs="Arial"/>
          <w:color w:val="000000" w:themeColor="text1"/>
          <w:kern w:val="0"/>
          <w:sz w:val="24"/>
          <w:lang w:bidi="ar"/>
        </w:rPr>
        <w:t>Almarzooqi</w:t>
      </w:r>
      <w:proofErr w:type="spellEnd"/>
      <w:r>
        <w:rPr>
          <w:rFonts w:eastAsia="SimSun" w:cs="Arial"/>
          <w:color w:val="000000" w:themeColor="text1"/>
          <w:kern w:val="0"/>
          <w:sz w:val="24"/>
          <w:lang w:bidi="ar"/>
        </w:rPr>
        <w:t xml:space="preserve">, K., &amp; </w:t>
      </w:r>
      <w:proofErr w:type="spellStart"/>
      <w:r>
        <w:rPr>
          <w:rFonts w:eastAsia="SimSun" w:cs="Arial"/>
          <w:color w:val="000000" w:themeColor="text1"/>
          <w:kern w:val="0"/>
          <w:sz w:val="24"/>
          <w:lang w:bidi="ar"/>
        </w:rPr>
        <w:t>Alhammadi</w:t>
      </w:r>
      <w:proofErr w:type="spellEnd"/>
      <w:r>
        <w:rPr>
          <w:rFonts w:eastAsia="SimSun" w:cs="Arial"/>
          <w:color w:val="000000" w:themeColor="text1"/>
          <w:kern w:val="0"/>
          <w:sz w:val="24"/>
          <w:lang w:bidi="ar"/>
        </w:rPr>
        <w:t>, K. (2023). English in Global Commerce-Understanding its Role, Benefits, and Impediments.</w:t>
      </w:r>
      <w:r>
        <w:rPr>
          <w:rFonts w:eastAsia="SimSun" w:cs="Arial"/>
          <w:i/>
          <w:iCs/>
          <w:color w:val="000000" w:themeColor="text1"/>
          <w:kern w:val="0"/>
          <w:sz w:val="24"/>
          <w:lang w:bidi="ar"/>
        </w:rPr>
        <w:t> Research Studies in English Language Teaching and Learning, </w:t>
      </w:r>
      <w:r w:rsidRPr="003D54BA">
        <w:rPr>
          <w:rFonts w:eastAsia="SimSun" w:cs="Arial"/>
          <w:i/>
          <w:iCs/>
          <w:color w:val="000000" w:themeColor="text1"/>
          <w:kern w:val="0"/>
          <w:sz w:val="24"/>
          <w:highlight w:val="cyan"/>
          <w:lang w:bidi="ar"/>
        </w:rPr>
        <w:t>1</w:t>
      </w:r>
      <w:r>
        <w:rPr>
          <w:rFonts w:eastAsia="SimSun" w:cs="Arial"/>
          <w:color w:val="000000" w:themeColor="text1"/>
          <w:kern w:val="0"/>
          <w:sz w:val="24"/>
          <w:lang w:bidi="ar"/>
        </w:rPr>
        <w:t>(5), 245-258.</w:t>
      </w:r>
      <w:r>
        <w:rPr>
          <w:rFonts w:eastAsia="SimSun" w:cs="Arial" w:hint="eastAsia"/>
          <w:color w:val="000000" w:themeColor="text1"/>
          <w:kern w:val="0"/>
          <w:sz w:val="24"/>
          <w:lang w:bidi="ar"/>
        </w:rPr>
        <w:t xml:space="preserve"> https://doi.org/10.62583/rseltl.v1i5.31</w:t>
      </w:r>
    </w:p>
    <w:p w14:paraId="71B131E4" w14:textId="4C6DF108"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shd w:val="clear" w:color="auto" w:fill="FFFFFF"/>
          <w:lang w:bidi="ar"/>
        </w:rPr>
        <w:t>Al-</w:t>
      </w:r>
      <w:proofErr w:type="spellStart"/>
      <w:r>
        <w:rPr>
          <w:rFonts w:eastAsia="SimSun" w:cs="Arial"/>
          <w:color w:val="000000" w:themeColor="text1"/>
          <w:kern w:val="0"/>
          <w:sz w:val="24"/>
          <w:shd w:val="clear" w:color="auto" w:fill="FFFFFF"/>
          <w:lang w:bidi="ar"/>
        </w:rPr>
        <w:t>Obaydi</w:t>
      </w:r>
      <w:proofErr w:type="spellEnd"/>
      <w:r>
        <w:rPr>
          <w:rFonts w:eastAsia="SimSun" w:cs="Arial"/>
          <w:color w:val="000000" w:themeColor="text1"/>
          <w:kern w:val="0"/>
          <w:sz w:val="24"/>
          <w:shd w:val="clear" w:color="auto" w:fill="FFFFFF"/>
          <w:lang w:bidi="ar"/>
        </w:rPr>
        <w:t xml:space="preserve">, L. H., </w:t>
      </w:r>
      <w:proofErr w:type="spellStart"/>
      <w:r>
        <w:rPr>
          <w:rFonts w:eastAsia="SimSun" w:cs="Arial"/>
          <w:color w:val="000000" w:themeColor="text1"/>
          <w:kern w:val="0"/>
          <w:sz w:val="24"/>
          <w:shd w:val="clear" w:color="auto" w:fill="FFFFFF"/>
          <w:lang w:bidi="ar"/>
        </w:rPr>
        <w:t>Shakki</w:t>
      </w:r>
      <w:proofErr w:type="spellEnd"/>
      <w:r>
        <w:rPr>
          <w:rFonts w:eastAsia="SimSun" w:cs="Arial"/>
          <w:color w:val="000000" w:themeColor="text1"/>
          <w:kern w:val="0"/>
          <w:sz w:val="24"/>
          <w:shd w:val="clear" w:color="auto" w:fill="FFFFFF"/>
          <w:lang w:bidi="ar"/>
        </w:rPr>
        <w:t xml:space="preserve">, F., </w:t>
      </w:r>
      <w:proofErr w:type="spellStart"/>
      <w:r>
        <w:rPr>
          <w:rFonts w:eastAsia="SimSun" w:cs="Arial"/>
          <w:color w:val="000000" w:themeColor="text1"/>
          <w:kern w:val="0"/>
          <w:sz w:val="24"/>
          <w:shd w:val="clear" w:color="auto" w:fill="FFFFFF"/>
          <w:lang w:bidi="ar"/>
        </w:rPr>
        <w:t>Tawafak</w:t>
      </w:r>
      <w:proofErr w:type="spellEnd"/>
      <w:r>
        <w:rPr>
          <w:rFonts w:eastAsia="SimSun" w:cs="Arial"/>
          <w:color w:val="000000" w:themeColor="text1"/>
          <w:kern w:val="0"/>
          <w:sz w:val="24"/>
          <w:shd w:val="clear" w:color="auto" w:fill="FFFFFF"/>
          <w:lang w:bidi="ar"/>
        </w:rPr>
        <w:t xml:space="preserve">, R. M., </w:t>
      </w:r>
      <w:proofErr w:type="spellStart"/>
      <w:r>
        <w:rPr>
          <w:rFonts w:eastAsia="SimSun" w:cs="Arial"/>
          <w:color w:val="000000" w:themeColor="text1"/>
          <w:kern w:val="0"/>
          <w:sz w:val="24"/>
          <w:shd w:val="clear" w:color="auto" w:fill="FFFFFF"/>
          <w:lang w:bidi="ar"/>
        </w:rPr>
        <w:t>Pikhart</w:t>
      </w:r>
      <w:proofErr w:type="spellEnd"/>
      <w:r>
        <w:rPr>
          <w:rFonts w:eastAsia="SimSun" w:cs="Arial"/>
          <w:color w:val="000000" w:themeColor="text1"/>
          <w:kern w:val="0"/>
          <w:sz w:val="24"/>
          <w:shd w:val="clear" w:color="auto" w:fill="FFFFFF"/>
          <w:lang w:bidi="ar"/>
        </w:rPr>
        <w:t>, M., &amp; Ugla, R. L. (2023). What I know, what I want to know, what I learned: Activating EFL college students' cognitive, behavioral, and emotional engagement through structured feedback in an online environment. </w:t>
      </w:r>
      <w:r>
        <w:rPr>
          <w:rFonts w:eastAsia="SimSun" w:cs="Arial"/>
          <w:i/>
          <w:iCs/>
          <w:color w:val="000000" w:themeColor="text1"/>
          <w:kern w:val="0"/>
          <w:sz w:val="24"/>
          <w:lang w:bidi="ar"/>
        </w:rPr>
        <w:t>Frontiers in Psychology</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13</w:t>
      </w:r>
      <w:r>
        <w:rPr>
          <w:rFonts w:eastAsia="SimSun" w:cs="Arial"/>
          <w:color w:val="000000" w:themeColor="text1"/>
          <w:kern w:val="0"/>
          <w:sz w:val="24"/>
          <w:shd w:val="clear" w:color="auto" w:fill="FFFFFF"/>
          <w:lang w:bidi="ar"/>
        </w:rPr>
        <w:t xml:space="preserve">, </w:t>
      </w:r>
      <w:r w:rsidRPr="003D54BA">
        <w:rPr>
          <w:rFonts w:eastAsia="SimSun" w:cs="Arial"/>
          <w:color w:val="000000" w:themeColor="text1"/>
          <w:kern w:val="0"/>
          <w:sz w:val="24"/>
          <w:highlight w:val="cyan"/>
          <w:shd w:val="clear" w:color="auto" w:fill="FFFFFF"/>
          <w:lang w:bidi="ar"/>
        </w:rPr>
        <w:t>1</w:t>
      </w:r>
      <w:r w:rsidR="003D54BA" w:rsidRPr="003D54BA">
        <w:rPr>
          <w:rFonts w:eastAsia="SimSun" w:cs="Arial"/>
          <w:color w:val="000000" w:themeColor="text1"/>
          <w:kern w:val="0"/>
          <w:sz w:val="24"/>
          <w:highlight w:val="cyan"/>
          <w:shd w:val="clear" w:color="auto" w:fill="FFFFFF"/>
          <w:lang w:bidi="ar"/>
        </w:rPr>
        <w:t>-14</w:t>
      </w:r>
      <w:r>
        <w:rPr>
          <w:rFonts w:eastAsia="SimSun" w:cs="Arial"/>
          <w:color w:val="000000" w:themeColor="text1"/>
          <w:kern w:val="0"/>
          <w:sz w:val="24"/>
          <w:shd w:val="clear" w:color="auto" w:fill="FFFFFF"/>
          <w:lang w:bidi="ar"/>
        </w:rPr>
        <w:t>.</w:t>
      </w:r>
      <w:r>
        <w:rPr>
          <w:rFonts w:eastAsia="SimSun" w:cs="Arial" w:hint="eastAsia"/>
          <w:color w:val="000000" w:themeColor="text1"/>
          <w:kern w:val="0"/>
          <w:sz w:val="24"/>
          <w:shd w:val="clear" w:color="auto" w:fill="FFFFFF"/>
          <w:lang w:bidi="ar"/>
        </w:rPr>
        <w:t xml:space="preserve"> </w:t>
      </w:r>
      <w:hyperlink r:id="rId11" w:history="1">
        <w:r>
          <w:rPr>
            <w:rStyle w:val="Hyperlink"/>
            <w:rFonts w:eastAsia="SimSun" w:cs="Arial" w:hint="eastAsia"/>
            <w:color w:val="000000" w:themeColor="text1"/>
            <w:kern w:val="0"/>
            <w:sz w:val="24"/>
            <w:shd w:val="clear" w:color="auto" w:fill="FFFFFF"/>
            <w:lang w:bidi="ar"/>
          </w:rPr>
          <w:t>https://doi.org/10.3389/fpsyg.2022.1083673</w:t>
        </w:r>
      </w:hyperlink>
    </w:p>
    <w:p w14:paraId="35D3F3FC" w14:textId="28110422" w:rsidR="000574EE" w:rsidRDefault="00AC3F5F">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Aydin, S. (2008). An Investigation on the Language Anxiety and Fear of Negative Evaluation among Turkish EFL Learners. </w:t>
      </w:r>
      <w:r w:rsidR="003D54BA" w:rsidRPr="00FE13FF">
        <w:rPr>
          <w:rFonts w:eastAsia="SimSun" w:cs="Arial"/>
          <w:i/>
          <w:iCs/>
          <w:color w:val="000000" w:themeColor="text1"/>
          <w:kern w:val="0"/>
          <w:sz w:val="24"/>
          <w:highlight w:val="cyan"/>
          <w:lang w:bidi="ar"/>
        </w:rPr>
        <w:t>Asian EFL Journal</w:t>
      </w:r>
      <w:r w:rsidR="00FE13FF" w:rsidRPr="00FE13FF">
        <w:rPr>
          <w:rFonts w:eastAsia="SimSun" w:cs="Arial"/>
          <w:color w:val="000000" w:themeColor="text1"/>
          <w:kern w:val="0"/>
          <w:sz w:val="24"/>
          <w:highlight w:val="cyan"/>
          <w:shd w:val="clear" w:color="auto" w:fill="FFFFFF"/>
          <w:lang w:bidi="ar"/>
        </w:rPr>
        <w:t>,</w:t>
      </w:r>
      <w:r w:rsidR="003D54BA" w:rsidRPr="00FE13FF">
        <w:rPr>
          <w:rFonts w:eastAsia="SimSun" w:cs="Arial"/>
          <w:color w:val="000000" w:themeColor="text1"/>
          <w:kern w:val="0"/>
          <w:sz w:val="24"/>
          <w:highlight w:val="cyan"/>
          <w:shd w:val="clear" w:color="auto" w:fill="FFFFFF"/>
          <w:lang w:bidi="ar"/>
        </w:rPr>
        <w:t xml:space="preserve"> 421-444</w:t>
      </w:r>
      <w:r w:rsidR="003D54BA">
        <w:rPr>
          <w:rFonts w:eastAsia="SimSun" w:cs="Arial"/>
          <w:color w:val="000000" w:themeColor="text1"/>
          <w:kern w:val="0"/>
          <w:sz w:val="24"/>
          <w:shd w:val="clear" w:color="auto" w:fill="FFFFFF"/>
          <w:lang w:bidi="ar"/>
        </w:rPr>
        <w:t>.</w:t>
      </w:r>
    </w:p>
    <w:p w14:paraId="1F43E3A4" w14:textId="471E5F94" w:rsidR="000574EE" w:rsidRDefault="00AC3F5F">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 xml:space="preserve">Aydin, S., </w:t>
      </w:r>
      <w:proofErr w:type="spellStart"/>
      <w:r>
        <w:rPr>
          <w:rFonts w:eastAsia="SimSun" w:cs="Arial"/>
          <w:color w:val="000000" w:themeColor="text1"/>
          <w:kern w:val="0"/>
          <w:sz w:val="24"/>
          <w:shd w:val="clear" w:color="auto" w:fill="FFFFFF"/>
          <w:lang w:bidi="ar"/>
        </w:rPr>
        <w:t>Yerdelen</w:t>
      </w:r>
      <w:proofErr w:type="spellEnd"/>
      <w:r>
        <w:rPr>
          <w:rFonts w:eastAsia="SimSun" w:cs="Arial"/>
          <w:color w:val="000000" w:themeColor="text1"/>
          <w:kern w:val="0"/>
          <w:sz w:val="24"/>
          <w:shd w:val="clear" w:color="auto" w:fill="FFFFFF"/>
          <w:lang w:bidi="ar"/>
        </w:rPr>
        <w:t xml:space="preserve">, S., </w:t>
      </w:r>
      <w:proofErr w:type="spellStart"/>
      <w:r>
        <w:rPr>
          <w:rFonts w:eastAsia="SimSun" w:cs="Arial"/>
          <w:color w:val="000000" w:themeColor="text1"/>
          <w:kern w:val="0"/>
          <w:sz w:val="24"/>
          <w:shd w:val="clear" w:color="auto" w:fill="FFFFFF"/>
          <w:lang w:bidi="ar"/>
        </w:rPr>
        <w:t>Yalmanci</w:t>
      </w:r>
      <w:proofErr w:type="spellEnd"/>
      <w:r>
        <w:rPr>
          <w:rFonts w:eastAsia="SimSun" w:cs="Arial"/>
          <w:color w:val="000000" w:themeColor="text1"/>
          <w:kern w:val="0"/>
          <w:sz w:val="24"/>
          <w:shd w:val="clear" w:color="auto" w:fill="FFFFFF"/>
          <w:lang w:bidi="ar"/>
        </w:rPr>
        <w:t>, S. G., &amp; Göksu, V. (2014). Academic motivation scale for learning biology: A scale development study. </w:t>
      </w:r>
      <w:r w:rsidRPr="00FE13FF">
        <w:rPr>
          <w:rFonts w:eastAsia="SimSun" w:cs="Arial"/>
          <w:i/>
          <w:iCs/>
          <w:color w:val="000000" w:themeColor="text1"/>
          <w:kern w:val="0"/>
          <w:sz w:val="24"/>
          <w:highlight w:val="cyan"/>
          <w:lang w:bidi="ar"/>
        </w:rPr>
        <w:t>E</w:t>
      </w:r>
      <w:r w:rsidR="00FE13FF" w:rsidRPr="00FE13FF">
        <w:rPr>
          <w:rFonts w:eastAsia="SimSun" w:cs="Arial"/>
          <w:i/>
          <w:iCs/>
          <w:color w:val="000000" w:themeColor="text1"/>
          <w:kern w:val="0"/>
          <w:sz w:val="24"/>
          <w:highlight w:val="cyan"/>
          <w:lang w:bidi="ar"/>
        </w:rPr>
        <w:t>ducation and Science</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39</w:t>
      </w:r>
      <w:r>
        <w:rPr>
          <w:rFonts w:eastAsia="SimSun" w:cs="Arial"/>
          <w:color w:val="000000" w:themeColor="text1"/>
          <w:kern w:val="0"/>
          <w:sz w:val="24"/>
          <w:shd w:val="clear" w:color="auto" w:fill="FFFFFF"/>
          <w:lang w:bidi="ar"/>
        </w:rPr>
        <w:t>(176)</w:t>
      </w:r>
      <w:r w:rsidR="00FE13FF">
        <w:rPr>
          <w:rFonts w:eastAsia="SimSun" w:cs="Arial"/>
          <w:color w:val="000000" w:themeColor="text1"/>
          <w:kern w:val="0"/>
          <w:sz w:val="24"/>
          <w:shd w:val="clear" w:color="auto" w:fill="FFFFFF"/>
          <w:lang w:bidi="ar"/>
        </w:rPr>
        <w:t xml:space="preserve">, </w:t>
      </w:r>
      <w:r w:rsidR="00FE13FF" w:rsidRPr="00FE13FF">
        <w:rPr>
          <w:rFonts w:eastAsia="SimSun" w:cs="Arial"/>
          <w:color w:val="000000" w:themeColor="text1"/>
          <w:kern w:val="0"/>
          <w:sz w:val="24"/>
          <w:highlight w:val="cyan"/>
          <w:shd w:val="clear" w:color="auto" w:fill="FFFFFF"/>
          <w:lang w:bidi="ar"/>
        </w:rPr>
        <w:t>425-435</w:t>
      </w:r>
      <w:r w:rsidR="00FE13FF">
        <w:rPr>
          <w:rFonts w:eastAsia="SimSun" w:cs="Arial"/>
          <w:color w:val="000000" w:themeColor="text1"/>
          <w:kern w:val="0"/>
          <w:sz w:val="24"/>
          <w:shd w:val="clear" w:color="auto" w:fill="FFFFFF"/>
          <w:lang w:bidi="ar"/>
        </w:rPr>
        <w:t>.</w:t>
      </w:r>
      <w:r>
        <w:rPr>
          <w:rFonts w:eastAsia="SimSun" w:cs="Arial" w:hint="eastAsia"/>
          <w:color w:val="000000" w:themeColor="text1"/>
          <w:kern w:val="0"/>
          <w:sz w:val="24"/>
          <w:shd w:val="clear" w:color="auto" w:fill="FFFFFF"/>
          <w:lang w:bidi="ar"/>
        </w:rPr>
        <w:t xml:space="preserve"> https://doi.org/10.15390/eb.2014.3678</w:t>
      </w:r>
    </w:p>
    <w:p w14:paraId="0A80BCEF" w14:textId="2D1C1E09" w:rsidR="000574EE" w:rsidRDefault="00AC3F5F">
      <w:pPr>
        <w:widowControl/>
        <w:ind w:left="480" w:hangingChars="200" w:hanging="480"/>
        <w:rPr>
          <w:sz w:val="24"/>
        </w:rPr>
      </w:pPr>
      <w:r>
        <w:rPr>
          <w:rFonts w:eastAsia="SimSun" w:cs="Arial"/>
          <w:color w:val="000000" w:themeColor="text1"/>
          <w:kern w:val="0"/>
          <w:sz w:val="24"/>
          <w:shd w:val="clear" w:color="auto" w:fill="FFFFFF"/>
          <w:lang w:bidi="ar"/>
        </w:rPr>
        <w:t xml:space="preserve">Barnett, L. M., </w:t>
      </w:r>
      <w:proofErr w:type="spellStart"/>
      <w:r>
        <w:rPr>
          <w:rFonts w:eastAsia="SimSun" w:cs="Arial"/>
          <w:color w:val="000000" w:themeColor="text1"/>
          <w:kern w:val="0"/>
          <w:sz w:val="24"/>
          <w:shd w:val="clear" w:color="auto" w:fill="FFFFFF"/>
          <w:lang w:bidi="ar"/>
        </w:rPr>
        <w:t>Jerebine</w:t>
      </w:r>
      <w:proofErr w:type="spellEnd"/>
      <w:r>
        <w:rPr>
          <w:rFonts w:eastAsia="SimSun" w:cs="Arial"/>
          <w:color w:val="000000" w:themeColor="text1"/>
          <w:kern w:val="0"/>
          <w:sz w:val="24"/>
          <w:shd w:val="clear" w:color="auto" w:fill="FFFFFF"/>
          <w:lang w:bidi="ar"/>
        </w:rPr>
        <w:t xml:space="preserve">, A., Keegan, R., Watson-Mackie, K., Arundell, L., </w:t>
      </w:r>
      <w:proofErr w:type="spellStart"/>
      <w:r>
        <w:rPr>
          <w:rFonts w:eastAsia="SimSun" w:cs="Arial"/>
          <w:color w:val="000000" w:themeColor="text1"/>
          <w:kern w:val="0"/>
          <w:sz w:val="24"/>
          <w:shd w:val="clear" w:color="auto" w:fill="FFFFFF"/>
          <w:lang w:bidi="ar"/>
        </w:rPr>
        <w:t>Ridgers</w:t>
      </w:r>
      <w:proofErr w:type="spellEnd"/>
      <w:r>
        <w:rPr>
          <w:rFonts w:eastAsia="SimSun" w:cs="Arial"/>
          <w:color w:val="000000" w:themeColor="text1"/>
          <w:kern w:val="0"/>
          <w:sz w:val="24"/>
          <w:shd w:val="clear" w:color="auto" w:fill="FFFFFF"/>
          <w:lang w:bidi="ar"/>
        </w:rPr>
        <w:t xml:space="preserve">, N. D., </w:t>
      </w:r>
      <w:r w:rsidR="00FE13FF" w:rsidRPr="00FE13FF">
        <w:rPr>
          <w:rFonts w:eastAsia="SimSun" w:cs="Arial"/>
          <w:color w:val="000000" w:themeColor="text1"/>
          <w:kern w:val="0"/>
          <w:sz w:val="24"/>
          <w:highlight w:val="cyan"/>
          <w:shd w:val="clear" w:color="auto" w:fill="FFFFFF"/>
          <w:lang w:bidi="ar"/>
        </w:rPr>
        <w:t>Salmon, J.,</w:t>
      </w:r>
      <w:r>
        <w:rPr>
          <w:rFonts w:eastAsia="SimSun" w:cs="Arial"/>
          <w:color w:val="000000" w:themeColor="text1"/>
          <w:kern w:val="0"/>
          <w:sz w:val="24"/>
          <w:shd w:val="clear" w:color="auto" w:fill="FFFFFF"/>
          <w:lang w:bidi="ar"/>
        </w:rPr>
        <w:t xml:space="preserve"> &amp; Dudley, D. (2023). Validity, reliability, and feasibility of physical </w:t>
      </w:r>
      <w:r>
        <w:rPr>
          <w:rFonts w:eastAsia="SimSun" w:cs="Arial"/>
          <w:kern w:val="0"/>
          <w:sz w:val="24"/>
          <w:shd w:val="clear" w:color="auto" w:fill="FFFFFF"/>
          <w:lang w:bidi="ar"/>
        </w:rPr>
        <w:t>literacy assessments designed for school children: a systematic review. </w:t>
      </w:r>
      <w:r>
        <w:rPr>
          <w:rFonts w:eastAsia="SimSun" w:cs="Arial"/>
          <w:i/>
          <w:iCs/>
          <w:kern w:val="0"/>
          <w:sz w:val="24"/>
          <w:lang w:bidi="ar"/>
        </w:rPr>
        <w:t>Sports Medicine</w:t>
      </w:r>
      <w:r>
        <w:rPr>
          <w:rFonts w:eastAsia="SimSun" w:cs="Arial"/>
          <w:kern w:val="0"/>
          <w:sz w:val="24"/>
          <w:shd w:val="clear" w:color="auto" w:fill="FFFFFF"/>
          <w:lang w:bidi="ar"/>
        </w:rPr>
        <w:t>, </w:t>
      </w:r>
      <w:r>
        <w:rPr>
          <w:rFonts w:eastAsia="SimSun" w:cs="Arial"/>
          <w:i/>
          <w:iCs/>
          <w:kern w:val="0"/>
          <w:sz w:val="24"/>
          <w:lang w:bidi="ar"/>
        </w:rPr>
        <w:t>53</w:t>
      </w:r>
      <w:r>
        <w:rPr>
          <w:rFonts w:eastAsia="SimSun" w:cs="Arial"/>
          <w:kern w:val="0"/>
          <w:sz w:val="24"/>
          <w:shd w:val="clear" w:color="auto" w:fill="FFFFFF"/>
          <w:lang w:bidi="ar"/>
        </w:rPr>
        <w:t>(10), 1905-1929.</w:t>
      </w:r>
      <w:r>
        <w:rPr>
          <w:rFonts w:eastAsia="SimSun" w:cs="Arial" w:hint="eastAsia"/>
          <w:kern w:val="0"/>
          <w:sz w:val="24"/>
          <w:shd w:val="clear" w:color="auto" w:fill="FFFFFF"/>
          <w:lang w:bidi="ar"/>
        </w:rPr>
        <w:t xml:space="preserve"> https://doi.org/10.1007/s40279-023-01867-4</w:t>
      </w:r>
    </w:p>
    <w:p w14:paraId="07DCD2B4" w14:textId="77777777" w:rsidR="000574EE" w:rsidRDefault="00AC3F5F">
      <w:pPr>
        <w:pStyle w:val="NormalWeb"/>
        <w:widowControl/>
        <w:spacing w:beforeAutospacing="0" w:afterAutospacing="0"/>
        <w:ind w:left="480" w:hangingChars="200" w:hanging="480"/>
        <w:jc w:val="both"/>
        <w:rPr>
          <w:rFonts w:eastAsia="TimesNewRomanPSMT" w:cs="TimesNewRomanPSMT"/>
        </w:rPr>
      </w:pPr>
      <w:r>
        <w:rPr>
          <w:rFonts w:eastAsia="TimesNewRomanPSMT" w:cs="TimesNewRomanPSMT"/>
        </w:rPr>
        <w:t xml:space="preserve">Boonrangsri, K., </w:t>
      </w:r>
      <w:proofErr w:type="spellStart"/>
      <w:r>
        <w:rPr>
          <w:rFonts w:eastAsia="TimesNewRomanPSMT" w:cs="TimesNewRomanPSMT"/>
        </w:rPr>
        <w:t>Chuaymankhong</w:t>
      </w:r>
      <w:proofErr w:type="spellEnd"/>
      <w:r>
        <w:rPr>
          <w:rFonts w:eastAsia="TimesNewRomanPSMT" w:cs="TimesNewRomanPSMT"/>
        </w:rPr>
        <w:t xml:space="preserve">, D., </w:t>
      </w:r>
      <w:proofErr w:type="spellStart"/>
      <w:r>
        <w:rPr>
          <w:rFonts w:eastAsia="TimesNewRomanPSMT" w:cs="TimesNewRomanPSMT"/>
        </w:rPr>
        <w:t>Rermyindee</w:t>
      </w:r>
      <w:proofErr w:type="spellEnd"/>
      <w:r>
        <w:rPr>
          <w:rFonts w:eastAsia="TimesNewRomanPSMT" w:cs="TimesNewRomanPSMT"/>
        </w:rPr>
        <w:t xml:space="preserve">, N. &amp; </w:t>
      </w:r>
      <w:proofErr w:type="spellStart"/>
      <w:r>
        <w:rPr>
          <w:rFonts w:eastAsia="TimesNewRomanPSMT" w:cs="TimesNewRomanPSMT"/>
        </w:rPr>
        <w:t>Vongchittpinyo</w:t>
      </w:r>
      <w:proofErr w:type="spellEnd"/>
      <w:r>
        <w:rPr>
          <w:rFonts w:eastAsia="TimesNewRomanPSMT" w:cs="TimesNewRomanPSMT"/>
        </w:rPr>
        <w:t xml:space="preserve">, N. (2004). </w:t>
      </w:r>
      <w:r>
        <w:rPr>
          <w:rFonts w:eastAsia="TimesNewRomanPS" w:cs="TimesNewRomanPS"/>
          <w:i/>
          <w:iCs/>
        </w:rPr>
        <w:t xml:space="preserve">The Attitude towards English Language Learning of the Students in Vocational Certificate Level under Curriculum in 2002. </w:t>
      </w:r>
      <w:r>
        <w:rPr>
          <w:rFonts w:eastAsia="TimesNewRomanPSMT" w:cs="TimesNewRomanPSMT"/>
        </w:rPr>
        <w:t>A Case Study of Ayutthaya Technical College studied by Naresuan University, Thailand.</w:t>
      </w:r>
    </w:p>
    <w:p w14:paraId="3D8BE782" w14:textId="3E2B760E" w:rsidR="000574EE" w:rsidRDefault="00AC3F5F">
      <w:pPr>
        <w:pStyle w:val="NormalWeb"/>
        <w:widowControl/>
        <w:spacing w:beforeAutospacing="0" w:afterAutospacing="0"/>
        <w:ind w:left="480" w:hangingChars="200" w:hanging="480"/>
        <w:jc w:val="both"/>
        <w:rPr>
          <w:rFonts w:eastAsia="TimesNewRomanPSMT" w:cs="TimesNewRomanPSMT"/>
        </w:rPr>
      </w:pPr>
      <w:r>
        <w:rPr>
          <w:rFonts w:eastAsia="TimesNewRomanPSMT" w:cs="TimesNewRomanPSMT" w:hint="eastAsia"/>
        </w:rPr>
        <w:t xml:space="preserve">Bartlett, M. S. (1954). A note on the multiplying factors for various </w:t>
      </w:r>
      <w:r>
        <w:rPr>
          <w:rFonts w:eastAsia="SimSun" w:cs="TimesNewRomanPSMT" w:hint="eastAsia"/>
        </w:rPr>
        <w:t>X</w:t>
      </w:r>
      <w:r>
        <w:rPr>
          <w:rFonts w:eastAsia="SimSun" w:cs="TimesNewRomanPSMT" w:hint="eastAsia"/>
        </w:rPr>
        <w:t>²</w:t>
      </w:r>
      <w:r>
        <w:rPr>
          <w:rFonts w:eastAsia="TimesNewRomanPSMT" w:cs="TimesNewRomanPSMT" w:hint="eastAsia"/>
        </w:rPr>
        <w:t xml:space="preserve"> approximations. Journal of the Royal Statistical Society. </w:t>
      </w:r>
      <w:r>
        <w:rPr>
          <w:rFonts w:eastAsia="TimesNewRomanPSMT" w:cs="TimesNewRomanPSMT" w:hint="eastAsia"/>
          <w:i/>
          <w:iCs/>
        </w:rPr>
        <w:t>Series B (Methodological),</w:t>
      </w:r>
      <w:r w:rsidR="00FE13FF">
        <w:rPr>
          <w:rFonts w:eastAsia="TimesNewRomanPSMT" w:cs="TimesNewRomanPSMT"/>
          <w:i/>
          <w:iCs/>
        </w:rPr>
        <w:t xml:space="preserve"> </w:t>
      </w:r>
      <w:r>
        <w:rPr>
          <w:rFonts w:eastAsia="SimSun" w:cs="TimesNewRomanPSMT" w:hint="eastAsia"/>
          <w:i/>
          <w:iCs/>
        </w:rPr>
        <w:t>16</w:t>
      </w:r>
      <w:r>
        <w:rPr>
          <w:rFonts w:eastAsia="SimSun" w:cs="TimesNewRomanPSMT" w:hint="eastAsia"/>
        </w:rPr>
        <w:t>(2)</w:t>
      </w:r>
      <w:r w:rsidR="00FE13FF">
        <w:rPr>
          <w:rFonts w:eastAsia="SimSun" w:cs="TimesNewRomanPSMT"/>
        </w:rPr>
        <w:t>,</w:t>
      </w:r>
      <w:r>
        <w:rPr>
          <w:rFonts w:eastAsia="TimesNewRomanPSMT" w:cs="TimesNewRomanPSMT" w:hint="eastAsia"/>
        </w:rPr>
        <w:t xml:space="preserve"> 296-298.</w:t>
      </w:r>
      <w:r>
        <w:rPr>
          <w:rFonts w:eastAsia="SimSun" w:cs="TimesNewRomanPSMT" w:hint="eastAsia"/>
        </w:rPr>
        <w:t xml:space="preserve"> </w:t>
      </w:r>
      <w:r>
        <w:rPr>
          <w:rFonts w:eastAsia="TimesNewRomanPSMT" w:cs="TimesNewRomanPSMT" w:hint="eastAsia"/>
        </w:rPr>
        <w:t>https://doi.org/10.1111/j.2517-6161.1954.tb00174</w:t>
      </w:r>
    </w:p>
    <w:p w14:paraId="3B3D2ED5" w14:textId="77777777" w:rsidR="000574EE" w:rsidRDefault="00AC3F5F">
      <w:pPr>
        <w:pStyle w:val="NormalWeb"/>
        <w:widowControl/>
        <w:spacing w:beforeAutospacing="0" w:afterAutospacing="0"/>
        <w:ind w:left="480" w:hangingChars="200" w:hanging="480"/>
        <w:jc w:val="both"/>
        <w:rPr>
          <w:rFonts w:eastAsia="TimesNewRomanPSMT" w:cs="TimesNewRomanPSMT"/>
        </w:rPr>
      </w:pPr>
      <w:r>
        <w:rPr>
          <w:rFonts w:eastAsia="TimesNewRomanPSMT" w:cs="TimesNewRomanPSMT"/>
        </w:rPr>
        <w:t xml:space="preserve">Chen, M. H., Chen, B. H., Shih, H. M., &amp; Wu, M. H. (2020). Evaluation Research on the Implementation of Talent Quality Management System in Medical Institutions. </w:t>
      </w:r>
      <w:r>
        <w:rPr>
          <w:rFonts w:eastAsia="TimesNewRomanPSMT" w:cs="TimesNewRomanPSMT"/>
          <w:i/>
          <w:iCs/>
        </w:rPr>
        <w:t>Journal of Economics and Management, 16,</w:t>
      </w:r>
      <w:r>
        <w:rPr>
          <w:rFonts w:eastAsia="TimesNewRomanPSMT" w:cs="TimesNewRomanPSMT"/>
        </w:rPr>
        <w:t xml:space="preserve"> 51-67.</w:t>
      </w:r>
    </w:p>
    <w:p w14:paraId="353A7B98" w14:textId="77777777" w:rsidR="000574EE" w:rsidRDefault="00AC3F5F">
      <w:pPr>
        <w:widowControl/>
        <w:ind w:left="480" w:hangingChars="200" w:hanging="480"/>
        <w:rPr>
          <w:sz w:val="24"/>
        </w:rPr>
      </w:pPr>
      <w:r>
        <w:rPr>
          <w:rFonts w:eastAsia="SimSun" w:cs="Arial"/>
          <w:kern w:val="0"/>
          <w:sz w:val="24"/>
          <w:shd w:val="clear" w:color="auto" w:fill="FFFFFF"/>
          <w:lang w:bidi="ar"/>
        </w:rPr>
        <w:lastRenderedPageBreak/>
        <w:t>Chen, Q., Hao, C., &amp; Xiao, Y. (2020). When testing stakes are no longer high: impact on the Chinese College English learners and their learning. </w:t>
      </w:r>
      <w:r>
        <w:rPr>
          <w:rFonts w:eastAsia="SimSun" w:cs="Arial"/>
          <w:i/>
          <w:iCs/>
          <w:kern w:val="0"/>
          <w:sz w:val="24"/>
          <w:lang w:bidi="ar"/>
        </w:rPr>
        <w:t>Language Testing in Asia</w:t>
      </w:r>
      <w:r>
        <w:rPr>
          <w:rFonts w:eastAsia="SimSun" w:cs="Arial"/>
          <w:kern w:val="0"/>
          <w:sz w:val="24"/>
          <w:shd w:val="clear" w:color="auto" w:fill="FFFFFF"/>
          <w:lang w:bidi="ar"/>
        </w:rPr>
        <w:t>, </w:t>
      </w:r>
      <w:r>
        <w:rPr>
          <w:rFonts w:eastAsia="SimSun" w:cs="Arial"/>
          <w:i/>
          <w:iCs/>
          <w:kern w:val="0"/>
          <w:sz w:val="24"/>
          <w:lang w:bidi="ar"/>
        </w:rPr>
        <w:t>10</w:t>
      </w:r>
      <w:r>
        <w:rPr>
          <w:rFonts w:eastAsia="SimSun" w:cs="Arial"/>
          <w:kern w:val="0"/>
          <w:sz w:val="24"/>
          <w:shd w:val="clear" w:color="auto" w:fill="FFFFFF"/>
          <w:lang w:bidi="ar"/>
        </w:rPr>
        <w:t>(1), 6.</w:t>
      </w:r>
      <w:r>
        <w:rPr>
          <w:rFonts w:eastAsia="SimSun" w:cs="Arial" w:hint="eastAsia"/>
          <w:kern w:val="0"/>
          <w:sz w:val="24"/>
          <w:shd w:val="clear" w:color="auto" w:fill="FFFFFF"/>
          <w:lang w:bidi="ar"/>
        </w:rPr>
        <w:t xml:space="preserve"> https://doi.org/10.1186/s40468-020-00102-5</w:t>
      </w:r>
    </w:p>
    <w:p w14:paraId="1FA4445F" w14:textId="77777777" w:rsidR="000574EE" w:rsidRDefault="00AC3F5F">
      <w:pPr>
        <w:widowControl/>
        <w:ind w:left="480" w:hangingChars="200" w:hanging="480"/>
        <w:rPr>
          <w:rFonts w:eastAsia="SimSun" w:cs="Arial"/>
          <w:color w:val="000000" w:themeColor="text1"/>
          <w:kern w:val="0"/>
          <w:sz w:val="24"/>
          <w:lang w:bidi="ar"/>
        </w:rPr>
      </w:pPr>
      <w:proofErr w:type="spellStart"/>
      <w:r>
        <w:rPr>
          <w:rFonts w:eastAsia="SimSun" w:cs="Arial"/>
          <w:color w:val="000000" w:themeColor="text1"/>
          <w:kern w:val="0"/>
          <w:sz w:val="24"/>
          <w:lang w:bidi="ar"/>
        </w:rPr>
        <w:t>Chuanchaisit</w:t>
      </w:r>
      <w:proofErr w:type="spellEnd"/>
      <w:r>
        <w:rPr>
          <w:rFonts w:eastAsia="SimSun" w:cs="Arial"/>
          <w:color w:val="000000" w:themeColor="text1"/>
          <w:kern w:val="0"/>
          <w:sz w:val="24"/>
          <w:lang w:bidi="ar"/>
        </w:rPr>
        <w:t xml:space="preserve">, S., &amp; </w:t>
      </w:r>
      <w:proofErr w:type="spellStart"/>
      <w:r>
        <w:rPr>
          <w:rFonts w:eastAsia="SimSun" w:cs="Arial"/>
          <w:color w:val="000000" w:themeColor="text1"/>
          <w:kern w:val="0"/>
          <w:sz w:val="24"/>
          <w:lang w:bidi="ar"/>
        </w:rPr>
        <w:t>Prapphal</w:t>
      </w:r>
      <w:proofErr w:type="spellEnd"/>
      <w:r>
        <w:rPr>
          <w:rFonts w:eastAsia="SimSun" w:cs="Arial"/>
          <w:color w:val="000000" w:themeColor="text1"/>
          <w:kern w:val="0"/>
          <w:sz w:val="24"/>
          <w:lang w:bidi="ar"/>
        </w:rPr>
        <w:t xml:space="preserve">, K. (2009). A study of English communication strategies of Thai university students. MANUSYA: </w:t>
      </w:r>
      <w:r>
        <w:rPr>
          <w:rFonts w:eastAsia="SimSun" w:cs="Arial"/>
          <w:i/>
          <w:iCs/>
          <w:color w:val="000000" w:themeColor="text1"/>
          <w:kern w:val="0"/>
          <w:sz w:val="24"/>
          <w:lang w:bidi="ar"/>
        </w:rPr>
        <w:t>Journal of Humanities,</w:t>
      </w:r>
      <w:r>
        <w:rPr>
          <w:rFonts w:eastAsia="SimSun" w:cs="Arial"/>
          <w:color w:val="000000" w:themeColor="text1"/>
          <w:kern w:val="0"/>
          <w:sz w:val="24"/>
          <w:lang w:bidi="ar"/>
        </w:rPr>
        <w:t> </w:t>
      </w:r>
      <w:r w:rsidRPr="00FE13FF">
        <w:rPr>
          <w:rFonts w:eastAsia="SimSun" w:cs="Arial"/>
          <w:i/>
          <w:iCs/>
          <w:color w:val="000000" w:themeColor="text1"/>
          <w:kern w:val="0"/>
          <w:sz w:val="24"/>
          <w:highlight w:val="cyan"/>
          <w:lang w:bidi="ar"/>
        </w:rPr>
        <w:t>12</w:t>
      </w:r>
      <w:r>
        <w:rPr>
          <w:rFonts w:eastAsia="SimSun" w:cs="Arial"/>
          <w:color w:val="000000" w:themeColor="text1"/>
          <w:kern w:val="0"/>
          <w:sz w:val="24"/>
          <w:lang w:bidi="ar"/>
        </w:rPr>
        <w:t>(3), 100-126.</w:t>
      </w:r>
      <w:r>
        <w:rPr>
          <w:rFonts w:eastAsia="SimSun" w:cs="Arial" w:hint="eastAsia"/>
          <w:color w:val="000000" w:themeColor="text1"/>
          <w:kern w:val="0"/>
          <w:sz w:val="24"/>
          <w:lang w:bidi="ar"/>
        </w:rPr>
        <w:t xml:space="preserve"> https://doi.org/10.1163/26659077-01203008 </w:t>
      </w:r>
    </w:p>
    <w:p w14:paraId="3E6E67B4" w14:textId="0CE5C704" w:rsidR="003B5FA4" w:rsidRDefault="003B5FA4">
      <w:pPr>
        <w:widowControl/>
        <w:ind w:left="480" w:hangingChars="200" w:hanging="480"/>
        <w:rPr>
          <w:rFonts w:eastAsia="SimSun" w:cs="Arial"/>
          <w:color w:val="000000" w:themeColor="text1"/>
          <w:kern w:val="0"/>
          <w:sz w:val="24"/>
          <w:lang w:bidi="ar"/>
        </w:rPr>
      </w:pPr>
      <w:r w:rsidRPr="003B5FA4">
        <w:rPr>
          <w:rFonts w:eastAsia="SimSun" w:cs="Arial"/>
          <w:color w:val="000000" w:themeColor="text1"/>
          <w:kern w:val="0"/>
          <w:sz w:val="24"/>
          <w:highlight w:val="cyan"/>
          <w:lang w:bidi="ar"/>
        </w:rPr>
        <w:t>Dashti, E. (2020). Examining the relationship between unwillingness to translate and personality type of Iranian translation students. </w:t>
      </w:r>
      <w:r w:rsidRPr="003B5FA4">
        <w:rPr>
          <w:rFonts w:eastAsia="SimSun" w:cs="Arial"/>
          <w:i/>
          <w:iCs/>
          <w:color w:val="000000" w:themeColor="text1"/>
          <w:kern w:val="0"/>
          <w:sz w:val="24"/>
          <w:highlight w:val="cyan"/>
          <w:lang w:bidi="ar"/>
        </w:rPr>
        <w:t>Journal of Research and Knowledge Spreading</w:t>
      </w:r>
      <w:r w:rsidRPr="003B5FA4">
        <w:rPr>
          <w:rFonts w:eastAsia="SimSun" w:cs="Arial"/>
          <w:color w:val="000000" w:themeColor="text1"/>
          <w:kern w:val="0"/>
          <w:sz w:val="24"/>
          <w:highlight w:val="cyan"/>
          <w:lang w:bidi="ar"/>
        </w:rPr>
        <w:t>, </w:t>
      </w:r>
      <w:r w:rsidRPr="003B5FA4">
        <w:rPr>
          <w:rFonts w:eastAsia="SimSun" w:cs="Arial"/>
          <w:i/>
          <w:iCs/>
          <w:color w:val="000000" w:themeColor="text1"/>
          <w:kern w:val="0"/>
          <w:sz w:val="24"/>
          <w:highlight w:val="cyan"/>
          <w:lang w:bidi="ar"/>
        </w:rPr>
        <w:t>1</w:t>
      </w:r>
      <w:r w:rsidRPr="003B5FA4">
        <w:rPr>
          <w:rFonts w:eastAsia="SimSun" w:cs="Arial"/>
          <w:color w:val="000000" w:themeColor="text1"/>
          <w:kern w:val="0"/>
          <w:sz w:val="24"/>
          <w:highlight w:val="cyan"/>
          <w:lang w:bidi="ar"/>
        </w:rPr>
        <w:t xml:space="preserve">(1), </w:t>
      </w:r>
      <w:r>
        <w:rPr>
          <w:rFonts w:eastAsia="SimSun" w:cs="Arial"/>
          <w:color w:val="000000" w:themeColor="text1"/>
          <w:kern w:val="0"/>
          <w:sz w:val="24"/>
          <w:highlight w:val="cyan"/>
          <w:lang w:bidi="ar"/>
        </w:rPr>
        <w:t>1-10</w:t>
      </w:r>
      <w:r w:rsidRPr="003B5FA4">
        <w:rPr>
          <w:rFonts w:eastAsia="SimSun" w:cs="Arial"/>
          <w:color w:val="000000" w:themeColor="text1"/>
          <w:kern w:val="0"/>
          <w:sz w:val="24"/>
          <w:highlight w:val="cyan"/>
          <w:lang w:bidi="ar"/>
        </w:rPr>
        <w:t>.</w:t>
      </w:r>
    </w:p>
    <w:p w14:paraId="7BDFB54B" w14:textId="1931FA7E" w:rsidR="000574EE" w:rsidRDefault="00AC3F5F">
      <w:pPr>
        <w:widowControl/>
        <w:ind w:left="480" w:hangingChars="200" w:hanging="480"/>
        <w:rPr>
          <w:rFonts w:eastAsia="CIDFont" w:cs="CIDFont"/>
          <w:color w:val="000000" w:themeColor="text1"/>
          <w:kern w:val="0"/>
          <w:sz w:val="24"/>
          <w:lang w:bidi="ar"/>
        </w:rPr>
      </w:pPr>
      <w:r>
        <w:rPr>
          <w:rFonts w:eastAsia="SimSun" w:cs="Arial"/>
          <w:color w:val="000000" w:themeColor="text1"/>
          <w:kern w:val="0"/>
          <w:sz w:val="24"/>
          <w:lang w:bidi="ar"/>
        </w:rPr>
        <w:t>Talbot</w:t>
      </w:r>
      <w:r w:rsidR="00167A0D">
        <w:rPr>
          <w:rFonts w:eastAsia="SimSun" w:cs="Arial"/>
          <w:color w:val="000000" w:themeColor="text1"/>
          <w:kern w:val="0"/>
          <w:sz w:val="24"/>
          <w:lang w:bidi="ar"/>
        </w:rPr>
        <w:t>, D.</w:t>
      </w:r>
      <w:r>
        <w:rPr>
          <w:rFonts w:eastAsia="SimSun" w:cs="Arial"/>
          <w:color w:val="000000" w:themeColor="text1"/>
          <w:kern w:val="0"/>
          <w:sz w:val="24"/>
          <w:lang w:bidi="ar"/>
        </w:rPr>
        <w:t xml:space="preserve"> (2023</w:t>
      </w:r>
      <w:r>
        <w:rPr>
          <w:rFonts w:eastAsia="SimSun" w:cs="Arial" w:hint="eastAsia"/>
          <w:color w:val="000000" w:themeColor="text1"/>
          <w:kern w:val="0"/>
          <w:sz w:val="24"/>
          <w:lang w:bidi="ar"/>
        </w:rPr>
        <w:t xml:space="preserve">, </w:t>
      </w:r>
      <w:r>
        <w:rPr>
          <w:rFonts w:eastAsia="SimSun" w:cs="Arial"/>
          <w:color w:val="000000" w:themeColor="text1"/>
          <w:kern w:val="0"/>
          <w:sz w:val="24"/>
          <w:lang w:bidi="ar"/>
        </w:rPr>
        <w:t>December 29).</w:t>
      </w:r>
      <w:r>
        <w:rPr>
          <w:rFonts w:eastAsia="SimSun" w:cs="Arial" w:hint="eastAsia"/>
          <w:i/>
          <w:iCs/>
          <w:color w:val="000000" w:themeColor="text1"/>
          <w:kern w:val="0"/>
          <w:sz w:val="24"/>
          <w:lang w:bidi="ar"/>
        </w:rPr>
        <w:t xml:space="preserve"> </w:t>
      </w:r>
      <w:r>
        <w:rPr>
          <w:rFonts w:eastAsia="SimSun" w:cs="Arial"/>
          <w:i/>
          <w:iCs/>
          <w:color w:val="000000" w:themeColor="text1"/>
          <w:kern w:val="0"/>
          <w:sz w:val="24"/>
          <w:lang w:bidi="ar"/>
        </w:rPr>
        <w:t>How Many People Speak English. https://wordsrated.com/how-many-people-speak-english/</w:t>
      </w:r>
    </w:p>
    <w:p w14:paraId="503AF4B5" w14:textId="245CCEB7"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shd w:val="clear" w:color="auto" w:fill="FFFFFF"/>
          <w:lang w:bidi="ar"/>
        </w:rPr>
        <w:t>Dellah, N. F., Zabidin, N., Nordin, N. A., Amanah, F. H., &amp; Atan, M. A. (2020). Glossophobia: Evaluating University Students'</w:t>
      </w:r>
      <w:r w:rsidR="00FE13FF">
        <w:rPr>
          <w:rFonts w:eastAsia="SimSun" w:cs="Arial"/>
          <w:color w:val="000000" w:themeColor="text1"/>
          <w:kern w:val="0"/>
          <w:sz w:val="24"/>
          <w:shd w:val="clear" w:color="auto" w:fill="FFFFFF"/>
          <w:lang w:bidi="ar"/>
        </w:rPr>
        <w:t xml:space="preserve"> </w:t>
      </w:r>
      <w:r>
        <w:rPr>
          <w:rFonts w:eastAsia="SimSun" w:cs="Arial"/>
          <w:color w:val="000000" w:themeColor="text1"/>
          <w:kern w:val="0"/>
          <w:sz w:val="24"/>
          <w:shd w:val="clear" w:color="auto" w:fill="FFFFFF"/>
          <w:lang w:bidi="ar"/>
        </w:rPr>
        <w:t xml:space="preserve">Speaking Anxiety </w:t>
      </w:r>
      <w:r>
        <w:rPr>
          <w:rFonts w:eastAsia="SimSun" w:cs="Arial" w:hint="eastAsia"/>
          <w:color w:val="000000" w:themeColor="text1"/>
          <w:kern w:val="0"/>
          <w:sz w:val="24"/>
          <w:shd w:val="clear" w:color="auto" w:fill="FFFFFF"/>
          <w:lang w:bidi="ar"/>
        </w:rPr>
        <w:t>i</w:t>
      </w:r>
      <w:r>
        <w:rPr>
          <w:rFonts w:eastAsia="SimSun" w:cs="Arial"/>
          <w:color w:val="000000" w:themeColor="text1"/>
          <w:kern w:val="0"/>
          <w:sz w:val="24"/>
          <w:shd w:val="clear" w:color="auto" w:fill="FFFFFF"/>
          <w:lang w:bidi="ar"/>
        </w:rPr>
        <w:t>n English Oral Presentations. </w:t>
      </w:r>
      <w:proofErr w:type="spellStart"/>
      <w:r>
        <w:rPr>
          <w:rFonts w:eastAsia="SimSun" w:cs="Arial"/>
          <w:i/>
          <w:iCs/>
          <w:color w:val="000000" w:themeColor="text1"/>
          <w:kern w:val="0"/>
          <w:sz w:val="24"/>
          <w:lang w:bidi="ar"/>
        </w:rPr>
        <w:t>Jurnal</w:t>
      </w:r>
      <w:proofErr w:type="spellEnd"/>
      <w:r>
        <w:rPr>
          <w:rFonts w:eastAsia="SimSun" w:cs="Arial"/>
          <w:i/>
          <w:iCs/>
          <w:color w:val="000000" w:themeColor="text1"/>
          <w:kern w:val="0"/>
          <w:sz w:val="24"/>
          <w:lang w:bidi="ar"/>
        </w:rPr>
        <w:t xml:space="preserve"> </w:t>
      </w:r>
      <w:proofErr w:type="spellStart"/>
      <w:r>
        <w:rPr>
          <w:rFonts w:eastAsia="SimSun" w:cs="Arial"/>
          <w:i/>
          <w:iCs/>
          <w:color w:val="000000" w:themeColor="text1"/>
          <w:kern w:val="0"/>
          <w:sz w:val="24"/>
          <w:lang w:bidi="ar"/>
        </w:rPr>
        <w:t>Ilmi</w:t>
      </w:r>
      <w:proofErr w:type="spellEnd"/>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10</w:t>
      </w:r>
      <w:r>
        <w:rPr>
          <w:rFonts w:eastAsia="SimSun" w:cs="Arial"/>
          <w:color w:val="000000" w:themeColor="text1"/>
          <w:kern w:val="0"/>
          <w:sz w:val="24"/>
          <w:shd w:val="clear" w:color="auto" w:fill="FFFFFF"/>
          <w:lang w:bidi="ar"/>
        </w:rPr>
        <w:t>(1), 116-126.</w:t>
      </w:r>
    </w:p>
    <w:p w14:paraId="00CAA457" w14:textId="77777777"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hint="eastAsia"/>
          <w:color w:val="000000" w:themeColor="text1"/>
          <w:kern w:val="0"/>
          <w:sz w:val="24"/>
          <w:shd w:val="clear" w:color="auto" w:fill="FFFFFF"/>
          <w:lang w:bidi="ar"/>
        </w:rPr>
        <w:t xml:space="preserve">Derrick, D. J. (2016). Instrument reporting practices in second language research. </w:t>
      </w:r>
      <w:r>
        <w:rPr>
          <w:rFonts w:eastAsia="SimSun" w:cs="Arial" w:hint="eastAsia"/>
          <w:i/>
          <w:iCs/>
          <w:color w:val="000000" w:themeColor="text1"/>
          <w:kern w:val="0"/>
          <w:sz w:val="24"/>
          <w:shd w:val="clear" w:color="auto" w:fill="FFFFFF"/>
          <w:lang w:bidi="ar"/>
        </w:rPr>
        <w:t>TESOL Quarterly, 50</w:t>
      </w:r>
      <w:r>
        <w:rPr>
          <w:rFonts w:eastAsia="SimSun" w:cs="Arial" w:hint="eastAsia"/>
          <w:color w:val="000000" w:themeColor="text1"/>
          <w:kern w:val="0"/>
          <w:sz w:val="24"/>
          <w:shd w:val="clear" w:color="auto" w:fill="FFFFFF"/>
          <w:lang w:bidi="ar"/>
        </w:rPr>
        <w:t>(1), 132-153.</w:t>
      </w:r>
    </w:p>
    <w:p w14:paraId="790F5640" w14:textId="77777777"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hint="eastAsia"/>
          <w:color w:val="000000" w:themeColor="text1"/>
          <w:kern w:val="0"/>
          <w:sz w:val="24"/>
          <w:shd w:val="clear" w:color="auto" w:fill="FFFFFF"/>
          <w:lang w:bidi="ar"/>
        </w:rPr>
        <w:t xml:space="preserve">DeVellis, R. F., &amp; Thorpe, C. T. (2021). </w:t>
      </w:r>
      <w:r>
        <w:rPr>
          <w:rFonts w:eastAsia="SimSun" w:cs="Arial" w:hint="eastAsia"/>
          <w:i/>
          <w:iCs/>
          <w:color w:val="000000" w:themeColor="text1"/>
          <w:kern w:val="0"/>
          <w:sz w:val="24"/>
          <w:shd w:val="clear" w:color="auto" w:fill="FFFFFF"/>
          <w:lang w:bidi="ar"/>
        </w:rPr>
        <w:t xml:space="preserve">Scale development: Theory and applications. </w:t>
      </w:r>
      <w:r>
        <w:rPr>
          <w:rFonts w:eastAsia="SimSun" w:cs="Arial" w:hint="eastAsia"/>
          <w:color w:val="000000" w:themeColor="text1"/>
          <w:kern w:val="0"/>
          <w:sz w:val="24"/>
          <w:shd w:val="clear" w:color="auto" w:fill="FFFFFF"/>
          <w:lang w:bidi="ar"/>
        </w:rPr>
        <w:t>SAGE Publications.</w:t>
      </w:r>
    </w:p>
    <w:p w14:paraId="5C6CBB61" w14:textId="77777777"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shd w:val="clear" w:color="auto" w:fill="FFFFFF"/>
          <w:lang w:bidi="ar"/>
        </w:rPr>
        <w:t>Dhanapala, K. V., &amp; Hirakawa, Y. (2016). L2 reading motivation among Sri Lankan university students. </w:t>
      </w:r>
      <w:r>
        <w:rPr>
          <w:rFonts w:eastAsia="SimSun" w:cs="Arial"/>
          <w:i/>
          <w:iCs/>
          <w:color w:val="000000" w:themeColor="text1"/>
          <w:kern w:val="0"/>
          <w:sz w:val="24"/>
          <w:lang w:bidi="ar"/>
        </w:rPr>
        <w:t>Reading Psychology</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37</w:t>
      </w:r>
      <w:r>
        <w:rPr>
          <w:rFonts w:eastAsia="SimSun" w:cs="Arial"/>
          <w:color w:val="000000" w:themeColor="text1"/>
          <w:kern w:val="0"/>
          <w:sz w:val="24"/>
          <w:shd w:val="clear" w:color="auto" w:fill="FFFFFF"/>
          <w:lang w:bidi="ar"/>
        </w:rPr>
        <w:t>(2), 202-229.</w:t>
      </w:r>
      <w:r>
        <w:rPr>
          <w:rFonts w:eastAsia="SimSun" w:cs="Arial" w:hint="eastAsia"/>
          <w:color w:val="000000" w:themeColor="text1"/>
          <w:kern w:val="0"/>
          <w:sz w:val="24"/>
          <w:shd w:val="clear" w:color="auto" w:fill="FFFFFF"/>
          <w:lang w:bidi="ar"/>
        </w:rPr>
        <w:t xml:space="preserve"> </w:t>
      </w:r>
      <w:hyperlink r:id="rId12" w:history="1">
        <w:r>
          <w:rPr>
            <w:rStyle w:val="Hyperlink"/>
            <w:rFonts w:eastAsia="SimSun" w:cs="Arial"/>
            <w:color w:val="000000" w:themeColor="text1"/>
            <w:kern w:val="0"/>
            <w:sz w:val="24"/>
            <w:shd w:val="clear" w:color="auto" w:fill="FFFFFF"/>
            <w:lang w:bidi="ar"/>
          </w:rPr>
          <w:t>https://doi.org/10.1080/02702711.2015.1025163</w:t>
        </w:r>
      </w:hyperlink>
    </w:p>
    <w:p w14:paraId="525D4D6E" w14:textId="77777777"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shd w:val="clear" w:color="auto" w:fill="FFFFFF"/>
          <w:lang w:bidi="ar"/>
        </w:rPr>
        <w:t xml:space="preserve">Erniyati, Y., &amp; Putra, P. H. (2022). EFL students’ motivation on learning English: What can we learn from </w:t>
      </w:r>
      <w:proofErr w:type="gramStart"/>
      <w:r>
        <w:rPr>
          <w:rFonts w:eastAsia="SimSun" w:cs="Arial"/>
          <w:color w:val="000000" w:themeColor="text1"/>
          <w:kern w:val="0"/>
          <w:sz w:val="24"/>
          <w:shd w:val="clear" w:color="auto" w:fill="FFFFFF"/>
          <w:lang w:bidi="ar"/>
        </w:rPr>
        <w:t>them?.</w:t>
      </w:r>
      <w:proofErr w:type="gramEnd"/>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JOALL (Journal of Applied Linguistics and Literature)</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7</w:t>
      </w:r>
      <w:r>
        <w:rPr>
          <w:rFonts w:eastAsia="SimSun" w:cs="Arial"/>
          <w:color w:val="000000" w:themeColor="text1"/>
          <w:kern w:val="0"/>
          <w:sz w:val="24"/>
          <w:shd w:val="clear" w:color="auto" w:fill="FFFFFF"/>
          <w:lang w:bidi="ar"/>
        </w:rPr>
        <w:t>(1), 215-231.</w:t>
      </w:r>
      <w:r>
        <w:rPr>
          <w:rFonts w:eastAsia="SimSun" w:cs="Arial" w:hint="eastAsia"/>
          <w:color w:val="000000" w:themeColor="text1"/>
          <w:kern w:val="0"/>
          <w:sz w:val="24"/>
          <w:shd w:val="clear" w:color="auto" w:fill="FFFFFF"/>
          <w:lang w:bidi="ar"/>
        </w:rPr>
        <w:t xml:space="preserve"> </w:t>
      </w:r>
      <w:hyperlink r:id="rId13" w:history="1">
        <w:r>
          <w:rPr>
            <w:rStyle w:val="Hyperlink"/>
            <w:rFonts w:eastAsia="SimSun" w:cs="Arial" w:hint="eastAsia"/>
            <w:color w:val="000000" w:themeColor="text1"/>
            <w:kern w:val="0"/>
            <w:sz w:val="24"/>
            <w:shd w:val="clear" w:color="auto" w:fill="FFFFFF"/>
            <w:lang w:bidi="ar"/>
          </w:rPr>
          <w:t>https://orcid.org/0000-0001-5466-0029</w:t>
        </w:r>
      </w:hyperlink>
    </w:p>
    <w:p w14:paraId="52911D5B" w14:textId="239A60C6" w:rsidR="000574EE" w:rsidRDefault="00AC3F5F">
      <w:pPr>
        <w:pStyle w:val="NormalWeb"/>
        <w:widowControl/>
        <w:spacing w:beforeAutospacing="0" w:afterAutospacing="0"/>
        <w:ind w:left="480" w:hangingChars="200" w:hanging="480"/>
        <w:jc w:val="both"/>
        <w:rPr>
          <w:rFonts w:eastAsia="TimesNewRomanPSMT" w:cs="TimesNewRomanPSMT"/>
          <w:color w:val="000000" w:themeColor="text1"/>
        </w:rPr>
      </w:pPr>
      <w:r>
        <w:rPr>
          <w:rFonts w:eastAsia="TimesNewRomanPSMT" w:cs="TimesNewRomanPSMT"/>
          <w:color w:val="000000" w:themeColor="text1"/>
        </w:rPr>
        <w:t xml:space="preserve">Gardner, R. &amp; Lambert, W. (1972). </w:t>
      </w:r>
      <w:r>
        <w:rPr>
          <w:rFonts w:eastAsia="TimesNewRomanPS" w:cs="TimesNewRomanPS"/>
          <w:i/>
          <w:iCs/>
          <w:color w:val="000000" w:themeColor="text1"/>
        </w:rPr>
        <w:t xml:space="preserve">Attitudes and motivation in second language learning. </w:t>
      </w:r>
      <w:r>
        <w:rPr>
          <w:rFonts w:eastAsia="TimesNewRomanPSMT" w:cs="TimesNewRomanPSMT"/>
          <w:color w:val="000000" w:themeColor="text1"/>
        </w:rPr>
        <w:t>Newbury House.</w:t>
      </w:r>
    </w:p>
    <w:p w14:paraId="2420096C" w14:textId="77777777" w:rsidR="000574EE" w:rsidRDefault="00AC3F5F">
      <w:pPr>
        <w:pStyle w:val="NormalWeb"/>
        <w:widowControl/>
        <w:spacing w:beforeAutospacing="0" w:afterAutospacing="0"/>
        <w:ind w:left="480" w:hangingChars="200" w:hanging="480"/>
        <w:jc w:val="both"/>
        <w:rPr>
          <w:color w:val="000000" w:themeColor="text1"/>
        </w:rPr>
      </w:pPr>
      <w:r>
        <w:rPr>
          <w:rFonts w:eastAsia="SimSun" w:cs="Arial"/>
          <w:color w:val="000000" w:themeColor="text1"/>
          <w:lang w:bidi="ar"/>
        </w:rPr>
        <w:t xml:space="preserve">Gehlbach, H., &amp; Brinkworth, M. E. (2011). Measure twice, cut down error: A process for enhancing the validity of survey scales. Review of general psychology, </w:t>
      </w:r>
      <w:r w:rsidRPr="00671502">
        <w:rPr>
          <w:rFonts w:eastAsia="SimSun" w:cs="Arial"/>
          <w:i/>
          <w:iCs/>
          <w:color w:val="000000" w:themeColor="text1"/>
          <w:highlight w:val="cyan"/>
          <w:lang w:bidi="ar"/>
        </w:rPr>
        <w:t>15</w:t>
      </w:r>
      <w:r>
        <w:rPr>
          <w:rFonts w:eastAsia="SimSun" w:cs="Arial"/>
          <w:color w:val="000000" w:themeColor="text1"/>
          <w:lang w:bidi="ar"/>
        </w:rPr>
        <w:t xml:space="preserve">(4), 380-387. </w:t>
      </w:r>
      <w:hyperlink r:id="rId14" w:history="1">
        <w:r>
          <w:rPr>
            <w:rFonts w:eastAsia="SimSun" w:cs="Arial"/>
            <w:color w:val="000000" w:themeColor="text1"/>
            <w:lang w:bidi="ar"/>
          </w:rPr>
          <w:t>https://doi.org/10.1037/a0025704</w:t>
        </w:r>
      </w:hyperlink>
      <w:r>
        <w:rPr>
          <w:rFonts w:eastAsia="TimesNewRomanPSMT" w:cs="TimesNewRomanPSMT"/>
          <w:color w:val="000000" w:themeColor="text1"/>
        </w:rPr>
        <w:t xml:space="preserve"> </w:t>
      </w:r>
    </w:p>
    <w:p w14:paraId="7C163425" w14:textId="77777777" w:rsidR="000574EE" w:rsidRDefault="00AC3F5F">
      <w:pPr>
        <w:widowControl/>
        <w:ind w:left="480" w:hangingChars="200" w:hanging="480"/>
        <w:rPr>
          <w:rFonts w:eastAsia="SimSun" w:cs="Arial"/>
          <w:color w:val="000000" w:themeColor="text1"/>
          <w:kern w:val="0"/>
          <w:sz w:val="24"/>
          <w:shd w:val="clear" w:color="auto" w:fill="FFFFFF"/>
          <w:lang w:bidi="ar"/>
        </w:rPr>
      </w:pPr>
      <w:proofErr w:type="spellStart"/>
      <w:r>
        <w:rPr>
          <w:rFonts w:eastAsia="SimSun" w:cs="Arial"/>
          <w:color w:val="000000" w:themeColor="text1"/>
          <w:kern w:val="0"/>
          <w:sz w:val="24"/>
          <w:shd w:val="clear" w:color="auto" w:fill="FFFFFF"/>
          <w:lang w:bidi="ar"/>
        </w:rPr>
        <w:t>Ghanizadeh</w:t>
      </w:r>
      <w:proofErr w:type="spellEnd"/>
      <w:r>
        <w:rPr>
          <w:rFonts w:eastAsia="SimSun" w:cs="Arial"/>
          <w:color w:val="000000" w:themeColor="text1"/>
          <w:kern w:val="0"/>
          <w:sz w:val="24"/>
          <w:shd w:val="clear" w:color="auto" w:fill="FFFFFF"/>
          <w:lang w:bidi="ar"/>
        </w:rPr>
        <w:t xml:space="preserve">, A., Amiri, A., &amp; </w:t>
      </w:r>
      <w:proofErr w:type="spellStart"/>
      <w:r>
        <w:rPr>
          <w:rFonts w:eastAsia="SimSun" w:cs="Arial"/>
          <w:color w:val="000000" w:themeColor="text1"/>
          <w:kern w:val="0"/>
          <w:sz w:val="24"/>
          <w:shd w:val="clear" w:color="auto" w:fill="FFFFFF"/>
          <w:lang w:bidi="ar"/>
        </w:rPr>
        <w:t>Jahedizadeh</w:t>
      </w:r>
      <w:proofErr w:type="spellEnd"/>
      <w:r>
        <w:rPr>
          <w:rFonts w:eastAsia="SimSun" w:cs="Arial"/>
          <w:color w:val="000000" w:themeColor="text1"/>
          <w:kern w:val="0"/>
          <w:sz w:val="24"/>
          <w:shd w:val="clear" w:color="auto" w:fill="FFFFFF"/>
          <w:lang w:bidi="ar"/>
        </w:rPr>
        <w:t>, S. (2020). Towards Humanizing Language Teaching: Error Treatment and EFL Learners' Cognitive, Behavioral, Emotional Engagement, Motivation, and Language Achievement. </w:t>
      </w:r>
      <w:r>
        <w:rPr>
          <w:rFonts w:eastAsia="SimSun" w:cs="Arial"/>
          <w:i/>
          <w:iCs/>
          <w:color w:val="000000" w:themeColor="text1"/>
          <w:kern w:val="0"/>
          <w:sz w:val="24"/>
          <w:lang w:bidi="ar"/>
        </w:rPr>
        <w:t>Iranian Journal of Language Teaching Research</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8</w:t>
      </w:r>
      <w:r>
        <w:rPr>
          <w:rFonts w:eastAsia="SimSun" w:cs="Arial"/>
          <w:color w:val="000000" w:themeColor="text1"/>
          <w:kern w:val="0"/>
          <w:sz w:val="24"/>
          <w:shd w:val="clear" w:color="auto" w:fill="FFFFFF"/>
          <w:lang w:bidi="ar"/>
        </w:rPr>
        <w:t>(1), 129-149.</w:t>
      </w:r>
    </w:p>
    <w:p w14:paraId="7ADB6D51" w14:textId="4DF8035E" w:rsidR="000574EE" w:rsidRDefault="00AC3F5F">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Gregory, J. L., &amp; Noto, L. A. (2018). Attitudinal instrument development: Assessing cognitive, affective, and behavioral domains of teacher attitudes toward teaching all students. </w:t>
      </w:r>
      <w:r>
        <w:rPr>
          <w:rFonts w:eastAsia="SimSun" w:cs="Arial"/>
          <w:i/>
          <w:iCs/>
          <w:color w:val="000000" w:themeColor="text1"/>
          <w:kern w:val="0"/>
          <w:sz w:val="24"/>
          <w:lang w:bidi="ar"/>
        </w:rPr>
        <w:t>Cogent Education</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5</w:t>
      </w:r>
      <w:r>
        <w:rPr>
          <w:rFonts w:eastAsia="SimSun" w:cs="Arial"/>
          <w:color w:val="000000" w:themeColor="text1"/>
          <w:kern w:val="0"/>
          <w:sz w:val="24"/>
          <w:shd w:val="clear" w:color="auto" w:fill="FFFFFF"/>
          <w:lang w:bidi="ar"/>
        </w:rPr>
        <w:t xml:space="preserve">(1), </w:t>
      </w:r>
      <w:r w:rsidRPr="00671502">
        <w:rPr>
          <w:rFonts w:eastAsia="SimSun" w:cs="Arial"/>
          <w:color w:val="000000" w:themeColor="text1"/>
          <w:kern w:val="0"/>
          <w:sz w:val="24"/>
          <w:highlight w:val="cyan"/>
          <w:shd w:val="clear" w:color="auto" w:fill="FFFFFF"/>
          <w:lang w:bidi="ar"/>
        </w:rPr>
        <w:t>1</w:t>
      </w:r>
      <w:r w:rsidR="00671502" w:rsidRPr="00671502">
        <w:rPr>
          <w:rFonts w:eastAsia="SimSun" w:cs="Arial"/>
          <w:color w:val="000000" w:themeColor="text1"/>
          <w:kern w:val="0"/>
          <w:sz w:val="24"/>
          <w:highlight w:val="cyan"/>
          <w:shd w:val="clear" w:color="auto" w:fill="FFFFFF"/>
          <w:lang w:bidi="ar"/>
        </w:rPr>
        <w:t>-12</w:t>
      </w:r>
      <w:r>
        <w:rPr>
          <w:rFonts w:eastAsia="SimSun" w:cs="Arial"/>
          <w:color w:val="000000" w:themeColor="text1"/>
          <w:kern w:val="0"/>
          <w:sz w:val="24"/>
          <w:shd w:val="clear" w:color="auto" w:fill="FFFFFF"/>
          <w:lang w:bidi="ar"/>
        </w:rPr>
        <w:t>.</w:t>
      </w:r>
      <w:r>
        <w:rPr>
          <w:rFonts w:eastAsia="SimSun" w:cs="Arial" w:hint="eastAsia"/>
          <w:color w:val="000000" w:themeColor="text1"/>
          <w:kern w:val="0"/>
          <w:sz w:val="24"/>
          <w:shd w:val="clear" w:color="auto" w:fill="FFFFFF"/>
          <w:lang w:bidi="ar"/>
        </w:rPr>
        <w:t xml:space="preserve">  https://doi.org/10.1080/2331186X.2017.1422679</w:t>
      </w:r>
    </w:p>
    <w:p w14:paraId="4EFDC29F" w14:textId="77777777" w:rsidR="000574EE" w:rsidRDefault="00AC3F5F">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Horwitz, E. K., Horwitz, M. B., &amp; Cope, J. (1986). Foreign language classroom anxiety. </w:t>
      </w:r>
      <w:r>
        <w:rPr>
          <w:rFonts w:eastAsia="SimSun" w:cs="Arial"/>
          <w:i/>
          <w:iCs/>
          <w:color w:val="000000" w:themeColor="text1"/>
          <w:kern w:val="0"/>
          <w:sz w:val="24"/>
          <w:lang w:bidi="ar"/>
        </w:rPr>
        <w:t>The Modern language journal</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70</w:t>
      </w:r>
      <w:r>
        <w:rPr>
          <w:rFonts w:eastAsia="SimSun" w:cs="Arial"/>
          <w:color w:val="000000" w:themeColor="text1"/>
          <w:kern w:val="0"/>
          <w:sz w:val="24"/>
          <w:shd w:val="clear" w:color="auto" w:fill="FFFFFF"/>
          <w:lang w:bidi="ar"/>
        </w:rPr>
        <w:t>(2), 125-132.</w:t>
      </w:r>
      <w:r>
        <w:rPr>
          <w:rFonts w:eastAsia="SimSun" w:cs="Arial" w:hint="eastAsia"/>
          <w:color w:val="000000" w:themeColor="text1"/>
          <w:kern w:val="0"/>
          <w:sz w:val="24"/>
          <w:shd w:val="clear" w:color="auto" w:fill="FFFFFF"/>
          <w:lang w:bidi="ar"/>
        </w:rPr>
        <w:t xml:space="preserve"> https://doi.org/10.2307/327317</w:t>
      </w:r>
    </w:p>
    <w:p w14:paraId="782033E3" w14:textId="77777777" w:rsidR="000574EE" w:rsidRDefault="00AC3F5F">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Hsu, L. (2017). EFL learners’ acceptance of technology in a computer-assisted language learning (CALL) context: The role of intrinsic-extrinsic motivation in English learning. </w:t>
      </w:r>
      <w:r>
        <w:rPr>
          <w:rFonts w:eastAsia="SimSun" w:cs="Arial"/>
          <w:i/>
          <w:iCs/>
          <w:color w:val="000000" w:themeColor="text1"/>
          <w:kern w:val="0"/>
          <w:sz w:val="24"/>
          <w:lang w:bidi="ar"/>
        </w:rPr>
        <w:t>International Journal of Information and Education Technology</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7</w:t>
      </w:r>
      <w:r>
        <w:rPr>
          <w:rFonts w:eastAsia="SimSun" w:cs="Arial"/>
          <w:color w:val="000000" w:themeColor="text1"/>
          <w:kern w:val="0"/>
          <w:sz w:val="24"/>
          <w:shd w:val="clear" w:color="auto" w:fill="FFFFFF"/>
          <w:lang w:bidi="ar"/>
        </w:rPr>
        <w:t>(9), 679-685.</w:t>
      </w:r>
      <w:r>
        <w:rPr>
          <w:rFonts w:eastAsia="SimSun" w:cs="Arial" w:hint="eastAsia"/>
          <w:color w:val="000000" w:themeColor="text1"/>
          <w:kern w:val="0"/>
          <w:sz w:val="24"/>
          <w:shd w:val="clear" w:color="auto" w:fill="FFFFFF"/>
          <w:lang w:bidi="ar"/>
        </w:rPr>
        <w:t xml:space="preserve"> https://doi.org/10.18178/ijiet.2017.7.9.953 </w:t>
      </w:r>
    </w:p>
    <w:p w14:paraId="06737B69" w14:textId="77777777" w:rsidR="000574EE" w:rsidRDefault="00AC3F5F">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lastRenderedPageBreak/>
        <w:t xml:space="preserve">KABIGTING, R., &amp; </w:t>
      </w:r>
      <w:proofErr w:type="spellStart"/>
      <w:r>
        <w:rPr>
          <w:rFonts w:eastAsia="SimSun" w:cs="Arial"/>
          <w:color w:val="000000" w:themeColor="text1"/>
          <w:kern w:val="0"/>
          <w:sz w:val="24"/>
          <w:shd w:val="clear" w:color="auto" w:fill="FFFFFF"/>
          <w:lang w:bidi="ar"/>
        </w:rPr>
        <w:t>Nanud</w:t>
      </w:r>
      <w:proofErr w:type="spellEnd"/>
      <w:r>
        <w:rPr>
          <w:rFonts w:eastAsia="SimSun" w:cs="Arial"/>
          <w:color w:val="000000" w:themeColor="text1"/>
          <w:kern w:val="0"/>
          <w:sz w:val="24"/>
          <w:shd w:val="clear" w:color="auto" w:fill="FFFFFF"/>
          <w:lang w:bidi="ar"/>
        </w:rPr>
        <w:t>, J. A. (2020). English language classroom anxiety and performance of senior high school learners. </w:t>
      </w:r>
      <w:r>
        <w:rPr>
          <w:rFonts w:eastAsia="SimSun" w:cs="Arial"/>
          <w:i/>
          <w:iCs/>
          <w:color w:val="000000" w:themeColor="text1"/>
          <w:kern w:val="0"/>
          <w:sz w:val="24"/>
          <w:lang w:bidi="ar"/>
        </w:rPr>
        <w:t>International Journal of Linguistics and Translation Studies</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1</w:t>
      </w:r>
      <w:r>
        <w:rPr>
          <w:rFonts w:eastAsia="SimSun" w:cs="Arial"/>
          <w:color w:val="000000" w:themeColor="text1"/>
          <w:kern w:val="0"/>
          <w:sz w:val="24"/>
          <w:shd w:val="clear" w:color="auto" w:fill="FFFFFF"/>
          <w:lang w:bidi="ar"/>
        </w:rPr>
        <w:t>(2), 58-69.</w:t>
      </w:r>
      <w:r>
        <w:rPr>
          <w:rFonts w:eastAsia="SimSun" w:cs="Arial" w:hint="eastAsia"/>
          <w:color w:val="000000" w:themeColor="text1"/>
          <w:kern w:val="0"/>
          <w:sz w:val="24"/>
          <w:shd w:val="clear" w:color="auto" w:fill="FFFFFF"/>
          <w:lang w:bidi="ar"/>
        </w:rPr>
        <w:t xml:space="preserve"> https://doi.org/10.36892/ijlts.v1i2.69</w:t>
      </w:r>
    </w:p>
    <w:p w14:paraId="17522D02" w14:textId="77777777"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hint="eastAsia"/>
          <w:color w:val="000000" w:themeColor="text1"/>
          <w:kern w:val="0"/>
          <w:sz w:val="24"/>
          <w:shd w:val="clear" w:color="auto" w:fill="FFFFFF"/>
          <w:lang w:bidi="ar"/>
        </w:rPr>
        <w:t>Kaiser, H. F. (1974). An index of factorial simplicity.</w:t>
      </w:r>
      <w:r>
        <w:rPr>
          <w:rFonts w:eastAsia="SimSun" w:cs="Arial" w:hint="eastAsia"/>
          <w:i/>
          <w:iCs/>
          <w:color w:val="000000" w:themeColor="text1"/>
          <w:kern w:val="0"/>
          <w:sz w:val="24"/>
          <w:shd w:val="clear" w:color="auto" w:fill="FFFFFF"/>
          <w:lang w:bidi="ar"/>
        </w:rPr>
        <w:t xml:space="preserve"> psychometrika, 39 </w:t>
      </w:r>
      <w:r>
        <w:rPr>
          <w:rFonts w:eastAsia="SimSun" w:cs="Arial" w:hint="eastAsia"/>
          <w:color w:val="000000" w:themeColor="text1"/>
          <w:kern w:val="0"/>
          <w:sz w:val="24"/>
          <w:shd w:val="clear" w:color="auto" w:fill="FFFFFF"/>
          <w:lang w:bidi="ar"/>
        </w:rPr>
        <w:t>(1), 31-36. https://doi. org/10.1007. BF02291575.</w:t>
      </w:r>
    </w:p>
    <w:p w14:paraId="4695729A" w14:textId="4C0D2175" w:rsidR="000574EE" w:rsidRDefault="00AC3F5F">
      <w:pPr>
        <w:widowControl/>
        <w:ind w:left="480" w:hangingChars="200" w:hanging="480"/>
        <w:rPr>
          <w:color w:val="000000" w:themeColor="text1"/>
          <w:sz w:val="24"/>
        </w:rPr>
      </w:pPr>
      <w:proofErr w:type="spellStart"/>
      <w:r>
        <w:rPr>
          <w:rFonts w:eastAsia="SimSun" w:cs="Arial"/>
          <w:color w:val="000000" w:themeColor="text1"/>
          <w:kern w:val="0"/>
          <w:sz w:val="24"/>
          <w:shd w:val="clear" w:color="auto" w:fill="FFFFFF"/>
          <w:lang w:bidi="ar"/>
        </w:rPr>
        <w:t>Katsantonis</w:t>
      </w:r>
      <w:proofErr w:type="spellEnd"/>
      <w:r>
        <w:rPr>
          <w:rFonts w:eastAsia="SimSun" w:cs="Arial"/>
          <w:color w:val="000000" w:themeColor="text1"/>
          <w:kern w:val="0"/>
          <w:sz w:val="24"/>
          <w:shd w:val="clear" w:color="auto" w:fill="FFFFFF"/>
          <w:lang w:bidi="ar"/>
        </w:rPr>
        <w:t xml:space="preserve">, A., &amp; </w:t>
      </w:r>
      <w:proofErr w:type="spellStart"/>
      <w:r>
        <w:rPr>
          <w:rFonts w:eastAsia="SimSun" w:cs="Arial"/>
          <w:color w:val="000000" w:themeColor="text1"/>
          <w:kern w:val="0"/>
          <w:sz w:val="24"/>
          <w:shd w:val="clear" w:color="auto" w:fill="FFFFFF"/>
          <w:lang w:bidi="ar"/>
        </w:rPr>
        <w:t>Katsantonis</w:t>
      </w:r>
      <w:proofErr w:type="spellEnd"/>
      <w:r>
        <w:rPr>
          <w:rFonts w:eastAsia="SimSun" w:cs="Arial"/>
          <w:color w:val="000000" w:themeColor="text1"/>
          <w:kern w:val="0"/>
          <w:sz w:val="24"/>
          <w:shd w:val="clear" w:color="auto" w:fill="FFFFFF"/>
          <w:lang w:bidi="ar"/>
        </w:rPr>
        <w:t xml:space="preserve">, I. G. (2024). University Students’ Attitudes toward Artificial Intelligence: An Exploratory Study of the Cognitive, Emotional, and </w:t>
      </w:r>
      <w:proofErr w:type="spellStart"/>
      <w:r>
        <w:rPr>
          <w:rFonts w:eastAsia="SimSun" w:cs="Arial"/>
          <w:color w:val="000000" w:themeColor="text1"/>
          <w:kern w:val="0"/>
          <w:sz w:val="24"/>
          <w:shd w:val="clear" w:color="auto" w:fill="FFFFFF"/>
          <w:lang w:bidi="ar"/>
        </w:rPr>
        <w:t>Behavioural</w:t>
      </w:r>
      <w:proofErr w:type="spellEnd"/>
      <w:r>
        <w:rPr>
          <w:rFonts w:eastAsia="SimSun" w:cs="Arial"/>
          <w:color w:val="000000" w:themeColor="text1"/>
          <w:kern w:val="0"/>
          <w:sz w:val="24"/>
          <w:shd w:val="clear" w:color="auto" w:fill="FFFFFF"/>
          <w:lang w:bidi="ar"/>
        </w:rPr>
        <w:t xml:space="preserve"> Dimensions of Attitudes. </w:t>
      </w:r>
      <w:r>
        <w:rPr>
          <w:rFonts w:eastAsia="SimSun" w:cs="Arial"/>
          <w:i/>
          <w:iCs/>
          <w:color w:val="000000" w:themeColor="text1"/>
          <w:kern w:val="0"/>
          <w:sz w:val="24"/>
          <w:lang w:bidi="ar"/>
        </w:rPr>
        <w:t>Education Sciences</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14</w:t>
      </w:r>
      <w:r>
        <w:rPr>
          <w:rFonts w:eastAsia="SimSun" w:cs="Arial"/>
          <w:color w:val="000000" w:themeColor="text1"/>
          <w:kern w:val="0"/>
          <w:sz w:val="24"/>
          <w:shd w:val="clear" w:color="auto" w:fill="FFFFFF"/>
          <w:lang w:bidi="ar"/>
        </w:rPr>
        <w:t xml:space="preserve">(9), </w:t>
      </w:r>
      <w:r w:rsidR="00140938" w:rsidRPr="00140938">
        <w:rPr>
          <w:rFonts w:eastAsia="SimSun" w:cs="Arial"/>
          <w:color w:val="000000" w:themeColor="text1"/>
          <w:kern w:val="0"/>
          <w:sz w:val="24"/>
          <w:highlight w:val="cyan"/>
          <w:shd w:val="clear" w:color="auto" w:fill="FFFFFF"/>
          <w:lang w:bidi="ar"/>
        </w:rPr>
        <w:t>1-14</w:t>
      </w:r>
      <w:r>
        <w:rPr>
          <w:rFonts w:eastAsia="SimSun" w:cs="Arial"/>
          <w:color w:val="000000" w:themeColor="text1"/>
          <w:kern w:val="0"/>
          <w:sz w:val="24"/>
          <w:shd w:val="clear" w:color="auto" w:fill="FFFFFF"/>
          <w:lang w:bidi="ar"/>
        </w:rPr>
        <w:t>.</w:t>
      </w:r>
      <w:r>
        <w:rPr>
          <w:rFonts w:eastAsia="SimSun" w:cs="Arial" w:hint="eastAsia"/>
          <w:color w:val="000000" w:themeColor="text1"/>
          <w:kern w:val="0"/>
          <w:sz w:val="24"/>
          <w:shd w:val="clear" w:color="auto" w:fill="FFFFFF"/>
          <w:lang w:bidi="ar"/>
        </w:rPr>
        <w:t xml:space="preserve"> https://doi.org/10.3390/educsci14090988</w:t>
      </w:r>
    </w:p>
    <w:p w14:paraId="6E5A65B8" w14:textId="77777777" w:rsidR="000574EE" w:rsidRDefault="00AC3F5F">
      <w:pPr>
        <w:widowControl/>
        <w:ind w:left="480" w:hangingChars="200" w:hanging="480"/>
        <w:rPr>
          <w:rFonts w:eastAsia="SimSun" w:cs="Arial"/>
          <w:color w:val="000000" w:themeColor="text1"/>
          <w:kern w:val="0"/>
          <w:sz w:val="24"/>
          <w:shd w:val="clear" w:color="auto" w:fill="FFFFFF"/>
          <w:lang w:bidi="ar"/>
        </w:rPr>
      </w:pPr>
      <w:proofErr w:type="spellStart"/>
      <w:r>
        <w:rPr>
          <w:rFonts w:eastAsia="SimSun" w:cs="Arial"/>
          <w:color w:val="000000" w:themeColor="text1"/>
          <w:kern w:val="0"/>
          <w:sz w:val="24"/>
          <w:shd w:val="clear" w:color="auto" w:fill="FFFFFF"/>
          <w:lang w:bidi="ar"/>
        </w:rPr>
        <w:t>Kulusakli</w:t>
      </w:r>
      <w:proofErr w:type="spellEnd"/>
      <w:r>
        <w:rPr>
          <w:rFonts w:eastAsia="SimSun" w:cs="Arial"/>
          <w:color w:val="000000" w:themeColor="text1"/>
          <w:kern w:val="0"/>
          <w:sz w:val="24"/>
          <w:shd w:val="clear" w:color="auto" w:fill="FFFFFF"/>
          <w:lang w:bidi="ar"/>
        </w:rPr>
        <w:t>, E. (2021). An Investigation into Turkish EFL Learners' Academic Writing Motivation. </w:t>
      </w:r>
      <w:r>
        <w:rPr>
          <w:rFonts w:eastAsia="SimSun" w:cs="Arial"/>
          <w:i/>
          <w:iCs/>
          <w:color w:val="000000" w:themeColor="text1"/>
          <w:kern w:val="0"/>
          <w:sz w:val="24"/>
          <w:lang w:bidi="ar"/>
        </w:rPr>
        <w:t>Eurasian Journal of Educational Research</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93</w:t>
      </w:r>
      <w:r>
        <w:rPr>
          <w:rFonts w:eastAsia="SimSun" w:cs="Arial"/>
          <w:color w:val="000000" w:themeColor="text1"/>
          <w:kern w:val="0"/>
          <w:sz w:val="24"/>
          <w:shd w:val="clear" w:color="auto" w:fill="FFFFFF"/>
          <w:lang w:bidi="ar"/>
        </w:rPr>
        <w:t>, 165-178.</w:t>
      </w:r>
      <w:r>
        <w:rPr>
          <w:rFonts w:eastAsia="SimSun" w:cs="Arial" w:hint="eastAsia"/>
          <w:color w:val="000000" w:themeColor="text1"/>
          <w:kern w:val="0"/>
          <w:sz w:val="24"/>
          <w:shd w:val="clear" w:color="auto" w:fill="FFFFFF"/>
          <w:lang w:bidi="ar"/>
        </w:rPr>
        <w:t xml:space="preserve"> https://doi.org/10.14689/ejer.2021.93.8</w:t>
      </w:r>
    </w:p>
    <w:p w14:paraId="1CFD33A4" w14:textId="77777777"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shd w:val="clear" w:color="auto" w:fill="FFFFFF"/>
          <w:lang w:bidi="ar"/>
        </w:rPr>
        <w:t>Kusuma, I. P. I., &amp; Adamson, J. (2020). Self-efficacy and communication strategies: Their contributions towards pre-service English teachers’ speaking performance. In </w:t>
      </w:r>
      <w:r>
        <w:rPr>
          <w:rFonts w:eastAsia="SimSun" w:cs="Arial"/>
          <w:i/>
          <w:iCs/>
          <w:color w:val="000000" w:themeColor="text1"/>
          <w:kern w:val="0"/>
          <w:sz w:val="24"/>
          <w:lang w:bidi="ar"/>
        </w:rPr>
        <w:t>Proceedings of the Global Conference on Teaching, Assessment, and Learning in Education (GC-TALE 2019)</w:t>
      </w:r>
      <w:r>
        <w:rPr>
          <w:rFonts w:eastAsia="SimSun" w:cs="Arial"/>
          <w:color w:val="000000" w:themeColor="text1"/>
          <w:kern w:val="0"/>
          <w:sz w:val="24"/>
          <w:shd w:val="clear" w:color="auto" w:fill="FFFFFF"/>
          <w:lang w:bidi="ar"/>
        </w:rPr>
        <w:t> (pp. 66-85). ELE Publishing.</w:t>
      </w:r>
    </w:p>
    <w:p w14:paraId="38B2CE5B" w14:textId="77777777" w:rsidR="000574EE" w:rsidRDefault="00AC3F5F">
      <w:pPr>
        <w:widowControl/>
        <w:ind w:left="480" w:hangingChars="200" w:hanging="480"/>
        <w:rPr>
          <w:rFonts w:eastAsia="SimSun" w:cs="Arial"/>
          <w:color w:val="000000" w:themeColor="text1"/>
          <w:kern w:val="0"/>
          <w:sz w:val="24"/>
          <w:lang w:bidi="ar"/>
        </w:rPr>
      </w:pPr>
      <w:r>
        <w:rPr>
          <w:rFonts w:eastAsia="SimSun" w:cs="Arial"/>
          <w:color w:val="000000" w:themeColor="text1"/>
          <w:kern w:val="0"/>
          <w:sz w:val="24"/>
          <w:lang w:bidi="ar"/>
        </w:rPr>
        <w:t>Le, X. M., &amp; Le, T. T. (2022). Factors affecting students’ attitudes towards learning English as a foreign language in a tertiary institution of Vietnam. </w:t>
      </w:r>
      <w:r w:rsidRPr="00140938">
        <w:rPr>
          <w:rFonts w:eastAsia="SimSun" w:cs="Arial"/>
          <w:i/>
          <w:iCs/>
          <w:color w:val="000000" w:themeColor="text1"/>
          <w:kern w:val="0"/>
          <w:sz w:val="24"/>
          <w:highlight w:val="cyan"/>
          <w:lang w:bidi="ar"/>
        </w:rPr>
        <w:t>International Journal of TESOL &amp; Education</w:t>
      </w:r>
      <w:r>
        <w:rPr>
          <w:rFonts w:eastAsia="SimSun" w:cs="Arial"/>
          <w:color w:val="000000" w:themeColor="text1"/>
          <w:kern w:val="0"/>
          <w:sz w:val="24"/>
          <w:lang w:bidi="ar"/>
        </w:rPr>
        <w:t>, </w:t>
      </w:r>
      <w:r w:rsidRPr="00140938">
        <w:rPr>
          <w:rFonts w:eastAsia="SimSun" w:cs="Arial"/>
          <w:color w:val="000000" w:themeColor="text1"/>
          <w:kern w:val="0"/>
          <w:sz w:val="24"/>
          <w:highlight w:val="cyan"/>
          <w:lang w:bidi="ar"/>
        </w:rPr>
        <w:t>2</w:t>
      </w:r>
      <w:r>
        <w:rPr>
          <w:rFonts w:eastAsia="SimSun" w:cs="Arial"/>
          <w:color w:val="000000" w:themeColor="text1"/>
          <w:kern w:val="0"/>
          <w:sz w:val="24"/>
          <w:lang w:bidi="ar"/>
        </w:rPr>
        <w:t>(2), 168-185.</w:t>
      </w:r>
      <w:r>
        <w:rPr>
          <w:rFonts w:eastAsia="SimSun" w:cs="Arial" w:hint="eastAsia"/>
          <w:color w:val="000000" w:themeColor="text1"/>
          <w:kern w:val="0"/>
          <w:sz w:val="24"/>
          <w:lang w:bidi="ar"/>
        </w:rPr>
        <w:t xml:space="preserve"> </w:t>
      </w:r>
      <w:hyperlink r:id="rId15" w:history="1">
        <w:r>
          <w:rPr>
            <w:rFonts w:eastAsia="SimSun" w:cs="Arial" w:hint="eastAsia"/>
            <w:color w:val="000000" w:themeColor="text1"/>
            <w:kern w:val="0"/>
            <w:sz w:val="24"/>
            <w:lang w:bidi="ar"/>
          </w:rPr>
          <w:t>https://doi.org/10.54855/ijte.22229</w:t>
        </w:r>
      </w:hyperlink>
    </w:p>
    <w:p w14:paraId="3EA3403E" w14:textId="77777777" w:rsidR="000574EE" w:rsidRDefault="00AC3F5F">
      <w:pPr>
        <w:widowControl/>
        <w:ind w:left="480" w:hangingChars="200" w:hanging="480"/>
        <w:rPr>
          <w:rFonts w:eastAsia="SimSun" w:cs="Arial"/>
          <w:color w:val="000000" w:themeColor="text1"/>
          <w:kern w:val="0"/>
          <w:sz w:val="24"/>
          <w:lang w:bidi="ar"/>
        </w:rPr>
      </w:pPr>
      <w:r>
        <w:rPr>
          <w:rFonts w:eastAsia="SimSun" w:cs="Arial"/>
          <w:color w:val="000000" w:themeColor="text1"/>
          <w:kern w:val="0"/>
          <w:sz w:val="24"/>
          <w:lang w:bidi="ar"/>
        </w:rPr>
        <w:t xml:space="preserve">Leon, R. J., Lapkin, S., Fields, L., &amp; Moroney, T. (2022). Developing a self-administered questionnaire: Methods and considerations. </w:t>
      </w:r>
      <w:r w:rsidRPr="00140938">
        <w:rPr>
          <w:rFonts w:eastAsia="SimSun" w:cs="Arial"/>
          <w:i/>
          <w:iCs/>
          <w:color w:val="000000" w:themeColor="text1"/>
          <w:kern w:val="0"/>
          <w:sz w:val="24"/>
          <w:lang w:bidi="ar"/>
        </w:rPr>
        <w:t>Nurse researcher</w:t>
      </w:r>
      <w:r>
        <w:rPr>
          <w:rFonts w:eastAsia="SimSun" w:cs="Arial"/>
          <w:color w:val="000000" w:themeColor="text1"/>
          <w:kern w:val="0"/>
          <w:sz w:val="24"/>
          <w:lang w:bidi="ar"/>
        </w:rPr>
        <w:t xml:space="preserve">, </w:t>
      </w:r>
      <w:r w:rsidRPr="00140938">
        <w:rPr>
          <w:rFonts w:eastAsia="SimSun" w:cs="Arial"/>
          <w:i/>
          <w:iCs/>
          <w:color w:val="000000" w:themeColor="text1"/>
          <w:kern w:val="0"/>
          <w:sz w:val="24"/>
          <w:lang w:bidi="ar"/>
        </w:rPr>
        <w:t>30</w:t>
      </w:r>
      <w:r>
        <w:rPr>
          <w:rFonts w:eastAsia="SimSun" w:cs="Arial"/>
          <w:color w:val="000000" w:themeColor="text1"/>
          <w:kern w:val="0"/>
          <w:sz w:val="24"/>
          <w:lang w:bidi="ar"/>
        </w:rPr>
        <w:t xml:space="preserve">(3). </w:t>
      </w:r>
      <w:hyperlink r:id="rId16" w:history="1">
        <w:r>
          <w:rPr>
            <w:rFonts w:eastAsia="SimSun" w:cs="Arial"/>
            <w:color w:val="000000" w:themeColor="text1"/>
            <w:kern w:val="0"/>
            <w:sz w:val="24"/>
            <w:lang w:bidi="ar"/>
          </w:rPr>
          <w:t>https://doi.org/10.7748/nr.2022.e1848</w:t>
        </w:r>
      </w:hyperlink>
    </w:p>
    <w:p w14:paraId="17E4536E" w14:textId="77777777" w:rsidR="000574EE" w:rsidRDefault="00AC3F5F">
      <w:pPr>
        <w:widowControl/>
        <w:ind w:left="480" w:hangingChars="200" w:hanging="480"/>
        <w:rPr>
          <w:rFonts w:eastAsia="SimSun" w:cs="Arial"/>
          <w:color w:val="000000" w:themeColor="text1"/>
          <w:kern w:val="0"/>
          <w:sz w:val="24"/>
          <w:lang w:bidi="ar"/>
        </w:rPr>
      </w:pPr>
      <w:r>
        <w:rPr>
          <w:rFonts w:eastAsia="SimSun" w:cs="Arial"/>
          <w:color w:val="000000" w:themeColor="text1"/>
          <w:kern w:val="0"/>
          <w:sz w:val="24"/>
          <w:lang w:bidi="ar"/>
        </w:rPr>
        <w:t>Lim, S. (2012). EFL motivational orientation and proficiency: A survey of Cambodian univ</w:t>
      </w:r>
      <w:r>
        <w:rPr>
          <w:rFonts w:eastAsia="SimSun" w:cs="Arial" w:hint="eastAsia"/>
          <w:color w:val="000000" w:themeColor="text1"/>
          <w:kern w:val="0"/>
          <w:sz w:val="24"/>
          <w:lang w:bidi="ar"/>
        </w:rPr>
        <w:t>ersity</w:t>
      </w:r>
      <w:r>
        <w:rPr>
          <w:rFonts w:eastAsia="SimSun" w:cs="Arial" w:hint="eastAsia"/>
          <w:color w:val="000000" w:themeColor="text1"/>
          <w:kern w:val="0"/>
          <w:sz w:val="24"/>
          <w:shd w:val="clear" w:color="auto" w:fill="FFFFFF"/>
          <w:lang w:bidi="ar"/>
        </w:rPr>
        <w:t xml:space="preserve"> students in Phnom Penh.</w:t>
      </w:r>
      <w:r>
        <w:rPr>
          <w:rFonts w:eastAsia="SimSun" w:cs="Arial"/>
          <w:color w:val="000000" w:themeColor="text1"/>
          <w:kern w:val="0"/>
          <w:sz w:val="24"/>
          <w:shd w:val="clear" w:color="auto" w:fill="FFFFFF"/>
          <w:lang w:bidi="ar"/>
        </w:rPr>
        <w:t> </w:t>
      </w:r>
      <w:r>
        <w:rPr>
          <w:rFonts w:eastAsia="SimSun" w:cs="Arial"/>
          <w:i/>
          <w:iCs/>
          <w:color w:val="000000" w:themeColor="text1"/>
          <w:kern w:val="0"/>
          <w:sz w:val="24"/>
          <w:shd w:val="clear" w:color="auto" w:fill="FFFFFF"/>
          <w:lang w:bidi="ar"/>
        </w:rPr>
        <w:t>Philippine ESL Journal</w:t>
      </w:r>
      <w:r>
        <w:rPr>
          <w:rFonts w:eastAsia="SimSun" w:cs="Arial"/>
          <w:color w:val="000000" w:themeColor="text1"/>
          <w:kern w:val="0"/>
          <w:sz w:val="24"/>
          <w:shd w:val="clear" w:color="auto" w:fill="FFFFFF"/>
          <w:lang w:bidi="ar"/>
        </w:rPr>
        <w:t>, </w:t>
      </w:r>
      <w:r w:rsidRPr="00140938">
        <w:rPr>
          <w:rFonts w:eastAsia="SimSun" w:cs="Arial"/>
          <w:i/>
          <w:iCs/>
          <w:color w:val="000000" w:themeColor="text1"/>
          <w:kern w:val="0"/>
          <w:sz w:val="24"/>
          <w:highlight w:val="cyan"/>
          <w:shd w:val="clear" w:color="auto" w:fill="FFFFFF"/>
          <w:lang w:bidi="ar"/>
        </w:rPr>
        <w:t>8</w:t>
      </w:r>
      <w:r>
        <w:rPr>
          <w:rFonts w:eastAsia="SimSun" w:cs="Arial"/>
          <w:color w:val="000000" w:themeColor="text1"/>
          <w:kern w:val="0"/>
          <w:sz w:val="24"/>
          <w:shd w:val="clear" w:color="auto" w:fill="FFFFFF"/>
          <w:lang w:bidi="ar"/>
        </w:rPr>
        <w:t>, 52-82.</w:t>
      </w:r>
    </w:p>
    <w:p w14:paraId="2D6172B0" w14:textId="7AE1D89C" w:rsidR="000574EE" w:rsidRDefault="00AC3F5F">
      <w:pPr>
        <w:widowControl/>
        <w:ind w:left="480" w:hangingChars="200" w:hanging="480"/>
        <w:rPr>
          <w:rFonts w:eastAsia="SimSun" w:cs="Arial"/>
          <w:color w:val="000000" w:themeColor="text1"/>
          <w:kern w:val="0"/>
          <w:sz w:val="24"/>
          <w:lang w:bidi="ar"/>
        </w:rPr>
      </w:pPr>
      <w:r>
        <w:rPr>
          <w:rFonts w:eastAsia="SimSun" w:cs="Arial"/>
          <w:color w:val="000000" w:themeColor="text1"/>
          <w:kern w:val="0"/>
          <w:sz w:val="24"/>
          <w:lang w:bidi="ar"/>
        </w:rPr>
        <w:t xml:space="preserve">Liu, F., Vadivel, B., Rezvani, E., &amp; </w:t>
      </w:r>
      <w:proofErr w:type="spellStart"/>
      <w:r>
        <w:rPr>
          <w:rFonts w:eastAsia="SimSun" w:cs="Arial"/>
          <w:color w:val="000000" w:themeColor="text1"/>
          <w:kern w:val="0"/>
          <w:sz w:val="24"/>
          <w:lang w:bidi="ar"/>
        </w:rPr>
        <w:t>Namaziandost</w:t>
      </w:r>
      <w:proofErr w:type="spellEnd"/>
      <w:r>
        <w:rPr>
          <w:rFonts w:eastAsia="SimSun" w:cs="Arial"/>
          <w:color w:val="000000" w:themeColor="text1"/>
          <w:kern w:val="0"/>
          <w:sz w:val="24"/>
          <w:lang w:bidi="ar"/>
        </w:rPr>
        <w:t>, E. (2021). Using games to promote English as a foreign language learners’ willingness to communicate: Potential effects and teachers’ attitude in focus. </w:t>
      </w:r>
      <w:r w:rsidRPr="00243E20">
        <w:rPr>
          <w:rFonts w:eastAsia="SimSun" w:cs="Arial"/>
          <w:i/>
          <w:iCs/>
          <w:color w:val="000000" w:themeColor="text1"/>
          <w:kern w:val="0"/>
          <w:sz w:val="24"/>
          <w:highlight w:val="cyan"/>
          <w:lang w:bidi="ar"/>
        </w:rPr>
        <w:t>Frontiers in</w:t>
      </w:r>
      <w:r w:rsidR="00243E20" w:rsidRPr="00243E20">
        <w:rPr>
          <w:rFonts w:eastAsia="SimSun" w:cs="Arial"/>
          <w:i/>
          <w:iCs/>
          <w:color w:val="000000" w:themeColor="text1"/>
          <w:kern w:val="0"/>
          <w:sz w:val="24"/>
          <w:highlight w:val="cyan"/>
          <w:lang w:bidi="ar"/>
        </w:rPr>
        <w:t xml:space="preserve"> </w:t>
      </w:r>
      <w:r w:rsidRPr="00243E20">
        <w:rPr>
          <w:rFonts w:eastAsia="SimSun" w:cs="Arial"/>
          <w:i/>
          <w:iCs/>
          <w:color w:val="000000" w:themeColor="text1"/>
          <w:kern w:val="0"/>
          <w:sz w:val="24"/>
          <w:highlight w:val="cyan"/>
          <w:lang w:bidi="ar"/>
        </w:rPr>
        <w:t>psychology</w:t>
      </w:r>
      <w:r>
        <w:rPr>
          <w:rFonts w:eastAsia="SimSun" w:cs="Arial"/>
          <w:color w:val="000000" w:themeColor="text1"/>
          <w:kern w:val="0"/>
          <w:sz w:val="24"/>
          <w:lang w:bidi="ar"/>
        </w:rPr>
        <w:t>, </w:t>
      </w:r>
      <w:r w:rsidRPr="00243E20">
        <w:rPr>
          <w:rFonts w:eastAsia="SimSun" w:cs="Arial"/>
          <w:i/>
          <w:iCs/>
          <w:color w:val="000000" w:themeColor="text1"/>
          <w:kern w:val="0"/>
          <w:sz w:val="24"/>
          <w:lang w:bidi="ar"/>
        </w:rPr>
        <w:t>12</w:t>
      </w:r>
      <w:r>
        <w:rPr>
          <w:rFonts w:eastAsia="SimSun" w:cs="Arial"/>
          <w:color w:val="000000" w:themeColor="text1"/>
          <w:kern w:val="0"/>
          <w:sz w:val="24"/>
          <w:lang w:bidi="ar"/>
        </w:rPr>
        <w:t xml:space="preserve">, </w:t>
      </w:r>
      <w:r w:rsidR="00243E20" w:rsidRPr="00243E20">
        <w:rPr>
          <w:rFonts w:eastAsia="SimSun" w:cs="Arial"/>
          <w:color w:val="000000" w:themeColor="text1"/>
          <w:kern w:val="0"/>
          <w:sz w:val="24"/>
          <w:highlight w:val="cyan"/>
          <w:lang w:bidi="ar"/>
        </w:rPr>
        <w:t>1-12</w:t>
      </w:r>
      <w:r w:rsidRPr="00243E20">
        <w:rPr>
          <w:rFonts w:eastAsia="SimSun" w:cs="Arial"/>
          <w:color w:val="000000" w:themeColor="text1"/>
          <w:kern w:val="0"/>
          <w:sz w:val="24"/>
          <w:highlight w:val="cyan"/>
          <w:lang w:bidi="ar"/>
        </w:rPr>
        <w:t>.</w:t>
      </w:r>
      <w:r>
        <w:rPr>
          <w:rFonts w:eastAsia="SimSun" w:cs="Arial"/>
          <w:color w:val="000000" w:themeColor="text1"/>
          <w:kern w:val="0"/>
          <w:sz w:val="24"/>
          <w:lang w:bidi="ar"/>
        </w:rPr>
        <w:t xml:space="preserve"> </w:t>
      </w:r>
      <w:r>
        <w:rPr>
          <w:rFonts w:eastAsia="SimSun" w:cs="Arial" w:hint="eastAsia"/>
          <w:color w:val="000000" w:themeColor="text1"/>
          <w:kern w:val="0"/>
          <w:sz w:val="24"/>
          <w:lang w:bidi="ar"/>
        </w:rPr>
        <w:t>https://doi.org/</w:t>
      </w:r>
      <w:r>
        <w:rPr>
          <w:rFonts w:eastAsia="SimSun" w:cs="Arial"/>
          <w:color w:val="000000" w:themeColor="text1"/>
          <w:kern w:val="0"/>
          <w:sz w:val="24"/>
          <w:lang w:bidi="ar"/>
        </w:rPr>
        <w:t>10.3389/fpsyg.2021.762447</w:t>
      </w:r>
    </w:p>
    <w:p w14:paraId="0E79879B" w14:textId="611F2D88"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lang w:bidi="ar"/>
        </w:rPr>
        <w:t xml:space="preserve">Luo, Z., Subramaniam, G., &amp; </w:t>
      </w:r>
      <w:r w:rsidRPr="00243E20">
        <w:rPr>
          <w:rFonts w:eastAsia="SimSun" w:cs="Arial"/>
          <w:color w:val="000000" w:themeColor="text1"/>
          <w:kern w:val="0"/>
          <w:sz w:val="24"/>
          <w:highlight w:val="cyan"/>
          <w:lang w:bidi="ar"/>
        </w:rPr>
        <w:t>O’S</w:t>
      </w:r>
      <w:r w:rsidR="00243E20" w:rsidRPr="00243E20">
        <w:rPr>
          <w:rFonts w:eastAsia="SimSun" w:cs="Arial"/>
          <w:color w:val="000000" w:themeColor="text1"/>
          <w:kern w:val="0"/>
          <w:sz w:val="24"/>
          <w:highlight w:val="cyan"/>
          <w:lang w:bidi="ar"/>
        </w:rPr>
        <w:t>teen</w:t>
      </w:r>
      <w:r w:rsidRPr="00243E20">
        <w:rPr>
          <w:rFonts w:eastAsia="SimSun" w:cs="Arial"/>
          <w:color w:val="000000" w:themeColor="text1"/>
          <w:kern w:val="0"/>
          <w:sz w:val="24"/>
          <w:highlight w:val="cyan"/>
          <w:lang w:bidi="ar"/>
        </w:rPr>
        <w:t>, B</w:t>
      </w:r>
      <w:r w:rsidR="00243E20">
        <w:rPr>
          <w:rFonts w:eastAsia="SimSun" w:cs="Arial"/>
          <w:color w:val="000000" w:themeColor="text1"/>
          <w:kern w:val="0"/>
          <w:sz w:val="24"/>
          <w:lang w:bidi="ar"/>
        </w:rPr>
        <w:t>.</w:t>
      </w:r>
      <w:r>
        <w:rPr>
          <w:rFonts w:eastAsia="SimSun" w:cs="Arial"/>
          <w:color w:val="000000" w:themeColor="text1"/>
          <w:kern w:val="0"/>
          <w:sz w:val="24"/>
          <w:lang w:bidi="ar"/>
        </w:rPr>
        <w:t xml:space="preserve"> (2020). Will anxiety boost motivation? The relationship between anxiety and motivation in foreign language learning. </w:t>
      </w:r>
      <w:r w:rsidRPr="00243E20">
        <w:rPr>
          <w:rFonts w:eastAsia="SimSun" w:cs="Arial"/>
          <w:i/>
          <w:iCs/>
          <w:color w:val="000000" w:themeColor="text1"/>
          <w:kern w:val="0"/>
          <w:sz w:val="24"/>
          <w:highlight w:val="cyan"/>
          <w:lang w:bidi="ar"/>
        </w:rPr>
        <w:t>Malaysian Journal of English Language Teaching Research</w:t>
      </w:r>
      <w:r>
        <w:rPr>
          <w:rFonts w:eastAsia="SimSun" w:cs="Arial"/>
          <w:color w:val="000000" w:themeColor="text1"/>
          <w:kern w:val="0"/>
          <w:sz w:val="24"/>
          <w:lang w:bidi="ar"/>
        </w:rPr>
        <w:t>, </w:t>
      </w:r>
      <w:r w:rsidRPr="00243E20">
        <w:rPr>
          <w:rFonts w:eastAsia="SimSun" w:cs="Arial"/>
          <w:i/>
          <w:iCs/>
          <w:color w:val="000000" w:themeColor="text1"/>
          <w:kern w:val="0"/>
          <w:sz w:val="24"/>
          <w:highlight w:val="cyan"/>
          <w:lang w:bidi="ar"/>
        </w:rPr>
        <w:t>17</w:t>
      </w:r>
      <w:r>
        <w:rPr>
          <w:rFonts w:eastAsia="SimSun" w:cs="Arial"/>
          <w:color w:val="000000" w:themeColor="text1"/>
          <w:kern w:val="0"/>
          <w:sz w:val="24"/>
          <w:lang w:bidi="ar"/>
        </w:rPr>
        <w:t>(1)</w:t>
      </w:r>
      <w:r w:rsidR="00243E20">
        <w:rPr>
          <w:rFonts w:eastAsia="SimSun" w:cs="Arial"/>
          <w:color w:val="000000" w:themeColor="text1"/>
          <w:kern w:val="0"/>
          <w:sz w:val="24"/>
          <w:lang w:bidi="ar"/>
        </w:rPr>
        <w:t xml:space="preserve">, </w:t>
      </w:r>
      <w:r w:rsidR="00243E20" w:rsidRPr="00243E20">
        <w:rPr>
          <w:rFonts w:eastAsia="SimSun" w:cs="Arial"/>
          <w:color w:val="000000" w:themeColor="text1"/>
          <w:kern w:val="0"/>
          <w:sz w:val="24"/>
          <w:highlight w:val="cyan"/>
          <w:lang w:bidi="ar"/>
        </w:rPr>
        <w:t>53-71</w:t>
      </w:r>
      <w:r>
        <w:rPr>
          <w:rFonts w:eastAsia="SimSun" w:cs="Arial"/>
          <w:color w:val="000000" w:themeColor="text1"/>
          <w:kern w:val="0"/>
          <w:sz w:val="24"/>
          <w:lang w:bidi="ar"/>
        </w:rPr>
        <w:t>.</w:t>
      </w:r>
      <w:r>
        <w:rPr>
          <w:rFonts w:eastAsia="SimSun" w:cs="Arial" w:hint="eastAsia"/>
          <w:color w:val="000000" w:themeColor="text1"/>
          <w:kern w:val="0"/>
          <w:sz w:val="24"/>
          <w:lang w:bidi="ar"/>
        </w:rPr>
        <w:t xml:space="preserve"> </w:t>
      </w:r>
      <w:hyperlink r:id="rId17" w:history="1">
        <w:r>
          <w:rPr>
            <w:rFonts w:eastAsia="SimSun" w:cs="Arial" w:hint="eastAsia"/>
            <w:color w:val="000000" w:themeColor="text1"/>
            <w:kern w:val="0"/>
            <w:sz w:val="24"/>
            <w:lang w:bidi="ar"/>
          </w:rPr>
          <w:t>https://doi.org/10.3389/fpsyg.2021.762447</w:t>
        </w:r>
      </w:hyperlink>
    </w:p>
    <w:p w14:paraId="67540B97" w14:textId="77777777"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shd w:val="clear" w:color="auto" w:fill="FFFFFF"/>
          <w:lang w:bidi="ar"/>
        </w:rPr>
        <w:t xml:space="preserve">Luque-Jiménez, I. (2023). Una </w:t>
      </w:r>
      <w:proofErr w:type="spellStart"/>
      <w:r>
        <w:rPr>
          <w:rFonts w:eastAsia="SimSun" w:cs="Arial"/>
          <w:color w:val="000000" w:themeColor="text1"/>
          <w:kern w:val="0"/>
          <w:sz w:val="24"/>
          <w:shd w:val="clear" w:color="auto" w:fill="FFFFFF"/>
          <w:lang w:bidi="ar"/>
        </w:rPr>
        <w:t>investigación</w:t>
      </w:r>
      <w:proofErr w:type="spellEnd"/>
      <w:r>
        <w:rPr>
          <w:rFonts w:eastAsia="SimSun" w:cs="Arial"/>
          <w:color w:val="000000" w:themeColor="text1"/>
          <w:kern w:val="0"/>
          <w:sz w:val="24"/>
          <w:shd w:val="clear" w:color="auto" w:fill="FFFFFF"/>
          <w:lang w:bidi="ar"/>
        </w:rPr>
        <w:t xml:space="preserve"> </w:t>
      </w:r>
      <w:proofErr w:type="spellStart"/>
      <w:r>
        <w:rPr>
          <w:rFonts w:eastAsia="SimSun" w:cs="Arial"/>
          <w:color w:val="000000" w:themeColor="text1"/>
          <w:kern w:val="0"/>
          <w:sz w:val="24"/>
          <w:shd w:val="clear" w:color="auto" w:fill="FFFFFF"/>
          <w:lang w:bidi="ar"/>
        </w:rPr>
        <w:t>sobre</w:t>
      </w:r>
      <w:proofErr w:type="spellEnd"/>
      <w:r>
        <w:rPr>
          <w:rFonts w:eastAsia="SimSun" w:cs="Arial"/>
          <w:color w:val="000000" w:themeColor="text1"/>
          <w:kern w:val="0"/>
          <w:sz w:val="24"/>
          <w:shd w:val="clear" w:color="auto" w:fill="FFFFFF"/>
          <w:lang w:bidi="ar"/>
        </w:rPr>
        <w:t xml:space="preserve"> </w:t>
      </w:r>
      <w:proofErr w:type="spellStart"/>
      <w:r>
        <w:rPr>
          <w:rFonts w:eastAsia="SimSun" w:cs="Arial"/>
          <w:color w:val="000000" w:themeColor="text1"/>
          <w:kern w:val="0"/>
          <w:sz w:val="24"/>
          <w:shd w:val="clear" w:color="auto" w:fill="FFFFFF"/>
          <w:lang w:bidi="ar"/>
        </w:rPr>
        <w:t>cambios</w:t>
      </w:r>
      <w:proofErr w:type="spellEnd"/>
      <w:r>
        <w:rPr>
          <w:rFonts w:eastAsia="SimSun" w:cs="Arial"/>
          <w:color w:val="000000" w:themeColor="text1"/>
          <w:kern w:val="0"/>
          <w:sz w:val="24"/>
          <w:shd w:val="clear" w:color="auto" w:fill="FFFFFF"/>
          <w:lang w:bidi="ar"/>
        </w:rPr>
        <w:t xml:space="preserve"> </w:t>
      </w:r>
      <w:proofErr w:type="spellStart"/>
      <w:r>
        <w:rPr>
          <w:rFonts w:eastAsia="SimSun" w:cs="Arial"/>
          <w:color w:val="000000" w:themeColor="text1"/>
          <w:kern w:val="0"/>
          <w:sz w:val="24"/>
          <w:shd w:val="clear" w:color="auto" w:fill="FFFFFF"/>
          <w:lang w:bidi="ar"/>
        </w:rPr>
        <w:t>en</w:t>
      </w:r>
      <w:proofErr w:type="spellEnd"/>
      <w:r>
        <w:rPr>
          <w:rFonts w:eastAsia="SimSun" w:cs="Arial"/>
          <w:color w:val="000000" w:themeColor="text1"/>
          <w:kern w:val="0"/>
          <w:sz w:val="24"/>
          <w:shd w:val="clear" w:color="auto" w:fill="FFFFFF"/>
          <w:lang w:bidi="ar"/>
        </w:rPr>
        <w:t xml:space="preserve"> </w:t>
      </w:r>
      <w:proofErr w:type="spellStart"/>
      <w:r>
        <w:rPr>
          <w:rFonts w:eastAsia="SimSun" w:cs="Arial"/>
          <w:color w:val="000000" w:themeColor="text1"/>
          <w:kern w:val="0"/>
          <w:sz w:val="24"/>
          <w:shd w:val="clear" w:color="auto" w:fill="FFFFFF"/>
          <w:lang w:bidi="ar"/>
        </w:rPr>
        <w:t>estrategias</w:t>
      </w:r>
      <w:proofErr w:type="spellEnd"/>
      <w:r>
        <w:rPr>
          <w:rFonts w:eastAsia="SimSun" w:cs="Arial"/>
          <w:color w:val="000000" w:themeColor="text1"/>
          <w:kern w:val="0"/>
          <w:sz w:val="24"/>
          <w:shd w:val="clear" w:color="auto" w:fill="FFFFFF"/>
          <w:lang w:bidi="ar"/>
        </w:rPr>
        <w:t xml:space="preserve"> de </w:t>
      </w:r>
      <w:proofErr w:type="spellStart"/>
      <w:r>
        <w:rPr>
          <w:rFonts w:eastAsia="SimSun" w:cs="Arial"/>
          <w:color w:val="000000" w:themeColor="text1"/>
          <w:kern w:val="0"/>
          <w:sz w:val="24"/>
          <w:shd w:val="clear" w:color="auto" w:fill="FFFFFF"/>
          <w:lang w:bidi="ar"/>
        </w:rPr>
        <w:t>comunicación</w:t>
      </w:r>
      <w:proofErr w:type="spellEnd"/>
      <w:r>
        <w:rPr>
          <w:rFonts w:eastAsia="SimSun" w:cs="Arial"/>
          <w:color w:val="000000" w:themeColor="text1"/>
          <w:kern w:val="0"/>
          <w:sz w:val="24"/>
          <w:shd w:val="clear" w:color="auto" w:fill="FFFFFF"/>
          <w:lang w:bidi="ar"/>
        </w:rPr>
        <w:t xml:space="preserve"> oral </w:t>
      </w:r>
      <w:proofErr w:type="spellStart"/>
      <w:r>
        <w:rPr>
          <w:rFonts w:eastAsia="SimSun" w:cs="Arial"/>
          <w:color w:val="000000" w:themeColor="text1"/>
          <w:kern w:val="0"/>
          <w:sz w:val="24"/>
          <w:shd w:val="clear" w:color="auto" w:fill="FFFFFF"/>
          <w:lang w:bidi="ar"/>
        </w:rPr>
        <w:t>productivas</w:t>
      </w:r>
      <w:proofErr w:type="spellEnd"/>
      <w:r>
        <w:rPr>
          <w:rFonts w:eastAsia="SimSun" w:cs="Arial"/>
          <w:color w:val="000000" w:themeColor="text1"/>
          <w:kern w:val="0"/>
          <w:sz w:val="24"/>
          <w:shd w:val="clear" w:color="auto" w:fill="FFFFFF"/>
          <w:lang w:bidi="ar"/>
        </w:rPr>
        <w:t xml:space="preserve"> </w:t>
      </w:r>
      <w:proofErr w:type="spellStart"/>
      <w:r>
        <w:rPr>
          <w:rFonts w:eastAsia="SimSun" w:cs="Arial"/>
          <w:color w:val="000000" w:themeColor="text1"/>
          <w:kern w:val="0"/>
          <w:sz w:val="24"/>
          <w:shd w:val="clear" w:color="auto" w:fill="FFFFFF"/>
          <w:lang w:bidi="ar"/>
        </w:rPr>
        <w:t>en</w:t>
      </w:r>
      <w:proofErr w:type="spellEnd"/>
      <w:r>
        <w:rPr>
          <w:rFonts w:eastAsia="SimSun" w:cs="Arial"/>
          <w:color w:val="000000" w:themeColor="text1"/>
          <w:kern w:val="0"/>
          <w:sz w:val="24"/>
          <w:shd w:val="clear" w:color="auto" w:fill="FFFFFF"/>
          <w:lang w:bidi="ar"/>
        </w:rPr>
        <w:t xml:space="preserve"> </w:t>
      </w:r>
      <w:proofErr w:type="spellStart"/>
      <w:r>
        <w:rPr>
          <w:rFonts w:eastAsia="SimSun" w:cs="Arial"/>
          <w:color w:val="000000" w:themeColor="text1"/>
          <w:kern w:val="0"/>
          <w:sz w:val="24"/>
          <w:shd w:val="clear" w:color="auto" w:fill="FFFFFF"/>
          <w:lang w:bidi="ar"/>
        </w:rPr>
        <w:t>estudiantes</w:t>
      </w:r>
      <w:proofErr w:type="spellEnd"/>
      <w:r>
        <w:rPr>
          <w:rFonts w:eastAsia="SimSun" w:cs="Arial"/>
          <w:color w:val="000000" w:themeColor="text1"/>
          <w:kern w:val="0"/>
          <w:sz w:val="24"/>
          <w:shd w:val="clear" w:color="auto" w:fill="FFFFFF"/>
          <w:lang w:bidi="ar"/>
        </w:rPr>
        <w:t xml:space="preserve"> de </w:t>
      </w:r>
      <w:proofErr w:type="spellStart"/>
      <w:r>
        <w:rPr>
          <w:rFonts w:eastAsia="SimSun" w:cs="Arial"/>
          <w:color w:val="000000" w:themeColor="text1"/>
          <w:kern w:val="0"/>
          <w:sz w:val="24"/>
          <w:shd w:val="clear" w:color="auto" w:fill="FFFFFF"/>
          <w:lang w:bidi="ar"/>
        </w:rPr>
        <w:t>Magisterio</w:t>
      </w:r>
      <w:proofErr w:type="spellEnd"/>
      <w:r>
        <w:rPr>
          <w:rFonts w:eastAsia="SimSun" w:cs="Arial"/>
          <w:color w:val="000000" w:themeColor="text1"/>
          <w:kern w:val="0"/>
          <w:sz w:val="24"/>
          <w:shd w:val="clear" w:color="auto" w:fill="FFFFFF"/>
          <w:lang w:bidi="ar"/>
        </w:rPr>
        <w:t xml:space="preserve"> </w:t>
      </w:r>
      <w:proofErr w:type="spellStart"/>
      <w:r>
        <w:rPr>
          <w:rFonts w:eastAsia="SimSun" w:cs="Arial"/>
          <w:color w:val="000000" w:themeColor="text1"/>
          <w:kern w:val="0"/>
          <w:sz w:val="24"/>
          <w:shd w:val="clear" w:color="auto" w:fill="FFFFFF"/>
          <w:lang w:bidi="ar"/>
        </w:rPr>
        <w:t>Mención</w:t>
      </w:r>
      <w:proofErr w:type="spellEnd"/>
      <w:r>
        <w:rPr>
          <w:rFonts w:eastAsia="SimSun" w:cs="Arial"/>
          <w:color w:val="000000" w:themeColor="text1"/>
          <w:kern w:val="0"/>
          <w:sz w:val="24"/>
          <w:shd w:val="clear" w:color="auto" w:fill="FFFFFF"/>
          <w:lang w:bidi="ar"/>
        </w:rPr>
        <w:t xml:space="preserve"> de </w:t>
      </w:r>
      <w:proofErr w:type="spellStart"/>
      <w:r>
        <w:rPr>
          <w:rFonts w:eastAsia="SimSun" w:cs="Arial"/>
          <w:color w:val="000000" w:themeColor="text1"/>
          <w:kern w:val="0"/>
          <w:sz w:val="24"/>
          <w:shd w:val="clear" w:color="auto" w:fill="FFFFFF"/>
          <w:lang w:bidi="ar"/>
        </w:rPr>
        <w:t>Inglés</w:t>
      </w:r>
      <w:proofErr w:type="spellEnd"/>
      <w:r>
        <w:rPr>
          <w:rFonts w:eastAsia="SimSun" w:cs="Arial"/>
          <w:color w:val="000000" w:themeColor="text1"/>
          <w:kern w:val="0"/>
          <w:sz w:val="24"/>
          <w:shd w:val="clear" w:color="auto" w:fill="FFFFFF"/>
          <w:lang w:bidi="ar"/>
        </w:rPr>
        <w:t xml:space="preserve">. </w:t>
      </w:r>
      <w:r>
        <w:rPr>
          <w:rFonts w:eastAsia="SimSun" w:cs="Arial"/>
          <w:i/>
          <w:iCs/>
          <w:color w:val="000000" w:themeColor="text1"/>
          <w:kern w:val="0"/>
          <w:sz w:val="24"/>
          <w:shd w:val="clear" w:color="auto" w:fill="FFFFFF"/>
          <w:lang w:bidi="ar"/>
        </w:rPr>
        <w:t xml:space="preserve">Porta </w:t>
      </w:r>
      <w:proofErr w:type="spellStart"/>
      <w:r>
        <w:rPr>
          <w:rFonts w:eastAsia="SimSun" w:cs="Arial"/>
          <w:i/>
          <w:iCs/>
          <w:color w:val="000000" w:themeColor="text1"/>
          <w:kern w:val="0"/>
          <w:sz w:val="24"/>
          <w:shd w:val="clear" w:color="auto" w:fill="FFFFFF"/>
          <w:lang w:bidi="ar"/>
        </w:rPr>
        <w:t>Linguarum</w:t>
      </w:r>
      <w:proofErr w:type="spellEnd"/>
      <w:r>
        <w:rPr>
          <w:rFonts w:eastAsia="SimSun" w:cs="Arial"/>
          <w:i/>
          <w:iCs/>
          <w:color w:val="000000" w:themeColor="text1"/>
          <w:kern w:val="0"/>
          <w:sz w:val="24"/>
          <w:shd w:val="clear" w:color="auto" w:fill="FFFFFF"/>
          <w:lang w:bidi="ar"/>
        </w:rPr>
        <w:t xml:space="preserve"> </w:t>
      </w:r>
      <w:proofErr w:type="spellStart"/>
      <w:r>
        <w:rPr>
          <w:rFonts w:eastAsia="SimSun" w:cs="Arial"/>
          <w:i/>
          <w:iCs/>
          <w:color w:val="000000" w:themeColor="text1"/>
          <w:kern w:val="0"/>
          <w:sz w:val="24"/>
          <w:shd w:val="clear" w:color="auto" w:fill="FFFFFF"/>
          <w:lang w:bidi="ar"/>
        </w:rPr>
        <w:t>Revista</w:t>
      </w:r>
      <w:proofErr w:type="spellEnd"/>
      <w:r>
        <w:rPr>
          <w:rFonts w:eastAsia="SimSun" w:cs="Arial"/>
          <w:i/>
          <w:iCs/>
          <w:color w:val="000000" w:themeColor="text1"/>
          <w:kern w:val="0"/>
          <w:sz w:val="24"/>
          <w:shd w:val="clear" w:color="auto" w:fill="FFFFFF"/>
          <w:lang w:bidi="ar"/>
        </w:rPr>
        <w:t xml:space="preserve"> </w:t>
      </w:r>
      <w:proofErr w:type="spellStart"/>
      <w:r>
        <w:rPr>
          <w:rFonts w:eastAsia="SimSun" w:cs="Arial"/>
          <w:i/>
          <w:iCs/>
          <w:color w:val="000000" w:themeColor="text1"/>
          <w:kern w:val="0"/>
          <w:sz w:val="24"/>
          <w:shd w:val="clear" w:color="auto" w:fill="FFFFFF"/>
          <w:lang w:bidi="ar"/>
        </w:rPr>
        <w:t>Interuniversitaria</w:t>
      </w:r>
      <w:proofErr w:type="spellEnd"/>
      <w:r>
        <w:rPr>
          <w:rFonts w:eastAsia="SimSun" w:cs="Arial"/>
          <w:i/>
          <w:iCs/>
          <w:color w:val="000000" w:themeColor="text1"/>
          <w:kern w:val="0"/>
          <w:sz w:val="24"/>
          <w:shd w:val="clear" w:color="auto" w:fill="FFFFFF"/>
          <w:lang w:bidi="ar"/>
        </w:rPr>
        <w:t xml:space="preserve"> De </w:t>
      </w:r>
      <w:proofErr w:type="spellStart"/>
      <w:r>
        <w:rPr>
          <w:rFonts w:eastAsia="SimSun" w:cs="Arial"/>
          <w:i/>
          <w:iCs/>
          <w:color w:val="000000" w:themeColor="text1"/>
          <w:kern w:val="0"/>
          <w:sz w:val="24"/>
          <w:shd w:val="clear" w:color="auto" w:fill="FFFFFF"/>
          <w:lang w:bidi="ar"/>
        </w:rPr>
        <w:t>Didáctica</w:t>
      </w:r>
      <w:proofErr w:type="spellEnd"/>
      <w:r>
        <w:rPr>
          <w:rFonts w:eastAsia="SimSun" w:cs="Arial"/>
          <w:i/>
          <w:iCs/>
          <w:color w:val="000000" w:themeColor="text1"/>
          <w:kern w:val="0"/>
          <w:sz w:val="24"/>
          <w:shd w:val="clear" w:color="auto" w:fill="FFFFFF"/>
          <w:lang w:bidi="ar"/>
        </w:rPr>
        <w:t xml:space="preserve"> De Las </w:t>
      </w:r>
      <w:proofErr w:type="spellStart"/>
      <w:r>
        <w:rPr>
          <w:rFonts w:eastAsia="SimSun" w:cs="Arial"/>
          <w:i/>
          <w:iCs/>
          <w:color w:val="000000" w:themeColor="text1"/>
          <w:kern w:val="0"/>
          <w:sz w:val="24"/>
          <w:shd w:val="clear" w:color="auto" w:fill="FFFFFF"/>
          <w:lang w:bidi="ar"/>
        </w:rPr>
        <w:t>Lenguas</w:t>
      </w:r>
      <w:proofErr w:type="spellEnd"/>
      <w:r>
        <w:rPr>
          <w:rFonts w:eastAsia="SimSun" w:cs="Arial"/>
          <w:i/>
          <w:iCs/>
          <w:color w:val="000000" w:themeColor="text1"/>
          <w:kern w:val="0"/>
          <w:sz w:val="24"/>
          <w:shd w:val="clear" w:color="auto" w:fill="FFFFFF"/>
          <w:lang w:bidi="ar"/>
        </w:rPr>
        <w:t xml:space="preserve"> </w:t>
      </w:r>
      <w:proofErr w:type="spellStart"/>
      <w:r>
        <w:rPr>
          <w:rFonts w:eastAsia="SimSun" w:cs="Arial"/>
          <w:i/>
          <w:iCs/>
          <w:color w:val="000000" w:themeColor="text1"/>
          <w:kern w:val="0"/>
          <w:sz w:val="24"/>
          <w:shd w:val="clear" w:color="auto" w:fill="FFFFFF"/>
          <w:lang w:bidi="ar"/>
        </w:rPr>
        <w:t>Extranjeras</w:t>
      </w:r>
      <w:proofErr w:type="spellEnd"/>
      <w:r>
        <w:rPr>
          <w:rFonts w:eastAsia="SimSun" w:cs="Arial"/>
          <w:i/>
          <w:iCs/>
          <w:color w:val="000000" w:themeColor="text1"/>
          <w:kern w:val="0"/>
          <w:sz w:val="24"/>
          <w:shd w:val="clear" w:color="auto" w:fill="FFFFFF"/>
          <w:lang w:bidi="ar"/>
        </w:rPr>
        <w:t>,</w:t>
      </w:r>
      <w:r>
        <w:rPr>
          <w:rFonts w:eastAsia="SimSun" w:cs="Arial"/>
          <w:color w:val="000000" w:themeColor="text1"/>
          <w:kern w:val="0"/>
          <w:sz w:val="24"/>
          <w:shd w:val="clear" w:color="auto" w:fill="FFFFFF"/>
          <w:lang w:bidi="ar"/>
        </w:rPr>
        <w:t xml:space="preserve"> (39), 337–355. </w:t>
      </w:r>
      <w:hyperlink r:id="rId18" w:history="1">
        <w:r>
          <w:rPr>
            <w:rStyle w:val="Hyperlink"/>
            <w:rFonts w:eastAsia="SimSun" w:cs="Arial"/>
            <w:color w:val="000000" w:themeColor="text1"/>
            <w:kern w:val="0"/>
            <w:sz w:val="24"/>
            <w:shd w:val="clear" w:color="auto" w:fill="FFFFFF"/>
            <w:lang w:bidi="ar"/>
          </w:rPr>
          <w:t>https://doi.org/10.30827/portalin.vi39.26026</w:t>
        </w:r>
      </w:hyperlink>
      <w:r>
        <w:rPr>
          <w:rFonts w:eastAsia="SimSun" w:cs="Arial" w:hint="eastAsia"/>
          <w:color w:val="000000" w:themeColor="text1"/>
          <w:kern w:val="0"/>
          <w:sz w:val="24"/>
          <w:shd w:val="clear" w:color="auto" w:fill="FFFFFF"/>
          <w:lang w:bidi="ar"/>
        </w:rPr>
        <w:t xml:space="preserve"> </w:t>
      </w:r>
    </w:p>
    <w:p w14:paraId="1E4D883C" w14:textId="77777777"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lang w:bidi="ar"/>
        </w:rPr>
        <w:t>Meerah, T. S. M., Osman, K., Zakaria, E., Ikhsan, Z. H., Krish, P., Lian, D. K. C., &amp; Mahmod, D. (2012). Developing an instrument to measure research skills. </w:t>
      </w:r>
      <w:r w:rsidRPr="00243E20">
        <w:rPr>
          <w:rFonts w:eastAsia="SimSun" w:cs="Arial"/>
          <w:i/>
          <w:iCs/>
          <w:color w:val="000000" w:themeColor="text1"/>
          <w:kern w:val="0"/>
          <w:sz w:val="24"/>
          <w:highlight w:val="cyan"/>
          <w:lang w:bidi="ar"/>
        </w:rPr>
        <w:t>Procedia-Social and Behavioral Sciences</w:t>
      </w:r>
      <w:r w:rsidRPr="00243E20">
        <w:rPr>
          <w:rFonts w:eastAsia="SimSun" w:cs="Arial"/>
          <w:color w:val="000000" w:themeColor="text1"/>
          <w:kern w:val="0"/>
          <w:sz w:val="24"/>
          <w:highlight w:val="cyan"/>
          <w:lang w:bidi="ar"/>
        </w:rPr>
        <w:t>, </w:t>
      </w:r>
      <w:r w:rsidRPr="00243E20">
        <w:rPr>
          <w:rFonts w:eastAsia="SimSun" w:cs="Arial"/>
          <w:i/>
          <w:iCs/>
          <w:color w:val="000000" w:themeColor="text1"/>
          <w:kern w:val="0"/>
          <w:sz w:val="24"/>
          <w:highlight w:val="cyan"/>
          <w:lang w:bidi="ar"/>
        </w:rPr>
        <w:t>60</w:t>
      </w:r>
      <w:r w:rsidRPr="00243E20">
        <w:rPr>
          <w:rFonts w:eastAsia="SimSun" w:cs="Arial"/>
          <w:color w:val="000000" w:themeColor="text1"/>
          <w:kern w:val="0"/>
          <w:sz w:val="24"/>
          <w:highlight w:val="cyan"/>
          <w:lang w:bidi="ar"/>
        </w:rPr>
        <w:t>,</w:t>
      </w:r>
      <w:r>
        <w:rPr>
          <w:rFonts w:eastAsia="SimSun" w:cs="Arial"/>
          <w:color w:val="000000" w:themeColor="text1"/>
          <w:kern w:val="0"/>
          <w:sz w:val="24"/>
          <w:lang w:bidi="ar"/>
        </w:rPr>
        <w:t xml:space="preserve"> 630-636.</w:t>
      </w:r>
      <w:r>
        <w:rPr>
          <w:rFonts w:eastAsia="SimSun" w:cs="Arial" w:hint="eastAsia"/>
          <w:color w:val="000000" w:themeColor="text1"/>
          <w:kern w:val="0"/>
          <w:sz w:val="24"/>
          <w:lang w:bidi="ar"/>
        </w:rPr>
        <w:t xml:space="preserve"> </w:t>
      </w:r>
      <w:hyperlink r:id="rId19" w:tgtFrame="/Users/sumanyi/Documentsx/_blank" w:tooltip="Persistent link using digital object identifier" w:history="1">
        <w:r>
          <w:rPr>
            <w:rFonts w:eastAsia="SimSun" w:cs="Arial"/>
            <w:color w:val="000000" w:themeColor="text1"/>
            <w:kern w:val="0"/>
            <w:sz w:val="24"/>
            <w:lang w:bidi="ar"/>
          </w:rPr>
          <w:t>https://doi.org/10.1016/j.sbspro.2012.09.434</w:t>
        </w:r>
      </w:hyperlink>
    </w:p>
    <w:p w14:paraId="1F701A40" w14:textId="77777777" w:rsidR="000574EE" w:rsidRDefault="00AC3F5F">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 xml:space="preserve">Metcalfe, J., &amp; </w:t>
      </w:r>
      <w:proofErr w:type="spellStart"/>
      <w:r>
        <w:rPr>
          <w:rFonts w:eastAsia="SimSun" w:cs="Arial"/>
          <w:color w:val="000000" w:themeColor="text1"/>
          <w:kern w:val="0"/>
          <w:sz w:val="24"/>
          <w:shd w:val="clear" w:color="auto" w:fill="FFFFFF"/>
          <w:lang w:bidi="ar"/>
        </w:rPr>
        <w:t>Noom-Ura</w:t>
      </w:r>
      <w:proofErr w:type="spellEnd"/>
      <w:r>
        <w:rPr>
          <w:rFonts w:eastAsia="SimSun" w:cs="Arial"/>
          <w:color w:val="000000" w:themeColor="text1"/>
          <w:kern w:val="0"/>
          <w:sz w:val="24"/>
          <w:shd w:val="clear" w:color="auto" w:fill="FFFFFF"/>
          <w:lang w:bidi="ar"/>
        </w:rPr>
        <w:t>, S. (2013). Communication strategy use of high and low proficiency learners of English at a Thai university. </w:t>
      </w:r>
      <w:r>
        <w:rPr>
          <w:rFonts w:eastAsia="SimSun" w:cs="Arial"/>
          <w:i/>
          <w:iCs/>
          <w:color w:val="000000" w:themeColor="text1"/>
          <w:kern w:val="0"/>
          <w:sz w:val="24"/>
          <w:lang w:bidi="ar"/>
        </w:rPr>
        <w:t>Learn Journal: Language education and acquisition research network</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6</w:t>
      </w:r>
      <w:r>
        <w:rPr>
          <w:rFonts w:eastAsia="SimSun" w:cs="Arial"/>
          <w:color w:val="000000" w:themeColor="text1"/>
          <w:kern w:val="0"/>
          <w:sz w:val="24"/>
          <w:shd w:val="clear" w:color="auto" w:fill="FFFFFF"/>
          <w:lang w:bidi="ar"/>
        </w:rPr>
        <w:t>(1), 68-89.</w:t>
      </w:r>
    </w:p>
    <w:p w14:paraId="2AABC26C" w14:textId="77777777" w:rsidR="000574EE" w:rsidRDefault="00AC3F5F">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Nakatani, Y. (2006). Developing an oral communication strategy inventory. </w:t>
      </w:r>
      <w:r>
        <w:rPr>
          <w:rFonts w:eastAsia="SimSun" w:cs="Arial"/>
          <w:i/>
          <w:iCs/>
          <w:color w:val="000000" w:themeColor="text1"/>
          <w:kern w:val="0"/>
          <w:sz w:val="24"/>
          <w:lang w:bidi="ar"/>
        </w:rPr>
        <w:t>The modern language journal</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90</w:t>
      </w:r>
      <w:r>
        <w:rPr>
          <w:rFonts w:eastAsia="SimSun" w:cs="Arial"/>
          <w:color w:val="000000" w:themeColor="text1"/>
          <w:kern w:val="0"/>
          <w:sz w:val="24"/>
          <w:shd w:val="clear" w:color="auto" w:fill="FFFFFF"/>
          <w:lang w:bidi="ar"/>
        </w:rPr>
        <w:t>(2), 151-168.</w:t>
      </w:r>
      <w:r>
        <w:rPr>
          <w:rFonts w:eastAsia="SimSun" w:cs="Arial" w:hint="eastAsia"/>
          <w:color w:val="000000" w:themeColor="text1"/>
          <w:kern w:val="0"/>
          <w:sz w:val="24"/>
          <w:shd w:val="clear" w:color="auto" w:fill="FFFFFF"/>
          <w:lang w:bidi="ar"/>
        </w:rPr>
        <w:t xml:space="preserve">  https://doi.org/10.1111/j.1540-4781.2006.00390.x</w:t>
      </w:r>
    </w:p>
    <w:p w14:paraId="1A4E736A" w14:textId="77777777" w:rsidR="000574EE" w:rsidRDefault="00AC3F5F">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lastRenderedPageBreak/>
        <w:t>Nguyen, T. T. H., Vu, V. P., &amp; Do, T. T. Y. (2022). The influences of oral communication strategies on students’ English speaking proficiency. </w:t>
      </w:r>
      <w:r>
        <w:rPr>
          <w:rFonts w:eastAsia="SimSun" w:cs="Arial"/>
          <w:i/>
          <w:iCs/>
          <w:color w:val="000000" w:themeColor="text1"/>
          <w:kern w:val="0"/>
          <w:sz w:val="24"/>
          <w:lang w:bidi="ar"/>
        </w:rPr>
        <w:t>CTU Journal of Innovation and Sustainable Development</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14</w:t>
      </w:r>
      <w:r>
        <w:rPr>
          <w:rFonts w:eastAsia="SimSun" w:cs="Arial"/>
          <w:color w:val="000000" w:themeColor="text1"/>
          <w:kern w:val="0"/>
          <w:sz w:val="24"/>
          <w:shd w:val="clear" w:color="auto" w:fill="FFFFFF"/>
          <w:lang w:bidi="ar"/>
        </w:rPr>
        <w:t>(2), 8-17.</w:t>
      </w:r>
      <w:r>
        <w:rPr>
          <w:rFonts w:eastAsia="SimSun" w:cs="Arial" w:hint="eastAsia"/>
          <w:color w:val="000000" w:themeColor="text1"/>
          <w:kern w:val="0"/>
          <w:sz w:val="24"/>
          <w:shd w:val="clear" w:color="auto" w:fill="FFFFFF"/>
          <w:lang w:bidi="ar"/>
        </w:rPr>
        <w:t xml:space="preserve">  https://doi.org/10.22144/ctu.jen.2022.012</w:t>
      </w:r>
    </w:p>
    <w:p w14:paraId="4EAE7C9A" w14:textId="2B44F0BC" w:rsidR="000574EE" w:rsidRDefault="00243E20">
      <w:pPr>
        <w:widowControl/>
        <w:ind w:left="480" w:hangingChars="200" w:hanging="480"/>
        <w:rPr>
          <w:rFonts w:eastAsia="SimSun" w:cs="Arial"/>
          <w:color w:val="000000" w:themeColor="text1"/>
          <w:kern w:val="0"/>
          <w:sz w:val="24"/>
          <w:shd w:val="clear" w:color="auto" w:fill="FFFFFF"/>
          <w:lang w:bidi="ar"/>
        </w:rPr>
      </w:pPr>
      <w:r w:rsidRPr="00243E20">
        <w:rPr>
          <w:rFonts w:eastAsia="SimSun" w:cs="Arial"/>
          <w:color w:val="000000" w:themeColor="text1"/>
          <w:kern w:val="0"/>
          <w:sz w:val="24"/>
          <w:highlight w:val="cyan"/>
          <w:shd w:val="clear" w:color="auto" w:fill="FFFFFF"/>
          <w:lang w:bidi="ar"/>
        </w:rPr>
        <w:t xml:space="preserve">Patrycja, N., &amp; </w:t>
      </w:r>
      <w:proofErr w:type="spellStart"/>
      <w:r w:rsidRPr="00243E20">
        <w:rPr>
          <w:rFonts w:eastAsia="SimSun" w:cs="Arial"/>
          <w:color w:val="000000" w:themeColor="text1"/>
          <w:kern w:val="0"/>
          <w:sz w:val="24"/>
          <w:highlight w:val="cyan"/>
          <w:shd w:val="clear" w:color="auto" w:fill="FFFFFF"/>
          <w:lang w:bidi="ar"/>
        </w:rPr>
        <w:t>Przybył</w:t>
      </w:r>
      <w:proofErr w:type="spellEnd"/>
      <w:r w:rsidRPr="00243E20">
        <w:rPr>
          <w:rFonts w:eastAsia="SimSun" w:cs="Arial"/>
          <w:color w:val="000000" w:themeColor="text1"/>
          <w:kern w:val="0"/>
          <w:sz w:val="24"/>
          <w:highlight w:val="cyan"/>
          <w:shd w:val="clear" w:color="auto" w:fill="FFFFFF"/>
          <w:lang w:bidi="ar"/>
        </w:rPr>
        <w:t>, J. (2023). Assessing the use of self–regulatory oral communication strategies by Polish learners of Spanish: The feasibility of adapting the OCSI. </w:t>
      </w:r>
      <w:r w:rsidRPr="00243E20">
        <w:rPr>
          <w:rFonts w:eastAsia="SimSun" w:cs="Arial"/>
          <w:i/>
          <w:iCs/>
          <w:color w:val="000000" w:themeColor="text1"/>
          <w:kern w:val="0"/>
          <w:sz w:val="24"/>
          <w:highlight w:val="cyan"/>
          <w:shd w:val="clear" w:color="auto" w:fill="FFFFFF"/>
          <w:lang w:bidi="ar"/>
        </w:rPr>
        <w:t>Applied Linguistics Papers</w:t>
      </w:r>
      <w:r w:rsidRPr="00243E20">
        <w:rPr>
          <w:rFonts w:eastAsia="SimSun" w:cs="Arial"/>
          <w:color w:val="000000" w:themeColor="text1"/>
          <w:kern w:val="0"/>
          <w:sz w:val="24"/>
          <w:highlight w:val="cyan"/>
          <w:shd w:val="clear" w:color="auto" w:fill="FFFFFF"/>
          <w:lang w:bidi="ar"/>
        </w:rPr>
        <w:t>, </w:t>
      </w:r>
      <w:r w:rsidRPr="00243E20">
        <w:rPr>
          <w:rFonts w:eastAsia="SimSun" w:cs="Arial"/>
          <w:i/>
          <w:iCs/>
          <w:color w:val="000000" w:themeColor="text1"/>
          <w:kern w:val="0"/>
          <w:sz w:val="24"/>
          <w:highlight w:val="cyan"/>
          <w:shd w:val="clear" w:color="auto" w:fill="FFFFFF"/>
          <w:lang w:bidi="ar"/>
        </w:rPr>
        <w:t>27</w:t>
      </w:r>
      <w:r w:rsidRPr="00243E20">
        <w:rPr>
          <w:rFonts w:eastAsia="SimSun" w:cs="Arial"/>
          <w:color w:val="000000" w:themeColor="text1"/>
          <w:kern w:val="0"/>
          <w:sz w:val="24"/>
          <w:highlight w:val="cyan"/>
          <w:shd w:val="clear" w:color="auto" w:fill="FFFFFF"/>
          <w:lang w:bidi="ar"/>
        </w:rPr>
        <w:t xml:space="preserve">(3), </w:t>
      </w:r>
      <w:r w:rsidRPr="00243E20">
        <w:rPr>
          <w:rFonts w:eastAsia="SimSun" w:cs="Arial" w:hint="eastAsia"/>
          <w:color w:val="000000" w:themeColor="text1"/>
          <w:kern w:val="0"/>
          <w:sz w:val="24"/>
          <w:highlight w:val="cyan"/>
          <w:shd w:val="clear" w:color="auto" w:fill="FFFFFF"/>
          <w:lang w:bidi="ar"/>
        </w:rPr>
        <w:t>66-77. http://creativecom- mons.org/licenses/by-</w:t>
      </w:r>
      <w:proofErr w:type="spellStart"/>
      <w:r w:rsidRPr="00243E20">
        <w:rPr>
          <w:rFonts w:eastAsia="SimSun" w:cs="Arial" w:hint="eastAsia"/>
          <w:color w:val="000000" w:themeColor="text1"/>
          <w:kern w:val="0"/>
          <w:sz w:val="24"/>
          <w:highlight w:val="cyan"/>
          <w:shd w:val="clear" w:color="auto" w:fill="FFFFFF"/>
          <w:lang w:bidi="ar"/>
        </w:rPr>
        <w:t>nc</w:t>
      </w:r>
      <w:proofErr w:type="spellEnd"/>
      <w:r w:rsidRPr="00243E20">
        <w:rPr>
          <w:rFonts w:eastAsia="SimSun" w:cs="Arial" w:hint="eastAsia"/>
          <w:color w:val="000000" w:themeColor="text1"/>
          <w:kern w:val="0"/>
          <w:sz w:val="24"/>
          <w:highlight w:val="cyan"/>
          <w:shd w:val="clear" w:color="auto" w:fill="FFFFFF"/>
          <w:lang w:bidi="ar"/>
        </w:rPr>
        <w:t>-</w:t>
      </w:r>
      <w:proofErr w:type="spellStart"/>
      <w:r w:rsidRPr="00243E20">
        <w:rPr>
          <w:rFonts w:eastAsia="SimSun" w:cs="Arial" w:hint="eastAsia"/>
          <w:color w:val="000000" w:themeColor="text1"/>
          <w:kern w:val="0"/>
          <w:sz w:val="24"/>
          <w:highlight w:val="cyan"/>
          <w:shd w:val="clear" w:color="auto" w:fill="FFFFFF"/>
          <w:lang w:bidi="ar"/>
        </w:rPr>
        <w:t>nd</w:t>
      </w:r>
      <w:proofErr w:type="spellEnd"/>
      <w:r w:rsidRPr="00243E20">
        <w:rPr>
          <w:rFonts w:eastAsia="SimSun" w:cs="Arial" w:hint="eastAsia"/>
          <w:color w:val="000000" w:themeColor="text1"/>
          <w:kern w:val="0"/>
          <w:sz w:val="24"/>
          <w:highlight w:val="cyan"/>
          <w:shd w:val="clear" w:color="auto" w:fill="FFFFFF"/>
          <w:lang w:bidi="ar"/>
        </w:rPr>
        <w:t>/4.0/).</w:t>
      </w:r>
    </w:p>
    <w:p w14:paraId="16EF0AA5" w14:textId="7DCBF2C8" w:rsidR="000574EE" w:rsidRDefault="00AC3F5F">
      <w:pPr>
        <w:widowControl/>
        <w:ind w:left="480" w:hangingChars="200" w:hanging="480"/>
        <w:rPr>
          <w:rFonts w:eastAsia="SimSun" w:cs="Arial"/>
          <w:color w:val="000000" w:themeColor="text1"/>
          <w:kern w:val="0"/>
          <w:sz w:val="24"/>
          <w:lang w:bidi="ar"/>
        </w:rPr>
      </w:pPr>
      <w:proofErr w:type="spellStart"/>
      <w:r>
        <w:rPr>
          <w:rFonts w:eastAsia="SimSun" w:cs="Arial"/>
          <w:color w:val="000000" w:themeColor="text1"/>
          <w:kern w:val="0"/>
          <w:sz w:val="24"/>
          <w:lang w:bidi="ar"/>
        </w:rPr>
        <w:t>Pabro-Maquidato</w:t>
      </w:r>
      <w:proofErr w:type="spellEnd"/>
      <w:r>
        <w:rPr>
          <w:rFonts w:eastAsia="SimSun" w:cs="Arial"/>
          <w:color w:val="000000" w:themeColor="text1"/>
          <w:kern w:val="0"/>
          <w:sz w:val="24"/>
          <w:lang w:bidi="ar"/>
        </w:rPr>
        <w:t>, I. M. (2021). The experience of English</w:t>
      </w:r>
      <w:r w:rsidR="00243E20">
        <w:rPr>
          <w:rFonts w:eastAsia="SimSun" w:cs="Arial"/>
          <w:color w:val="000000" w:themeColor="text1"/>
          <w:kern w:val="0"/>
          <w:sz w:val="24"/>
          <w:lang w:bidi="ar"/>
        </w:rPr>
        <w:t>-</w:t>
      </w:r>
      <w:r>
        <w:rPr>
          <w:rFonts w:eastAsia="SimSun" w:cs="Arial"/>
          <w:color w:val="000000" w:themeColor="text1"/>
          <w:kern w:val="0"/>
          <w:sz w:val="24"/>
          <w:lang w:bidi="ar"/>
        </w:rPr>
        <w:t>speaking anxiety and coping strategies: A transcendental phenomenological study</w:t>
      </w:r>
      <w:r w:rsidRPr="00243E20">
        <w:rPr>
          <w:rFonts w:eastAsia="SimSun" w:cs="Arial"/>
          <w:i/>
          <w:iCs/>
          <w:color w:val="000000" w:themeColor="text1"/>
          <w:kern w:val="0"/>
          <w:sz w:val="24"/>
          <w:lang w:bidi="ar"/>
        </w:rPr>
        <w:t>. International Journal of TESOL &amp; Education</w:t>
      </w:r>
      <w:r>
        <w:rPr>
          <w:rFonts w:eastAsia="SimSun" w:cs="Arial"/>
          <w:color w:val="000000" w:themeColor="text1"/>
          <w:kern w:val="0"/>
          <w:sz w:val="24"/>
          <w:lang w:bidi="ar"/>
        </w:rPr>
        <w:t>, </w:t>
      </w:r>
      <w:r w:rsidRPr="00243E20">
        <w:rPr>
          <w:rFonts w:eastAsia="SimSun" w:cs="Arial"/>
          <w:i/>
          <w:iCs/>
          <w:color w:val="000000" w:themeColor="text1"/>
          <w:kern w:val="0"/>
          <w:sz w:val="24"/>
          <w:lang w:bidi="ar"/>
        </w:rPr>
        <w:t>1</w:t>
      </w:r>
      <w:r>
        <w:rPr>
          <w:rFonts w:eastAsia="SimSun" w:cs="Arial"/>
          <w:color w:val="000000" w:themeColor="text1"/>
          <w:kern w:val="0"/>
          <w:sz w:val="24"/>
          <w:lang w:bidi="ar"/>
        </w:rPr>
        <w:t>(2), 45-64.</w:t>
      </w:r>
      <w:r>
        <w:rPr>
          <w:rFonts w:eastAsia="SimSun" w:cs="Arial" w:hint="eastAsia"/>
          <w:color w:val="000000" w:themeColor="text1"/>
          <w:kern w:val="0"/>
          <w:sz w:val="24"/>
          <w:lang w:bidi="ar"/>
        </w:rPr>
        <w:t xml:space="preserve"> </w:t>
      </w:r>
      <w:hyperlink r:id="rId20" w:history="1">
        <w:r>
          <w:rPr>
            <w:rFonts w:eastAsia="SimSun" w:cs="Arial" w:hint="eastAsia"/>
            <w:color w:val="000000" w:themeColor="text1"/>
            <w:kern w:val="0"/>
            <w:sz w:val="24"/>
            <w:lang w:bidi="ar"/>
          </w:rPr>
          <w:t>http://eoi.citefactor.org/10.11250/ijte.01.02</w:t>
        </w:r>
      </w:hyperlink>
    </w:p>
    <w:p w14:paraId="6B782897" w14:textId="77777777" w:rsidR="000574EE" w:rsidRDefault="00AC3F5F">
      <w:pPr>
        <w:widowControl/>
        <w:ind w:left="480" w:hangingChars="200" w:hanging="480"/>
        <w:rPr>
          <w:rFonts w:eastAsia="SimSun" w:cs="Arial"/>
          <w:color w:val="000000" w:themeColor="text1"/>
          <w:kern w:val="0"/>
          <w:sz w:val="24"/>
          <w:lang w:bidi="ar"/>
        </w:rPr>
      </w:pPr>
      <w:proofErr w:type="spellStart"/>
      <w:r>
        <w:rPr>
          <w:rFonts w:eastAsia="SimSun" w:cs="Arial"/>
          <w:color w:val="000000" w:themeColor="text1"/>
          <w:kern w:val="0"/>
          <w:sz w:val="24"/>
          <w:shd w:val="clear" w:color="auto" w:fill="FFFFFF"/>
          <w:lang w:bidi="ar"/>
        </w:rPr>
        <w:t>Paneerselvam</w:t>
      </w:r>
      <w:proofErr w:type="spellEnd"/>
      <w:r>
        <w:rPr>
          <w:rFonts w:eastAsia="SimSun" w:cs="Arial"/>
          <w:color w:val="000000" w:themeColor="text1"/>
          <w:kern w:val="0"/>
          <w:sz w:val="24"/>
          <w:shd w:val="clear" w:color="auto" w:fill="FFFFFF"/>
          <w:lang w:bidi="ar"/>
        </w:rPr>
        <w:t>, A., &amp; Yamat, H. (2021). Validity and reliability testing of the adapted foreign language classroom anxiety scale (FLCAS). </w:t>
      </w:r>
      <w:r>
        <w:rPr>
          <w:rFonts w:eastAsia="SimSun" w:cs="Arial"/>
          <w:i/>
          <w:iCs/>
          <w:color w:val="000000" w:themeColor="text1"/>
          <w:kern w:val="0"/>
          <w:sz w:val="24"/>
          <w:lang w:bidi="ar"/>
        </w:rPr>
        <w:t>International Journal of Academic Research in Business and Social Sciences</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11</w:t>
      </w:r>
      <w:r>
        <w:rPr>
          <w:rFonts w:eastAsia="SimSun" w:cs="Arial"/>
          <w:color w:val="000000" w:themeColor="text1"/>
          <w:kern w:val="0"/>
          <w:sz w:val="24"/>
          <w:shd w:val="clear" w:color="auto" w:fill="FFFFFF"/>
          <w:lang w:bidi="ar"/>
        </w:rPr>
        <w:t>(4), 209-216.</w:t>
      </w:r>
      <w:r>
        <w:rPr>
          <w:rFonts w:eastAsia="SimSun" w:cs="Arial" w:hint="eastAsia"/>
          <w:color w:val="000000" w:themeColor="text1"/>
          <w:kern w:val="0"/>
          <w:sz w:val="24"/>
          <w:shd w:val="clear" w:color="auto" w:fill="FFFFFF"/>
          <w:lang w:bidi="ar"/>
        </w:rPr>
        <w:t xml:space="preserve"> http://dx.doi.org/10.6007/IJARBSS/v11-i4/9027</w:t>
      </w:r>
    </w:p>
    <w:p w14:paraId="7BBA2216" w14:textId="77777777" w:rsidR="000574EE" w:rsidRDefault="00AC3F5F">
      <w:pPr>
        <w:widowControl/>
        <w:ind w:left="480" w:hangingChars="200" w:hanging="480"/>
        <w:rPr>
          <w:rFonts w:eastAsia="SimSun" w:cs="Arial"/>
          <w:color w:val="000000" w:themeColor="text1"/>
          <w:kern w:val="0"/>
          <w:sz w:val="24"/>
          <w:lang w:bidi="ar"/>
        </w:rPr>
      </w:pPr>
      <w:r>
        <w:rPr>
          <w:rFonts w:eastAsia="SimSun" w:cs="Arial"/>
          <w:color w:val="000000" w:themeColor="text1"/>
          <w:kern w:val="0"/>
          <w:sz w:val="24"/>
          <w:lang w:bidi="ar"/>
        </w:rPr>
        <w:t xml:space="preserve">Pearson, N., Naylor, P. J., Ashe, M. C., Fernandez, M., Yoong, S. L., &amp; Wolfenden, L. (2020). Guidance for conducting feasibility and pilot studies for implementation trials. </w:t>
      </w:r>
      <w:r w:rsidRPr="00243E20">
        <w:rPr>
          <w:rFonts w:eastAsia="SimSun" w:cs="Arial"/>
          <w:i/>
          <w:iCs/>
          <w:color w:val="000000" w:themeColor="text1"/>
          <w:kern w:val="0"/>
          <w:sz w:val="24"/>
          <w:highlight w:val="cyan"/>
          <w:lang w:bidi="ar"/>
        </w:rPr>
        <w:t>Pilot and feasibility studies</w:t>
      </w:r>
      <w:r w:rsidRPr="00243E20">
        <w:rPr>
          <w:rFonts w:eastAsia="SimSun" w:cs="Arial"/>
          <w:color w:val="000000" w:themeColor="text1"/>
          <w:kern w:val="0"/>
          <w:sz w:val="24"/>
          <w:highlight w:val="cyan"/>
          <w:lang w:bidi="ar"/>
        </w:rPr>
        <w:t xml:space="preserve">, </w:t>
      </w:r>
      <w:r w:rsidRPr="00243E20">
        <w:rPr>
          <w:rFonts w:eastAsia="SimSun" w:cs="Arial"/>
          <w:i/>
          <w:iCs/>
          <w:color w:val="000000" w:themeColor="text1"/>
          <w:kern w:val="0"/>
          <w:sz w:val="24"/>
          <w:highlight w:val="cyan"/>
          <w:lang w:bidi="ar"/>
        </w:rPr>
        <w:t>6</w:t>
      </w:r>
      <w:r w:rsidRPr="00243E20">
        <w:rPr>
          <w:rFonts w:eastAsia="SimSun" w:cs="Arial"/>
          <w:color w:val="000000" w:themeColor="text1"/>
          <w:kern w:val="0"/>
          <w:sz w:val="24"/>
          <w:highlight w:val="cyan"/>
          <w:lang w:bidi="ar"/>
        </w:rPr>
        <w:t>,</w:t>
      </w:r>
      <w:r>
        <w:rPr>
          <w:rFonts w:eastAsia="SimSun" w:cs="Arial"/>
          <w:color w:val="000000" w:themeColor="text1"/>
          <w:kern w:val="0"/>
          <w:sz w:val="24"/>
          <w:lang w:bidi="ar"/>
        </w:rPr>
        <w:t xml:space="preserve"> 1-12. https://doi.org/10.1186/s40814-020-00634-w</w:t>
      </w:r>
    </w:p>
    <w:p w14:paraId="2EBAA24D" w14:textId="77777777" w:rsidR="000574EE" w:rsidRDefault="00AC3F5F">
      <w:pPr>
        <w:pStyle w:val="NormalWeb"/>
        <w:widowControl/>
        <w:spacing w:beforeAutospacing="0" w:afterAutospacing="0"/>
        <w:ind w:left="480" w:hangingChars="200" w:hanging="480"/>
        <w:jc w:val="both"/>
        <w:rPr>
          <w:rFonts w:eastAsia="SimSun" w:cs="Arial"/>
          <w:color w:val="000000" w:themeColor="text1"/>
          <w:lang w:bidi="ar"/>
        </w:rPr>
      </w:pPr>
      <w:r>
        <w:rPr>
          <w:rFonts w:eastAsia="TimesNewRomanPSMT" w:cs="TimesNewRomanPSMT"/>
          <w:color w:val="000000" w:themeColor="text1"/>
        </w:rPr>
        <w:t xml:space="preserve">Perez-Paredes, P. F., &amp; Martinez-Sanchez, F. (2000-2001). A Spanish version of the foreign language classroom anxiety scale: Revisiting Aida’s factor analysis. </w:t>
      </w:r>
      <w:r>
        <w:rPr>
          <w:rFonts w:eastAsia="TimesNewRomanPS" w:cs="TimesNewRomanPS"/>
          <w:i/>
          <w:iCs/>
          <w:color w:val="000000" w:themeColor="text1"/>
        </w:rPr>
        <w:t>RESLA, 14</w:t>
      </w:r>
      <w:r>
        <w:rPr>
          <w:rFonts w:eastAsia="TimesNewRomanPSMT" w:cs="TimesNewRomanPSMT"/>
          <w:color w:val="000000" w:themeColor="text1"/>
        </w:rPr>
        <w:t xml:space="preserve">, 337-352. </w:t>
      </w:r>
    </w:p>
    <w:p w14:paraId="48F124A3" w14:textId="77777777" w:rsidR="000574EE" w:rsidRDefault="00AC3F5F">
      <w:pPr>
        <w:widowControl/>
        <w:ind w:left="480" w:hangingChars="200" w:hanging="480"/>
        <w:rPr>
          <w:color w:val="000000" w:themeColor="text1"/>
          <w:sz w:val="24"/>
        </w:rPr>
      </w:pPr>
      <w:r>
        <w:rPr>
          <w:rFonts w:eastAsia="SimSun" w:cs="Arial"/>
          <w:color w:val="000000" w:themeColor="text1"/>
          <w:kern w:val="0"/>
          <w:sz w:val="24"/>
          <w:lang w:bidi="ar"/>
        </w:rPr>
        <w:t xml:space="preserve">Phan, A. N. Q. (2021). Under the impacts of </w:t>
      </w:r>
      <w:proofErr w:type="spellStart"/>
      <w:r>
        <w:rPr>
          <w:rFonts w:eastAsia="SimSun" w:cs="Arial"/>
          <w:color w:val="000000" w:themeColor="text1"/>
          <w:kern w:val="0"/>
          <w:sz w:val="24"/>
          <w:lang w:bidi="ar"/>
        </w:rPr>
        <w:t>globalisation</w:t>
      </w:r>
      <w:proofErr w:type="spellEnd"/>
      <w:r>
        <w:rPr>
          <w:rFonts w:eastAsia="SimSun" w:cs="Arial"/>
          <w:color w:val="000000" w:themeColor="text1"/>
          <w:kern w:val="0"/>
          <w:sz w:val="24"/>
          <w:lang w:bidi="ar"/>
        </w:rPr>
        <w:t>: the rising power of English as a foreign language (EFL) and the corresponding response of EFL policy in Vietnam. </w:t>
      </w:r>
      <w:r w:rsidRPr="00243E20">
        <w:rPr>
          <w:rFonts w:eastAsia="SimSun" w:cs="Arial"/>
          <w:i/>
          <w:iCs/>
          <w:color w:val="000000" w:themeColor="text1"/>
          <w:kern w:val="0"/>
          <w:sz w:val="24"/>
          <w:highlight w:val="cyan"/>
          <w:lang w:bidi="ar"/>
        </w:rPr>
        <w:t>Springer Nature Social Sciences</w:t>
      </w:r>
      <w:r>
        <w:rPr>
          <w:rFonts w:eastAsia="SimSun" w:cs="Arial"/>
          <w:color w:val="000000" w:themeColor="text1"/>
          <w:kern w:val="0"/>
          <w:sz w:val="24"/>
          <w:lang w:bidi="ar"/>
        </w:rPr>
        <w:t>, </w:t>
      </w:r>
      <w:r w:rsidRPr="00243E20">
        <w:rPr>
          <w:rFonts w:eastAsia="SimSun" w:cs="Arial"/>
          <w:i/>
          <w:iCs/>
          <w:color w:val="000000" w:themeColor="text1"/>
          <w:kern w:val="0"/>
          <w:sz w:val="24"/>
          <w:highlight w:val="cyan"/>
          <w:lang w:bidi="ar"/>
        </w:rPr>
        <w:t>1</w:t>
      </w:r>
      <w:r>
        <w:rPr>
          <w:rFonts w:eastAsia="SimSun" w:cs="Arial"/>
          <w:color w:val="000000" w:themeColor="text1"/>
          <w:kern w:val="0"/>
          <w:sz w:val="24"/>
          <w:lang w:bidi="ar"/>
        </w:rPr>
        <w:t>(1), 31.</w:t>
      </w:r>
      <w:r>
        <w:rPr>
          <w:rFonts w:eastAsia="SimSun" w:cs="Arial" w:hint="eastAsia"/>
          <w:color w:val="000000" w:themeColor="text1"/>
          <w:kern w:val="0"/>
          <w:sz w:val="24"/>
          <w:lang w:bidi="ar"/>
        </w:rPr>
        <w:t xml:space="preserve"> </w:t>
      </w:r>
      <w:hyperlink r:id="rId21" w:history="1">
        <w:r>
          <w:rPr>
            <w:rFonts w:eastAsia="SimSun" w:cs="Arial" w:hint="eastAsia"/>
            <w:color w:val="000000" w:themeColor="text1"/>
            <w:kern w:val="0"/>
            <w:sz w:val="24"/>
            <w:lang w:bidi="ar"/>
          </w:rPr>
          <w:t>https://doi.org/10.1007/s43545-020-00047-9</w:t>
        </w:r>
      </w:hyperlink>
    </w:p>
    <w:p w14:paraId="661751B0" w14:textId="77777777" w:rsidR="000574EE" w:rsidRDefault="00AC3F5F">
      <w:pPr>
        <w:widowControl/>
        <w:ind w:left="480" w:hangingChars="200" w:hanging="480"/>
        <w:rPr>
          <w:color w:val="000000" w:themeColor="text1"/>
          <w:sz w:val="24"/>
        </w:rPr>
      </w:pPr>
      <w:proofErr w:type="spellStart"/>
      <w:r>
        <w:rPr>
          <w:rFonts w:eastAsia="SimSun" w:cs="Arial"/>
          <w:color w:val="000000" w:themeColor="text1"/>
          <w:kern w:val="0"/>
          <w:sz w:val="24"/>
          <w:shd w:val="clear" w:color="auto" w:fill="FFFFFF"/>
          <w:lang w:bidi="ar"/>
        </w:rPr>
        <w:t>Pranawengtias</w:t>
      </w:r>
      <w:proofErr w:type="spellEnd"/>
      <w:r>
        <w:rPr>
          <w:rFonts w:eastAsia="SimSun" w:cs="Arial"/>
          <w:color w:val="000000" w:themeColor="text1"/>
          <w:kern w:val="0"/>
          <w:sz w:val="24"/>
          <w:shd w:val="clear" w:color="auto" w:fill="FFFFFF"/>
          <w:lang w:bidi="ar"/>
        </w:rPr>
        <w:t xml:space="preserve">, W. (2022). Undergraduate </w:t>
      </w:r>
      <w:proofErr w:type="spellStart"/>
      <w:r>
        <w:rPr>
          <w:rFonts w:eastAsia="SimSun" w:cs="Arial"/>
          <w:color w:val="000000" w:themeColor="text1"/>
          <w:kern w:val="0"/>
          <w:sz w:val="24"/>
          <w:shd w:val="clear" w:color="auto" w:fill="FFFFFF"/>
          <w:lang w:bidi="ar"/>
        </w:rPr>
        <w:t>Students'Motivation</w:t>
      </w:r>
      <w:proofErr w:type="spellEnd"/>
      <w:r>
        <w:rPr>
          <w:rFonts w:eastAsia="SimSun" w:cs="Arial"/>
          <w:color w:val="000000" w:themeColor="text1"/>
          <w:kern w:val="0"/>
          <w:sz w:val="24"/>
          <w:shd w:val="clear" w:color="auto" w:fill="FFFFFF"/>
          <w:lang w:bidi="ar"/>
        </w:rPr>
        <w:t xml:space="preserve"> </w:t>
      </w:r>
      <w:r>
        <w:rPr>
          <w:rFonts w:eastAsia="SimSun" w:cs="Arial" w:hint="eastAsia"/>
          <w:color w:val="000000" w:themeColor="text1"/>
          <w:kern w:val="0"/>
          <w:sz w:val="24"/>
          <w:shd w:val="clear" w:color="auto" w:fill="FFFFFF"/>
          <w:lang w:bidi="ar"/>
        </w:rPr>
        <w:t>o</w:t>
      </w:r>
      <w:r>
        <w:rPr>
          <w:rFonts w:eastAsia="SimSun" w:cs="Arial"/>
          <w:color w:val="000000" w:themeColor="text1"/>
          <w:kern w:val="0"/>
          <w:sz w:val="24"/>
          <w:shd w:val="clear" w:color="auto" w:fill="FFFFFF"/>
          <w:lang w:bidi="ar"/>
        </w:rPr>
        <w:t xml:space="preserve">n English Language Learning </w:t>
      </w:r>
      <w:r>
        <w:rPr>
          <w:rFonts w:eastAsia="SimSun" w:cs="Arial" w:hint="eastAsia"/>
          <w:color w:val="000000" w:themeColor="text1"/>
          <w:kern w:val="0"/>
          <w:sz w:val="24"/>
          <w:shd w:val="clear" w:color="auto" w:fill="FFFFFF"/>
          <w:lang w:bidi="ar"/>
        </w:rPr>
        <w:t>a</w:t>
      </w:r>
      <w:r>
        <w:rPr>
          <w:rFonts w:eastAsia="SimSun" w:cs="Arial"/>
          <w:color w:val="000000" w:themeColor="text1"/>
          <w:kern w:val="0"/>
          <w:sz w:val="24"/>
          <w:shd w:val="clear" w:color="auto" w:fill="FFFFFF"/>
          <w:lang w:bidi="ar"/>
        </w:rPr>
        <w:t xml:space="preserve">t </w:t>
      </w:r>
      <w:proofErr w:type="spellStart"/>
      <w:r>
        <w:rPr>
          <w:rFonts w:eastAsia="SimSun" w:cs="Arial"/>
          <w:color w:val="000000" w:themeColor="text1"/>
          <w:kern w:val="0"/>
          <w:sz w:val="24"/>
          <w:shd w:val="clear" w:color="auto" w:fill="FFFFFF"/>
          <w:lang w:bidi="ar"/>
        </w:rPr>
        <w:t>Universitas</w:t>
      </w:r>
      <w:proofErr w:type="spellEnd"/>
      <w:r>
        <w:rPr>
          <w:rFonts w:eastAsia="SimSun" w:cs="Arial"/>
          <w:color w:val="000000" w:themeColor="text1"/>
          <w:kern w:val="0"/>
          <w:sz w:val="24"/>
          <w:shd w:val="clear" w:color="auto" w:fill="FFFFFF"/>
          <w:lang w:bidi="ar"/>
        </w:rPr>
        <w:t xml:space="preserve"> </w:t>
      </w:r>
      <w:proofErr w:type="spellStart"/>
      <w:r>
        <w:rPr>
          <w:rFonts w:eastAsia="SimSun" w:cs="Arial"/>
          <w:color w:val="000000" w:themeColor="text1"/>
          <w:kern w:val="0"/>
          <w:sz w:val="24"/>
          <w:shd w:val="clear" w:color="auto" w:fill="FFFFFF"/>
          <w:lang w:bidi="ar"/>
        </w:rPr>
        <w:t>Teknokrat</w:t>
      </w:r>
      <w:proofErr w:type="spellEnd"/>
      <w:r>
        <w:rPr>
          <w:rFonts w:eastAsia="SimSun" w:cs="Arial"/>
          <w:color w:val="000000" w:themeColor="text1"/>
          <w:kern w:val="0"/>
          <w:sz w:val="24"/>
          <w:shd w:val="clear" w:color="auto" w:fill="FFFFFF"/>
          <w:lang w:bidi="ar"/>
        </w:rPr>
        <w:t xml:space="preserve"> Indonesia. </w:t>
      </w:r>
      <w:r>
        <w:rPr>
          <w:rFonts w:eastAsia="SimSun" w:cs="Arial"/>
          <w:i/>
          <w:iCs/>
          <w:color w:val="000000" w:themeColor="text1"/>
          <w:kern w:val="0"/>
          <w:sz w:val="24"/>
          <w:lang w:bidi="ar"/>
        </w:rPr>
        <w:t>Journal of English Language Teaching and Learning</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3</w:t>
      </w:r>
      <w:r>
        <w:rPr>
          <w:rFonts w:eastAsia="SimSun" w:cs="Arial"/>
          <w:color w:val="000000" w:themeColor="text1"/>
          <w:kern w:val="0"/>
          <w:sz w:val="24"/>
          <w:shd w:val="clear" w:color="auto" w:fill="FFFFFF"/>
          <w:lang w:bidi="ar"/>
        </w:rPr>
        <w:t>(2), 27-32.</w:t>
      </w:r>
    </w:p>
    <w:p w14:paraId="27A5A9ED" w14:textId="77777777" w:rsidR="000574EE" w:rsidRDefault="00AC3F5F">
      <w:pPr>
        <w:widowControl/>
        <w:ind w:left="480" w:hangingChars="200" w:hanging="480"/>
        <w:rPr>
          <w:rFonts w:eastAsia="SimSun" w:cs="Arial"/>
          <w:color w:val="000000" w:themeColor="text1"/>
          <w:kern w:val="0"/>
          <w:sz w:val="24"/>
          <w:shd w:val="clear" w:color="auto" w:fill="FFFFFF"/>
          <w:lang w:bidi="ar"/>
        </w:rPr>
      </w:pPr>
      <w:proofErr w:type="spellStart"/>
      <w:r>
        <w:rPr>
          <w:rFonts w:eastAsia="SimSun" w:cs="Arial"/>
          <w:color w:val="000000" w:themeColor="text1"/>
          <w:kern w:val="0"/>
          <w:sz w:val="24"/>
          <w:shd w:val="clear" w:color="auto" w:fill="FFFFFF"/>
          <w:lang w:bidi="ar"/>
        </w:rPr>
        <w:t>Rayati</w:t>
      </w:r>
      <w:proofErr w:type="spellEnd"/>
      <w:r>
        <w:rPr>
          <w:rFonts w:eastAsia="SimSun" w:cs="Arial"/>
          <w:color w:val="000000" w:themeColor="text1"/>
          <w:kern w:val="0"/>
          <w:sz w:val="24"/>
          <w:shd w:val="clear" w:color="auto" w:fill="FFFFFF"/>
          <w:lang w:bidi="ar"/>
        </w:rPr>
        <w:t>, M., Abedi, H., &amp; Aghazadeh, S. (2022). EFL Learners' Speaking Strategies: A Study of Low and High Proficiency Learners. </w:t>
      </w:r>
      <w:r>
        <w:rPr>
          <w:rFonts w:eastAsia="SimSun" w:cs="Arial"/>
          <w:i/>
          <w:iCs/>
          <w:color w:val="000000" w:themeColor="text1"/>
          <w:kern w:val="0"/>
          <w:sz w:val="24"/>
          <w:lang w:bidi="ar"/>
        </w:rPr>
        <w:t>MEXTESOL Journal</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46</w:t>
      </w:r>
      <w:r>
        <w:rPr>
          <w:rFonts w:eastAsia="SimSun" w:cs="Arial"/>
          <w:color w:val="000000" w:themeColor="text1"/>
          <w:kern w:val="0"/>
          <w:sz w:val="24"/>
          <w:shd w:val="clear" w:color="auto" w:fill="FFFFFF"/>
          <w:lang w:bidi="ar"/>
        </w:rPr>
        <w:t xml:space="preserve">(4), </w:t>
      </w:r>
      <w:r>
        <w:rPr>
          <w:rFonts w:eastAsia="SimSun" w:cs="Arial" w:hint="eastAsia"/>
          <w:color w:val="000000" w:themeColor="text1"/>
          <w:kern w:val="0"/>
          <w:sz w:val="24"/>
          <w:shd w:val="clear" w:color="auto" w:fill="FFFFFF"/>
          <w:lang w:bidi="ar"/>
        </w:rPr>
        <w:t>1-16</w:t>
      </w:r>
      <w:r>
        <w:rPr>
          <w:rFonts w:eastAsia="SimSun" w:cs="Arial"/>
          <w:color w:val="000000" w:themeColor="text1"/>
          <w:kern w:val="0"/>
          <w:sz w:val="24"/>
          <w:shd w:val="clear" w:color="auto" w:fill="FFFFFF"/>
          <w:lang w:bidi="ar"/>
        </w:rPr>
        <w:t xml:space="preserve">. https://doi.org/10.61871/mj.v46n4-5 </w:t>
      </w:r>
    </w:p>
    <w:p w14:paraId="1974AC89" w14:textId="77777777"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lang w:bidi="ar"/>
        </w:rPr>
        <w:t xml:space="preserve">Rea, L. M., &amp; Parker, R. A. (2014). </w:t>
      </w:r>
      <w:r>
        <w:rPr>
          <w:rFonts w:eastAsia="SimSun" w:cs="Arial"/>
          <w:i/>
          <w:iCs/>
          <w:color w:val="000000" w:themeColor="text1"/>
          <w:kern w:val="0"/>
          <w:sz w:val="24"/>
          <w:lang w:bidi="ar"/>
        </w:rPr>
        <w:t>Designing and conducting survey research: A comprehensive guide</w:t>
      </w:r>
      <w:r>
        <w:rPr>
          <w:rFonts w:eastAsia="SimSun" w:cs="Arial"/>
          <w:color w:val="000000" w:themeColor="text1"/>
          <w:kern w:val="0"/>
          <w:sz w:val="24"/>
          <w:lang w:bidi="ar"/>
        </w:rPr>
        <w:t>. John Wiley &amp; Sons.</w:t>
      </w:r>
    </w:p>
    <w:p w14:paraId="2C0BC988" w14:textId="77777777" w:rsidR="000574EE" w:rsidRDefault="00AC3F5F">
      <w:pPr>
        <w:widowControl/>
        <w:ind w:left="480" w:hangingChars="200" w:hanging="480"/>
        <w:rPr>
          <w:color w:val="000000" w:themeColor="text1"/>
          <w:sz w:val="24"/>
        </w:rPr>
      </w:pPr>
      <w:proofErr w:type="spellStart"/>
      <w:r>
        <w:rPr>
          <w:rFonts w:eastAsia="SimSun" w:cs="Arial"/>
          <w:color w:val="000000" w:themeColor="text1"/>
          <w:kern w:val="0"/>
          <w:sz w:val="24"/>
          <w:shd w:val="clear" w:color="auto" w:fill="FFFFFF"/>
          <w:lang w:bidi="ar"/>
        </w:rPr>
        <w:t>Salehpour</w:t>
      </w:r>
      <w:proofErr w:type="spellEnd"/>
      <w:r>
        <w:rPr>
          <w:rFonts w:eastAsia="SimSun" w:cs="Arial"/>
          <w:color w:val="000000" w:themeColor="text1"/>
          <w:kern w:val="0"/>
          <w:sz w:val="24"/>
          <w:shd w:val="clear" w:color="auto" w:fill="FFFFFF"/>
          <w:lang w:bidi="ar"/>
        </w:rPr>
        <w:t xml:space="preserve">, G., &amp; </w:t>
      </w:r>
      <w:proofErr w:type="spellStart"/>
      <w:r>
        <w:rPr>
          <w:rFonts w:eastAsia="SimSun" w:cs="Arial"/>
          <w:color w:val="000000" w:themeColor="text1"/>
          <w:kern w:val="0"/>
          <w:sz w:val="24"/>
          <w:shd w:val="clear" w:color="auto" w:fill="FFFFFF"/>
          <w:lang w:bidi="ar"/>
        </w:rPr>
        <w:t>Roohani</w:t>
      </w:r>
      <w:proofErr w:type="spellEnd"/>
      <w:r>
        <w:rPr>
          <w:rFonts w:eastAsia="SimSun" w:cs="Arial"/>
          <w:color w:val="000000" w:themeColor="text1"/>
          <w:kern w:val="0"/>
          <w:sz w:val="24"/>
          <w:shd w:val="clear" w:color="auto" w:fill="FFFFFF"/>
          <w:lang w:bidi="ar"/>
        </w:rPr>
        <w:t>, A. (2020). Relationship between intrinsic/extrinsic motivation and L2 speaking skill among Iranian male and female EFL learners. </w:t>
      </w:r>
      <w:proofErr w:type="spellStart"/>
      <w:r>
        <w:rPr>
          <w:rFonts w:eastAsia="SimSun" w:cs="Arial"/>
          <w:i/>
          <w:iCs/>
          <w:color w:val="000000" w:themeColor="text1"/>
          <w:kern w:val="0"/>
          <w:sz w:val="24"/>
          <w:lang w:bidi="ar"/>
        </w:rPr>
        <w:t>Bellaterra</w:t>
      </w:r>
      <w:proofErr w:type="spellEnd"/>
      <w:r>
        <w:rPr>
          <w:rFonts w:eastAsia="SimSun" w:cs="Arial"/>
          <w:i/>
          <w:iCs/>
          <w:color w:val="000000" w:themeColor="text1"/>
          <w:kern w:val="0"/>
          <w:sz w:val="24"/>
          <w:lang w:bidi="ar"/>
        </w:rPr>
        <w:t xml:space="preserve"> Journal of Teaching &amp; Learning Language &amp; Literature</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13</w:t>
      </w:r>
      <w:r>
        <w:rPr>
          <w:rFonts w:eastAsia="SimSun" w:cs="Arial"/>
          <w:color w:val="000000" w:themeColor="text1"/>
          <w:kern w:val="0"/>
          <w:sz w:val="24"/>
          <w:shd w:val="clear" w:color="auto" w:fill="FFFFFF"/>
          <w:lang w:bidi="ar"/>
        </w:rPr>
        <w:t>(1), 43-59.</w:t>
      </w:r>
      <w:r>
        <w:rPr>
          <w:rFonts w:eastAsia="SimSun" w:cs="Arial" w:hint="eastAsia"/>
          <w:color w:val="000000" w:themeColor="text1"/>
          <w:kern w:val="0"/>
          <w:sz w:val="24"/>
          <w:shd w:val="clear" w:color="auto" w:fill="FFFFFF"/>
          <w:lang w:bidi="ar"/>
        </w:rPr>
        <w:t xml:space="preserve"> </w:t>
      </w:r>
      <w:r>
        <w:rPr>
          <w:rFonts w:eastAsia="SimSun" w:cs="Arial"/>
          <w:color w:val="000000" w:themeColor="text1"/>
          <w:kern w:val="0"/>
          <w:sz w:val="24"/>
          <w:shd w:val="clear" w:color="auto" w:fill="FFFFFF"/>
          <w:lang w:bidi="ar"/>
        </w:rPr>
        <w:t>https://doi.org/10.5565/rev/jtl3.803</w:t>
      </w:r>
    </w:p>
    <w:p w14:paraId="5B3F1E00" w14:textId="77777777" w:rsidR="000574EE" w:rsidRDefault="00AC3F5F">
      <w:pPr>
        <w:widowControl/>
        <w:ind w:left="480" w:hangingChars="200" w:hanging="480"/>
        <w:rPr>
          <w:color w:val="000000" w:themeColor="text1"/>
          <w:sz w:val="24"/>
        </w:rPr>
      </w:pPr>
      <w:proofErr w:type="spellStart"/>
      <w:r>
        <w:rPr>
          <w:rFonts w:eastAsia="SimSun" w:cs="Arial"/>
          <w:color w:val="000000" w:themeColor="text1"/>
          <w:kern w:val="0"/>
          <w:sz w:val="24"/>
          <w:shd w:val="clear" w:color="auto" w:fill="FFFFFF"/>
          <w:lang w:bidi="ar"/>
        </w:rPr>
        <w:t>Santovac</w:t>
      </w:r>
      <w:proofErr w:type="spellEnd"/>
      <w:r>
        <w:rPr>
          <w:rFonts w:eastAsia="SimSun" w:cs="Arial"/>
          <w:color w:val="000000" w:themeColor="text1"/>
          <w:kern w:val="0"/>
          <w:sz w:val="24"/>
          <w:shd w:val="clear" w:color="auto" w:fill="FFFFFF"/>
          <w:lang w:bidi="ar"/>
        </w:rPr>
        <w:t xml:space="preserve">, D. M. P., &amp; Popović, A. V. H. (2022). Intrinsic </w:t>
      </w:r>
      <w:proofErr w:type="gramStart"/>
      <w:r>
        <w:rPr>
          <w:rFonts w:eastAsia="SimSun" w:cs="Arial" w:hint="eastAsia"/>
          <w:color w:val="000000" w:themeColor="text1"/>
          <w:kern w:val="0"/>
          <w:sz w:val="24"/>
          <w:shd w:val="clear" w:color="auto" w:fill="FFFFFF"/>
          <w:lang w:bidi="ar"/>
        </w:rPr>
        <w:t>A</w:t>
      </w:r>
      <w:r>
        <w:rPr>
          <w:rFonts w:eastAsia="SimSun" w:cs="Arial"/>
          <w:color w:val="000000" w:themeColor="text1"/>
          <w:kern w:val="0"/>
          <w:sz w:val="24"/>
          <w:shd w:val="clear" w:color="auto" w:fill="FFFFFF"/>
          <w:lang w:bidi="ar"/>
        </w:rPr>
        <w:t>nd</w:t>
      </w:r>
      <w:proofErr w:type="gramEnd"/>
      <w:r>
        <w:rPr>
          <w:rFonts w:eastAsia="SimSun" w:cs="Arial"/>
          <w:color w:val="000000" w:themeColor="text1"/>
          <w:kern w:val="0"/>
          <w:sz w:val="24"/>
          <w:shd w:val="clear" w:color="auto" w:fill="FFFFFF"/>
          <w:lang w:bidi="ar"/>
        </w:rPr>
        <w:t xml:space="preserve"> Extrinsic Motivation </w:t>
      </w:r>
      <w:r>
        <w:rPr>
          <w:rFonts w:eastAsia="SimSun" w:cs="Arial" w:hint="eastAsia"/>
          <w:color w:val="000000" w:themeColor="text1"/>
          <w:kern w:val="0"/>
          <w:sz w:val="24"/>
          <w:shd w:val="clear" w:color="auto" w:fill="FFFFFF"/>
          <w:lang w:bidi="ar"/>
        </w:rPr>
        <w:t>i</w:t>
      </w:r>
      <w:r>
        <w:rPr>
          <w:rFonts w:eastAsia="SimSun" w:cs="Arial"/>
          <w:color w:val="000000" w:themeColor="text1"/>
          <w:kern w:val="0"/>
          <w:sz w:val="24"/>
          <w:shd w:val="clear" w:color="auto" w:fill="FFFFFF"/>
          <w:lang w:bidi="ar"/>
        </w:rPr>
        <w:t>n E</w:t>
      </w:r>
      <w:r>
        <w:rPr>
          <w:rFonts w:eastAsia="SimSun" w:cs="Arial" w:hint="eastAsia"/>
          <w:color w:val="000000" w:themeColor="text1"/>
          <w:kern w:val="0"/>
          <w:sz w:val="24"/>
          <w:shd w:val="clear" w:color="auto" w:fill="FFFFFF"/>
          <w:lang w:bidi="ar"/>
        </w:rPr>
        <w:t>FL</w:t>
      </w:r>
      <w:r>
        <w:rPr>
          <w:rFonts w:eastAsia="SimSun" w:cs="Arial"/>
          <w:color w:val="000000" w:themeColor="text1"/>
          <w:kern w:val="0"/>
          <w:sz w:val="24"/>
          <w:shd w:val="clear" w:color="auto" w:fill="FFFFFF"/>
          <w:lang w:bidi="ar"/>
        </w:rPr>
        <w:t xml:space="preserve"> Learning </w:t>
      </w:r>
      <w:r>
        <w:rPr>
          <w:rFonts w:eastAsia="SimSun" w:cs="Arial" w:hint="eastAsia"/>
          <w:color w:val="000000" w:themeColor="text1"/>
          <w:kern w:val="0"/>
          <w:sz w:val="24"/>
          <w:shd w:val="clear" w:color="auto" w:fill="FFFFFF"/>
          <w:lang w:bidi="ar"/>
        </w:rPr>
        <w:t>A</w:t>
      </w:r>
      <w:r>
        <w:rPr>
          <w:rFonts w:eastAsia="SimSun" w:cs="Arial"/>
          <w:color w:val="000000" w:themeColor="text1"/>
          <w:kern w:val="0"/>
          <w:sz w:val="24"/>
          <w:shd w:val="clear" w:color="auto" w:fill="FFFFFF"/>
          <w:lang w:bidi="ar"/>
        </w:rPr>
        <w:t>t University Level. </w:t>
      </w:r>
      <w:r>
        <w:rPr>
          <w:rFonts w:eastAsia="SimSun" w:cs="Arial"/>
          <w:i/>
          <w:iCs/>
          <w:color w:val="000000" w:themeColor="text1"/>
          <w:kern w:val="0"/>
          <w:sz w:val="24"/>
          <w:lang w:bidi="ar"/>
        </w:rPr>
        <w:t>Philologist–Journal of Language, Literature, and Cultural Studies</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13</w:t>
      </w:r>
      <w:r>
        <w:rPr>
          <w:rFonts w:eastAsia="SimSun" w:cs="Arial"/>
          <w:color w:val="000000" w:themeColor="text1"/>
          <w:kern w:val="0"/>
          <w:sz w:val="24"/>
          <w:shd w:val="clear" w:color="auto" w:fill="FFFFFF"/>
          <w:lang w:bidi="ar"/>
        </w:rPr>
        <w:t>(25), 86-114.</w:t>
      </w:r>
      <w:r>
        <w:rPr>
          <w:rFonts w:eastAsia="SimSun" w:cs="Arial" w:hint="eastAsia"/>
          <w:color w:val="000000" w:themeColor="text1"/>
          <w:kern w:val="0"/>
          <w:sz w:val="24"/>
          <w:shd w:val="clear" w:color="auto" w:fill="FFFFFF"/>
          <w:lang w:bidi="ar"/>
        </w:rPr>
        <w:t xml:space="preserve">  https://doi.org/10.21618/fil2225086p</w:t>
      </w:r>
    </w:p>
    <w:p w14:paraId="1F6EDDAA" w14:textId="77777777" w:rsidR="000574EE" w:rsidRDefault="00AC3F5F">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 xml:space="preserve">Sausan, S. (2023). </w:t>
      </w:r>
      <w:r>
        <w:rPr>
          <w:rFonts w:eastAsia="SimSun" w:cs="Arial"/>
          <w:i/>
          <w:iCs/>
          <w:color w:val="000000" w:themeColor="text1"/>
          <w:kern w:val="0"/>
          <w:sz w:val="24"/>
          <w:shd w:val="clear" w:color="auto" w:fill="FFFFFF"/>
          <w:lang w:bidi="ar"/>
        </w:rPr>
        <w:t xml:space="preserve">Indonesian Senior High School Students Oral Communication Strategy </w:t>
      </w:r>
      <w:proofErr w:type="gramStart"/>
      <w:r>
        <w:rPr>
          <w:rFonts w:eastAsia="SimSun" w:cs="Arial"/>
          <w:i/>
          <w:iCs/>
          <w:color w:val="000000" w:themeColor="text1"/>
          <w:kern w:val="0"/>
          <w:sz w:val="24"/>
          <w:shd w:val="clear" w:color="auto" w:fill="FFFFFF"/>
          <w:lang w:bidi="ar"/>
        </w:rPr>
        <w:t>For</w:t>
      </w:r>
      <w:proofErr w:type="gramEnd"/>
      <w:r>
        <w:rPr>
          <w:rFonts w:eastAsia="SimSun" w:cs="Arial"/>
          <w:i/>
          <w:iCs/>
          <w:color w:val="000000" w:themeColor="text1"/>
          <w:kern w:val="0"/>
          <w:sz w:val="24"/>
          <w:shd w:val="clear" w:color="auto" w:fill="FFFFFF"/>
          <w:lang w:bidi="ar"/>
        </w:rPr>
        <w:t xml:space="preserve"> Learning English: A Survey Study.</w:t>
      </w:r>
      <w:r>
        <w:rPr>
          <w:rFonts w:eastAsia="SimSun" w:cs="Arial" w:hint="eastAsia"/>
          <w:i/>
          <w:iCs/>
          <w:color w:val="000000" w:themeColor="text1"/>
          <w:kern w:val="0"/>
          <w:sz w:val="24"/>
          <w:shd w:val="clear" w:color="auto" w:fill="FFFFFF"/>
          <w:lang w:bidi="ar"/>
        </w:rPr>
        <w:t xml:space="preserve"> </w:t>
      </w:r>
      <w:r>
        <w:rPr>
          <w:rFonts w:eastAsia="SimSun" w:cs="Arial" w:hint="eastAsia"/>
          <w:color w:val="000000" w:themeColor="text1"/>
          <w:kern w:val="0"/>
          <w:sz w:val="24"/>
          <w:shd w:val="clear" w:color="auto" w:fill="FFFFFF"/>
          <w:lang w:bidi="ar"/>
        </w:rPr>
        <w:t>Sleman, MA: Universitas Islam Indonesia. https://dspace.uii.ac.id/handle/123456789/44935</w:t>
      </w:r>
    </w:p>
    <w:p w14:paraId="7B3A794D" w14:textId="77777777" w:rsidR="000574EE" w:rsidRDefault="00AC3F5F">
      <w:pPr>
        <w:widowControl/>
        <w:ind w:left="480" w:hangingChars="200" w:hanging="480"/>
        <w:rPr>
          <w:rFonts w:cs="Times New Roman Regular"/>
          <w:color w:val="000000" w:themeColor="text1"/>
          <w:sz w:val="24"/>
        </w:rPr>
      </w:pPr>
      <w:proofErr w:type="spellStart"/>
      <w:r>
        <w:rPr>
          <w:rFonts w:eastAsia="Helvetica Neue" w:cs="Times New Roman Regular"/>
          <w:color w:val="000000" w:themeColor="text1"/>
          <w:kern w:val="0"/>
          <w:sz w:val="24"/>
          <w:shd w:val="clear" w:color="auto" w:fill="FFFFFF"/>
          <w:lang w:bidi="ar"/>
        </w:rPr>
        <w:t>Schreglmann</w:t>
      </w:r>
      <w:proofErr w:type="spellEnd"/>
      <w:r>
        <w:rPr>
          <w:rFonts w:eastAsia="Helvetica Neue" w:cs="Times New Roman Regular"/>
          <w:color w:val="000000" w:themeColor="text1"/>
          <w:kern w:val="0"/>
          <w:sz w:val="24"/>
          <w:shd w:val="clear" w:color="auto" w:fill="FFFFFF"/>
          <w:lang w:bidi="ar"/>
        </w:rPr>
        <w:t>, S. (2018). Developing Academic Motivation Scale for Learning Information Technology (AMSLIT): A Study of Validity and Reliability. </w:t>
      </w:r>
      <w:r>
        <w:rPr>
          <w:rStyle w:val="Emphasis"/>
          <w:rFonts w:eastAsia="Helvetica Neue" w:cs="Times New Roman Regular"/>
          <w:iCs/>
          <w:color w:val="000000" w:themeColor="text1"/>
          <w:kern w:val="0"/>
          <w:sz w:val="24"/>
          <w:shd w:val="clear" w:color="auto" w:fill="FFFFFF"/>
          <w:lang w:bidi="ar"/>
        </w:rPr>
        <w:t>Journal of Education and Learning, 7</w:t>
      </w:r>
      <w:r>
        <w:rPr>
          <w:rFonts w:eastAsia="Helvetica Neue" w:cs="Times New Roman Regular"/>
          <w:color w:val="000000" w:themeColor="text1"/>
          <w:kern w:val="0"/>
          <w:sz w:val="24"/>
          <w:shd w:val="clear" w:color="auto" w:fill="FFFFFF"/>
          <w:lang w:bidi="ar"/>
        </w:rPr>
        <w:t>, 145-153.</w:t>
      </w:r>
      <w:r>
        <w:rPr>
          <w:rFonts w:eastAsia="Helvetica Neue" w:cs="Times New Roman Regular" w:hint="eastAsia"/>
          <w:color w:val="000000" w:themeColor="text1"/>
          <w:kern w:val="0"/>
          <w:sz w:val="24"/>
          <w:shd w:val="clear" w:color="auto" w:fill="FFFFFF"/>
          <w:lang w:bidi="ar"/>
        </w:rPr>
        <w:t xml:space="preserve"> https://doi.org/10.5539/jel.v7n4p145</w:t>
      </w:r>
    </w:p>
    <w:p w14:paraId="0D4C882B" w14:textId="77777777" w:rsidR="000574EE" w:rsidRDefault="00AC3F5F">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 xml:space="preserve">Shirkhani, S., &amp; Mir Mohammad </w:t>
      </w:r>
      <w:proofErr w:type="spellStart"/>
      <w:r>
        <w:rPr>
          <w:rFonts w:eastAsia="SimSun" w:cs="Arial"/>
          <w:color w:val="000000" w:themeColor="text1"/>
          <w:kern w:val="0"/>
          <w:sz w:val="24"/>
          <w:shd w:val="clear" w:color="auto" w:fill="FFFFFF"/>
          <w:lang w:bidi="ar"/>
        </w:rPr>
        <w:t>Meigouni</w:t>
      </w:r>
      <w:proofErr w:type="spellEnd"/>
      <w:r>
        <w:rPr>
          <w:rFonts w:eastAsia="SimSun" w:cs="Arial"/>
          <w:color w:val="000000" w:themeColor="text1"/>
          <w:kern w:val="0"/>
          <w:sz w:val="24"/>
          <w:shd w:val="clear" w:color="auto" w:fill="FFFFFF"/>
          <w:lang w:bidi="ar"/>
        </w:rPr>
        <w:t xml:space="preserve">, E. A. (2020). Oral communication strategies used by Iranian EFL learners and their relationship with the learners’ self-efficacy beliefs and </w:t>
      </w:r>
      <w:r>
        <w:rPr>
          <w:rFonts w:eastAsia="SimSun" w:cs="Arial"/>
          <w:color w:val="000000" w:themeColor="text1"/>
          <w:kern w:val="0"/>
          <w:sz w:val="24"/>
          <w:shd w:val="clear" w:color="auto" w:fill="FFFFFF"/>
          <w:lang w:bidi="ar"/>
        </w:rPr>
        <w:lastRenderedPageBreak/>
        <w:t>anxiety level. </w:t>
      </w:r>
      <w:r>
        <w:rPr>
          <w:rFonts w:eastAsia="SimSun" w:cs="Arial"/>
          <w:i/>
          <w:iCs/>
          <w:color w:val="000000" w:themeColor="text1"/>
          <w:kern w:val="0"/>
          <w:sz w:val="24"/>
          <w:lang w:bidi="ar"/>
        </w:rPr>
        <w:t>Research in English Language Pedagogy</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8</w:t>
      </w:r>
      <w:r>
        <w:rPr>
          <w:rFonts w:eastAsia="SimSun" w:cs="Arial"/>
          <w:color w:val="000000" w:themeColor="text1"/>
          <w:kern w:val="0"/>
          <w:sz w:val="24"/>
          <w:shd w:val="clear" w:color="auto" w:fill="FFFFFF"/>
          <w:lang w:bidi="ar"/>
        </w:rPr>
        <w:t>(1), 1-20.</w:t>
      </w:r>
      <w:r>
        <w:rPr>
          <w:rFonts w:eastAsia="SimSun" w:cs="Arial" w:hint="eastAsia"/>
          <w:color w:val="000000" w:themeColor="text1"/>
          <w:kern w:val="0"/>
          <w:sz w:val="24"/>
          <w:shd w:val="clear" w:color="auto" w:fill="FFFFFF"/>
          <w:lang w:bidi="ar"/>
        </w:rPr>
        <w:t xml:space="preserve"> </w:t>
      </w:r>
      <w:r>
        <w:rPr>
          <w:rFonts w:eastAsia="Helvetica Neue" w:cs="Times New Roman Regular" w:hint="eastAsia"/>
          <w:color w:val="000000" w:themeColor="text1"/>
          <w:kern w:val="0"/>
          <w:sz w:val="24"/>
          <w:shd w:val="clear" w:color="auto" w:fill="FFFFFF"/>
          <w:lang w:bidi="ar"/>
        </w:rPr>
        <w:t>https://doi.org/</w:t>
      </w:r>
      <w:r>
        <w:rPr>
          <w:rFonts w:eastAsia="SimSun" w:cs="Arial" w:hint="eastAsia"/>
          <w:color w:val="000000" w:themeColor="text1"/>
          <w:kern w:val="0"/>
          <w:sz w:val="24"/>
          <w:shd w:val="clear" w:color="auto" w:fill="FFFFFF"/>
          <w:lang w:bidi="ar"/>
        </w:rPr>
        <w:t>10.30486/RELP.2019.669075</w:t>
      </w:r>
    </w:p>
    <w:p w14:paraId="4C10A393" w14:textId="77777777" w:rsidR="000574EE" w:rsidRDefault="00AC3F5F">
      <w:pPr>
        <w:widowControl/>
        <w:autoSpaceDE w:val="0"/>
        <w:autoSpaceDN w:val="0"/>
        <w:ind w:left="480" w:hangingChars="200" w:hanging="480"/>
        <w:rPr>
          <w:rFonts w:cs="Times New Roman Regular"/>
          <w:color w:val="000000" w:themeColor="text1"/>
          <w:sz w:val="24"/>
        </w:rPr>
      </w:pPr>
      <w:r>
        <w:rPr>
          <w:rFonts w:eastAsia="SimSun" w:cs="Times New Roman Regular"/>
          <w:color w:val="000000" w:themeColor="text1"/>
          <w:kern w:val="0"/>
          <w:sz w:val="24"/>
          <w:shd w:val="clear" w:color="auto" w:fill="FFFFFF"/>
          <w:lang w:bidi="ar"/>
        </w:rPr>
        <w:t>Sun, P. P., Zhang, L. J., &amp; Gray, S. M. (2016). Development and validation of the speaking strategy inventory for learners of Chinese (SSILC) as a second/foreign language. </w:t>
      </w:r>
      <w:r w:rsidRPr="00167A0D">
        <w:rPr>
          <w:rFonts w:eastAsia="SimSun" w:cs="Times New Roman Regular"/>
          <w:i/>
          <w:color w:val="000000" w:themeColor="text1"/>
          <w:kern w:val="0"/>
          <w:sz w:val="24"/>
          <w:highlight w:val="cyan"/>
          <w:lang w:bidi="ar"/>
        </w:rPr>
        <w:t>The Asia-Pacific Education Researcher</w:t>
      </w:r>
      <w:r>
        <w:rPr>
          <w:rFonts w:eastAsia="SimSun" w:cs="Times New Roman Regular"/>
          <w:color w:val="000000" w:themeColor="text1"/>
          <w:kern w:val="0"/>
          <w:sz w:val="24"/>
          <w:shd w:val="clear" w:color="auto" w:fill="FFFFFF"/>
          <w:lang w:bidi="ar"/>
        </w:rPr>
        <w:t>, </w:t>
      </w:r>
      <w:r w:rsidRPr="00167A0D">
        <w:rPr>
          <w:rFonts w:eastAsia="SimSun" w:cs="Times New Roman Regular"/>
          <w:i/>
          <w:color w:val="000000" w:themeColor="text1"/>
          <w:kern w:val="0"/>
          <w:sz w:val="24"/>
          <w:highlight w:val="cyan"/>
          <w:lang w:bidi="ar"/>
        </w:rPr>
        <w:t>25</w:t>
      </w:r>
      <w:r>
        <w:rPr>
          <w:rFonts w:eastAsia="SimSun" w:cs="Times New Roman Regular"/>
          <w:color w:val="000000" w:themeColor="text1"/>
          <w:kern w:val="0"/>
          <w:sz w:val="24"/>
          <w:shd w:val="clear" w:color="auto" w:fill="FFFFFF"/>
          <w:lang w:bidi="ar"/>
        </w:rPr>
        <w:t>, 593-604.</w:t>
      </w:r>
      <w:r>
        <w:rPr>
          <w:rFonts w:eastAsia="SimSun" w:cs="Times New Roman Regular" w:hint="eastAsia"/>
          <w:color w:val="000000" w:themeColor="text1"/>
          <w:kern w:val="0"/>
          <w:sz w:val="24"/>
          <w:shd w:val="clear" w:color="auto" w:fill="FFFFFF"/>
          <w:lang w:bidi="ar"/>
        </w:rPr>
        <w:t xml:space="preserve"> https://doi.org/10.1007/s40299-016-0287-0</w:t>
      </w:r>
    </w:p>
    <w:p w14:paraId="356022F5" w14:textId="77777777"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shd w:val="clear" w:color="auto" w:fill="FFFFFF"/>
          <w:lang w:bidi="ar"/>
        </w:rPr>
        <w:t xml:space="preserve">Sürücü, L., &amp; </w:t>
      </w:r>
      <w:proofErr w:type="spellStart"/>
      <w:r>
        <w:rPr>
          <w:rFonts w:eastAsia="SimSun" w:cs="Arial"/>
          <w:color w:val="000000" w:themeColor="text1"/>
          <w:kern w:val="0"/>
          <w:sz w:val="24"/>
          <w:shd w:val="clear" w:color="auto" w:fill="FFFFFF"/>
          <w:lang w:bidi="ar"/>
        </w:rPr>
        <w:t>Maslakci</w:t>
      </w:r>
      <w:proofErr w:type="spellEnd"/>
      <w:r>
        <w:rPr>
          <w:rFonts w:eastAsia="SimSun" w:cs="Arial"/>
          <w:color w:val="000000" w:themeColor="text1"/>
          <w:kern w:val="0"/>
          <w:sz w:val="24"/>
          <w:shd w:val="clear" w:color="auto" w:fill="FFFFFF"/>
          <w:lang w:bidi="ar"/>
        </w:rPr>
        <w:t>, A. (2020). Validity and reliability in quantitative research. </w:t>
      </w:r>
      <w:r>
        <w:rPr>
          <w:rFonts w:eastAsia="SimSun" w:cs="Arial"/>
          <w:i/>
          <w:iCs/>
          <w:color w:val="000000" w:themeColor="text1"/>
          <w:kern w:val="0"/>
          <w:sz w:val="24"/>
          <w:lang w:bidi="ar"/>
        </w:rPr>
        <w:t>Business &amp; Management Studies: An International Journal</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8</w:t>
      </w:r>
      <w:r>
        <w:rPr>
          <w:rFonts w:eastAsia="SimSun" w:cs="Arial"/>
          <w:color w:val="000000" w:themeColor="text1"/>
          <w:kern w:val="0"/>
          <w:sz w:val="24"/>
          <w:shd w:val="clear" w:color="auto" w:fill="FFFFFF"/>
          <w:lang w:bidi="ar"/>
        </w:rPr>
        <w:t>(3), 2694-2726.</w:t>
      </w:r>
      <w:r>
        <w:rPr>
          <w:rFonts w:eastAsia="SimSun" w:cs="Arial" w:hint="eastAsia"/>
          <w:color w:val="000000" w:themeColor="text1"/>
          <w:kern w:val="0"/>
          <w:sz w:val="24"/>
          <w:shd w:val="clear" w:color="auto" w:fill="FFFFFF"/>
          <w:lang w:bidi="ar"/>
        </w:rPr>
        <w:t xml:space="preserve"> </w:t>
      </w:r>
      <w:hyperlink r:id="rId22" w:history="1">
        <w:r>
          <w:rPr>
            <w:rStyle w:val="Hyperlink"/>
            <w:rFonts w:eastAsia="SimSun" w:cs="Arial" w:hint="eastAsia"/>
            <w:color w:val="000000" w:themeColor="text1"/>
            <w:kern w:val="0"/>
            <w:sz w:val="24"/>
            <w:shd w:val="clear" w:color="auto" w:fill="FFFFFF"/>
            <w:lang w:bidi="ar"/>
          </w:rPr>
          <w:t>https://doi.org/10.15295/bmij.v8i3.1540</w:t>
        </w:r>
      </w:hyperlink>
    </w:p>
    <w:p w14:paraId="4429E1B4" w14:textId="77777777"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lang w:bidi="ar"/>
        </w:rPr>
        <w:t xml:space="preserve">Teresi, J. A., Yu, X., Stewart, A. L., &amp; Hays, R. D. (2022). Guidelines for designing and evaluating feasibility pilot studies. </w:t>
      </w:r>
      <w:r w:rsidRPr="00167A0D">
        <w:rPr>
          <w:rFonts w:eastAsia="SimSun" w:cs="Arial"/>
          <w:i/>
          <w:iCs/>
          <w:color w:val="000000" w:themeColor="text1"/>
          <w:kern w:val="0"/>
          <w:sz w:val="24"/>
          <w:highlight w:val="cyan"/>
          <w:lang w:bidi="ar"/>
        </w:rPr>
        <w:t>Medical care</w:t>
      </w:r>
      <w:r>
        <w:rPr>
          <w:rFonts w:eastAsia="SimSun" w:cs="Arial"/>
          <w:color w:val="000000" w:themeColor="text1"/>
          <w:kern w:val="0"/>
          <w:sz w:val="24"/>
          <w:lang w:bidi="ar"/>
        </w:rPr>
        <w:t xml:space="preserve">, </w:t>
      </w:r>
      <w:r w:rsidRPr="00167A0D">
        <w:rPr>
          <w:rFonts w:eastAsia="SimSun" w:cs="Arial"/>
          <w:i/>
          <w:iCs/>
          <w:color w:val="000000" w:themeColor="text1"/>
          <w:kern w:val="0"/>
          <w:sz w:val="24"/>
          <w:highlight w:val="cyan"/>
          <w:lang w:bidi="ar"/>
        </w:rPr>
        <w:t>60</w:t>
      </w:r>
      <w:r>
        <w:rPr>
          <w:rFonts w:eastAsia="SimSun" w:cs="Arial"/>
          <w:color w:val="000000" w:themeColor="text1"/>
          <w:kern w:val="0"/>
          <w:sz w:val="24"/>
          <w:lang w:bidi="ar"/>
        </w:rPr>
        <w:t xml:space="preserve">(1), 95-103.  </w:t>
      </w:r>
      <w:r>
        <w:rPr>
          <w:rFonts w:eastAsia="SimSun" w:cs="Arial" w:hint="eastAsia"/>
          <w:color w:val="000000" w:themeColor="text1"/>
          <w:kern w:val="0"/>
          <w:sz w:val="24"/>
          <w:lang w:bidi="ar"/>
        </w:rPr>
        <w:t>https://doi.org/</w:t>
      </w:r>
      <w:r>
        <w:rPr>
          <w:rFonts w:eastAsia="SimSun" w:cs="Arial"/>
          <w:color w:val="000000" w:themeColor="text1"/>
          <w:kern w:val="0"/>
          <w:sz w:val="24"/>
          <w:lang w:bidi="ar"/>
        </w:rPr>
        <w:t>10.1097/MLR.0000000000001664</w:t>
      </w:r>
    </w:p>
    <w:p w14:paraId="15C481EC" w14:textId="77777777" w:rsidR="000574EE" w:rsidRDefault="00AC3F5F">
      <w:pPr>
        <w:pStyle w:val="NormalWeb"/>
        <w:widowControl/>
        <w:spacing w:beforeAutospacing="0" w:afterAutospacing="0"/>
        <w:ind w:left="480" w:hangingChars="200" w:hanging="480"/>
        <w:jc w:val="both"/>
        <w:rPr>
          <w:rFonts w:eastAsia="SimSun"/>
          <w:color w:val="000000" w:themeColor="text1"/>
        </w:rPr>
      </w:pPr>
      <w:r>
        <w:rPr>
          <w:rFonts w:eastAsia="SimSun" w:cs="Arial"/>
          <w:color w:val="000000" w:themeColor="text1"/>
          <w:shd w:val="clear" w:color="auto" w:fill="FFFFFF"/>
          <w:lang w:bidi="ar"/>
        </w:rPr>
        <w:t>Tóth</w:t>
      </w:r>
      <w:r>
        <w:rPr>
          <w:rFonts w:eastAsia="TimesNewRomanPSMT" w:cs="TimesNewRomanPSMT"/>
          <w:color w:val="000000" w:themeColor="text1"/>
        </w:rPr>
        <w:t xml:space="preserve">, Z. (2008). A foreign language anxiety scale for Hungarian learners of English. </w:t>
      </w:r>
      <w:proofErr w:type="spellStart"/>
      <w:r>
        <w:rPr>
          <w:rFonts w:eastAsia="TimesNewRomanPS" w:cs="TimesNewRomanPS"/>
          <w:i/>
          <w:iCs/>
          <w:color w:val="000000" w:themeColor="text1"/>
        </w:rPr>
        <w:t>WoPal</w:t>
      </w:r>
      <w:proofErr w:type="spellEnd"/>
      <w:r>
        <w:rPr>
          <w:rFonts w:eastAsia="TimesNewRomanPS" w:cs="TimesNewRomanPS"/>
          <w:i/>
          <w:iCs/>
          <w:color w:val="000000" w:themeColor="text1"/>
        </w:rPr>
        <w:t>, 2</w:t>
      </w:r>
      <w:r>
        <w:rPr>
          <w:rFonts w:eastAsia="TimesNewRomanPSMT" w:cs="TimesNewRomanPSMT"/>
          <w:color w:val="000000" w:themeColor="text1"/>
        </w:rPr>
        <w:t>, 55-78.</w:t>
      </w:r>
      <w:r>
        <w:rPr>
          <w:rFonts w:eastAsia="SimSun" w:cs="TimesNewRomanPSMT" w:hint="eastAsia"/>
          <w:color w:val="000000" w:themeColor="text1"/>
        </w:rPr>
        <w:t xml:space="preserve"> https://doi.org/10.61425/wplp.2008.02.55.78</w:t>
      </w:r>
    </w:p>
    <w:p w14:paraId="2EB8F1CF" w14:textId="77777777" w:rsidR="000574EE" w:rsidRDefault="00AC3F5F">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Tran, T. Q. (2020). EFL Students' Attitudes towards Learner Autonomy in English Vocabulary Learning. </w:t>
      </w:r>
      <w:r>
        <w:rPr>
          <w:rFonts w:eastAsia="SimSun" w:cs="Arial"/>
          <w:i/>
          <w:iCs/>
          <w:color w:val="000000" w:themeColor="text1"/>
          <w:kern w:val="0"/>
          <w:sz w:val="24"/>
          <w:lang w:bidi="ar"/>
        </w:rPr>
        <w:t>English Language Teaching Educational Journal</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3</w:t>
      </w:r>
      <w:r>
        <w:rPr>
          <w:rFonts w:eastAsia="SimSun" w:cs="Arial"/>
          <w:color w:val="000000" w:themeColor="text1"/>
          <w:kern w:val="0"/>
          <w:sz w:val="24"/>
          <w:shd w:val="clear" w:color="auto" w:fill="FFFFFF"/>
          <w:lang w:bidi="ar"/>
        </w:rPr>
        <w:t>(2), 86-94.</w:t>
      </w:r>
      <w:r>
        <w:rPr>
          <w:rFonts w:eastAsia="SimSun" w:cs="Arial" w:hint="eastAsia"/>
          <w:color w:val="000000" w:themeColor="text1"/>
          <w:kern w:val="0"/>
          <w:sz w:val="24"/>
          <w:shd w:val="clear" w:color="auto" w:fill="FFFFFF"/>
          <w:lang w:bidi="ar"/>
        </w:rPr>
        <w:t xml:space="preserve"> https://doi.org/10.12928/eltej.v3i2.2361 </w:t>
      </w:r>
    </w:p>
    <w:p w14:paraId="08215916" w14:textId="77777777" w:rsidR="000574EE" w:rsidRDefault="00AC3F5F">
      <w:pPr>
        <w:widowControl/>
        <w:ind w:left="480" w:hangingChars="200" w:hanging="480"/>
        <w:rPr>
          <w:rFonts w:eastAsia="SimSun" w:cs="Arial"/>
          <w:color w:val="000000" w:themeColor="text1"/>
          <w:kern w:val="0"/>
          <w:sz w:val="24"/>
          <w:shd w:val="clear" w:color="auto" w:fill="FFFFFF"/>
          <w:lang w:bidi="ar"/>
        </w:rPr>
      </w:pPr>
      <w:proofErr w:type="spellStart"/>
      <w:r>
        <w:rPr>
          <w:rFonts w:eastAsia="SimSun" w:cs="Arial"/>
          <w:color w:val="000000" w:themeColor="text1"/>
          <w:kern w:val="0"/>
          <w:sz w:val="24"/>
          <w:shd w:val="clear" w:color="auto" w:fill="FFFFFF"/>
          <w:lang w:bidi="ar"/>
        </w:rPr>
        <w:t>Vakilifard</w:t>
      </w:r>
      <w:proofErr w:type="spellEnd"/>
      <w:r>
        <w:rPr>
          <w:rFonts w:eastAsia="SimSun" w:cs="Arial"/>
          <w:color w:val="000000" w:themeColor="text1"/>
          <w:kern w:val="0"/>
          <w:sz w:val="24"/>
          <w:shd w:val="clear" w:color="auto" w:fill="FFFFFF"/>
          <w:lang w:bidi="ar"/>
        </w:rPr>
        <w:t xml:space="preserve">, A., </w:t>
      </w:r>
      <w:proofErr w:type="spellStart"/>
      <w:r>
        <w:rPr>
          <w:rFonts w:eastAsia="SimSun" w:cs="Arial"/>
          <w:color w:val="000000" w:themeColor="text1"/>
          <w:kern w:val="0"/>
          <w:sz w:val="24"/>
          <w:shd w:val="clear" w:color="auto" w:fill="FFFFFF"/>
          <w:lang w:bidi="ar"/>
        </w:rPr>
        <w:t>Khaleghizadeh</w:t>
      </w:r>
      <w:proofErr w:type="spellEnd"/>
      <w:r>
        <w:rPr>
          <w:rFonts w:eastAsia="SimSun" w:cs="Arial"/>
          <w:color w:val="000000" w:themeColor="text1"/>
          <w:kern w:val="0"/>
          <w:sz w:val="24"/>
          <w:shd w:val="clear" w:color="auto" w:fill="FFFFFF"/>
          <w:lang w:bidi="ar"/>
        </w:rPr>
        <w:t xml:space="preserve">, S., &amp; </w:t>
      </w:r>
      <w:proofErr w:type="spellStart"/>
      <w:r>
        <w:rPr>
          <w:rFonts w:eastAsia="SimSun" w:cs="Arial"/>
          <w:color w:val="000000" w:themeColor="text1"/>
          <w:kern w:val="0"/>
          <w:sz w:val="24"/>
          <w:shd w:val="clear" w:color="auto" w:fill="FFFFFF"/>
          <w:lang w:bidi="ar"/>
        </w:rPr>
        <w:t>Golpour</w:t>
      </w:r>
      <w:proofErr w:type="spellEnd"/>
      <w:r>
        <w:rPr>
          <w:rFonts w:eastAsia="SimSun" w:cs="Arial"/>
          <w:color w:val="000000" w:themeColor="text1"/>
          <w:kern w:val="0"/>
          <w:sz w:val="24"/>
          <w:shd w:val="clear" w:color="auto" w:fill="FFFFFF"/>
          <w:lang w:bidi="ar"/>
        </w:rPr>
        <w:t>, L. (2021). The Investigation of Integrative, Instrumental, Intrinsic and Extrinsic Motivation of Language learners in the foreign settings. </w:t>
      </w:r>
      <w:r>
        <w:rPr>
          <w:rFonts w:eastAsia="SimSun" w:cs="Arial"/>
          <w:i/>
          <w:iCs/>
          <w:color w:val="000000" w:themeColor="text1"/>
          <w:kern w:val="0"/>
          <w:sz w:val="24"/>
          <w:lang w:bidi="ar"/>
        </w:rPr>
        <w:t>Journal of English Language Teaching and Learning</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13</w:t>
      </w:r>
      <w:r>
        <w:rPr>
          <w:rFonts w:eastAsia="SimSun" w:cs="Arial"/>
          <w:color w:val="000000" w:themeColor="text1"/>
          <w:kern w:val="0"/>
          <w:sz w:val="24"/>
          <w:shd w:val="clear" w:color="auto" w:fill="FFFFFF"/>
          <w:lang w:bidi="ar"/>
        </w:rPr>
        <w:t>(27), 417-443.</w:t>
      </w:r>
      <w:r>
        <w:rPr>
          <w:rFonts w:eastAsia="SimSun" w:cs="Arial" w:hint="eastAsia"/>
          <w:color w:val="000000" w:themeColor="text1"/>
          <w:kern w:val="0"/>
          <w:sz w:val="24"/>
          <w:shd w:val="clear" w:color="auto" w:fill="FFFFFF"/>
          <w:lang w:bidi="ar"/>
        </w:rPr>
        <w:t xml:space="preserve"> </w:t>
      </w:r>
      <w:hyperlink r:id="rId23" w:history="1">
        <w:r>
          <w:rPr>
            <w:rStyle w:val="Hyperlink"/>
            <w:rFonts w:eastAsia="SimSun" w:cs="Arial" w:hint="eastAsia"/>
            <w:color w:val="000000" w:themeColor="text1"/>
            <w:kern w:val="0"/>
            <w:sz w:val="24"/>
            <w:shd w:val="clear" w:color="auto" w:fill="FFFFFF"/>
            <w:lang w:bidi="ar"/>
          </w:rPr>
          <w:t>https://doi.org/10.22034/elt.2021.43130.2324</w:t>
        </w:r>
      </w:hyperlink>
    </w:p>
    <w:p w14:paraId="02634E07" w14:textId="77777777" w:rsidR="000574EE" w:rsidRDefault="00AC3F5F">
      <w:pPr>
        <w:widowControl/>
        <w:ind w:left="480" w:hangingChars="200" w:hanging="480"/>
        <w:rPr>
          <w:rFonts w:eastAsia="SimSun" w:cs="Arial"/>
          <w:color w:val="000000" w:themeColor="text1"/>
          <w:kern w:val="0"/>
          <w:sz w:val="24"/>
          <w:lang w:bidi="ar"/>
        </w:rPr>
      </w:pPr>
      <w:proofErr w:type="spellStart"/>
      <w:r>
        <w:rPr>
          <w:rFonts w:eastAsia="SimSun" w:cs="Arial"/>
          <w:color w:val="000000" w:themeColor="text1"/>
          <w:kern w:val="0"/>
          <w:sz w:val="24"/>
          <w:lang w:bidi="ar"/>
        </w:rPr>
        <w:t>Vattøy</w:t>
      </w:r>
      <w:proofErr w:type="spellEnd"/>
      <w:r>
        <w:rPr>
          <w:rFonts w:eastAsia="SimSun" w:cs="Arial"/>
          <w:color w:val="000000" w:themeColor="text1"/>
          <w:kern w:val="0"/>
          <w:sz w:val="24"/>
          <w:lang w:bidi="ar"/>
        </w:rPr>
        <w:t>, K. D. (2020). Teachers’ beliefs about feedback practice as related to student self-regulation, self-efficacy, and language skills in teaching English as a foreign language.</w:t>
      </w:r>
      <w:r>
        <w:rPr>
          <w:rFonts w:eastAsia="SimSun" w:cs="Arial"/>
          <w:i/>
          <w:iCs/>
          <w:color w:val="000000" w:themeColor="text1"/>
          <w:kern w:val="0"/>
          <w:sz w:val="24"/>
          <w:lang w:bidi="ar"/>
        </w:rPr>
        <w:t xml:space="preserve"> Studies in Educational Evaluation, 64, </w:t>
      </w:r>
      <w:r>
        <w:rPr>
          <w:rFonts w:eastAsia="SimSun" w:cs="Arial"/>
          <w:color w:val="000000" w:themeColor="text1"/>
          <w:kern w:val="0"/>
          <w:sz w:val="24"/>
          <w:lang w:bidi="ar"/>
        </w:rPr>
        <w:t>100828.</w:t>
      </w:r>
      <w:r>
        <w:rPr>
          <w:rFonts w:eastAsia="SimSun" w:cs="Arial" w:hint="eastAsia"/>
          <w:color w:val="000000" w:themeColor="text1"/>
          <w:kern w:val="0"/>
          <w:sz w:val="24"/>
          <w:lang w:bidi="ar"/>
        </w:rPr>
        <w:t xml:space="preserve"> </w:t>
      </w:r>
      <w:hyperlink r:id="rId24" w:history="1">
        <w:r>
          <w:rPr>
            <w:rFonts w:eastAsia="SimSun" w:cs="Arial" w:hint="eastAsia"/>
            <w:color w:val="000000" w:themeColor="text1"/>
            <w:kern w:val="0"/>
            <w:sz w:val="24"/>
            <w:lang w:bidi="ar"/>
          </w:rPr>
          <w:t>https://doi.org/10.1016/j.stueduc.2019.100828</w:t>
        </w:r>
      </w:hyperlink>
    </w:p>
    <w:p w14:paraId="5DDDF2D9" w14:textId="15999A43" w:rsidR="0081380D" w:rsidRDefault="0081380D">
      <w:pPr>
        <w:widowControl/>
        <w:ind w:left="480" w:hangingChars="200" w:hanging="480"/>
        <w:rPr>
          <w:rFonts w:eastAsia="SimSun" w:cs="Arial"/>
          <w:color w:val="000000" w:themeColor="text1"/>
          <w:kern w:val="0"/>
          <w:sz w:val="24"/>
          <w:shd w:val="clear" w:color="auto" w:fill="FFFFFF"/>
          <w:lang w:bidi="ar"/>
        </w:rPr>
      </w:pPr>
      <w:r w:rsidRPr="0081380D">
        <w:rPr>
          <w:rFonts w:eastAsia="SimSun" w:cs="Arial"/>
          <w:color w:val="000000" w:themeColor="text1"/>
          <w:kern w:val="0"/>
          <w:sz w:val="24"/>
          <w:highlight w:val="cyan"/>
          <w:shd w:val="clear" w:color="auto" w:fill="FFFFFF"/>
          <w:lang w:bidi="ar"/>
        </w:rPr>
        <w:t xml:space="preserve">Wael, A., </w:t>
      </w:r>
      <w:proofErr w:type="spellStart"/>
      <w:r w:rsidRPr="0081380D">
        <w:rPr>
          <w:rFonts w:eastAsia="SimSun" w:cs="Arial"/>
          <w:color w:val="000000" w:themeColor="text1"/>
          <w:kern w:val="0"/>
          <w:sz w:val="24"/>
          <w:highlight w:val="cyan"/>
          <w:shd w:val="clear" w:color="auto" w:fill="FFFFFF"/>
          <w:lang w:bidi="ar"/>
        </w:rPr>
        <w:t>Asnur</w:t>
      </w:r>
      <w:proofErr w:type="spellEnd"/>
      <w:r w:rsidRPr="0081380D">
        <w:rPr>
          <w:rFonts w:eastAsia="SimSun" w:cs="Arial"/>
          <w:color w:val="000000" w:themeColor="text1"/>
          <w:kern w:val="0"/>
          <w:sz w:val="24"/>
          <w:highlight w:val="cyan"/>
          <w:shd w:val="clear" w:color="auto" w:fill="FFFFFF"/>
          <w:lang w:bidi="ar"/>
        </w:rPr>
        <w:t>, M. N. A., &amp; Ibrahim, I. (2018). Exploring Students' Learning Strategies in Speaking Performance. </w:t>
      </w:r>
      <w:r w:rsidRPr="0081380D">
        <w:rPr>
          <w:rFonts w:eastAsia="SimSun" w:cs="Arial"/>
          <w:i/>
          <w:iCs/>
          <w:color w:val="000000" w:themeColor="text1"/>
          <w:kern w:val="0"/>
          <w:sz w:val="24"/>
          <w:highlight w:val="cyan"/>
          <w:shd w:val="clear" w:color="auto" w:fill="FFFFFF"/>
          <w:lang w:bidi="ar"/>
        </w:rPr>
        <w:t>International Journal of Language Education</w:t>
      </w:r>
      <w:r w:rsidRPr="0081380D">
        <w:rPr>
          <w:rFonts w:eastAsia="SimSun" w:cs="Arial"/>
          <w:color w:val="000000" w:themeColor="text1"/>
          <w:kern w:val="0"/>
          <w:sz w:val="24"/>
          <w:highlight w:val="cyan"/>
          <w:shd w:val="clear" w:color="auto" w:fill="FFFFFF"/>
          <w:lang w:bidi="ar"/>
        </w:rPr>
        <w:t>, </w:t>
      </w:r>
      <w:r w:rsidRPr="0081380D">
        <w:rPr>
          <w:rFonts w:eastAsia="SimSun" w:cs="Arial"/>
          <w:i/>
          <w:iCs/>
          <w:color w:val="000000" w:themeColor="text1"/>
          <w:kern w:val="0"/>
          <w:sz w:val="24"/>
          <w:highlight w:val="cyan"/>
          <w:shd w:val="clear" w:color="auto" w:fill="FFFFFF"/>
          <w:lang w:bidi="ar"/>
        </w:rPr>
        <w:t>2</w:t>
      </w:r>
      <w:r w:rsidRPr="0081380D">
        <w:rPr>
          <w:rFonts w:eastAsia="SimSun" w:cs="Arial"/>
          <w:color w:val="000000" w:themeColor="text1"/>
          <w:kern w:val="0"/>
          <w:sz w:val="24"/>
          <w:highlight w:val="cyan"/>
          <w:shd w:val="clear" w:color="auto" w:fill="FFFFFF"/>
          <w:lang w:bidi="ar"/>
        </w:rPr>
        <w:t>(1), 65-71. DOI: 10.26858/ijole.v2i1.5238</w:t>
      </w:r>
    </w:p>
    <w:p w14:paraId="36B51C63" w14:textId="77777777" w:rsidR="000574EE" w:rsidRDefault="00AC3F5F">
      <w:pPr>
        <w:widowControl/>
        <w:ind w:left="480" w:hangingChars="200" w:hanging="480"/>
        <w:rPr>
          <w:color w:val="000000" w:themeColor="text1"/>
          <w:sz w:val="24"/>
        </w:rPr>
      </w:pPr>
      <w:proofErr w:type="spellStart"/>
      <w:r>
        <w:rPr>
          <w:rFonts w:eastAsia="SimSun" w:cs="Arial"/>
          <w:color w:val="000000" w:themeColor="text1"/>
          <w:kern w:val="0"/>
          <w:sz w:val="24"/>
          <w:shd w:val="clear" w:color="auto" w:fill="FFFFFF"/>
          <w:lang w:bidi="ar"/>
        </w:rPr>
        <w:t>Widianti</w:t>
      </w:r>
      <w:proofErr w:type="spellEnd"/>
      <w:r>
        <w:rPr>
          <w:rFonts w:eastAsia="SimSun" w:cs="Arial"/>
          <w:color w:val="000000" w:themeColor="text1"/>
          <w:kern w:val="0"/>
          <w:sz w:val="24"/>
          <w:shd w:val="clear" w:color="auto" w:fill="FFFFFF"/>
          <w:lang w:bidi="ar"/>
        </w:rPr>
        <w:t>, N. H. (2024). </w:t>
      </w:r>
      <w:r>
        <w:rPr>
          <w:rFonts w:eastAsia="SimSun" w:cs="Arial"/>
          <w:i/>
          <w:iCs/>
          <w:color w:val="000000" w:themeColor="text1"/>
          <w:kern w:val="0"/>
          <w:sz w:val="24"/>
          <w:lang w:bidi="ar"/>
        </w:rPr>
        <w:t>Oral Communication Strategy of EFL College Learners</w:t>
      </w:r>
      <w:r>
        <w:rPr>
          <w:rFonts w:eastAsia="SimSun" w:cs="Arial" w:hint="eastAsia"/>
          <w:i/>
          <w:iCs/>
          <w:color w:val="000000" w:themeColor="text1"/>
          <w:kern w:val="0"/>
          <w:sz w:val="24"/>
          <w:lang w:bidi="ar"/>
        </w:rPr>
        <w:t>.</w:t>
      </w:r>
      <w:r>
        <w:rPr>
          <w:rFonts w:eastAsia="SimSun" w:cs="Arial"/>
          <w:color w:val="000000" w:themeColor="text1"/>
          <w:kern w:val="0"/>
          <w:sz w:val="24"/>
          <w:shd w:val="clear" w:color="auto" w:fill="FFFFFF"/>
          <w:lang w:bidi="ar"/>
        </w:rPr>
        <w:t> </w:t>
      </w:r>
      <w:proofErr w:type="spellStart"/>
      <w:r>
        <w:rPr>
          <w:rFonts w:eastAsia="SimSun" w:cs="Arial"/>
          <w:color w:val="000000" w:themeColor="text1"/>
          <w:kern w:val="0"/>
          <w:sz w:val="24"/>
          <w:shd w:val="clear" w:color="auto" w:fill="FFFFFF"/>
          <w:lang w:bidi="ar"/>
        </w:rPr>
        <w:t>Sleman</w:t>
      </w:r>
      <w:proofErr w:type="spellEnd"/>
      <w:r>
        <w:rPr>
          <w:rFonts w:eastAsia="SimSun" w:cs="Arial" w:hint="eastAsia"/>
          <w:color w:val="000000" w:themeColor="text1"/>
          <w:kern w:val="0"/>
          <w:sz w:val="24"/>
          <w:shd w:val="clear" w:color="auto" w:fill="FFFFFF"/>
          <w:lang w:bidi="ar"/>
        </w:rPr>
        <w:t xml:space="preserve">, </w:t>
      </w:r>
      <w:proofErr w:type="spellStart"/>
      <w:r>
        <w:rPr>
          <w:rFonts w:eastAsia="SimSun" w:cs="Arial" w:hint="eastAsia"/>
          <w:color w:val="000000" w:themeColor="text1"/>
          <w:kern w:val="0"/>
          <w:sz w:val="24"/>
          <w:shd w:val="clear" w:color="auto" w:fill="FFFFFF"/>
          <w:lang w:bidi="ar"/>
        </w:rPr>
        <w:t>Phd</w:t>
      </w:r>
      <w:proofErr w:type="spellEnd"/>
      <w:r>
        <w:rPr>
          <w:rFonts w:eastAsia="SimSun" w:cs="Arial" w:hint="eastAsia"/>
          <w:color w:val="000000" w:themeColor="text1"/>
          <w:kern w:val="0"/>
          <w:sz w:val="24"/>
          <w:shd w:val="clear" w:color="auto" w:fill="FFFFFF"/>
          <w:lang w:bidi="ar"/>
        </w:rPr>
        <w:t>:</w:t>
      </w:r>
      <w:r>
        <w:rPr>
          <w:rFonts w:eastAsia="SimSun" w:cs="Arial"/>
          <w:color w:val="000000" w:themeColor="text1"/>
          <w:kern w:val="0"/>
          <w:sz w:val="24"/>
          <w:shd w:val="clear" w:color="auto" w:fill="FFFFFF"/>
          <w:lang w:bidi="ar"/>
        </w:rPr>
        <w:t xml:space="preserve"> </w:t>
      </w:r>
      <w:proofErr w:type="spellStart"/>
      <w:r>
        <w:rPr>
          <w:rFonts w:eastAsia="SimSun" w:cs="Arial"/>
          <w:color w:val="000000" w:themeColor="text1"/>
          <w:kern w:val="0"/>
          <w:sz w:val="24"/>
          <w:shd w:val="clear" w:color="auto" w:fill="FFFFFF"/>
          <w:lang w:bidi="ar"/>
        </w:rPr>
        <w:t>Universitas</w:t>
      </w:r>
      <w:proofErr w:type="spellEnd"/>
      <w:r>
        <w:rPr>
          <w:rFonts w:eastAsia="SimSun" w:cs="Arial"/>
          <w:color w:val="000000" w:themeColor="text1"/>
          <w:kern w:val="0"/>
          <w:sz w:val="24"/>
          <w:shd w:val="clear" w:color="auto" w:fill="FFFFFF"/>
          <w:lang w:bidi="ar"/>
        </w:rPr>
        <w:t xml:space="preserve"> Islam Indonesia).</w:t>
      </w:r>
    </w:p>
    <w:p w14:paraId="5D0EE47F" w14:textId="752C70BD"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shd w:val="clear" w:color="auto" w:fill="FFFFFF"/>
          <w:lang w:bidi="ar"/>
        </w:rPr>
        <w:t xml:space="preserve">Wright, C., </w:t>
      </w:r>
      <w:proofErr w:type="spellStart"/>
      <w:r>
        <w:rPr>
          <w:rFonts w:eastAsia="SimSun" w:cs="Arial"/>
          <w:color w:val="000000" w:themeColor="text1"/>
          <w:kern w:val="0"/>
          <w:sz w:val="24"/>
          <w:shd w:val="clear" w:color="auto" w:fill="FFFFFF"/>
          <w:lang w:bidi="ar"/>
        </w:rPr>
        <w:t>Tsakalaki</w:t>
      </w:r>
      <w:proofErr w:type="spellEnd"/>
      <w:r>
        <w:rPr>
          <w:rFonts w:eastAsia="SimSun" w:cs="Arial"/>
          <w:color w:val="000000" w:themeColor="text1"/>
          <w:kern w:val="0"/>
          <w:sz w:val="24"/>
          <w:shd w:val="clear" w:color="auto" w:fill="FFFFFF"/>
          <w:lang w:bidi="ar"/>
        </w:rPr>
        <w:t>, A., &amp; Lin, M. (2022). “Now I hear what you say”-how short EAP courses can foster successful academic interactional strategies. </w:t>
      </w:r>
      <w:r>
        <w:rPr>
          <w:rFonts w:eastAsia="SimSun" w:cs="Arial"/>
          <w:i/>
          <w:iCs/>
          <w:color w:val="000000" w:themeColor="text1"/>
          <w:kern w:val="0"/>
          <w:sz w:val="24"/>
          <w:lang w:bidi="ar"/>
        </w:rPr>
        <w:t>Journal of English for Academic Purposes</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55</w:t>
      </w:r>
      <w:r>
        <w:rPr>
          <w:rFonts w:eastAsia="SimSun" w:cs="Arial"/>
          <w:color w:val="000000" w:themeColor="text1"/>
          <w:kern w:val="0"/>
          <w:sz w:val="24"/>
          <w:shd w:val="clear" w:color="auto" w:fill="FFFFFF"/>
          <w:lang w:bidi="ar"/>
        </w:rPr>
        <w:t xml:space="preserve">, </w:t>
      </w:r>
      <w:r w:rsidRPr="00167A0D">
        <w:rPr>
          <w:rFonts w:eastAsia="SimSun" w:cs="Arial"/>
          <w:color w:val="000000" w:themeColor="text1"/>
          <w:kern w:val="0"/>
          <w:sz w:val="24"/>
          <w:highlight w:val="cyan"/>
          <w:shd w:val="clear" w:color="auto" w:fill="FFFFFF"/>
          <w:lang w:bidi="ar"/>
        </w:rPr>
        <w:t>1</w:t>
      </w:r>
      <w:r w:rsidR="00167A0D" w:rsidRPr="00167A0D">
        <w:rPr>
          <w:rFonts w:eastAsia="SimSun" w:cs="Arial"/>
          <w:color w:val="000000" w:themeColor="text1"/>
          <w:kern w:val="0"/>
          <w:sz w:val="24"/>
          <w:highlight w:val="cyan"/>
          <w:shd w:val="clear" w:color="auto" w:fill="FFFFFF"/>
          <w:lang w:bidi="ar"/>
        </w:rPr>
        <w:t>-9</w:t>
      </w:r>
      <w:r>
        <w:rPr>
          <w:rFonts w:eastAsia="SimSun" w:cs="Arial"/>
          <w:color w:val="000000" w:themeColor="text1"/>
          <w:kern w:val="0"/>
          <w:sz w:val="24"/>
          <w:shd w:val="clear" w:color="auto" w:fill="FFFFFF"/>
          <w:lang w:bidi="ar"/>
        </w:rPr>
        <w:t>.</w:t>
      </w:r>
      <w:r>
        <w:rPr>
          <w:rFonts w:eastAsia="SimSun" w:cs="Arial" w:hint="eastAsia"/>
          <w:color w:val="000000" w:themeColor="text1"/>
          <w:kern w:val="0"/>
          <w:sz w:val="24"/>
          <w:shd w:val="clear" w:color="auto" w:fill="FFFFFF"/>
          <w:lang w:bidi="ar"/>
        </w:rPr>
        <w:t xml:space="preserve"> </w:t>
      </w:r>
      <w:hyperlink r:id="rId25" w:history="1">
        <w:r>
          <w:rPr>
            <w:rStyle w:val="Hyperlink"/>
            <w:rFonts w:eastAsia="SimSun" w:cs="Arial" w:hint="eastAsia"/>
            <w:color w:val="000000" w:themeColor="text1"/>
            <w:kern w:val="0"/>
            <w:sz w:val="24"/>
            <w:shd w:val="clear" w:color="auto" w:fill="FFFFFF"/>
            <w:lang w:bidi="ar"/>
          </w:rPr>
          <w:t>https://doi.org/10.1016/j.jeap.2021.101074</w:t>
        </w:r>
      </w:hyperlink>
    </w:p>
    <w:p w14:paraId="1F60C783" w14:textId="77777777" w:rsidR="000574EE" w:rsidRDefault="00AC3F5F">
      <w:pPr>
        <w:widowControl/>
        <w:ind w:left="480" w:hangingChars="200" w:hanging="480"/>
        <w:rPr>
          <w:rFonts w:eastAsia="SimSun" w:cs="Arial"/>
          <w:color w:val="000000" w:themeColor="text1"/>
          <w:kern w:val="0"/>
          <w:sz w:val="24"/>
          <w:lang w:bidi="ar"/>
        </w:rPr>
      </w:pPr>
      <w:r>
        <w:rPr>
          <w:rFonts w:eastAsia="SimSun" w:cs="Arial" w:hint="eastAsia"/>
          <w:color w:val="000000" w:themeColor="text1"/>
          <w:kern w:val="0"/>
          <w:sz w:val="24"/>
          <w:lang w:bidi="ar"/>
        </w:rPr>
        <w:t>Yang, Y. (2023). Assessing alignment between curriculum standards and teachers</w:t>
      </w:r>
      <w:r>
        <w:rPr>
          <w:rFonts w:eastAsia="SimSun" w:cs="Arial"/>
          <w:color w:val="000000" w:themeColor="text1"/>
          <w:kern w:val="0"/>
          <w:sz w:val="24"/>
          <w:lang w:bidi="ar"/>
        </w:rPr>
        <w:t>’</w:t>
      </w:r>
      <w:r>
        <w:rPr>
          <w:rFonts w:eastAsia="SimSun" w:cs="Arial" w:hint="eastAsia"/>
          <w:color w:val="000000" w:themeColor="text1"/>
          <w:kern w:val="0"/>
          <w:sz w:val="24"/>
          <w:lang w:bidi="ar"/>
        </w:rPr>
        <w:t xml:space="preserve"> instructional practices in China</w:t>
      </w:r>
      <w:r>
        <w:rPr>
          <w:rFonts w:eastAsia="SimSun" w:cs="Arial"/>
          <w:color w:val="000000" w:themeColor="text1"/>
          <w:kern w:val="0"/>
          <w:sz w:val="24"/>
          <w:lang w:bidi="ar"/>
        </w:rPr>
        <w:t>’</w:t>
      </w:r>
      <w:r>
        <w:rPr>
          <w:rFonts w:eastAsia="SimSun" w:cs="Arial" w:hint="eastAsia"/>
          <w:color w:val="000000" w:themeColor="text1"/>
          <w:kern w:val="0"/>
          <w:sz w:val="24"/>
          <w:lang w:bidi="ar"/>
        </w:rPr>
        <w:t xml:space="preserve">s school music education. </w:t>
      </w:r>
      <w:r>
        <w:rPr>
          <w:rFonts w:eastAsia="SimSun" w:cs="Arial" w:hint="eastAsia"/>
          <w:i/>
          <w:iCs/>
          <w:color w:val="000000" w:themeColor="text1"/>
          <w:kern w:val="0"/>
          <w:sz w:val="24"/>
          <w:lang w:bidi="ar"/>
        </w:rPr>
        <w:t>Research Studies in Music Education, 45</w:t>
      </w:r>
      <w:r>
        <w:rPr>
          <w:rFonts w:eastAsia="SimSun" w:cs="Arial" w:hint="eastAsia"/>
          <w:color w:val="000000" w:themeColor="text1"/>
          <w:kern w:val="0"/>
          <w:sz w:val="24"/>
          <w:lang w:bidi="ar"/>
        </w:rPr>
        <w:t>(1), 56-76. https://doi.org/10.1177/1321103X221099852</w:t>
      </w:r>
    </w:p>
    <w:p w14:paraId="5ED2AB3A" w14:textId="77777777" w:rsidR="000574EE" w:rsidRDefault="00AC3F5F">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lang w:bidi="ar"/>
        </w:rPr>
        <w:t>Yao, Y., &amp; Du-Babcock, B. (2023). English as a lingua franca in Mainland China: An analysis of intercultural business communicative competence. </w:t>
      </w:r>
      <w:r>
        <w:rPr>
          <w:rFonts w:eastAsia="SimSun" w:cs="Arial"/>
          <w:i/>
          <w:iCs/>
          <w:color w:val="000000" w:themeColor="text1"/>
          <w:kern w:val="0"/>
          <w:sz w:val="24"/>
          <w:lang w:bidi="ar"/>
        </w:rPr>
        <w:t xml:space="preserve">International journal of business communication, 60(1), </w:t>
      </w:r>
      <w:r w:rsidRPr="00167A0D">
        <w:rPr>
          <w:rFonts w:eastAsia="SimSun" w:cs="Arial"/>
          <w:color w:val="000000" w:themeColor="text1"/>
          <w:kern w:val="0"/>
          <w:sz w:val="24"/>
          <w:highlight w:val="cyan"/>
          <w:lang w:bidi="ar"/>
        </w:rPr>
        <w:t>3-23</w:t>
      </w:r>
      <w:r>
        <w:rPr>
          <w:rFonts w:eastAsia="SimSun" w:cs="Arial"/>
          <w:i/>
          <w:iCs/>
          <w:color w:val="000000" w:themeColor="text1"/>
          <w:kern w:val="0"/>
          <w:sz w:val="24"/>
          <w:lang w:bidi="ar"/>
        </w:rPr>
        <w:t>.</w:t>
      </w:r>
      <w:r>
        <w:rPr>
          <w:rFonts w:eastAsia="SimSun" w:cs="Arial" w:hint="eastAsia"/>
          <w:i/>
          <w:iCs/>
          <w:color w:val="000000" w:themeColor="text1"/>
          <w:kern w:val="0"/>
          <w:sz w:val="24"/>
          <w:lang w:bidi="ar"/>
        </w:rPr>
        <w:t xml:space="preserve"> </w:t>
      </w:r>
      <w:r>
        <w:rPr>
          <w:rFonts w:eastAsia="SimSun" w:cs="Arial" w:hint="eastAsia"/>
          <w:color w:val="000000" w:themeColor="text1"/>
          <w:kern w:val="0"/>
          <w:sz w:val="24"/>
          <w:lang w:bidi="ar"/>
        </w:rPr>
        <w:t>https://doi.org/10.1177/2329488419898</w:t>
      </w:r>
    </w:p>
    <w:p w14:paraId="52FFCA94" w14:textId="77777777" w:rsidR="000574EE" w:rsidRDefault="00AC3F5F">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 xml:space="preserve">Yuliani, N. D., </w:t>
      </w:r>
      <w:proofErr w:type="spellStart"/>
      <w:r>
        <w:rPr>
          <w:rFonts w:eastAsia="SimSun" w:cs="Arial"/>
          <w:color w:val="000000" w:themeColor="text1"/>
          <w:kern w:val="0"/>
          <w:sz w:val="24"/>
          <w:shd w:val="clear" w:color="auto" w:fill="FFFFFF"/>
          <w:lang w:bidi="ar"/>
        </w:rPr>
        <w:t>Najmiah</w:t>
      </w:r>
      <w:proofErr w:type="spellEnd"/>
      <w:r>
        <w:rPr>
          <w:rFonts w:eastAsia="SimSun" w:cs="Arial"/>
          <w:color w:val="000000" w:themeColor="text1"/>
          <w:kern w:val="0"/>
          <w:sz w:val="24"/>
          <w:shd w:val="clear" w:color="auto" w:fill="FFFFFF"/>
          <w:lang w:bidi="ar"/>
        </w:rPr>
        <w:t xml:space="preserve">, L., Hamdani, B., &amp; </w:t>
      </w:r>
      <w:proofErr w:type="spellStart"/>
      <w:r>
        <w:rPr>
          <w:rFonts w:eastAsia="SimSun" w:cs="Arial"/>
          <w:color w:val="000000" w:themeColor="text1"/>
          <w:kern w:val="0"/>
          <w:sz w:val="24"/>
          <w:shd w:val="clear" w:color="auto" w:fill="FFFFFF"/>
          <w:lang w:bidi="ar"/>
        </w:rPr>
        <w:t>Pratolo</w:t>
      </w:r>
      <w:proofErr w:type="spellEnd"/>
      <w:r>
        <w:rPr>
          <w:rFonts w:eastAsia="SimSun" w:cs="Arial"/>
          <w:color w:val="000000" w:themeColor="text1"/>
          <w:kern w:val="0"/>
          <w:sz w:val="24"/>
          <w:shd w:val="clear" w:color="auto" w:fill="FFFFFF"/>
          <w:lang w:bidi="ar"/>
        </w:rPr>
        <w:t>, B. W. (2023). EFL students’ attitude toward English language learning. </w:t>
      </w:r>
      <w:r>
        <w:rPr>
          <w:rFonts w:eastAsia="SimSun" w:cs="Arial"/>
          <w:i/>
          <w:iCs/>
          <w:color w:val="000000" w:themeColor="text1"/>
          <w:kern w:val="0"/>
          <w:sz w:val="24"/>
          <w:lang w:bidi="ar"/>
        </w:rPr>
        <w:t>Journey: Journal of English Language and Pedagogy</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6</w:t>
      </w:r>
      <w:r>
        <w:rPr>
          <w:rFonts w:eastAsia="SimSun" w:cs="Arial"/>
          <w:color w:val="000000" w:themeColor="text1"/>
          <w:kern w:val="0"/>
          <w:sz w:val="24"/>
          <w:shd w:val="clear" w:color="auto" w:fill="FFFFFF"/>
          <w:lang w:bidi="ar"/>
        </w:rPr>
        <w:t>(1), 82-91.</w:t>
      </w:r>
      <w:r>
        <w:rPr>
          <w:rFonts w:eastAsia="SimSun" w:cs="Arial" w:hint="eastAsia"/>
          <w:color w:val="000000" w:themeColor="text1"/>
          <w:kern w:val="0"/>
          <w:sz w:val="24"/>
          <w:shd w:val="clear" w:color="auto" w:fill="FFFFFF"/>
          <w:lang w:bidi="ar"/>
        </w:rPr>
        <w:t xml:space="preserve"> https://doi.org/10.33503/journey.v6i1.2590 </w:t>
      </w:r>
    </w:p>
    <w:p w14:paraId="3A0B68EE" w14:textId="77777777" w:rsidR="000574EE" w:rsidRDefault="00AC3F5F">
      <w:pPr>
        <w:widowControl/>
        <w:ind w:left="480" w:hangingChars="200" w:hanging="480"/>
        <w:rPr>
          <w:rFonts w:eastAsia="SimSun" w:cs="Arial"/>
          <w:i/>
          <w:iCs/>
          <w:color w:val="000000" w:themeColor="text1"/>
          <w:kern w:val="0"/>
          <w:sz w:val="24"/>
          <w:lang w:bidi="ar"/>
        </w:rPr>
      </w:pPr>
      <w:r>
        <w:rPr>
          <w:rFonts w:eastAsia="SimSun" w:cs="Arial"/>
          <w:color w:val="000000" w:themeColor="text1"/>
          <w:kern w:val="0"/>
          <w:sz w:val="24"/>
          <w:shd w:val="clear" w:color="auto" w:fill="FFFFFF"/>
          <w:lang w:bidi="ar"/>
        </w:rPr>
        <w:t xml:space="preserve">Zubairi, A. M., &amp; </w:t>
      </w:r>
      <w:proofErr w:type="spellStart"/>
      <w:r>
        <w:rPr>
          <w:rFonts w:eastAsia="SimSun" w:cs="Arial"/>
          <w:color w:val="000000" w:themeColor="text1"/>
          <w:kern w:val="0"/>
          <w:sz w:val="24"/>
          <w:shd w:val="clear" w:color="auto" w:fill="FFFFFF"/>
          <w:lang w:bidi="ar"/>
        </w:rPr>
        <w:t>Sarudin</w:t>
      </w:r>
      <w:proofErr w:type="spellEnd"/>
      <w:r>
        <w:rPr>
          <w:rFonts w:eastAsia="SimSun" w:cs="Arial"/>
          <w:color w:val="000000" w:themeColor="text1"/>
          <w:kern w:val="0"/>
          <w:sz w:val="24"/>
          <w:shd w:val="clear" w:color="auto" w:fill="FFFFFF"/>
          <w:lang w:bidi="ar"/>
        </w:rPr>
        <w:t>, I. H. (2009). Motivation to learn a foreign language in Malaysia. </w:t>
      </w:r>
      <w:r>
        <w:rPr>
          <w:rFonts w:eastAsia="SimSun" w:cs="Arial"/>
          <w:i/>
          <w:iCs/>
          <w:color w:val="000000" w:themeColor="text1"/>
          <w:kern w:val="0"/>
          <w:sz w:val="24"/>
          <w:lang w:bidi="ar"/>
        </w:rPr>
        <w:t>GEMA Online Journal of Language Studies</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9</w:t>
      </w:r>
      <w:r>
        <w:rPr>
          <w:rFonts w:eastAsia="SimSun" w:cs="Arial"/>
          <w:color w:val="000000" w:themeColor="text1"/>
          <w:kern w:val="0"/>
          <w:sz w:val="24"/>
          <w:shd w:val="clear" w:color="auto" w:fill="FFFFFF"/>
          <w:lang w:bidi="ar"/>
        </w:rPr>
        <w:t>(2).</w:t>
      </w:r>
    </w:p>
    <w:p w14:paraId="62C55224" w14:textId="77777777" w:rsidR="000574EE" w:rsidRDefault="000574EE">
      <w:pPr>
        <w:autoSpaceDE w:val="0"/>
        <w:autoSpaceDN w:val="0"/>
        <w:rPr>
          <w:rFonts w:eastAsia="SimHei" w:cs="Times New Roman"/>
          <w:bCs/>
          <w:kern w:val="0"/>
          <w:sz w:val="24"/>
          <w:lang w:bidi="en-US"/>
        </w:rPr>
      </w:pPr>
    </w:p>
    <w:sectPr w:rsidR="000574EE">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A58D7" w14:textId="77777777" w:rsidR="00AC3F5F" w:rsidRDefault="00AC3F5F">
      <w:r>
        <w:separator/>
      </w:r>
    </w:p>
  </w:endnote>
  <w:endnote w:type="continuationSeparator" w:id="0">
    <w:p w14:paraId="379D206C" w14:textId="77777777" w:rsidR="00AC3F5F" w:rsidRDefault="00AC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Regular">
    <w:charset w:val="00"/>
    <w:family w:val="auto"/>
    <w:pitch w:val="default"/>
    <w:sig w:usb0="E0000AFF" w:usb1="00007843" w:usb2="00000001" w:usb3="00000000" w:csb0="400001BF" w:csb1="DFF70000"/>
  </w:font>
  <w:font w:name="TimesNewRomanPS">
    <w:altName w:val="Times New Roman"/>
    <w:charset w:val="00"/>
    <w:family w:val="auto"/>
    <w:pitch w:val="default"/>
  </w:font>
  <w:font w:name="Times New Roman Bold">
    <w:panose1 w:val="02020803070505020304"/>
    <w:charset w:val="00"/>
    <w:family w:val="auto"/>
    <w:pitch w:val="default"/>
    <w:sig w:usb0="E0000AFF" w:usb1="00007843" w:usb2="00000001" w:usb3="00000000" w:csb0="400001BF" w:csb1="DFF70000"/>
  </w:font>
  <w:font w:name="TimesNewRomanPSMT">
    <w:altName w:val="Times New Roman"/>
    <w:charset w:val="00"/>
    <w:family w:val="auto"/>
    <w:pitch w:val="default"/>
    <w:sig w:usb0="E0000AFF" w:usb1="00007843" w:usb2="00000001" w:usb3="00000000" w:csb0="400001BF" w:csb1="DFF70000"/>
  </w:font>
  <w:font w:name="CIDFont">
    <w:altName w:val="苹方-简"/>
    <w:charset w:val="00"/>
    <w:family w:val="auto"/>
    <w:pitch w:val="default"/>
  </w:font>
  <w:font w:name="Helvetica Neue">
    <w:altName w:val="Sylfaen"/>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28071" w14:textId="77777777" w:rsidR="000574EE" w:rsidRDefault="00057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D9088" w14:textId="77777777" w:rsidR="000574EE" w:rsidRDefault="000574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9E21D" w14:textId="77777777" w:rsidR="000574EE" w:rsidRDefault="00057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58818" w14:textId="77777777" w:rsidR="00AC3F5F" w:rsidRDefault="00AC3F5F">
      <w:r>
        <w:separator/>
      </w:r>
    </w:p>
  </w:footnote>
  <w:footnote w:type="continuationSeparator" w:id="0">
    <w:p w14:paraId="3D535CEE" w14:textId="77777777" w:rsidR="00AC3F5F" w:rsidRDefault="00AC3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8729C" w14:textId="77777777" w:rsidR="000574EE" w:rsidRDefault="0020453D">
    <w:pPr>
      <w:pStyle w:val="Header"/>
    </w:pPr>
    <w:r>
      <w:pict w14:anchorId="1925D6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79813" o:spid="_x0000_s3075" type="#_x0000_t136" style="position:absolute;left:0;text-align:left;margin-left:0;margin-top:0;width:538.55pt;height:100.9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A2341" w14:textId="77777777" w:rsidR="000574EE" w:rsidRDefault="0020453D">
    <w:pPr>
      <w:pStyle w:val="Header"/>
    </w:pPr>
    <w:r>
      <w:pict w14:anchorId="5B8FAE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79814" o:spid="_x0000_s3074" type="#_x0000_t136" style="position:absolute;left:0;text-align:left;margin-left:0;margin-top:0;width:538.55pt;height:100.9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9DD8D" w14:textId="77777777" w:rsidR="000574EE" w:rsidRDefault="0020453D">
    <w:pPr>
      <w:pStyle w:val="Header"/>
    </w:pPr>
    <w:r>
      <w:pict w14:anchorId="32335D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79812" o:spid="_x0000_s3073" type="#_x0000_t136" style="position:absolute;left:0;text-align:left;margin-left:0;margin-top:0;width:538.55pt;height:100.9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EDF85A0"/>
    <w:multiLevelType w:val="singleLevel"/>
    <w:tmpl w:val="DEDF85A0"/>
    <w:lvl w:ilvl="0">
      <w:start w:val="1"/>
      <w:numFmt w:val="lowerLetter"/>
      <w:suff w:val="space"/>
      <w:lvlText w:val="%1."/>
      <w:lvlJc w:val="left"/>
      <w:rPr>
        <w:rFonts w:hint="default"/>
        <w:b w:val="0"/>
        <w:bCs w:val="0"/>
      </w:rPr>
    </w:lvl>
  </w:abstractNum>
  <w:abstractNum w:abstractNumId="1" w15:restartNumberingAfterBreak="0">
    <w:nsid w:val="FFEFE616"/>
    <w:multiLevelType w:val="singleLevel"/>
    <w:tmpl w:val="FFEFE616"/>
    <w:lvl w:ilvl="0">
      <w:start w:val="1"/>
      <w:numFmt w:val="lowerLetter"/>
      <w:suff w:val="space"/>
      <w:lvlText w:val="%1."/>
      <w:lvlJc w:val="left"/>
      <w:rPr>
        <w:rFonts w:hint="default"/>
        <w:b w:val="0"/>
        <w:bCs w:val="0"/>
      </w:rPr>
    </w:lvl>
  </w:abstractNum>
  <w:abstractNum w:abstractNumId="2" w15:restartNumberingAfterBreak="0">
    <w:nsid w:val="40F4466E"/>
    <w:multiLevelType w:val="singleLevel"/>
    <w:tmpl w:val="40F4466E"/>
    <w:lvl w:ilvl="0">
      <w:start w:val="1"/>
      <w:numFmt w:val="decimal"/>
      <w:lvlText w:val="%1)"/>
      <w:lvlJc w:val="left"/>
      <w:pPr>
        <w:ind w:left="1134" w:firstLine="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420"/>
  <w:hyphenationZone w:val="425"/>
  <w:drawingGridVerticalSpacing w:val="156"/>
  <w:noPunctuationKerning/>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7B97AA"/>
    <w:rsid w:val="577B97AA"/>
    <w:rsid w:val="D77B433A"/>
    <w:rsid w:val="E73FEF98"/>
    <w:rsid w:val="E8BABF4A"/>
    <w:rsid w:val="EF9E1CCF"/>
    <w:rsid w:val="FBDFAAB5"/>
    <w:rsid w:val="FF77FAF7"/>
    <w:rsid w:val="FFFF8CEC"/>
    <w:rsid w:val="000574EE"/>
    <w:rsid w:val="00140938"/>
    <w:rsid w:val="001459F5"/>
    <w:rsid w:val="00167A0D"/>
    <w:rsid w:val="0020453D"/>
    <w:rsid w:val="002102DE"/>
    <w:rsid w:val="00243E20"/>
    <w:rsid w:val="00295351"/>
    <w:rsid w:val="002A574D"/>
    <w:rsid w:val="003157C3"/>
    <w:rsid w:val="003B5FA4"/>
    <w:rsid w:val="003D54BA"/>
    <w:rsid w:val="003F0CEE"/>
    <w:rsid w:val="00461562"/>
    <w:rsid w:val="004B36F4"/>
    <w:rsid w:val="004D043D"/>
    <w:rsid w:val="00537B16"/>
    <w:rsid w:val="005773FA"/>
    <w:rsid w:val="005973E0"/>
    <w:rsid w:val="006103BF"/>
    <w:rsid w:val="00671502"/>
    <w:rsid w:val="007D098D"/>
    <w:rsid w:val="007D2455"/>
    <w:rsid w:val="007F7DAD"/>
    <w:rsid w:val="00804EC3"/>
    <w:rsid w:val="008135BE"/>
    <w:rsid w:val="0081380D"/>
    <w:rsid w:val="00867E35"/>
    <w:rsid w:val="008E1F0B"/>
    <w:rsid w:val="009351A8"/>
    <w:rsid w:val="009612A3"/>
    <w:rsid w:val="00981415"/>
    <w:rsid w:val="00A60DBA"/>
    <w:rsid w:val="00A750C7"/>
    <w:rsid w:val="00AC3F5F"/>
    <w:rsid w:val="00AE5217"/>
    <w:rsid w:val="00AF21AB"/>
    <w:rsid w:val="00B33CF6"/>
    <w:rsid w:val="00C93E6B"/>
    <w:rsid w:val="00E4184B"/>
    <w:rsid w:val="00E41DA0"/>
    <w:rsid w:val="00E9453A"/>
    <w:rsid w:val="00EB744C"/>
    <w:rsid w:val="00F756FF"/>
    <w:rsid w:val="00FB7229"/>
    <w:rsid w:val="00FE13FF"/>
    <w:rsid w:val="1F8B8D7D"/>
    <w:rsid w:val="24FCFBDF"/>
    <w:rsid w:val="3FF2AF23"/>
    <w:rsid w:val="577B97AA"/>
    <w:rsid w:val="5FCE61BA"/>
    <w:rsid w:val="7CE3EE2A"/>
    <w:rsid w:val="7DB6B5BC"/>
    <w:rsid w:val="7DDF9482"/>
    <w:rsid w:val="7DEE2784"/>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7D54590C"/>
  <w15:docId w15:val="{BAE3CC8D-7084-4FD4-B50B-3D2E34FA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bn-BD"/>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8"/>
      <w:szCs w:val="24"/>
      <w:lang w:bidi="ar-SA"/>
    </w:rPr>
  </w:style>
  <w:style w:type="paragraph" w:styleId="Heading1">
    <w:name w:val="heading 1"/>
    <w:basedOn w:val="Normal"/>
    <w:next w:val="Paragraph"/>
    <w:qFormat/>
    <w:pPr>
      <w:keepNext/>
      <w:keepLines/>
      <w:spacing w:before="340" w:after="330" w:line="576" w:lineRule="auto"/>
      <w:outlineLvl w:val="0"/>
    </w:pPr>
    <w:rPr>
      <w:b/>
      <w:kern w:val="44"/>
      <w:sz w:val="44"/>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1E386B" w:themeColor="accent1"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ewparagraph"/>
    <w:qFormat/>
    <w:pPr>
      <w:spacing w:before="240"/>
    </w:pPr>
  </w:style>
  <w:style w:type="paragraph" w:customStyle="1" w:styleId="Newparagraph">
    <w:name w:val="New paragraph"/>
    <w:basedOn w:val="Normal"/>
    <w:qFormat/>
    <w:pPr>
      <w:ind w:firstLine="720"/>
    </w:p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styleId="NormalWeb">
    <w:name w:val="Normal (Web)"/>
    <w:basedOn w:val="Normal"/>
    <w:qFormat/>
    <w:pPr>
      <w:spacing w:beforeAutospacing="1" w:afterAutospacing="1"/>
      <w:jc w:val="left"/>
    </w:pPr>
    <w:rPr>
      <w:rFonts w:cs="Times New Roman"/>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Pr>
      <w:i/>
    </w:rPr>
  </w:style>
  <w:style w:type="character" w:styleId="Hyperlink">
    <w:name w:val="Hyperlink"/>
    <w:basedOn w:val="DefaultParagraphFont"/>
    <w:rPr>
      <w:color w:val="0000FF"/>
      <w:u w:val="single"/>
    </w:rPr>
  </w:style>
  <w:style w:type="character" w:customStyle="1" w:styleId="font11">
    <w:name w:val="font11"/>
    <w:basedOn w:val="DefaultParagraphFont"/>
    <w:rPr>
      <w:rFonts w:ascii="SimSun" w:eastAsia="SimSun" w:hAnsi="SimSun" w:cs="SimSun" w:hint="eastAsia"/>
      <w:b/>
      <w:bCs/>
      <w:color w:val="000000"/>
      <w:sz w:val="22"/>
      <w:szCs w:val="22"/>
      <w:u w:val="none"/>
    </w:rPr>
  </w:style>
  <w:style w:type="character" w:customStyle="1" w:styleId="font21">
    <w:name w:val="font21"/>
    <w:basedOn w:val="DefaultParagraphFont"/>
    <w:rPr>
      <w:rFonts w:ascii="SimSun" w:eastAsia="SimSun" w:hAnsi="SimSun" w:cs="SimSun" w:hint="eastAsia"/>
      <w:color w:val="000000"/>
      <w:sz w:val="22"/>
      <w:szCs w:val="22"/>
      <w:u w:val="none"/>
    </w:rPr>
  </w:style>
  <w:style w:type="character" w:customStyle="1" w:styleId="HeaderChar">
    <w:name w:val="Header Char"/>
    <w:basedOn w:val="DefaultParagraphFont"/>
    <w:link w:val="Header"/>
    <w:rPr>
      <w:rFonts w:asciiTheme="minorHAnsi" w:eastAsiaTheme="minorEastAsia" w:hAnsiTheme="minorHAnsi" w:cstheme="minorBidi"/>
      <w:kern w:val="2"/>
      <w:sz w:val="28"/>
      <w:szCs w:val="24"/>
      <w:lang w:val="en-US"/>
    </w:rPr>
  </w:style>
  <w:style w:type="character" w:customStyle="1" w:styleId="FooterChar">
    <w:name w:val="Footer Char"/>
    <w:basedOn w:val="DefaultParagraphFont"/>
    <w:link w:val="Footer"/>
    <w:rPr>
      <w:rFonts w:asciiTheme="minorHAnsi" w:eastAsiaTheme="minorEastAsia" w:hAnsiTheme="minorHAnsi" w:cstheme="minorBidi"/>
      <w:kern w:val="2"/>
      <w:sz w:val="28"/>
      <w:szCs w:val="24"/>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3Char">
    <w:name w:val="Heading 3 Char"/>
    <w:basedOn w:val="DefaultParagraphFont"/>
    <w:link w:val="Heading3"/>
    <w:semiHidden/>
    <w:rPr>
      <w:rFonts w:asciiTheme="majorHAnsi" w:eastAsiaTheme="majorEastAsia" w:hAnsiTheme="majorHAnsi" w:cstheme="majorBidi"/>
      <w:color w:val="1E386B" w:themeColor="accent1" w:themeShade="80"/>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orcid.org/0000-0001-5466-0029" TargetMode="External"/><Relationship Id="rId18" Type="http://schemas.openxmlformats.org/officeDocument/2006/relationships/hyperlink" Target="https://doi.org/10.30827/portalin.vi39.2602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007/s43545-020-00047-9" TargetMode="External"/><Relationship Id="rId7" Type="http://schemas.openxmlformats.org/officeDocument/2006/relationships/endnotes" Target="endnotes.xml"/><Relationship Id="rId12" Type="http://schemas.openxmlformats.org/officeDocument/2006/relationships/hyperlink" Target="https://doi.org/10.1080/02702711.2015.1025163" TargetMode="External"/><Relationship Id="rId17" Type="http://schemas.openxmlformats.org/officeDocument/2006/relationships/hyperlink" Target="https://doi.org/10.3389/fpsyg.2021.762447" TargetMode="External"/><Relationship Id="rId25" Type="http://schemas.openxmlformats.org/officeDocument/2006/relationships/hyperlink" Target="https://doi.org/10.1016/j.jeap.2021.10107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7748/nr.2022.e1848" TargetMode="External"/><Relationship Id="rId20" Type="http://schemas.openxmlformats.org/officeDocument/2006/relationships/hyperlink" Target="http://eoi.citefactor.org/10.11250/ijte.01.0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89/fpsyg.2022.1083673" TargetMode="External"/><Relationship Id="rId24" Type="http://schemas.openxmlformats.org/officeDocument/2006/relationships/hyperlink" Target="https://doi.org/10.1016/j.stueduc.2019.10082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54855/ijte.22229" TargetMode="External"/><Relationship Id="rId23" Type="http://schemas.openxmlformats.org/officeDocument/2006/relationships/hyperlink" Target="https://doi.org/10.22034/elt.2021.43130.2324" TargetMode="External"/><Relationship Id="rId28" Type="http://schemas.openxmlformats.org/officeDocument/2006/relationships/footer" Target="footer1.xml"/><Relationship Id="rId10" Type="http://schemas.openxmlformats.org/officeDocument/2006/relationships/hyperlink" Target="https://doi.org/10.56924/tasnim.6.2023/20" TargetMode="External"/><Relationship Id="rId19" Type="http://schemas.openxmlformats.org/officeDocument/2006/relationships/hyperlink" Target="https://doi.org/10.1016/j.sbspro.2012.09.434"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x.doi.org/10.5539/ass.v8n2p119" TargetMode="External"/><Relationship Id="rId14" Type="http://schemas.openxmlformats.org/officeDocument/2006/relationships/hyperlink" Target="https://doi.org/10.1037/a0025704" TargetMode="External"/><Relationship Id="rId22" Type="http://schemas.openxmlformats.org/officeDocument/2006/relationships/hyperlink" Target="https://doi.org/10.15295/bmij.v8i3.1540"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23</Pages>
  <Words>9063</Words>
  <Characters>58288</Characters>
  <Application>Microsoft Office Word</Application>
  <DocSecurity>0</DocSecurity>
  <Lines>485</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%E8%8B%8F%E5%B0%8F%E6%BB%A1</dc:creator>
  <cp:lastModifiedBy>SDI PC New 16</cp:lastModifiedBy>
  <cp:revision>17</cp:revision>
  <dcterms:created xsi:type="dcterms:W3CDTF">2025-02-01T02:58:00Z</dcterms:created>
  <dcterms:modified xsi:type="dcterms:W3CDTF">2025-05-15T10:00:00Z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F997D3EB860D1658CCD01C6890CE6CF2_43</vt:lpwstr>
  </property>
  <property fmtid="{D5CDD505-2E9C-101B-9397-08002B2CF9AE}" pid="4" name="GrammarlyDocumentId">
    <vt:lpwstr>426cb2c6-ac56-4278-9809-da9ecbf49d45</vt:lpwstr>
  </property>
</Properties>
</file>