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123E" w:rsidRDefault="00000000">
      <w:pPr>
        <w:pStyle w:val="SCC13authornames"/>
        <w:rPr>
          <w:rFonts w:eastAsiaTheme="minorEastAsia"/>
          <w:lang w:eastAsia="zh-CN"/>
        </w:rPr>
      </w:pPr>
      <w:r>
        <w:rPr>
          <w:snapToGrid/>
          <w:sz w:val="36"/>
        </w:rPr>
        <w:t>Impact of exchange rate volatility on the Agricultural Export Rev</w:t>
      </w:r>
      <w:r w:rsidR="0041552B">
        <w:rPr>
          <w:snapToGrid/>
          <w:sz w:val="36"/>
        </w:rPr>
        <w:t>e</w:t>
      </w:r>
      <w:r>
        <w:rPr>
          <w:snapToGrid/>
          <w:sz w:val="36"/>
        </w:rPr>
        <w:t>nues: evidence from China-USA trade</w:t>
      </w:r>
    </w:p>
    <w:tbl>
      <w:tblPr>
        <w:tblpPr w:leftFromText="198" w:rightFromText="198" w:vertAnchor="page" w:horzAnchor="margin" w:tblpY="10491"/>
        <w:tblW w:w="2410" w:type="dxa"/>
        <w:tblLayout w:type="fixed"/>
        <w:tblCellMar>
          <w:left w:w="0" w:type="dxa"/>
          <w:right w:w="0" w:type="dxa"/>
        </w:tblCellMar>
        <w:tblLook w:val="04A0" w:firstRow="1" w:lastRow="0" w:firstColumn="1" w:lastColumn="0" w:noHBand="0" w:noVBand="1"/>
      </w:tblPr>
      <w:tblGrid>
        <w:gridCol w:w="2410"/>
      </w:tblGrid>
      <w:tr w:rsidR="000E123E">
        <w:tc>
          <w:tcPr>
            <w:tcW w:w="2410" w:type="dxa"/>
          </w:tcPr>
          <w:p w:rsidR="000E123E" w:rsidRDefault="000E123E">
            <w:pPr>
              <w:pStyle w:val="SCC72Copyright"/>
              <w:rPr>
                <w:rFonts w:eastAsia="DengXian"/>
                <w:lang w:bidi="en-US"/>
              </w:rPr>
            </w:pPr>
          </w:p>
        </w:tc>
      </w:tr>
    </w:tbl>
    <w:p w:rsidR="000E123E" w:rsidRDefault="00000000">
      <w:pPr>
        <w:pStyle w:val="SCC17abstract"/>
        <w:rPr>
          <w:bCs/>
        </w:rPr>
      </w:pPr>
      <w:r>
        <w:rPr>
          <w:b/>
          <w:highlight w:val="yellow"/>
        </w:rPr>
        <w:t xml:space="preserve">Abstract: </w:t>
      </w:r>
      <w:r>
        <w:rPr>
          <w:bCs/>
          <w:highlight w:val="yellow"/>
        </w:rPr>
        <w:t xml:space="preserve">The research states that there is an impact of exchange rate volatility on the agricultural export revenues of China. The </w:t>
      </w:r>
      <w:r>
        <w:rPr>
          <w:highlight w:val="yellow"/>
        </w:rPr>
        <w:t xml:space="preserve">agricultural sector is one of the most important industries in China, which contributes significantly to the GDP. However, the nation also exports a substantial level of products to the United States. Given the recent global shocks, the study aims to </w:t>
      </w:r>
      <w:proofErr w:type="spellStart"/>
      <w:r>
        <w:rPr>
          <w:highlight w:val="yellow"/>
        </w:rPr>
        <w:t>analyse</w:t>
      </w:r>
      <w:proofErr w:type="spellEnd"/>
      <w:r>
        <w:rPr>
          <w:highlight w:val="yellow"/>
        </w:rPr>
        <w:t xml:space="preserve"> the impact of exchange rate volatility on China's agricultural export revenue. Using agricultural export data as well as macroeconomic data from China between 1994 and 2023, a quantitative analysis has been performed to understand the relationship between exchange rates and agricultural exports. </w:t>
      </w:r>
      <w:r w:rsidR="00090E44" w:rsidRPr="00090E44">
        <w:rPr>
          <w:highlight w:val="yellow"/>
        </w:rPr>
        <w:t>An OLS regression is used as the primary method to examine the linear relationship, while ARDL and NARDL models are applied to explore the long-term and asymmetric effects of exchange rate volatility</w:t>
      </w:r>
      <w:r w:rsidRPr="00090E44">
        <w:rPr>
          <w:highlight w:val="yellow"/>
        </w:rPr>
        <w:t>. Bas</w:t>
      </w:r>
      <w:r>
        <w:rPr>
          <w:highlight w:val="yellow"/>
        </w:rPr>
        <w:t xml:space="preserve">ed on this, it has been found that higher levels of exchange rate instability significantly reduce both agricultural export volumes and total export revenues. Agricultural export revenues reduce by </w:t>
      </w:r>
      <w:r>
        <w:rPr>
          <w:highlight w:val="yellow"/>
          <w:lang w:val="en-GB"/>
        </w:rPr>
        <w:t>-2.7539 percentage points, whereas total exports decrease by 1.5692 percentage points. ARDL and NARDL model finds negative impact of ERV shocks on agricultural export revenue. These results highlight the importance of exchange rate stability in maintaining China’s agricultural trade performance, as maintaining exchange rate risk is key for government.</w:t>
      </w:r>
      <w:r>
        <w:rPr>
          <w:lang w:val="en-GB"/>
        </w:rPr>
        <w:t xml:space="preserve">  </w:t>
      </w:r>
    </w:p>
    <w:p w:rsidR="000E123E" w:rsidRDefault="00000000">
      <w:pPr>
        <w:pStyle w:val="SCC18keywords"/>
      </w:pPr>
      <w:r>
        <w:rPr>
          <w:b/>
        </w:rPr>
        <w:t xml:space="preserve">Keywords: </w:t>
      </w:r>
      <w:r>
        <w:t>Currency Volatility, OLS Regression, Agricultural Production, International Trade Theory, Agricultural Exports.</w:t>
      </w:r>
    </w:p>
    <w:p w:rsidR="000E123E" w:rsidRDefault="000E123E">
      <w:pPr>
        <w:pStyle w:val="SCC19line"/>
      </w:pPr>
    </w:p>
    <w:p w:rsidR="000E123E" w:rsidRDefault="00000000">
      <w:pPr>
        <w:pStyle w:val="SCC21heading1"/>
        <w:rPr>
          <w:rFonts w:eastAsiaTheme="minorEastAsia"/>
          <w:lang w:eastAsia="zh-CN"/>
        </w:rPr>
      </w:pPr>
      <w:r>
        <w:rPr>
          <w:lang w:eastAsia="zh-CN"/>
        </w:rPr>
        <w:t xml:space="preserve">1. </w:t>
      </w:r>
      <w:r>
        <w:t>Introduction</w:t>
      </w:r>
    </w:p>
    <w:p w:rsidR="000E123E" w:rsidRDefault="00000000">
      <w:pPr>
        <w:pStyle w:val="SCC22heading2"/>
        <w:rPr>
          <w:rFonts w:eastAsiaTheme="minorEastAsia"/>
        </w:rPr>
      </w:pPr>
      <w:r>
        <w:rPr>
          <w:rFonts w:eastAsiaTheme="minorEastAsia" w:hint="eastAsia"/>
        </w:rPr>
        <w:t>1.1 Background</w:t>
      </w:r>
    </w:p>
    <w:p w:rsidR="000E123E" w:rsidRDefault="00000000">
      <w:pPr>
        <w:pStyle w:val="SCC31text"/>
        <w:rPr>
          <w:rFonts w:eastAsiaTheme="minorEastAsia"/>
          <w:lang w:eastAsia="zh-CN"/>
        </w:rPr>
      </w:pPr>
      <w:r>
        <w:rPr>
          <w:rFonts w:eastAsiaTheme="minorEastAsia"/>
          <w:lang w:eastAsia="zh-CN"/>
        </w:rPr>
        <w:t xml:space="preserve">The agricultural sector in China is one of the most important industries in the economy. According to the study by Carter et al. (2011), agricultural productivity in China increased from 3 billion </w:t>
      </w:r>
      <w:proofErr w:type="spellStart"/>
      <w:r>
        <w:rPr>
          <w:rFonts w:eastAsiaTheme="minorEastAsia"/>
          <w:lang w:eastAsia="zh-CN"/>
        </w:rPr>
        <w:t>tonnes</w:t>
      </w:r>
      <w:proofErr w:type="spellEnd"/>
      <w:r>
        <w:rPr>
          <w:rFonts w:eastAsiaTheme="minorEastAsia"/>
          <w:lang w:eastAsia="zh-CN"/>
        </w:rPr>
        <w:t xml:space="preserve"> in 1978 to over 5 billion </w:t>
      </w:r>
      <w:proofErr w:type="spellStart"/>
      <w:r>
        <w:rPr>
          <w:rFonts w:eastAsiaTheme="minorEastAsia"/>
          <w:lang w:eastAsia="zh-CN"/>
        </w:rPr>
        <w:t>tonnes</w:t>
      </w:r>
      <w:proofErr w:type="spellEnd"/>
      <w:r>
        <w:rPr>
          <w:rFonts w:eastAsiaTheme="minorEastAsia"/>
          <w:lang w:eastAsia="zh-CN"/>
        </w:rPr>
        <w:t xml:space="preserve"> in 2009. This growth in agricultural productivity is strongly affected by technical improvement and the influx of foreign capital to China from abroad. According to a study by Wang et al. (2019), China has increased 3.1 percent of agricultural productivity due to foreign capital. This reflects the growth in China's agricultural sector in recent decades. </w:t>
      </w:r>
      <w:r>
        <w:rPr>
          <w:rFonts w:eastAsiaTheme="minorEastAsia"/>
          <w:highlight w:val="yellow"/>
          <w:lang w:eastAsia="zh-CN"/>
        </w:rPr>
        <w:t>As per Erten and Leight (2021), the Chinese economy acceded to the World Trade Organization (WTO) after its liberalization policy. However, with this accession to the WTO, new avenues also opened up for China to export agricultural products. Furthermore, another study by Long (2021) reveals that the Chinese economy has been active in the export of agricultural products such as tea and live pigs, whereas exports of products such as apples have also grown substantially. As per Long (2021), the TC Index of Tea remained between 0.600 and 0.900. For live pigs, it remained around 6.947. Finally, the RCA Index of Apples improved and reached index values around 0.800 and 1.250. This shows the growing strength of China’s agricultural exports in recent years. Moreover, the nation has also invested thoroughly in growing its agricultural trade ties through the Belt and Road Initiative (BRI). As per Zhou and Tong (2022), China built 60 new trade ties with developing nations. These ties presented the nation with opportunities to enter new markets and enhance their trade. As a result, this shows the growing dominance of trade from China in recent times</w:t>
      </w:r>
      <w:r>
        <w:rPr>
          <w:rFonts w:eastAsiaTheme="minorEastAsia"/>
          <w:lang w:eastAsia="zh-CN"/>
        </w:rPr>
        <w:t xml:space="preserve">.       </w:t>
      </w:r>
    </w:p>
    <w:p w:rsidR="000E123E" w:rsidRDefault="00000000">
      <w:pPr>
        <w:pStyle w:val="SCC31text"/>
        <w:rPr>
          <w:rFonts w:eastAsiaTheme="minorEastAsia"/>
          <w:lang w:eastAsia="zh-CN"/>
        </w:rPr>
      </w:pPr>
      <w:r>
        <w:rPr>
          <w:rFonts w:eastAsiaTheme="minorEastAsia"/>
          <w:lang w:eastAsia="zh-CN"/>
        </w:rPr>
        <w:t xml:space="preserve">Despite China being a high-exporting nation for agricultural products, especially to the United States, there are substantial problems that China faces with respect to international trade. As per the study by Chen (2011), the RMB depreciation against the yen will hinder the export of agricultural products from China. This is one of the key problems of exports from China that will be discussed in the paper. </w:t>
      </w:r>
      <w:r>
        <w:rPr>
          <w:rFonts w:eastAsiaTheme="minorEastAsia"/>
          <w:highlight w:val="yellow"/>
          <w:lang w:eastAsia="zh-CN"/>
        </w:rPr>
        <w:t xml:space="preserve">Moreover, the research by Erten and Leight (2021) also reveals that there have been persistent barriers to trade with currency shocks after the accession of China into the WTO. This also impacted the total exports of agricultural products. The same paper by Erten and Leight (2021) also reveals that there has been a rise in agricultural tariffs for the nation. This has further impacted the output of the exports from the nation in due time. Furthermore, the shocks in the exchange rate have also impacted the nation's trade levels. As per Li and Umair (2023), the volatility spillover effects cause adverse effects on the price levels of exports. As a result, it leads </w:t>
      </w:r>
      <w:r>
        <w:rPr>
          <w:rFonts w:eastAsiaTheme="minorEastAsia"/>
          <w:highlight w:val="yellow"/>
          <w:lang w:eastAsia="zh-CN"/>
        </w:rPr>
        <w:lastRenderedPageBreak/>
        <w:t>to a reduction in trade for the nation. Overall, these structural effects of exchange rate volatility cause the reduction in trade from China.</w:t>
      </w:r>
      <w:r>
        <w:rPr>
          <w:rFonts w:eastAsiaTheme="minorEastAsia"/>
          <w:lang w:eastAsia="zh-CN"/>
        </w:rPr>
        <w:t xml:space="preserve"> </w:t>
      </w:r>
    </w:p>
    <w:p w:rsidR="00651C6D" w:rsidRDefault="00651C6D">
      <w:pPr>
        <w:pStyle w:val="SCC31text"/>
        <w:rPr>
          <w:rFonts w:eastAsiaTheme="minorEastAsia"/>
          <w:lang w:eastAsia="zh-CN"/>
        </w:rPr>
      </w:pPr>
      <w:r w:rsidRPr="00651C6D">
        <w:rPr>
          <w:rFonts w:eastAsiaTheme="minorEastAsia"/>
          <w:highlight w:val="yellow"/>
          <w:lang w:eastAsia="zh-CN"/>
        </w:rPr>
        <w:t xml:space="preserve">The primary reason for undertaking this research is to understand the impact of exchange rate volatility on agricultural revenues, given the increasing exposure of the agricultural sector of the nation to ER volatility. Moreover, the comparison is done with respect to trade with the United States, as it remains the largest agricultural trading partner with China. Given the increasing ER fluctuations, it is necessary to understand how the same </w:t>
      </w:r>
      <w:r>
        <w:rPr>
          <w:rFonts w:eastAsiaTheme="minorEastAsia"/>
          <w:highlight w:val="yellow"/>
          <w:lang w:eastAsia="zh-CN"/>
        </w:rPr>
        <w:t>affects</w:t>
      </w:r>
      <w:r w:rsidRPr="00651C6D">
        <w:rPr>
          <w:rFonts w:eastAsiaTheme="minorEastAsia"/>
          <w:highlight w:val="yellow"/>
          <w:lang w:eastAsia="zh-CN"/>
        </w:rPr>
        <w:t xml:space="preserve"> export revenues to coin policies for sustained agricultural trade performance.</w:t>
      </w:r>
      <w:r>
        <w:rPr>
          <w:rFonts w:eastAsiaTheme="minorEastAsia"/>
          <w:lang w:eastAsia="zh-CN"/>
        </w:rPr>
        <w:t xml:space="preserve"> </w:t>
      </w:r>
    </w:p>
    <w:p w:rsidR="00651C6D" w:rsidRDefault="00000000" w:rsidP="00651C6D">
      <w:pPr>
        <w:pStyle w:val="SCC31text"/>
        <w:rPr>
          <w:rFonts w:eastAsiaTheme="minorEastAsia"/>
          <w:lang w:eastAsia="zh-CN"/>
        </w:rPr>
      </w:pPr>
      <w:r>
        <w:rPr>
          <w:rFonts w:eastAsiaTheme="minorEastAsia"/>
          <w:lang w:eastAsia="zh-CN"/>
        </w:rPr>
        <w:t>The research objective is to analyze the trends in agricultural exports in China. Moreover, the study w</w:t>
      </w:r>
      <w:r w:rsidR="00651C6D">
        <w:rPr>
          <w:rFonts w:eastAsiaTheme="minorEastAsia"/>
          <w:lang w:eastAsia="zh-CN"/>
        </w:rPr>
        <w:t>ill</w:t>
      </w:r>
      <w:r>
        <w:rPr>
          <w:rFonts w:eastAsiaTheme="minorEastAsia"/>
          <w:lang w:eastAsia="zh-CN"/>
        </w:rPr>
        <w:t xml:space="preserve"> also analyze the </w:t>
      </w:r>
      <w:r w:rsidR="00651C6D" w:rsidRPr="00651C6D">
        <w:rPr>
          <w:rFonts w:eastAsiaTheme="minorEastAsia"/>
          <w:lang w:eastAsia="zh-CN"/>
        </w:rPr>
        <w:t>impact of exchange rate volatility (ERV) on agricultural export revenues</w:t>
      </w:r>
      <w:r w:rsidR="00651C6D">
        <w:rPr>
          <w:rFonts w:eastAsiaTheme="minorEastAsia"/>
          <w:lang w:eastAsia="zh-CN"/>
        </w:rPr>
        <w:t xml:space="preserve"> from China.</w:t>
      </w:r>
    </w:p>
    <w:p w:rsidR="000E123E" w:rsidRDefault="00000000">
      <w:pPr>
        <w:pStyle w:val="SCC31text"/>
        <w:rPr>
          <w:rFonts w:eastAsiaTheme="minorEastAsia"/>
          <w:lang w:eastAsia="zh-CN"/>
        </w:rPr>
      </w:pPr>
      <w:r>
        <w:rPr>
          <w:rFonts w:eastAsiaTheme="minorEastAsia"/>
          <w:lang w:eastAsia="zh-CN"/>
        </w:rPr>
        <w:t xml:space="preserve">The primary question of the study is to analyze whether volatility in the rate of exchange has any impact on agricultural exports from China to the rest of the trading partners. </w:t>
      </w:r>
    </w:p>
    <w:p w:rsidR="000E123E" w:rsidRDefault="00000000">
      <w:pPr>
        <w:pStyle w:val="SCC31text"/>
        <w:rPr>
          <w:rFonts w:eastAsiaTheme="minorEastAsia"/>
          <w:lang w:eastAsia="zh-CN"/>
        </w:rPr>
      </w:pPr>
      <w:r>
        <w:rPr>
          <w:rFonts w:eastAsiaTheme="minorEastAsia"/>
          <w:lang w:eastAsia="zh-CN"/>
        </w:rPr>
        <w:t xml:space="preserve">The first chapter of the study provides a background on Chinese agricultural exports over the years. The second chapter discusses the theoretical structure and analyzes the literature on the impact of currency fluctuations on agricultural exports from developing countries. The third chapter discusses the methodology using regression analysis. Finally, results are discussed as instability in exchange rate impacts </w:t>
      </w:r>
      <w:r>
        <w:t xml:space="preserve">agricultural exports and total exports. </w:t>
      </w:r>
    </w:p>
    <w:p w:rsidR="000E123E" w:rsidRDefault="000E123E">
      <w:pPr>
        <w:pStyle w:val="SCC31text"/>
        <w:rPr>
          <w:rFonts w:eastAsiaTheme="minorEastAsia"/>
          <w:lang w:eastAsia="zh-CN"/>
        </w:rPr>
      </w:pPr>
    </w:p>
    <w:p w:rsidR="000E123E" w:rsidRDefault="00000000">
      <w:pPr>
        <w:pStyle w:val="SCC21heading1"/>
        <w:rPr>
          <w:rFonts w:eastAsiaTheme="minorEastAsia"/>
          <w:lang w:eastAsia="zh-CN"/>
        </w:rPr>
      </w:pPr>
      <w:r>
        <w:rPr>
          <w:rFonts w:eastAsiaTheme="minorEastAsia"/>
        </w:rPr>
        <w:t xml:space="preserve">2. </w:t>
      </w:r>
      <w:r>
        <w:rPr>
          <w:rFonts w:eastAsiaTheme="minorEastAsia" w:hint="eastAsia"/>
          <w:lang w:eastAsia="zh-CN"/>
        </w:rPr>
        <w:t>Literature Review</w:t>
      </w:r>
    </w:p>
    <w:p w:rsidR="000E123E" w:rsidRDefault="00000000">
      <w:pPr>
        <w:pStyle w:val="SCC22heading2"/>
        <w:rPr>
          <w:rFonts w:eastAsiaTheme="minorEastAsia"/>
        </w:rPr>
      </w:pPr>
      <w:r>
        <w:rPr>
          <w:rFonts w:eastAsiaTheme="minorEastAsia"/>
        </w:rPr>
        <w:t xml:space="preserve">2.1 Conceptual Framework </w:t>
      </w:r>
    </w:p>
    <w:p w:rsidR="000E123E" w:rsidRDefault="00000000">
      <w:pPr>
        <w:pStyle w:val="SCC23heading3"/>
        <w:rPr>
          <w:rFonts w:eastAsiaTheme="minorEastAsia"/>
        </w:rPr>
      </w:pPr>
      <w:r>
        <w:rPr>
          <w:rFonts w:eastAsiaTheme="minorEastAsia"/>
        </w:rPr>
        <w:t xml:space="preserve">2.1.1 Theory on International Trade </w:t>
      </w:r>
    </w:p>
    <w:p w:rsidR="000E123E" w:rsidRDefault="00000000">
      <w:pPr>
        <w:pStyle w:val="SCC31text"/>
      </w:pPr>
      <w:r>
        <w:t xml:space="preserve">The International Trade Theory is one of the key concepts used in the paper as it determines the patterns of trade between countries. According to a study by Shuai and Wang (2011), the trade dependency of developed nations on developing nations plays an integral role in the enhancement of agricultural exports. This is because, developing nations have low labor costs, and with technology integration, productivity could be increased. This would also lead to the enhancement in the export of commodities from countries thus leading to international trade. However, the exposure to international trade also exposes certain developing countries to exchange rate fluctuations and other shocks within the globalized economy. As per Benguria and Taylor (2020), economic shocks create negative demand shocks within economics. This leads to a mismatch in demand and supply equilibrium and eventually impacts the supply side as well. As a result, this often leads to losses for producers within the economy as well. Therefore, this shows that International Trade is highly sensitive to economic shocks. </w:t>
      </w:r>
    </w:p>
    <w:p w:rsidR="000E123E" w:rsidRDefault="00000000">
      <w:pPr>
        <w:pStyle w:val="SCC23heading3"/>
        <w:rPr>
          <w:rFonts w:eastAsiaTheme="minorEastAsia"/>
        </w:rPr>
      </w:pPr>
      <w:r>
        <w:rPr>
          <w:rFonts w:eastAsiaTheme="minorEastAsia"/>
        </w:rPr>
        <w:t xml:space="preserve">2.1.2 Currency Exchange Theory </w:t>
      </w:r>
    </w:p>
    <w:p w:rsidR="000E123E" w:rsidRDefault="00000000">
      <w:pPr>
        <w:pStyle w:val="SCC31text"/>
        <w:rPr>
          <w:rFonts w:eastAsiaTheme="minorEastAsia"/>
          <w:lang w:eastAsia="zh-CN"/>
        </w:rPr>
      </w:pPr>
      <w:r>
        <w:rPr>
          <w:rFonts w:eastAsiaTheme="minorEastAsia"/>
          <w:lang w:eastAsia="zh-CN"/>
        </w:rPr>
        <w:t xml:space="preserve">The shocks in the currency exchange rates also impact trade globally. As per </w:t>
      </w:r>
      <w:proofErr w:type="spellStart"/>
      <w:r>
        <w:rPr>
          <w:rFonts w:eastAsiaTheme="minorEastAsia"/>
          <w:lang w:eastAsia="zh-CN"/>
        </w:rPr>
        <w:t>Auboin</w:t>
      </w:r>
      <w:proofErr w:type="spellEnd"/>
      <w:r>
        <w:rPr>
          <w:rFonts w:eastAsiaTheme="minorEastAsia"/>
          <w:lang w:eastAsia="zh-CN"/>
        </w:rPr>
        <w:t xml:space="preserve"> and Ruta (2013), exchange rate shocks have a short-term impact on price levels. This is because when there is a depreciation of the currency of foreign partners, the exports become more expensive. As a result, the demand for commodities reduces and a disequilibrium is created in the economy. Furthermore, shocks in the currency rates can also impact the cost structures of domestic producers. As per Agenor (1991), the appreciation in the exchange rate of domestic currency could lead to producers cutting costs of production. This would lead to a reduction in the final price of commodities and would boost exports. However, the same creates a substantial level of market failure within the economy through deadweight losses. Overall, the currency exchange theory is integral in understanding the impact of exchange rate shocks on agricultural exports from a nation. </w:t>
      </w:r>
    </w:p>
    <w:p w:rsidR="000E123E" w:rsidRDefault="00000000">
      <w:pPr>
        <w:pStyle w:val="SCC22heading2"/>
        <w:rPr>
          <w:rFonts w:eastAsiaTheme="minorEastAsia"/>
        </w:rPr>
      </w:pPr>
      <w:r>
        <w:rPr>
          <w:rFonts w:eastAsiaTheme="minorEastAsia"/>
        </w:rPr>
        <w:t xml:space="preserve">2.2 Relation between ER and International Trade </w:t>
      </w:r>
    </w:p>
    <w:p w:rsidR="000E123E" w:rsidRDefault="00000000">
      <w:pPr>
        <w:pStyle w:val="SCC31text"/>
        <w:rPr>
          <w:rFonts w:eastAsiaTheme="minorEastAsia"/>
          <w:lang w:eastAsia="zh-CN"/>
        </w:rPr>
      </w:pPr>
      <w:r>
        <w:rPr>
          <w:rFonts w:eastAsiaTheme="minorEastAsia"/>
          <w:lang w:eastAsia="zh-CN"/>
        </w:rPr>
        <w:t xml:space="preserve">The currency rates between countries help to determine the level of trade that is done between economies. The study by Kang and Dagli (2018) shows that there is a 35.3 percent impact of the currency rates on the value of exports from a nation. The results of the study have been concluded by using a gravity model and data for trade between two countries and currency rates for 72 countries between 2001 and 2015. The reason behind the statistical impact of the exchange rate on trade is that the exchange rate determines the final price of goods and commodities in foreign markets (Demir &amp; Razmi, 2022). An appreciation in the exchange rate of trading partners leads to exports being cheaper than the domestic economy. As a result, this boosts the export levels from the domestic country to its trading partner. The volatility in exchange rates also impacts the export levels from various industries across the world. According to Lal et al. (2023), it could be realized that the exchange rate volatility leads to a negative impact on exports from various industrial sectors. The main reason behind such a fall in export level is that the exchange rate volatility impacts the perspective of consumers on future prices. As a result, risk-averse consumers opt out of consumption activities leading to a fall in demand. Thus, the export levels are also impacted negatively. The </w:t>
      </w:r>
      <w:r>
        <w:rPr>
          <w:rFonts w:eastAsiaTheme="minorEastAsia"/>
          <w:lang w:eastAsia="zh-CN"/>
        </w:rPr>
        <w:lastRenderedPageBreak/>
        <w:t xml:space="preserve">same has also been highlighted in another study by Dada (2021), who revealed that currency volatility has a negative and significant effect on trade because of the reaction of consumers and investors to the news of exchange rate volatility. Consumers react more to adverse news than positive news (Noh et al., 2025). As a result of this, the trade is eventually impacted negatively. The fluctuations in the exchange rate also impact the dynamics of the export market. </w:t>
      </w:r>
      <w:r>
        <w:rPr>
          <w:rFonts w:eastAsiaTheme="minorEastAsia"/>
          <w:highlight w:val="yellow"/>
          <w:lang w:eastAsia="zh-CN"/>
        </w:rPr>
        <w:t>As per Huang (2017), the volatility growth of RMB by 10 per cent leads to an increased likelihood of exporters leaving the market by 0.14 per cent to 0.19 per cent. Moreover, this also implies that new entrants of exporters to the market would reduce by 70 per cent. as a result, this shows that exchange rate volatility could also impact exporter head. This can impact the total exports from the Chinese economy as well. B</w:t>
      </w:r>
      <w:r>
        <w:rPr>
          <w:rFonts w:eastAsiaTheme="minorEastAsia"/>
          <w:lang w:eastAsia="zh-CN"/>
        </w:rPr>
        <w:t>ased on these insights the following research hypothesis could be formulated:</w:t>
      </w:r>
    </w:p>
    <w:p w:rsidR="000E123E" w:rsidRDefault="00000000">
      <w:pPr>
        <w:pStyle w:val="SCC38bullet"/>
        <w:rPr>
          <w:rFonts w:eastAsiaTheme="minorEastAsia"/>
        </w:rPr>
      </w:pPr>
      <w:r>
        <w:rPr>
          <w:rFonts w:eastAsiaTheme="minorEastAsia"/>
        </w:rPr>
        <w:t xml:space="preserve">H0: The currency fluctuation leads to a significant fall in exports. </w:t>
      </w:r>
    </w:p>
    <w:p w:rsidR="000E123E" w:rsidRDefault="00000000">
      <w:pPr>
        <w:pStyle w:val="SCC38bullet"/>
        <w:rPr>
          <w:rFonts w:eastAsiaTheme="minorEastAsia"/>
        </w:rPr>
      </w:pPr>
      <w:r>
        <w:rPr>
          <w:rFonts w:eastAsiaTheme="minorEastAsia"/>
        </w:rPr>
        <w:t>H1: The currency fluctuation does not lead to a significant fall in exports.</w:t>
      </w:r>
    </w:p>
    <w:p w:rsidR="000E123E" w:rsidRDefault="00000000">
      <w:pPr>
        <w:pStyle w:val="SCC22heading2"/>
        <w:rPr>
          <w:rFonts w:eastAsiaTheme="minorEastAsia"/>
        </w:rPr>
      </w:pPr>
      <w:r>
        <w:rPr>
          <w:rFonts w:eastAsiaTheme="minorEastAsia"/>
        </w:rPr>
        <w:t xml:space="preserve">2.3 Relation between Currency Fluctuation and Exports of Agricultural Products from Developing Nations </w:t>
      </w:r>
    </w:p>
    <w:p w:rsidR="000E123E" w:rsidRDefault="00000000">
      <w:pPr>
        <w:pStyle w:val="SCC31text"/>
        <w:rPr>
          <w:rFonts w:eastAsiaTheme="minorEastAsia"/>
          <w:lang w:eastAsia="zh-CN"/>
        </w:rPr>
      </w:pPr>
      <w:r>
        <w:rPr>
          <w:rFonts w:eastAsiaTheme="minorEastAsia"/>
          <w:lang w:eastAsia="zh-CN"/>
        </w:rPr>
        <w:t xml:space="preserve">Like the impact on other industries, the foreign exchange rate fluctuation also has a relevant impact on the export of agriculture-based products from developing nations. As per Nguyen (2022), the export of products such as rice and coffee could not reach the potential export levels because of exchange rate fluctuations in Vietnam. This could be </w:t>
      </w:r>
      <w:proofErr w:type="spellStart"/>
      <w:r>
        <w:rPr>
          <w:rFonts w:eastAsiaTheme="minorEastAsia"/>
          <w:lang w:eastAsia="zh-CN"/>
        </w:rPr>
        <w:t>analysed</w:t>
      </w:r>
      <w:proofErr w:type="spellEnd"/>
      <w:r>
        <w:rPr>
          <w:rFonts w:eastAsiaTheme="minorEastAsia"/>
          <w:lang w:eastAsia="zh-CN"/>
        </w:rPr>
        <w:t xml:space="preserve"> using the gravity model using data on exchange rate, macroeconomic factors and agricultural productivity and exports from Vietnam. The increase in exchange rate fluctuations increases the volatility in the market and the same discourages consumers from activities. The same diminishes the export levels and hinders agricultural exports from reaching the potential levels in developing nations such as Vietnam. A similar result is also found in the Chinese economy. A study by Abdullahi et al. (2022), found that there has been an adverse effect on the export of agricultural products from China because of currency depreciation. This currency fluctuation impacted the level of comparative advantage held by China with respect to agricultural exports, as the currency volatility led to an increase in the price of agricultural products in international markets. As a result, consumers opted for other countries, which eventually impacted the agricultural exports from China negatively. Furthermore, the same study by Abdullahi et al. (2022) also found that there has been a 51% gap in its agriculture exports with its trading partners. This further shows that exchange rate volatility plays a critical role in the determination of agricultural exports from developing countries. </w:t>
      </w:r>
      <w:r>
        <w:rPr>
          <w:rFonts w:eastAsiaTheme="minorEastAsia"/>
          <w:highlight w:val="yellow"/>
          <w:lang w:eastAsia="zh-CN"/>
        </w:rPr>
        <w:t>Another study by Mao (2019) finds that an appreciation in the real exchange rate by 1 per cent would create a 1.6 per cent fall in total export values of agricultural products. This result is concluded by using a firm-product-country level data from China.</w:t>
      </w:r>
      <w:r>
        <w:rPr>
          <w:rFonts w:eastAsiaTheme="minorEastAsia"/>
          <w:lang w:eastAsia="zh-CN"/>
        </w:rPr>
        <w:t xml:space="preserve"> Based on this literature, the following hypothesis could be drawn. </w:t>
      </w:r>
    </w:p>
    <w:p w:rsidR="000E123E" w:rsidRDefault="00000000">
      <w:pPr>
        <w:pStyle w:val="SCC38bullet"/>
        <w:rPr>
          <w:rFonts w:eastAsiaTheme="minorEastAsia"/>
        </w:rPr>
      </w:pPr>
      <w:r>
        <w:rPr>
          <w:rFonts w:eastAsiaTheme="minorEastAsia"/>
        </w:rPr>
        <w:t xml:space="preserve">H0: The ER fluctuation statistically impacts the trade for agricultural-based products. </w:t>
      </w:r>
    </w:p>
    <w:p w:rsidR="000E123E" w:rsidRDefault="00000000">
      <w:pPr>
        <w:pStyle w:val="SCC38bullet"/>
        <w:rPr>
          <w:rFonts w:eastAsiaTheme="minorEastAsia"/>
        </w:rPr>
      </w:pPr>
      <w:r>
        <w:rPr>
          <w:rFonts w:eastAsiaTheme="minorEastAsia"/>
        </w:rPr>
        <w:t>H1: The ER fluctuation does not have a statistical impact on agricultural-based products.</w:t>
      </w:r>
    </w:p>
    <w:p w:rsidR="000E123E" w:rsidRDefault="00000000">
      <w:pPr>
        <w:pStyle w:val="SCC22heading2"/>
        <w:rPr>
          <w:rFonts w:eastAsiaTheme="minorEastAsia"/>
        </w:rPr>
      </w:pPr>
      <w:r>
        <w:rPr>
          <w:rFonts w:eastAsiaTheme="minorEastAsia"/>
        </w:rPr>
        <w:t xml:space="preserve">2.4 Research Gap </w:t>
      </w:r>
    </w:p>
    <w:p w:rsidR="000E123E" w:rsidRDefault="00000000">
      <w:pPr>
        <w:pStyle w:val="SCC31text"/>
        <w:rPr>
          <w:rFonts w:eastAsiaTheme="minorEastAsia"/>
          <w:lang w:eastAsia="zh-CN"/>
        </w:rPr>
      </w:pPr>
      <w:r>
        <w:rPr>
          <w:rFonts w:eastAsiaTheme="minorEastAsia"/>
          <w:lang w:eastAsia="zh-CN"/>
        </w:rPr>
        <w:t xml:space="preserve">From the literature, it could be assessed that studies like Abdullahi et al. (2022), used a gravity model to understand the gap in its agriculture exports due to exchange rate volatility in China. Moreover, papers like Dada (2021), provided a greater theoretical overview on how exchange rate volatility impacts the export levels and trade. However, there is a substantial gap in the literature to analyze the absolute impact of Currency market turbulence on agricultural exports from China. The same gap is addressed in the study using the latest data available. </w:t>
      </w:r>
    </w:p>
    <w:p w:rsidR="000E123E" w:rsidRDefault="000E123E">
      <w:pPr>
        <w:pStyle w:val="SCC31text"/>
        <w:rPr>
          <w:rFonts w:eastAsiaTheme="minorEastAsia"/>
          <w:lang w:eastAsia="zh-CN"/>
        </w:rPr>
      </w:pPr>
    </w:p>
    <w:p w:rsidR="000E123E" w:rsidRDefault="00000000">
      <w:pPr>
        <w:pStyle w:val="SCC21heading1"/>
        <w:rPr>
          <w:rFonts w:eastAsiaTheme="minorEastAsia"/>
          <w:lang w:eastAsia="zh-CN"/>
        </w:rPr>
      </w:pPr>
      <w:r>
        <w:rPr>
          <w:rFonts w:eastAsiaTheme="minorEastAsia"/>
        </w:rPr>
        <w:t>3. M</w:t>
      </w:r>
      <w:r>
        <w:rPr>
          <w:rFonts w:eastAsiaTheme="minorEastAsia" w:hint="eastAsia"/>
          <w:lang w:eastAsia="zh-CN"/>
        </w:rPr>
        <w:t>ethodology</w:t>
      </w:r>
    </w:p>
    <w:p w:rsidR="000E123E" w:rsidRDefault="00000000">
      <w:pPr>
        <w:pStyle w:val="SCC22heading2"/>
        <w:rPr>
          <w:rFonts w:eastAsiaTheme="minorEastAsia"/>
        </w:rPr>
      </w:pPr>
      <w:r>
        <w:rPr>
          <w:rFonts w:eastAsiaTheme="minorEastAsia"/>
        </w:rPr>
        <w:t xml:space="preserve">3.1 Design of the Research </w:t>
      </w:r>
    </w:p>
    <w:p w:rsidR="000E123E" w:rsidRDefault="00000000">
      <w:pPr>
        <w:pStyle w:val="SCC31text"/>
        <w:rPr>
          <w:rFonts w:eastAsiaTheme="minorEastAsia"/>
          <w:lang w:eastAsia="zh-CN"/>
        </w:rPr>
      </w:pPr>
      <w:r>
        <w:rPr>
          <w:rFonts w:eastAsiaTheme="minorEastAsia"/>
          <w:lang w:eastAsia="zh-CN"/>
        </w:rPr>
        <w:t xml:space="preserve">A quantitative research design is used to analyze the impact of currency rate volatility on the outflow of agricultural products. As per the study by Bloomfield and Fisher (2019), the quantitative research design allows to test of the statistical significance using data and analysis of the research hypothesis. An OLS Regression methodology has been considered for the same (Archontoulis &amp; Miguez, 2015).  </w:t>
      </w:r>
    </w:p>
    <w:p w:rsidR="00651C6D" w:rsidRDefault="00651C6D" w:rsidP="00651C6D">
      <w:pPr>
        <w:pStyle w:val="SCC22heading2"/>
        <w:rPr>
          <w:rFonts w:eastAsiaTheme="minorEastAsia"/>
        </w:rPr>
      </w:pPr>
      <w:r>
        <w:rPr>
          <w:rFonts w:eastAsiaTheme="minorEastAsia"/>
        </w:rPr>
        <w:t xml:space="preserve">3.2 Data and Sources </w:t>
      </w:r>
    </w:p>
    <w:p w:rsidR="00651C6D" w:rsidRDefault="00651C6D" w:rsidP="00651C6D">
      <w:pPr>
        <w:pStyle w:val="SCC31text"/>
        <w:ind w:left="0" w:firstLine="0"/>
        <w:rPr>
          <w:rFonts w:eastAsiaTheme="minorEastAsia"/>
          <w:lang w:eastAsia="zh-CN"/>
        </w:rPr>
      </w:pPr>
    </w:p>
    <w:p w:rsidR="000E123E" w:rsidRDefault="00000000">
      <w:pPr>
        <w:pStyle w:val="SCC31text"/>
        <w:rPr>
          <w:rFonts w:eastAsiaTheme="minorEastAsia"/>
          <w:highlight w:val="yellow"/>
          <w:lang w:eastAsia="zh-CN"/>
        </w:rPr>
      </w:pPr>
      <w:r>
        <w:rPr>
          <w:rFonts w:eastAsiaTheme="minorEastAsia"/>
          <w:lang w:eastAsia="zh-CN"/>
        </w:rPr>
        <w:t>The study considers</w:t>
      </w:r>
      <w:r w:rsidR="00651C6D">
        <w:rPr>
          <w:rFonts w:eastAsiaTheme="minorEastAsia"/>
          <w:lang w:eastAsia="zh-CN"/>
        </w:rPr>
        <w:t xml:space="preserve"> data</w:t>
      </w:r>
      <w:r>
        <w:rPr>
          <w:rFonts w:eastAsiaTheme="minorEastAsia"/>
          <w:lang w:eastAsia="zh-CN"/>
        </w:rPr>
        <w:t xml:space="preserve"> trade between China and the USA. This is because as per the WITS (2025), the United States had the highest level of Agricultural Raw Materials exports from China. The absolute value for the same was 0.97 million USD, which was approximately 8.90 percent of the total agricultural trade. Hence, the currency shocks between the USA and China have been considered in the paper. </w:t>
      </w:r>
      <w:r>
        <w:rPr>
          <w:rFonts w:eastAsiaTheme="minorEastAsia"/>
          <w:highlight w:val="yellow"/>
          <w:lang w:eastAsia="zh-CN"/>
        </w:rPr>
        <w:t xml:space="preserve">The period of the study is considered between 1994 and 2023. This is one </w:t>
      </w:r>
      <w:r>
        <w:rPr>
          <w:rFonts w:eastAsiaTheme="minorEastAsia"/>
          <w:highlight w:val="yellow"/>
          <w:lang w:eastAsia="zh-CN"/>
        </w:rPr>
        <w:lastRenderedPageBreak/>
        <w:t>of the most dynamic periods in the world with respect to global trade, as many countries joined the WTO during this period. Moreover, the period between 1994 and 2023 also saw a number of structural shocks with respect to global crises (</w:t>
      </w:r>
      <w:r>
        <w:rPr>
          <w:highlight w:val="yellow"/>
          <w:shd w:val="clear" w:color="auto" w:fill="FFFFFF"/>
          <w:lang w:val="en-IN"/>
        </w:rPr>
        <w:t>Şengül, 2023)</w:t>
      </w:r>
      <w:r>
        <w:rPr>
          <w:rFonts w:eastAsiaTheme="minorEastAsia"/>
          <w:highlight w:val="yellow"/>
          <w:lang w:eastAsia="zh-CN"/>
        </w:rPr>
        <w:t>. Hence, this led to the usage of the time period for the study.</w:t>
      </w:r>
      <w:r w:rsidR="00107EE3" w:rsidRPr="00107EE3">
        <w:t xml:space="preserve"> </w:t>
      </w:r>
      <w:r w:rsidR="00107EE3" w:rsidRPr="00107EE3">
        <w:rPr>
          <w:rFonts w:eastAsiaTheme="minorEastAsia"/>
          <w:lang w:eastAsia="zh-CN"/>
        </w:rPr>
        <w:t>Although the period 1994 to 2023 captures global trade liberalization trends, it also encompasses recent shocks such as the COVID-19 pandemic and the Russia-Ukraine conflict</w:t>
      </w:r>
      <w:r w:rsidR="00107EE3">
        <w:rPr>
          <w:rFonts w:eastAsiaTheme="minorEastAsia"/>
          <w:lang w:eastAsia="zh-CN"/>
        </w:rPr>
        <w:t xml:space="preserve"> (</w:t>
      </w:r>
      <w:proofErr w:type="spellStart"/>
      <w:r w:rsidR="00107EE3">
        <w:rPr>
          <w:rFonts w:eastAsiaTheme="minorEastAsia"/>
          <w:lang w:eastAsia="zh-CN"/>
        </w:rPr>
        <w:t>Chortane</w:t>
      </w:r>
      <w:proofErr w:type="spellEnd"/>
      <w:r w:rsidR="00107EE3">
        <w:rPr>
          <w:rFonts w:eastAsiaTheme="minorEastAsia"/>
          <w:lang w:eastAsia="zh-CN"/>
        </w:rPr>
        <w:t xml:space="preserve"> et al., 2022). Thus, this justifies the usage of the time frame. </w:t>
      </w:r>
    </w:p>
    <w:p w:rsidR="002A79F2" w:rsidRDefault="002A79F2" w:rsidP="002A79F2">
      <w:pPr>
        <w:pStyle w:val="SCC41tablecaption"/>
        <w:rPr>
          <w:rFonts w:eastAsiaTheme="minorEastAsia"/>
          <w:i/>
          <w:iCs/>
          <w:lang w:val="en-GB" w:eastAsia="zh-CN"/>
        </w:rPr>
      </w:pPr>
      <w:r>
        <w:t xml:space="preserve">Table </w:t>
      </w:r>
      <w:r>
        <w:fldChar w:fldCharType="begin"/>
      </w:r>
      <w:r>
        <w:instrText xml:space="preserve"> SEQ Table \* ARABIC </w:instrText>
      </w:r>
      <w:r>
        <w:fldChar w:fldCharType="separate"/>
      </w:r>
      <w:r>
        <w:t>1</w:t>
      </w:r>
      <w:r>
        <w:fldChar w:fldCharType="end"/>
      </w:r>
      <w:r>
        <w:t>: Variables and Abbreviation Table</w:t>
      </w:r>
    </w:p>
    <w:tbl>
      <w:tblPr>
        <w:tblStyle w:val="TableGrid"/>
        <w:tblW w:w="0" w:type="auto"/>
        <w:jc w:val="right"/>
        <w:tblLook w:val="04A0" w:firstRow="1" w:lastRow="0" w:firstColumn="1" w:lastColumn="0" w:noHBand="0" w:noVBand="1"/>
      </w:tblPr>
      <w:tblGrid>
        <w:gridCol w:w="1520"/>
        <w:gridCol w:w="1402"/>
        <w:gridCol w:w="1511"/>
        <w:gridCol w:w="1484"/>
        <w:gridCol w:w="1460"/>
      </w:tblGrid>
      <w:tr w:rsidR="002A79F2" w:rsidTr="00321494">
        <w:trPr>
          <w:trHeight w:val="547"/>
          <w:jc w:val="right"/>
        </w:trPr>
        <w:tc>
          <w:tcPr>
            <w:tcW w:w="1520" w:type="dxa"/>
          </w:tcPr>
          <w:p w:rsidR="002A79F2" w:rsidRDefault="002A79F2" w:rsidP="00321494">
            <w:pPr>
              <w:pStyle w:val="SCC42tablebody"/>
            </w:pPr>
            <w:r>
              <w:t>Variables</w:t>
            </w:r>
          </w:p>
        </w:tc>
        <w:tc>
          <w:tcPr>
            <w:tcW w:w="1402" w:type="dxa"/>
          </w:tcPr>
          <w:p w:rsidR="002A79F2" w:rsidRDefault="002A79F2" w:rsidP="00321494">
            <w:pPr>
              <w:pStyle w:val="SCC42tablebody"/>
            </w:pPr>
          </w:p>
        </w:tc>
        <w:tc>
          <w:tcPr>
            <w:tcW w:w="1511" w:type="dxa"/>
          </w:tcPr>
          <w:p w:rsidR="002A79F2" w:rsidRDefault="002A79F2" w:rsidP="00321494">
            <w:pPr>
              <w:pStyle w:val="SCC42tablebody"/>
            </w:pPr>
            <w:r>
              <w:t>Indicators</w:t>
            </w:r>
          </w:p>
        </w:tc>
        <w:tc>
          <w:tcPr>
            <w:tcW w:w="1484" w:type="dxa"/>
          </w:tcPr>
          <w:p w:rsidR="002A79F2" w:rsidRDefault="002A79F2" w:rsidP="00321494">
            <w:pPr>
              <w:pStyle w:val="SCC42tablebody"/>
            </w:pPr>
            <w:r>
              <w:t>Source</w:t>
            </w:r>
          </w:p>
        </w:tc>
        <w:tc>
          <w:tcPr>
            <w:tcW w:w="1460" w:type="dxa"/>
          </w:tcPr>
          <w:p w:rsidR="002A79F2" w:rsidRDefault="002A79F2" w:rsidP="00321494">
            <w:pPr>
              <w:pStyle w:val="SCC42tablebody"/>
            </w:pPr>
            <w:r>
              <w:t>Abbreviation</w:t>
            </w:r>
          </w:p>
        </w:tc>
      </w:tr>
      <w:tr w:rsidR="002A79F2" w:rsidTr="00321494">
        <w:trPr>
          <w:trHeight w:val="516"/>
          <w:jc w:val="right"/>
        </w:trPr>
        <w:tc>
          <w:tcPr>
            <w:tcW w:w="1520" w:type="dxa"/>
          </w:tcPr>
          <w:p w:rsidR="002A79F2" w:rsidRDefault="002A79F2" w:rsidP="00321494">
            <w:pPr>
              <w:pStyle w:val="SCC42tablebody"/>
            </w:pPr>
            <w:r>
              <w:t>Dependent Variable</w:t>
            </w:r>
          </w:p>
        </w:tc>
        <w:tc>
          <w:tcPr>
            <w:tcW w:w="1402" w:type="dxa"/>
          </w:tcPr>
          <w:p w:rsidR="002A79F2" w:rsidRDefault="002A79F2" w:rsidP="00321494">
            <w:pPr>
              <w:pStyle w:val="SCC42tablebody"/>
            </w:pPr>
          </w:p>
        </w:tc>
        <w:tc>
          <w:tcPr>
            <w:tcW w:w="1511" w:type="dxa"/>
          </w:tcPr>
          <w:p w:rsidR="002A79F2" w:rsidRDefault="002A79F2" w:rsidP="00321494">
            <w:pPr>
              <w:pStyle w:val="SCC42tablebody"/>
            </w:pPr>
          </w:p>
        </w:tc>
        <w:tc>
          <w:tcPr>
            <w:tcW w:w="1484" w:type="dxa"/>
          </w:tcPr>
          <w:p w:rsidR="002A79F2" w:rsidRDefault="002A79F2" w:rsidP="00321494">
            <w:pPr>
              <w:pStyle w:val="SCC42tablebody"/>
            </w:pPr>
          </w:p>
        </w:tc>
        <w:tc>
          <w:tcPr>
            <w:tcW w:w="1460" w:type="dxa"/>
          </w:tcPr>
          <w:p w:rsidR="002A79F2" w:rsidRDefault="002A79F2" w:rsidP="00321494">
            <w:pPr>
              <w:pStyle w:val="SCC42tablebody"/>
            </w:pPr>
          </w:p>
        </w:tc>
      </w:tr>
      <w:tr w:rsidR="002A79F2" w:rsidTr="00321494">
        <w:trPr>
          <w:trHeight w:val="1095"/>
          <w:jc w:val="right"/>
        </w:trPr>
        <w:tc>
          <w:tcPr>
            <w:tcW w:w="1520" w:type="dxa"/>
          </w:tcPr>
          <w:p w:rsidR="002A79F2" w:rsidRDefault="002A79F2" w:rsidP="00321494">
            <w:pPr>
              <w:pStyle w:val="SCC42tablebody"/>
            </w:pPr>
            <w:r>
              <w:t>Agricultural Export Revenue</w:t>
            </w:r>
          </w:p>
        </w:tc>
        <w:tc>
          <w:tcPr>
            <w:tcW w:w="1402" w:type="dxa"/>
          </w:tcPr>
          <w:p w:rsidR="002A79F2" w:rsidRDefault="002A79F2" w:rsidP="00321494">
            <w:pPr>
              <w:pStyle w:val="SCC42tablebody"/>
            </w:pPr>
          </w:p>
        </w:tc>
        <w:tc>
          <w:tcPr>
            <w:tcW w:w="1511" w:type="dxa"/>
          </w:tcPr>
          <w:p w:rsidR="002A79F2" w:rsidRDefault="002A79F2" w:rsidP="00321494">
            <w:pPr>
              <w:pStyle w:val="SCC42tablebody"/>
            </w:pPr>
            <w:r>
              <w:t>Agricultural Exports</w:t>
            </w:r>
          </w:p>
        </w:tc>
        <w:tc>
          <w:tcPr>
            <w:tcW w:w="1484" w:type="dxa"/>
          </w:tcPr>
          <w:p w:rsidR="002A79F2" w:rsidRDefault="002A79F2" w:rsidP="00321494">
            <w:pPr>
              <w:pStyle w:val="SCC42tablebody"/>
            </w:pPr>
            <w:r>
              <w:t>(World Bank, 2025)</w:t>
            </w:r>
          </w:p>
        </w:tc>
        <w:tc>
          <w:tcPr>
            <w:tcW w:w="1460" w:type="dxa"/>
          </w:tcPr>
          <w:p w:rsidR="002A79F2" w:rsidRDefault="002A79F2" w:rsidP="00321494">
            <w:pPr>
              <w:pStyle w:val="SCC42tablebody"/>
            </w:pPr>
            <w:proofErr w:type="spellStart"/>
            <w:r>
              <w:t>Agro</w:t>
            </w:r>
            <w:proofErr w:type="spellEnd"/>
            <w:r>
              <w:t xml:space="preserve"> ER</w:t>
            </w:r>
          </w:p>
        </w:tc>
      </w:tr>
      <w:tr w:rsidR="002A79F2" w:rsidTr="00321494">
        <w:trPr>
          <w:trHeight w:val="1095"/>
          <w:jc w:val="right"/>
        </w:trPr>
        <w:tc>
          <w:tcPr>
            <w:tcW w:w="1520" w:type="dxa"/>
          </w:tcPr>
          <w:p w:rsidR="002A79F2" w:rsidRDefault="002A79F2" w:rsidP="00321494">
            <w:pPr>
              <w:pStyle w:val="SCC42tablebody"/>
            </w:pPr>
            <w:r>
              <w:t>Total Export</w:t>
            </w:r>
          </w:p>
        </w:tc>
        <w:tc>
          <w:tcPr>
            <w:tcW w:w="1402" w:type="dxa"/>
          </w:tcPr>
          <w:p w:rsidR="002A79F2" w:rsidRDefault="002A79F2" w:rsidP="00321494">
            <w:pPr>
              <w:pStyle w:val="SCC42tablebody"/>
            </w:pPr>
          </w:p>
        </w:tc>
        <w:tc>
          <w:tcPr>
            <w:tcW w:w="1511" w:type="dxa"/>
          </w:tcPr>
          <w:p w:rsidR="002A79F2" w:rsidRDefault="002A79F2" w:rsidP="00321494">
            <w:pPr>
              <w:pStyle w:val="SCC42tablebody"/>
            </w:pPr>
            <w:r>
              <w:t xml:space="preserve">Export of Goods and Services </w:t>
            </w:r>
          </w:p>
        </w:tc>
        <w:tc>
          <w:tcPr>
            <w:tcW w:w="1484" w:type="dxa"/>
          </w:tcPr>
          <w:p w:rsidR="002A79F2" w:rsidRDefault="002A79F2" w:rsidP="00321494">
            <w:pPr>
              <w:pStyle w:val="SCC42tablebody"/>
            </w:pPr>
          </w:p>
        </w:tc>
        <w:tc>
          <w:tcPr>
            <w:tcW w:w="1460" w:type="dxa"/>
          </w:tcPr>
          <w:p w:rsidR="002A79F2" w:rsidRDefault="002A79F2" w:rsidP="00321494">
            <w:pPr>
              <w:pStyle w:val="SCC42tablebody"/>
            </w:pPr>
            <w:r>
              <w:t>Total EXP</w:t>
            </w:r>
          </w:p>
        </w:tc>
      </w:tr>
      <w:tr w:rsidR="002A79F2" w:rsidTr="00321494">
        <w:trPr>
          <w:trHeight w:val="516"/>
          <w:jc w:val="right"/>
        </w:trPr>
        <w:tc>
          <w:tcPr>
            <w:tcW w:w="1520" w:type="dxa"/>
          </w:tcPr>
          <w:p w:rsidR="002A79F2" w:rsidRDefault="002A79F2" w:rsidP="00321494">
            <w:pPr>
              <w:pStyle w:val="SCC42tablebody"/>
            </w:pPr>
            <w:r>
              <w:t>Independent Variable</w:t>
            </w:r>
          </w:p>
        </w:tc>
        <w:tc>
          <w:tcPr>
            <w:tcW w:w="1402" w:type="dxa"/>
          </w:tcPr>
          <w:p w:rsidR="002A79F2" w:rsidRDefault="002A79F2" w:rsidP="00321494">
            <w:pPr>
              <w:pStyle w:val="SCC42tablebody"/>
            </w:pPr>
          </w:p>
        </w:tc>
        <w:tc>
          <w:tcPr>
            <w:tcW w:w="1511" w:type="dxa"/>
          </w:tcPr>
          <w:p w:rsidR="002A79F2" w:rsidRDefault="002A79F2" w:rsidP="00321494">
            <w:pPr>
              <w:pStyle w:val="SCC42tablebody"/>
            </w:pPr>
          </w:p>
        </w:tc>
        <w:tc>
          <w:tcPr>
            <w:tcW w:w="1484" w:type="dxa"/>
          </w:tcPr>
          <w:p w:rsidR="002A79F2" w:rsidRDefault="002A79F2" w:rsidP="00321494">
            <w:pPr>
              <w:pStyle w:val="SCC42tablebody"/>
            </w:pPr>
          </w:p>
        </w:tc>
        <w:tc>
          <w:tcPr>
            <w:tcW w:w="1460" w:type="dxa"/>
          </w:tcPr>
          <w:p w:rsidR="002A79F2" w:rsidRDefault="002A79F2" w:rsidP="00321494">
            <w:pPr>
              <w:pStyle w:val="SCC42tablebody"/>
            </w:pPr>
          </w:p>
        </w:tc>
      </w:tr>
      <w:tr w:rsidR="002A79F2" w:rsidTr="00321494">
        <w:trPr>
          <w:trHeight w:val="1642"/>
          <w:jc w:val="right"/>
        </w:trPr>
        <w:tc>
          <w:tcPr>
            <w:tcW w:w="1520" w:type="dxa"/>
          </w:tcPr>
          <w:p w:rsidR="002A79F2" w:rsidRDefault="002A79F2" w:rsidP="00321494">
            <w:pPr>
              <w:pStyle w:val="SCC42tablebody"/>
            </w:pPr>
            <w:r>
              <w:t>RMB/USD</w:t>
            </w:r>
          </w:p>
        </w:tc>
        <w:tc>
          <w:tcPr>
            <w:tcW w:w="1402" w:type="dxa"/>
          </w:tcPr>
          <w:p w:rsidR="002A79F2" w:rsidRDefault="002A79F2" w:rsidP="00321494">
            <w:pPr>
              <w:pStyle w:val="SCC42tablebody"/>
            </w:pPr>
          </w:p>
        </w:tc>
        <w:tc>
          <w:tcPr>
            <w:tcW w:w="1511" w:type="dxa"/>
          </w:tcPr>
          <w:p w:rsidR="002A79F2" w:rsidRDefault="002A79F2" w:rsidP="00321494">
            <w:pPr>
              <w:pStyle w:val="SCC42tablebody"/>
            </w:pPr>
            <w:r>
              <w:t>Chinese Yuan Renminbi to U.S. Dollar Spot Exchange Rate</w:t>
            </w:r>
          </w:p>
        </w:tc>
        <w:tc>
          <w:tcPr>
            <w:tcW w:w="1484" w:type="dxa"/>
          </w:tcPr>
          <w:p w:rsidR="002A79F2" w:rsidRDefault="002A79F2" w:rsidP="00321494">
            <w:pPr>
              <w:pStyle w:val="SCC42tablebody"/>
            </w:pPr>
            <w:r>
              <w:t>(FRED, 2025)</w:t>
            </w:r>
          </w:p>
        </w:tc>
        <w:tc>
          <w:tcPr>
            <w:tcW w:w="1460" w:type="dxa"/>
          </w:tcPr>
          <w:p w:rsidR="002A79F2" w:rsidRDefault="002A79F2" w:rsidP="00321494">
            <w:pPr>
              <w:pStyle w:val="SCC42tablebody"/>
            </w:pPr>
            <w:r>
              <w:t>ER</w:t>
            </w:r>
          </w:p>
        </w:tc>
      </w:tr>
      <w:tr w:rsidR="002A79F2" w:rsidTr="00321494">
        <w:trPr>
          <w:trHeight w:val="1095"/>
          <w:jc w:val="right"/>
        </w:trPr>
        <w:tc>
          <w:tcPr>
            <w:tcW w:w="1520" w:type="dxa"/>
          </w:tcPr>
          <w:p w:rsidR="002A79F2" w:rsidRDefault="002A79F2" w:rsidP="00321494">
            <w:pPr>
              <w:pStyle w:val="SCC42tablebody"/>
            </w:pPr>
            <w:r>
              <w:t>Exchange Rate Volatility</w:t>
            </w:r>
          </w:p>
        </w:tc>
        <w:tc>
          <w:tcPr>
            <w:tcW w:w="1402" w:type="dxa"/>
          </w:tcPr>
          <w:p w:rsidR="002A79F2" w:rsidRDefault="002A79F2" w:rsidP="00321494">
            <w:pPr>
              <w:pStyle w:val="SCC42tablebody"/>
            </w:pPr>
          </w:p>
        </w:tc>
        <w:tc>
          <w:tcPr>
            <w:tcW w:w="1511" w:type="dxa"/>
          </w:tcPr>
          <w:p w:rsidR="002A79F2" w:rsidRDefault="002A79F2" w:rsidP="00321494">
            <w:pPr>
              <w:pStyle w:val="SCC42tablebody"/>
            </w:pPr>
          </w:p>
        </w:tc>
        <w:tc>
          <w:tcPr>
            <w:tcW w:w="1484" w:type="dxa"/>
          </w:tcPr>
          <w:p w:rsidR="002A79F2" w:rsidRDefault="002A79F2" w:rsidP="00321494">
            <w:pPr>
              <w:pStyle w:val="SCC42tablebody"/>
            </w:pPr>
            <w:r>
              <w:t>Derived using Equation 1</w:t>
            </w:r>
          </w:p>
        </w:tc>
        <w:tc>
          <w:tcPr>
            <w:tcW w:w="1460" w:type="dxa"/>
          </w:tcPr>
          <w:p w:rsidR="002A79F2" w:rsidRDefault="002A79F2" w:rsidP="00321494">
            <w:pPr>
              <w:pStyle w:val="SCC42tablebody"/>
            </w:pPr>
            <w:r>
              <w:t>ERV</w:t>
            </w:r>
          </w:p>
        </w:tc>
      </w:tr>
      <w:tr w:rsidR="002A79F2" w:rsidTr="00321494">
        <w:trPr>
          <w:trHeight w:val="516"/>
          <w:jc w:val="right"/>
        </w:trPr>
        <w:tc>
          <w:tcPr>
            <w:tcW w:w="1520" w:type="dxa"/>
          </w:tcPr>
          <w:p w:rsidR="002A79F2" w:rsidRDefault="002A79F2" w:rsidP="00321494">
            <w:pPr>
              <w:pStyle w:val="SCC42tablebody"/>
            </w:pPr>
            <w:r>
              <w:t>Control Variables</w:t>
            </w:r>
          </w:p>
        </w:tc>
        <w:tc>
          <w:tcPr>
            <w:tcW w:w="1402" w:type="dxa"/>
          </w:tcPr>
          <w:p w:rsidR="002A79F2" w:rsidRDefault="002A79F2" w:rsidP="00321494">
            <w:pPr>
              <w:pStyle w:val="SCC42tablebody"/>
            </w:pPr>
          </w:p>
        </w:tc>
        <w:tc>
          <w:tcPr>
            <w:tcW w:w="1511" w:type="dxa"/>
          </w:tcPr>
          <w:p w:rsidR="002A79F2" w:rsidRDefault="002A79F2" w:rsidP="00321494">
            <w:pPr>
              <w:pStyle w:val="SCC42tablebody"/>
            </w:pPr>
          </w:p>
        </w:tc>
        <w:tc>
          <w:tcPr>
            <w:tcW w:w="1484" w:type="dxa"/>
          </w:tcPr>
          <w:p w:rsidR="002A79F2" w:rsidRDefault="002A79F2" w:rsidP="00321494">
            <w:pPr>
              <w:pStyle w:val="SCC42tablebody"/>
            </w:pPr>
          </w:p>
        </w:tc>
        <w:tc>
          <w:tcPr>
            <w:tcW w:w="1460" w:type="dxa"/>
          </w:tcPr>
          <w:p w:rsidR="002A79F2" w:rsidRDefault="002A79F2" w:rsidP="00321494">
            <w:pPr>
              <w:pStyle w:val="SCC42tablebody"/>
            </w:pPr>
          </w:p>
        </w:tc>
      </w:tr>
      <w:tr w:rsidR="002A79F2" w:rsidTr="00321494">
        <w:trPr>
          <w:trHeight w:val="1063"/>
          <w:jc w:val="right"/>
        </w:trPr>
        <w:tc>
          <w:tcPr>
            <w:tcW w:w="1520" w:type="dxa"/>
          </w:tcPr>
          <w:p w:rsidR="002A79F2" w:rsidRDefault="002A79F2" w:rsidP="00321494">
            <w:pPr>
              <w:pStyle w:val="SCC42tablebody"/>
            </w:pPr>
            <w:r>
              <w:t>Interest Rate</w:t>
            </w:r>
          </w:p>
        </w:tc>
        <w:tc>
          <w:tcPr>
            <w:tcW w:w="1402" w:type="dxa"/>
          </w:tcPr>
          <w:p w:rsidR="002A79F2" w:rsidRDefault="002A79F2" w:rsidP="00321494">
            <w:pPr>
              <w:pStyle w:val="SCC42tablebody"/>
            </w:pPr>
          </w:p>
        </w:tc>
        <w:tc>
          <w:tcPr>
            <w:tcW w:w="1511" w:type="dxa"/>
          </w:tcPr>
          <w:p w:rsidR="002A79F2" w:rsidRDefault="002A79F2" w:rsidP="00321494">
            <w:pPr>
              <w:pStyle w:val="SCC42tablebody"/>
            </w:pPr>
            <w:r>
              <w:t>Interest Rate (% Annual)</w:t>
            </w:r>
          </w:p>
        </w:tc>
        <w:tc>
          <w:tcPr>
            <w:tcW w:w="1484" w:type="dxa"/>
          </w:tcPr>
          <w:p w:rsidR="002A79F2" w:rsidRDefault="002A79F2" w:rsidP="00321494">
            <w:pPr>
              <w:pStyle w:val="SCC42tablebody"/>
            </w:pPr>
            <w:r>
              <w:t>(World Bank, 2025)</w:t>
            </w:r>
          </w:p>
        </w:tc>
        <w:tc>
          <w:tcPr>
            <w:tcW w:w="1460" w:type="dxa"/>
          </w:tcPr>
          <w:p w:rsidR="002A79F2" w:rsidRDefault="002A79F2" w:rsidP="00321494">
            <w:pPr>
              <w:pStyle w:val="SCC42tablebody"/>
            </w:pPr>
            <w:r>
              <w:t>INT Rate</w:t>
            </w:r>
          </w:p>
        </w:tc>
      </w:tr>
      <w:tr w:rsidR="002A79F2" w:rsidTr="00321494">
        <w:trPr>
          <w:trHeight w:val="1095"/>
          <w:jc w:val="right"/>
        </w:trPr>
        <w:tc>
          <w:tcPr>
            <w:tcW w:w="1520" w:type="dxa"/>
          </w:tcPr>
          <w:p w:rsidR="002A79F2" w:rsidRDefault="002A79F2" w:rsidP="00321494">
            <w:pPr>
              <w:pStyle w:val="SCC42tablebody"/>
            </w:pPr>
            <w:r>
              <w:t>Foreign Investment Inflow</w:t>
            </w:r>
          </w:p>
        </w:tc>
        <w:tc>
          <w:tcPr>
            <w:tcW w:w="1402" w:type="dxa"/>
          </w:tcPr>
          <w:p w:rsidR="002A79F2" w:rsidRDefault="002A79F2" w:rsidP="00321494">
            <w:pPr>
              <w:pStyle w:val="SCC42tablebody"/>
            </w:pPr>
          </w:p>
        </w:tc>
        <w:tc>
          <w:tcPr>
            <w:tcW w:w="1511" w:type="dxa"/>
          </w:tcPr>
          <w:p w:rsidR="002A79F2" w:rsidRDefault="002A79F2" w:rsidP="00321494">
            <w:pPr>
              <w:pStyle w:val="SCC42tablebody"/>
            </w:pPr>
            <w:r>
              <w:t>FDI Inflow (% of GDP) annual</w:t>
            </w:r>
          </w:p>
        </w:tc>
        <w:tc>
          <w:tcPr>
            <w:tcW w:w="1484" w:type="dxa"/>
          </w:tcPr>
          <w:p w:rsidR="002A79F2" w:rsidRDefault="002A79F2" w:rsidP="00321494">
            <w:pPr>
              <w:pStyle w:val="SCC42tablebody"/>
            </w:pPr>
            <w:r>
              <w:t>(World Bank, 2025)</w:t>
            </w:r>
          </w:p>
        </w:tc>
        <w:tc>
          <w:tcPr>
            <w:tcW w:w="1460" w:type="dxa"/>
          </w:tcPr>
          <w:p w:rsidR="002A79F2" w:rsidRDefault="002A79F2" w:rsidP="00321494">
            <w:pPr>
              <w:pStyle w:val="SCC42tablebody"/>
            </w:pPr>
            <w:r>
              <w:t>FDI Inflow</w:t>
            </w:r>
          </w:p>
        </w:tc>
      </w:tr>
      <w:tr w:rsidR="002A79F2" w:rsidTr="00321494">
        <w:trPr>
          <w:trHeight w:val="1063"/>
          <w:jc w:val="right"/>
        </w:trPr>
        <w:tc>
          <w:tcPr>
            <w:tcW w:w="1520" w:type="dxa"/>
          </w:tcPr>
          <w:p w:rsidR="002A79F2" w:rsidRDefault="002A79F2" w:rsidP="00321494">
            <w:pPr>
              <w:pStyle w:val="SCC42tablebody"/>
            </w:pPr>
            <w:r>
              <w:t xml:space="preserve">CPI Inflation </w:t>
            </w:r>
          </w:p>
        </w:tc>
        <w:tc>
          <w:tcPr>
            <w:tcW w:w="1402" w:type="dxa"/>
          </w:tcPr>
          <w:p w:rsidR="002A79F2" w:rsidRDefault="002A79F2" w:rsidP="00321494">
            <w:pPr>
              <w:pStyle w:val="SCC42tablebody"/>
            </w:pPr>
          </w:p>
        </w:tc>
        <w:tc>
          <w:tcPr>
            <w:tcW w:w="1511" w:type="dxa"/>
          </w:tcPr>
          <w:p w:rsidR="002A79F2" w:rsidRDefault="002A79F2" w:rsidP="00321494">
            <w:pPr>
              <w:pStyle w:val="SCC42tablebody"/>
            </w:pPr>
            <w:r>
              <w:t xml:space="preserve">Consumer Price Index (% growth) annual </w:t>
            </w:r>
          </w:p>
        </w:tc>
        <w:tc>
          <w:tcPr>
            <w:tcW w:w="1484" w:type="dxa"/>
          </w:tcPr>
          <w:p w:rsidR="002A79F2" w:rsidRDefault="002A79F2" w:rsidP="00321494">
            <w:pPr>
              <w:pStyle w:val="SCC42tablebody"/>
            </w:pPr>
            <w:r>
              <w:t>(World Bank, 2025)</w:t>
            </w:r>
          </w:p>
        </w:tc>
        <w:tc>
          <w:tcPr>
            <w:tcW w:w="1460" w:type="dxa"/>
          </w:tcPr>
          <w:p w:rsidR="002A79F2" w:rsidRDefault="002A79F2" w:rsidP="00321494">
            <w:pPr>
              <w:pStyle w:val="SCC42tablebody"/>
            </w:pPr>
            <w:r>
              <w:t xml:space="preserve">INF Rate </w:t>
            </w:r>
          </w:p>
        </w:tc>
      </w:tr>
    </w:tbl>
    <w:p w:rsidR="002A79F2" w:rsidRDefault="002A79F2" w:rsidP="002A79F2">
      <w:pPr>
        <w:pStyle w:val="SCC31text"/>
        <w:ind w:left="0" w:firstLine="0"/>
        <w:rPr>
          <w:rFonts w:eastAsiaTheme="minorEastAsia"/>
          <w:highlight w:val="yellow"/>
          <w:lang w:eastAsia="zh-CN"/>
        </w:rPr>
      </w:pPr>
    </w:p>
    <w:p w:rsidR="00651C6D" w:rsidRPr="00651C6D" w:rsidRDefault="00651C6D" w:rsidP="00651C6D">
      <w:pPr>
        <w:pStyle w:val="SCC22heading2"/>
        <w:rPr>
          <w:rFonts w:eastAsiaTheme="minorEastAsia"/>
        </w:rPr>
      </w:pPr>
      <w:r>
        <w:rPr>
          <w:rFonts w:eastAsiaTheme="minorEastAsia"/>
        </w:rPr>
        <w:t xml:space="preserve">3.3 Exchange Rate Volatility Estimation.  </w:t>
      </w:r>
    </w:p>
    <w:p w:rsidR="000E123E" w:rsidRDefault="00000000">
      <w:pPr>
        <w:pStyle w:val="SCC31text"/>
        <w:rPr>
          <w:rFonts w:eastAsiaTheme="minorEastAsia"/>
          <w:highlight w:val="yellow"/>
          <w:lang w:eastAsia="zh-CN"/>
        </w:rPr>
      </w:pPr>
      <w:r>
        <w:rPr>
          <w:rFonts w:eastAsiaTheme="minorEastAsia"/>
          <w:highlight w:val="yellow"/>
          <w:lang w:eastAsia="zh-CN"/>
        </w:rPr>
        <w:t xml:space="preserve">The currency volatility has been calculated using the ARCH (1) model. According to </w:t>
      </w:r>
      <w:proofErr w:type="spellStart"/>
      <w:r>
        <w:rPr>
          <w:rFonts w:eastAsiaTheme="minorEastAsia"/>
          <w:highlight w:val="yellow"/>
          <w:lang w:eastAsia="zh-CN"/>
        </w:rPr>
        <w:t>Marisetty</w:t>
      </w:r>
      <w:proofErr w:type="spellEnd"/>
      <w:r>
        <w:rPr>
          <w:rFonts w:eastAsiaTheme="minorEastAsia"/>
          <w:highlight w:val="yellow"/>
          <w:lang w:eastAsia="zh-CN"/>
        </w:rPr>
        <w:t xml:space="preserve"> (2024), the consideration of the ARCH model is integral while accounting for volatility as it provides a time-variant estimate of the volatility over the period of the study. This means the ARCH model allows the variance to change over time depending on past information. Hence, given the </w:t>
      </w:r>
      <w:r>
        <w:rPr>
          <w:rFonts w:eastAsiaTheme="minorEastAsia"/>
          <w:highlight w:val="yellow"/>
          <w:lang w:eastAsia="zh-CN"/>
        </w:rPr>
        <w:lastRenderedPageBreak/>
        <w:t>structure of the data, an ARCH (1) model has been used to find the volatility within the currency of RMB/USD. This is shown in the following equation:</w:t>
      </w:r>
    </w:p>
    <w:p w:rsidR="000E123E" w:rsidRPr="00651C6D" w:rsidRDefault="00000000" w:rsidP="00651C6D">
      <w:pPr>
        <w:pStyle w:val="SCC31text"/>
        <w:jc w:val="center"/>
        <w:rPr>
          <w:rFonts w:eastAsiaTheme="minorEastAsia"/>
          <w:b/>
          <w:bCs/>
          <w:highlight w:val="yellow"/>
          <w:lang w:eastAsia="zh-CN"/>
        </w:rPr>
      </w:pPr>
      <w:r w:rsidRPr="00651C6D">
        <w:rPr>
          <w:rFonts w:eastAsiaTheme="minorEastAsia"/>
          <w:b/>
          <w:bCs/>
          <w:highlight w:val="yellow"/>
          <w:lang w:eastAsia="zh-CN"/>
        </w:rPr>
        <w:t>Equation 1: Derivation of the Exchange Rate Volatility for RMB/USD</w:t>
      </w:r>
    </w:p>
    <w:p w:rsidR="000E123E" w:rsidRPr="002A79F2" w:rsidRDefault="00000000">
      <w:pPr>
        <w:pStyle w:val="SCC31text"/>
        <w:rPr>
          <w:rFonts w:eastAsiaTheme="minorEastAsia"/>
          <w:highlight w:val="yellow"/>
          <w:lang w:eastAsia="zh-CN"/>
        </w:rPr>
      </w:pPr>
      <m:oMathPara>
        <m:oMath>
          <m:sSubSup>
            <m:sSubSupPr>
              <m:ctrlPr>
                <w:rPr>
                  <w:rFonts w:ascii="Cambria Math" w:eastAsiaTheme="minorEastAsia" w:hAnsi="Cambria Math"/>
                  <w:i/>
                  <w:highlight w:val="yellow"/>
                  <w:lang w:eastAsia="zh-CN"/>
                </w:rPr>
              </m:ctrlPr>
            </m:sSubSupPr>
            <m:e>
              <m:r>
                <w:rPr>
                  <w:rFonts w:ascii="Cambria Math" w:eastAsiaTheme="minorEastAsia" w:hAnsi="Cambria Math"/>
                  <w:highlight w:val="yellow"/>
                  <w:lang w:eastAsia="zh-CN"/>
                </w:rPr>
                <m:t>σ</m:t>
              </m:r>
            </m:e>
            <m:sub>
              <m:r>
                <w:rPr>
                  <w:rFonts w:ascii="Cambria Math" w:eastAsiaTheme="minorEastAsia" w:hAnsi="Cambria Math"/>
                  <w:highlight w:val="yellow"/>
                  <w:lang w:eastAsia="zh-CN"/>
                </w:rPr>
                <m:t>t</m:t>
              </m:r>
            </m:sub>
            <m:sup>
              <m:r>
                <w:rPr>
                  <w:rFonts w:ascii="Cambria Math" w:eastAsiaTheme="minorEastAsia" w:hAnsi="Cambria Math"/>
                  <w:highlight w:val="yellow"/>
                  <w:lang w:eastAsia="zh-CN"/>
                </w:rPr>
                <m:t>2</m:t>
              </m:r>
            </m:sup>
          </m:sSubSup>
          <m:r>
            <w:rPr>
              <w:rFonts w:ascii="Cambria Math" w:eastAsiaTheme="minorEastAsia" w:hAnsi="Cambria Math"/>
              <w:highlight w:val="yellow"/>
              <w:lang w:eastAsia="zh-CN"/>
            </w:rPr>
            <m:t>=</m:t>
          </m:r>
          <m:sSub>
            <m:sSubPr>
              <m:ctrlPr>
                <w:rPr>
                  <w:rFonts w:ascii="Cambria Math" w:eastAsiaTheme="minorEastAsia" w:hAnsi="Cambria Math"/>
                  <w:i/>
                  <w:highlight w:val="yellow"/>
                  <w:lang w:eastAsia="zh-CN"/>
                </w:rPr>
              </m:ctrlPr>
            </m:sSubPr>
            <m:e>
              <m:r>
                <w:rPr>
                  <w:rFonts w:ascii="Cambria Math" w:eastAsiaTheme="minorEastAsia" w:hAnsi="Cambria Math"/>
                  <w:highlight w:val="yellow"/>
                  <w:lang w:eastAsia="zh-CN"/>
                </w:rPr>
                <m:t>α</m:t>
              </m:r>
            </m:e>
            <m:sub>
              <m:r>
                <w:rPr>
                  <w:rFonts w:ascii="Cambria Math" w:eastAsiaTheme="minorEastAsia" w:hAnsi="Cambria Math"/>
                  <w:highlight w:val="yellow"/>
                  <w:lang w:eastAsia="zh-CN"/>
                </w:rPr>
                <m:t>0</m:t>
              </m:r>
            </m:sub>
          </m:sSub>
          <m:r>
            <w:rPr>
              <w:rFonts w:ascii="Cambria Math" w:eastAsiaTheme="minorEastAsia" w:hAnsi="Cambria Math"/>
              <w:highlight w:val="yellow"/>
              <w:lang w:eastAsia="zh-CN"/>
            </w:rPr>
            <m:t>+</m:t>
          </m:r>
          <m:sSub>
            <m:sSubPr>
              <m:ctrlPr>
                <w:rPr>
                  <w:rFonts w:ascii="Cambria Math" w:eastAsiaTheme="minorEastAsia" w:hAnsi="Cambria Math"/>
                  <w:i/>
                  <w:highlight w:val="yellow"/>
                  <w:lang w:eastAsia="zh-CN"/>
                </w:rPr>
              </m:ctrlPr>
            </m:sSubPr>
            <m:e>
              <m:r>
                <w:rPr>
                  <w:rFonts w:ascii="Cambria Math" w:eastAsiaTheme="minorEastAsia" w:hAnsi="Cambria Math"/>
                  <w:highlight w:val="yellow"/>
                  <w:lang w:eastAsia="zh-CN"/>
                </w:rPr>
                <m:t>α</m:t>
              </m:r>
            </m:e>
            <m:sub>
              <m:r>
                <w:rPr>
                  <w:rFonts w:ascii="Cambria Math" w:eastAsiaTheme="minorEastAsia" w:hAnsi="Cambria Math"/>
                  <w:highlight w:val="yellow"/>
                  <w:lang w:eastAsia="zh-CN"/>
                </w:rPr>
                <m:t>1</m:t>
              </m:r>
            </m:sub>
          </m:sSub>
          <m:sSubSup>
            <m:sSubSupPr>
              <m:ctrlPr>
                <w:rPr>
                  <w:rFonts w:ascii="Cambria Math" w:eastAsiaTheme="minorEastAsia" w:hAnsi="Cambria Math"/>
                  <w:i/>
                  <w:highlight w:val="yellow"/>
                  <w:lang w:eastAsia="zh-CN"/>
                </w:rPr>
              </m:ctrlPr>
            </m:sSubSupPr>
            <m:e>
              <m:r>
                <w:rPr>
                  <w:rFonts w:ascii="Cambria Math" w:eastAsiaTheme="minorEastAsia" w:hAnsi="Cambria Math"/>
                  <w:highlight w:val="yellow"/>
                  <w:lang w:eastAsia="zh-CN"/>
                </w:rPr>
                <m:t>e</m:t>
              </m:r>
            </m:e>
            <m:sub>
              <m:r>
                <w:rPr>
                  <w:rFonts w:ascii="Cambria Math" w:eastAsiaTheme="minorEastAsia" w:hAnsi="Cambria Math"/>
                  <w:highlight w:val="yellow"/>
                  <w:lang w:eastAsia="zh-CN"/>
                </w:rPr>
                <m:t>t-1</m:t>
              </m:r>
            </m:sub>
            <m:sup>
              <m:r>
                <w:rPr>
                  <w:rFonts w:ascii="Cambria Math" w:eastAsiaTheme="minorEastAsia" w:hAnsi="Cambria Math"/>
                  <w:highlight w:val="yellow"/>
                  <w:lang w:eastAsia="zh-CN"/>
                </w:rPr>
                <m:t>2</m:t>
              </m:r>
            </m:sup>
          </m:sSubSup>
        </m:oMath>
      </m:oMathPara>
    </w:p>
    <w:p w:rsidR="002A79F2" w:rsidRDefault="002A79F2" w:rsidP="002A79F2">
      <w:pPr>
        <w:pStyle w:val="SCC22heading2"/>
        <w:rPr>
          <w:rFonts w:eastAsiaTheme="minorEastAsia"/>
        </w:rPr>
      </w:pPr>
      <w:r>
        <w:rPr>
          <w:rFonts w:eastAsiaTheme="minorEastAsia"/>
        </w:rPr>
        <w:t xml:space="preserve">3.4 Model Specification </w:t>
      </w:r>
    </w:p>
    <w:p w:rsidR="002A79F2" w:rsidRPr="002A79F2" w:rsidRDefault="002A79F2" w:rsidP="002A79F2">
      <w:pPr>
        <w:pStyle w:val="SCC31text"/>
        <w:rPr>
          <w:rFonts w:eastAsiaTheme="minorEastAsia"/>
          <w:highlight w:val="yellow"/>
          <w:lang w:val="en-GB" w:eastAsia="zh-CN"/>
        </w:rPr>
      </w:pPr>
      <w:r w:rsidRPr="002A79F2">
        <w:rPr>
          <w:rFonts w:eastAsiaTheme="minorEastAsia"/>
          <w:highlight w:val="yellow"/>
          <w:lang w:eastAsia="zh-CN"/>
        </w:rPr>
        <w:t>The hypothesis of the study is to analyze whether currency fluctuations have a negative impact on the total exports and agricultural exports from China.</w:t>
      </w:r>
    </w:p>
    <w:p w:rsidR="002A79F2" w:rsidRPr="002A79F2" w:rsidRDefault="002A79F2" w:rsidP="002A79F2">
      <w:pPr>
        <w:pStyle w:val="SCC31text"/>
        <w:ind w:left="2098" w:firstLine="510"/>
        <w:rPr>
          <w:rFonts w:eastAsiaTheme="minorEastAsia"/>
          <w:highlight w:val="yellow"/>
          <w:lang w:val="en-GB" w:eastAsia="zh-CN"/>
        </w:rPr>
      </w:pPr>
      <w:r w:rsidRPr="002A79F2">
        <w:rPr>
          <w:rFonts w:eastAsiaTheme="minorEastAsia"/>
          <w:highlight w:val="yellow"/>
          <w:lang w:eastAsia="zh-CN"/>
        </w:rPr>
        <w:t>3.</w:t>
      </w:r>
      <w:r>
        <w:rPr>
          <w:rFonts w:eastAsiaTheme="minorEastAsia"/>
          <w:highlight w:val="yellow"/>
          <w:lang w:eastAsia="zh-CN"/>
        </w:rPr>
        <w:t>4</w:t>
      </w:r>
      <w:r w:rsidRPr="002A79F2">
        <w:rPr>
          <w:rFonts w:eastAsiaTheme="minorEastAsia"/>
          <w:highlight w:val="yellow"/>
          <w:lang w:eastAsia="zh-CN"/>
        </w:rPr>
        <w:t xml:space="preserve">.1 Model 1: Total Exports </w:t>
      </w:r>
    </w:p>
    <w:p w:rsidR="002A79F2" w:rsidRPr="002A79F2" w:rsidRDefault="002A79F2" w:rsidP="002A79F2">
      <w:pPr>
        <w:pStyle w:val="SCC31text"/>
        <w:jc w:val="center"/>
        <w:rPr>
          <w:rFonts w:eastAsiaTheme="minorEastAsia"/>
          <w:b/>
          <w:bCs/>
          <w:highlight w:val="yellow"/>
          <w:lang w:val="en-GB" w:eastAsia="zh-CN"/>
        </w:rPr>
      </w:pPr>
      <w:r w:rsidRPr="002A79F2">
        <w:rPr>
          <w:rFonts w:eastAsiaTheme="minorEastAsia"/>
          <w:b/>
          <w:bCs/>
          <w:highlight w:val="yellow"/>
          <w:lang w:eastAsia="zh-CN"/>
        </w:rPr>
        <w:t>Equation 2: Currency Volatility on Exports from China</w:t>
      </w:r>
    </w:p>
    <w:p w:rsidR="002A79F2" w:rsidRPr="002A79F2" w:rsidRDefault="00000000" w:rsidP="002A79F2">
      <w:pPr>
        <w:pStyle w:val="SCC31text"/>
        <w:rPr>
          <w:rFonts w:eastAsiaTheme="minorEastAsia"/>
          <w:highlight w:val="yellow"/>
          <w:lang w:val="en-GB" w:eastAsia="zh-CN"/>
        </w:rPr>
      </w:pPr>
      <m:oMathPara>
        <m:oMathParaPr>
          <m:jc m:val="center"/>
        </m:oMathParaPr>
        <m:oMath>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Log</m:t>
              </m:r>
              <m:r>
                <m:rPr>
                  <m:sty m:val="p"/>
                </m:rPr>
                <w:rPr>
                  <w:rFonts w:ascii="Cambria Math" w:eastAsiaTheme="minorEastAsia" w:hAnsi="Cambria Math"/>
                  <w:highlight w:val="yellow"/>
                  <w:lang w:val="en-GB" w:eastAsia="zh-CN"/>
                </w:rPr>
                <m:t>_</m:t>
              </m:r>
              <m:r>
                <w:rPr>
                  <w:rFonts w:ascii="Cambria Math" w:eastAsiaTheme="minorEastAsia" w:hAnsi="Cambria Math"/>
                  <w:highlight w:val="yellow"/>
                  <w:lang w:val="en-GB" w:eastAsia="zh-CN"/>
                </w:rPr>
                <m:t>Total</m:t>
              </m:r>
              <m:r>
                <m:rPr>
                  <m:sty m:val="p"/>
                </m:rPr>
                <w:rPr>
                  <w:rFonts w:ascii="Cambria Math" w:eastAsiaTheme="minorEastAsia" w:hAnsi="Cambria Math"/>
                  <w:highlight w:val="yellow"/>
                  <w:lang w:val="en-GB" w:eastAsia="zh-CN"/>
                </w:rPr>
                <m:t xml:space="preserve"> </m:t>
              </m:r>
              <m:r>
                <w:rPr>
                  <w:rFonts w:ascii="Cambria Math" w:eastAsiaTheme="minorEastAsia" w:hAnsi="Cambria Math"/>
                  <w:highlight w:val="yellow"/>
                  <w:lang w:val="en-GB" w:eastAsia="zh-CN"/>
                </w:rPr>
                <m:t>EXP</m:t>
              </m:r>
            </m:e>
            <m:sub>
              <m:r>
                <w:rPr>
                  <w:rFonts w:ascii="Cambria Math" w:eastAsiaTheme="minorEastAsia" w:hAnsi="Cambria Math"/>
                  <w:highlight w:val="yellow"/>
                  <w:lang w:val="en-GB" w:eastAsia="zh-CN"/>
                </w:rPr>
                <m:t>t</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β</m:t>
              </m:r>
            </m:e>
            <m:sub>
              <m:r>
                <m:rPr>
                  <m:sty m:val="p"/>
                </m:rPr>
                <w:rPr>
                  <w:rFonts w:ascii="Cambria Math" w:eastAsiaTheme="minorEastAsia" w:hAnsi="Cambria Math"/>
                  <w:highlight w:val="yellow"/>
                  <w:lang w:val="en-GB" w:eastAsia="zh-CN"/>
                </w:rPr>
                <m:t>0</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β</m:t>
              </m:r>
            </m:e>
            <m:sub>
              <m:r>
                <m:rPr>
                  <m:sty m:val="p"/>
                </m:rPr>
                <w:rPr>
                  <w:rFonts w:ascii="Cambria Math" w:eastAsiaTheme="minorEastAsia" w:hAnsi="Cambria Math"/>
                  <w:highlight w:val="yellow"/>
                  <w:lang w:val="en-GB" w:eastAsia="zh-CN"/>
                </w:rPr>
                <m:t>1</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ERV</m:t>
              </m:r>
              <m:r>
                <m:rPr>
                  <m:sty m:val="p"/>
                </m:rPr>
                <w:rPr>
                  <w:rFonts w:ascii="Cambria Math" w:eastAsiaTheme="minorEastAsia" w:hAnsi="Cambria Math"/>
                  <w:highlight w:val="yellow"/>
                  <w:lang w:val="en-GB" w:eastAsia="zh-CN"/>
                </w:rPr>
                <m:t>)</m:t>
              </m:r>
            </m:e>
            <m:sub>
              <m:r>
                <w:rPr>
                  <w:rFonts w:ascii="Cambria Math" w:eastAsiaTheme="minorEastAsia" w:hAnsi="Cambria Math"/>
                  <w:highlight w:val="yellow"/>
                  <w:lang w:val="en-GB" w:eastAsia="zh-CN"/>
                </w:rPr>
                <m:t>it</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β</m:t>
              </m:r>
            </m:e>
            <m:sub>
              <m:r>
                <m:rPr>
                  <m:sty m:val="p"/>
                </m:rPr>
                <w:rPr>
                  <w:rFonts w:ascii="Cambria Math" w:eastAsiaTheme="minorEastAsia" w:hAnsi="Cambria Math"/>
                  <w:highlight w:val="yellow"/>
                  <w:lang w:val="en-GB" w:eastAsia="zh-CN"/>
                </w:rPr>
                <m:t>2</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INT</m:t>
              </m:r>
              <m:r>
                <m:rPr>
                  <m:sty m:val="p"/>
                </m:rPr>
                <w:rPr>
                  <w:rFonts w:ascii="Cambria Math" w:eastAsiaTheme="minorEastAsia" w:hAnsi="Cambria Math"/>
                  <w:highlight w:val="yellow"/>
                  <w:lang w:val="en-GB" w:eastAsia="zh-CN"/>
                </w:rPr>
                <m:t xml:space="preserve"> </m:t>
              </m:r>
              <m:r>
                <w:rPr>
                  <w:rFonts w:ascii="Cambria Math" w:eastAsiaTheme="minorEastAsia" w:hAnsi="Cambria Math"/>
                  <w:highlight w:val="yellow"/>
                  <w:lang w:val="en-GB" w:eastAsia="zh-CN"/>
                </w:rPr>
                <m:t>Rate</m:t>
              </m:r>
              <m:r>
                <m:rPr>
                  <m:sty m:val="p"/>
                </m:rPr>
                <w:rPr>
                  <w:rFonts w:ascii="Cambria Math" w:eastAsiaTheme="minorEastAsia" w:hAnsi="Cambria Math"/>
                  <w:highlight w:val="yellow"/>
                  <w:lang w:val="en-GB" w:eastAsia="zh-CN"/>
                </w:rPr>
                <m:t>)</m:t>
              </m:r>
            </m:e>
            <m:sub>
              <m:r>
                <w:rPr>
                  <w:rFonts w:ascii="Cambria Math" w:eastAsiaTheme="minorEastAsia" w:hAnsi="Cambria Math"/>
                  <w:highlight w:val="yellow"/>
                  <w:lang w:val="en-GB" w:eastAsia="zh-CN"/>
                </w:rPr>
                <m:t>it</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β</m:t>
              </m:r>
            </m:e>
            <m:sub>
              <m:r>
                <m:rPr>
                  <m:sty m:val="p"/>
                </m:rPr>
                <w:rPr>
                  <w:rFonts w:ascii="Cambria Math" w:eastAsiaTheme="minorEastAsia" w:hAnsi="Cambria Math"/>
                  <w:highlight w:val="yellow"/>
                  <w:lang w:val="en-GB" w:eastAsia="zh-CN"/>
                </w:rPr>
                <m:t>3</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INF</m:t>
              </m:r>
              <m:r>
                <m:rPr>
                  <m:sty m:val="p"/>
                </m:rPr>
                <w:rPr>
                  <w:rFonts w:ascii="Cambria Math" w:eastAsiaTheme="minorEastAsia" w:hAnsi="Cambria Math"/>
                  <w:highlight w:val="yellow"/>
                  <w:lang w:val="en-GB" w:eastAsia="zh-CN"/>
                </w:rPr>
                <m:t>)</m:t>
              </m:r>
            </m:e>
            <m:sub>
              <m:r>
                <w:rPr>
                  <w:rFonts w:ascii="Cambria Math" w:eastAsiaTheme="minorEastAsia" w:hAnsi="Cambria Math"/>
                  <w:highlight w:val="yellow"/>
                  <w:lang w:val="en-GB" w:eastAsia="zh-CN"/>
                </w:rPr>
                <m:t>it</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β</m:t>
              </m:r>
            </m:e>
            <m:sub>
              <m:r>
                <m:rPr>
                  <m:sty m:val="p"/>
                </m:rPr>
                <w:rPr>
                  <w:rFonts w:ascii="Cambria Math" w:eastAsiaTheme="minorEastAsia" w:hAnsi="Cambria Math"/>
                  <w:highlight w:val="yellow"/>
                  <w:lang w:val="en-GB" w:eastAsia="zh-CN"/>
                </w:rPr>
                <m:t>4</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FDI</m:t>
              </m:r>
              <m:r>
                <m:rPr>
                  <m:sty m:val="p"/>
                </m:rPr>
                <w:rPr>
                  <w:rFonts w:ascii="Cambria Math" w:eastAsiaTheme="minorEastAsia" w:hAnsi="Cambria Math"/>
                  <w:highlight w:val="yellow"/>
                  <w:lang w:val="en-GB" w:eastAsia="zh-CN"/>
                </w:rPr>
                <m:t>)</m:t>
              </m:r>
            </m:e>
            <m:sub>
              <m:r>
                <w:rPr>
                  <w:rFonts w:ascii="Cambria Math" w:eastAsiaTheme="minorEastAsia" w:hAnsi="Cambria Math"/>
                  <w:highlight w:val="yellow"/>
                  <w:lang w:val="en-GB" w:eastAsia="zh-CN"/>
                </w:rPr>
                <m:t>it</m:t>
              </m:r>
            </m:sub>
          </m:sSub>
          <m:r>
            <m:rPr>
              <m:sty m:val="p"/>
            </m:rPr>
            <w:rPr>
              <w:rFonts w:ascii="Cambria Math" w:eastAsiaTheme="minorEastAsia" w:hAnsi="Cambria Math"/>
              <w:highlight w:val="yellow"/>
              <w:lang w:val="en-GB" w:eastAsia="zh-CN"/>
            </w:rPr>
            <m:t>+</m:t>
          </m:r>
          <m:r>
            <w:rPr>
              <w:rFonts w:ascii="Cambria Math" w:eastAsiaTheme="minorEastAsia" w:hAnsi="Cambria Math"/>
              <w:highlight w:val="yellow"/>
              <w:lang w:val="en-GB" w:eastAsia="zh-CN"/>
            </w:rPr>
            <m:t>ε</m:t>
          </m:r>
        </m:oMath>
      </m:oMathPara>
    </w:p>
    <w:p w:rsidR="002A79F2" w:rsidRPr="002A79F2" w:rsidRDefault="002A79F2" w:rsidP="002A79F2">
      <w:pPr>
        <w:pStyle w:val="SCC31text"/>
        <w:ind w:left="2098" w:firstLine="510"/>
        <w:rPr>
          <w:rFonts w:eastAsiaTheme="minorEastAsia"/>
          <w:highlight w:val="yellow"/>
          <w:lang w:val="en-GB" w:eastAsia="zh-CN"/>
        </w:rPr>
      </w:pPr>
      <w:r w:rsidRPr="002A79F2">
        <w:rPr>
          <w:rFonts w:eastAsiaTheme="minorEastAsia"/>
          <w:highlight w:val="yellow"/>
          <w:lang w:eastAsia="zh-CN"/>
        </w:rPr>
        <w:t>3.</w:t>
      </w:r>
      <w:r>
        <w:rPr>
          <w:rFonts w:eastAsiaTheme="minorEastAsia"/>
          <w:highlight w:val="yellow"/>
          <w:lang w:eastAsia="zh-CN"/>
        </w:rPr>
        <w:t>4</w:t>
      </w:r>
      <w:r w:rsidRPr="002A79F2">
        <w:rPr>
          <w:rFonts w:eastAsiaTheme="minorEastAsia"/>
          <w:highlight w:val="yellow"/>
          <w:lang w:eastAsia="zh-CN"/>
        </w:rPr>
        <w:t>.2 Model 2: Agricultural Export Revenue</w:t>
      </w:r>
    </w:p>
    <w:p w:rsidR="002A79F2" w:rsidRPr="002A79F2" w:rsidRDefault="002A79F2" w:rsidP="002A79F2">
      <w:pPr>
        <w:pStyle w:val="SCC31text"/>
        <w:jc w:val="center"/>
        <w:rPr>
          <w:rFonts w:eastAsiaTheme="minorEastAsia"/>
          <w:b/>
          <w:bCs/>
          <w:highlight w:val="yellow"/>
          <w:lang w:val="en-GB" w:eastAsia="zh-CN"/>
        </w:rPr>
      </w:pPr>
      <w:r w:rsidRPr="002A79F2">
        <w:rPr>
          <w:rFonts w:eastAsiaTheme="minorEastAsia"/>
          <w:b/>
          <w:bCs/>
          <w:highlight w:val="yellow"/>
          <w:lang w:eastAsia="zh-CN"/>
        </w:rPr>
        <w:t xml:space="preserve">Equation 3: Currency Volatility on </w:t>
      </w:r>
      <w:proofErr w:type="spellStart"/>
      <w:r w:rsidRPr="002A79F2">
        <w:rPr>
          <w:rFonts w:eastAsiaTheme="minorEastAsia"/>
          <w:b/>
          <w:bCs/>
          <w:highlight w:val="yellow"/>
          <w:lang w:eastAsia="zh-CN"/>
        </w:rPr>
        <w:t>Agro</w:t>
      </w:r>
      <w:proofErr w:type="spellEnd"/>
      <w:r w:rsidRPr="002A79F2">
        <w:rPr>
          <w:rFonts w:eastAsiaTheme="minorEastAsia"/>
          <w:b/>
          <w:bCs/>
          <w:highlight w:val="yellow"/>
          <w:lang w:eastAsia="zh-CN"/>
        </w:rPr>
        <w:t>-Export Revenue from China</w:t>
      </w:r>
    </w:p>
    <w:p w:rsidR="002A79F2" w:rsidRPr="002A79F2" w:rsidRDefault="002A79F2" w:rsidP="002A79F2">
      <w:pPr>
        <w:pStyle w:val="SCC31text"/>
        <w:rPr>
          <w:rFonts w:eastAsiaTheme="minorEastAsia"/>
          <w:highlight w:val="yellow"/>
          <w:lang w:val="en-GB" w:eastAsia="zh-CN"/>
        </w:rPr>
      </w:pPr>
      <m:oMathPara>
        <m:oMathParaPr>
          <m:jc m:val="center"/>
        </m:oMathParaPr>
        <m:oMath>
          <m:r>
            <w:rPr>
              <w:rFonts w:ascii="Cambria Math" w:eastAsiaTheme="minorEastAsia" w:hAnsi="Cambria Math"/>
              <w:highlight w:val="yellow"/>
              <w:lang w:val="en-GB" w:eastAsia="zh-CN"/>
            </w:rPr>
            <m:t>Log</m:t>
          </m:r>
          <m:r>
            <m:rPr>
              <m:sty m:val="p"/>
            </m:rPr>
            <w:rPr>
              <w:rFonts w:ascii="Cambria Math" w:eastAsiaTheme="minorEastAsia" w:hAnsi="Cambria Math"/>
              <w:highlight w:val="yellow"/>
              <w:lang w:val="en-GB" w:eastAsia="zh-CN"/>
            </w:rPr>
            <m:t>_</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Agro</m:t>
              </m:r>
              <m:r>
                <m:rPr>
                  <m:sty m:val="p"/>
                </m:rPr>
                <w:rPr>
                  <w:rFonts w:ascii="Cambria Math" w:eastAsiaTheme="minorEastAsia" w:hAnsi="Cambria Math"/>
                  <w:highlight w:val="yellow"/>
                  <w:lang w:val="en-GB" w:eastAsia="zh-CN"/>
                </w:rPr>
                <m:t xml:space="preserve"> </m:t>
              </m:r>
              <m:r>
                <w:rPr>
                  <w:rFonts w:ascii="Cambria Math" w:eastAsiaTheme="minorEastAsia" w:hAnsi="Cambria Math"/>
                  <w:highlight w:val="yellow"/>
                  <w:lang w:val="en-GB" w:eastAsia="zh-CN"/>
                </w:rPr>
                <m:t>ER</m:t>
              </m:r>
            </m:e>
            <m:sub>
              <m:r>
                <w:rPr>
                  <w:rFonts w:ascii="Cambria Math" w:eastAsiaTheme="minorEastAsia" w:hAnsi="Cambria Math"/>
                  <w:highlight w:val="yellow"/>
                  <w:lang w:val="en-GB" w:eastAsia="zh-CN"/>
                </w:rPr>
                <m:t>t</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β</m:t>
              </m:r>
            </m:e>
            <m:sub>
              <m:r>
                <m:rPr>
                  <m:sty m:val="p"/>
                </m:rPr>
                <w:rPr>
                  <w:rFonts w:ascii="Cambria Math" w:eastAsiaTheme="minorEastAsia" w:hAnsi="Cambria Math"/>
                  <w:highlight w:val="yellow"/>
                  <w:lang w:val="en-GB" w:eastAsia="zh-CN"/>
                </w:rPr>
                <m:t>0</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β</m:t>
              </m:r>
            </m:e>
            <m:sub>
              <m:r>
                <m:rPr>
                  <m:sty m:val="p"/>
                </m:rPr>
                <w:rPr>
                  <w:rFonts w:ascii="Cambria Math" w:eastAsiaTheme="minorEastAsia" w:hAnsi="Cambria Math"/>
                  <w:highlight w:val="yellow"/>
                  <w:lang w:val="en-GB" w:eastAsia="zh-CN"/>
                </w:rPr>
                <m:t>1</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ERV</m:t>
              </m:r>
              <m:r>
                <m:rPr>
                  <m:sty m:val="p"/>
                </m:rPr>
                <w:rPr>
                  <w:rFonts w:ascii="Cambria Math" w:eastAsiaTheme="minorEastAsia" w:hAnsi="Cambria Math"/>
                  <w:highlight w:val="yellow"/>
                  <w:lang w:val="en-GB" w:eastAsia="zh-CN"/>
                </w:rPr>
                <m:t>)</m:t>
              </m:r>
            </m:e>
            <m:sub>
              <m:r>
                <w:rPr>
                  <w:rFonts w:ascii="Cambria Math" w:eastAsiaTheme="minorEastAsia" w:hAnsi="Cambria Math"/>
                  <w:highlight w:val="yellow"/>
                  <w:lang w:val="en-GB" w:eastAsia="zh-CN"/>
                </w:rPr>
                <m:t>it</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β</m:t>
              </m:r>
            </m:e>
            <m:sub>
              <m:r>
                <m:rPr>
                  <m:sty m:val="p"/>
                </m:rPr>
                <w:rPr>
                  <w:rFonts w:ascii="Cambria Math" w:eastAsiaTheme="minorEastAsia" w:hAnsi="Cambria Math"/>
                  <w:highlight w:val="yellow"/>
                  <w:lang w:val="en-GB" w:eastAsia="zh-CN"/>
                </w:rPr>
                <m:t>2</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INT</m:t>
              </m:r>
              <m:r>
                <m:rPr>
                  <m:sty m:val="p"/>
                </m:rPr>
                <w:rPr>
                  <w:rFonts w:ascii="Cambria Math" w:eastAsiaTheme="minorEastAsia" w:hAnsi="Cambria Math"/>
                  <w:highlight w:val="yellow"/>
                  <w:lang w:val="en-GB" w:eastAsia="zh-CN"/>
                </w:rPr>
                <m:t xml:space="preserve"> </m:t>
              </m:r>
              <m:r>
                <w:rPr>
                  <w:rFonts w:ascii="Cambria Math" w:eastAsiaTheme="minorEastAsia" w:hAnsi="Cambria Math"/>
                  <w:highlight w:val="yellow"/>
                  <w:lang w:val="en-GB" w:eastAsia="zh-CN"/>
                </w:rPr>
                <m:t>Rate</m:t>
              </m:r>
              <m:r>
                <m:rPr>
                  <m:sty m:val="p"/>
                </m:rPr>
                <w:rPr>
                  <w:rFonts w:ascii="Cambria Math" w:eastAsiaTheme="minorEastAsia" w:hAnsi="Cambria Math"/>
                  <w:highlight w:val="yellow"/>
                  <w:lang w:val="en-GB" w:eastAsia="zh-CN"/>
                </w:rPr>
                <m:t>)</m:t>
              </m:r>
            </m:e>
            <m:sub>
              <m:r>
                <w:rPr>
                  <w:rFonts w:ascii="Cambria Math" w:eastAsiaTheme="minorEastAsia" w:hAnsi="Cambria Math"/>
                  <w:highlight w:val="yellow"/>
                  <w:lang w:val="en-GB" w:eastAsia="zh-CN"/>
                </w:rPr>
                <m:t>it</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β</m:t>
              </m:r>
            </m:e>
            <m:sub>
              <m:r>
                <m:rPr>
                  <m:sty m:val="p"/>
                </m:rPr>
                <w:rPr>
                  <w:rFonts w:ascii="Cambria Math" w:eastAsiaTheme="minorEastAsia" w:hAnsi="Cambria Math"/>
                  <w:highlight w:val="yellow"/>
                  <w:lang w:val="en-GB" w:eastAsia="zh-CN"/>
                </w:rPr>
                <m:t>3</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INF</m:t>
              </m:r>
              <m:r>
                <m:rPr>
                  <m:sty m:val="p"/>
                </m:rPr>
                <w:rPr>
                  <w:rFonts w:ascii="Cambria Math" w:eastAsiaTheme="minorEastAsia" w:hAnsi="Cambria Math"/>
                  <w:highlight w:val="yellow"/>
                  <w:lang w:val="en-GB" w:eastAsia="zh-CN"/>
                </w:rPr>
                <m:t>)</m:t>
              </m:r>
            </m:e>
            <m:sub>
              <m:r>
                <w:rPr>
                  <w:rFonts w:ascii="Cambria Math" w:eastAsiaTheme="minorEastAsia" w:hAnsi="Cambria Math"/>
                  <w:highlight w:val="yellow"/>
                  <w:lang w:val="en-GB" w:eastAsia="zh-CN"/>
                </w:rPr>
                <m:t>it</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β</m:t>
              </m:r>
            </m:e>
            <m:sub>
              <m:r>
                <m:rPr>
                  <m:sty m:val="p"/>
                </m:rPr>
                <w:rPr>
                  <w:rFonts w:ascii="Cambria Math" w:eastAsiaTheme="minorEastAsia" w:hAnsi="Cambria Math"/>
                  <w:highlight w:val="yellow"/>
                  <w:lang w:val="en-GB" w:eastAsia="zh-CN"/>
                </w:rPr>
                <m:t>4</m:t>
              </m:r>
            </m:sub>
          </m:sSub>
          <m:r>
            <m:rPr>
              <m:sty m:val="p"/>
            </m:rPr>
            <w:rPr>
              <w:rFonts w:ascii="Cambria Math" w:eastAsiaTheme="minorEastAsia" w:hAnsi="Cambria Math"/>
              <w:highlight w:val="yellow"/>
              <w:lang w:val="en-GB" w:eastAsia="zh-CN"/>
            </w:rPr>
            <m:t>(</m:t>
          </m:r>
          <m:sSub>
            <m:sSubPr>
              <m:ctrlPr>
                <w:rPr>
                  <w:rFonts w:ascii="Cambria Math" w:eastAsiaTheme="minorEastAsia" w:hAnsi="Cambria Math"/>
                  <w:highlight w:val="yellow"/>
                  <w:lang w:val="en-GB" w:eastAsia="zh-CN"/>
                </w:rPr>
              </m:ctrlPr>
            </m:sSubPr>
            <m:e>
              <m:r>
                <w:rPr>
                  <w:rFonts w:ascii="Cambria Math" w:eastAsiaTheme="minorEastAsia" w:hAnsi="Cambria Math"/>
                  <w:highlight w:val="yellow"/>
                  <w:lang w:val="en-GB" w:eastAsia="zh-CN"/>
                </w:rPr>
                <m:t>FDI</m:t>
              </m:r>
              <m:r>
                <m:rPr>
                  <m:sty m:val="p"/>
                </m:rPr>
                <w:rPr>
                  <w:rFonts w:ascii="Cambria Math" w:eastAsiaTheme="minorEastAsia" w:hAnsi="Cambria Math"/>
                  <w:highlight w:val="yellow"/>
                  <w:lang w:val="en-GB" w:eastAsia="zh-CN"/>
                </w:rPr>
                <m:t>)</m:t>
              </m:r>
            </m:e>
            <m:sub>
              <m:r>
                <w:rPr>
                  <w:rFonts w:ascii="Cambria Math" w:eastAsiaTheme="minorEastAsia" w:hAnsi="Cambria Math"/>
                  <w:highlight w:val="yellow"/>
                  <w:lang w:val="en-GB" w:eastAsia="zh-CN"/>
                </w:rPr>
                <m:t>it</m:t>
              </m:r>
            </m:sub>
          </m:sSub>
          <m:r>
            <m:rPr>
              <m:sty m:val="p"/>
            </m:rPr>
            <w:rPr>
              <w:rFonts w:ascii="Cambria Math" w:eastAsiaTheme="minorEastAsia" w:hAnsi="Cambria Math"/>
              <w:highlight w:val="yellow"/>
              <w:lang w:val="en-GB" w:eastAsia="zh-CN"/>
            </w:rPr>
            <m:t>+</m:t>
          </m:r>
          <m:r>
            <w:rPr>
              <w:rFonts w:ascii="Cambria Math" w:eastAsiaTheme="minorEastAsia" w:hAnsi="Cambria Math"/>
              <w:highlight w:val="yellow"/>
              <w:lang w:val="en-GB" w:eastAsia="zh-CN"/>
            </w:rPr>
            <m:t>ε</m:t>
          </m:r>
        </m:oMath>
      </m:oMathPara>
    </w:p>
    <w:p w:rsidR="002A79F2" w:rsidRDefault="002A79F2">
      <w:pPr>
        <w:pStyle w:val="SCC31text"/>
        <w:rPr>
          <w:rFonts w:eastAsiaTheme="minorEastAsia"/>
          <w:highlight w:val="yellow"/>
          <w:lang w:eastAsia="zh-CN"/>
        </w:rPr>
      </w:pPr>
    </w:p>
    <w:p w:rsidR="002A79F2" w:rsidRPr="002A79F2" w:rsidRDefault="002A79F2" w:rsidP="002A79F2">
      <w:pPr>
        <w:pStyle w:val="SCC22heading2"/>
        <w:rPr>
          <w:rFonts w:eastAsiaTheme="minorEastAsia"/>
        </w:rPr>
      </w:pPr>
      <w:r>
        <w:rPr>
          <w:rFonts w:eastAsiaTheme="minorEastAsia"/>
        </w:rPr>
        <w:t xml:space="preserve">3.4 Estimation Technique </w:t>
      </w:r>
    </w:p>
    <w:p w:rsidR="00090E44" w:rsidRDefault="00090E44">
      <w:pPr>
        <w:pStyle w:val="SCC31text"/>
        <w:rPr>
          <w:rFonts w:eastAsiaTheme="minorEastAsia"/>
          <w:highlight w:val="yellow"/>
          <w:lang w:eastAsia="zh-CN"/>
        </w:rPr>
      </w:pPr>
      <w:r w:rsidRPr="00090E44">
        <w:rPr>
          <w:rFonts w:eastAsiaTheme="minorEastAsia"/>
          <w:lang w:eastAsia="zh-CN"/>
        </w:rPr>
        <w:t>The study first applies Ordinary Least Squares (OLS) regression as the primary estimation method. This allows for initial assessment of the linear impact of exchange rate volatility (ERV) on export variables</w:t>
      </w:r>
      <w:r w:rsidR="002A79F2">
        <w:rPr>
          <w:rFonts w:eastAsiaTheme="minorEastAsia"/>
          <w:highlight w:val="yellow"/>
          <w:lang w:eastAsia="zh-CN"/>
        </w:rPr>
        <w:t xml:space="preserve">. </w:t>
      </w:r>
      <w:r w:rsidR="00107EE3" w:rsidRPr="00107EE3">
        <w:rPr>
          <w:rFonts w:eastAsiaTheme="minorEastAsia"/>
          <w:lang w:eastAsia="zh-CN"/>
        </w:rPr>
        <w:t>Alita et al. (2021),</w:t>
      </w:r>
      <w:r w:rsidR="00107EE3">
        <w:rPr>
          <w:rFonts w:eastAsiaTheme="minorEastAsia"/>
          <w:lang w:eastAsia="zh-CN"/>
        </w:rPr>
        <w:t xml:space="preserve"> reveal that a regression model </w:t>
      </w:r>
      <w:r w:rsidR="00107EE3" w:rsidRPr="00107EE3">
        <w:rPr>
          <w:rFonts w:eastAsiaTheme="minorEastAsia"/>
          <w:lang w:eastAsia="zh-CN"/>
        </w:rPr>
        <w:t>controls for multiple influencing factors simultaneously.</w:t>
      </w:r>
      <w:r w:rsidR="00107EE3">
        <w:rPr>
          <w:rFonts w:eastAsiaTheme="minorEastAsia"/>
          <w:lang w:eastAsia="zh-CN"/>
        </w:rPr>
        <w:t xml:space="preserve"> Hence, this allows for </w:t>
      </w:r>
      <w:r w:rsidR="00107EE3" w:rsidRPr="00107EE3">
        <w:rPr>
          <w:rFonts w:eastAsiaTheme="minorEastAsia"/>
          <w:lang w:eastAsia="zh-CN"/>
        </w:rPr>
        <w:t>initial assessment of the linear impact of exchange rate volatility (ERV) on export variables.</w:t>
      </w:r>
    </w:p>
    <w:p w:rsidR="000E123E" w:rsidRDefault="00000000">
      <w:pPr>
        <w:pStyle w:val="SCC31text"/>
        <w:rPr>
          <w:rFonts w:eastAsiaTheme="minorEastAsia"/>
          <w:lang w:eastAsia="zh-CN"/>
        </w:rPr>
      </w:pPr>
      <w:r>
        <w:rPr>
          <w:rFonts w:eastAsiaTheme="minorEastAsia"/>
          <w:highlight w:val="yellow"/>
          <w:lang w:eastAsia="zh-CN"/>
        </w:rPr>
        <w:t xml:space="preserve">With the exchange rate volatility modelling and the base model with OLS regression being shown, the study also uses an ARDL model and an NARDL model in order to find the short-run and long-run relationships between the variables. As per Saleem et al. (2020), ARDL model allows variables to be a mixture of </w:t>
      </w:r>
      <w:proofErr w:type="gramStart"/>
      <w:r>
        <w:rPr>
          <w:rFonts w:eastAsiaTheme="minorEastAsia"/>
          <w:highlight w:val="yellow"/>
          <w:lang w:eastAsia="zh-CN"/>
        </w:rPr>
        <w:t>I(</w:t>
      </w:r>
      <w:proofErr w:type="gramEnd"/>
      <w:r>
        <w:rPr>
          <w:rFonts w:eastAsiaTheme="minorEastAsia"/>
          <w:highlight w:val="yellow"/>
          <w:lang w:eastAsia="zh-CN"/>
        </w:rPr>
        <w:t xml:space="preserve">0) and </w:t>
      </w:r>
      <w:proofErr w:type="gramStart"/>
      <w:r>
        <w:rPr>
          <w:rFonts w:eastAsiaTheme="minorEastAsia"/>
          <w:highlight w:val="yellow"/>
          <w:lang w:eastAsia="zh-CN"/>
        </w:rPr>
        <w:t>I(</w:t>
      </w:r>
      <w:proofErr w:type="gramEnd"/>
      <w:r>
        <w:rPr>
          <w:rFonts w:eastAsiaTheme="minorEastAsia"/>
          <w:highlight w:val="yellow"/>
          <w:lang w:eastAsia="zh-CN"/>
        </w:rPr>
        <w:t>1). Using these integrating factors, the study captures short-run and long-run dynamics. Furthermore, the NARDL model examines the positive and negative changes within the exchange rate volatility using the non-linear ARDL model.</w:t>
      </w:r>
    </w:p>
    <w:p w:rsidR="000E123E" w:rsidRDefault="000E123E">
      <w:pPr>
        <w:pStyle w:val="SCC31text"/>
        <w:rPr>
          <w:rFonts w:eastAsiaTheme="minorEastAsia"/>
          <w:lang w:eastAsia="zh-CN"/>
        </w:rPr>
      </w:pPr>
    </w:p>
    <w:p w:rsidR="000E123E" w:rsidRDefault="00000000">
      <w:pPr>
        <w:pStyle w:val="SCC21heading1"/>
        <w:rPr>
          <w:rFonts w:eastAsiaTheme="minorEastAsia"/>
          <w:lang w:val="en-GB" w:eastAsia="zh-CN"/>
        </w:rPr>
      </w:pPr>
      <w:r>
        <w:t>4. A</w:t>
      </w:r>
      <w:r>
        <w:rPr>
          <w:rFonts w:eastAsiaTheme="minorEastAsia" w:hint="eastAsia"/>
          <w:lang w:eastAsia="zh-CN"/>
        </w:rPr>
        <w:t>nalysis</w:t>
      </w:r>
    </w:p>
    <w:p w:rsidR="000E123E" w:rsidRDefault="00000000">
      <w:pPr>
        <w:pStyle w:val="SCC22heading2"/>
        <w:rPr>
          <w:lang w:val="en-GB"/>
        </w:rPr>
      </w:pPr>
      <w:r>
        <w:t>4.1 Univariate Analysis</w:t>
      </w:r>
    </w:p>
    <w:p w:rsidR="002A79F2" w:rsidRDefault="002A79F2" w:rsidP="002A79F2">
      <w:pPr>
        <w:pStyle w:val="SCC41tablecaption"/>
      </w:pPr>
      <w:r>
        <w:t xml:space="preserve">The results of the Aggregate Statistics </w:t>
      </w:r>
      <w:proofErr w:type="gramStart"/>
      <w:r>
        <w:t>is</w:t>
      </w:r>
      <w:proofErr w:type="gramEnd"/>
      <w:r>
        <w:t xml:space="preserve"> shown in Table 2.</w:t>
      </w:r>
    </w:p>
    <w:p w:rsidR="002A79F2" w:rsidRDefault="002A79F2" w:rsidP="002A79F2">
      <w:pPr>
        <w:pStyle w:val="SCC41tablecaption"/>
        <w:rPr>
          <w:i/>
          <w:iCs/>
          <w:lang w:val="en-GB"/>
        </w:rPr>
      </w:pPr>
      <w:r>
        <w:t xml:space="preserve">Table </w:t>
      </w:r>
      <w:r>
        <w:fldChar w:fldCharType="begin"/>
      </w:r>
      <w:r>
        <w:instrText xml:space="preserve"> SEQ Table \* ARABIC </w:instrText>
      </w:r>
      <w:r>
        <w:fldChar w:fldCharType="separate"/>
      </w:r>
      <w:r>
        <w:t>2</w:t>
      </w:r>
      <w:r>
        <w:fldChar w:fldCharType="end"/>
      </w:r>
      <w:r>
        <w:t>: Aggregate statistics of the Variables</w:t>
      </w:r>
    </w:p>
    <w:tbl>
      <w:tblPr>
        <w:tblStyle w:val="TableGrid"/>
        <w:tblW w:w="7524" w:type="dxa"/>
        <w:jc w:val="right"/>
        <w:tblLook w:val="04A0" w:firstRow="1" w:lastRow="0" w:firstColumn="1" w:lastColumn="0" w:noHBand="0" w:noVBand="1"/>
      </w:tblPr>
      <w:tblGrid>
        <w:gridCol w:w="2323"/>
        <w:gridCol w:w="938"/>
        <w:gridCol w:w="1020"/>
        <w:gridCol w:w="1020"/>
        <w:gridCol w:w="1094"/>
        <w:gridCol w:w="1129"/>
      </w:tblGrid>
      <w:tr w:rsidR="002A79F2" w:rsidTr="00321494">
        <w:trPr>
          <w:trHeight w:val="795"/>
          <w:jc w:val="right"/>
        </w:trPr>
        <w:tc>
          <w:tcPr>
            <w:tcW w:w="2323" w:type="dxa"/>
            <w:noWrap/>
          </w:tcPr>
          <w:p w:rsidR="002A79F2" w:rsidRDefault="002A79F2" w:rsidP="00321494">
            <w:pPr>
              <w:pStyle w:val="SCC42tablebody"/>
            </w:pPr>
            <w:r>
              <w:t>Variable</w:t>
            </w:r>
          </w:p>
        </w:tc>
        <w:tc>
          <w:tcPr>
            <w:tcW w:w="938" w:type="dxa"/>
            <w:noWrap/>
          </w:tcPr>
          <w:p w:rsidR="002A79F2" w:rsidRDefault="002A79F2" w:rsidP="00321494">
            <w:pPr>
              <w:pStyle w:val="SCC42tablebody"/>
            </w:pPr>
            <w:r>
              <w:t>Number of Obs.</w:t>
            </w:r>
          </w:p>
        </w:tc>
        <w:tc>
          <w:tcPr>
            <w:tcW w:w="1020" w:type="dxa"/>
            <w:noWrap/>
          </w:tcPr>
          <w:p w:rsidR="002A79F2" w:rsidRDefault="002A79F2" w:rsidP="00321494">
            <w:pPr>
              <w:pStyle w:val="SCC42tablebody"/>
            </w:pPr>
            <w:r>
              <w:t>Mean</w:t>
            </w:r>
          </w:p>
        </w:tc>
        <w:tc>
          <w:tcPr>
            <w:tcW w:w="1020" w:type="dxa"/>
            <w:noWrap/>
          </w:tcPr>
          <w:p w:rsidR="002A79F2" w:rsidRDefault="002A79F2" w:rsidP="00321494">
            <w:pPr>
              <w:pStyle w:val="SCC42tablebody"/>
            </w:pPr>
            <w:r>
              <w:t>S. Dev</w:t>
            </w:r>
          </w:p>
        </w:tc>
        <w:tc>
          <w:tcPr>
            <w:tcW w:w="1094" w:type="dxa"/>
            <w:noWrap/>
          </w:tcPr>
          <w:p w:rsidR="002A79F2" w:rsidRDefault="002A79F2" w:rsidP="00321494">
            <w:pPr>
              <w:pStyle w:val="SCC42tablebody"/>
            </w:pPr>
            <w:r>
              <w:t>Minimum</w:t>
            </w:r>
          </w:p>
        </w:tc>
        <w:tc>
          <w:tcPr>
            <w:tcW w:w="1129" w:type="dxa"/>
            <w:noWrap/>
          </w:tcPr>
          <w:p w:rsidR="002A79F2" w:rsidRDefault="002A79F2" w:rsidP="00321494">
            <w:pPr>
              <w:pStyle w:val="SCC42tablebody"/>
            </w:pPr>
            <w:r>
              <w:t>Maximum</w:t>
            </w:r>
          </w:p>
        </w:tc>
      </w:tr>
      <w:tr w:rsidR="002A79F2" w:rsidTr="00321494">
        <w:trPr>
          <w:trHeight w:val="795"/>
          <w:jc w:val="right"/>
        </w:trPr>
        <w:tc>
          <w:tcPr>
            <w:tcW w:w="2323" w:type="dxa"/>
            <w:noWrap/>
          </w:tcPr>
          <w:p w:rsidR="002A79F2" w:rsidRDefault="002A79F2" w:rsidP="00321494">
            <w:pPr>
              <w:pStyle w:val="SCC42tablebody"/>
            </w:pPr>
            <w:proofErr w:type="spellStart"/>
            <w:r>
              <w:t>Agro</w:t>
            </w:r>
            <w:proofErr w:type="spellEnd"/>
            <w:r>
              <w:t xml:space="preserve"> ER</w:t>
            </w:r>
          </w:p>
        </w:tc>
        <w:tc>
          <w:tcPr>
            <w:tcW w:w="938" w:type="dxa"/>
            <w:noWrap/>
          </w:tcPr>
          <w:p w:rsidR="002A79F2" w:rsidRDefault="002A79F2" w:rsidP="00321494">
            <w:pPr>
              <w:pStyle w:val="SCC42tablebody"/>
            </w:pPr>
            <w:r>
              <w:t>27</w:t>
            </w:r>
          </w:p>
        </w:tc>
        <w:tc>
          <w:tcPr>
            <w:tcW w:w="1020" w:type="dxa"/>
            <w:noWrap/>
          </w:tcPr>
          <w:p w:rsidR="002A79F2" w:rsidRDefault="002A79F2" w:rsidP="00321494">
            <w:pPr>
              <w:pStyle w:val="SCC42tablebody"/>
            </w:pPr>
            <w:r>
              <w:t>6.81E+09</w:t>
            </w:r>
          </w:p>
        </w:tc>
        <w:tc>
          <w:tcPr>
            <w:tcW w:w="1020" w:type="dxa"/>
            <w:noWrap/>
          </w:tcPr>
          <w:p w:rsidR="002A79F2" w:rsidRDefault="002A79F2" w:rsidP="00321494">
            <w:pPr>
              <w:pStyle w:val="SCC42tablebody"/>
            </w:pPr>
            <w:r>
              <w:t>3.81E+09</w:t>
            </w:r>
          </w:p>
        </w:tc>
        <w:tc>
          <w:tcPr>
            <w:tcW w:w="1094" w:type="dxa"/>
            <w:noWrap/>
          </w:tcPr>
          <w:p w:rsidR="002A79F2" w:rsidRDefault="002A79F2" w:rsidP="00321494">
            <w:pPr>
              <w:pStyle w:val="SCC42tablebody"/>
            </w:pPr>
            <w:r>
              <w:t>2.13E+09</w:t>
            </w:r>
          </w:p>
        </w:tc>
        <w:tc>
          <w:tcPr>
            <w:tcW w:w="1129" w:type="dxa"/>
            <w:noWrap/>
          </w:tcPr>
          <w:p w:rsidR="002A79F2" w:rsidRDefault="002A79F2" w:rsidP="00321494">
            <w:pPr>
              <w:pStyle w:val="SCC42tablebody"/>
            </w:pPr>
            <w:r>
              <w:t>1.35E+10</w:t>
            </w:r>
          </w:p>
        </w:tc>
      </w:tr>
      <w:tr w:rsidR="002A79F2" w:rsidTr="00321494">
        <w:trPr>
          <w:trHeight w:val="795"/>
          <w:jc w:val="right"/>
        </w:trPr>
        <w:tc>
          <w:tcPr>
            <w:tcW w:w="2323" w:type="dxa"/>
            <w:noWrap/>
          </w:tcPr>
          <w:p w:rsidR="002A79F2" w:rsidRDefault="002A79F2" w:rsidP="00321494">
            <w:pPr>
              <w:pStyle w:val="SCC42tablebody"/>
            </w:pPr>
            <w:r>
              <w:t>Total EXP</w:t>
            </w:r>
          </w:p>
        </w:tc>
        <w:tc>
          <w:tcPr>
            <w:tcW w:w="938" w:type="dxa"/>
            <w:noWrap/>
          </w:tcPr>
          <w:p w:rsidR="002A79F2" w:rsidRDefault="002A79F2" w:rsidP="00321494">
            <w:pPr>
              <w:pStyle w:val="SCC42tablebody"/>
            </w:pPr>
            <w:r>
              <w:t>27</w:t>
            </w:r>
          </w:p>
        </w:tc>
        <w:tc>
          <w:tcPr>
            <w:tcW w:w="1020" w:type="dxa"/>
            <w:noWrap/>
          </w:tcPr>
          <w:p w:rsidR="002A79F2" w:rsidRDefault="002A79F2" w:rsidP="00321494">
            <w:pPr>
              <w:pStyle w:val="SCC42tablebody"/>
            </w:pPr>
            <w:r>
              <w:t>1.56E+12</w:t>
            </w:r>
          </w:p>
        </w:tc>
        <w:tc>
          <w:tcPr>
            <w:tcW w:w="1020" w:type="dxa"/>
            <w:noWrap/>
          </w:tcPr>
          <w:p w:rsidR="002A79F2" w:rsidRDefault="002A79F2" w:rsidP="00321494">
            <w:pPr>
              <w:pStyle w:val="SCC42tablebody"/>
            </w:pPr>
            <w:r>
              <w:t>1.2E+12</w:t>
            </w:r>
          </w:p>
        </w:tc>
        <w:tc>
          <w:tcPr>
            <w:tcW w:w="1094" w:type="dxa"/>
            <w:noWrap/>
          </w:tcPr>
          <w:p w:rsidR="002A79F2" w:rsidRDefault="002A79F2" w:rsidP="00321494">
            <w:pPr>
              <w:pStyle w:val="SCC42tablebody"/>
            </w:pPr>
            <w:r>
              <w:t>1.32E+11</w:t>
            </w:r>
          </w:p>
        </w:tc>
        <w:tc>
          <w:tcPr>
            <w:tcW w:w="1129" w:type="dxa"/>
            <w:noWrap/>
          </w:tcPr>
          <w:p w:rsidR="002A79F2" w:rsidRDefault="002A79F2" w:rsidP="00321494">
            <w:pPr>
              <w:pStyle w:val="SCC42tablebody"/>
            </w:pPr>
            <w:r>
              <w:t>3.72E+12</w:t>
            </w:r>
          </w:p>
        </w:tc>
      </w:tr>
      <w:tr w:rsidR="002A79F2" w:rsidTr="00321494">
        <w:trPr>
          <w:trHeight w:val="795"/>
          <w:jc w:val="right"/>
        </w:trPr>
        <w:tc>
          <w:tcPr>
            <w:tcW w:w="2323" w:type="dxa"/>
            <w:noWrap/>
          </w:tcPr>
          <w:p w:rsidR="002A79F2" w:rsidRDefault="002A79F2" w:rsidP="00321494">
            <w:pPr>
              <w:pStyle w:val="SCC42tablebody"/>
            </w:pPr>
          </w:p>
          <w:p w:rsidR="002A79F2" w:rsidRDefault="002A79F2" w:rsidP="00321494">
            <w:pPr>
              <w:pStyle w:val="SCC42tablebody"/>
            </w:pPr>
          </w:p>
          <w:p w:rsidR="002A79F2" w:rsidRDefault="002A79F2" w:rsidP="00321494">
            <w:pPr>
              <w:pStyle w:val="SCC42tablebody"/>
            </w:pPr>
            <w:r>
              <w:t>ER</w:t>
            </w:r>
          </w:p>
        </w:tc>
        <w:tc>
          <w:tcPr>
            <w:tcW w:w="938" w:type="dxa"/>
            <w:noWrap/>
          </w:tcPr>
          <w:p w:rsidR="002A79F2" w:rsidRDefault="002A79F2" w:rsidP="00321494">
            <w:pPr>
              <w:pStyle w:val="SCC42tablebody"/>
            </w:pPr>
            <w:r>
              <w:t>27</w:t>
            </w:r>
          </w:p>
        </w:tc>
        <w:tc>
          <w:tcPr>
            <w:tcW w:w="1020" w:type="dxa"/>
            <w:noWrap/>
          </w:tcPr>
          <w:p w:rsidR="002A79F2" w:rsidRDefault="002A79F2" w:rsidP="00321494">
            <w:pPr>
              <w:pStyle w:val="SCC42tablebody"/>
            </w:pPr>
            <w:r>
              <w:t>7.3696</w:t>
            </w:r>
          </w:p>
        </w:tc>
        <w:tc>
          <w:tcPr>
            <w:tcW w:w="1020" w:type="dxa"/>
            <w:noWrap/>
          </w:tcPr>
          <w:p w:rsidR="002A79F2" w:rsidRDefault="002A79F2" w:rsidP="00321494">
            <w:pPr>
              <w:pStyle w:val="SCC42tablebody"/>
            </w:pPr>
            <w:r>
              <w:t>0.8648</w:t>
            </w:r>
          </w:p>
        </w:tc>
        <w:tc>
          <w:tcPr>
            <w:tcW w:w="1094" w:type="dxa"/>
            <w:noWrap/>
          </w:tcPr>
          <w:p w:rsidR="002A79F2" w:rsidRDefault="002A79F2" w:rsidP="00321494">
            <w:pPr>
              <w:pStyle w:val="SCC42tablebody"/>
            </w:pPr>
            <w:r>
              <w:t>6.1478</w:t>
            </w:r>
          </w:p>
        </w:tc>
        <w:tc>
          <w:tcPr>
            <w:tcW w:w="1129" w:type="dxa"/>
            <w:noWrap/>
          </w:tcPr>
          <w:p w:rsidR="002A79F2" w:rsidRDefault="002A79F2" w:rsidP="00321494">
            <w:pPr>
              <w:pStyle w:val="SCC42tablebody"/>
            </w:pPr>
            <w:r>
              <w:t>8.3700</w:t>
            </w:r>
          </w:p>
        </w:tc>
      </w:tr>
      <w:tr w:rsidR="002A79F2" w:rsidTr="00321494">
        <w:trPr>
          <w:trHeight w:val="795"/>
          <w:jc w:val="right"/>
        </w:trPr>
        <w:tc>
          <w:tcPr>
            <w:tcW w:w="2323" w:type="dxa"/>
            <w:noWrap/>
          </w:tcPr>
          <w:p w:rsidR="002A79F2" w:rsidRDefault="002A79F2" w:rsidP="00321494">
            <w:pPr>
              <w:pStyle w:val="SCC42tablebody"/>
            </w:pPr>
            <w:r>
              <w:t>ERV</w:t>
            </w:r>
          </w:p>
        </w:tc>
        <w:tc>
          <w:tcPr>
            <w:tcW w:w="938" w:type="dxa"/>
            <w:noWrap/>
          </w:tcPr>
          <w:p w:rsidR="002A79F2" w:rsidRDefault="002A79F2" w:rsidP="00321494">
            <w:pPr>
              <w:pStyle w:val="SCC42tablebody"/>
            </w:pPr>
            <w:r>
              <w:t>27</w:t>
            </w:r>
          </w:p>
        </w:tc>
        <w:tc>
          <w:tcPr>
            <w:tcW w:w="1020" w:type="dxa"/>
            <w:noWrap/>
          </w:tcPr>
          <w:p w:rsidR="002A79F2" w:rsidRDefault="002A79F2" w:rsidP="00321494">
            <w:pPr>
              <w:pStyle w:val="SCC42tablebody"/>
            </w:pPr>
            <w:r>
              <w:t>-0.0030</w:t>
            </w:r>
          </w:p>
        </w:tc>
        <w:tc>
          <w:tcPr>
            <w:tcW w:w="1020" w:type="dxa"/>
            <w:noWrap/>
          </w:tcPr>
          <w:p w:rsidR="002A79F2" w:rsidRDefault="002A79F2" w:rsidP="00321494">
            <w:pPr>
              <w:pStyle w:val="SCC42tablebody"/>
            </w:pPr>
            <w:r>
              <w:t>0.0294</w:t>
            </w:r>
          </w:p>
        </w:tc>
        <w:tc>
          <w:tcPr>
            <w:tcW w:w="1094" w:type="dxa"/>
            <w:noWrap/>
          </w:tcPr>
          <w:p w:rsidR="002A79F2" w:rsidRDefault="002A79F2" w:rsidP="00321494">
            <w:pPr>
              <w:pStyle w:val="SCC42tablebody"/>
            </w:pPr>
            <w:r>
              <w:t>-0.0657</w:t>
            </w:r>
          </w:p>
        </w:tc>
        <w:tc>
          <w:tcPr>
            <w:tcW w:w="1129" w:type="dxa"/>
            <w:noWrap/>
          </w:tcPr>
          <w:p w:rsidR="002A79F2" w:rsidRDefault="002A79F2" w:rsidP="00321494">
            <w:pPr>
              <w:pStyle w:val="SCC42tablebody"/>
            </w:pPr>
            <w:r>
              <w:t>0.0569</w:t>
            </w:r>
          </w:p>
        </w:tc>
      </w:tr>
      <w:tr w:rsidR="002A79F2" w:rsidTr="00321494">
        <w:trPr>
          <w:trHeight w:val="795"/>
          <w:jc w:val="right"/>
        </w:trPr>
        <w:tc>
          <w:tcPr>
            <w:tcW w:w="2323" w:type="dxa"/>
            <w:noWrap/>
          </w:tcPr>
          <w:p w:rsidR="002A79F2" w:rsidRDefault="002A79F2" w:rsidP="00321494">
            <w:pPr>
              <w:pStyle w:val="SCC42tablebody"/>
            </w:pPr>
            <w:r>
              <w:t>INF Rate</w:t>
            </w:r>
          </w:p>
        </w:tc>
        <w:tc>
          <w:tcPr>
            <w:tcW w:w="938" w:type="dxa"/>
            <w:noWrap/>
          </w:tcPr>
          <w:p w:rsidR="002A79F2" w:rsidRDefault="002A79F2" w:rsidP="00321494">
            <w:pPr>
              <w:pStyle w:val="SCC42tablebody"/>
            </w:pPr>
            <w:r>
              <w:t>27</w:t>
            </w:r>
          </w:p>
        </w:tc>
        <w:tc>
          <w:tcPr>
            <w:tcW w:w="1020" w:type="dxa"/>
            <w:noWrap/>
          </w:tcPr>
          <w:p w:rsidR="002A79F2" w:rsidRDefault="002A79F2" w:rsidP="00321494">
            <w:pPr>
              <w:pStyle w:val="SCC42tablebody"/>
            </w:pPr>
            <w:r>
              <w:t>2.6204</w:t>
            </w:r>
          </w:p>
        </w:tc>
        <w:tc>
          <w:tcPr>
            <w:tcW w:w="1020" w:type="dxa"/>
            <w:noWrap/>
          </w:tcPr>
          <w:p w:rsidR="002A79F2" w:rsidRDefault="002A79F2" w:rsidP="00321494">
            <w:pPr>
              <w:pStyle w:val="SCC42tablebody"/>
            </w:pPr>
            <w:r>
              <w:t>3.4673</w:t>
            </w:r>
          </w:p>
        </w:tc>
        <w:tc>
          <w:tcPr>
            <w:tcW w:w="1094" w:type="dxa"/>
            <w:noWrap/>
          </w:tcPr>
          <w:p w:rsidR="002A79F2" w:rsidRDefault="002A79F2" w:rsidP="00321494">
            <w:pPr>
              <w:pStyle w:val="SCC42tablebody"/>
            </w:pPr>
            <w:r>
              <w:t>-1.4015</w:t>
            </w:r>
          </w:p>
        </w:tc>
        <w:tc>
          <w:tcPr>
            <w:tcW w:w="1129" w:type="dxa"/>
            <w:noWrap/>
          </w:tcPr>
          <w:p w:rsidR="002A79F2" w:rsidRDefault="002A79F2" w:rsidP="00321494">
            <w:pPr>
              <w:pStyle w:val="SCC42tablebody"/>
            </w:pPr>
            <w:r>
              <w:t>16.7912</w:t>
            </w:r>
          </w:p>
        </w:tc>
      </w:tr>
      <w:tr w:rsidR="002A79F2" w:rsidTr="00321494">
        <w:trPr>
          <w:trHeight w:val="795"/>
          <w:jc w:val="right"/>
        </w:trPr>
        <w:tc>
          <w:tcPr>
            <w:tcW w:w="2323" w:type="dxa"/>
            <w:noWrap/>
          </w:tcPr>
          <w:p w:rsidR="002A79F2" w:rsidRDefault="002A79F2" w:rsidP="00321494">
            <w:pPr>
              <w:pStyle w:val="SCC42tablebody"/>
            </w:pPr>
            <w:r>
              <w:t>INT Rate</w:t>
            </w:r>
          </w:p>
        </w:tc>
        <w:tc>
          <w:tcPr>
            <w:tcW w:w="938" w:type="dxa"/>
            <w:noWrap/>
          </w:tcPr>
          <w:p w:rsidR="002A79F2" w:rsidRDefault="002A79F2" w:rsidP="00321494">
            <w:pPr>
              <w:pStyle w:val="SCC42tablebody"/>
            </w:pPr>
            <w:r>
              <w:t>27</w:t>
            </w:r>
          </w:p>
        </w:tc>
        <w:tc>
          <w:tcPr>
            <w:tcW w:w="1020" w:type="dxa"/>
            <w:noWrap/>
          </w:tcPr>
          <w:p w:rsidR="002A79F2" w:rsidRDefault="002A79F2" w:rsidP="00321494">
            <w:pPr>
              <w:pStyle w:val="SCC42tablebody"/>
            </w:pPr>
            <w:r>
              <w:t>2.6707</w:t>
            </w:r>
          </w:p>
        </w:tc>
        <w:tc>
          <w:tcPr>
            <w:tcW w:w="1020" w:type="dxa"/>
            <w:noWrap/>
          </w:tcPr>
          <w:p w:rsidR="002A79F2" w:rsidRDefault="002A79F2" w:rsidP="00321494">
            <w:pPr>
              <w:pStyle w:val="SCC42tablebody"/>
            </w:pPr>
            <w:r>
              <w:t>2.5785</w:t>
            </w:r>
          </w:p>
        </w:tc>
        <w:tc>
          <w:tcPr>
            <w:tcW w:w="1094" w:type="dxa"/>
            <w:noWrap/>
          </w:tcPr>
          <w:p w:rsidR="002A79F2" w:rsidRDefault="002A79F2" w:rsidP="00321494">
            <w:pPr>
              <w:pStyle w:val="SCC42tablebody"/>
            </w:pPr>
            <w:r>
              <w:t>-1.4127</w:t>
            </w:r>
          </w:p>
        </w:tc>
        <w:tc>
          <w:tcPr>
            <w:tcW w:w="1129" w:type="dxa"/>
            <w:noWrap/>
          </w:tcPr>
          <w:p w:rsidR="002A79F2" w:rsidRDefault="002A79F2" w:rsidP="00321494">
            <w:pPr>
              <w:pStyle w:val="SCC42tablebody"/>
            </w:pPr>
            <w:r>
              <w:t>7.3565</w:t>
            </w:r>
          </w:p>
        </w:tc>
      </w:tr>
      <w:tr w:rsidR="002A79F2" w:rsidTr="00321494">
        <w:trPr>
          <w:trHeight w:val="795"/>
          <w:jc w:val="right"/>
        </w:trPr>
        <w:tc>
          <w:tcPr>
            <w:tcW w:w="2323" w:type="dxa"/>
            <w:noWrap/>
          </w:tcPr>
          <w:p w:rsidR="002A79F2" w:rsidRDefault="002A79F2" w:rsidP="00321494">
            <w:pPr>
              <w:pStyle w:val="SCC42tablebody"/>
            </w:pPr>
            <w:r>
              <w:lastRenderedPageBreak/>
              <w:t>FDI Inflow</w:t>
            </w:r>
          </w:p>
        </w:tc>
        <w:tc>
          <w:tcPr>
            <w:tcW w:w="938" w:type="dxa"/>
            <w:noWrap/>
          </w:tcPr>
          <w:p w:rsidR="002A79F2" w:rsidRDefault="002A79F2" w:rsidP="00321494">
            <w:pPr>
              <w:pStyle w:val="SCC42tablebody"/>
            </w:pPr>
            <w:r>
              <w:t>27</w:t>
            </w:r>
          </w:p>
        </w:tc>
        <w:tc>
          <w:tcPr>
            <w:tcW w:w="1020" w:type="dxa"/>
            <w:noWrap/>
          </w:tcPr>
          <w:p w:rsidR="002A79F2" w:rsidRDefault="002A79F2" w:rsidP="00321494">
            <w:pPr>
              <w:pStyle w:val="SCC42tablebody"/>
            </w:pPr>
            <w:r>
              <w:t>3.0619</w:t>
            </w:r>
          </w:p>
        </w:tc>
        <w:tc>
          <w:tcPr>
            <w:tcW w:w="1020" w:type="dxa"/>
            <w:noWrap/>
          </w:tcPr>
          <w:p w:rsidR="002A79F2" w:rsidRDefault="002A79F2" w:rsidP="00321494">
            <w:pPr>
              <w:pStyle w:val="SCC42tablebody"/>
            </w:pPr>
            <w:r>
              <w:t>1.3250</w:t>
            </w:r>
          </w:p>
        </w:tc>
        <w:tc>
          <w:tcPr>
            <w:tcW w:w="1094" w:type="dxa"/>
            <w:noWrap/>
          </w:tcPr>
          <w:p w:rsidR="002A79F2" w:rsidRDefault="002A79F2" w:rsidP="00321494">
            <w:pPr>
              <w:pStyle w:val="SCC42tablebody"/>
            </w:pPr>
            <w:r>
              <w:t>0.2401</w:t>
            </w:r>
          </w:p>
        </w:tc>
        <w:tc>
          <w:tcPr>
            <w:tcW w:w="1129" w:type="dxa"/>
            <w:noWrap/>
          </w:tcPr>
          <w:p w:rsidR="002A79F2" w:rsidRDefault="002A79F2" w:rsidP="00321494">
            <w:pPr>
              <w:pStyle w:val="SCC42tablebody"/>
            </w:pPr>
            <w:r>
              <w:t>4.8809</w:t>
            </w:r>
          </w:p>
        </w:tc>
      </w:tr>
    </w:tbl>
    <w:p w:rsidR="002A79F2" w:rsidRDefault="002A79F2" w:rsidP="002A79F2">
      <w:pPr>
        <w:pStyle w:val="SCC31text"/>
        <w:rPr>
          <w:lang w:val="en-GB"/>
        </w:rPr>
      </w:pPr>
      <w:r>
        <w:rPr>
          <w:lang w:val="en-GB"/>
        </w:rPr>
        <w:t xml:space="preserve">Summary statistics in Table 2 show that there are a total of 27 observations considered in the study. This means that data for 27 years has been considered in the time series model. The statistics show mean revenue from </w:t>
      </w:r>
      <w:proofErr w:type="spellStart"/>
      <w:r>
        <w:rPr>
          <w:lang w:val="en-GB"/>
        </w:rPr>
        <w:t>Agro</w:t>
      </w:r>
      <w:proofErr w:type="spellEnd"/>
      <w:r>
        <w:rPr>
          <w:lang w:val="en-GB"/>
        </w:rPr>
        <w:t xml:space="preserve"> ER is 6.81 billion RMB. Total Exp has a value of 1560.0 billion RMB from China. The ER mean value is 7.3696 RMB/USD whereas the ERV has an average of -0.0030. The average value of the INF Rate is 2.6204 whereas the mean of the INT Rate is 2.6707. Finally, the FDI Inflow mean is recorded as 3.0619 percent.</w:t>
      </w:r>
    </w:p>
    <w:p w:rsidR="002A79F2" w:rsidRDefault="002A79F2" w:rsidP="002A79F2">
      <w:pPr>
        <w:pStyle w:val="SCC41tablecaption"/>
        <w:rPr>
          <w:i/>
          <w:iCs/>
          <w:lang w:val="en-GB"/>
        </w:rPr>
      </w:pPr>
      <w:r>
        <w:t xml:space="preserve">Table </w:t>
      </w:r>
      <w:r>
        <w:fldChar w:fldCharType="begin"/>
      </w:r>
      <w:r>
        <w:instrText xml:space="preserve"> SEQ Table \* ARABIC </w:instrText>
      </w:r>
      <w:r>
        <w:fldChar w:fldCharType="separate"/>
      </w:r>
      <w:r>
        <w:t>3</w:t>
      </w:r>
      <w:r>
        <w:fldChar w:fldCharType="end"/>
      </w:r>
      <w:r>
        <w:t>: Dickey-Fuller Test Results</w:t>
      </w:r>
    </w:p>
    <w:tbl>
      <w:tblPr>
        <w:tblStyle w:val="TableGrid"/>
        <w:tblW w:w="0" w:type="auto"/>
        <w:jc w:val="right"/>
        <w:tblLook w:val="04A0" w:firstRow="1" w:lastRow="0" w:firstColumn="1" w:lastColumn="0" w:noHBand="0" w:noVBand="1"/>
      </w:tblPr>
      <w:tblGrid>
        <w:gridCol w:w="2110"/>
        <w:gridCol w:w="1137"/>
        <w:gridCol w:w="1760"/>
        <w:gridCol w:w="1137"/>
        <w:gridCol w:w="1760"/>
      </w:tblGrid>
      <w:tr w:rsidR="002A79F2" w:rsidTr="00321494">
        <w:trPr>
          <w:trHeight w:val="302"/>
          <w:jc w:val="right"/>
        </w:trPr>
        <w:tc>
          <w:tcPr>
            <w:tcW w:w="2110" w:type="dxa"/>
            <w:noWrap/>
          </w:tcPr>
          <w:p w:rsidR="002A79F2" w:rsidRDefault="002A79F2" w:rsidP="00321494">
            <w:pPr>
              <w:pStyle w:val="SCC42tablebody"/>
            </w:pPr>
          </w:p>
        </w:tc>
        <w:tc>
          <w:tcPr>
            <w:tcW w:w="2897" w:type="dxa"/>
            <w:gridSpan w:val="2"/>
            <w:noWrap/>
          </w:tcPr>
          <w:p w:rsidR="002A79F2" w:rsidRDefault="002A79F2" w:rsidP="00321494">
            <w:pPr>
              <w:pStyle w:val="SCC42tablebody"/>
            </w:pPr>
            <w:r>
              <w:t>Base Model</w:t>
            </w:r>
          </w:p>
        </w:tc>
        <w:tc>
          <w:tcPr>
            <w:tcW w:w="2897" w:type="dxa"/>
            <w:gridSpan w:val="2"/>
            <w:noWrap/>
          </w:tcPr>
          <w:p w:rsidR="002A79F2" w:rsidRDefault="002A79F2" w:rsidP="00321494">
            <w:pPr>
              <w:pStyle w:val="SCC42tablebody"/>
            </w:pPr>
            <w:r>
              <w:t>Difference</w:t>
            </w:r>
          </w:p>
        </w:tc>
      </w:tr>
      <w:tr w:rsidR="002A79F2" w:rsidTr="00321494">
        <w:trPr>
          <w:trHeight w:val="624"/>
          <w:jc w:val="right"/>
        </w:trPr>
        <w:tc>
          <w:tcPr>
            <w:tcW w:w="2110" w:type="dxa"/>
            <w:noWrap/>
          </w:tcPr>
          <w:p w:rsidR="002A79F2" w:rsidRDefault="002A79F2" w:rsidP="00321494">
            <w:pPr>
              <w:pStyle w:val="SCC42tablebody"/>
            </w:pPr>
            <w:r>
              <w:t>Variable</w:t>
            </w:r>
          </w:p>
        </w:tc>
        <w:tc>
          <w:tcPr>
            <w:tcW w:w="1137" w:type="dxa"/>
            <w:noWrap/>
          </w:tcPr>
          <w:p w:rsidR="002A79F2" w:rsidRDefault="002A79F2" w:rsidP="00321494">
            <w:pPr>
              <w:pStyle w:val="SCC42tablebody"/>
            </w:pPr>
            <w:r>
              <w:t>Test Statistic</w:t>
            </w:r>
          </w:p>
        </w:tc>
        <w:tc>
          <w:tcPr>
            <w:tcW w:w="1760" w:type="dxa"/>
            <w:noWrap/>
          </w:tcPr>
          <w:p w:rsidR="002A79F2" w:rsidRDefault="002A79F2" w:rsidP="00321494">
            <w:pPr>
              <w:pStyle w:val="SCC42tablebody"/>
            </w:pPr>
            <w:r>
              <w:t>MacKinnon p-value</w:t>
            </w:r>
          </w:p>
        </w:tc>
        <w:tc>
          <w:tcPr>
            <w:tcW w:w="1137" w:type="dxa"/>
            <w:noWrap/>
          </w:tcPr>
          <w:p w:rsidR="002A79F2" w:rsidRDefault="002A79F2" w:rsidP="00321494">
            <w:pPr>
              <w:pStyle w:val="SCC42tablebody"/>
            </w:pPr>
            <w:r>
              <w:t>Test Statistic</w:t>
            </w:r>
          </w:p>
        </w:tc>
        <w:tc>
          <w:tcPr>
            <w:tcW w:w="1760" w:type="dxa"/>
            <w:noWrap/>
          </w:tcPr>
          <w:p w:rsidR="002A79F2" w:rsidRDefault="002A79F2" w:rsidP="00321494">
            <w:pPr>
              <w:pStyle w:val="SCC42tablebody"/>
            </w:pPr>
            <w:r>
              <w:t>MacKinnon p-value</w:t>
            </w:r>
          </w:p>
        </w:tc>
      </w:tr>
      <w:tr w:rsidR="002A79F2" w:rsidTr="00321494">
        <w:trPr>
          <w:trHeight w:val="624"/>
          <w:jc w:val="right"/>
        </w:trPr>
        <w:tc>
          <w:tcPr>
            <w:tcW w:w="2110" w:type="dxa"/>
            <w:noWrap/>
          </w:tcPr>
          <w:p w:rsidR="002A79F2" w:rsidRDefault="002A79F2" w:rsidP="00321494">
            <w:pPr>
              <w:pStyle w:val="SCC42tablebody"/>
            </w:pPr>
            <w:proofErr w:type="spellStart"/>
            <w:r>
              <w:t>Agro</w:t>
            </w:r>
            <w:proofErr w:type="spellEnd"/>
            <w:r>
              <w:t xml:space="preserve"> ER</w:t>
            </w:r>
          </w:p>
        </w:tc>
        <w:tc>
          <w:tcPr>
            <w:tcW w:w="1137" w:type="dxa"/>
            <w:noWrap/>
          </w:tcPr>
          <w:p w:rsidR="002A79F2" w:rsidRDefault="002A79F2" w:rsidP="00321494">
            <w:pPr>
              <w:pStyle w:val="SCC42tablebody"/>
            </w:pPr>
            <w:r>
              <w:t>-0.478</w:t>
            </w:r>
          </w:p>
        </w:tc>
        <w:tc>
          <w:tcPr>
            <w:tcW w:w="1760" w:type="dxa"/>
            <w:noWrap/>
          </w:tcPr>
          <w:p w:rsidR="002A79F2" w:rsidRDefault="002A79F2" w:rsidP="00321494">
            <w:pPr>
              <w:pStyle w:val="SCC42tablebody"/>
            </w:pPr>
            <w:r>
              <w:t>0.8963</w:t>
            </w:r>
          </w:p>
        </w:tc>
        <w:tc>
          <w:tcPr>
            <w:tcW w:w="1137" w:type="dxa"/>
            <w:noWrap/>
          </w:tcPr>
          <w:p w:rsidR="002A79F2" w:rsidRDefault="002A79F2" w:rsidP="00321494">
            <w:pPr>
              <w:pStyle w:val="SCC42tablebody"/>
            </w:pPr>
            <w:r>
              <w:t>-3.516</w:t>
            </w:r>
          </w:p>
        </w:tc>
        <w:tc>
          <w:tcPr>
            <w:tcW w:w="1760" w:type="dxa"/>
            <w:noWrap/>
          </w:tcPr>
          <w:p w:rsidR="002A79F2" w:rsidRDefault="002A79F2" w:rsidP="00321494">
            <w:pPr>
              <w:pStyle w:val="SCC42tablebody"/>
            </w:pPr>
            <w:r>
              <w:t>0.0076</w:t>
            </w:r>
          </w:p>
        </w:tc>
      </w:tr>
      <w:tr w:rsidR="002A79F2" w:rsidTr="00321494">
        <w:trPr>
          <w:trHeight w:val="624"/>
          <w:jc w:val="right"/>
        </w:trPr>
        <w:tc>
          <w:tcPr>
            <w:tcW w:w="2110" w:type="dxa"/>
            <w:noWrap/>
          </w:tcPr>
          <w:p w:rsidR="002A79F2" w:rsidRDefault="002A79F2" w:rsidP="00321494">
            <w:pPr>
              <w:pStyle w:val="SCC42tablebody"/>
            </w:pPr>
            <w:r>
              <w:t>Total EXP</w:t>
            </w:r>
          </w:p>
        </w:tc>
        <w:tc>
          <w:tcPr>
            <w:tcW w:w="1137" w:type="dxa"/>
            <w:noWrap/>
          </w:tcPr>
          <w:p w:rsidR="002A79F2" w:rsidRDefault="002A79F2" w:rsidP="00321494">
            <w:pPr>
              <w:pStyle w:val="SCC42tablebody"/>
            </w:pPr>
            <w:r>
              <w:t>-0.012</w:t>
            </w:r>
          </w:p>
        </w:tc>
        <w:tc>
          <w:tcPr>
            <w:tcW w:w="1760" w:type="dxa"/>
            <w:noWrap/>
          </w:tcPr>
          <w:p w:rsidR="002A79F2" w:rsidRDefault="002A79F2" w:rsidP="00321494">
            <w:pPr>
              <w:pStyle w:val="SCC42tablebody"/>
            </w:pPr>
            <w:r>
              <w:t>0.9575</w:t>
            </w:r>
          </w:p>
        </w:tc>
        <w:tc>
          <w:tcPr>
            <w:tcW w:w="1137" w:type="dxa"/>
            <w:noWrap/>
          </w:tcPr>
          <w:p w:rsidR="002A79F2" w:rsidRDefault="002A79F2" w:rsidP="00321494">
            <w:pPr>
              <w:pStyle w:val="SCC42tablebody"/>
              <w:rPr>
                <w:vertAlign w:val="superscript"/>
              </w:rPr>
            </w:pPr>
            <w:r>
              <w:t>-6.332</w:t>
            </w:r>
            <w:r>
              <w:rPr>
                <w:vertAlign w:val="superscript"/>
              </w:rPr>
              <w:t>#</w:t>
            </w:r>
          </w:p>
        </w:tc>
        <w:tc>
          <w:tcPr>
            <w:tcW w:w="1760" w:type="dxa"/>
            <w:noWrap/>
          </w:tcPr>
          <w:p w:rsidR="002A79F2" w:rsidRDefault="002A79F2" w:rsidP="00321494">
            <w:pPr>
              <w:pStyle w:val="SCC42tablebody"/>
              <w:rPr>
                <w:vertAlign w:val="superscript"/>
              </w:rPr>
            </w:pPr>
            <w:r>
              <w:t>0.0000</w:t>
            </w:r>
            <w:r>
              <w:rPr>
                <w:vertAlign w:val="superscript"/>
              </w:rPr>
              <w:t>#</w:t>
            </w:r>
          </w:p>
        </w:tc>
      </w:tr>
      <w:tr w:rsidR="002A79F2" w:rsidTr="00321494">
        <w:trPr>
          <w:trHeight w:val="320"/>
          <w:jc w:val="right"/>
        </w:trPr>
        <w:tc>
          <w:tcPr>
            <w:tcW w:w="2110" w:type="dxa"/>
            <w:noWrap/>
          </w:tcPr>
          <w:p w:rsidR="002A79F2" w:rsidRDefault="002A79F2" w:rsidP="00321494">
            <w:pPr>
              <w:pStyle w:val="SCC42tablebody"/>
            </w:pPr>
            <w:r>
              <w:t>ER</w:t>
            </w:r>
          </w:p>
        </w:tc>
        <w:tc>
          <w:tcPr>
            <w:tcW w:w="1137" w:type="dxa"/>
            <w:noWrap/>
          </w:tcPr>
          <w:p w:rsidR="002A79F2" w:rsidRDefault="002A79F2" w:rsidP="00321494">
            <w:pPr>
              <w:pStyle w:val="SCC42tablebody"/>
            </w:pPr>
            <w:r>
              <w:t>-1.534</w:t>
            </w:r>
          </w:p>
        </w:tc>
        <w:tc>
          <w:tcPr>
            <w:tcW w:w="1760" w:type="dxa"/>
            <w:noWrap/>
          </w:tcPr>
          <w:p w:rsidR="002A79F2" w:rsidRDefault="002A79F2" w:rsidP="00321494">
            <w:pPr>
              <w:pStyle w:val="SCC42tablebody"/>
            </w:pPr>
            <w:r>
              <w:t>0.5165</w:t>
            </w:r>
          </w:p>
        </w:tc>
        <w:tc>
          <w:tcPr>
            <w:tcW w:w="1137" w:type="dxa"/>
            <w:noWrap/>
          </w:tcPr>
          <w:p w:rsidR="002A79F2" w:rsidRDefault="002A79F2" w:rsidP="00321494">
            <w:pPr>
              <w:pStyle w:val="SCC42tablebody"/>
            </w:pPr>
            <w:r>
              <w:t>-2.899</w:t>
            </w:r>
          </w:p>
        </w:tc>
        <w:tc>
          <w:tcPr>
            <w:tcW w:w="1760" w:type="dxa"/>
            <w:noWrap/>
          </w:tcPr>
          <w:p w:rsidR="002A79F2" w:rsidRDefault="002A79F2" w:rsidP="00321494">
            <w:pPr>
              <w:pStyle w:val="SCC42tablebody"/>
            </w:pPr>
            <w:r>
              <w:t>0.0454</w:t>
            </w:r>
          </w:p>
        </w:tc>
      </w:tr>
      <w:tr w:rsidR="002A79F2" w:rsidTr="00321494">
        <w:trPr>
          <w:trHeight w:val="320"/>
          <w:jc w:val="right"/>
        </w:trPr>
        <w:tc>
          <w:tcPr>
            <w:tcW w:w="2110" w:type="dxa"/>
            <w:noWrap/>
          </w:tcPr>
          <w:p w:rsidR="002A79F2" w:rsidRDefault="002A79F2" w:rsidP="00321494">
            <w:pPr>
              <w:pStyle w:val="SCC42tablebody"/>
            </w:pPr>
            <w:r>
              <w:t>ERV</w:t>
            </w:r>
          </w:p>
        </w:tc>
        <w:tc>
          <w:tcPr>
            <w:tcW w:w="1137" w:type="dxa"/>
            <w:noWrap/>
          </w:tcPr>
          <w:p w:rsidR="002A79F2" w:rsidRDefault="002A79F2" w:rsidP="00321494">
            <w:pPr>
              <w:pStyle w:val="SCC42tablebody"/>
            </w:pPr>
            <w:r>
              <w:t>-3.444 </w:t>
            </w:r>
          </w:p>
        </w:tc>
        <w:tc>
          <w:tcPr>
            <w:tcW w:w="1760" w:type="dxa"/>
            <w:noWrap/>
          </w:tcPr>
          <w:p w:rsidR="002A79F2" w:rsidRDefault="002A79F2" w:rsidP="00321494">
            <w:pPr>
              <w:pStyle w:val="SCC42tablebody"/>
            </w:pPr>
            <w:r>
              <w:t>0.0096 </w:t>
            </w:r>
          </w:p>
        </w:tc>
        <w:tc>
          <w:tcPr>
            <w:tcW w:w="1137" w:type="dxa"/>
            <w:noWrap/>
          </w:tcPr>
          <w:p w:rsidR="002A79F2" w:rsidRDefault="002A79F2" w:rsidP="00321494">
            <w:pPr>
              <w:pStyle w:val="SCC42tablebody"/>
            </w:pPr>
            <w:r>
              <w:t>-6.556 </w:t>
            </w:r>
          </w:p>
        </w:tc>
        <w:tc>
          <w:tcPr>
            <w:tcW w:w="1760" w:type="dxa"/>
            <w:noWrap/>
          </w:tcPr>
          <w:p w:rsidR="002A79F2" w:rsidRDefault="002A79F2" w:rsidP="00321494">
            <w:pPr>
              <w:pStyle w:val="SCC42tablebody"/>
            </w:pPr>
            <w:r>
              <w:t>0.0000 </w:t>
            </w:r>
          </w:p>
        </w:tc>
      </w:tr>
      <w:tr w:rsidR="002A79F2" w:rsidTr="00321494">
        <w:trPr>
          <w:trHeight w:val="624"/>
          <w:jc w:val="right"/>
        </w:trPr>
        <w:tc>
          <w:tcPr>
            <w:tcW w:w="2110" w:type="dxa"/>
            <w:noWrap/>
          </w:tcPr>
          <w:p w:rsidR="002A79F2" w:rsidRDefault="002A79F2" w:rsidP="00321494">
            <w:pPr>
              <w:pStyle w:val="SCC42tablebody"/>
            </w:pPr>
            <w:r>
              <w:t>INF Rate</w:t>
            </w:r>
          </w:p>
        </w:tc>
        <w:tc>
          <w:tcPr>
            <w:tcW w:w="1137" w:type="dxa"/>
            <w:noWrap/>
          </w:tcPr>
          <w:p w:rsidR="002A79F2" w:rsidRDefault="002A79F2" w:rsidP="00321494">
            <w:pPr>
              <w:pStyle w:val="SCC42tablebody"/>
            </w:pPr>
            <w:r>
              <w:t>-4.556</w:t>
            </w:r>
          </w:p>
        </w:tc>
        <w:tc>
          <w:tcPr>
            <w:tcW w:w="1760" w:type="dxa"/>
            <w:noWrap/>
          </w:tcPr>
          <w:p w:rsidR="002A79F2" w:rsidRDefault="002A79F2" w:rsidP="00321494">
            <w:pPr>
              <w:pStyle w:val="SCC42tablebody"/>
            </w:pPr>
            <w:r>
              <w:t>0.0002</w:t>
            </w:r>
          </w:p>
        </w:tc>
        <w:tc>
          <w:tcPr>
            <w:tcW w:w="1137" w:type="dxa"/>
            <w:noWrap/>
          </w:tcPr>
          <w:p w:rsidR="002A79F2" w:rsidRDefault="002A79F2" w:rsidP="00321494">
            <w:pPr>
              <w:pStyle w:val="SCC42tablebody"/>
            </w:pPr>
            <w:r>
              <w:t>-3.950</w:t>
            </w:r>
          </w:p>
        </w:tc>
        <w:tc>
          <w:tcPr>
            <w:tcW w:w="1760" w:type="dxa"/>
            <w:noWrap/>
          </w:tcPr>
          <w:p w:rsidR="002A79F2" w:rsidRDefault="002A79F2" w:rsidP="00321494">
            <w:pPr>
              <w:pStyle w:val="SCC42tablebody"/>
            </w:pPr>
            <w:r>
              <w:t>0.0017</w:t>
            </w:r>
          </w:p>
        </w:tc>
      </w:tr>
      <w:tr w:rsidR="002A79F2" w:rsidTr="00321494">
        <w:trPr>
          <w:trHeight w:val="624"/>
          <w:jc w:val="right"/>
        </w:trPr>
        <w:tc>
          <w:tcPr>
            <w:tcW w:w="2110" w:type="dxa"/>
            <w:noWrap/>
          </w:tcPr>
          <w:p w:rsidR="002A79F2" w:rsidRDefault="002A79F2" w:rsidP="00321494">
            <w:pPr>
              <w:pStyle w:val="SCC42tablebody"/>
            </w:pPr>
            <w:r>
              <w:t>INT Rate</w:t>
            </w:r>
          </w:p>
        </w:tc>
        <w:tc>
          <w:tcPr>
            <w:tcW w:w="1137" w:type="dxa"/>
            <w:noWrap/>
          </w:tcPr>
          <w:p w:rsidR="002A79F2" w:rsidRDefault="002A79F2" w:rsidP="00321494">
            <w:pPr>
              <w:pStyle w:val="SCC42tablebody"/>
            </w:pPr>
            <w:r>
              <w:t>-3.489</w:t>
            </w:r>
          </w:p>
        </w:tc>
        <w:tc>
          <w:tcPr>
            <w:tcW w:w="1760" w:type="dxa"/>
            <w:noWrap/>
          </w:tcPr>
          <w:p w:rsidR="002A79F2" w:rsidRDefault="002A79F2" w:rsidP="00321494">
            <w:pPr>
              <w:pStyle w:val="SCC42tablebody"/>
            </w:pPr>
            <w:r>
              <w:t>0.0083</w:t>
            </w:r>
          </w:p>
        </w:tc>
        <w:tc>
          <w:tcPr>
            <w:tcW w:w="1137" w:type="dxa"/>
            <w:noWrap/>
          </w:tcPr>
          <w:p w:rsidR="002A79F2" w:rsidRDefault="002A79F2" w:rsidP="00321494">
            <w:pPr>
              <w:pStyle w:val="SCC42tablebody"/>
            </w:pPr>
            <w:r>
              <w:t>-5.092</w:t>
            </w:r>
          </w:p>
        </w:tc>
        <w:tc>
          <w:tcPr>
            <w:tcW w:w="1760" w:type="dxa"/>
            <w:noWrap/>
          </w:tcPr>
          <w:p w:rsidR="002A79F2" w:rsidRDefault="002A79F2" w:rsidP="00321494">
            <w:pPr>
              <w:pStyle w:val="SCC42tablebody"/>
            </w:pPr>
            <w:r>
              <w:t>0.0000</w:t>
            </w:r>
          </w:p>
        </w:tc>
      </w:tr>
      <w:tr w:rsidR="002A79F2" w:rsidTr="00321494">
        <w:trPr>
          <w:trHeight w:val="320"/>
          <w:jc w:val="right"/>
        </w:trPr>
        <w:tc>
          <w:tcPr>
            <w:tcW w:w="2110" w:type="dxa"/>
            <w:noWrap/>
          </w:tcPr>
          <w:p w:rsidR="002A79F2" w:rsidRDefault="002A79F2" w:rsidP="00321494">
            <w:pPr>
              <w:pStyle w:val="SCC42tablebody"/>
            </w:pPr>
            <w:r>
              <w:t>FDI Inflow</w:t>
            </w:r>
          </w:p>
        </w:tc>
        <w:tc>
          <w:tcPr>
            <w:tcW w:w="1137" w:type="dxa"/>
            <w:noWrap/>
          </w:tcPr>
          <w:p w:rsidR="002A79F2" w:rsidRDefault="002A79F2" w:rsidP="00321494">
            <w:pPr>
              <w:pStyle w:val="SCC42tablebody"/>
            </w:pPr>
            <w:r>
              <w:t>0.052 </w:t>
            </w:r>
          </w:p>
        </w:tc>
        <w:tc>
          <w:tcPr>
            <w:tcW w:w="1760" w:type="dxa"/>
            <w:noWrap/>
          </w:tcPr>
          <w:p w:rsidR="002A79F2" w:rsidRDefault="002A79F2" w:rsidP="00321494">
            <w:pPr>
              <w:pStyle w:val="SCC42tablebody"/>
            </w:pPr>
            <w:r>
              <w:t>0.9626 </w:t>
            </w:r>
          </w:p>
        </w:tc>
        <w:tc>
          <w:tcPr>
            <w:tcW w:w="1137" w:type="dxa"/>
            <w:noWrap/>
          </w:tcPr>
          <w:p w:rsidR="002A79F2" w:rsidRDefault="002A79F2" w:rsidP="00321494">
            <w:pPr>
              <w:pStyle w:val="SCC42tablebody"/>
            </w:pPr>
            <w:r>
              <w:t>-3.075 </w:t>
            </w:r>
          </w:p>
        </w:tc>
        <w:tc>
          <w:tcPr>
            <w:tcW w:w="1760" w:type="dxa"/>
            <w:noWrap/>
          </w:tcPr>
          <w:p w:rsidR="002A79F2" w:rsidRDefault="002A79F2" w:rsidP="00321494">
            <w:pPr>
              <w:pStyle w:val="SCC42tablebody"/>
            </w:pPr>
            <w:r>
              <w:t>0.0285 </w:t>
            </w:r>
          </w:p>
        </w:tc>
      </w:tr>
    </w:tbl>
    <w:p w:rsidR="002A79F2" w:rsidRDefault="002A79F2" w:rsidP="002A79F2">
      <w:pPr>
        <w:pStyle w:val="SCC43tablefooter"/>
        <w:rPr>
          <w:rFonts w:eastAsiaTheme="minorEastAsia"/>
          <w:lang w:val="en-GB" w:eastAsia="zh-CN"/>
        </w:rPr>
      </w:pPr>
      <w:r>
        <w:rPr>
          <w:vertAlign w:val="superscript"/>
        </w:rPr>
        <w:t>#</w:t>
      </w:r>
      <w:r>
        <w:t>: Second-order difference has been considered for the variable.</w:t>
      </w:r>
    </w:p>
    <w:p w:rsidR="002A79F2" w:rsidRPr="002A79F2" w:rsidRDefault="002A79F2" w:rsidP="002A79F2">
      <w:pPr>
        <w:pStyle w:val="SCC31text"/>
      </w:pPr>
      <w:r>
        <w:t xml:space="preserve">Table 3 shows the test statistic and probability values for the Dickey-Fuller (d-fuller) test. From the d-fuller test statistic, it could be realized that the p-values are not significant at the base level. </w:t>
      </w:r>
      <w:r>
        <w:rPr>
          <w:highlight w:val="yellow"/>
        </w:rPr>
        <w:t>Hence, the first difference was used to analyze the impact of RMB/USD shocks on China's agricultural exports. For Total EXP the second difference order has been considered for removing unit root.</w:t>
      </w:r>
      <w:r>
        <w:t xml:space="preserve"> </w:t>
      </w:r>
    </w:p>
    <w:p w:rsidR="000E123E" w:rsidRDefault="00000000">
      <w:pPr>
        <w:pStyle w:val="SCC22heading2"/>
        <w:rPr>
          <w:lang w:val="en-GB"/>
        </w:rPr>
      </w:pPr>
      <w:r>
        <w:t xml:space="preserve">4.2 Multivariate Analysis </w:t>
      </w:r>
    </w:p>
    <w:p w:rsidR="000E123E" w:rsidRDefault="00000000">
      <w:pPr>
        <w:pStyle w:val="SCC23heading3"/>
        <w:rPr>
          <w:lang w:val="en-GB"/>
        </w:rPr>
      </w:pPr>
      <w:r>
        <w:t>4.2.1 Impact of ER Volatility on Total Exports</w:t>
      </w:r>
    </w:p>
    <w:p w:rsidR="000E123E" w:rsidRDefault="00000000">
      <w:pPr>
        <w:pStyle w:val="SCC31text"/>
        <w:rPr>
          <w:lang w:val="en-GB"/>
        </w:rPr>
      </w:pPr>
      <w:r>
        <w:t xml:space="preserve">The multivariate analysis in part 4.2.1 shows the impact that the ERV has on the Total EXP for China. Using the multivariate analysis, it is understood that ERV has an adverse impact on the Total EXP. The parameter estimate is -0.6669. The INT Rate also has a detrimental impact on the Total EXP with an estimated coefficient of -0.1049. Finally, INF has a negative coefficient of -0.0868 on Total EXP, and FDI has a coefficient of -0.2217. </w:t>
      </w:r>
    </w:p>
    <w:p w:rsidR="000E123E" w:rsidRDefault="00000000">
      <w:pPr>
        <w:pStyle w:val="SCC41tablecaption"/>
        <w:rPr>
          <w:sz w:val="20"/>
          <w:szCs w:val="21"/>
          <w:lang w:val="en-GB"/>
        </w:rPr>
      </w:pPr>
      <w:r>
        <w:rPr>
          <w:sz w:val="20"/>
          <w:szCs w:val="21"/>
        </w:rPr>
        <w:t>4.2.2 Impact of ER Volatility on Agricultural Exports</w:t>
      </w:r>
    </w:p>
    <w:p w:rsidR="000E123E" w:rsidRDefault="00000000">
      <w:pPr>
        <w:pStyle w:val="SCC31text"/>
        <w:rPr>
          <w:rFonts w:eastAsiaTheme="minorEastAsia"/>
          <w:lang w:val="en-GB"/>
        </w:rPr>
      </w:pPr>
      <w:r>
        <w:rPr>
          <w:rFonts w:eastAsiaTheme="minorEastAsia"/>
          <w:lang w:val="en-GB"/>
        </w:rPr>
        <w:t xml:space="preserve">Table 5 shows the regression analysis for the impact of ERV on the </w:t>
      </w:r>
      <w:proofErr w:type="spellStart"/>
      <w:r>
        <w:rPr>
          <w:rFonts w:eastAsiaTheme="minorEastAsia"/>
          <w:lang w:val="en-GB"/>
        </w:rPr>
        <w:t>Agro</w:t>
      </w:r>
      <w:proofErr w:type="spellEnd"/>
      <w:r>
        <w:rPr>
          <w:rFonts w:eastAsiaTheme="minorEastAsia"/>
          <w:lang w:val="en-GB"/>
        </w:rPr>
        <w:t xml:space="preserve"> ER from China. The statistics show that ERV has a </w:t>
      </w:r>
      <w:proofErr w:type="gramStart"/>
      <w:r>
        <w:t>-0.4686</w:t>
      </w:r>
      <w:r>
        <w:rPr>
          <w:rFonts w:eastAsiaTheme="minorEastAsia"/>
          <w:lang w:val="en-GB"/>
        </w:rPr>
        <w:t xml:space="preserve"> factor</w:t>
      </w:r>
      <w:proofErr w:type="gramEnd"/>
      <w:r>
        <w:rPr>
          <w:rFonts w:eastAsiaTheme="minorEastAsia"/>
          <w:lang w:val="en-GB"/>
        </w:rPr>
        <w:t xml:space="preserve"> impact on the </w:t>
      </w:r>
      <w:proofErr w:type="spellStart"/>
      <w:r>
        <w:rPr>
          <w:rFonts w:eastAsiaTheme="minorEastAsia"/>
          <w:lang w:val="en-GB"/>
        </w:rPr>
        <w:t>Agro</w:t>
      </w:r>
      <w:proofErr w:type="spellEnd"/>
      <w:r>
        <w:rPr>
          <w:rFonts w:eastAsiaTheme="minorEastAsia"/>
          <w:lang w:val="en-GB"/>
        </w:rPr>
        <w:t xml:space="preserve"> ER from China. The INT Rate also has a coefficient of </w:t>
      </w:r>
      <w:r>
        <w:t xml:space="preserve">-0.0106 </w:t>
      </w:r>
      <w:r>
        <w:rPr>
          <w:rFonts w:eastAsiaTheme="minorEastAsia"/>
          <w:lang w:val="en-GB"/>
        </w:rPr>
        <w:t xml:space="preserve">on the </w:t>
      </w:r>
      <w:proofErr w:type="spellStart"/>
      <w:r>
        <w:rPr>
          <w:rFonts w:eastAsiaTheme="minorEastAsia"/>
          <w:lang w:val="en-GB"/>
        </w:rPr>
        <w:t>Agro</w:t>
      </w:r>
      <w:proofErr w:type="spellEnd"/>
      <w:r>
        <w:rPr>
          <w:rFonts w:eastAsiaTheme="minorEastAsia"/>
          <w:lang w:val="en-GB"/>
        </w:rPr>
        <w:t xml:space="preserve"> ER. Finally, the INF and FDI also have a negative parameter estimate of </w:t>
      </w:r>
      <w:r>
        <w:t xml:space="preserve">-0.0048 and -0.1072 </w:t>
      </w:r>
      <w:r>
        <w:rPr>
          <w:rFonts w:eastAsiaTheme="minorEastAsia"/>
          <w:lang w:val="en-GB"/>
        </w:rPr>
        <w:t xml:space="preserve">on the </w:t>
      </w:r>
      <w:proofErr w:type="spellStart"/>
      <w:r>
        <w:rPr>
          <w:rFonts w:eastAsiaTheme="minorEastAsia"/>
          <w:lang w:val="en-GB"/>
        </w:rPr>
        <w:t>Agro</w:t>
      </w:r>
      <w:proofErr w:type="spellEnd"/>
      <w:r>
        <w:rPr>
          <w:rFonts w:eastAsiaTheme="minorEastAsia"/>
          <w:lang w:val="en-GB"/>
        </w:rPr>
        <w:t xml:space="preserve"> ER for China respectively. </w:t>
      </w:r>
    </w:p>
    <w:p w:rsidR="000E123E" w:rsidRDefault="00000000">
      <w:pPr>
        <w:pStyle w:val="SCC31text"/>
        <w:ind w:left="2040" w:firstLine="510"/>
        <w:rPr>
          <w:rFonts w:eastAsiaTheme="minorEastAsia"/>
          <w:i/>
          <w:iCs/>
          <w:lang w:val="en-GB"/>
        </w:rPr>
      </w:pPr>
      <w:r>
        <w:rPr>
          <w:rFonts w:eastAsiaTheme="minorEastAsia"/>
          <w:i/>
          <w:iCs/>
          <w:lang w:val="en-GB"/>
        </w:rPr>
        <w:t xml:space="preserve">4.3 Post-Estimation Test </w:t>
      </w:r>
    </w:p>
    <w:p w:rsidR="000E123E" w:rsidRDefault="00000000">
      <w:pPr>
        <w:pStyle w:val="SCC31text"/>
        <w:rPr>
          <w:rFonts w:eastAsiaTheme="minorEastAsia"/>
          <w:lang w:val="en-GB"/>
        </w:rPr>
      </w:pPr>
      <w:r>
        <w:rPr>
          <w:rFonts w:eastAsiaTheme="minorEastAsia"/>
          <w:lang w:val="en-GB"/>
        </w:rPr>
        <w:t xml:space="preserve">The paper also provides post-estimation test results for checking problems on multicollinearity and heteroskedasticity. From Table 10, it has been understood that Model 1 has a total VIF of 1.87 and a Probability value of 0.6820 for the Breusch-Pagan Test. Table 11, shows that for Model 2, the VIF mean was also 1.87 and a p-value of 0.1238 for the Breusch-Pagan Test. Based on the results of the VIF and Breusch-Pagan Test, problems regarding multicollinearity and heteroskedasticity could be ruled out. </w:t>
      </w:r>
    </w:p>
    <w:p w:rsidR="000E123E" w:rsidRDefault="00000000">
      <w:pPr>
        <w:pStyle w:val="SCC31text"/>
        <w:ind w:left="2040" w:firstLine="510"/>
        <w:rPr>
          <w:rFonts w:eastAsiaTheme="minorEastAsia"/>
          <w:i/>
          <w:iCs/>
          <w:highlight w:val="yellow"/>
          <w:lang w:val="en-GB"/>
        </w:rPr>
      </w:pPr>
      <w:r>
        <w:rPr>
          <w:rFonts w:eastAsiaTheme="minorEastAsia"/>
          <w:i/>
          <w:iCs/>
          <w:highlight w:val="yellow"/>
          <w:lang w:val="en-GB"/>
        </w:rPr>
        <w:t>4.4 ARDL and NARDL</w:t>
      </w:r>
    </w:p>
    <w:p w:rsidR="000E123E" w:rsidRDefault="00000000">
      <w:pPr>
        <w:pStyle w:val="SCC31text"/>
        <w:rPr>
          <w:rFonts w:eastAsiaTheme="minorEastAsia"/>
          <w:lang w:val="en-GB"/>
        </w:rPr>
      </w:pPr>
      <w:r>
        <w:rPr>
          <w:rFonts w:eastAsiaTheme="minorEastAsia"/>
          <w:highlight w:val="yellow"/>
          <w:lang w:val="en-GB"/>
        </w:rPr>
        <w:t xml:space="preserve">The short-run and long-term dynamics of the independent variables on the agricultural export revenues and export levels from China are found using the ARDL model. Table 6 shows the ARDL </w:t>
      </w:r>
      <w:r>
        <w:rPr>
          <w:rFonts w:eastAsiaTheme="minorEastAsia"/>
          <w:highlight w:val="yellow"/>
          <w:lang w:val="en-GB"/>
        </w:rPr>
        <w:lastRenderedPageBreak/>
        <w:t xml:space="preserve">model results for </w:t>
      </w:r>
      <w:proofErr w:type="spellStart"/>
      <w:r>
        <w:rPr>
          <w:rFonts w:eastAsiaTheme="minorEastAsia"/>
          <w:highlight w:val="yellow"/>
          <w:lang w:val="en-GB"/>
        </w:rPr>
        <w:t>Log_Total</w:t>
      </w:r>
      <w:proofErr w:type="spellEnd"/>
      <w:r>
        <w:rPr>
          <w:rFonts w:eastAsiaTheme="minorEastAsia"/>
          <w:highlight w:val="yellow"/>
          <w:lang w:val="en-GB"/>
        </w:rPr>
        <w:t xml:space="preserve"> EXP. From the table, it has been found that there are no significant cointegrating relationships over the long run. In the long run, the coefficient for ERV is -7.5153. For the </w:t>
      </w:r>
      <w:proofErr w:type="spellStart"/>
      <w:r>
        <w:rPr>
          <w:rFonts w:eastAsiaTheme="minorEastAsia"/>
          <w:highlight w:val="yellow"/>
          <w:lang w:val="en-GB"/>
        </w:rPr>
        <w:t>Agro</w:t>
      </w:r>
      <w:proofErr w:type="spellEnd"/>
      <w:r>
        <w:rPr>
          <w:rFonts w:eastAsiaTheme="minorEastAsia"/>
          <w:highlight w:val="yellow"/>
          <w:lang w:val="en-GB"/>
        </w:rPr>
        <w:t xml:space="preserve"> ER, the ARDL model in Table 7 shows that ERV has a long-term impact on it. The relation is negative with a coefficient of -0.7028, and is statistically significant. With respect to the NARDL model in Table 8, there are no significant long-term or short-term relationships that impact the positive or the negative components of ERV over time. However, for </w:t>
      </w:r>
      <w:proofErr w:type="spellStart"/>
      <w:r>
        <w:rPr>
          <w:rFonts w:eastAsiaTheme="minorEastAsia"/>
          <w:highlight w:val="yellow"/>
          <w:lang w:val="en-GB"/>
        </w:rPr>
        <w:t>Agro</w:t>
      </w:r>
      <w:proofErr w:type="spellEnd"/>
      <w:r>
        <w:rPr>
          <w:rFonts w:eastAsiaTheme="minorEastAsia"/>
          <w:highlight w:val="yellow"/>
          <w:lang w:val="en-GB"/>
        </w:rPr>
        <w:t xml:space="preserve"> ER, there is a significant impact of the negative component of the ERV on </w:t>
      </w:r>
      <w:proofErr w:type="spellStart"/>
      <w:r>
        <w:rPr>
          <w:rFonts w:eastAsiaTheme="minorEastAsia"/>
          <w:highlight w:val="yellow"/>
          <w:lang w:val="en-GB"/>
        </w:rPr>
        <w:t>Agro</w:t>
      </w:r>
      <w:proofErr w:type="spellEnd"/>
      <w:r>
        <w:rPr>
          <w:rFonts w:eastAsiaTheme="minorEastAsia"/>
          <w:highlight w:val="yellow"/>
          <w:lang w:val="en-GB"/>
        </w:rPr>
        <w:t xml:space="preserve"> ER. This could be understood as the coefficient is -0.4842 with a significant p-value.</w:t>
      </w:r>
      <w:r>
        <w:rPr>
          <w:rFonts w:eastAsiaTheme="minorEastAsia"/>
          <w:lang w:val="en-GB"/>
        </w:rPr>
        <w:t xml:space="preserve">     </w:t>
      </w:r>
    </w:p>
    <w:p w:rsidR="000E123E" w:rsidRDefault="00000000">
      <w:pPr>
        <w:pStyle w:val="SCC21heading1"/>
        <w:rPr>
          <w:rFonts w:eastAsiaTheme="minorEastAsia"/>
          <w:lang w:val="en-GB"/>
        </w:rPr>
      </w:pPr>
      <w:r>
        <w:rPr>
          <w:rFonts w:eastAsiaTheme="minorEastAsia"/>
          <w:lang w:val="en-GB"/>
        </w:rPr>
        <w:t>5. R</w:t>
      </w:r>
      <w:r>
        <w:rPr>
          <w:rFonts w:eastAsiaTheme="minorEastAsia" w:hint="eastAsia"/>
          <w:lang w:val="en-GB"/>
        </w:rPr>
        <w:t>esults</w:t>
      </w:r>
      <w:r>
        <w:rPr>
          <w:rFonts w:eastAsiaTheme="minorEastAsia"/>
          <w:lang w:val="en-GB"/>
        </w:rPr>
        <w:t xml:space="preserve"> and Discussions</w:t>
      </w:r>
    </w:p>
    <w:p w:rsidR="000E123E" w:rsidRDefault="00000000">
      <w:pPr>
        <w:pStyle w:val="SCC31text"/>
        <w:rPr>
          <w:rFonts w:eastAsiaTheme="minorEastAsia"/>
          <w:lang w:val="en-GB"/>
        </w:rPr>
      </w:pPr>
      <w:r>
        <w:rPr>
          <w:rFonts w:eastAsiaTheme="minorEastAsia"/>
          <w:lang w:val="en-GB"/>
        </w:rPr>
        <w:t xml:space="preserve">The results of the analysis show that </w:t>
      </w:r>
      <w:proofErr w:type="spellStart"/>
      <w:r>
        <w:rPr>
          <w:rFonts w:eastAsiaTheme="minorEastAsia"/>
          <w:lang w:val="en-GB"/>
        </w:rPr>
        <w:t>Agro</w:t>
      </w:r>
      <w:proofErr w:type="spellEnd"/>
      <w:r>
        <w:rPr>
          <w:rFonts w:eastAsiaTheme="minorEastAsia"/>
          <w:lang w:val="en-GB"/>
        </w:rPr>
        <w:t xml:space="preserve"> ER has grown in China between 1994 and 2023. During that period, the Total EXP in the region also grew substantially. The same can be observed in Figure 1. There is a downward impact on the ER levels for RMB/USD during the period of the study. The ER Levels fell from 8.6397 to 7.0809 between 1994 and 2023. The ERV shows a substantial level of fluctuation during the timeline of the research. There have been significant volatility trends during 2007-08, 2016 and 2020-21. Furthermore, the INF Rate shows a falling trend from 1994 to 2023. A similar trend is also observed for the interest rate. In 1994 the interest rate was recorded at -7.9897 per cent. However, in 2023, the same was recorded at 4.9613 percent. Finally, FDI Inflow has shown a falling trend during the timeline, as FDI inflows reduced from 5.98 percent of GDP to 0.24 percent of GDP. </w:t>
      </w:r>
    </w:p>
    <w:p w:rsidR="002A79F2" w:rsidRDefault="002A79F2">
      <w:pPr>
        <w:pStyle w:val="SCC31text"/>
        <w:rPr>
          <w:rFonts w:eastAsiaTheme="minorEastAsia"/>
          <w:lang w:val="en-GB"/>
        </w:rPr>
      </w:pPr>
      <w:r>
        <w:rPr>
          <w:rFonts w:eastAsiaTheme="minorEastAsia"/>
          <w:lang w:val="en-GB"/>
        </w:rPr>
        <w:t xml:space="preserve">The multivariate analysis for ERV o the total exports are shown in Table 4. </w:t>
      </w:r>
    </w:p>
    <w:p w:rsidR="002A79F2" w:rsidRDefault="002A79F2" w:rsidP="002A79F2">
      <w:pPr>
        <w:pStyle w:val="SCC41tablecaption"/>
        <w:rPr>
          <w:i/>
          <w:iCs/>
          <w:lang w:val="en-GB"/>
        </w:rPr>
      </w:pPr>
      <w:r>
        <w:t xml:space="preserve">Table </w:t>
      </w:r>
      <w:r>
        <w:fldChar w:fldCharType="begin"/>
      </w:r>
      <w:r>
        <w:instrText xml:space="preserve"> SEQ Table \* ARABIC </w:instrText>
      </w:r>
      <w:r>
        <w:fldChar w:fldCharType="separate"/>
      </w:r>
      <w:r>
        <w:t>4</w:t>
      </w:r>
      <w:r>
        <w:fldChar w:fldCharType="end"/>
      </w:r>
      <w:r>
        <w:t xml:space="preserve">: Regression Results of ERV on </w:t>
      </w:r>
      <w:proofErr w:type="spellStart"/>
      <w:r>
        <w:t>Log_Total</w:t>
      </w:r>
      <w:proofErr w:type="spellEnd"/>
      <w:r>
        <w:t xml:space="preserve"> EXP</w:t>
      </w:r>
    </w:p>
    <w:tbl>
      <w:tblPr>
        <w:tblStyle w:val="TableGrid"/>
        <w:tblW w:w="0" w:type="auto"/>
        <w:jc w:val="right"/>
        <w:tblLook w:val="04A0" w:firstRow="1" w:lastRow="0" w:firstColumn="1" w:lastColumn="0" w:noHBand="0" w:noVBand="1"/>
      </w:tblPr>
      <w:tblGrid>
        <w:gridCol w:w="1506"/>
        <w:gridCol w:w="1024"/>
        <w:gridCol w:w="1024"/>
        <w:gridCol w:w="1053"/>
        <w:gridCol w:w="1024"/>
        <w:gridCol w:w="1266"/>
        <w:gridCol w:w="1024"/>
      </w:tblGrid>
      <w:tr w:rsidR="002A79F2" w:rsidTr="00321494">
        <w:trPr>
          <w:trHeight w:val="731"/>
          <w:jc w:val="right"/>
        </w:trPr>
        <w:tc>
          <w:tcPr>
            <w:tcW w:w="1506" w:type="dxa"/>
            <w:noWrap/>
          </w:tcPr>
          <w:p w:rsidR="002A79F2" w:rsidRDefault="002A79F2" w:rsidP="00321494">
            <w:pPr>
              <w:pStyle w:val="SCC42tablebody"/>
            </w:pPr>
            <w:r>
              <w:t>Variable</w:t>
            </w:r>
          </w:p>
          <w:p w:rsidR="002A79F2" w:rsidRDefault="002A79F2" w:rsidP="00321494">
            <w:pPr>
              <w:pStyle w:val="SCC42tablebody"/>
            </w:pPr>
            <w:r>
              <w:t>(</w:t>
            </w:r>
            <w:proofErr w:type="spellStart"/>
            <w:r>
              <w:t>Log_Total</w:t>
            </w:r>
            <w:proofErr w:type="spellEnd"/>
            <w:r>
              <w:t xml:space="preserve"> EXP)</w:t>
            </w:r>
          </w:p>
        </w:tc>
        <w:tc>
          <w:tcPr>
            <w:tcW w:w="1024" w:type="dxa"/>
            <w:noWrap/>
          </w:tcPr>
          <w:p w:rsidR="002A79F2" w:rsidRDefault="002A79F2" w:rsidP="00321494">
            <w:pPr>
              <w:pStyle w:val="SCC42tablebody"/>
            </w:pPr>
            <w:r>
              <w:t>Coef.</w:t>
            </w:r>
          </w:p>
        </w:tc>
        <w:tc>
          <w:tcPr>
            <w:tcW w:w="1024" w:type="dxa"/>
            <w:noWrap/>
          </w:tcPr>
          <w:p w:rsidR="002A79F2" w:rsidRDefault="002A79F2" w:rsidP="00321494">
            <w:pPr>
              <w:pStyle w:val="SCC42tablebody"/>
            </w:pPr>
            <w:r>
              <w:t>Std. Err.</w:t>
            </w:r>
          </w:p>
        </w:tc>
        <w:tc>
          <w:tcPr>
            <w:tcW w:w="1053" w:type="dxa"/>
            <w:noWrap/>
          </w:tcPr>
          <w:p w:rsidR="002A79F2" w:rsidRDefault="002A79F2" w:rsidP="00321494">
            <w:pPr>
              <w:pStyle w:val="SCC42tablebody"/>
            </w:pPr>
            <w:r>
              <w:t>t-Stat</w:t>
            </w:r>
          </w:p>
        </w:tc>
        <w:tc>
          <w:tcPr>
            <w:tcW w:w="1024" w:type="dxa"/>
            <w:noWrap/>
          </w:tcPr>
          <w:p w:rsidR="002A79F2" w:rsidRDefault="002A79F2" w:rsidP="00321494">
            <w:pPr>
              <w:pStyle w:val="SCC42tablebody"/>
            </w:pPr>
            <w:r>
              <w:t>P-Value</w:t>
            </w:r>
          </w:p>
        </w:tc>
        <w:tc>
          <w:tcPr>
            <w:tcW w:w="1266" w:type="dxa"/>
            <w:noWrap/>
          </w:tcPr>
          <w:p w:rsidR="002A79F2" w:rsidRDefault="002A79F2" w:rsidP="00321494">
            <w:pPr>
              <w:pStyle w:val="SCC42tablebody"/>
            </w:pPr>
            <w:r>
              <w:t>Lower confidence limit (95%)</w:t>
            </w:r>
          </w:p>
        </w:tc>
        <w:tc>
          <w:tcPr>
            <w:tcW w:w="1024" w:type="dxa"/>
            <w:noWrap/>
          </w:tcPr>
          <w:p w:rsidR="002A79F2" w:rsidRDefault="002A79F2" w:rsidP="00321494">
            <w:pPr>
              <w:pStyle w:val="SCC42tablebody"/>
            </w:pPr>
            <w:r>
              <w:t>Higher confidence limit (95%)</w:t>
            </w:r>
          </w:p>
        </w:tc>
      </w:tr>
      <w:tr w:rsidR="002A79F2" w:rsidTr="00321494">
        <w:trPr>
          <w:trHeight w:val="731"/>
          <w:jc w:val="right"/>
        </w:trPr>
        <w:tc>
          <w:tcPr>
            <w:tcW w:w="1506" w:type="dxa"/>
            <w:noWrap/>
          </w:tcPr>
          <w:p w:rsidR="002A79F2" w:rsidRDefault="002A79F2" w:rsidP="00321494">
            <w:pPr>
              <w:pStyle w:val="SCC42tablebody"/>
              <w:rPr>
                <w:lang w:val="en-GB"/>
              </w:rPr>
            </w:pPr>
            <w:r>
              <w:t>ERV</w:t>
            </w:r>
          </w:p>
        </w:tc>
        <w:tc>
          <w:tcPr>
            <w:tcW w:w="1024" w:type="dxa"/>
            <w:noWrap/>
          </w:tcPr>
          <w:p w:rsidR="002A79F2" w:rsidRDefault="002A79F2" w:rsidP="00321494">
            <w:pPr>
              <w:pStyle w:val="SCC42tablebody"/>
              <w:rPr>
                <w:lang w:val="en-GB"/>
              </w:rPr>
            </w:pPr>
            <w:r>
              <w:t>-0.6669</w:t>
            </w:r>
          </w:p>
        </w:tc>
        <w:tc>
          <w:tcPr>
            <w:tcW w:w="1024" w:type="dxa"/>
            <w:noWrap/>
          </w:tcPr>
          <w:p w:rsidR="002A79F2" w:rsidRDefault="002A79F2" w:rsidP="00321494">
            <w:pPr>
              <w:pStyle w:val="SCC42tablebody"/>
              <w:rPr>
                <w:lang w:val="en-GB"/>
              </w:rPr>
            </w:pPr>
            <w:r>
              <w:t>0.1283</w:t>
            </w:r>
          </w:p>
        </w:tc>
        <w:tc>
          <w:tcPr>
            <w:tcW w:w="1053" w:type="dxa"/>
            <w:noWrap/>
          </w:tcPr>
          <w:p w:rsidR="002A79F2" w:rsidRDefault="002A79F2" w:rsidP="00321494">
            <w:pPr>
              <w:pStyle w:val="SCC42tablebody"/>
              <w:rPr>
                <w:lang w:val="en-GB"/>
              </w:rPr>
            </w:pPr>
            <w:r>
              <w:t>-5.2000</w:t>
            </w:r>
          </w:p>
        </w:tc>
        <w:tc>
          <w:tcPr>
            <w:tcW w:w="1024" w:type="dxa"/>
            <w:noWrap/>
          </w:tcPr>
          <w:p w:rsidR="002A79F2" w:rsidRDefault="002A79F2" w:rsidP="00321494">
            <w:pPr>
              <w:pStyle w:val="SCC42tablebody"/>
              <w:rPr>
                <w:lang w:val="en-GB"/>
              </w:rPr>
            </w:pPr>
            <w:r>
              <w:t>0.0000</w:t>
            </w:r>
          </w:p>
        </w:tc>
        <w:tc>
          <w:tcPr>
            <w:tcW w:w="1266" w:type="dxa"/>
            <w:noWrap/>
          </w:tcPr>
          <w:p w:rsidR="002A79F2" w:rsidRDefault="002A79F2" w:rsidP="00321494">
            <w:pPr>
              <w:pStyle w:val="SCC42tablebody"/>
              <w:rPr>
                <w:lang w:val="en-GB"/>
              </w:rPr>
            </w:pPr>
            <w:r>
              <w:t>-0.9312</w:t>
            </w:r>
          </w:p>
        </w:tc>
        <w:tc>
          <w:tcPr>
            <w:tcW w:w="1024" w:type="dxa"/>
            <w:noWrap/>
          </w:tcPr>
          <w:p w:rsidR="002A79F2" w:rsidRDefault="002A79F2" w:rsidP="00321494">
            <w:pPr>
              <w:pStyle w:val="SCC42tablebody"/>
              <w:rPr>
                <w:lang w:val="en-GB"/>
              </w:rPr>
            </w:pPr>
            <w:r>
              <w:t>-0.4026</w:t>
            </w:r>
          </w:p>
        </w:tc>
      </w:tr>
      <w:tr w:rsidR="002A79F2" w:rsidTr="00321494">
        <w:trPr>
          <w:trHeight w:val="731"/>
          <w:jc w:val="right"/>
        </w:trPr>
        <w:tc>
          <w:tcPr>
            <w:tcW w:w="1506" w:type="dxa"/>
            <w:noWrap/>
          </w:tcPr>
          <w:p w:rsidR="002A79F2" w:rsidRDefault="002A79F2" w:rsidP="00321494">
            <w:pPr>
              <w:pStyle w:val="SCC42tablebody"/>
              <w:rPr>
                <w:lang w:val="en-GB"/>
              </w:rPr>
            </w:pPr>
            <w:r>
              <w:t>INT Rate</w:t>
            </w:r>
          </w:p>
        </w:tc>
        <w:tc>
          <w:tcPr>
            <w:tcW w:w="1024" w:type="dxa"/>
            <w:noWrap/>
          </w:tcPr>
          <w:p w:rsidR="002A79F2" w:rsidRDefault="002A79F2" w:rsidP="00321494">
            <w:pPr>
              <w:pStyle w:val="SCC42tablebody"/>
              <w:rPr>
                <w:lang w:val="en-GB"/>
              </w:rPr>
            </w:pPr>
            <w:r>
              <w:t>-0.1049</w:t>
            </w:r>
          </w:p>
        </w:tc>
        <w:tc>
          <w:tcPr>
            <w:tcW w:w="1024" w:type="dxa"/>
            <w:noWrap/>
          </w:tcPr>
          <w:p w:rsidR="002A79F2" w:rsidRDefault="002A79F2" w:rsidP="00321494">
            <w:pPr>
              <w:pStyle w:val="SCC42tablebody"/>
              <w:rPr>
                <w:lang w:val="en-GB"/>
              </w:rPr>
            </w:pPr>
            <w:r>
              <w:t>0.0412</w:t>
            </w:r>
          </w:p>
        </w:tc>
        <w:tc>
          <w:tcPr>
            <w:tcW w:w="1053" w:type="dxa"/>
            <w:noWrap/>
          </w:tcPr>
          <w:p w:rsidR="002A79F2" w:rsidRDefault="002A79F2" w:rsidP="00321494">
            <w:pPr>
              <w:pStyle w:val="SCC42tablebody"/>
              <w:rPr>
                <w:lang w:val="en-GB"/>
              </w:rPr>
            </w:pPr>
            <w:r>
              <w:t>-2.5400</w:t>
            </w:r>
          </w:p>
        </w:tc>
        <w:tc>
          <w:tcPr>
            <w:tcW w:w="1024" w:type="dxa"/>
            <w:noWrap/>
          </w:tcPr>
          <w:p w:rsidR="002A79F2" w:rsidRDefault="002A79F2" w:rsidP="00321494">
            <w:pPr>
              <w:pStyle w:val="SCC42tablebody"/>
              <w:rPr>
                <w:lang w:val="en-GB"/>
              </w:rPr>
            </w:pPr>
            <w:r>
              <w:t>0.0180</w:t>
            </w:r>
          </w:p>
        </w:tc>
        <w:tc>
          <w:tcPr>
            <w:tcW w:w="1266" w:type="dxa"/>
            <w:noWrap/>
          </w:tcPr>
          <w:p w:rsidR="002A79F2" w:rsidRDefault="002A79F2" w:rsidP="00321494">
            <w:pPr>
              <w:pStyle w:val="SCC42tablebody"/>
              <w:rPr>
                <w:lang w:val="en-GB"/>
              </w:rPr>
            </w:pPr>
            <w:r>
              <w:t>-0.1898</w:t>
            </w:r>
          </w:p>
        </w:tc>
        <w:tc>
          <w:tcPr>
            <w:tcW w:w="1024" w:type="dxa"/>
            <w:noWrap/>
          </w:tcPr>
          <w:p w:rsidR="002A79F2" w:rsidRDefault="002A79F2" w:rsidP="00321494">
            <w:pPr>
              <w:pStyle w:val="SCC42tablebody"/>
              <w:rPr>
                <w:lang w:val="en-GB"/>
              </w:rPr>
            </w:pPr>
            <w:r>
              <w:t>-0.0200</w:t>
            </w:r>
          </w:p>
        </w:tc>
      </w:tr>
      <w:tr w:rsidR="002A79F2" w:rsidTr="00321494">
        <w:trPr>
          <w:trHeight w:val="731"/>
          <w:jc w:val="right"/>
        </w:trPr>
        <w:tc>
          <w:tcPr>
            <w:tcW w:w="1506" w:type="dxa"/>
            <w:noWrap/>
          </w:tcPr>
          <w:p w:rsidR="002A79F2" w:rsidRDefault="002A79F2" w:rsidP="00321494">
            <w:pPr>
              <w:pStyle w:val="SCC42tablebody"/>
              <w:rPr>
                <w:lang w:val="en-GB"/>
              </w:rPr>
            </w:pPr>
            <w:r>
              <w:t>INF</w:t>
            </w:r>
          </w:p>
        </w:tc>
        <w:tc>
          <w:tcPr>
            <w:tcW w:w="1024" w:type="dxa"/>
            <w:noWrap/>
          </w:tcPr>
          <w:p w:rsidR="002A79F2" w:rsidRDefault="002A79F2" w:rsidP="00321494">
            <w:pPr>
              <w:pStyle w:val="SCC42tablebody"/>
              <w:rPr>
                <w:lang w:val="en-GB"/>
              </w:rPr>
            </w:pPr>
            <w:r>
              <w:t>-0.0868</w:t>
            </w:r>
          </w:p>
        </w:tc>
        <w:tc>
          <w:tcPr>
            <w:tcW w:w="1024" w:type="dxa"/>
            <w:noWrap/>
          </w:tcPr>
          <w:p w:rsidR="002A79F2" w:rsidRDefault="002A79F2" w:rsidP="00321494">
            <w:pPr>
              <w:pStyle w:val="SCC42tablebody"/>
              <w:rPr>
                <w:lang w:val="en-GB"/>
              </w:rPr>
            </w:pPr>
            <w:r>
              <w:t>0.0270</w:t>
            </w:r>
          </w:p>
        </w:tc>
        <w:tc>
          <w:tcPr>
            <w:tcW w:w="1053" w:type="dxa"/>
            <w:noWrap/>
          </w:tcPr>
          <w:p w:rsidR="002A79F2" w:rsidRDefault="002A79F2" w:rsidP="00321494">
            <w:pPr>
              <w:pStyle w:val="SCC42tablebody"/>
              <w:rPr>
                <w:lang w:val="en-GB"/>
              </w:rPr>
            </w:pPr>
            <w:r>
              <w:t>-3.2200</w:t>
            </w:r>
          </w:p>
        </w:tc>
        <w:tc>
          <w:tcPr>
            <w:tcW w:w="1024" w:type="dxa"/>
            <w:noWrap/>
          </w:tcPr>
          <w:p w:rsidR="002A79F2" w:rsidRDefault="002A79F2" w:rsidP="00321494">
            <w:pPr>
              <w:pStyle w:val="SCC42tablebody"/>
              <w:rPr>
                <w:lang w:val="en-GB"/>
              </w:rPr>
            </w:pPr>
            <w:r>
              <w:t>0.0040</w:t>
            </w:r>
          </w:p>
        </w:tc>
        <w:tc>
          <w:tcPr>
            <w:tcW w:w="1266" w:type="dxa"/>
            <w:noWrap/>
          </w:tcPr>
          <w:p w:rsidR="002A79F2" w:rsidRDefault="002A79F2" w:rsidP="00321494">
            <w:pPr>
              <w:pStyle w:val="SCC42tablebody"/>
              <w:rPr>
                <w:lang w:val="en-GB"/>
              </w:rPr>
            </w:pPr>
            <w:r>
              <w:t>-0.1423</w:t>
            </w:r>
          </w:p>
        </w:tc>
        <w:tc>
          <w:tcPr>
            <w:tcW w:w="1024" w:type="dxa"/>
            <w:noWrap/>
          </w:tcPr>
          <w:p w:rsidR="002A79F2" w:rsidRDefault="002A79F2" w:rsidP="00321494">
            <w:pPr>
              <w:pStyle w:val="SCC42tablebody"/>
              <w:rPr>
                <w:lang w:val="en-GB"/>
              </w:rPr>
            </w:pPr>
            <w:r>
              <w:t>-0.0312</w:t>
            </w:r>
          </w:p>
        </w:tc>
      </w:tr>
      <w:tr w:rsidR="002A79F2" w:rsidTr="00321494">
        <w:trPr>
          <w:trHeight w:val="731"/>
          <w:jc w:val="right"/>
        </w:trPr>
        <w:tc>
          <w:tcPr>
            <w:tcW w:w="1506" w:type="dxa"/>
            <w:noWrap/>
          </w:tcPr>
          <w:p w:rsidR="002A79F2" w:rsidRDefault="002A79F2" w:rsidP="00321494">
            <w:pPr>
              <w:pStyle w:val="SCC42tablebody"/>
              <w:rPr>
                <w:lang w:val="en-GB"/>
              </w:rPr>
            </w:pPr>
            <w:r>
              <w:t>FDI</w:t>
            </w:r>
          </w:p>
        </w:tc>
        <w:tc>
          <w:tcPr>
            <w:tcW w:w="1024" w:type="dxa"/>
            <w:noWrap/>
          </w:tcPr>
          <w:p w:rsidR="002A79F2" w:rsidRDefault="002A79F2" w:rsidP="00321494">
            <w:pPr>
              <w:pStyle w:val="SCC42tablebody"/>
              <w:rPr>
                <w:lang w:val="en-GB"/>
              </w:rPr>
            </w:pPr>
            <w:r>
              <w:t>-0.2217</w:t>
            </w:r>
          </w:p>
        </w:tc>
        <w:tc>
          <w:tcPr>
            <w:tcW w:w="1024" w:type="dxa"/>
            <w:noWrap/>
          </w:tcPr>
          <w:p w:rsidR="002A79F2" w:rsidRDefault="002A79F2" w:rsidP="00321494">
            <w:pPr>
              <w:pStyle w:val="SCC42tablebody"/>
              <w:rPr>
                <w:lang w:val="en-GB"/>
              </w:rPr>
            </w:pPr>
            <w:r>
              <w:t>0.1041</w:t>
            </w:r>
          </w:p>
        </w:tc>
        <w:tc>
          <w:tcPr>
            <w:tcW w:w="1053" w:type="dxa"/>
            <w:noWrap/>
          </w:tcPr>
          <w:p w:rsidR="002A79F2" w:rsidRDefault="002A79F2" w:rsidP="00321494">
            <w:pPr>
              <w:pStyle w:val="SCC42tablebody"/>
              <w:rPr>
                <w:lang w:val="en-GB"/>
              </w:rPr>
            </w:pPr>
            <w:r>
              <w:t>-2.1300</w:t>
            </w:r>
          </w:p>
        </w:tc>
        <w:tc>
          <w:tcPr>
            <w:tcW w:w="1024" w:type="dxa"/>
            <w:noWrap/>
          </w:tcPr>
          <w:p w:rsidR="002A79F2" w:rsidRDefault="002A79F2" w:rsidP="00321494">
            <w:pPr>
              <w:pStyle w:val="SCC42tablebody"/>
              <w:rPr>
                <w:lang w:val="en-GB"/>
              </w:rPr>
            </w:pPr>
            <w:r>
              <w:t>0.0430</w:t>
            </w:r>
          </w:p>
        </w:tc>
        <w:tc>
          <w:tcPr>
            <w:tcW w:w="1266" w:type="dxa"/>
            <w:noWrap/>
          </w:tcPr>
          <w:p w:rsidR="002A79F2" w:rsidRDefault="002A79F2" w:rsidP="00321494">
            <w:pPr>
              <w:pStyle w:val="SCC42tablebody"/>
              <w:rPr>
                <w:lang w:val="en-GB"/>
              </w:rPr>
            </w:pPr>
            <w:r>
              <w:t>-0.4361</w:t>
            </w:r>
          </w:p>
        </w:tc>
        <w:tc>
          <w:tcPr>
            <w:tcW w:w="1024" w:type="dxa"/>
            <w:noWrap/>
          </w:tcPr>
          <w:p w:rsidR="002A79F2" w:rsidRDefault="002A79F2" w:rsidP="00321494">
            <w:pPr>
              <w:pStyle w:val="SCC42tablebody"/>
              <w:rPr>
                <w:lang w:val="en-GB"/>
              </w:rPr>
            </w:pPr>
            <w:r>
              <w:t>-0.0074</w:t>
            </w:r>
          </w:p>
        </w:tc>
      </w:tr>
      <w:tr w:rsidR="002A79F2" w:rsidTr="00321494">
        <w:trPr>
          <w:trHeight w:val="731"/>
          <w:jc w:val="right"/>
        </w:trPr>
        <w:tc>
          <w:tcPr>
            <w:tcW w:w="1506" w:type="dxa"/>
            <w:noWrap/>
          </w:tcPr>
          <w:p w:rsidR="002A79F2" w:rsidRDefault="002A79F2" w:rsidP="00321494">
            <w:pPr>
              <w:pStyle w:val="SCC42tablebody"/>
              <w:rPr>
                <w:lang w:val="en-GB"/>
              </w:rPr>
            </w:pPr>
            <w:r>
              <w:t>Cons</w:t>
            </w:r>
          </w:p>
        </w:tc>
        <w:tc>
          <w:tcPr>
            <w:tcW w:w="1024" w:type="dxa"/>
            <w:noWrap/>
          </w:tcPr>
          <w:p w:rsidR="002A79F2" w:rsidRDefault="002A79F2" w:rsidP="00321494">
            <w:pPr>
              <w:pStyle w:val="SCC42tablebody"/>
              <w:rPr>
                <w:lang w:val="en-GB"/>
              </w:rPr>
            </w:pPr>
            <w:r>
              <w:t>29.4723</w:t>
            </w:r>
          </w:p>
        </w:tc>
        <w:tc>
          <w:tcPr>
            <w:tcW w:w="1024" w:type="dxa"/>
            <w:noWrap/>
          </w:tcPr>
          <w:p w:rsidR="002A79F2" w:rsidRDefault="002A79F2" w:rsidP="00321494">
            <w:pPr>
              <w:pStyle w:val="SCC42tablebody"/>
              <w:rPr>
                <w:lang w:val="en-GB"/>
              </w:rPr>
            </w:pPr>
            <w:r>
              <w:t>0.2825</w:t>
            </w:r>
          </w:p>
        </w:tc>
        <w:tc>
          <w:tcPr>
            <w:tcW w:w="1053" w:type="dxa"/>
            <w:noWrap/>
          </w:tcPr>
          <w:p w:rsidR="002A79F2" w:rsidRDefault="002A79F2" w:rsidP="00321494">
            <w:pPr>
              <w:pStyle w:val="SCC42tablebody"/>
              <w:rPr>
                <w:lang w:val="en-GB"/>
              </w:rPr>
            </w:pPr>
            <w:r>
              <w:t>104.3100</w:t>
            </w:r>
          </w:p>
        </w:tc>
        <w:tc>
          <w:tcPr>
            <w:tcW w:w="1024" w:type="dxa"/>
            <w:noWrap/>
          </w:tcPr>
          <w:p w:rsidR="002A79F2" w:rsidRDefault="002A79F2" w:rsidP="00321494">
            <w:pPr>
              <w:pStyle w:val="SCC42tablebody"/>
              <w:rPr>
                <w:lang w:val="en-GB"/>
              </w:rPr>
            </w:pPr>
            <w:r>
              <w:t>0.0000</w:t>
            </w:r>
          </w:p>
        </w:tc>
        <w:tc>
          <w:tcPr>
            <w:tcW w:w="1266" w:type="dxa"/>
            <w:noWrap/>
          </w:tcPr>
          <w:p w:rsidR="002A79F2" w:rsidRDefault="002A79F2" w:rsidP="00321494">
            <w:pPr>
              <w:pStyle w:val="SCC42tablebody"/>
              <w:rPr>
                <w:lang w:val="en-GB"/>
              </w:rPr>
            </w:pPr>
            <w:r>
              <w:t>28.8904</w:t>
            </w:r>
          </w:p>
        </w:tc>
        <w:tc>
          <w:tcPr>
            <w:tcW w:w="1024" w:type="dxa"/>
            <w:noWrap/>
          </w:tcPr>
          <w:p w:rsidR="002A79F2" w:rsidRDefault="002A79F2" w:rsidP="00321494">
            <w:pPr>
              <w:pStyle w:val="SCC42tablebody"/>
              <w:rPr>
                <w:lang w:val="en-GB"/>
              </w:rPr>
            </w:pPr>
            <w:r>
              <w:t>30.0542</w:t>
            </w:r>
          </w:p>
        </w:tc>
      </w:tr>
    </w:tbl>
    <w:p w:rsidR="002A79F2" w:rsidRDefault="002A79F2">
      <w:pPr>
        <w:pStyle w:val="SCC31text"/>
        <w:rPr>
          <w:rFonts w:eastAsiaTheme="minorEastAsia"/>
          <w:lang w:val="en-GB"/>
        </w:rPr>
      </w:pPr>
    </w:p>
    <w:p w:rsidR="000E123E" w:rsidRDefault="00000000">
      <w:pPr>
        <w:pStyle w:val="SCC31text"/>
        <w:rPr>
          <w:rFonts w:eastAsiaTheme="minorEastAsia"/>
          <w:highlight w:val="yellow"/>
          <w:lang w:val="en-GB"/>
        </w:rPr>
      </w:pPr>
      <w:r>
        <w:rPr>
          <w:rFonts w:eastAsiaTheme="minorEastAsia"/>
          <w:lang w:val="en-GB"/>
        </w:rPr>
        <w:tab/>
        <w:t xml:space="preserve">The multivariate analysis in Table 4 shows that ERV has a negative impact on the Total EXP </w:t>
      </w:r>
      <w:r>
        <w:rPr>
          <w:rFonts w:eastAsiaTheme="minorEastAsia"/>
          <w:highlight w:val="yellow"/>
          <w:lang w:val="en-GB"/>
        </w:rPr>
        <w:t xml:space="preserve">from China. As the volatility in ER for RMB/USD increased by 1 percent, the </w:t>
      </w:r>
      <w:proofErr w:type="spellStart"/>
      <w:r>
        <w:rPr>
          <w:rFonts w:eastAsiaTheme="minorEastAsia"/>
          <w:highlight w:val="yellow"/>
          <w:lang w:val="en-GB"/>
        </w:rPr>
        <w:t>Log_Total</w:t>
      </w:r>
      <w:proofErr w:type="spellEnd"/>
      <w:r>
        <w:rPr>
          <w:rFonts w:eastAsiaTheme="minorEastAsia"/>
          <w:highlight w:val="yellow"/>
          <w:lang w:val="en-GB"/>
        </w:rPr>
        <w:t xml:space="preserve"> EXP reduced by 0.67 percent. This relation is significant as the statistical power of the coefficient has a probability value of less than 0.05. INT Rate also has a negative impact on the </w:t>
      </w:r>
      <w:proofErr w:type="spellStart"/>
      <w:r>
        <w:rPr>
          <w:rFonts w:eastAsiaTheme="minorEastAsia"/>
          <w:highlight w:val="yellow"/>
          <w:lang w:val="en-GB"/>
        </w:rPr>
        <w:t>Log_Total</w:t>
      </w:r>
      <w:proofErr w:type="spellEnd"/>
      <w:r>
        <w:rPr>
          <w:rFonts w:eastAsiaTheme="minorEastAsia"/>
          <w:highlight w:val="yellow"/>
          <w:lang w:val="en-GB"/>
        </w:rPr>
        <w:t xml:space="preserve"> EXP. When the interest rates rise by 1 unit, the value of the total outflow of exports from China decreases by </w:t>
      </w:r>
      <w:r>
        <w:rPr>
          <w:highlight w:val="yellow"/>
        </w:rPr>
        <w:t xml:space="preserve">0.1049 </w:t>
      </w:r>
      <w:r>
        <w:rPr>
          <w:rFonts w:eastAsiaTheme="minorEastAsia"/>
          <w:highlight w:val="yellow"/>
          <w:lang w:val="en-GB"/>
        </w:rPr>
        <w:t xml:space="preserve">percent. The rise in inflation also creates a fall in </w:t>
      </w:r>
      <w:proofErr w:type="spellStart"/>
      <w:r>
        <w:rPr>
          <w:rFonts w:eastAsiaTheme="minorEastAsia"/>
          <w:highlight w:val="yellow"/>
          <w:lang w:val="en-GB"/>
        </w:rPr>
        <w:t>Log_Total</w:t>
      </w:r>
      <w:proofErr w:type="spellEnd"/>
      <w:r>
        <w:rPr>
          <w:rFonts w:eastAsiaTheme="minorEastAsia"/>
          <w:highlight w:val="yellow"/>
          <w:lang w:val="en-GB"/>
        </w:rPr>
        <w:t xml:space="preserve"> EXP by -0.0868 percent. Finally, FDI has a negative impact of -0.2217 per cent on </w:t>
      </w:r>
      <w:proofErr w:type="spellStart"/>
      <w:r>
        <w:rPr>
          <w:rFonts w:eastAsiaTheme="minorEastAsia"/>
          <w:highlight w:val="yellow"/>
          <w:lang w:val="en-GB"/>
        </w:rPr>
        <w:t>Log_Total</w:t>
      </w:r>
      <w:proofErr w:type="spellEnd"/>
      <w:r>
        <w:rPr>
          <w:rFonts w:eastAsiaTheme="minorEastAsia"/>
          <w:highlight w:val="yellow"/>
          <w:lang w:val="en-GB"/>
        </w:rPr>
        <w:t xml:space="preserve"> EXP.</w:t>
      </w:r>
    </w:p>
    <w:p w:rsidR="00090E44" w:rsidRDefault="00090E44" w:rsidP="00090E44">
      <w:pPr>
        <w:pStyle w:val="SCC41tablecaption"/>
        <w:rPr>
          <w:i/>
          <w:iCs/>
          <w:lang w:val="en-GB"/>
        </w:rPr>
      </w:pPr>
      <w:r>
        <w:t xml:space="preserve">Table </w:t>
      </w:r>
      <w:r>
        <w:fldChar w:fldCharType="begin"/>
      </w:r>
      <w:r>
        <w:instrText xml:space="preserve"> SEQ Table \* ARABIC </w:instrText>
      </w:r>
      <w:r>
        <w:fldChar w:fldCharType="separate"/>
      </w:r>
      <w:r>
        <w:t>5</w:t>
      </w:r>
      <w:r>
        <w:fldChar w:fldCharType="end"/>
      </w:r>
      <w:r>
        <w:t xml:space="preserve">: Regression Results of ERV on Log_ </w:t>
      </w:r>
      <w:proofErr w:type="spellStart"/>
      <w:r>
        <w:t>Agro</w:t>
      </w:r>
      <w:proofErr w:type="spellEnd"/>
      <w:r>
        <w:t xml:space="preserve"> ER</w:t>
      </w:r>
    </w:p>
    <w:tbl>
      <w:tblPr>
        <w:tblStyle w:val="TableGrid"/>
        <w:tblW w:w="0" w:type="auto"/>
        <w:jc w:val="right"/>
        <w:tblLook w:val="04A0" w:firstRow="1" w:lastRow="0" w:firstColumn="1" w:lastColumn="0" w:noHBand="0" w:noVBand="1"/>
      </w:tblPr>
      <w:tblGrid>
        <w:gridCol w:w="1449"/>
        <w:gridCol w:w="986"/>
        <w:gridCol w:w="986"/>
        <w:gridCol w:w="1053"/>
        <w:gridCol w:w="986"/>
        <w:gridCol w:w="1218"/>
        <w:gridCol w:w="986"/>
      </w:tblGrid>
      <w:tr w:rsidR="00090E44" w:rsidTr="00321494">
        <w:trPr>
          <w:trHeight w:val="291"/>
          <w:jc w:val="right"/>
        </w:trPr>
        <w:tc>
          <w:tcPr>
            <w:tcW w:w="1449" w:type="dxa"/>
            <w:noWrap/>
          </w:tcPr>
          <w:p w:rsidR="00090E44" w:rsidRDefault="00090E44" w:rsidP="00321494">
            <w:pPr>
              <w:pStyle w:val="SCC42tablebody"/>
            </w:pPr>
            <w:r>
              <w:t xml:space="preserve">Variable (Log_ </w:t>
            </w:r>
            <w:proofErr w:type="spellStart"/>
            <w:r>
              <w:t>Agro</w:t>
            </w:r>
            <w:proofErr w:type="spellEnd"/>
            <w:r>
              <w:t xml:space="preserve"> ER)</w:t>
            </w:r>
          </w:p>
        </w:tc>
        <w:tc>
          <w:tcPr>
            <w:tcW w:w="986" w:type="dxa"/>
            <w:noWrap/>
          </w:tcPr>
          <w:p w:rsidR="00090E44" w:rsidRDefault="00090E44" w:rsidP="00321494">
            <w:pPr>
              <w:pStyle w:val="SCC42tablebody"/>
            </w:pPr>
            <w:r>
              <w:t>Coef.</w:t>
            </w:r>
          </w:p>
        </w:tc>
        <w:tc>
          <w:tcPr>
            <w:tcW w:w="986" w:type="dxa"/>
            <w:noWrap/>
          </w:tcPr>
          <w:p w:rsidR="00090E44" w:rsidRDefault="00090E44" w:rsidP="00321494">
            <w:pPr>
              <w:pStyle w:val="SCC42tablebody"/>
            </w:pPr>
            <w:r>
              <w:t>Std. Err.</w:t>
            </w:r>
          </w:p>
        </w:tc>
        <w:tc>
          <w:tcPr>
            <w:tcW w:w="1053" w:type="dxa"/>
            <w:noWrap/>
          </w:tcPr>
          <w:p w:rsidR="00090E44" w:rsidRDefault="00090E44" w:rsidP="00321494">
            <w:pPr>
              <w:pStyle w:val="SCC42tablebody"/>
            </w:pPr>
            <w:r>
              <w:t>t-Stat</w:t>
            </w:r>
          </w:p>
        </w:tc>
        <w:tc>
          <w:tcPr>
            <w:tcW w:w="986" w:type="dxa"/>
            <w:noWrap/>
          </w:tcPr>
          <w:p w:rsidR="00090E44" w:rsidRDefault="00090E44" w:rsidP="00321494">
            <w:pPr>
              <w:pStyle w:val="SCC42tablebody"/>
            </w:pPr>
            <w:r>
              <w:t>P-Value</w:t>
            </w:r>
          </w:p>
        </w:tc>
        <w:tc>
          <w:tcPr>
            <w:tcW w:w="1218" w:type="dxa"/>
            <w:noWrap/>
          </w:tcPr>
          <w:p w:rsidR="00090E44" w:rsidRDefault="00090E44" w:rsidP="00321494">
            <w:pPr>
              <w:pStyle w:val="SCC42tablebody"/>
            </w:pPr>
            <w:r>
              <w:t>Lower confidence limit (95%)</w:t>
            </w:r>
          </w:p>
        </w:tc>
        <w:tc>
          <w:tcPr>
            <w:tcW w:w="986" w:type="dxa"/>
            <w:noWrap/>
          </w:tcPr>
          <w:p w:rsidR="00090E44" w:rsidRDefault="00090E44" w:rsidP="00321494">
            <w:pPr>
              <w:pStyle w:val="SCC42tablebody"/>
            </w:pPr>
            <w:r>
              <w:t>Higher confidence limit (95%)</w:t>
            </w:r>
          </w:p>
        </w:tc>
      </w:tr>
      <w:tr w:rsidR="00090E44" w:rsidTr="00321494">
        <w:trPr>
          <w:trHeight w:val="291"/>
          <w:jc w:val="right"/>
        </w:trPr>
        <w:tc>
          <w:tcPr>
            <w:tcW w:w="1449" w:type="dxa"/>
            <w:noWrap/>
          </w:tcPr>
          <w:p w:rsidR="00090E44" w:rsidRDefault="00090E44" w:rsidP="00321494">
            <w:pPr>
              <w:pStyle w:val="SCC42tablebody"/>
              <w:rPr>
                <w:lang w:val="en-GB"/>
              </w:rPr>
            </w:pPr>
            <w:r>
              <w:t>ERV</w:t>
            </w:r>
          </w:p>
        </w:tc>
        <w:tc>
          <w:tcPr>
            <w:tcW w:w="986" w:type="dxa"/>
            <w:noWrap/>
          </w:tcPr>
          <w:p w:rsidR="00090E44" w:rsidRDefault="00090E44" w:rsidP="00321494">
            <w:pPr>
              <w:pStyle w:val="SCC42tablebody"/>
              <w:rPr>
                <w:lang w:val="en-GB"/>
              </w:rPr>
            </w:pPr>
            <w:r>
              <w:t>-0.4686</w:t>
            </w:r>
          </w:p>
        </w:tc>
        <w:tc>
          <w:tcPr>
            <w:tcW w:w="986" w:type="dxa"/>
            <w:noWrap/>
          </w:tcPr>
          <w:p w:rsidR="00090E44" w:rsidRDefault="00090E44" w:rsidP="00321494">
            <w:pPr>
              <w:pStyle w:val="SCC42tablebody"/>
              <w:rPr>
                <w:lang w:val="en-GB"/>
              </w:rPr>
            </w:pPr>
            <w:r>
              <w:t>0.0733</w:t>
            </w:r>
          </w:p>
        </w:tc>
        <w:tc>
          <w:tcPr>
            <w:tcW w:w="1053" w:type="dxa"/>
            <w:noWrap/>
          </w:tcPr>
          <w:p w:rsidR="00090E44" w:rsidRDefault="00090E44" w:rsidP="00321494">
            <w:pPr>
              <w:pStyle w:val="SCC42tablebody"/>
              <w:rPr>
                <w:lang w:val="en-GB"/>
              </w:rPr>
            </w:pPr>
            <w:r>
              <w:t>-6.3900</w:t>
            </w:r>
          </w:p>
        </w:tc>
        <w:tc>
          <w:tcPr>
            <w:tcW w:w="986" w:type="dxa"/>
            <w:noWrap/>
          </w:tcPr>
          <w:p w:rsidR="00090E44" w:rsidRDefault="00090E44" w:rsidP="00321494">
            <w:pPr>
              <w:pStyle w:val="SCC42tablebody"/>
              <w:rPr>
                <w:lang w:val="en-GB"/>
              </w:rPr>
            </w:pPr>
            <w:r>
              <w:t>0.0000</w:t>
            </w:r>
          </w:p>
        </w:tc>
        <w:tc>
          <w:tcPr>
            <w:tcW w:w="1218" w:type="dxa"/>
            <w:noWrap/>
          </w:tcPr>
          <w:p w:rsidR="00090E44" w:rsidRDefault="00090E44" w:rsidP="00321494">
            <w:pPr>
              <w:pStyle w:val="SCC42tablebody"/>
              <w:rPr>
                <w:lang w:val="en-GB"/>
              </w:rPr>
            </w:pPr>
            <w:r>
              <w:t>-0.6203</w:t>
            </w:r>
          </w:p>
        </w:tc>
        <w:tc>
          <w:tcPr>
            <w:tcW w:w="986" w:type="dxa"/>
            <w:noWrap/>
          </w:tcPr>
          <w:p w:rsidR="00090E44" w:rsidRDefault="00090E44" w:rsidP="00321494">
            <w:pPr>
              <w:pStyle w:val="SCC42tablebody"/>
              <w:rPr>
                <w:lang w:val="en-GB"/>
              </w:rPr>
            </w:pPr>
            <w:r>
              <w:t>-0.3170</w:t>
            </w:r>
          </w:p>
        </w:tc>
      </w:tr>
      <w:tr w:rsidR="00090E44" w:rsidTr="00321494">
        <w:trPr>
          <w:trHeight w:val="291"/>
          <w:jc w:val="right"/>
        </w:trPr>
        <w:tc>
          <w:tcPr>
            <w:tcW w:w="1449" w:type="dxa"/>
            <w:noWrap/>
          </w:tcPr>
          <w:p w:rsidR="00090E44" w:rsidRDefault="00090E44" w:rsidP="00321494">
            <w:pPr>
              <w:pStyle w:val="SCC42tablebody"/>
              <w:rPr>
                <w:lang w:val="en-GB"/>
              </w:rPr>
            </w:pPr>
            <w:r>
              <w:lastRenderedPageBreak/>
              <w:t>INT Rate</w:t>
            </w:r>
          </w:p>
        </w:tc>
        <w:tc>
          <w:tcPr>
            <w:tcW w:w="986" w:type="dxa"/>
            <w:noWrap/>
          </w:tcPr>
          <w:p w:rsidR="00090E44" w:rsidRDefault="00090E44" w:rsidP="00321494">
            <w:pPr>
              <w:pStyle w:val="SCC42tablebody"/>
              <w:rPr>
                <w:lang w:val="en-GB"/>
              </w:rPr>
            </w:pPr>
            <w:r>
              <w:t>-0.0106</w:t>
            </w:r>
          </w:p>
        </w:tc>
        <w:tc>
          <w:tcPr>
            <w:tcW w:w="986" w:type="dxa"/>
            <w:noWrap/>
          </w:tcPr>
          <w:p w:rsidR="00090E44" w:rsidRDefault="00090E44" w:rsidP="00321494">
            <w:pPr>
              <w:pStyle w:val="SCC42tablebody"/>
              <w:rPr>
                <w:lang w:val="en-GB"/>
              </w:rPr>
            </w:pPr>
            <w:r>
              <w:t>0.0239</w:t>
            </w:r>
          </w:p>
        </w:tc>
        <w:tc>
          <w:tcPr>
            <w:tcW w:w="1053" w:type="dxa"/>
            <w:noWrap/>
          </w:tcPr>
          <w:p w:rsidR="00090E44" w:rsidRDefault="00090E44" w:rsidP="00321494">
            <w:pPr>
              <w:pStyle w:val="SCC42tablebody"/>
              <w:rPr>
                <w:lang w:val="en-GB"/>
              </w:rPr>
            </w:pPr>
            <w:r>
              <w:t>-0.4400</w:t>
            </w:r>
          </w:p>
        </w:tc>
        <w:tc>
          <w:tcPr>
            <w:tcW w:w="986" w:type="dxa"/>
            <w:noWrap/>
          </w:tcPr>
          <w:p w:rsidR="00090E44" w:rsidRDefault="00090E44" w:rsidP="00321494">
            <w:pPr>
              <w:pStyle w:val="SCC42tablebody"/>
              <w:rPr>
                <w:lang w:val="en-GB"/>
              </w:rPr>
            </w:pPr>
            <w:r>
              <w:t>0.6620</w:t>
            </w:r>
          </w:p>
        </w:tc>
        <w:tc>
          <w:tcPr>
            <w:tcW w:w="1218" w:type="dxa"/>
            <w:noWrap/>
          </w:tcPr>
          <w:p w:rsidR="00090E44" w:rsidRDefault="00090E44" w:rsidP="00321494">
            <w:pPr>
              <w:pStyle w:val="SCC42tablebody"/>
              <w:rPr>
                <w:lang w:val="en-GB"/>
              </w:rPr>
            </w:pPr>
            <w:r>
              <w:t>-0.0600</w:t>
            </w:r>
          </w:p>
        </w:tc>
        <w:tc>
          <w:tcPr>
            <w:tcW w:w="986" w:type="dxa"/>
            <w:noWrap/>
          </w:tcPr>
          <w:p w:rsidR="00090E44" w:rsidRDefault="00090E44" w:rsidP="00321494">
            <w:pPr>
              <w:pStyle w:val="SCC42tablebody"/>
              <w:rPr>
                <w:lang w:val="en-GB"/>
              </w:rPr>
            </w:pPr>
            <w:r>
              <w:t>0.0388</w:t>
            </w:r>
          </w:p>
        </w:tc>
      </w:tr>
      <w:tr w:rsidR="00090E44" w:rsidTr="00321494">
        <w:trPr>
          <w:trHeight w:val="291"/>
          <w:jc w:val="right"/>
        </w:trPr>
        <w:tc>
          <w:tcPr>
            <w:tcW w:w="1449" w:type="dxa"/>
            <w:noWrap/>
          </w:tcPr>
          <w:p w:rsidR="00090E44" w:rsidRDefault="00090E44" w:rsidP="00321494">
            <w:pPr>
              <w:pStyle w:val="SCC42tablebody"/>
              <w:rPr>
                <w:lang w:val="en-GB"/>
              </w:rPr>
            </w:pPr>
            <w:r>
              <w:t>INF</w:t>
            </w:r>
          </w:p>
        </w:tc>
        <w:tc>
          <w:tcPr>
            <w:tcW w:w="986" w:type="dxa"/>
            <w:noWrap/>
          </w:tcPr>
          <w:p w:rsidR="00090E44" w:rsidRDefault="00090E44" w:rsidP="00321494">
            <w:pPr>
              <w:pStyle w:val="SCC42tablebody"/>
              <w:rPr>
                <w:lang w:val="en-GB"/>
              </w:rPr>
            </w:pPr>
            <w:r>
              <w:t>-0.0048</w:t>
            </w:r>
          </w:p>
        </w:tc>
        <w:tc>
          <w:tcPr>
            <w:tcW w:w="986" w:type="dxa"/>
            <w:noWrap/>
          </w:tcPr>
          <w:p w:rsidR="00090E44" w:rsidRDefault="00090E44" w:rsidP="00321494">
            <w:pPr>
              <w:pStyle w:val="SCC42tablebody"/>
              <w:rPr>
                <w:lang w:val="en-GB"/>
              </w:rPr>
            </w:pPr>
            <w:r>
              <w:t>0.0150</w:t>
            </w:r>
          </w:p>
        </w:tc>
        <w:tc>
          <w:tcPr>
            <w:tcW w:w="1053" w:type="dxa"/>
            <w:noWrap/>
          </w:tcPr>
          <w:p w:rsidR="00090E44" w:rsidRDefault="00090E44" w:rsidP="00321494">
            <w:pPr>
              <w:pStyle w:val="SCC42tablebody"/>
              <w:rPr>
                <w:lang w:val="en-GB"/>
              </w:rPr>
            </w:pPr>
            <w:r>
              <w:t>-0.3200</w:t>
            </w:r>
          </w:p>
        </w:tc>
        <w:tc>
          <w:tcPr>
            <w:tcW w:w="986" w:type="dxa"/>
            <w:noWrap/>
          </w:tcPr>
          <w:p w:rsidR="00090E44" w:rsidRDefault="00090E44" w:rsidP="00321494">
            <w:pPr>
              <w:pStyle w:val="SCC42tablebody"/>
              <w:rPr>
                <w:lang w:val="en-GB"/>
              </w:rPr>
            </w:pPr>
            <w:r>
              <w:t>0.7520</w:t>
            </w:r>
          </w:p>
        </w:tc>
        <w:tc>
          <w:tcPr>
            <w:tcW w:w="1218" w:type="dxa"/>
            <w:noWrap/>
          </w:tcPr>
          <w:p w:rsidR="00090E44" w:rsidRDefault="00090E44" w:rsidP="00321494">
            <w:pPr>
              <w:pStyle w:val="SCC42tablebody"/>
              <w:rPr>
                <w:lang w:val="en-GB"/>
              </w:rPr>
            </w:pPr>
            <w:r>
              <w:t>-0.0357</w:t>
            </w:r>
          </w:p>
        </w:tc>
        <w:tc>
          <w:tcPr>
            <w:tcW w:w="986" w:type="dxa"/>
            <w:noWrap/>
          </w:tcPr>
          <w:p w:rsidR="00090E44" w:rsidRDefault="00090E44" w:rsidP="00321494">
            <w:pPr>
              <w:pStyle w:val="SCC42tablebody"/>
              <w:rPr>
                <w:lang w:val="en-GB"/>
              </w:rPr>
            </w:pPr>
            <w:r>
              <w:t>0.0262</w:t>
            </w:r>
          </w:p>
        </w:tc>
      </w:tr>
      <w:tr w:rsidR="00090E44" w:rsidTr="00321494">
        <w:trPr>
          <w:trHeight w:val="291"/>
          <w:jc w:val="right"/>
        </w:trPr>
        <w:tc>
          <w:tcPr>
            <w:tcW w:w="1449" w:type="dxa"/>
            <w:noWrap/>
          </w:tcPr>
          <w:p w:rsidR="00090E44" w:rsidRDefault="00090E44" w:rsidP="00321494">
            <w:pPr>
              <w:pStyle w:val="SCC42tablebody"/>
              <w:rPr>
                <w:lang w:val="en-GB"/>
              </w:rPr>
            </w:pPr>
            <w:r>
              <w:t>FDI</w:t>
            </w:r>
          </w:p>
        </w:tc>
        <w:tc>
          <w:tcPr>
            <w:tcW w:w="986" w:type="dxa"/>
            <w:noWrap/>
          </w:tcPr>
          <w:p w:rsidR="00090E44" w:rsidRDefault="00090E44" w:rsidP="00321494">
            <w:pPr>
              <w:pStyle w:val="SCC42tablebody"/>
              <w:rPr>
                <w:lang w:val="en-GB"/>
              </w:rPr>
            </w:pPr>
            <w:r>
              <w:t>-0.1072</w:t>
            </w:r>
          </w:p>
        </w:tc>
        <w:tc>
          <w:tcPr>
            <w:tcW w:w="986" w:type="dxa"/>
            <w:noWrap/>
          </w:tcPr>
          <w:p w:rsidR="00090E44" w:rsidRDefault="00090E44" w:rsidP="00321494">
            <w:pPr>
              <w:pStyle w:val="SCC42tablebody"/>
              <w:rPr>
                <w:lang w:val="en-GB"/>
              </w:rPr>
            </w:pPr>
            <w:r>
              <w:t>0.0582</w:t>
            </w:r>
          </w:p>
        </w:tc>
        <w:tc>
          <w:tcPr>
            <w:tcW w:w="1053" w:type="dxa"/>
            <w:noWrap/>
          </w:tcPr>
          <w:p w:rsidR="00090E44" w:rsidRDefault="00090E44" w:rsidP="00321494">
            <w:pPr>
              <w:pStyle w:val="SCC42tablebody"/>
              <w:rPr>
                <w:lang w:val="en-GB"/>
              </w:rPr>
            </w:pPr>
            <w:r>
              <w:t>-1.8400</w:t>
            </w:r>
          </w:p>
        </w:tc>
        <w:tc>
          <w:tcPr>
            <w:tcW w:w="986" w:type="dxa"/>
            <w:noWrap/>
          </w:tcPr>
          <w:p w:rsidR="00090E44" w:rsidRDefault="00090E44" w:rsidP="00321494">
            <w:pPr>
              <w:pStyle w:val="SCC42tablebody"/>
              <w:rPr>
                <w:lang w:val="en-GB"/>
              </w:rPr>
            </w:pPr>
            <w:r>
              <w:t>0.0780</w:t>
            </w:r>
          </w:p>
        </w:tc>
        <w:tc>
          <w:tcPr>
            <w:tcW w:w="1218" w:type="dxa"/>
            <w:noWrap/>
          </w:tcPr>
          <w:p w:rsidR="00090E44" w:rsidRDefault="00090E44" w:rsidP="00321494">
            <w:pPr>
              <w:pStyle w:val="SCC42tablebody"/>
              <w:rPr>
                <w:lang w:val="en-GB"/>
              </w:rPr>
            </w:pPr>
            <w:r>
              <w:t>-0.2277</w:t>
            </w:r>
          </w:p>
        </w:tc>
        <w:tc>
          <w:tcPr>
            <w:tcW w:w="986" w:type="dxa"/>
            <w:noWrap/>
          </w:tcPr>
          <w:p w:rsidR="00090E44" w:rsidRDefault="00090E44" w:rsidP="00321494">
            <w:pPr>
              <w:pStyle w:val="SCC42tablebody"/>
              <w:rPr>
                <w:lang w:val="en-GB"/>
              </w:rPr>
            </w:pPr>
            <w:r>
              <w:t>0.0132</w:t>
            </w:r>
          </w:p>
        </w:tc>
      </w:tr>
      <w:tr w:rsidR="00090E44" w:rsidTr="00321494">
        <w:trPr>
          <w:trHeight w:val="291"/>
          <w:jc w:val="right"/>
        </w:trPr>
        <w:tc>
          <w:tcPr>
            <w:tcW w:w="1449" w:type="dxa"/>
            <w:noWrap/>
          </w:tcPr>
          <w:p w:rsidR="00090E44" w:rsidRDefault="00090E44" w:rsidP="00321494">
            <w:pPr>
              <w:pStyle w:val="SCC42tablebody"/>
              <w:rPr>
                <w:rFonts w:cs="Calibri"/>
                <w:lang w:val="en-GB"/>
              </w:rPr>
            </w:pPr>
            <w:r>
              <w:t>Cons</w:t>
            </w:r>
          </w:p>
        </w:tc>
        <w:tc>
          <w:tcPr>
            <w:tcW w:w="986" w:type="dxa"/>
            <w:noWrap/>
          </w:tcPr>
          <w:p w:rsidR="00090E44" w:rsidRDefault="00090E44" w:rsidP="00321494">
            <w:pPr>
              <w:pStyle w:val="SCC42tablebody"/>
              <w:rPr>
                <w:rFonts w:cs="Calibri"/>
              </w:rPr>
            </w:pPr>
            <w:r>
              <w:t>23.3219</w:t>
            </w:r>
          </w:p>
        </w:tc>
        <w:tc>
          <w:tcPr>
            <w:tcW w:w="986" w:type="dxa"/>
            <w:noWrap/>
          </w:tcPr>
          <w:p w:rsidR="00090E44" w:rsidRDefault="00090E44" w:rsidP="00321494">
            <w:pPr>
              <w:pStyle w:val="SCC42tablebody"/>
              <w:rPr>
                <w:rFonts w:cs="Calibri"/>
              </w:rPr>
            </w:pPr>
            <w:r>
              <w:t>0.1562</w:t>
            </w:r>
          </w:p>
        </w:tc>
        <w:tc>
          <w:tcPr>
            <w:tcW w:w="1053" w:type="dxa"/>
            <w:noWrap/>
          </w:tcPr>
          <w:p w:rsidR="00090E44" w:rsidRDefault="00090E44" w:rsidP="00321494">
            <w:pPr>
              <w:pStyle w:val="SCC42tablebody"/>
              <w:rPr>
                <w:rFonts w:cs="Calibri"/>
              </w:rPr>
            </w:pPr>
            <w:r>
              <w:t>149.3400</w:t>
            </w:r>
          </w:p>
        </w:tc>
        <w:tc>
          <w:tcPr>
            <w:tcW w:w="986" w:type="dxa"/>
            <w:noWrap/>
          </w:tcPr>
          <w:p w:rsidR="00090E44" w:rsidRDefault="00090E44" w:rsidP="00321494">
            <w:pPr>
              <w:pStyle w:val="SCC42tablebody"/>
              <w:rPr>
                <w:rFonts w:cs="Calibri"/>
              </w:rPr>
            </w:pPr>
            <w:r>
              <w:t>0.0000</w:t>
            </w:r>
          </w:p>
        </w:tc>
        <w:tc>
          <w:tcPr>
            <w:tcW w:w="1218" w:type="dxa"/>
            <w:noWrap/>
          </w:tcPr>
          <w:p w:rsidR="00090E44" w:rsidRDefault="00090E44" w:rsidP="00321494">
            <w:pPr>
              <w:pStyle w:val="SCC42tablebody"/>
              <w:rPr>
                <w:rFonts w:cs="Calibri"/>
              </w:rPr>
            </w:pPr>
            <w:r>
              <w:t>22.9988</w:t>
            </w:r>
          </w:p>
        </w:tc>
        <w:tc>
          <w:tcPr>
            <w:tcW w:w="986" w:type="dxa"/>
            <w:noWrap/>
          </w:tcPr>
          <w:p w:rsidR="00090E44" w:rsidRDefault="00090E44" w:rsidP="00321494">
            <w:pPr>
              <w:pStyle w:val="SCC42tablebody"/>
              <w:rPr>
                <w:rFonts w:cs="Calibri"/>
              </w:rPr>
            </w:pPr>
            <w:r>
              <w:t>23.6450</w:t>
            </w:r>
          </w:p>
        </w:tc>
      </w:tr>
    </w:tbl>
    <w:p w:rsidR="00090E44" w:rsidRDefault="00090E44" w:rsidP="00090E44">
      <w:pPr>
        <w:pStyle w:val="SCC31text"/>
        <w:ind w:left="0" w:firstLine="0"/>
        <w:rPr>
          <w:rFonts w:eastAsiaTheme="minorEastAsia"/>
          <w:highlight w:val="yellow"/>
          <w:lang w:val="en-GB"/>
        </w:rPr>
      </w:pPr>
    </w:p>
    <w:p w:rsidR="000E123E" w:rsidRDefault="00000000">
      <w:pPr>
        <w:pStyle w:val="SCC31text"/>
        <w:rPr>
          <w:rFonts w:eastAsiaTheme="minorEastAsia"/>
          <w:highlight w:val="yellow"/>
          <w:lang w:val="en-GB"/>
        </w:rPr>
      </w:pPr>
      <w:r>
        <w:rPr>
          <w:rFonts w:eastAsiaTheme="minorEastAsia"/>
          <w:highlight w:val="yellow"/>
          <w:lang w:val="en-GB"/>
        </w:rPr>
        <w:t xml:space="preserve">The analysis in Table 5 shows when ERV increases, the Log_ </w:t>
      </w:r>
      <w:proofErr w:type="spellStart"/>
      <w:r>
        <w:rPr>
          <w:rFonts w:eastAsiaTheme="minorEastAsia"/>
          <w:highlight w:val="yellow"/>
          <w:lang w:val="en-GB"/>
        </w:rPr>
        <w:t>Agro</w:t>
      </w:r>
      <w:proofErr w:type="spellEnd"/>
      <w:r>
        <w:rPr>
          <w:rFonts w:eastAsiaTheme="minorEastAsia"/>
          <w:highlight w:val="yellow"/>
          <w:lang w:val="en-GB"/>
        </w:rPr>
        <w:t xml:space="preserve"> ER is impacted adversely. A 1-point growth in volatility leads to a </w:t>
      </w:r>
      <w:r>
        <w:rPr>
          <w:highlight w:val="yellow"/>
        </w:rPr>
        <w:t xml:space="preserve">-0.4686 </w:t>
      </w:r>
      <w:r>
        <w:rPr>
          <w:rFonts w:eastAsiaTheme="minorEastAsia"/>
          <w:highlight w:val="yellow"/>
          <w:lang w:val="en-GB"/>
        </w:rPr>
        <w:t xml:space="preserve">percent decline in agricultural trade revenue. The INT Rate also has a negative impact on Log_ </w:t>
      </w:r>
      <w:proofErr w:type="spellStart"/>
      <w:r>
        <w:rPr>
          <w:rFonts w:eastAsiaTheme="minorEastAsia"/>
          <w:highlight w:val="yellow"/>
          <w:lang w:val="en-GB"/>
        </w:rPr>
        <w:t>Agro</w:t>
      </w:r>
      <w:proofErr w:type="spellEnd"/>
      <w:r>
        <w:rPr>
          <w:rFonts w:eastAsiaTheme="minorEastAsia"/>
          <w:highlight w:val="yellow"/>
          <w:lang w:val="en-GB"/>
        </w:rPr>
        <w:t xml:space="preserve"> ER. This is because when the INT Rate is raised by a point, the Agrarian export revenue falls by </w:t>
      </w:r>
      <w:r>
        <w:rPr>
          <w:highlight w:val="yellow"/>
        </w:rPr>
        <w:t xml:space="preserve">-0.0106 </w:t>
      </w:r>
      <w:r>
        <w:rPr>
          <w:rFonts w:eastAsiaTheme="minorEastAsia"/>
          <w:highlight w:val="yellow"/>
          <w:lang w:val="en-GB"/>
        </w:rPr>
        <w:t>percent. INF has a negative effect of</w:t>
      </w:r>
      <w:r>
        <w:rPr>
          <w:highlight w:val="yellow"/>
        </w:rPr>
        <w:t xml:space="preserve">-0.0048 percent on </w:t>
      </w:r>
      <w:r>
        <w:rPr>
          <w:rFonts w:eastAsiaTheme="minorEastAsia"/>
          <w:highlight w:val="yellow"/>
          <w:lang w:val="en-GB"/>
        </w:rPr>
        <w:t xml:space="preserve">Log_ </w:t>
      </w:r>
      <w:proofErr w:type="spellStart"/>
      <w:r>
        <w:rPr>
          <w:rFonts w:eastAsiaTheme="minorEastAsia"/>
          <w:highlight w:val="yellow"/>
          <w:lang w:val="en-GB"/>
        </w:rPr>
        <w:t>Agro</w:t>
      </w:r>
      <w:proofErr w:type="spellEnd"/>
      <w:r>
        <w:rPr>
          <w:rFonts w:eastAsiaTheme="minorEastAsia"/>
          <w:highlight w:val="yellow"/>
          <w:lang w:val="en-GB"/>
        </w:rPr>
        <w:t xml:space="preserve"> ER. Finally, the interaction between FDI and Log_ </w:t>
      </w:r>
      <w:proofErr w:type="spellStart"/>
      <w:r>
        <w:rPr>
          <w:rFonts w:eastAsiaTheme="minorEastAsia"/>
          <w:highlight w:val="yellow"/>
          <w:lang w:val="en-GB"/>
        </w:rPr>
        <w:t>Agro</w:t>
      </w:r>
      <w:proofErr w:type="spellEnd"/>
      <w:r>
        <w:rPr>
          <w:rFonts w:eastAsiaTheme="minorEastAsia"/>
          <w:highlight w:val="yellow"/>
          <w:lang w:val="en-GB"/>
        </w:rPr>
        <w:t xml:space="preserve"> ER shows a negative impact of </w:t>
      </w:r>
      <w:r>
        <w:rPr>
          <w:highlight w:val="yellow"/>
        </w:rPr>
        <w:t xml:space="preserve">-0.1072 </w:t>
      </w:r>
      <w:r>
        <w:rPr>
          <w:rFonts w:eastAsiaTheme="minorEastAsia"/>
          <w:highlight w:val="yellow"/>
          <w:lang w:val="en-GB"/>
        </w:rPr>
        <w:t xml:space="preserve">percent. </w:t>
      </w:r>
    </w:p>
    <w:p w:rsidR="000E123E" w:rsidRPr="00107EE3" w:rsidRDefault="00107EE3" w:rsidP="00107EE3">
      <w:pPr>
        <w:pStyle w:val="SCC31text"/>
        <w:rPr>
          <w:rFonts w:eastAsiaTheme="minorEastAsia"/>
          <w:highlight w:val="yellow"/>
          <w:lang w:val="en-GB"/>
        </w:rPr>
      </w:pPr>
      <w:r w:rsidRPr="00107EE3">
        <w:rPr>
          <w:rFonts w:eastAsiaTheme="minorEastAsia"/>
          <w:highlight w:val="yellow"/>
          <w:lang w:val="en-GB"/>
        </w:rPr>
        <w:t>To complement the baseline OLS results, ARDL and NARDL models are used to evaluate whether exchange rate volatility has a persistent or asymmetric long-run effect on export performance.</w:t>
      </w:r>
      <w:r>
        <w:rPr>
          <w:rFonts w:eastAsiaTheme="minorEastAsia"/>
          <w:lang w:val="en-GB"/>
        </w:rPr>
        <w:t xml:space="preserve"> </w:t>
      </w:r>
      <w:r>
        <w:rPr>
          <w:rFonts w:eastAsiaTheme="minorEastAsia"/>
          <w:highlight w:val="yellow"/>
          <w:lang w:val="en-GB"/>
        </w:rPr>
        <w:t xml:space="preserve">The ARDL Model finds no short-term impact, which is significant in nature. However, in the long run, the rise in ERV creates a </w:t>
      </w:r>
      <w:r>
        <w:rPr>
          <w:sz w:val="18"/>
          <w:szCs w:val="18"/>
          <w:highlight w:val="yellow"/>
          <w:lang w:val="en-IN" w:eastAsia="en-GB"/>
        </w:rPr>
        <w:t xml:space="preserve">-0.7028 percent reduction in </w:t>
      </w:r>
      <w:r>
        <w:rPr>
          <w:rFonts w:eastAsiaTheme="minorEastAsia"/>
          <w:highlight w:val="yellow"/>
          <w:lang w:val="en-GB"/>
        </w:rPr>
        <w:t xml:space="preserve">Log_ </w:t>
      </w:r>
      <w:proofErr w:type="spellStart"/>
      <w:r>
        <w:rPr>
          <w:rFonts w:eastAsiaTheme="minorEastAsia"/>
          <w:highlight w:val="yellow"/>
          <w:lang w:val="en-GB"/>
        </w:rPr>
        <w:t>Agro</w:t>
      </w:r>
      <w:proofErr w:type="spellEnd"/>
      <w:r>
        <w:rPr>
          <w:rFonts w:eastAsiaTheme="minorEastAsia"/>
          <w:highlight w:val="yellow"/>
          <w:lang w:val="en-GB"/>
        </w:rPr>
        <w:t xml:space="preserve"> ER. This confirms the impact of shocks to ERV. </w:t>
      </w:r>
      <w:r>
        <w:rPr>
          <w:rFonts w:eastAsiaTheme="minorEastAsia"/>
          <w:lang w:val="en-GB"/>
        </w:rPr>
        <w:t>As a result, the</w:t>
      </w:r>
      <w:r w:rsidRPr="00107EE3">
        <w:rPr>
          <w:rFonts w:eastAsiaTheme="minorEastAsia"/>
          <w:lang w:val="en-GB"/>
        </w:rPr>
        <w:t xml:space="preserve"> ARDL model confirms a significant long-run negative relationship between ERV and agricultural exports (coefficient = -0.7028, p &lt; 0.05), consistent with the OLS results.</w:t>
      </w:r>
      <w:r>
        <w:rPr>
          <w:rFonts w:eastAsiaTheme="minorEastAsia"/>
          <w:highlight w:val="yellow"/>
          <w:lang w:val="en-GB"/>
        </w:rPr>
        <w:t xml:space="preserve"> Using the NARDL model, the Log_ </w:t>
      </w:r>
      <w:proofErr w:type="spellStart"/>
      <w:r>
        <w:rPr>
          <w:rFonts w:eastAsiaTheme="minorEastAsia"/>
          <w:highlight w:val="yellow"/>
          <w:lang w:val="en-GB"/>
        </w:rPr>
        <w:t>Agro</w:t>
      </w:r>
      <w:proofErr w:type="spellEnd"/>
      <w:r>
        <w:rPr>
          <w:rFonts w:eastAsiaTheme="minorEastAsia"/>
          <w:highlight w:val="yellow"/>
          <w:lang w:val="en-GB"/>
        </w:rPr>
        <w:t xml:space="preserve"> ER is impacted negatively by </w:t>
      </w:r>
      <w:r>
        <w:rPr>
          <w:sz w:val="21"/>
          <w:szCs w:val="21"/>
          <w:highlight w:val="yellow"/>
        </w:rPr>
        <w:t>0.4843 percent due to negative shocks of the ERV</w:t>
      </w:r>
      <w:r>
        <w:rPr>
          <w:sz w:val="21"/>
          <w:szCs w:val="21"/>
        </w:rPr>
        <w:t xml:space="preserve">. This suggests that </w:t>
      </w:r>
      <w:r w:rsidRPr="00107EE3">
        <w:rPr>
          <w:sz w:val="21"/>
          <w:szCs w:val="21"/>
        </w:rPr>
        <w:t>exporters are more sensitive to depreciation risks.</w:t>
      </w:r>
    </w:p>
    <w:p w:rsidR="00107EE3" w:rsidRDefault="00000000">
      <w:pPr>
        <w:pStyle w:val="SCC31text"/>
        <w:rPr>
          <w:rFonts w:eastAsiaTheme="minorEastAsia"/>
          <w:lang w:val="en-GB"/>
        </w:rPr>
      </w:pPr>
      <w:r>
        <w:rPr>
          <w:rFonts w:eastAsiaTheme="minorEastAsia"/>
          <w:lang w:val="en-GB"/>
        </w:rPr>
        <w:tab/>
        <w:t xml:space="preserve">The results of the analysis reveal that the RMB/USD Shock has an adverse impact on the total exports from China. This could be understood as an increase in EV by 1 unit causing a fall in total exports by 1.5 percent. As per Lal et al. (2023), the volatility in currency creates uncertainty among consumers regarding future prices. This creates a risk-averse consumption pattern which reduces the demand in global markets. As a result, this advocates for a reduction in total exports from China. Furthermore, the results also show that there is an adverse relationship between the volatility of currencies and the export of agricultural products from China. This relation is appropriate as RMB/USD volatility shows a negative coefficient on the agricultural export levels. This could be explained by the study using Abdullahi et al. (2022). The study concludes that currency volatility adversely affects the export of agricultural commodities. This is because the shocks in prices lead to a rise in the prices of agricultural products. This leads to price-sensitive buyers to halt consumption with a price increase. Additionally, Figure 1 indicates a declining trend in the RMB/USD exchange rate. This means that there has been an appreciation in the RMB value against USD. As a result, the prices of exports increase. Thus, this makes Chinese </w:t>
      </w:r>
      <w:proofErr w:type="spellStart"/>
      <w:r>
        <w:rPr>
          <w:rFonts w:eastAsiaTheme="minorEastAsia"/>
          <w:lang w:val="en-GB"/>
        </w:rPr>
        <w:t>agri</w:t>
      </w:r>
      <w:proofErr w:type="spellEnd"/>
      <w:r>
        <w:rPr>
          <w:rFonts w:eastAsiaTheme="minorEastAsia"/>
          <w:lang w:val="en-GB"/>
        </w:rPr>
        <w:t xml:space="preserve"> exports more expensive for buyers in the US. As a result, the demand for the same decreases and the export falls.</w:t>
      </w:r>
    </w:p>
    <w:p w:rsidR="000E123E" w:rsidRDefault="00000000">
      <w:pPr>
        <w:pStyle w:val="SCC31text"/>
        <w:rPr>
          <w:rFonts w:eastAsiaTheme="minorEastAsia"/>
          <w:lang w:val="en-GB" w:eastAsia="zh-CN"/>
        </w:rPr>
      </w:pPr>
      <w:r>
        <w:rPr>
          <w:rFonts w:eastAsiaTheme="minorEastAsia"/>
          <w:highlight w:val="yellow"/>
          <w:lang w:val="en-GB"/>
        </w:rPr>
        <w:t>Furthermore, the NARDL model finds that an increase in negative ER Shocks leads to a reduction in agriculture export revenue. This is explained by Dada (2021) and Noh (2025), that exporters respond more strongly to negative news than positive changes in exchange rates. In order to maintain loss aversion, the exporters drive out of the ventures. Huang (2017) also found similar stances as</w:t>
      </w:r>
      <w:r>
        <w:rPr>
          <w:rFonts w:eastAsiaTheme="minorEastAsia"/>
          <w:highlight w:val="yellow"/>
          <w:lang w:eastAsia="zh-CN"/>
        </w:rPr>
        <w:t xml:space="preserve"> the likelihood of exporters leaving the market increases with exchange rate shocks. Furthermore, there is also a long-run elasticity of agricultural exports to ERV in China. This is consistent of the findings by Mao (2019), who found that appreciation in the real exchange rate leads to fall in export values at the firm level</w:t>
      </w:r>
      <w:r>
        <w:rPr>
          <w:rFonts w:eastAsiaTheme="minorEastAsia"/>
          <w:highlight w:val="yellow"/>
          <w:lang w:val="en-GB"/>
        </w:rPr>
        <w:t>. Overall, these explain the impacts of exchange rate volatility on the agricultural export revenues in China.</w:t>
      </w:r>
      <w:r>
        <w:rPr>
          <w:rFonts w:eastAsiaTheme="minorEastAsia"/>
          <w:lang w:val="en-GB"/>
        </w:rPr>
        <w:t xml:space="preserve"> </w:t>
      </w:r>
    </w:p>
    <w:p w:rsidR="000E123E" w:rsidRDefault="00000000">
      <w:pPr>
        <w:pStyle w:val="SCC21heading1"/>
        <w:rPr>
          <w:rFonts w:eastAsiaTheme="minorEastAsia"/>
          <w:lang w:val="en-GB" w:eastAsia="zh-CN"/>
        </w:rPr>
      </w:pPr>
      <w:r>
        <w:rPr>
          <w:rFonts w:eastAsiaTheme="minorEastAsia"/>
          <w:lang w:val="en-GB"/>
        </w:rPr>
        <w:t>6. C</w:t>
      </w:r>
      <w:r>
        <w:rPr>
          <w:rFonts w:eastAsiaTheme="minorEastAsia" w:hint="eastAsia"/>
          <w:lang w:val="en-GB" w:eastAsia="zh-CN"/>
        </w:rPr>
        <w:t>onclusion</w:t>
      </w:r>
    </w:p>
    <w:p w:rsidR="000E123E" w:rsidRDefault="00000000">
      <w:pPr>
        <w:pStyle w:val="SCC22heading2"/>
        <w:rPr>
          <w:rFonts w:eastAsiaTheme="minorEastAsia"/>
          <w:lang w:val="en-GB"/>
        </w:rPr>
      </w:pPr>
      <w:r>
        <w:rPr>
          <w:rFonts w:eastAsiaTheme="minorEastAsia"/>
          <w:lang w:val="en-GB"/>
        </w:rPr>
        <w:t>6.1 Summary of the Study</w:t>
      </w:r>
    </w:p>
    <w:p w:rsidR="000E123E" w:rsidRDefault="00000000">
      <w:pPr>
        <w:pStyle w:val="SCC31text"/>
        <w:rPr>
          <w:rFonts w:eastAsiaTheme="minorEastAsia"/>
          <w:lang w:val="en-GB"/>
        </w:rPr>
      </w:pPr>
      <w:r>
        <w:rPr>
          <w:rFonts w:eastAsiaTheme="minorEastAsia"/>
          <w:lang w:val="en-GB"/>
        </w:rPr>
        <w:tab/>
        <w:t xml:space="preserve">In conclusion, currency impact negatively both total exports and agricultural product exports from China to the USA. With respect to the results, both the null hypothesis considered in the research could be confirmed. A growth in currency volatility creates a negative effect on the total exports and exports of agricultural products from China. The policy rates of interest also negatively impact the total exports and the agricultural exports from China. </w:t>
      </w:r>
    </w:p>
    <w:p w:rsidR="000E123E" w:rsidRDefault="00000000">
      <w:pPr>
        <w:pStyle w:val="SCC22heading2"/>
        <w:rPr>
          <w:rFonts w:eastAsiaTheme="minorEastAsia"/>
          <w:lang w:val="en-GB"/>
        </w:rPr>
      </w:pPr>
      <w:r>
        <w:rPr>
          <w:rFonts w:eastAsiaTheme="minorEastAsia"/>
          <w:lang w:val="en-GB"/>
        </w:rPr>
        <w:t>6.3 Policy Implications and Recommendations</w:t>
      </w:r>
    </w:p>
    <w:p w:rsidR="000E123E" w:rsidRDefault="00000000">
      <w:pPr>
        <w:pStyle w:val="SCC31text"/>
        <w:rPr>
          <w:rFonts w:eastAsiaTheme="minorEastAsia"/>
          <w:lang w:val="en-GB"/>
        </w:rPr>
      </w:pPr>
      <w:r>
        <w:rPr>
          <w:rFonts w:eastAsiaTheme="minorEastAsia"/>
          <w:highlight w:val="yellow"/>
          <w:lang w:val="en-GB"/>
        </w:rPr>
        <w:t>The findings of the study also provide substantial policy implications towards the central banks in order to stabilise the exchange rate volatilities. This would ensure that the revenue towards the export sector is maintained because of the controlling of shocks. Moreover, it is also suggested for governments to start maintaining exchange rate risk. This would help the exporters mitigate such shocks. Based on these policy implications, the government of China and the welfare of the exporters of agricultural products would be protected.</w:t>
      </w:r>
      <w:r>
        <w:rPr>
          <w:rFonts w:eastAsiaTheme="minorEastAsia"/>
          <w:lang w:val="en-GB"/>
        </w:rPr>
        <w:t xml:space="preserve"> </w:t>
      </w:r>
      <w:r>
        <w:rPr>
          <w:rFonts w:eastAsiaTheme="minorEastAsia"/>
          <w:lang w:val="en-GB"/>
        </w:rPr>
        <w:tab/>
      </w:r>
    </w:p>
    <w:p w:rsidR="000E123E" w:rsidRDefault="00000000">
      <w:pPr>
        <w:pStyle w:val="SCC22heading2"/>
        <w:rPr>
          <w:rFonts w:eastAsiaTheme="minorEastAsia"/>
          <w:lang w:val="en-GB"/>
        </w:rPr>
      </w:pPr>
      <w:r>
        <w:rPr>
          <w:rFonts w:eastAsiaTheme="minorEastAsia"/>
          <w:lang w:val="en-GB"/>
        </w:rPr>
        <w:t>6.3 Limitations of the Study</w:t>
      </w:r>
    </w:p>
    <w:p w:rsidR="000E123E" w:rsidRDefault="00000000">
      <w:pPr>
        <w:pStyle w:val="SCC31text"/>
        <w:rPr>
          <w:rFonts w:eastAsiaTheme="minorEastAsia"/>
          <w:lang w:val="en-GB"/>
        </w:rPr>
      </w:pPr>
      <w:r>
        <w:rPr>
          <w:rFonts w:eastAsiaTheme="minorEastAsia"/>
          <w:lang w:val="en-GB"/>
        </w:rPr>
        <w:lastRenderedPageBreak/>
        <w:tab/>
        <w:t xml:space="preserve">One of the primary limitations of the study is that the study only considers the impact of Forex fluctuations on the agricultural exports of China toward its primary trading partners. However, both the trading partners considered in the study are developed economies. This leads to a substantial gap as the impact of the same on developing economies is not considered. Another limitation of the study is that more dynamic models such as the gravity model could be used in the study for estimation. </w:t>
      </w:r>
      <w:r>
        <w:rPr>
          <w:rFonts w:eastAsiaTheme="minorEastAsia"/>
          <w:highlight w:val="yellow"/>
          <w:lang w:val="en-GB"/>
        </w:rPr>
        <w:t>There are also limitations with respect to the number of datapoints used in the study as the time-period of the paper is limited. This limits the study from using GARCH model for calculating ER volatility.</w:t>
      </w:r>
      <w:r>
        <w:rPr>
          <w:rFonts w:eastAsiaTheme="minorEastAsia"/>
          <w:lang w:val="en-GB"/>
        </w:rPr>
        <w:t xml:space="preserve"> </w:t>
      </w:r>
    </w:p>
    <w:p w:rsidR="000E123E" w:rsidRDefault="00000000">
      <w:pPr>
        <w:pStyle w:val="SCC22heading2"/>
        <w:rPr>
          <w:rFonts w:eastAsiaTheme="minorEastAsia"/>
          <w:lang w:val="en-GB"/>
        </w:rPr>
      </w:pPr>
      <w:r>
        <w:rPr>
          <w:rFonts w:eastAsiaTheme="minorEastAsia"/>
          <w:lang w:val="en-GB"/>
        </w:rPr>
        <w:t>6.4 Directions for Future Research</w:t>
      </w:r>
    </w:p>
    <w:p w:rsidR="000E123E" w:rsidRDefault="00000000">
      <w:pPr>
        <w:pStyle w:val="SCC31text"/>
        <w:rPr>
          <w:rFonts w:eastAsiaTheme="minorEastAsia"/>
          <w:lang w:val="en-GB"/>
        </w:rPr>
      </w:pPr>
      <w:r>
        <w:rPr>
          <w:rFonts w:eastAsiaTheme="minorEastAsia"/>
          <w:lang w:val="en-GB"/>
        </w:rPr>
        <w:tab/>
        <w:t xml:space="preserve">Future research could incorporate data from both developed and developing economies to gain a greater understanding of the impact of currency rate fluctuations on China's agricultural exports. Moreover, dynamic models including gravity models could be used for estimation purposes.  </w:t>
      </w:r>
    </w:p>
    <w:p w:rsidR="000E123E" w:rsidRDefault="000E123E">
      <w:pPr>
        <w:pStyle w:val="SCC62BackMatter"/>
        <w:rPr>
          <w:b/>
        </w:rPr>
      </w:pPr>
    </w:p>
    <w:p w:rsidR="000E123E" w:rsidRDefault="00000000">
      <w:pPr>
        <w:pStyle w:val="SCC62BackMatter"/>
      </w:pPr>
      <w:r>
        <w:rPr>
          <w:b/>
        </w:rPr>
        <w:t>Data Availability Statement:</w:t>
      </w:r>
      <w:r>
        <w:t xml:space="preserve"> The data that support the findings of this study are openly available in Zenodo at https://doi.org/ 10.5281/zenodo.</w:t>
      </w:r>
      <w:bookmarkStart w:id="0" w:name="OLE_LINK2"/>
      <w:r>
        <w:t>15063765</w:t>
      </w:r>
      <w:bookmarkEnd w:id="0"/>
      <w:r>
        <w:t>, reference number15063765</w:t>
      </w:r>
    </w:p>
    <w:p w:rsidR="000E123E" w:rsidRDefault="000E123E">
      <w:pPr>
        <w:spacing w:after="200" w:line="276" w:lineRule="auto"/>
        <w:rPr>
          <w:rFonts w:ascii="Calibri" w:eastAsia="Calibri" w:hAnsi="Calibri"/>
          <w:kern w:val="2"/>
          <w:sz w:val="22"/>
          <w:szCs w:val="22"/>
          <w:highlight w:val="yellow"/>
          <w:lang w:eastAsia="en-US"/>
        </w:rPr>
      </w:pPr>
      <w:bookmarkStart w:id="1" w:name="_Hlk180402183"/>
      <w:bookmarkStart w:id="2" w:name="_Hlk183680988"/>
    </w:p>
    <w:p w:rsidR="000E123E" w:rsidRDefault="000E123E">
      <w:pPr>
        <w:spacing w:after="200" w:line="276" w:lineRule="auto"/>
        <w:rPr>
          <w:rFonts w:ascii="Calibri" w:eastAsia="Calibri" w:hAnsi="Calibri"/>
          <w:kern w:val="2"/>
          <w:sz w:val="22"/>
          <w:szCs w:val="22"/>
          <w:highlight w:val="yellow"/>
          <w:lang w:eastAsia="en-US"/>
        </w:rPr>
      </w:pPr>
    </w:p>
    <w:p w:rsidR="000E123E" w:rsidRDefault="000E123E">
      <w:pPr>
        <w:spacing w:after="200" w:line="276" w:lineRule="auto"/>
        <w:rPr>
          <w:rFonts w:ascii="Calibri" w:eastAsia="Calibri" w:hAnsi="Calibri"/>
          <w:kern w:val="2"/>
          <w:sz w:val="22"/>
          <w:szCs w:val="22"/>
          <w:highlight w:val="yellow"/>
          <w:lang w:eastAsia="en-US"/>
        </w:rPr>
      </w:pPr>
    </w:p>
    <w:p w:rsidR="000E123E" w:rsidRDefault="000E123E">
      <w:pPr>
        <w:spacing w:after="200" w:line="276" w:lineRule="auto"/>
        <w:rPr>
          <w:rFonts w:ascii="Calibri" w:eastAsia="Calibri" w:hAnsi="Calibri"/>
          <w:kern w:val="2"/>
          <w:sz w:val="22"/>
          <w:szCs w:val="22"/>
          <w:highlight w:val="yellow"/>
          <w:lang w:eastAsia="en-US"/>
        </w:rPr>
      </w:pPr>
    </w:p>
    <w:p w:rsidR="000E123E" w:rsidRDefault="000E123E">
      <w:pPr>
        <w:spacing w:after="200" w:line="276" w:lineRule="auto"/>
        <w:rPr>
          <w:rFonts w:ascii="Calibri" w:eastAsia="Calibri" w:hAnsi="Calibri"/>
          <w:kern w:val="2"/>
          <w:sz w:val="22"/>
          <w:szCs w:val="22"/>
          <w:highlight w:val="yellow"/>
          <w:lang w:eastAsia="en-US"/>
        </w:rPr>
      </w:pPr>
    </w:p>
    <w:p w:rsidR="000E123E" w:rsidRDefault="000E123E">
      <w:pPr>
        <w:spacing w:after="200" w:line="276" w:lineRule="auto"/>
        <w:rPr>
          <w:rFonts w:ascii="Calibri" w:eastAsia="Calibri" w:hAnsi="Calibri"/>
          <w:kern w:val="2"/>
          <w:sz w:val="22"/>
          <w:szCs w:val="22"/>
          <w:highlight w:val="yellow"/>
          <w:lang w:eastAsia="en-US"/>
        </w:rPr>
      </w:pPr>
    </w:p>
    <w:p w:rsidR="000E123E" w:rsidRDefault="000E123E">
      <w:pPr>
        <w:spacing w:after="200" w:line="276" w:lineRule="auto"/>
        <w:rPr>
          <w:rFonts w:ascii="Calibri" w:eastAsia="Calibri" w:hAnsi="Calibri"/>
          <w:kern w:val="2"/>
          <w:sz w:val="22"/>
          <w:szCs w:val="22"/>
          <w:highlight w:val="yellow"/>
          <w:lang w:eastAsia="en-US"/>
        </w:rPr>
      </w:pPr>
    </w:p>
    <w:p w:rsidR="000E123E" w:rsidRDefault="00000000">
      <w:pPr>
        <w:spacing w:after="200" w:line="276" w:lineRule="auto"/>
        <w:rPr>
          <w:rFonts w:ascii="Calibri" w:eastAsia="Calibri" w:hAnsi="Calibri"/>
          <w:kern w:val="2"/>
          <w:sz w:val="22"/>
          <w:szCs w:val="22"/>
          <w:highlight w:val="yellow"/>
          <w:lang w:eastAsia="en-US"/>
        </w:rPr>
      </w:pPr>
      <w:r>
        <w:rPr>
          <w:rFonts w:ascii="Calibri" w:eastAsia="Calibri" w:hAnsi="Calibri"/>
          <w:kern w:val="2"/>
          <w:sz w:val="22"/>
          <w:szCs w:val="22"/>
          <w:highlight w:val="yellow"/>
          <w:lang w:eastAsia="en-US"/>
        </w:rPr>
        <w:t>Disclaimer (Artificial intelligence)</w:t>
      </w:r>
    </w:p>
    <w:p w:rsidR="000E123E" w:rsidRDefault="00000000">
      <w:pPr>
        <w:spacing w:after="200" w:line="276" w:lineRule="auto"/>
        <w:rPr>
          <w:rFonts w:ascii="Calibri" w:eastAsia="Calibri" w:hAnsi="Calibri"/>
          <w:kern w:val="2"/>
          <w:sz w:val="22"/>
          <w:szCs w:val="22"/>
          <w:highlight w:val="yellow"/>
          <w:lang w:eastAsia="en-US"/>
        </w:rPr>
      </w:pPr>
      <w:r>
        <w:rPr>
          <w:rFonts w:ascii="Calibri" w:eastAsia="Calibri" w:hAnsi="Calibri"/>
          <w:kern w:val="2"/>
          <w:sz w:val="22"/>
          <w:szCs w:val="22"/>
          <w:highlight w:val="yellow"/>
          <w:lang w:eastAsia="en-US"/>
        </w:rPr>
        <w:t xml:space="preserve">Author(s) hereby </w:t>
      </w:r>
      <w:proofErr w:type="gramStart"/>
      <w:r>
        <w:rPr>
          <w:rFonts w:ascii="Calibri" w:eastAsia="Calibri" w:hAnsi="Calibri"/>
          <w:kern w:val="2"/>
          <w:sz w:val="22"/>
          <w:szCs w:val="22"/>
          <w:highlight w:val="yellow"/>
          <w:lang w:eastAsia="en-US"/>
        </w:rPr>
        <w:t>declare</w:t>
      </w:r>
      <w:proofErr w:type="gramEnd"/>
      <w:r>
        <w:rPr>
          <w:rFonts w:ascii="Calibri" w:eastAsia="Calibri" w:hAnsi="Calibri"/>
          <w:kern w:val="2"/>
          <w:sz w:val="22"/>
          <w:szCs w:val="22"/>
          <w:highlight w:val="yellow"/>
          <w:lang w:eastAsia="en-US"/>
        </w:rPr>
        <w:t xml:space="preserve"> that NO generative AI technologies such as Large Language Models (ChatGPT, COPILOT, etc.) and text-to-image generators have been used during the writing or editing of this manuscript. </w:t>
      </w:r>
    </w:p>
    <w:bookmarkEnd w:id="1"/>
    <w:bookmarkEnd w:id="2"/>
    <w:p w:rsidR="000E123E" w:rsidRDefault="000E123E">
      <w:pPr>
        <w:pStyle w:val="SCC62BackMatter"/>
      </w:pPr>
    </w:p>
    <w:p w:rsidR="000E123E" w:rsidRDefault="000E123E">
      <w:pPr>
        <w:pStyle w:val="SCC62BackMatter"/>
      </w:pPr>
    </w:p>
    <w:p w:rsidR="000E123E" w:rsidRDefault="00000000">
      <w:pPr>
        <w:pStyle w:val="SCCReferenceHeading"/>
        <w:rPr>
          <w:rFonts w:eastAsiaTheme="minorEastAsia"/>
          <w:lang w:eastAsia="zh-CN"/>
        </w:rPr>
      </w:pPr>
      <w:bookmarkStart w:id="3" w:name="_Hlk166334781"/>
      <w:r>
        <w:t>References</w:t>
      </w:r>
      <w:bookmarkEnd w:id="3"/>
    </w:p>
    <w:p w:rsidR="000E123E" w:rsidRDefault="00000000">
      <w:pPr>
        <w:pStyle w:val="SCC71References"/>
        <w:rPr>
          <w:shd w:val="clear" w:color="auto" w:fill="FFFFFF"/>
          <w:lang w:val="en-GB"/>
        </w:rPr>
      </w:pPr>
      <w:r>
        <w:rPr>
          <w:shd w:val="clear" w:color="auto" w:fill="FFFFFF"/>
        </w:rPr>
        <w:t>Abdullahi, N. M., Zhang, Q., Shahriar, S., Irshad, M. S., Ado, A. B., &amp; Huo, X. (2022). Examining the determinants and efficiency of China’s agricultural exports using a stochastic frontier gravity model.</w:t>
      </w:r>
      <w:r>
        <w:rPr>
          <w:rStyle w:val="apple-converted-space"/>
          <w:shd w:val="clear" w:color="auto" w:fill="FFFFFF"/>
        </w:rPr>
        <w:t> </w:t>
      </w:r>
      <w:proofErr w:type="spellStart"/>
      <w:r>
        <w:rPr>
          <w:i/>
          <w:iCs/>
        </w:rPr>
        <w:t>PLoS</w:t>
      </w:r>
      <w:proofErr w:type="spellEnd"/>
      <w:r>
        <w:rPr>
          <w:i/>
          <w:iCs/>
        </w:rPr>
        <w:t xml:space="preserve"> One</w:t>
      </w:r>
      <w:r>
        <w:rPr>
          <w:shd w:val="clear" w:color="auto" w:fill="FFFFFF"/>
        </w:rPr>
        <w:t>,</w:t>
      </w:r>
      <w:r>
        <w:rPr>
          <w:rStyle w:val="apple-converted-space"/>
          <w:shd w:val="clear" w:color="auto" w:fill="FFFFFF"/>
        </w:rPr>
        <w:t> </w:t>
      </w:r>
      <w:r>
        <w:rPr>
          <w:i/>
          <w:iCs/>
        </w:rPr>
        <w:t>17</w:t>
      </w:r>
      <w:r>
        <w:rPr>
          <w:shd w:val="clear" w:color="auto" w:fill="FFFFFF"/>
        </w:rPr>
        <w:t xml:space="preserve">(9), e0274187. </w:t>
      </w:r>
      <w:hyperlink r:id="rId9" w:history="1">
        <w:r w:rsidR="000E123E">
          <w:rPr>
            <w:rStyle w:val="Hyperlink"/>
            <w:shd w:val="clear" w:color="auto" w:fill="FFFFFF"/>
          </w:rPr>
          <w:t>https://doi.org/10.1371/journal.pone.0274187</w:t>
        </w:r>
      </w:hyperlink>
      <w:r>
        <w:rPr>
          <w:shd w:val="clear" w:color="auto" w:fill="FFFFFF"/>
        </w:rPr>
        <w:t xml:space="preserve"> </w:t>
      </w:r>
    </w:p>
    <w:p w:rsidR="00107EE3" w:rsidRPr="00107EE3" w:rsidRDefault="00000000" w:rsidP="00107EE3">
      <w:pPr>
        <w:pStyle w:val="SCC71References"/>
        <w:rPr>
          <w:lang w:val="en-GB"/>
        </w:rPr>
      </w:pPr>
      <w:r>
        <w:rPr>
          <w:shd w:val="clear" w:color="auto" w:fill="FFFFFF"/>
        </w:rPr>
        <w:t>Agenor, P. R. (1991). Output, devaluation and the real exchange rate in developing countries.</w:t>
      </w:r>
      <w:r>
        <w:rPr>
          <w:rStyle w:val="apple-converted-space"/>
          <w:shd w:val="clear" w:color="auto" w:fill="FFFFFF"/>
        </w:rPr>
        <w:t> </w:t>
      </w:r>
      <w:r>
        <w:rPr>
          <w:i/>
          <w:iCs/>
        </w:rPr>
        <w:t>Review of World Economics</w:t>
      </w:r>
      <w:r>
        <w:rPr>
          <w:shd w:val="clear" w:color="auto" w:fill="FFFFFF"/>
        </w:rPr>
        <w:t>,</w:t>
      </w:r>
      <w:r>
        <w:rPr>
          <w:rStyle w:val="apple-converted-space"/>
          <w:shd w:val="clear" w:color="auto" w:fill="FFFFFF"/>
        </w:rPr>
        <w:t> </w:t>
      </w:r>
      <w:r>
        <w:rPr>
          <w:i/>
          <w:iCs/>
        </w:rPr>
        <w:t>127</w:t>
      </w:r>
      <w:r>
        <w:rPr>
          <w:shd w:val="clear" w:color="auto" w:fill="FFFFFF"/>
        </w:rPr>
        <w:t xml:space="preserve">(1), 18-41. </w:t>
      </w:r>
      <w:hyperlink r:id="rId10" w:history="1">
        <w:r w:rsidR="00107EE3">
          <w:rPr>
            <w:rStyle w:val="Hyperlink"/>
            <w:shd w:val="clear" w:color="auto" w:fill="FFFFFF"/>
          </w:rPr>
          <w:t>https://doi.org/10.1007/BF02707309</w:t>
        </w:r>
      </w:hyperlink>
      <w:r>
        <w:rPr>
          <w:shd w:val="clear" w:color="auto" w:fill="FFFFFF"/>
        </w:rPr>
        <w:t xml:space="preserve"> </w:t>
      </w:r>
    </w:p>
    <w:p w:rsidR="00107EE3" w:rsidRPr="00107EE3" w:rsidRDefault="00107EE3" w:rsidP="00107EE3">
      <w:pPr>
        <w:pStyle w:val="SCC71References"/>
        <w:rPr>
          <w:lang w:val="en-AU"/>
        </w:rPr>
      </w:pPr>
      <w:r w:rsidRPr="00107EE3">
        <w:rPr>
          <w:lang w:val="en-AU"/>
        </w:rPr>
        <w:t>Alita, D., Putra, A. D., &amp; Darwis, D. (2021). Analysis of classic assumption test and multiple linear regression coefficient test for employee structural office recommendation. </w:t>
      </w:r>
      <w:r w:rsidRPr="00107EE3">
        <w:rPr>
          <w:i/>
          <w:iCs/>
          <w:lang w:val="en-AU"/>
        </w:rPr>
        <w:t>IJCCS (Indonesian Journal of Computing and Cybernetics Systems)</w:t>
      </w:r>
      <w:r w:rsidRPr="00107EE3">
        <w:rPr>
          <w:lang w:val="en-AU"/>
        </w:rPr>
        <w:t>, </w:t>
      </w:r>
      <w:r w:rsidRPr="00107EE3">
        <w:rPr>
          <w:i/>
          <w:iCs/>
          <w:lang w:val="en-AU"/>
        </w:rPr>
        <w:t>15</w:t>
      </w:r>
      <w:r w:rsidRPr="00107EE3">
        <w:rPr>
          <w:lang w:val="en-AU"/>
        </w:rPr>
        <w:t>(3), 295-306.</w:t>
      </w:r>
      <w:r w:rsidRPr="00107EE3">
        <w:t xml:space="preserve"> </w:t>
      </w:r>
      <w:hyperlink r:id="rId11" w:history="1">
        <w:r w:rsidRPr="00FC50C7">
          <w:rPr>
            <w:rStyle w:val="Hyperlink"/>
            <w:lang w:val="en-AU"/>
          </w:rPr>
          <w:t>https://doi.org/10.22146/ijccs.65586</w:t>
        </w:r>
      </w:hyperlink>
      <w:r>
        <w:rPr>
          <w:lang w:val="en-AU"/>
        </w:rPr>
        <w:t xml:space="preserve"> </w:t>
      </w:r>
    </w:p>
    <w:p w:rsidR="000E123E" w:rsidRDefault="00000000">
      <w:pPr>
        <w:pStyle w:val="SCC71References"/>
        <w:rPr>
          <w:lang w:val="en-GB"/>
        </w:rPr>
      </w:pPr>
      <w:r>
        <w:t>Archontoulis, S. V., &amp; Miguez, F. E. (2015). Nonlinear regression models and applications in agricultural research. </w:t>
      </w:r>
      <w:r>
        <w:rPr>
          <w:i/>
          <w:iCs/>
        </w:rPr>
        <w:t>Agronomy Journal</w:t>
      </w:r>
      <w:r>
        <w:t>, </w:t>
      </w:r>
      <w:r>
        <w:rPr>
          <w:i/>
          <w:iCs/>
        </w:rPr>
        <w:t>107</w:t>
      </w:r>
      <w:r>
        <w:t xml:space="preserve">(2), 786-798. </w:t>
      </w:r>
      <w:hyperlink r:id="rId12" w:history="1">
        <w:r w:rsidR="000E123E">
          <w:rPr>
            <w:rStyle w:val="Hyperlink"/>
          </w:rPr>
          <w:t>https://doi.org/10.2134/agronj2012.0506</w:t>
        </w:r>
      </w:hyperlink>
      <w:r>
        <w:t xml:space="preserve"> </w:t>
      </w:r>
    </w:p>
    <w:p w:rsidR="000E123E" w:rsidRDefault="00000000">
      <w:pPr>
        <w:pStyle w:val="SCC71References"/>
        <w:rPr>
          <w:lang w:val="en-GB"/>
        </w:rPr>
      </w:pPr>
      <w:proofErr w:type="spellStart"/>
      <w:r>
        <w:rPr>
          <w:shd w:val="clear" w:color="auto" w:fill="FFFFFF"/>
        </w:rPr>
        <w:t>Auboin</w:t>
      </w:r>
      <w:proofErr w:type="spellEnd"/>
      <w:r>
        <w:rPr>
          <w:shd w:val="clear" w:color="auto" w:fill="FFFFFF"/>
        </w:rPr>
        <w:t>, M., &amp; Ruta, M. (2013). The relationship between exchange rates and international trade: a literature review.</w:t>
      </w:r>
      <w:r>
        <w:rPr>
          <w:rStyle w:val="apple-converted-space"/>
          <w:shd w:val="clear" w:color="auto" w:fill="FFFFFF"/>
        </w:rPr>
        <w:t> </w:t>
      </w:r>
      <w:r>
        <w:rPr>
          <w:i/>
          <w:iCs/>
        </w:rPr>
        <w:t>World Trade Review</w:t>
      </w:r>
      <w:r>
        <w:rPr>
          <w:shd w:val="clear" w:color="auto" w:fill="FFFFFF"/>
        </w:rPr>
        <w:t>,</w:t>
      </w:r>
      <w:r>
        <w:rPr>
          <w:rStyle w:val="apple-converted-space"/>
          <w:shd w:val="clear" w:color="auto" w:fill="FFFFFF"/>
        </w:rPr>
        <w:t> </w:t>
      </w:r>
      <w:r>
        <w:rPr>
          <w:i/>
          <w:iCs/>
        </w:rPr>
        <w:t>12</w:t>
      </w:r>
      <w:r>
        <w:rPr>
          <w:shd w:val="clear" w:color="auto" w:fill="FFFFFF"/>
        </w:rPr>
        <w:t xml:space="preserve">(3), 577-605. </w:t>
      </w:r>
      <w:hyperlink r:id="rId13" w:history="1">
        <w:r w:rsidR="000E123E">
          <w:rPr>
            <w:rStyle w:val="Hyperlink"/>
            <w:shd w:val="clear" w:color="auto" w:fill="FFFFFF"/>
          </w:rPr>
          <w:t>https://doi.org/10.1017/S1474745613000025</w:t>
        </w:r>
      </w:hyperlink>
      <w:r>
        <w:rPr>
          <w:shd w:val="clear" w:color="auto" w:fill="FFFFFF"/>
        </w:rPr>
        <w:t xml:space="preserve"> </w:t>
      </w:r>
    </w:p>
    <w:p w:rsidR="000E123E" w:rsidRDefault="00000000">
      <w:pPr>
        <w:pStyle w:val="SCC71References"/>
        <w:rPr>
          <w:shd w:val="clear" w:color="auto" w:fill="FFFFFF"/>
          <w:lang w:val="en-GB"/>
        </w:rPr>
      </w:pPr>
      <w:r>
        <w:rPr>
          <w:shd w:val="clear" w:color="auto" w:fill="FFFFFF"/>
        </w:rPr>
        <w:t>Benguria, F., &amp; Taylor, A. M. (2020). After the panic: Are financial crises demand or supply shocks? Evidence from international trade.</w:t>
      </w:r>
      <w:r>
        <w:rPr>
          <w:rStyle w:val="apple-converted-space"/>
          <w:shd w:val="clear" w:color="auto" w:fill="FFFFFF"/>
        </w:rPr>
        <w:t> </w:t>
      </w:r>
      <w:r>
        <w:rPr>
          <w:i/>
          <w:iCs/>
        </w:rPr>
        <w:t>American Economic Review: Insights</w:t>
      </w:r>
      <w:r>
        <w:rPr>
          <w:shd w:val="clear" w:color="auto" w:fill="FFFFFF"/>
        </w:rPr>
        <w:t>,</w:t>
      </w:r>
      <w:r>
        <w:rPr>
          <w:rStyle w:val="apple-converted-space"/>
          <w:shd w:val="clear" w:color="auto" w:fill="FFFFFF"/>
        </w:rPr>
        <w:t> </w:t>
      </w:r>
      <w:r>
        <w:rPr>
          <w:i/>
          <w:iCs/>
        </w:rPr>
        <w:t>2</w:t>
      </w:r>
      <w:r>
        <w:rPr>
          <w:shd w:val="clear" w:color="auto" w:fill="FFFFFF"/>
        </w:rPr>
        <w:t>(4), 509-526. DOI: 10.1257/aeri.20190533</w:t>
      </w:r>
    </w:p>
    <w:p w:rsidR="000E123E" w:rsidRDefault="00000000">
      <w:pPr>
        <w:pStyle w:val="SCC71References"/>
        <w:rPr>
          <w:shd w:val="clear" w:color="auto" w:fill="FFFFFF"/>
          <w:lang w:val="en-GB"/>
        </w:rPr>
      </w:pPr>
      <w:r>
        <w:rPr>
          <w:shd w:val="clear" w:color="auto" w:fill="FFFFFF"/>
        </w:rPr>
        <w:t>Bloomfield, J., &amp; Fisher, M. J. (2019). Quantitative research design. </w:t>
      </w:r>
      <w:r>
        <w:rPr>
          <w:i/>
          <w:iCs/>
          <w:shd w:val="clear" w:color="auto" w:fill="FFFFFF"/>
        </w:rPr>
        <w:t>Journal of the Australasian Rehabilitation Nurses Association</w:t>
      </w:r>
      <w:r>
        <w:rPr>
          <w:shd w:val="clear" w:color="auto" w:fill="FFFFFF"/>
        </w:rPr>
        <w:t>, </w:t>
      </w:r>
      <w:r>
        <w:rPr>
          <w:i/>
          <w:iCs/>
          <w:shd w:val="clear" w:color="auto" w:fill="FFFFFF"/>
        </w:rPr>
        <w:t>22</w:t>
      </w:r>
      <w:r>
        <w:rPr>
          <w:shd w:val="clear" w:color="auto" w:fill="FFFFFF"/>
        </w:rPr>
        <w:t>(2), 27-30. DOI: 10.33235/jarna.22.2.27-30</w:t>
      </w:r>
    </w:p>
    <w:p w:rsidR="000E123E" w:rsidRDefault="00000000">
      <w:pPr>
        <w:pStyle w:val="SCC71References"/>
        <w:rPr>
          <w:shd w:val="clear" w:color="auto" w:fill="FFFFFF"/>
          <w:lang w:val="en-GB"/>
        </w:rPr>
      </w:pPr>
      <w:r>
        <w:rPr>
          <w:shd w:val="clear" w:color="auto" w:fill="FFFFFF"/>
        </w:rPr>
        <w:t>Carter, C. A., Zhong, F., &amp; Zhu, J. (2012). Advances in Chinese agriculture and its global implications. </w:t>
      </w:r>
      <w:r>
        <w:rPr>
          <w:i/>
          <w:iCs/>
          <w:shd w:val="clear" w:color="auto" w:fill="FFFFFF"/>
        </w:rPr>
        <w:t>Applied Economic Perspectives and Policy</w:t>
      </w:r>
      <w:r>
        <w:rPr>
          <w:shd w:val="clear" w:color="auto" w:fill="FFFFFF"/>
        </w:rPr>
        <w:t>, </w:t>
      </w:r>
      <w:r>
        <w:rPr>
          <w:i/>
          <w:iCs/>
          <w:shd w:val="clear" w:color="auto" w:fill="FFFFFF"/>
        </w:rPr>
        <w:t>34</w:t>
      </w:r>
      <w:r>
        <w:rPr>
          <w:shd w:val="clear" w:color="auto" w:fill="FFFFFF"/>
        </w:rPr>
        <w:t xml:space="preserve">(1), 1-36. </w:t>
      </w:r>
      <w:hyperlink r:id="rId14" w:history="1">
        <w:r w:rsidR="000E123E">
          <w:rPr>
            <w:rStyle w:val="Hyperlink"/>
            <w:shd w:val="clear" w:color="auto" w:fill="FFFFFF"/>
          </w:rPr>
          <w:t>https://doi.org/10.1093/aepp/ppr047</w:t>
        </w:r>
      </w:hyperlink>
      <w:r>
        <w:rPr>
          <w:shd w:val="clear" w:color="auto" w:fill="FFFFFF"/>
        </w:rPr>
        <w:t xml:space="preserve"> </w:t>
      </w:r>
    </w:p>
    <w:p w:rsidR="000E123E" w:rsidRDefault="00000000">
      <w:pPr>
        <w:pStyle w:val="SCC71References"/>
        <w:rPr>
          <w:shd w:val="clear" w:color="auto" w:fill="FFFFFF"/>
          <w:lang w:val="en-GB"/>
        </w:rPr>
      </w:pPr>
      <w:r>
        <w:rPr>
          <w:shd w:val="clear" w:color="auto" w:fill="FFFFFF"/>
        </w:rPr>
        <w:lastRenderedPageBreak/>
        <w:t>Chen, L. (2011). The effect of China's RMB exchange rate movement on its agricultural export: A case study of export to Japan.</w:t>
      </w:r>
      <w:r>
        <w:rPr>
          <w:rStyle w:val="apple-converted-space"/>
          <w:shd w:val="clear" w:color="auto" w:fill="FFFFFF"/>
        </w:rPr>
        <w:t> </w:t>
      </w:r>
      <w:r>
        <w:rPr>
          <w:i/>
          <w:iCs/>
        </w:rPr>
        <w:t>China Agricultural Economic Review</w:t>
      </w:r>
      <w:r>
        <w:rPr>
          <w:shd w:val="clear" w:color="auto" w:fill="FFFFFF"/>
        </w:rPr>
        <w:t>,</w:t>
      </w:r>
      <w:r>
        <w:rPr>
          <w:rStyle w:val="apple-converted-space"/>
          <w:shd w:val="clear" w:color="auto" w:fill="FFFFFF"/>
        </w:rPr>
        <w:t> </w:t>
      </w:r>
      <w:r>
        <w:rPr>
          <w:i/>
          <w:iCs/>
        </w:rPr>
        <w:t>3</w:t>
      </w:r>
      <w:r>
        <w:rPr>
          <w:shd w:val="clear" w:color="auto" w:fill="FFFFFF"/>
        </w:rPr>
        <w:t xml:space="preserve">(1), 26-41. </w:t>
      </w:r>
      <w:hyperlink r:id="rId15" w:history="1">
        <w:r w:rsidR="000E123E">
          <w:rPr>
            <w:rStyle w:val="Hyperlink"/>
            <w:shd w:val="clear" w:color="auto" w:fill="FFFFFF"/>
          </w:rPr>
          <w:t>https://doi.org/10.1108/17561371111103525</w:t>
        </w:r>
      </w:hyperlink>
      <w:r>
        <w:rPr>
          <w:shd w:val="clear" w:color="auto" w:fill="FFFFFF"/>
        </w:rPr>
        <w:t xml:space="preserve"> </w:t>
      </w:r>
    </w:p>
    <w:p w:rsidR="00107EE3" w:rsidRDefault="00107EE3">
      <w:pPr>
        <w:pStyle w:val="SCC71References"/>
        <w:rPr>
          <w:shd w:val="clear" w:color="auto" w:fill="FFFFFF"/>
        </w:rPr>
      </w:pPr>
      <w:proofErr w:type="spellStart"/>
      <w:r w:rsidRPr="00107EE3">
        <w:rPr>
          <w:shd w:val="clear" w:color="auto" w:fill="FFFFFF"/>
          <w:lang w:val="en-IN"/>
        </w:rPr>
        <w:t>Chortane</w:t>
      </w:r>
      <w:proofErr w:type="spellEnd"/>
      <w:r w:rsidRPr="00107EE3">
        <w:rPr>
          <w:shd w:val="clear" w:color="auto" w:fill="FFFFFF"/>
          <w:lang w:val="en-IN"/>
        </w:rPr>
        <w:t>, S. G., &amp; Pandey, D. K. (2022). Does the Russia-Ukraine war lead to currency asymmetries? A US dollar tale. </w:t>
      </w:r>
      <w:r w:rsidRPr="00107EE3">
        <w:rPr>
          <w:i/>
          <w:iCs/>
          <w:shd w:val="clear" w:color="auto" w:fill="FFFFFF"/>
          <w:lang w:val="en-IN"/>
        </w:rPr>
        <w:t>The Journal of Economic Asymmetries</w:t>
      </w:r>
      <w:r w:rsidRPr="00107EE3">
        <w:rPr>
          <w:shd w:val="clear" w:color="auto" w:fill="FFFFFF"/>
          <w:lang w:val="en-IN"/>
        </w:rPr>
        <w:t>, </w:t>
      </w:r>
      <w:r w:rsidRPr="00107EE3">
        <w:rPr>
          <w:i/>
          <w:iCs/>
          <w:shd w:val="clear" w:color="auto" w:fill="FFFFFF"/>
          <w:lang w:val="en-IN"/>
        </w:rPr>
        <w:t>26</w:t>
      </w:r>
      <w:r>
        <w:rPr>
          <w:shd w:val="clear" w:color="auto" w:fill="FFFFFF"/>
          <w:lang w:val="en-IN"/>
        </w:rPr>
        <w:t xml:space="preserve">. </w:t>
      </w:r>
      <w:hyperlink r:id="rId16" w:history="1">
        <w:r w:rsidRPr="00FC50C7">
          <w:rPr>
            <w:rStyle w:val="Hyperlink"/>
            <w:shd w:val="clear" w:color="auto" w:fill="FFFFFF"/>
            <w:lang w:val="en-IN"/>
          </w:rPr>
          <w:t>https://doi.org/10.1016/j.jeca.2022.e00265</w:t>
        </w:r>
      </w:hyperlink>
      <w:r>
        <w:rPr>
          <w:shd w:val="clear" w:color="auto" w:fill="FFFFFF"/>
          <w:lang w:val="en-IN"/>
        </w:rPr>
        <w:t xml:space="preserve"> </w:t>
      </w:r>
    </w:p>
    <w:p w:rsidR="000E123E" w:rsidRDefault="00000000">
      <w:pPr>
        <w:pStyle w:val="SCC71References"/>
        <w:rPr>
          <w:shd w:val="clear" w:color="auto" w:fill="FFFFFF"/>
          <w:lang w:val="en-GB"/>
        </w:rPr>
      </w:pPr>
      <w:r>
        <w:rPr>
          <w:shd w:val="clear" w:color="auto" w:fill="FFFFFF"/>
        </w:rPr>
        <w:t>Dada, J. T. (2021). The asymmetric effect of exchange rate volatility on trade in sub-Saharan African countries.</w:t>
      </w:r>
      <w:r>
        <w:rPr>
          <w:rStyle w:val="apple-converted-space"/>
          <w:shd w:val="clear" w:color="auto" w:fill="FFFFFF"/>
        </w:rPr>
        <w:t> </w:t>
      </w:r>
      <w:r>
        <w:rPr>
          <w:i/>
          <w:iCs/>
        </w:rPr>
        <w:t>Journal of Economic and Administrative Sciences</w:t>
      </w:r>
      <w:r>
        <w:rPr>
          <w:shd w:val="clear" w:color="auto" w:fill="FFFFFF"/>
        </w:rPr>
        <w:t>,</w:t>
      </w:r>
      <w:r>
        <w:rPr>
          <w:rStyle w:val="apple-converted-space"/>
          <w:shd w:val="clear" w:color="auto" w:fill="FFFFFF"/>
        </w:rPr>
        <w:t> </w:t>
      </w:r>
      <w:r>
        <w:rPr>
          <w:i/>
          <w:iCs/>
        </w:rPr>
        <w:t>37</w:t>
      </w:r>
      <w:r>
        <w:rPr>
          <w:shd w:val="clear" w:color="auto" w:fill="FFFFFF"/>
        </w:rPr>
        <w:t xml:space="preserve">(2), 149-162. </w:t>
      </w:r>
      <w:hyperlink r:id="rId17" w:history="1">
        <w:r w:rsidR="000E123E">
          <w:rPr>
            <w:rStyle w:val="Hyperlink"/>
            <w:shd w:val="clear" w:color="auto" w:fill="FFFFFF"/>
          </w:rPr>
          <w:t>https://doi.org/10.1108/JEAS-09-2019-0101</w:t>
        </w:r>
      </w:hyperlink>
      <w:r>
        <w:rPr>
          <w:shd w:val="clear" w:color="auto" w:fill="FFFFFF"/>
        </w:rPr>
        <w:t xml:space="preserve"> </w:t>
      </w:r>
    </w:p>
    <w:p w:rsidR="000E123E" w:rsidRDefault="00000000">
      <w:pPr>
        <w:pStyle w:val="SCC71References"/>
        <w:rPr>
          <w:shd w:val="clear" w:color="auto" w:fill="FFFFFF"/>
          <w:lang w:val="en-GB"/>
        </w:rPr>
      </w:pPr>
      <w:r>
        <w:rPr>
          <w:shd w:val="clear" w:color="auto" w:fill="FFFFFF"/>
        </w:rPr>
        <w:t>Demir, F., &amp; Razmi, A. (2022). The real exchange rate and development theory, evidence, issues and challenges.</w:t>
      </w:r>
      <w:r>
        <w:rPr>
          <w:rStyle w:val="apple-converted-space"/>
          <w:shd w:val="clear" w:color="auto" w:fill="FFFFFF"/>
        </w:rPr>
        <w:t> </w:t>
      </w:r>
      <w:r>
        <w:rPr>
          <w:i/>
          <w:iCs/>
        </w:rPr>
        <w:t>Journal of Economic Surveys</w:t>
      </w:r>
      <w:r>
        <w:rPr>
          <w:shd w:val="clear" w:color="auto" w:fill="FFFFFF"/>
        </w:rPr>
        <w:t>,</w:t>
      </w:r>
      <w:r>
        <w:rPr>
          <w:rStyle w:val="apple-converted-space"/>
          <w:shd w:val="clear" w:color="auto" w:fill="FFFFFF"/>
        </w:rPr>
        <w:t> </w:t>
      </w:r>
      <w:r>
        <w:rPr>
          <w:i/>
          <w:iCs/>
        </w:rPr>
        <w:t>36</w:t>
      </w:r>
      <w:r>
        <w:rPr>
          <w:shd w:val="clear" w:color="auto" w:fill="FFFFFF"/>
        </w:rPr>
        <w:t xml:space="preserve">(2), 386-428. </w:t>
      </w:r>
      <w:hyperlink r:id="rId18" w:history="1">
        <w:r w:rsidR="000E123E">
          <w:rPr>
            <w:rStyle w:val="Hyperlink"/>
            <w:shd w:val="clear" w:color="auto" w:fill="FFFFFF"/>
          </w:rPr>
          <w:t>https://doi.org/10.1111/joes.12418</w:t>
        </w:r>
      </w:hyperlink>
      <w:r>
        <w:rPr>
          <w:shd w:val="clear" w:color="auto" w:fill="FFFFFF"/>
        </w:rPr>
        <w:t xml:space="preserve"> </w:t>
      </w:r>
    </w:p>
    <w:p w:rsidR="000E123E" w:rsidRDefault="00000000">
      <w:pPr>
        <w:pStyle w:val="SCC71References"/>
        <w:rPr>
          <w:shd w:val="clear" w:color="auto" w:fill="FFFFFF"/>
        </w:rPr>
      </w:pPr>
      <w:r>
        <w:rPr>
          <w:shd w:val="clear" w:color="auto" w:fill="FFFFFF"/>
        </w:rPr>
        <w:t>Erten, B., &amp; Leight, J. (2021). Exporting out of agriculture: The impact of WTO accession on structural transformation in China. </w:t>
      </w:r>
      <w:r>
        <w:rPr>
          <w:i/>
          <w:iCs/>
          <w:shd w:val="clear" w:color="auto" w:fill="FFFFFF"/>
        </w:rPr>
        <w:t>Review of Economics and Statistics</w:t>
      </w:r>
      <w:r>
        <w:rPr>
          <w:shd w:val="clear" w:color="auto" w:fill="FFFFFF"/>
        </w:rPr>
        <w:t>, </w:t>
      </w:r>
      <w:r>
        <w:rPr>
          <w:i/>
          <w:iCs/>
          <w:shd w:val="clear" w:color="auto" w:fill="FFFFFF"/>
        </w:rPr>
        <w:t>103</w:t>
      </w:r>
      <w:r>
        <w:rPr>
          <w:shd w:val="clear" w:color="auto" w:fill="FFFFFF"/>
        </w:rPr>
        <w:t>(2), 364-380.</w:t>
      </w:r>
    </w:p>
    <w:p w:rsidR="000E123E" w:rsidRDefault="00000000">
      <w:pPr>
        <w:pStyle w:val="SCC71References"/>
        <w:rPr>
          <w:shd w:val="clear" w:color="auto" w:fill="FFFFFF"/>
          <w:lang w:val="en-GB"/>
        </w:rPr>
      </w:pPr>
      <w:r>
        <w:rPr>
          <w:shd w:val="clear" w:color="auto" w:fill="FFFFFF"/>
        </w:rPr>
        <w:t xml:space="preserve">FRED. (2025). </w:t>
      </w:r>
      <w:r>
        <w:rPr>
          <w:i/>
          <w:iCs/>
          <w:shd w:val="clear" w:color="auto" w:fill="FFFFFF"/>
        </w:rPr>
        <w:t>Chinese Yuan Renminbi to U.S. Dollar Spot Exchange Rate. [Data set].</w:t>
      </w:r>
      <w:r>
        <w:rPr>
          <w:shd w:val="clear" w:color="auto" w:fill="FFFFFF"/>
        </w:rPr>
        <w:t xml:space="preserve"> Federal Reserve of St. Louis. </w:t>
      </w:r>
      <w:hyperlink r:id="rId19" w:history="1">
        <w:r w:rsidR="000E123E">
          <w:rPr>
            <w:rStyle w:val="Hyperlink"/>
            <w:shd w:val="clear" w:color="auto" w:fill="FFFFFF"/>
          </w:rPr>
          <w:t>https://fred.stlouisfed.org/series/EXCHUS</w:t>
        </w:r>
      </w:hyperlink>
      <w:r>
        <w:rPr>
          <w:shd w:val="clear" w:color="auto" w:fill="FFFFFF"/>
        </w:rPr>
        <w:t xml:space="preserve"> </w:t>
      </w:r>
    </w:p>
    <w:p w:rsidR="000E123E" w:rsidRDefault="00000000">
      <w:pPr>
        <w:pStyle w:val="SCC71References"/>
        <w:rPr>
          <w:shd w:val="clear" w:color="auto" w:fill="FFFFFF"/>
        </w:rPr>
      </w:pPr>
      <w:r>
        <w:rPr>
          <w:shd w:val="clear" w:color="auto" w:fill="FFFFFF"/>
          <w:lang w:val="en-IN"/>
        </w:rPr>
        <w:t>Huang, X. (2017). Exchange rate movements and export market dynamics: evidence from China. </w:t>
      </w:r>
      <w:r>
        <w:rPr>
          <w:i/>
          <w:iCs/>
          <w:shd w:val="clear" w:color="auto" w:fill="FFFFFF"/>
          <w:lang w:val="en-IN"/>
        </w:rPr>
        <w:t>Economics</w:t>
      </w:r>
      <w:r>
        <w:rPr>
          <w:shd w:val="clear" w:color="auto" w:fill="FFFFFF"/>
          <w:lang w:val="en-IN"/>
        </w:rPr>
        <w:t>, </w:t>
      </w:r>
      <w:r>
        <w:rPr>
          <w:i/>
          <w:iCs/>
          <w:shd w:val="clear" w:color="auto" w:fill="FFFFFF"/>
          <w:lang w:val="en-IN"/>
        </w:rPr>
        <w:t>11</w:t>
      </w:r>
      <w:r>
        <w:rPr>
          <w:shd w:val="clear" w:color="auto" w:fill="FFFFFF"/>
          <w:lang w:val="en-IN"/>
        </w:rPr>
        <w:t>(1).</w:t>
      </w:r>
    </w:p>
    <w:p w:rsidR="000E123E" w:rsidRDefault="00000000">
      <w:pPr>
        <w:pStyle w:val="SCC71References"/>
        <w:rPr>
          <w:shd w:val="clear" w:color="auto" w:fill="FFFFFF"/>
          <w:lang w:val="en-GB"/>
        </w:rPr>
      </w:pPr>
      <w:r>
        <w:rPr>
          <w:shd w:val="clear" w:color="auto" w:fill="FFFFFF"/>
        </w:rPr>
        <w:t>Kang, J. W., &amp; Dagli, S. (2018). International trade and exchange rates.</w:t>
      </w:r>
      <w:r>
        <w:rPr>
          <w:rStyle w:val="apple-converted-space"/>
          <w:shd w:val="clear" w:color="auto" w:fill="FFFFFF"/>
        </w:rPr>
        <w:t> </w:t>
      </w:r>
      <w:r>
        <w:rPr>
          <w:i/>
          <w:iCs/>
        </w:rPr>
        <w:t>Journal of Applied Economics</w:t>
      </w:r>
      <w:r>
        <w:rPr>
          <w:shd w:val="clear" w:color="auto" w:fill="FFFFFF"/>
        </w:rPr>
        <w:t>,</w:t>
      </w:r>
      <w:r>
        <w:rPr>
          <w:rStyle w:val="apple-converted-space"/>
          <w:shd w:val="clear" w:color="auto" w:fill="FFFFFF"/>
        </w:rPr>
        <w:t> </w:t>
      </w:r>
      <w:r>
        <w:rPr>
          <w:i/>
          <w:iCs/>
        </w:rPr>
        <w:t>21</w:t>
      </w:r>
      <w:r>
        <w:rPr>
          <w:shd w:val="clear" w:color="auto" w:fill="FFFFFF"/>
        </w:rPr>
        <w:t xml:space="preserve">(1), 84-105. </w:t>
      </w:r>
      <w:hyperlink r:id="rId20" w:history="1">
        <w:r w:rsidR="000E123E">
          <w:rPr>
            <w:rStyle w:val="Hyperlink"/>
            <w:shd w:val="clear" w:color="auto" w:fill="FFFFFF"/>
          </w:rPr>
          <w:t>https://doi.org/10.1080/15140326.2018.1526878</w:t>
        </w:r>
      </w:hyperlink>
      <w:r>
        <w:rPr>
          <w:shd w:val="clear" w:color="auto" w:fill="FFFFFF"/>
        </w:rPr>
        <w:t xml:space="preserve"> </w:t>
      </w:r>
    </w:p>
    <w:p w:rsidR="000E123E" w:rsidRDefault="00000000">
      <w:pPr>
        <w:pStyle w:val="SCC71References"/>
        <w:rPr>
          <w:shd w:val="clear" w:color="auto" w:fill="FFFFFF"/>
          <w:lang w:val="en-GB"/>
        </w:rPr>
      </w:pPr>
      <w:r>
        <w:rPr>
          <w:shd w:val="clear" w:color="auto" w:fill="FFFFFF"/>
        </w:rPr>
        <w:t>Lal, M., Kumar, S., Pandey, D. K., Rai, V. K., &amp; Lim, W. M. (2023). Exchange rate volatility and international trade.</w:t>
      </w:r>
      <w:r>
        <w:rPr>
          <w:rStyle w:val="apple-converted-space"/>
          <w:shd w:val="clear" w:color="auto" w:fill="FFFFFF"/>
        </w:rPr>
        <w:t> </w:t>
      </w:r>
      <w:r>
        <w:rPr>
          <w:i/>
          <w:iCs/>
        </w:rPr>
        <w:t>Journal of Business Research</w:t>
      </w:r>
      <w:r>
        <w:rPr>
          <w:shd w:val="clear" w:color="auto" w:fill="FFFFFF"/>
        </w:rPr>
        <w:t>,</w:t>
      </w:r>
      <w:r>
        <w:rPr>
          <w:rStyle w:val="apple-converted-space"/>
          <w:shd w:val="clear" w:color="auto" w:fill="FFFFFF"/>
        </w:rPr>
        <w:t> </w:t>
      </w:r>
      <w:r>
        <w:rPr>
          <w:i/>
          <w:iCs/>
        </w:rPr>
        <w:t>167</w:t>
      </w:r>
      <w:r>
        <w:rPr>
          <w:shd w:val="clear" w:color="auto" w:fill="FFFFFF"/>
        </w:rPr>
        <w:t xml:space="preserve">, 114156. </w:t>
      </w:r>
      <w:hyperlink r:id="rId21" w:history="1">
        <w:r w:rsidR="000E123E">
          <w:rPr>
            <w:rStyle w:val="Hyperlink"/>
            <w:shd w:val="clear" w:color="auto" w:fill="FFFFFF"/>
          </w:rPr>
          <w:t>https://doi.org/10.1016/j.jbusres.2023.114156</w:t>
        </w:r>
      </w:hyperlink>
      <w:r>
        <w:rPr>
          <w:shd w:val="clear" w:color="auto" w:fill="FFFFFF"/>
        </w:rPr>
        <w:t xml:space="preserve"> </w:t>
      </w:r>
    </w:p>
    <w:p w:rsidR="000E123E" w:rsidRDefault="00000000">
      <w:pPr>
        <w:pStyle w:val="SCC71References"/>
        <w:rPr>
          <w:shd w:val="clear" w:color="auto" w:fill="FFFFFF"/>
        </w:rPr>
      </w:pPr>
      <w:r>
        <w:rPr>
          <w:shd w:val="clear" w:color="auto" w:fill="FFFFFF"/>
        </w:rPr>
        <w:t>Li, Y., &amp; Umair, M. (2023). The protective nature of gold during times of oil price volatility: an analysis of the COVID-19 pandemic. </w:t>
      </w:r>
      <w:r>
        <w:rPr>
          <w:i/>
          <w:iCs/>
          <w:shd w:val="clear" w:color="auto" w:fill="FFFFFF"/>
        </w:rPr>
        <w:t>The Extractive Industries and Society</w:t>
      </w:r>
      <w:r>
        <w:rPr>
          <w:shd w:val="clear" w:color="auto" w:fill="FFFFFF"/>
        </w:rPr>
        <w:t>, </w:t>
      </w:r>
      <w:r>
        <w:rPr>
          <w:i/>
          <w:iCs/>
          <w:shd w:val="clear" w:color="auto" w:fill="FFFFFF"/>
        </w:rPr>
        <w:t>15</w:t>
      </w:r>
      <w:r>
        <w:rPr>
          <w:shd w:val="clear" w:color="auto" w:fill="FFFFFF"/>
        </w:rPr>
        <w:t>. https://doi.org/10.1016/j.exis.2023.101284</w:t>
      </w:r>
    </w:p>
    <w:p w:rsidR="000E123E" w:rsidRDefault="00000000">
      <w:pPr>
        <w:pStyle w:val="SCC71References"/>
        <w:rPr>
          <w:shd w:val="clear" w:color="auto" w:fill="FFFFFF"/>
        </w:rPr>
      </w:pPr>
      <w:r>
        <w:rPr>
          <w:shd w:val="clear" w:color="auto" w:fill="FFFFFF"/>
        </w:rPr>
        <w:t>Long, Y. (2021). Export competitiveness of agricultural products and agricultural sustainability in China. </w:t>
      </w:r>
      <w:r>
        <w:rPr>
          <w:i/>
          <w:iCs/>
          <w:shd w:val="clear" w:color="auto" w:fill="FFFFFF"/>
        </w:rPr>
        <w:t>Regional Sustainability</w:t>
      </w:r>
      <w:r>
        <w:rPr>
          <w:shd w:val="clear" w:color="auto" w:fill="FFFFFF"/>
        </w:rPr>
        <w:t>, </w:t>
      </w:r>
      <w:r>
        <w:rPr>
          <w:i/>
          <w:iCs/>
          <w:shd w:val="clear" w:color="auto" w:fill="FFFFFF"/>
        </w:rPr>
        <w:t>2</w:t>
      </w:r>
      <w:r>
        <w:rPr>
          <w:shd w:val="clear" w:color="auto" w:fill="FFFFFF"/>
        </w:rPr>
        <w:t xml:space="preserve">(3), 203-210. </w:t>
      </w:r>
      <w:hyperlink r:id="rId22" w:history="1">
        <w:r w:rsidR="000E123E">
          <w:rPr>
            <w:rStyle w:val="Hyperlink"/>
          </w:rPr>
          <w:t>https://doi.org/10.1016/j.regsus.2021.09.001</w:t>
        </w:r>
      </w:hyperlink>
      <w:r>
        <w:t xml:space="preserve"> </w:t>
      </w:r>
    </w:p>
    <w:p w:rsidR="000E123E" w:rsidRDefault="00000000">
      <w:pPr>
        <w:pStyle w:val="SCC71References"/>
        <w:rPr>
          <w:shd w:val="clear" w:color="auto" w:fill="FFFFFF"/>
        </w:rPr>
      </w:pPr>
      <w:r>
        <w:rPr>
          <w:shd w:val="clear" w:color="auto" w:fill="FFFFFF"/>
          <w:lang w:val="en-IN"/>
        </w:rPr>
        <w:t>Mao, R. (2019). Exchange rate effects on agricultural exports: A firm level investigation of China’s food industry. </w:t>
      </w:r>
      <w:r>
        <w:rPr>
          <w:i/>
          <w:iCs/>
          <w:shd w:val="clear" w:color="auto" w:fill="FFFFFF"/>
          <w:lang w:val="en-IN"/>
        </w:rPr>
        <w:t>China Agricultural Economic Review</w:t>
      </w:r>
      <w:r>
        <w:rPr>
          <w:shd w:val="clear" w:color="auto" w:fill="FFFFFF"/>
          <w:lang w:val="en-IN"/>
        </w:rPr>
        <w:t>, </w:t>
      </w:r>
      <w:r>
        <w:rPr>
          <w:i/>
          <w:iCs/>
          <w:shd w:val="clear" w:color="auto" w:fill="FFFFFF"/>
          <w:lang w:val="en-IN"/>
        </w:rPr>
        <w:t>11</w:t>
      </w:r>
      <w:r>
        <w:rPr>
          <w:shd w:val="clear" w:color="auto" w:fill="FFFFFF"/>
          <w:lang w:val="en-IN"/>
        </w:rPr>
        <w:t>(4), 600-621.</w:t>
      </w:r>
    </w:p>
    <w:p w:rsidR="000E123E" w:rsidRDefault="00000000">
      <w:pPr>
        <w:pStyle w:val="SCC71References"/>
        <w:rPr>
          <w:shd w:val="clear" w:color="auto" w:fill="FFFFFF"/>
        </w:rPr>
      </w:pPr>
      <w:proofErr w:type="spellStart"/>
      <w:r>
        <w:rPr>
          <w:shd w:val="clear" w:color="auto" w:fill="FFFFFF"/>
        </w:rPr>
        <w:t>Marisetty</w:t>
      </w:r>
      <w:proofErr w:type="spellEnd"/>
      <w:r>
        <w:rPr>
          <w:shd w:val="clear" w:color="auto" w:fill="FFFFFF"/>
        </w:rPr>
        <w:t xml:space="preserve">, N. (2024). Prediction of Popular Global Stock Indexes Volatility by Using ARCH/GARCH Models. </w:t>
      </w:r>
    </w:p>
    <w:p w:rsidR="000E123E" w:rsidRDefault="00000000">
      <w:pPr>
        <w:pStyle w:val="SCC71References"/>
        <w:rPr>
          <w:shd w:val="clear" w:color="auto" w:fill="FFFFFF"/>
          <w:lang w:val="en-GB"/>
        </w:rPr>
      </w:pPr>
      <w:r>
        <w:rPr>
          <w:shd w:val="clear" w:color="auto" w:fill="FFFFFF"/>
        </w:rPr>
        <w:t>Nguyen, D. D. (2022). Determinants of Vietnam's rice and coffee exports: using stochastic frontier gravity model.</w:t>
      </w:r>
      <w:r>
        <w:rPr>
          <w:rStyle w:val="apple-converted-space"/>
          <w:shd w:val="clear" w:color="auto" w:fill="FFFFFF"/>
        </w:rPr>
        <w:t> </w:t>
      </w:r>
      <w:r>
        <w:rPr>
          <w:i/>
          <w:iCs/>
        </w:rPr>
        <w:t>Journal of Asian Business and Economic Studies</w:t>
      </w:r>
      <w:r>
        <w:rPr>
          <w:shd w:val="clear" w:color="auto" w:fill="FFFFFF"/>
        </w:rPr>
        <w:t>,</w:t>
      </w:r>
      <w:r>
        <w:rPr>
          <w:rStyle w:val="apple-converted-space"/>
          <w:shd w:val="clear" w:color="auto" w:fill="FFFFFF"/>
        </w:rPr>
        <w:t> </w:t>
      </w:r>
      <w:r>
        <w:rPr>
          <w:i/>
          <w:iCs/>
        </w:rPr>
        <w:t>29</w:t>
      </w:r>
      <w:r>
        <w:rPr>
          <w:shd w:val="clear" w:color="auto" w:fill="FFFFFF"/>
        </w:rPr>
        <w:t xml:space="preserve">(1), 19-34. </w:t>
      </w:r>
      <w:hyperlink r:id="rId23" w:history="1">
        <w:r w:rsidR="000E123E">
          <w:rPr>
            <w:rStyle w:val="Hyperlink"/>
            <w:shd w:val="clear" w:color="auto" w:fill="FFFFFF"/>
          </w:rPr>
          <w:t>https://doi.org/10.1108/JABES-05-2020-0054</w:t>
        </w:r>
      </w:hyperlink>
      <w:r>
        <w:rPr>
          <w:shd w:val="clear" w:color="auto" w:fill="FFFFFF"/>
        </w:rPr>
        <w:t xml:space="preserve"> </w:t>
      </w:r>
    </w:p>
    <w:p w:rsidR="000E123E" w:rsidRDefault="00000000">
      <w:pPr>
        <w:pStyle w:val="SCC71References"/>
        <w:rPr>
          <w:shd w:val="clear" w:color="auto" w:fill="FFFFFF"/>
          <w:lang w:val="en-GB"/>
        </w:rPr>
      </w:pPr>
      <w:r>
        <w:rPr>
          <w:shd w:val="clear" w:color="auto" w:fill="FFFFFF"/>
        </w:rPr>
        <w:t>Noh, S., So, E. C., &amp; Zhu, C. (2025). Financial reporting and consumer behavior.</w:t>
      </w:r>
      <w:r>
        <w:rPr>
          <w:rStyle w:val="apple-converted-space"/>
          <w:shd w:val="clear" w:color="auto" w:fill="FFFFFF"/>
        </w:rPr>
        <w:t> </w:t>
      </w:r>
      <w:r>
        <w:rPr>
          <w:i/>
          <w:iCs/>
        </w:rPr>
        <w:t>The Accounting Review</w:t>
      </w:r>
      <w:r>
        <w:rPr>
          <w:shd w:val="clear" w:color="auto" w:fill="FFFFFF"/>
        </w:rPr>
        <w:t>,</w:t>
      </w:r>
      <w:r>
        <w:rPr>
          <w:rStyle w:val="apple-converted-space"/>
          <w:shd w:val="clear" w:color="auto" w:fill="FFFFFF"/>
        </w:rPr>
        <w:t> </w:t>
      </w:r>
      <w:r>
        <w:rPr>
          <w:i/>
          <w:iCs/>
        </w:rPr>
        <w:t>100</w:t>
      </w:r>
      <w:r>
        <w:rPr>
          <w:shd w:val="clear" w:color="auto" w:fill="FFFFFF"/>
        </w:rPr>
        <w:t xml:space="preserve">(1), 407-435. </w:t>
      </w:r>
      <w:hyperlink r:id="rId24" w:history="1">
        <w:r w:rsidR="000E123E">
          <w:rPr>
            <w:rStyle w:val="Hyperlink"/>
            <w:shd w:val="clear" w:color="auto" w:fill="FFFFFF"/>
          </w:rPr>
          <w:t>https://doi.org/10.2308/TAR-2023-0293</w:t>
        </w:r>
      </w:hyperlink>
      <w:r>
        <w:rPr>
          <w:shd w:val="clear" w:color="auto" w:fill="FFFFFF"/>
        </w:rPr>
        <w:t xml:space="preserve"> </w:t>
      </w:r>
    </w:p>
    <w:p w:rsidR="000E123E" w:rsidRDefault="00000000">
      <w:pPr>
        <w:pStyle w:val="SCC71References"/>
        <w:rPr>
          <w:shd w:val="clear" w:color="auto" w:fill="FFFFFF"/>
        </w:rPr>
      </w:pPr>
      <w:r>
        <w:rPr>
          <w:shd w:val="clear" w:color="auto" w:fill="FFFFFF"/>
        </w:rPr>
        <w:t>Saleem, H., Shabbir, M. S., &amp; Bilal khan, M. (2020). The short-run and long-run dynamics among FDI, trade openness and economic growth: using a bootstrap ARDL test for co-integration in selected South Asian countries. </w:t>
      </w:r>
      <w:r>
        <w:rPr>
          <w:i/>
          <w:iCs/>
          <w:shd w:val="clear" w:color="auto" w:fill="FFFFFF"/>
        </w:rPr>
        <w:t>South Asian Journal of Business Studies</w:t>
      </w:r>
      <w:r>
        <w:rPr>
          <w:shd w:val="clear" w:color="auto" w:fill="FFFFFF"/>
        </w:rPr>
        <w:t>, </w:t>
      </w:r>
      <w:r>
        <w:rPr>
          <w:i/>
          <w:iCs/>
          <w:shd w:val="clear" w:color="auto" w:fill="FFFFFF"/>
        </w:rPr>
        <w:t>9</w:t>
      </w:r>
      <w:r>
        <w:rPr>
          <w:shd w:val="clear" w:color="auto" w:fill="FFFFFF"/>
        </w:rPr>
        <w:t>(2), 279-295.</w:t>
      </w:r>
      <w:r>
        <w:t xml:space="preserve"> </w:t>
      </w:r>
      <w:hyperlink r:id="rId25" w:history="1">
        <w:r w:rsidR="000E123E">
          <w:rPr>
            <w:rStyle w:val="Hyperlink"/>
          </w:rPr>
          <w:t>https://doi.org/</w:t>
        </w:r>
        <w:r w:rsidR="000E123E">
          <w:rPr>
            <w:rStyle w:val="Hyperlink"/>
            <w:shd w:val="clear" w:color="auto" w:fill="FFFFFF"/>
          </w:rPr>
          <w:t>10.1108/SAJBS-07-2019-0124</w:t>
        </w:r>
      </w:hyperlink>
      <w:r>
        <w:rPr>
          <w:shd w:val="clear" w:color="auto" w:fill="FFFFFF"/>
        </w:rPr>
        <w:t xml:space="preserve"> </w:t>
      </w:r>
    </w:p>
    <w:p w:rsidR="000E123E" w:rsidRDefault="00000000">
      <w:pPr>
        <w:pStyle w:val="SCC71References"/>
        <w:rPr>
          <w:shd w:val="clear" w:color="auto" w:fill="FFFFFF"/>
          <w:lang w:val="en-GB"/>
        </w:rPr>
      </w:pPr>
      <w:r>
        <w:rPr>
          <w:shd w:val="clear" w:color="auto" w:fill="FFFFFF"/>
        </w:rPr>
        <w:t>Shuai, C., &amp; Wang, X. (2011). Comparative advantages and complementarity of Sino-US agricultural trade: An empirical analysis.</w:t>
      </w:r>
      <w:r>
        <w:rPr>
          <w:rStyle w:val="apple-converted-space"/>
          <w:shd w:val="clear" w:color="auto" w:fill="FFFFFF"/>
        </w:rPr>
        <w:t> </w:t>
      </w:r>
      <w:r>
        <w:rPr>
          <w:i/>
          <w:iCs/>
        </w:rPr>
        <w:t>Agricultural Economics</w:t>
      </w:r>
      <w:r>
        <w:rPr>
          <w:shd w:val="clear" w:color="auto" w:fill="FFFFFF"/>
        </w:rPr>
        <w:t>,</w:t>
      </w:r>
      <w:r>
        <w:rPr>
          <w:rStyle w:val="apple-converted-space"/>
          <w:shd w:val="clear" w:color="auto" w:fill="FFFFFF"/>
        </w:rPr>
        <w:t> </w:t>
      </w:r>
      <w:r>
        <w:rPr>
          <w:i/>
          <w:iCs/>
        </w:rPr>
        <w:t>57</w:t>
      </w:r>
      <w:r>
        <w:rPr>
          <w:shd w:val="clear" w:color="auto" w:fill="FFFFFF"/>
        </w:rPr>
        <w:t xml:space="preserve">(3), 118. DOI: 10.17221/46/2010-AGRICECON </w:t>
      </w:r>
    </w:p>
    <w:p w:rsidR="000E123E" w:rsidRDefault="00000000">
      <w:pPr>
        <w:pStyle w:val="SCC71References"/>
        <w:rPr>
          <w:shd w:val="clear" w:color="auto" w:fill="FFFFFF"/>
        </w:rPr>
      </w:pPr>
      <w:r>
        <w:rPr>
          <w:shd w:val="clear" w:color="auto" w:fill="FFFFFF"/>
          <w:lang w:val="en-IN"/>
        </w:rPr>
        <w:t>Şengül, S. (2023). Financial Crises in the 1990s in the Light of Financial Regulations. </w:t>
      </w:r>
      <w:r>
        <w:rPr>
          <w:i/>
          <w:iCs/>
          <w:shd w:val="clear" w:color="auto" w:fill="FFFFFF"/>
          <w:lang w:val="en-IN"/>
        </w:rPr>
        <w:t>JOEEP: Journal of Emerging Economies and Policy</w:t>
      </w:r>
      <w:r>
        <w:rPr>
          <w:shd w:val="clear" w:color="auto" w:fill="FFFFFF"/>
          <w:lang w:val="en-IN"/>
        </w:rPr>
        <w:t>, </w:t>
      </w:r>
      <w:r>
        <w:rPr>
          <w:i/>
          <w:iCs/>
          <w:shd w:val="clear" w:color="auto" w:fill="FFFFFF"/>
          <w:lang w:val="en-IN"/>
        </w:rPr>
        <w:t>8</w:t>
      </w:r>
      <w:r>
        <w:rPr>
          <w:shd w:val="clear" w:color="auto" w:fill="FFFFFF"/>
          <w:lang w:val="en-IN"/>
        </w:rPr>
        <w:t>(1), 434-449.</w:t>
      </w:r>
    </w:p>
    <w:p w:rsidR="000E123E" w:rsidRDefault="00000000">
      <w:pPr>
        <w:pStyle w:val="SCC71References"/>
        <w:rPr>
          <w:shd w:val="clear" w:color="auto" w:fill="FFFFFF"/>
          <w:lang w:val="en-GB"/>
        </w:rPr>
      </w:pPr>
      <w:r>
        <w:rPr>
          <w:shd w:val="clear" w:color="auto" w:fill="FFFFFF"/>
        </w:rPr>
        <w:t>Wang, Y., Xie, L., Zhang, Y., Wang, C., &amp; Yu, K. (2019). Does FDI promote or inhibit the high-quality development of agriculture in China? An agricultural GTFP perspective.</w:t>
      </w:r>
      <w:r>
        <w:rPr>
          <w:rStyle w:val="apple-converted-space"/>
          <w:shd w:val="clear" w:color="auto" w:fill="FFFFFF"/>
        </w:rPr>
        <w:t> </w:t>
      </w:r>
      <w:r>
        <w:rPr>
          <w:i/>
          <w:iCs/>
        </w:rPr>
        <w:t>Sustainability</w:t>
      </w:r>
      <w:r>
        <w:rPr>
          <w:shd w:val="clear" w:color="auto" w:fill="FFFFFF"/>
        </w:rPr>
        <w:t>,</w:t>
      </w:r>
      <w:r>
        <w:rPr>
          <w:rStyle w:val="apple-converted-space"/>
          <w:shd w:val="clear" w:color="auto" w:fill="FFFFFF"/>
        </w:rPr>
        <w:t> </w:t>
      </w:r>
      <w:r>
        <w:rPr>
          <w:i/>
          <w:iCs/>
        </w:rPr>
        <w:t>11</w:t>
      </w:r>
      <w:r>
        <w:rPr>
          <w:shd w:val="clear" w:color="auto" w:fill="FFFFFF"/>
        </w:rPr>
        <w:t xml:space="preserve">(17), 4620. </w:t>
      </w:r>
      <w:hyperlink r:id="rId26" w:history="1">
        <w:r w:rsidR="000E123E">
          <w:rPr>
            <w:rStyle w:val="Hyperlink"/>
            <w:shd w:val="clear" w:color="auto" w:fill="FFFFFF"/>
          </w:rPr>
          <w:t>https://doi.org/10.3390/su11174620</w:t>
        </w:r>
      </w:hyperlink>
      <w:r>
        <w:rPr>
          <w:shd w:val="clear" w:color="auto" w:fill="FFFFFF"/>
        </w:rPr>
        <w:t xml:space="preserve"> </w:t>
      </w:r>
    </w:p>
    <w:p w:rsidR="000E123E" w:rsidRDefault="00000000">
      <w:pPr>
        <w:pStyle w:val="SCC71References"/>
        <w:rPr>
          <w:shd w:val="clear" w:color="auto" w:fill="FFFFFF"/>
        </w:rPr>
      </w:pPr>
      <w:r>
        <w:rPr>
          <w:lang w:bidi="ar-SA"/>
        </w:rPr>
        <w:t xml:space="preserve">WITS. (2025). </w:t>
      </w:r>
      <w:r>
        <w:rPr>
          <w:i/>
          <w:iCs/>
          <w:lang w:bidi="ar-SA"/>
        </w:rPr>
        <w:t>China Agricultural Raw Materials Exports by country and region in US$ Thousand 2022</w:t>
      </w:r>
      <w:r>
        <w:rPr>
          <w:lang w:bidi="ar-SA"/>
        </w:rPr>
        <w:t xml:space="preserve">. World Integrated Trade Solution. </w:t>
      </w:r>
      <w:hyperlink r:id="rId27" w:history="1">
        <w:r w:rsidR="000E123E">
          <w:rPr>
            <w:rStyle w:val="Hyperlink"/>
            <w:lang w:bidi="ar-SA"/>
          </w:rPr>
          <w:t>https://wits.worldbank.org/CountryProfile/en/Country/CHN/Year/2022/TradeFlow/Export/Partner/all/Product/AgrRaw</w:t>
        </w:r>
      </w:hyperlink>
      <w:r>
        <w:rPr>
          <w:shd w:val="clear" w:color="auto" w:fill="FFFFFF"/>
        </w:rPr>
        <w:t xml:space="preserve"> </w:t>
      </w:r>
    </w:p>
    <w:p w:rsidR="000E123E" w:rsidRDefault="00000000">
      <w:pPr>
        <w:pStyle w:val="SCC71References"/>
        <w:rPr>
          <w:shd w:val="clear" w:color="auto" w:fill="FFFFFF"/>
        </w:rPr>
      </w:pPr>
      <w:r>
        <w:rPr>
          <w:shd w:val="clear" w:color="auto" w:fill="FFFFFF"/>
        </w:rPr>
        <w:t xml:space="preserve">World Bank. (2025). </w:t>
      </w:r>
      <w:r>
        <w:rPr>
          <w:i/>
          <w:iCs/>
          <w:shd w:val="clear" w:color="auto" w:fill="FFFFFF"/>
        </w:rPr>
        <w:t>World Development Indicators. [Data set].</w:t>
      </w:r>
      <w:r>
        <w:rPr>
          <w:shd w:val="clear" w:color="auto" w:fill="FFFFFF"/>
        </w:rPr>
        <w:t xml:space="preserve"> World Bank Group. </w:t>
      </w:r>
      <w:hyperlink r:id="rId28" w:history="1">
        <w:r w:rsidR="000E123E">
          <w:rPr>
            <w:rStyle w:val="Hyperlink"/>
            <w:shd w:val="clear" w:color="auto" w:fill="FFFFFF"/>
          </w:rPr>
          <w:t>https://databank.worldbank.org/source/world-development-indicators</w:t>
        </w:r>
      </w:hyperlink>
      <w:r>
        <w:rPr>
          <w:shd w:val="clear" w:color="auto" w:fill="FFFFFF"/>
        </w:rPr>
        <w:t xml:space="preserve"> </w:t>
      </w:r>
    </w:p>
    <w:p w:rsidR="000E123E" w:rsidRDefault="00000000">
      <w:pPr>
        <w:pStyle w:val="SCC71References"/>
        <w:rPr>
          <w:shd w:val="clear" w:color="auto" w:fill="FFFFFF"/>
          <w:lang w:val="en-GB"/>
        </w:rPr>
      </w:pPr>
      <w:r>
        <w:rPr>
          <w:shd w:val="clear" w:color="auto" w:fill="FFFFFF"/>
        </w:rPr>
        <w:t>Zhou, L., &amp; Tong, G. (2022). Structural evolution and sustainability of agricultural trade between China and countries along the “Belt and Road”. </w:t>
      </w:r>
      <w:r>
        <w:rPr>
          <w:i/>
          <w:iCs/>
          <w:shd w:val="clear" w:color="auto" w:fill="FFFFFF"/>
        </w:rPr>
        <w:t>Sustainability</w:t>
      </w:r>
      <w:r>
        <w:rPr>
          <w:shd w:val="clear" w:color="auto" w:fill="FFFFFF"/>
        </w:rPr>
        <w:t>, </w:t>
      </w:r>
      <w:r>
        <w:rPr>
          <w:i/>
          <w:iCs/>
          <w:shd w:val="clear" w:color="auto" w:fill="FFFFFF"/>
        </w:rPr>
        <w:t>14</w:t>
      </w:r>
      <w:r>
        <w:rPr>
          <w:shd w:val="clear" w:color="auto" w:fill="FFFFFF"/>
        </w:rPr>
        <w:t xml:space="preserve">(15), 9512. </w:t>
      </w:r>
      <w:hyperlink r:id="rId29" w:history="1">
        <w:r w:rsidR="000E123E">
          <w:rPr>
            <w:rStyle w:val="Hyperlink"/>
            <w:shd w:val="clear" w:color="auto" w:fill="FFFFFF"/>
          </w:rPr>
          <w:t>https://doi.org/10.3390/su14159512</w:t>
        </w:r>
      </w:hyperlink>
      <w:r>
        <w:rPr>
          <w:shd w:val="clear" w:color="auto" w:fill="FFFFFF"/>
        </w:rPr>
        <w:t xml:space="preserve"> </w:t>
      </w:r>
    </w:p>
    <w:p w:rsidR="000E123E" w:rsidRDefault="000E123E">
      <w:pPr>
        <w:pStyle w:val="SCC62BackMatter"/>
      </w:pPr>
    </w:p>
    <w:p w:rsidR="000E123E" w:rsidRDefault="00000000">
      <w:pPr>
        <w:pStyle w:val="SCCAppendix"/>
      </w:pPr>
      <w:r>
        <w:t>Appendix A Results of Estimation</w:t>
      </w:r>
    </w:p>
    <w:p w:rsidR="000E123E" w:rsidRDefault="00000000">
      <w:pPr>
        <w:pStyle w:val="SCCAppendix"/>
        <w:rPr>
          <w:b w:val="0"/>
          <w:bCs w:val="0"/>
        </w:rPr>
      </w:pPr>
      <w:r>
        <w:rPr>
          <w:b w:val="0"/>
          <w:bCs w:val="0"/>
        </w:rPr>
        <w:t xml:space="preserve">Table 6: ARDL Model for Export </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91"/>
        <w:gridCol w:w="1080"/>
        <w:gridCol w:w="1080"/>
        <w:gridCol w:w="1080"/>
        <w:gridCol w:w="1080"/>
        <w:gridCol w:w="1100"/>
        <w:gridCol w:w="1080"/>
      </w:tblGrid>
      <w:tr w:rsidR="000E123E">
        <w:trPr>
          <w:trHeight w:val="300"/>
        </w:trPr>
        <w:tc>
          <w:tcPr>
            <w:tcW w:w="1104" w:type="dxa"/>
            <w:shd w:val="clear" w:color="auto" w:fill="auto"/>
            <w:noWrap/>
          </w:tcPr>
          <w:p w:rsidR="000E123E" w:rsidRDefault="00000000">
            <w:pPr>
              <w:jc w:val="center"/>
              <w:rPr>
                <w:b/>
                <w:bCs/>
                <w:sz w:val="18"/>
                <w:szCs w:val="18"/>
              </w:rPr>
            </w:pPr>
            <w:r>
              <w:rPr>
                <w:b/>
                <w:bCs/>
                <w:sz w:val="18"/>
                <w:szCs w:val="18"/>
              </w:rPr>
              <w:t>Component</w:t>
            </w:r>
          </w:p>
        </w:tc>
        <w:tc>
          <w:tcPr>
            <w:tcW w:w="1491" w:type="dxa"/>
            <w:shd w:val="clear" w:color="auto" w:fill="auto"/>
            <w:noWrap/>
          </w:tcPr>
          <w:p w:rsidR="000E123E" w:rsidRDefault="00000000">
            <w:pPr>
              <w:jc w:val="center"/>
              <w:rPr>
                <w:b/>
                <w:bCs/>
                <w:sz w:val="18"/>
                <w:szCs w:val="18"/>
              </w:rPr>
            </w:pPr>
            <w:r>
              <w:rPr>
                <w:b/>
                <w:bCs/>
                <w:sz w:val="18"/>
                <w:szCs w:val="18"/>
              </w:rPr>
              <w:t>Variable</w:t>
            </w:r>
          </w:p>
        </w:tc>
        <w:tc>
          <w:tcPr>
            <w:tcW w:w="1080" w:type="dxa"/>
            <w:shd w:val="clear" w:color="auto" w:fill="auto"/>
            <w:noWrap/>
          </w:tcPr>
          <w:p w:rsidR="000E123E" w:rsidRDefault="00000000">
            <w:pPr>
              <w:jc w:val="center"/>
              <w:rPr>
                <w:b/>
                <w:bCs/>
                <w:sz w:val="18"/>
                <w:szCs w:val="18"/>
              </w:rPr>
            </w:pPr>
            <w:r>
              <w:rPr>
                <w:b/>
                <w:bCs/>
                <w:sz w:val="18"/>
                <w:szCs w:val="18"/>
              </w:rPr>
              <w:t>Coefficient</w:t>
            </w:r>
          </w:p>
        </w:tc>
        <w:tc>
          <w:tcPr>
            <w:tcW w:w="1080" w:type="dxa"/>
            <w:shd w:val="clear" w:color="auto" w:fill="auto"/>
            <w:noWrap/>
          </w:tcPr>
          <w:p w:rsidR="000E123E" w:rsidRDefault="00000000">
            <w:pPr>
              <w:jc w:val="center"/>
              <w:rPr>
                <w:b/>
                <w:bCs/>
                <w:sz w:val="18"/>
                <w:szCs w:val="18"/>
              </w:rPr>
            </w:pPr>
            <w:r>
              <w:rPr>
                <w:b/>
                <w:bCs/>
                <w:sz w:val="18"/>
                <w:szCs w:val="18"/>
              </w:rPr>
              <w:t>Std. Error</w:t>
            </w:r>
          </w:p>
        </w:tc>
        <w:tc>
          <w:tcPr>
            <w:tcW w:w="1080" w:type="dxa"/>
            <w:shd w:val="clear" w:color="auto" w:fill="auto"/>
            <w:noWrap/>
          </w:tcPr>
          <w:p w:rsidR="000E123E" w:rsidRDefault="00000000">
            <w:pPr>
              <w:jc w:val="center"/>
              <w:rPr>
                <w:b/>
                <w:bCs/>
                <w:sz w:val="18"/>
                <w:szCs w:val="18"/>
              </w:rPr>
            </w:pPr>
            <w:r>
              <w:rPr>
                <w:b/>
                <w:bCs/>
                <w:sz w:val="18"/>
                <w:szCs w:val="18"/>
              </w:rPr>
              <w:t>t-value</w:t>
            </w:r>
          </w:p>
        </w:tc>
        <w:tc>
          <w:tcPr>
            <w:tcW w:w="1080" w:type="dxa"/>
            <w:shd w:val="clear" w:color="auto" w:fill="auto"/>
            <w:noWrap/>
          </w:tcPr>
          <w:p w:rsidR="000E123E" w:rsidRDefault="00000000">
            <w:pPr>
              <w:jc w:val="center"/>
              <w:rPr>
                <w:b/>
                <w:bCs/>
                <w:sz w:val="18"/>
                <w:szCs w:val="18"/>
              </w:rPr>
            </w:pPr>
            <w:r>
              <w:rPr>
                <w:b/>
                <w:bCs/>
                <w:sz w:val="18"/>
                <w:szCs w:val="18"/>
              </w:rPr>
              <w:t>P&gt;|t|</w:t>
            </w:r>
          </w:p>
        </w:tc>
        <w:tc>
          <w:tcPr>
            <w:tcW w:w="1100" w:type="dxa"/>
            <w:shd w:val="clear" w:color="auto" w:fill="auto"/>
            <w:noWrap/>
          </w:tcPr>
          <w:p w:rsidR="000E123E" w:rsidRDefault="00000000">
            <w:pPr>
              <w:jc w:val="center"/>
              <w:rPr>
                <w:b/>
                <w:bCs/>
                <w:sz w:val="18"/>
                <w:szCs w:val="18"/>
              </w:rPr>
            </w:pPr>
            <w:r>
              <w:rPr>
                <w:b/>
                <w:bCs/>
                <w:sz w:val="18"/>
                <w:szCs w:val="18"/>
              </w:rPr>
              <w:t>95% CI Lower</w:t>
            </w:r>
          </w:p>
        </w:tc>
        <w:tc>
          <w:tcPr>
            <w:tcW w:w="1080" w:type="dxa"/>
            <w:shd w:val="clear" w:color="auto" w:fill="auto"/>
            <w:noWrap/>
          </w:tcPr>
          <w:p w:rsidR="000E123E" w:rsidRDefault="00000000">
            <w:pPr>
              <w:jc w:val="center"/>
              <w:rPr>
                <w:b/>
                <w:bCs/>
                <w:sz w:val="18"/>
                <w:szCs w:val="18"/>
              </w:rPr>
            </w:pPr>
            <w:r>
              <w:rPr>
                <w:b/>
                <w:bCs/>
                <w:sz w:val="18"/>
                <w:szCs w:val="18"/>
              </w:rPr>
              <w:t>95% CI Upper</w:t>
            </w:r>
          </w:p>
        </w:tc>
      </w:tr>
      <w:tr w:rsidR="000E123E">
        <w:trPr>
          <w:trHeight w:val="300"/>
        </w:trPr>
        <w:tc>
          <w:tcPr>
            <w:tcW w:w="1104" w:type="dxa"/>
            <w:shd w:val="clear" w:color="auto" w:fill="auto"/>
            <w:noWrap/>
            <w:vAlign w:val="bottom"/>
          </w:tcPr>
          <w:p w:rsidR="000E123E" w:rsidRDefault="00000000">
            <w:pPr>
              <w:rPr>
                <w:sz w:val="18"/>
                <w:szCs w:val="18"/>
              </w:rPr>
            </w:pPr>
            <w:r>
              <w:rPr>
                <w:sz w:val="18"/>
                <w:szCs w:val="18"/>
              </w:rPr>
              <w:t>Adjustment</w:t>
            </w:r>
          </w:p>
        </w:tc>
        <w:tc>
          <w:tcPr>
            <w:tcW w:w="1491" w:type="dxa"/>
            <w:shd w:val="clear" w:color="auto" w:fill="auto"/>
            <w:noWrap/>
            <w:vAlign w:val="bottom"/>
          </w:tcPr>
          <w:p w:rsidR="000E123E" w:rsidRDefault="00000000">
            <w:pPr>
              <w:rPr>
                <w:sz w:val="18"/>
                <w:szCs w:val="18"/>
              </w:rPr>
            </w:pPr>
            <w:proofErr w:type="spellStart"/>
            <w:r>
              <w:rPr>
                <w:sz w:val="18"/>
                <w:szCs w:val="18"/>
              </w:rPr>
              <w:t>Log_TotalEXP</w:t>
            </w:r>
            <w:proofErr w:type="spellEnd"/>
          </w:p>
        </w:tc>
        <w:tc>
          <w:tcPr>
            <w:tcW w:w="1080" w:type="dxa"/>
            <w:shd w:val="clear" w:color="auto" w:fill="auto"/>
            <w:noWrap/>
            <w:vAlign w:val="bottom"/>
          </w:tcPr>
          <w:p w:rsidR="000E123E" w:rsidRDefault="00000000">
            <w:pPr>
              <w:jc w:val="right"/>
              <w:rPr>
                <w:sz w:val="18"/>
                <w:szCs w:val="18"/>
              </w:rPr>
            </w:pPr>
            <w:r>
              <w:rPr>
                <w:sz w:val="18"/>
                <w:szCs w:val="18"/>
              </w:rPr>
              <w:t>0.0078</w:t>
            </w:r>
          </w:p>
        </w:tc>
        <w:tc>
          <w:tcPr>
            <w:tcW w:w="1080" w:type="dxa"/>
            <w:shd w:val="clear" w:color="auto" w:fill="auto"/>
            <w:noWrap/>
            <w:vAlign w:val="bottom"/>
          </w:tcPr>
          <w:p w:rsidR="000E123E" w:rsidRDefault="00000000">
            <w:pPr>
              <w:jc w:val="right"/>
              <w:rPr>
                <w:sz w:val="18"/>
                <w:szCs w:val="18"/>
              </w:rPr>
            </w:pPr>
            <w:r>
              <w:rPr>
                <w:sz w:val="18"/>
                <w:szCs w:val="18"/>
              </w:rPr>
              <w:t>0.0440</w:t>
            </w:r>
          </w:p>
        </w:tc>
        <w:tc>
          <w:tcPr>
            <w:tcW w:w="1080" w:type="dxa"/>
            <w:shd w:val="clear" w:color="auto" w:fill="auto"/>
            <w:noWrap/>
            <w:vAlign w:val="bottom"/>
          </w:tcPr>
          <w:p w:rsidR="000E123E" w:rsidRDefault="00000000">
            <w:pPr>
              <w:jc w:val="right"/>
              <w:rPr>
                <w:sz w:val="18"/>
                <w:szCs w:val="18"/>
              </w:rPr>
            </w:pPr>
            <w:r>
              <w:rPr>
                <w:sz w:val="18"/>
                <w:szCs w:val="18"/>
              </w:rPr>
              <w:t>0.1800</w:t>
            </w:r>
          </w:p>
        </w:tc>
        <w:tc>
          <w:tcPr>
            <w:tcW w:w="1080" w:type="dxa"/>
            <w:shd w:val="clear" w:color="auto" w:fill="auto"/>
            <w:noWrap/>
            <w:vAlign w:val="bottom"/>
          </w:tcPr>
          <w:p w:rsidR="000E123E" w:rsidRDefault="00000000">
            <w:pPr>
              <w:jc w:val="right"/>
              <w:rPr>
                <w:sz w:val="18"/>
                <w:szCs w:val="18"/>
              </w:rPr>
            </w:pPr>
            <w:r>
              <w:rPr>
                <w:sz w:val="18"/>
                <w:szCs w:val="18"/>
              </w:rPr>
              <w:t>0.8600</w:t>
            </w:r>
          </w:p>
        </w:tc>
        <w:tc>
          <w:tcPr>
            <w:tcW w:w="1100" w:type="dxa"/>
            <w:shd w:val="clear" w:color="auto" w:fill="auto"/>
            <w:noWrap/>
            <w:vAlign w:val="bottom"/>
          </w:tcPr>
          <w:p w:rsidR="000E123E" w:rsidRDefault="00000000">
            <w:pPr>
              <w:jc w:val="right"/>
              <w:rPr>
                <w:sz w:val="18"/>
                <w:szCs w:val="18"/>
              </w:rPr>
            </w:pPr>
            <w:r>
              <w:rPr>
                <w:sz w:val="18"/>
                <w:szCs w:val="18"/>
              </w:rPr>
              <w:t>-0.0843</w:t>
            </w:r>
          </w:p>
        </w:tc>
        <w:tc>
          <w:tcPr>
            <w:tcW w:w="1080" w:type="dxa"/>
            <w:shd w:val="clear" w:color="auto" w:fill="auto"/>
            <w:noWrap/>
            <w:vAlign w:val="bottom"/>
          </w:tcPr>
          <w:p w:rsidR="000E123E" w:rsidRDefault="00000000">
            <w:pPr>
              <w:jc w:val="right"/>
              <w:rPr>
                <w:sz w:val="18"/>
                <w:szCs w:val="18"/>
              </w:rPr>
            </w:pPr>
            <w:r>
              <w:rPr>
                <w:sz w:val="18"/>
                <w:szCs w:val="18"/>
              </w:rPr>
              <w:t>0.1000</w:t>
            </w:r>
          </w:p>
        </w:tc>
      </w:tr>
      <w:tr w:rsidR="000E123E">
        <w:trPr>
          <w:trHeight w:val="300"/>
        </w:trPr>
        <w:tc>
          <w:tcPr>
            <w:tcW w:w="1104" w:type="dxa"/>
            <w:shd w:val="clear" w:color="auto" w:fill="auto"/>
            <w:noWrap/>
            <w:vAlign w:val="bottom"/>
          </w:tcPr>
          <w:p w:rsidR="000E123E" w:rsidRDefault="00000000">
            <w:pPr>
              <w:rPr>
                <w:sz w:val="18"/>
                <w:szCs w:val="18"/>
              </w:rPr>
            </w:pPr>
            <w:r>
              <w:rPr>
                <w:sz w:val="18"/>
                <w:szCs w:val="18"/>
              </w:rPr>
              <w:t>Long Run</w:t>
            </w:r>
          </w:p>
        </w:tc>
        <w:tc>
          <w:tcPr>
            <w:tcW w:w="1491" w:type="dxa"/>
            <w:shd w:val="clear" w:color="auto" w:fill="auto"/>
            <w:noWrap/>
            <w:vAlign w:val="bottom"/>
          </w:tcPr>
          <w:p w:rsidR="000E123E" w:rsidRDefault="00000000">
            <w:pPr>
              <w:rPr>
                <w:sz w:val="18"/>
                <w:szCs w:val="18"/>
              </w:rPr>
            </w:pPr>
            <w:r>
              <w:rPr>
                <w:sz w:val="18"/>
                <w:szCs w:val="18"/>
              </w:rPr>
              <w:t>ERV</w:t>
            </w:r>
          </w:p>
        </w:tc>
        <w:tc>
          <w:tcPr>
            <w:tcW w:w="1080" w:type="dxa"/>
            <w:shd w:val="clear" w:color="auto" w:fill="auto"/>
            <w:noWrap/>
            <w:vAlign w:val="bottom"/>
          </w:tcPr>
          <w:p w:rsidR="000E123E" w:rsidRDefault="00000000">
            <w:pPr>
              <w:jc w:val="right"/>
              <w:rPr>
                <w:sz w:val="18"/>
                <w:szCs w:val="18"/>
              </w:rPr>
            </w:pPr>
            <w:r>
              <w:rPr>
                <w:sz w:val="18"/>
                <w:szCs w:val="18"/>
              </w:rPr>
              <w:t>-7.5153</w:t>
            </w:r>
          </w:p>
        </w:tc>
        <w:tc>
          <w:tcPr>
            <w:tcW w:w="1080" w:type="dxa"/>
            <w:shd w:val="clear" w:color="auto" w:fill="auto"/>
            <w:noWrap/>
            <w:vAlign w:val="bottom"/>
          </w:tcPr>
          <w:p w:rsidR="000E123E" w:rsidRDefault="00000000">
            <w:pPr>
              <w:jc w:val="right"/>
              <w:rPr>
                <w:sz w:val="18"/>
                <w:szCs w:val="18"/>
              </w:rPr>
            </w:pPr>
            <w:r>
              <w:rPr>
                <w:sz w:val="18"/>
                <w:szCs w:val="18"/>
              </w:rPr>
              <w:t>37.7469</w:t>
            </w:r>
          </w:p>
        </w:tc>
        <w:tc>
          <w:tcPr>
            <w:tcW w:w="1080" w:type="dxa"/>
            <w:shd w:val="clear" w:color="auto" w:fill="auto"/>
            <w:noWrap/>
            <w:vAlign w:val="bottom"/>
          </w:tcPr>
          <w:p w:rsidR="000E123E" w:rsidRDefault="00000000">
            <w:pPr>
              <w:jc w:val="right"/>
              <w:rPr>
                <w:sz w:val="18"/>
                <w:szCs w:val="18"/>
              </w:rPr>
            </w:pPr>
            <w:r>
              <w:rPr>
                <w:sz w:val="18"/>
                <w:szCs w:val="18"/>
              </w:rPr>
              <w:t>-0.2000</w:t>
            </w:r>
          </w:p>
        </w:tc>
        <w:tc>
          <w:tcPr>
            <w:tcW w:w="1080" w:type="dxa"/>
            <w:shd w:val="clear" w:color="auto" w:fill="auto"/>
            <w:noWrap/>
            <w:vAlign w:val="bottom"/>
          </w:tcPr>
          <w:p w:rsidR="000E123E" w:rsidRDefault="00000000">
            <w:pPr>
              <w:jc w:val="right"/>
              <w:rPr>
                <w:sz w:val="18"/>
                <w:szCs w:val="18"/>
              </w:rPr>
            </w:pPr>
            <w:r>
              <w:rPr>
                <w:sz w:val="18"/>
                <w:szCs w:val="18"/>
              </w:rPr>
              <w:t>0.8440</w:t>
            </w:r>
          </w:p>
        </w:tc>
        <w:tc>
          <w:tcPr>
            <w:tcW w:w="1100" w:type="dxa"/>
            <w:shd w:val="clear" w:color="auto" w:fill="auto"/>
            <w:noWrap/>
            <w:vAlign w:val="bottom"/>
          </w:tcPr>
          <w:p w:rsidR="000E123E" w:rsidRDefault="00000000">
            <w:pPr>
              <w:jc w:val="right"/>
              <w:rPr>
                <w:sz w:val="18"/>
                <w:szCs w:val="18"/>
              </w:rPr>
            </w:pPr>
            <w:r>
              <w:rPr>
                <w:sz w:val="18"/>
                <w:szCs w:val="18"/>
              </w:rPr>
              <w:t>-86.5204</w:t>
            </w:r>
          </w:p>
        </w:tc>
        <w:tc>
          <w:tcPr>
            <w:tcW w:w="1080" w:type="dxa"/>
            <w:shd w:val="clear" w:color="auto" w:fill="auto"/>
            <w:noWrap/>
            <w:vAlign w:val="bottom"/>
          </w:tcPr>
          <w:p w:rsidR="000E123E" w:rsidRDefault="00000000">
            <w:pPr>
              <w:jc w:val="right"/>
              <w:rPr>
                <w:sz w:val="18"/>
                <w:szCs w:val="18"/>
              </w:rPr>
            </w:pPr>
            <w:r>
              <w:rPr>
                <w:sz w:val="18"/>
                <w:szCs w:val="18"/>
              </w:rPr>
              <w:t>71.4898</w:t>
            </w:r>
          </w:p>
        </w:tc>
      </w:tr>
      <w:tr w:rsidR="000E123E">
        <w:trPr>
          <w:trHeight w:val="300"/>
        </w:trPr>
        <w:tc>
          <w:tcPr>
            <w:tcW w:w="1104" w:type="dxa"/>
            <w:shd w:val="clear" w:color="auto" w:fill="auto"/>
            <w:noWrap/>
            <w:vAlign w:val="bottom"/>
          </w:tcPr>
          <w:p w:rsidR="000E123E" w:rsidRDefault="00000000">
            <w:pPr>
              <w:rPr>
                <w:sz w:val="18"/>
                <w:szCs w:val="18"/>
              </w:rPr>
            </w:pPr>
            <w:r>
              <w:rPr>
                <w:sz w:val="18"/>
                <w:szCs w:val="18"/>
              </w:rPr>
              <w:t>Long Run</w:t>
            </w:r>
          </w:p>
        </w:tc>
        <w:tc>
          <w:tcPr>
            <w:tcW w:w="1491" w:type="dxa"/>
            <w:shd w:val="clear" w:color="auto" w:fill="auto"/>
            <w:noWrap/>
            <w:vAlign w:val="bottom"/>
          </w:tcPr>
          <w:p w:rsidR="000E123E" w:rsidRDefault="00000000">
            <w:pPr>
              <w:rPr>
                <w:sz w:val="18"/>
                <w:szCs w:val="18"/>
              </w:rPr>
            </w:pPr>
            <w:r>
              <w:rPr>
                <w:sz w:val="18"/>
                <w:szCs w:val="18"/>
              </w:rPr>
              <w:t>INR</w:t>
            </w:r>
          </w:p>
        </w:tc>
        <w:tc>
          <w:tcPr>
            <w:tcW w:w="1080" w:type="dxa"/>
            <w:shd w:val="clear" w:color="auto" w:fill="auto"/>
            <w:noWrap/>
            <w:vAlign w:val="bottom"/>
          </w:tcPr>
          <w:p w:rsidR="000E123E" w:rsidRDefault="00000000">
            <w:pPr>
              <w:jc w:val="right"/>
              <w:rPr>
                <w:sz w:val="18"/>
                <w:szCs w:val="18"/>
              </w:rPr>
            </w:pPr>
            <w:r>
              <w:rPr>
                <w:sz w:val="18"/>
                <w:szCs w:val="18"/>
              </w:rPr>
              <w:t>3.2872</w:t>
            </w:r>
          </w:p>
        </w:tc>
        <w:tc>
          <w:tcPr>
            <w:tcW w:w="1080" w:type="dxa"/>
            <w:shd w:val="clear" w:color="auto" w:fill="auto"/>
            <w:noWrap/>
            <w:vAlign w:val="bottom"/>
          </w:tcPr>
          <w:p w:rsidR="000E123E" w:rsidRDefault="00000000">
            <w:pPr>
              <w:jc w:val="right"/>
              <w:rPr>
                <w:sz w:val="18"/>
                <w:szCs w:val="18"/>
              </w:rPr>
            </w:pPr>
            <w:r>
              <w:rPr>
                <w:sz w:val="18"/>
                <w:szCs w:val="18"/>
              </w:rPr>
              <w:t>18.8799</w:t>
            </w:r>
          </w:p>
        </w:tc>
        <w:tc>
          <w:tcPr>
            <w:tcW w:w="1080" w:type="dxa"/>
            <w:shd w:val="clear" w:color="auto" w:fill="auto"/>
            <w:noWrap/>
            <w:vAlign w:val="bottom"/>
          </w:tcPr>
          <w:p w:rsidR="000E123E" w:rsidRDefault="00000000">
            <w:pPr>
              <w:jc w:val="right"/>
              <w:rPr>
                <w:sz w:val="18"/>
                <w:szCs w:val="18"/>
              </w:rPr>
            </w:pPr>
            <w:r>
              <w:rPr>
                <w:sz w:val="18"/>
                <w:szCs w:val="18"/>
              </w:rPr>
              <w:t>0.1700</w:t>
            </w:r>
          </w:p>
        </w:tc>
        <w:tc>
          <w:tcPr>
            <w:tcW w:w="1080" w:type="dxa"/>
            <w:shd w:val="clear" w:color="auto" w:fill="auto"/>
            <w:noWrap/>
            <w:vAlign w:val="bottom"/>
          </w:tcPr>
          <w:p w:rsidR="000E123E" w:rsidRDefault="00000000">
            <w:pPr>
              <w:jc w:val="right"/>
              <w:rPr>
                <w:sz w:val="18"/>
                <w:szCs w:val="18"/>
              </w:rPr>
            </w:pPr>
            <w:r>
              <w:rPr>
                <w:sz w:val="18"/>
                <w:szCs w:val="18"/>
              </w:rPr>
              <w:t>0.8640</w:t>
            </w:r>
          </w:p>
        </w:tc>
        <w:tc>
          <w:tcPr>
            <w:tcW w:w="1100" w:type="dxa"/>
            <w:shd w:val="clear" w:color="auto" w:fill="auto"/>
            <w:noWrap/>
            <w:vAlign w:val="bottom"/>
          </w:tcPr>
          <w:p w:rsidR="000E123E" w:rsidRDefault="00000000">
            <w:pPr>
              <w:jc w:val="right"/>
              <w:rPr>
                <w:sz w:val="18"/>
                <w:szCs w:val="18"/>
              </w:rPr>
            </w:pPr>
            <w:r>
              <w:rPr>
                <w:sz w:val="18"/>
                <w:szCs w:val="18"/>
              </w:rPr>
              <w:t>-36.2288</w:t>
            </w:r>
          </w:p>
        </w:tc>
        <w:tc>
          <w:tcPr>
            <w:tcW w:w="1080" w:type="dxa"/>
            <w:shd w:val="clear" w:color="auto" w:fill="auto"/>
            <w:noWrap/>
            <w:vAlign w:val="bottom"/>
          </w:tcPr>
          <w:p w:rsidR="000E123E" w:rsidRDefault="00000000">
            <w:pPr>
              <w:jc w:val="right"/>
              <w:rPr>
                <w:sz w:val="18"/>
                <w:szCs w:val="18"/>
              </w:rPr>
            </w:pPr>
            <w:r>
              <w:rPr>
                <w:sz w:val="18"/>
                <w:szCs w:val="18"/>
              </w:rPr>
              <w:t>42.8031</w:t>
            </w:r>
          </w:p>
        </w:tc>
      </w:tr>
      <w:tr w:rsidR="000E123E">
        <w:trPr>
          <w:trHeight w:val="300"/>
        </w:trPr>
        <w:tc>
          <w:tcPr>
            <w:tcW w:w="1104" w:type="dxa"/>
            <w:shd w:val="clear" w:color="auto" w:fill="auto"/>
            <w:noWrap/>
            <w:vAlign w:val="bottom"/>
          </w:tcPr>
          <w:p w:rsidR="000E123E" w:rsidRDefault="00000000">
            <w:pPr>
              <w:rPr>
                <w:sz w:val="18"/>
                <w:szCs w:val="18"/>
              </w:rPr>
            </w:pPr>
            <w:r>
              <w:rPr>
                <w:sz w:val="18"/>
                <w:szCs w:val="18"/>
              </w:rPr>
              <w:t>Long Run</w:t>
            </w:r>
          </w:p>
        </w:tc>
        <w:tc>
          <w:tcPr>
            <w:tcW w:w="1491" w:type="dxa"/>
            <w:shd w:val="clear" w:color="auto" w:fill="auto"/>
            <w:noWrap/>
            <w:vAlign w:val="bottom"/>
          </w:tcPr>
          <w:p w:rsidR="000E123E" w:rsidRDefault="00000000">
            <w:pPr>
              <w:rPr>
                <w:sz w:val="18"/>
                <w:szCs w:val="18"/>
              </w:rPr>
            </w:pPr>
            <w:r>
              <w:rPr>
                <w:sz w:val="18"/>
                <w:szCs w:val="18"/>
              </w:rPr>
              <w:t>INF</w:t>
            </w:r>
          </w:p>
        </w:tc>
        <w:tc>
          <w:tcPr>
            <w:tcW w:w="1080" w:type="dxa"/>
            <w:shd w:val="clear" w:color="auto" w:fill="auto"/>
            <w:noWrap/>
            <w:vAlign w:val="bottom"/>
          </w:tcPr>
          <w:p w:rsidR="000E123E" w:rsidRDefault="00000000">
            <w:pPr>
              <w:jc w:val="right"/>
              <w:rPr>
                <w:sz w:val="18"/>
                <w:szCs w:val="18"/>
              </w:rPr>
            </w:pPr>
            <w:r>
              <w:rPr>
                <w:sz w:val="18"/>
                <w:szCs w:val="18"/>
              </w:rPr>
              <w:t>0.6182</w:t>
            </w:r>
          </w:p>
        </w:tc>
        <w:tc>
          <w:tcPr>
            <w:tcW w:w="1080" w:type="dxa"/>
            <w:shd w:val="clear" w:color="auto" w:fill="auto"/>
            <w:noWrap/>
            <w:vAlign w:val="bottom"/>
          </w:tcPr>
          <w:p w:rsidR="000E123E" w:rsidRDefault="00000000">
            <w:pPr>
              <w:jc w:val="right"/>
              <w:rPr>
                <w:sz w:val="18"/>
                <w:szCs w:val="18"/>
              </w:rPr>
            </w:pPr>
            <w:r>
              <w:rPr>
                <w:sz w:val="18"/>
                <w:szCs w:val="18"/>
              </w:rPr>
              <w:t>3.7727</w:t>
            </w:r>
          </w:p>
        </w:tc>
        <w:tc>
          <w:tcPr>
            <w:tcW w:w="1080" w:type="dxa"/>
            <w:shd w:val="clear" w:color="auto" w:fill="auto"/>
            <w:noWrap/>
            <w:vAlign w:val="bottom"/>
          </w:tcPr>
          <w:p w:rsidR="000E123E" w:rsidRDefault="00000000">
            <w:pPr>
              <w:jc w:val="right"/>
              <w:rPr>
                <w:sz w:val="18"/>
                <w:szCs w:val="18"/>
              </w:rPr>
            </w:pPr>
            <w:r>
              <w:rPr>
                <w:sz w:val="18"/>
                <w:szCs w:val="18"/>
              </w:rPr>
              <w:t>0.1600</w:t>
            </w:r>
          </w:p>
        </w:tc>
        <w:tc>
          <w:tcPr>
            <w:tcW w:w="1080" w:type="dxa"/>
            <w:shd w:val="clear" w:color="auto" w:fill="auto"/>
            <w:noWrap/>
            <w:vAlign w:val="bottom"/>
          </w:tcPr>
          <w:p w:rsidR="000E123E" w:rsidRDefault="00000000">
            <w:pPr>
              <w:jc w:val="right"/>
              <w:rPr>
                <w:sz w:val="18"/>
                <w:szCs w:val="18"/>
              </w:rPr>
            </w:pPr>
            <w:r>
              <w:rPr>
                <w:sz w:val="18"/>
                <w:szCs w:val="18"/>
              </w:rPr>
              <w:t>0.8720</w:t>
            </w:r>
          </w:p>
        </w:tc>
        <w:tc>
          <w:tcPr>
            <w:tcW w:w="1100" w:type="dxa"/>
            <w:shd w:val="clear" w:color="auto" w:fill="auto"/>
            <w:noWrap/>
            <w:vAlign w:val="bottom"/>
          </w:tcPr>
          <w:p w:rsidR="000E123E" w:rsidRDefault="00000000">
            <w:pPr>
              <w:jc w:val="right"/>
              <w:rPr>
                <w:sz w:val="18"/>
                <w:szCs w:val="18"/>
              </w:rPr>
            </w:pPr>
            <w:r>
              <w:rPr>
                <w:sz w:val="18"/>
                <w:szCs w:val="18"/>
              </w:rPr>
              <w:t>-7.2782</w:t>
            </w:r>
          </w:p>
        </w:tc>
        <w:tc>
          <w:tcPr>
            <w:tcW w:w="1080" w:type="dxa"/>
            <w:shd w:val="clear" w:color="auto" w:fill="auto"/>
            <w:noWrap/>
            <w:vAlign w:val="bottom"/>
          </w:tcPr>
          <w:p w:rsidR="000E123E" w:rsidRDefault="00000000">
            <w:pPr>
              <w:jc w:val="right"/>
              <w:rPr>
                <w:sz w:val="18"/>
                <w:szCs w:val="18"/>
              </w:rPr>
            </w:pPr>
            <w:r>
              <w:rPr>
                <w:sz w:val="18"/>
                <w:szCs w:val="18"/>
              </w:rPr>
              <w:t>8.5145</w:t>
            </w:r>
          </w:p>
        </w:tc>
      </w:tr>
      <w:tr w:rsidR="000E123E">
        <w:trPr>
          <w:trHeight w:val="300"/>
        </w:trPr>
        <w:tc>
          <w:tcPr>
            <w:tcW w:w="1104" w:type="dxa"/>
            <w:shd w:val="clear" w:color="auto" w:fill="auto"/>
            <w:noWrap/>
            <w:vAlign w:val="bottom"/>
          </w:tcPr>
          <w:p w:rsidR="000E123E" w:rsidRDefault="00000000">
            <w:pPr>
              <w:rPr>
                <w:sz w:val="18"/>
                <w:szCs w:val="18"/>
              </w:rPr>
            </w:pPr>
            <w:r>
              <w:rPr>
                <w:sz w:val="18"/>
                <w:szCs w:val="18"/>
              </w:rPr>
              <w:t>Long Run</w:t>
            </w:r>
          </w:p>
        </w:tc>
        <w:tc>
          <w:tcPr>
            <w:tcW w:w="1491" w:type="dxa"/>
            <w:shd w:val="clear" w:color="auto" w:fill="auto"/>
            <w:noWrap/>
            <w:vAlign w:val="bottom"/>
          </w:tcPr>
          <w:p w:rsidR="000E123E" w:rsidRDefault="00000000">
            <w:pPr>
              <w:rPr>
                <w:sz w:val="18"/>
                <w:szCs w:val="18"/>
              </w:rPr>
            </w:pPr>
            <w:r>
              <w:rPr>
                <w:sz w:val="18"/>
                <w:szCs w:val="18"/>
              </w:rPr>
              <w:t>FDI</w:t>
            </w:r>
          </w:p>
        </w:tc>
        <w:tc>
          <w:tcPr>
            <w:tcW w:w="1080" w:type="dxa"/>
            <w:shd w:val="clear" w:color="auto" w:fill="auto"/>
            <w:noWrap/>
            <w:vAlign w:val="bottom"/>
          </w:tcPr>
          <w:p w:rsidR="000E123E" w:rsidRDefault="00000000">
            <w:pPr>
              <w:jc w:val="right"/>
              <w:rPr>
                <w:sz w:val="18"/>
                <w:szCs w:val="18"/>
              </w:rPr>
            </w:pPr>
            <w:r>
              <w:rPr>
                <w:sz w:val="18"/>
                <w:szCs w:val="18"/>
              </w:rPr>
              <w:t>-2.7198</w:t>
            </w:r>
          </w:p>
        </w:tc>
        <w:tc>
          <w:tcPr>
            <w:tcW w:w="1080" w:type="dxa"/>
            <w:shd w:val="clear" w:color="auto" w:fill="auto"/>
            <w:noWrap/>
            <w:vAlign w:val="bottom"/>
          </w:tcPr>
          <w:p w:rsidR="000E123E" w:rsidRDefault="00000000">
            <w:pPr>
              <w:jc w:val="right"/>
              <w:rPr>
                <w:sz w:val="18"/>
                <w:szCs w:val="18"/>
              </w:rPr>
            </w:pPr>
            <w:r>
              <w:rPr>
                <w:sz w:val="18"/>
                <w:szCs w:val="18"/>
              </w:rPr>
              <w:t>14.4907</w:t>
            </w:r>
          </w:p>
        </w:tc>
        <w:tc>
          <w:tcPr>
            <w:tcW w:w="1080" w:type="dxa"/>
            <w:shd w:val="clear" w:color="auto" w:fill="auto"/>
            <w:noWrap/>
            <w:vAlign w:val="bottom"/>
          </w:tcPr>
          <w:p w:rsidR="000E123E" w:rsidRDefault="00000000">
            <w:pPr>
              <w:jc w:val="right"/>
              <w:rPr>
                <w:sz w:val="18"/>
                <w:szCs w:val="18"/>
              </w:rPr>
            </w:pPr>
            <w:r>
              <w:rPr>
                <w:sz w:val="18"/>
                <w:szCs w:val="18"/>
              </w:rPr>
              <w:t>-0.1900</w:t>
            </w:r>
          </w:p>
        </w:tc>
        <w:tc>
          <w:tcPr>
            <w:tcW w:w="1080" w:type="dxa"/>
            <w:shd w:val="clear" w:color="auto" w:fill="auto"/>
            <w:noWrap/>
            <w:vAlign w:val="bottom"/>
          </w:tcPr>
          <w:p w:rsidR="000E123E" w:rsidRDefault="00000000">
            <w:pPr>
              <w:jc w:val="right"/>
              <w:rPr>
                <w:sz w:val="18"/>
                <w:szCs w:val="18"/>
              </w:rPr>
            </w:pPr>
            <w:r>
              <w:rPr>
                <w:sz w:val="18"/>
                <w:szCs w:val="18"/>
              </w:rPr>
              <w:t>0.8530</w:t>
            </w:r>
          </w:p>
        </w:tc>
        <w:tc>
          <w:tcPr>
            <w:tcW w:w="1100" w:type="dxa"/>
            <w:shd w:val="clear" w:color="auto" w:fill="auto"/>
            <w:noWrap/>
            <w:vAlign w:val="bottom"/>
          </w:tcPr>
          <w:p w:rsidR="000E123E" w:rsidRDefault="00000000">
            <w:pPr>
              <w:jc w:val="right"/>
              <w:rPr>
                <w:sz w:val="18"/>
                <w:szCs w:val="18"/>
              </w:rPr>
            </w:pPr>
            <w:r>
              <w:rPr>
                <w:sz w:val="18"/>
                <w:szCs w:val="18"/>
              </w:rPr>
              <w:t>-33.0491</w:t>
            </w:r>
          </w:p>
        </w:tc>
        <w:tc>
          <w:tcPr>
            <w:tcW w:w="1080" w:type="dxa"/>
            <w:shd w:val="clear" w:color="auto" w:fill="auto"/>
            <w:noWrap/>
            <w:vAlign w:val="bottom"/>
          </w:tcPr>
          <w:p w:rsidR="000E123E" w:rsidRDefault="00000000">
            <w:pPr>
              <w:jc w:val="right"/>
              <w:rPr>
                <w:sz w:val="18"/>
                <w:szCs w:val="18"/>
              </w:rPr>
            </w:pPr>
            <w:r>
              <w:rPr>
                <w:sz w:val="18"/>
                <w:szCs w:val="18"/>
              </w:rPr>
              <w:t>27.6096</w:t>
            </w:r>
          </w:p>
        </w:tc>
      </w:tr>
      <w:tr w:rsidR="000E123E">
        <w:trPr>
          <w:trHeight w:val="300"/>
        </w:trPr>
        <w:tc>
          <w:tcPr>
            <w:tcW w:w="1104" w:type="dxa"/>
            <w:shd w:val="clear" w:color="auto" w:fill="auto"/>
            <w:noWrap/>
            <w:vAlign w:val="bottom"/>
          </w:tcPr>
          <w:p w:rsidR="000E123E" w:rsidRDefault="00000000">
            <w:pPr>
              <w:rPr>
                <w:sz w:val="18"/>
                <w:szCs w:val="18"/>
              </w:rPr>
            </w:pPr>
            <w:r>
              <w:rPr>
                <w:sz w:val="18"/>
                <w:szCs w:val="18"/>
              </w:rPr>
              <w:t>Short Run</w:t>
            </w:r>
          </w:p>
        </w:tc>
        <w:tc>
          <w:tcPr>
            <w:tcW w:w="1491" w:type="dxa"/>
            <w:shd w:val="clear" w:color="auto" w:fill="auto"/>
            <w:noWrap/>
            <w:vAlign w:val="bottom"/>
          </w:tcPr>
          <w:p w:rsidR="000E123E" w:rsidRDefault="00000000">
            <w:pPr>
              <w:rPr>
                <w:sz w:val="18"/>
                <w:szCs w:val="18"/>
              </w:rPr>
            </w:pPr>
            <w:r>
              <w:rPr>
                <w:sz w:val="18"/>
                <w:szCs w:val="18"/>
              </w:rPr>
              <w:t>D1.ERV</w:t>
            </w:r>
          </w:p>
        </w:tc>
        <w:tc>
          <w:tcPr>
            <w:tcW w:w="1080" w:type="dxa"/>
            <w:shd w:val="clear" w:color="auto" w:fill="auto"/>
            <w:noWrap/>
            <w:vAlign w:val="bottom"/>
          </w:tcPr>
          <w:p w:rsidR="000E123E" w:rsidRDefault="00000000">
            <w:pPr>
              <w:jc w:val="right"/>
              <w:rPr>
                <w:sz w:val="18"/>
                <w:szCs w:val="18"/>
              </w:rPr>
            </w:pPr>
            <w:r>
              <w:rPr>
                <w:sz w:val="18"/>
                <w:szCs w:val="18"/>
              </w:rPr>
              <w:t>0.0160</w:t>
            </w:r>
          </w:p>
        </w:tc>
        <w:tc>
          <w:tcPr>
            <w:tcW w:w="1080" w:type="dxa"/>
            <w:shd w:val="clear" w:color="auto" w:fill="auto"/>
            <w:noWrap/>
            <w:vAlign w:val="bottom"/>
          </w:tcPr>
          <w:p w:rsidR="000E123E" w:rsidRDefault="00000000">
            <w:pPr>
              <w:jc w:val="right"/>
              <w:rPr>
                <w:sz w:val="18"/>
                <w:szCs w:val="18"/>
              </w:rPr>
            </w:pPr>
            <w:r>
              <w:rPr>
                <w:sz w:val="18"/>
                <w:szCs w:val="18"/>
              </w:rPr>
              <w:t>0.0363</w:t>
            </w:r>
          </w:p>
        </w:tc>
        <w:tc>
          <w:tcPr>
            <w:tcW w:w="1080" w:type="dxa"/>
            <w:shd w:val="clear" w:color="auto" w:fill="auto"/>
            <w:noWrap/>
            <w:vAlign w:val="bottom"/>
          </w:tcPr>
          <w:p w:rsidR="000E123E" w:rsidRDefault="00000000">
            <w:pPr>
              <w:jc w:val="right"/>
              <w:rPr>
                <w:sz w:val="18"/>
                <w:szCs w:val="18"/>
              </w:rPr>
            </w:pPr>
            <w:r>
              <w:rPr>
                <w:sz w:val="18"/>
                <w:szCs w:val="18"/>
              </w:rPr>
              <w:t>0.4400</w:t>
            </w:r>
          </w:p>
        </w:tc>
        <w:tc>
          <w:tcPr>
            <w:tcW w:w="1080" w:type="dxa"/>
            <w:shd w:val="clear" w:color="auto" w:fill="auto"/>
            <w:noWrap/>
            <w:vAlign w:val="bottom"/>
          </w:tcPr>
          <w:p w:rsidR="000E123E" w:rsidRDefault="00000000">
            <w:pPr>
              <w:jc w:val="right"/>
              <w:rPr>
                <w:sz w:val="18"/>
                <w:szCs w:val="18"/>
              </w:rPr>
            </w:pPr>
            <w:r>
              <w:rPr>
                <w:sz w:val="18"/>
                <w:szCs w:val="18"/>
              </w:rPr>
              <w:t>0.6650</w:t>
            </w:r>
          </w:p>
        </w:tc>
        <w:tc>
          <w:tcPr>
            <w:tcW w:w="1100" w:type="dxa"/>
            <w:shd w:val="clear" w:color="auto" w:fill="auto"/>
            <w:noWrap/>
            <w:vAlign w:val="bottom"/>
          </w:tcPr>
          <w:p w:rsidR="000E123E" w:rsidRDefault="00000000">
            <w:pPr>
              <w:jc w:val="right"/>
              <w:rPr>
                <w:sz w:val="18"/>
                <w:szCs w:val="18"/>
              </w:rPr>
            </w:pPr>
            <w:r>
              <w:rPr>
                <w:sz w:val="18"/>
                <w:szCs w:val="18"/>
              </w:rPr>
              <w:t>-0.0599</w:t>
            </w:r>
          </w:p>
        </w:tc>
        <w:tc>
          <w:tcPr>
            <w:tcW w:w="1080" w:type="dxa"/>
            <w:shd w:val="clear" w:color="auto" w:fill="auto"/>
            <w:noWrap/>
            <w:vAlign w:val="bottom"/>
          </w:tcPr>
          <w:p w:rsidR="000E123E" w:rsidRDefault="00000000">
            <w:pPr>
              <w:jc w:val="right"/>
              <w:rPr>
                <w:sz w:val="18"/>
                <w:szCs w:val="18"/>
              </w:rPr>
            </w:pPr>
            <w:r>
              <w:rPr>
                <w:sz w:val="18"/>
                <w:szCs w:val="18"/>
              </w:rPr>
              <w:t>0.0919</w:t>
            </w:r>
          </w:p>
        </w:tc>
      </w:tr>
      <w:tr w:rsidR="000E123E">
        <w:trPr>
          <w:trHeight w:val="300"/>
        </w:trPr>
        <w:tc>
          <w:tcPr>
            <w:tcW w:w="1104" w:type="dxa"/>
            <w:shd w:val="clear" w:color="auto" w:fill="auto"/>
            <w:noWrap/>
            <w:vAlign w:val="bottom"/>
          </w:tcPr>
          <w:p w:rsidR="000E123E" w:rsidRDefault="00000000">
            <w:pPr>
              <w:rPr>
                <w:sz w:val="18"/>
                <w:szCs w:val="18"/>
              </w:rPr>
            </w:pPr>
            <w:r>
              <w:rPr>
                <w:sz w:val="18"/>
                <w:szCs w:val="18"/>
              </w:rPr>
              <w:t>Short Run</w:t>
            </w:r>
          </w:p>
        </w:tc>
        <w:tc>
          <w:tcPr>
            <w:tcW w:w="1491" w:type="dxa"/>
            <w:shd w:val="clear" w:color="auto" w:fill="auto"/>
            <w:noWrap/>
            <w:vAlign w:val="bottom"/>
          </w:tcPr>
          <w:p w:rsidR="000E123E" w:rsidRDefault="00000000">
            <w:pPr>
              <w:rPr>
                <w:sz w:val="18"/>
                <w:szCs w:val="18"/>
              </w:rPr>
            </w:pPr>
            <w:r>
              <w:rPr>
                <w:sz w:val="18"/>
                <w:szCs w:val="18"/>
              </w:rPr>
              <w:t>D1.INR</w:t>
            </w:r>
          </w:p>
        </w:tc>
        <w:tc>
          <w:tcPr>
            <w:tcW w:w="1080" w:type="dxa"/>
            <w:shd w:val="clear" w:color="auto" w:fill="auto"/>
            <w:noWrap/>
            <w:vAlign w:val="bottom"/>
          </w:tcPr>
          <w:p w:rsidR="000E123E" w:rsidRDefault="00000000">
            <w:pPr>
              <w:jc w:val="right"/>
              <w:rPr>
                <w:sz w:val="18"/>
                <w:szCs w:val="18"/>
              </w:rPr>
            </w:pPr>
            <w:r>
              <w:rPr>
                <w:sz w:val="18"/>
                <w:szCs w:val="18"/>
              </w:rPr>
              <w:t>-0.0065</w:t>
            </w:r>
          </w:p>
        </w:tc>
        <w:tc>
          <w:tcPr>
            <w:tcW w:w="1080" w:type="dxa"/>
            <w:shd w:val="clear" w:color="auto" w:fill="auto"/>
            <w:noWrap/>
            <w:vAlign w:val="bottom"/>
          </w:tcPr>
          <w:p w:rsidR="000E123E" w:rsidRDefault="00000000">
            <w:pPr>
              <w:jc w:val="right"/>
              <w:rPr>
                <w:sz w:val="18"/>
                <w:szCs w:val="18"/>
              </w:rPr>
            </w:pPr>
            <w:r>
              <w:rPr>
                <w:sz w:val="18"/>
                <w:szCs w:val="18"/>
              </w:rPr>
              <w:t>0.0084</w:t>
            </w:r>
          </w:p>
        </w:tc>
        <w:tc>
          <w:tcPr>
            <w:tcW w:w="1080" w:type="dxa"/>
            <w:shd w:val="clear" w:color="auto" w:fill="auto"/>
            <w:noWrap/>
            <w:vAlign w:val="bottom"/>
          </w:tcPr>
          <w:p w:rsidR="000E123E" w:rsidRDefault="00000000">
            <w:pPr>
              <w:jc w:val="right"/>
              <w:rPr>
                <w:sz w:val="18"/>
                <w:szCs w:val="18"/>
              </w:rPr>
            </w:pPr>
            <w:r>
              <w:rPr>
                <w:sz w:val="18"/>
                <w:szCs w:val="18"/>
              </w:rPr>
              <w:t>-0.7700</w:t>
            </w:r>
          </w:p>
        </w:tc>
        <w:tc>
          <w:tcPr>
            <w:tcW w:w="1080" w:type="dxa"/>
            <w:shd w:val="clear" w:color="auto" w:fill="auto"/>
            <w:noWrap/>
            <w:vAlign w:val="bottom"/>
          </w:tcPr>
          <w:p w:rsidR="000E123E" w:rsidRDefault="00000000">
            <w:pPr>
              <w:jc w:val="right"/>
              <w:rPr>
                <w:sz w:val="18"/>
                <w:szCs w:val="18"/>
              </w:rPr>
            </w:pPr>
            <w:r>
              <w:rPr>
                <w:sz w:val="18"/>
                <w:szCs w:val="18"/>
              </w:rPr>
              <w:t>0.4530</w:t>
            </w:r>
          </w:p>
        </w:tc>
        <w:tc>
          <w:tcPr>
            <w:tcW w:w="1100" w:type="dxa"/>
            <w:shd w:val="clear" w:color="auto" w:fill="auto"/>
            <w:noWrap/>
            <w:vAlign w:val="bottom"/>
          </w:tcPr>
          <w:p w:rsidR="000E123E" w:rsidRDefault="00000000">
            <w:pPr>
              <w:jc w:val="right"/>
              <w:rPr>
                <w:sz w:val="18"/>
                <w:szCs w:val="18"/>
              </w:rPr>
            </w:pPr>
            <w:r>
              <w:rPr>
                <w:sz w:val="18"/>
                <w:szCs w:val="18"/>
              </w:rPr>
              <w:t>-0.0241</w:t>
            </w:r>
          </w:p>
        </w:tc>
        <w:tc>
          <w:tcPr>
            <w:tcW w:w="1080" w:type="dxa"/>
            <w:shd w:val="clear" w:color="auto" w:fill="auto"/>
            <w:noWrap/>
            <w:vAlign w:val="bottom"/>
          </w:tcPr>
          <w:p w:rsidR="000E123E" w:rsidRDefault="00000000">
            <w:pPr>
              <w:jc w:val="right"/>
              <w:rPr>
                <w:sz w:val="18"/>
                <w:szCs w:val="18"/>
              </w:rPr>
            </w:pPr>
            <w:r>
              <w:rPr>
                <w:sz w:val="18"/>
                <w:szCs w:val="18"/>
              </w:rPr>
              <w:t>0.0112</w:t>
            </w:r>
          </w:p>
        </w:tc>
      </w:tr>
      <w:tr w:rsidR="000E123E">
        <w:trPr>
          <w:trHeight w:val="300"/>
        </w:trPr>
        <w:tc>
          <w:tcPr>
            <w:tcW w:w="1104" w:type="dxa"/>
            <w:shd w:val="clear" w:color="auto" w:fill="auto"/>
            <w:noWrap/>
            <w:vAlign w:val="bottom"/>
          </w:tcPr>
          <w:p w:rsidR="000E123E" w:rsidRDefault="00000000">
            <w:pPr>
              <w:rPr>
                <w:sz w:val="18"/>
                <w:szCs w:val="18"/>
              </w:rPr>
            </w:pPr>
            <w:r>
              <w:rPr>
                <w:sz w:val="18"/>
                <w:szCs w:val="18"/>
              </w:rPr>
              <w:t>Short Run</w:t>
            </w:r>
          </w:p>
        </w:tc>
        <w:tc>
          <w:tcPr>
            <w:tcW w:w="1491" w:type="dxa"/>
            <w:shd w:val="clear" w:color="auto" w:fill="auto"/>
            <w:noWrap/>
            <w:vAlign w:val="bottom"/>
          </w:tcPr>
          <w:p w:rsidR="000E123E" w:rsidRDefault="00000000">
            <w:pPr>
              <w:rPr>
                <w:sz w:val="18"/>
                <w:szCs w:val="18"/>
              </w:rPr>
            </w:pPr>
            <w:r>
              <w:rPr>
                <w:sz w:val="18"/>
                <w:szCs w:val="18"/>
              </w:rPr>
              <w:t>D1.INF</w:t>
            </w:r>
          </w:p>
        </w:tc>
        <w:tc>
          <w:tcPr>
            <w:tcW w:w="1080" w:type="dxa"/>
            <w:shd w:val="clear" w:color="auto" w:fill="auto"/>
            <w:noWrap/>
            <w:vAlign w:val="bottom"/>
          </w:tcPr>
          <w:p w:rsidR="000E123E" w:rsidRDefault="00000000">
            <w:pPr>
              <w:jc w:val="right"/>
              <w:rPr>
                <w:sz w:val="18"/>
                <w:szCs w:val="18"/>
              </w:rPr>
            </w:pPr>
            <w:r>
              <w:rPr>
                <w:sz w:val="18"/>
                <w:szCs w:val="18"/>
              </w:rPr>
              <w:t>-0.0010</w:t>
            </w:r>
          </w:p>
        </w:tc>
        <w:tc>
          <w:tcPr>
            <w:tcW w:w="1080" w:type="dxa"/>
            <w:shd w:val="clear" w:color="auto" w:fill="auto"/>
            <w:noWrap/>
            <w:vAlign w:val="bottom"/>
          </w:tcPr>
          <w:p w:rsidR="000E123E" w:rsidRDefault="00000000">
            <w:pPr>
              <w:jc w:val="right"/>
              <w:rPr>
                <w:sz w:val="18"/>
                <w:szCs w:val="18"/>
              </w:rPr>
            </w:pPr>
            <w:r>
              <w:rPr>
                <w:sz w:val="18"/>
                <w:szCs w:val="18"/>
              </w:rPr>
              <w:t>0.0087</w:t>
            </w:r>
          </w:p>
        </w:tc>
        <w:tc>
          <w:tcPr>
            <w:tcW w:w="1080" w:type="dxa"/>
            <w:shd w:val="clear" w:color="auto" w:fill="auto"/>
            <w:noWrap/>
            <w:vAlign w:val="bottom"/>
          </w:tcPr>
          <w:p w:rsidR="000E123E" w:rsidRDefault="00000000">
            <w:pPr>
              <w:jc w:val="right"/>
              <w:rPr>
                <w:sz w:val="18"/>
                <w:szCs w:val="18"/>
              </w:rPr>
            </w:pPr>
            <w:r>
              <w:rPr>
                <w:sz w:val="18"/>
                <w:szCs w:val="18"/>
              </w:rPr>
              <w:t>-0.1200</w:t>
            </w:r>
          </w:p>
        </w:tc>
        <w:tc>
          <w:tcPr>
            <w:tcW w:w="1080" w:type="dxa"/>
            <w:shd w:val="clear" w:color="auto" w:fill="auto"/>
            <w:noWrap/>
            <w:vAlign w:val="bottom"/>
          </w:tcPr>
          <w:p w:rsidR="000E123E" w:rsidRDefault="00000000">
            <w:pPr>
              <w:jc w:val="right"/>
              <w:rPr>
                <w:sz w:val="18"/>
                <w:szCs w:val="18"/>
              </w:rPr>
            </w:pPr>
            <w:r>
              <w:rPr>
                <w:sz w:val="18"/>
                <w:szCs w:val="18"/>
              </w:rPr>
              <w:t>0.9070</w:t>
            </w:r>
          </w:p>
        </w:tc>
        <w:tc>
          <w:tcPr>
            <w:tcW w:w="1100" w:type="dxa"/>
            <w:shd w:val="clear" w:color="auto" w:fill="auto"/>
            <w:noWrap/>
            <w:vAlign w:val="bottom"/>
          </w:tcPr>
          <w:p w:rsidR="000E123E" w:rsidRDefault="00000000">
            <w:pPr>
              <w:jc w:val="right"/>
              <w:rPr>
                <w:sz w:val="18"/>
                <w:szCs w:val="18"/>
              </w:rPr>
            </w:pPr>
            <w:r>
              <w:rPr>
                <w:sz w:val="18"/>
                <w:szCs w:val="18"/>
              </w:rPr>
              <w:t>-0.0193</w:t>
            </w:r>
          </w:p>
        </w:tc>
        <w:tc>
          <w:tcPr>
            <w:tcW w:w="1080" w:type="dxa"/>
            <w:shd w:val="clear" w:color="auto" w:fill="auto"/>
            <w:noWrap/>
            <w:vAlign w:val="bottom"/>
          </w:tcPr>
          <w:p w:rsidR="000E123E" w:rsidRDefault="00000000">
            <w:pPr>
              <w:jc w:val="right"/>
              <w:rPr>
                <w:sz w:val="18"/>
                <w:szCs w:val="18"/>
              </w:rPr>
            </w:pPr>
            <w:r>
              <w:rPr>
                <w:sz w:val="18"/>
                <w:szCs w:val="18"/>
              </w:rPr>
              <w:t>0.0172</w:t>
            </w:r>
          </w:p>
        </w:tc>
      </w:tr>
      <w:tr w:rsidR="000E123E">
        <w:trPr>
          <w:trHeight w:val="300"/>
        </w:trPr>
        <w:tc>
          <w:tcPr>
            <w:tcW w:w="1104" w:type="dxa"/>
            <w:shd w:val="clear" w:color="auto" w:fill="auto"/>
            <w:noWrap/>
            <w:vAlign w:val="bottom"/>
          </w:tcPr>
          <w:p w:rsidR="000E123E" w:rsidRDefault="00000000">
            <w:pPr>
              <w:rPr>
                <w:sz w:val="18"/>
                <w:szCs w:val="18"/>
              </w:rPr>
            </w:pPr>
            <w:r>
              <w:rPr>
                <w:sz w:val="18"/>
                <w:szCs w:val="18"/>
              </w:rPr>
              <w:t>Short Run</w:t>
            </w:r>
          </w:p>
        </w:tc>
        <w:tc>
          <w:tcPr>
            <w:tcW w:w="1491" w:type="dxa"/>
            <w:shd w:val="clear" w:color="auto" w:fill="auto"/>
            <w:noWrap/>
            <w:vAlign w:val="bottom"/>
          </w:tcPr>
          <w:p w:rsidR="000E123E" w:rsidRDefault="00000000">
            <w:pPr>
              <w:rPr>
                <w:sz w:val="18"/>
                <w:szCs w:val="18"/>
              </w:rPr>
            </w:pPr>
            <w:r>
              <w:rPr>
                <w:sz w:val="18"/>
                <w:szCs w:val="18"/>
              </w:rPr>
              <w:t>D1.FDI</w:t>
            </w:r>
          </w:p>
        </w:tc>
        <w:tc>
          <w:tcPr>
            <w:tcW w:w="1080" w:type="dxa"/>
            <w:shd w:val="clear" w:color="auto" w:fill="auto"/>
            <w:noWrap/>
            <w:vAlign w:val="bottom"/>
          </w:tcPr>
          <w:p w:rsidR="000E123E" w:rsidRDefault="00000000">
            <w:pPr>
              <w:jc w:val="right"/>
              <w:rPr>
                <w:sz w:val="18"/>
                <w:szCs w:val="18"/>
              </w:rPr>
            </w:pPr>
            <w:r>
              <w:rPr>
                <w:sz w:val="18"/>
                <w:szCs w:val="18"/>
              </w:rPr>
              <w:t>0.0490</w:t>
            </w:r>
          </w:p>
        </w:tc>
        <w:tc>
          <w:tcPr>
            <w:tcW w:w="1080" w:type="dxa"/>
            <w:shd w:val="clear" w:color="auto" w:fill="auto"/>
            <w:noWrap/>
            <w:vAlign w:val="bottom"/>
          </w:tcPr>
          <w:p w:rsidR="000E123E" w:rsidRDefault="00000000">
            <w:pPr>
              <w:jc w:val="right"/>
              <w:rPr>
                <w:sz w:val="18"/>
                <w:szCs w:val="18"/>
              </w:rPr>
            </w:pPr>
            <w:r>
              <w:rPr>
                <w:sz w:val="18"/>
                <w:szCs w:val="18"/>
              </w:rPr>
              <w:t>0.0292</w:t>
            </w:r>
          </w:p>
        </w:tc>
        <w:tc>
          <w:tcPr>
            <w:tcW w:w="1080" w:type="dxa"/>
            <w:shd w:val="clear" w:color="auto" w:fill="auto"/>
            <w:noWrap/>
            <w:vAlign w:val="bottom"/>
          </w:tcPr>
          <w:p w:rsidR="000E123E" w:rsidRDefault="00000000">
            <w:pPr>
              <w:jc w:val="right"/>
              <w:rPr>
                <w:sz w:val="18"/>
                <w:szCs w:val="18"/>
              </w:rPr>
            </w:pPr>
            <w:r>
              <w:rPr>
                <w:sz w:val="18"/>
                <w:szCs w:val="18"/>
              </w:rPr>
              <w:t>1.6800</w:t>
            </w:r>
          </w:p>
        </w:tc>
        <w:tc>
          <w:tcPr>
            <w:tcW w:w="1080" w:type="dxa"/>
            <w:shd w:val="clear" w:color="auto" w:fill="auto"/>
            <w:noWrap/>
            <w:vAlign w:val="bottom"/>
          </w:tcPr>
          <w:p w:rsidR="000E123E" w:rsidRDefault="00000000">
            <w:pPr>
              <w:jc w:val="right"/>
              <w:rPr>
                <w:sz w:val="18"/>
                <w:szCs w:val="18"/>
              </w:rPr>
            </w:pPr>
            <w:r>
              <w:rPr>
                <w:sz w:val="18"/>
                <w:szCs w:val="18"/>
              </w:rPr>
              <w:t>0.1090</w:t>
            </w:r>
          </w:p>
        </w:tc>
        <w:tc>
          <w:tcPr>
            <w:tcW w:w="1100" w:type="dxa"/>
            <w:shd w:val="clear" w:color="auto" w:fill="auto"/>
            <w:noWrap/>
            <w:vAlign w:val="bottom"/>
          </w:tcPr>
          <w:p w:rsidR="000E123E" w:rsidRDefault="00000000">
            <w:pPr>
              <w:jc w:val="right"/>
              <w:rPr>
                <w:sz w:val="18"/>
                <w:szCs w:val="18"/>
              </w:rPr>
            </w:pPr>
            <w:r>
              <w:rPr>
                <w:sz w:val="18"/>
                <w:szCs w:val="18"/>
              </w:rPr>
              <w:t>-0.0120</w:t>
            </w:r>
          </w:p>
        </w:tc>
        <w:tc>
          <w:tcPr>
            <w:tcW w:w="1080" w:type="dxa"/>
            <w:shd w:val="clear" w:color="auto" w:fill="auto"/>
            <w:noWrap/>
            <w:vAlign w:val="bottom"/>
          </w:tcPr>
          <w:p w:rsidR="000E123E" w:rsidRDefault="00000000">
            <w:pPr>
              <w:jc w:val="right"/>
              <w:rPr>
                <w:sz w:val="18"/>
                <w:szCs w:val="18"/>
              </w:rPr>
            </w:pPr>
            <w:r>
              <w:rPr>
                <w:sz w:val="18"/>
                <w:szCs w:val="18"/>
              </w:rPr>
              <w:t>0.1100</w:t>
            </w:r>
          </w:p>
        </w:tc>
      </w:tr>
      <w:tr w:rsidR="000E123E">
        <w:trPr>
          <w:trHeight w:val="300"/>
        </w:trPr>
        <w:tc>
          <w:tcPr>
            <w:tcW w:w="1104" w:type="dxa"/>
            <w:shd w:val="clear" w:color="auto" w:fill="auto"/>
            <w:noWrap/>
            <w:vAlign w:val="bottom"/>
          </w:tcPr>
          <w:p w:rsidR="000E123E" w:rsidRDefault="00000000">
            <w:pPr>
              <w:rPr>
                <w:sz w:val="18"/>
                <w:szCs w:val="18"/>
              </w:rPr>
            </w:pPr>
            <w:r>
              <w:rPr>
                <w:sz w:val="18"/>
                <w:szCs w:val="18"/>
              </w:rPr>
              <w:t>Constant</w:t>
            </w:r>
          </w:p>
        </w:tc>
        <w:tc>
          <w:tcPr>
            <w:tcW w:w="1491" w:type="dxa"/>
            <w:shd w:val="clear" w:color="auto" w:fill="auto"/>
            <w:noWrap/>
            <w:vAlign w:val="bottom"/>
          </w:tcPr>
          <w:p w:rsidR="000E123E" w:rsidRDefault="00000000">
            <w:pPr>
              <w:rPr>
                <w:sz w:val="18"/>
                <w:szCs w:val="18"/>
              </w:rPr>
            </w:pPr>
            <w:r>
              <w:rPr>
                <w:sz w:val="18"/>
                <w:szCs w:val="18"/>
              </w:rPr>
              <w:t>_cons</w:t>
            </w:r>
          </w:p>
        </w:tc>
        <w:tc>
          <w:tcPr>
            <w:tcW w:w="1080" w:type="dxa"/>
            <w:shd w:val="clear" w:color="auto" w:fill="auto"/>
            <w:noWrap/>
            <w:vAlign w:val="bottom"/>
          </w:tcPr>
          <w:p w:rsidR="000E123E" w:rsidRDefault="00000000">
            <w:pPr>
              <w:jc w:val="right"/>
              <w:rPr>
                <w:sz w:val="18"/>
                <w:szCs w:val="18"/>
              </w:rPr>
            </w:pPr>
            <w:r>
              <w:rPr>
                <w:sz w:val="18"/>
                <w:szCs w:val="18"/>
              </w:rPr>
              <w:t>-0.1299</w:t>
            </w:r>
          </w:p>
        </w:tc>
        <w:tc>
          <w:tcPr>
            <w:tcW w:w="1080" w:type="dxa"/>
            <w:shd w:val="clear" w:color="auto" w:fill="auto"/>
            <w:noWrap/>
            <w:vAlign w:val="bottom"/>
          </w:tcPr>
          <w:p w:rsidR="000E123E" w:rsidRDefault="00000000">
            <w:pPr>
              <w:jc w:val="right"/>
              <w:rPr>
                <w:sz w:val="18"/>
                <w:szCs w:val="18"/>
              </w:rPr>
            </w:pPr>
            <w:r>
              <w:rPr>
                <w:sz w:val="18"/>
                <w:szCs w:val="18"/>
              </w:rPr>
              <w:t>1.2852</w:t>
            </w:r>
          </w:p>
        </w:tc>
        <w:tc>
          <w:tcPr>
            <w:tcW w:w="1080" w:type="dxa"/>
            <w:shd w:val="clear" w:color="auto" w:fill="auto"/>
            <w:noWrap/>
            <w:vAlign w:val="bottom"/>
          </w:tcPr>
          <w:p w:rsidR="000E123E" w:rsidRDefault="00000000">
            <w:pPr>
              <w:jc w:val="right"/>
              <w:rPr>
                <w:sz w:val="18"/>
                <w:szCs w:val="18"/>
              </w:rPr>
            </w:pPr>
            <w:r>
              <w:rPr>
                <w:sz w:val="18"/>
                <w:szCs w:val="18"/>
              </w:rPr>
              <w:t>-0.1000</w:t>
            </w:r>
          </w:p>
        </w:tc>
        <w:tc>
          <w:tcPr>
            <w:tcW w:w="1080" w:type="dxa"/>
            <w:shd w:val="clear" w:color="auto" w:fill="auto"/>
            <w:noWrap/>
            <w:vAlign w:val="bottom"/>
          </w:tcPr>
          <w:p w:rsidR="000E123E" w:rsidRDefault="00000000">
            <w:pPr>
              <w:jc w:val="right"/>
              <w:rPr>
                <w:sz w:val="18"/>
                <w:szCs w:val="18"/>
              </w:rPr>
            </w:pPr>
            <w:r>
              <w:rPr>
                <w:sz w:val="18"/>
                <w:szCs w:val="18"/>
              </w:rPr>
              <w:t>0.9210</w:t>
            </w:r>
          </w:p>
        </w:tc>
        <w:tc>
          <w:tcPr>
            <w:tcW w:w="1100" w:type="dxa"/>
            <w:shd w:val="clear" w:color="auto" w:fill="auto"/>
            <w:noWrap/>
            <w:vAlign w:val="bottom"/>
          </w:tcPr>
          <w:p w:rsidR="000E123E" w:rsidRDefault="00000000">
            <w:pPr>
              <w:jc w:val="right"/>
              <w:rPr>
                <w:sz w:val="18"/>
                <w:szCs w:val="18"/>
              </w:rPr>
            </w:pPr>
            <w:r>
              <w:rPr>
                <w:sz w:val="18"/>
                <w:szCs w:val="18"/>
              </w:rPr>
              <w:t>-2.8199</w:t>
            </w:r>
          </w:p>
        </w:tc>
        <w:tc>
          <w:tcPr>
            <w:tcW w:w="1080" w:type="dxa"/>
            <w:shd w:val="clear" w:color="auto" w:fill="auto"/>
            <w:noWrap/>
            <w:vAlign w:val="bottom"/>
          </w:tcPr>
          <w:p w:rsidR="000E123E" w:rsidRDefault="00000000">
            <w:pPr>
              <w:jc w:val="right"/>
              <w:rPr>
                <w:sz w:val="18"/>
                <w:szCs w:val="18"/>
              </w:rPr>
            </w:pPr>
            <w:r>
              <w:rPr>
                <w:sz w:val="18"/>
                <w:szCs w:val="18"/>
              </w:rPr>
              <w:t>2.5601</w:t>
            </w:r>
          </w:p>
        </w:tc>
      </w:tr>
    </w:tbl>
    <w:p w:rsidR="000E123E" w:rsidRDefault="000E123E">
      <w:pPr>
        <w:pStyle w:val="SCCAppendix"/>
        <w:ind w:left="0"/>
        <w:rPr>
          <w:b w:val="0"/>
          <w:bCs w:val="0"/>
        </w:rPr>
      </w:pPr>
    </w:p>
    <w:p w:rsidR="000E123E" w:rsidRDefault="00000000">
      <w:pPr>
        <w:pStyle w:val="SCCAppendix"/>
        <w:rPr>
          <w:b w:val="0"/>
          <w:bCs w:val="0"/>
        </w:rPr>
      </w:pPr>
      <w:r>
        <w:rPr>
          <w:b w:val="0"/>
          <w:bCs w:val="0"/>
        </w:rPr>
        <w:lastRenderedPageBreak/>
        <w:t>Table 7: ARDL Model for Agricultural Export Revenue</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750"/>
        <w:gridCol w:w="1060"/>
        <w:gridCol w:w="1060"/>
        <w:gridCol w:w="1060"/>
        <w:gridCol w:w="1060"/>
        <w:gridCol w:w="1060"/>
        <w:gridCol w:w="1060"/>
      </w:tblGrid>
      <w:tr w:rsidR="000E123E">
        <w:trPr>
          <w:trHeight w:val="300"/>
        </w:trPr>
        <w:tc>
          <w:tcPr>
            <w:tcW w:w="1117" w:type="dxa"/>
            <w:shd w:val="clear" w:color="auto" w:fill="auto"/>
            <w:noWrap/>
          </w:tcPr>
          <w:p w:rsidR="000E123E" w:rsidRDefault="00000000">
            <w:pPr>
              <w:jc w:val="center"/>
              <w:rPr>
                <w:b/>
                <w:bCs/>
                <w:sz w:val="18"/>
                <w:szCs w:val="18"/>
              </w:rPr>
            </w:pPr>
            <w:r>
              <w:rPr>
                <w:b/>
                <w:bCs/>
                <w:sz w:val="18"/>
                <w:szCs w:val="18"/>
              </w:rPr>
              <w:t>Component</w:t>
            </w:r>
          </w:p>
        </w:tc>
        <w:tc>
          <w:tcPr>
            <w:tcW w:w="1750" w:type="dxa"/>
            <w:shd w:val="clear" w:color="auto" w:fill="auto"/>
            <w:noWrap/>
          </w:tcPr>
          <w:p w:rsidR="000E123E" w:rsidRDefault="00000000">
            <w:pPr>
              <w:jc w:val="center"/>
              <w:rPr>
                <w:b/>
                <w:bCs/>
                <w:sz w:val="18"/>
                <w:szCs w:val="18"/>
              </w:rPr>
            </w:pPr>
            <w:r>
              <w:rPr>
                <w:b/>
                <w:bCs/>
                <w:sz w:val="18"/>
                <w:szCs w:val="18"/>
              </w:rPr>
              <w:t>Variable</w:t>
            </w:r>
          </w:p>
        </w:tc>
        <w:tc>
          <w:tcPr>
            <w:tcW w:w="1060" w:type="dxa"/>
            <w:shd w:val="clear" w:color="auto" w:fill="auto"/>
            <w:noWrap/>
          </w:tcPr>
          <w:p w:rsidR="000E123E" w:rsidRDefault="00000000">
            <w:pPr>
              <w:jc w:val="center"/>
              <w:rPr>
                <w:b/>
                <w:bCs/>
                <w:sz w:val="18"/>
                <w:szCs w:val="18"/>
              </w:rPr>
            </w:pPr>
            <w:r>
              <w:rPr>
                <w:b/>
                <w:bCs/>
                <w:sz w:val="18"/>
                <w:szCs w:val="18"/>
              </w:rPr>
              <w:t>Coefficient</w:t>
            </w:r>
          </w:p>
        </w:tc>
        <w:tc>
          <w:tcPr>
            <w:tcW w:w="1060" w:type="dxa"/>
            <w:shd w:val="clear" w:color="auto" w:fill="auto"/>
            <w:noWrap/>
          </w:tcPr>
          <w:p w:rsidR="000E123E" w:rsidRDefault="00000000">
            <w:pPr>
              <w:jc w:val="center"/>
              <w:rPr>
                <w:b/>
                <w:bCs/>
                <w:sz w:val="18"/>
                <w:szCs w:val="18"/>
              </w:rPr>
            </w:pPr>
            <w:r>
              <w:rPr>
                <w:b/>
                <w:bCs/>
                <w:sz w:val="18"/>
                <w:szCs w:val="18"/>
              </w:rPr>
              <w:t>Std. Error</w:t>
            </w:r>
          </w:p>
        </w:tc>
        <w:tc>
          <w:tcPr>
            <w:tcW w:w="1060" w:type="dxa"/>
            <w:shd w:val="clear" w:color="auto" w:fill="auto"/>
            <w:noWrap/>
          </w:tcPr>
          <w:p w:rsidR="000E123E" w:rsidRDefault="00000000">
            <w:pPr>
              <w:jc w:val="center"/>
              <w:rPr>
                <w:b/>
                <w:bCs/>
                <w:sz w:val="18"/>
                <w:szCs w:val="18"/>
              </w:rPr>
            </w:pPr>
            <w:r>
              <w:rPr>
                <w:b/>
                <w:bCs/>
                <w:sz w:val="18"/>
                <w:szCs w:val="18"/>
              </w:rPr>
              <w:t>t-value</w:t>
            </w:r>
          </w:p>
        </w:tc>
        <w:tc>
          <w:tcPr>
            <w:tcW w:w="1060" w:type="dxa"/>
            <w:shd w:val="clear" w:color="auto" w:fill="auto"/>
            <w:noWrap/>
          </w:tcPr>
          <w:p w:rsidR="000E123E" w:rsidRDefault="00000000">
            <w:pPr>
              <w:jc w:val="center"/>
              <w:rPr>
                <w:b/>
                <w:bCs/>
                <w:sz w:val="18"/>
                <w:szCs w:val="18"/>
              </w:rPr>
            </w:pPr>
            <w:r>
              <w:rPr>
                <w:b/>
                <w:bCs/>
                <w:sz w:val="18"/>
                <w:szCs w:val="18"/>
              </w:rPr>
              <w:t>P&gt;|t|</w:t>
            </w:r>
          </w:p>
        </w:tc>
        <w:tc>
          <w:tcPr>
            <w:tcW w:w="1060" w:type="dxa"/>
            <w:shd w:val="clear" w:color="auto" w:fill="auto"/>
            <w:noWrap/>
          </w:tcPr>
          <w:p w:rsidR="000E123E" w:rsidRDefault="00000000">
            <w:pPr>
              <w:jc w:val="center"/>
              <w:rPr>
                <w:b/>
                <w:bCs/>
                <w:sz w:val="18"/>
                <w:szCs w:val="18"/>
              </w:rPr>
            </w:pPr>
            <w:r>
              <w:rPr>
                <w:b/>
                <w:bCs/>
                <w:sz w:val="18"/>
                <w:szCs w:val="18"/>
              </w:rPr>
              <w:t>95% CI Lower</w:t>
            </w:r>
          </w:p>
        </w:tc>
        <w:tc>
          <w:tcPr>
            <w:tcW w:w="1060" w:type="dxa"/>
            <w:shd w:val="clear" w:color="auto" w:fill="auto"/>
            <w:noWrap/>
          </w:tcPr>
          <w:p w:rsidR="000E123E" w:rsidRDefault="00000000">
            <w:pPr>
              <w:jc w:val="center"/>
              <w:rPr>
                <w:b/>
                <w:bCs/>
                <w:sz w:val="18"/>
                <w:szCs w:val="18"/>
              </w:rPr>
            </w:pPr>
            <w:r>
              <w:rPr>
                <w:b/>
                <w:bCs/>
                <w:sz w:val="18"/>
                <w:szCs w:val="18"/>
              </w:rPr>
              <w:t>95% CI Upper</w:t>
            </w:r>
          </w:p>
        </w:tc>
      </w:tr>
      <w:tr w:rsidR="000E123E">
        <w:trPr>
          <w:trHeight w:val="300"/>
        </w:trPr>
        <w:tc>
          <w:tcPr>
            <w:tcW w:w="1117" w:type="dxa"/>
            <w:shd w:val="clear" w:color="auto" w:fill="auto"/>
            <w:noWrap/>
            <w:vAlign w:val="bottom"/>
          </w:tcPr>
          <w:p w:rsidR="000E123E" w:rsidRDefault="00000000">
            <w:pPr>
              <w:rPr>
                <w:sz w:val="18"/>
                <w:szCs w:val="18"/>
              </w:rPr>
            </w:pPr>
            <w:r>
              <w:rPr>
                <w:sz w:val="18"/>
                <w:szCs w:val="18"/>
              </w:rPr>
              <w:t>Adjustment</w:t>
            </w:r>
          </w:p>
        </w:tc>
        <w:tc>
          <w:tcPr>
            <w:tcW w:w="1750" w:type="dxa"/>
            <w:shd w:val="clear" w:color="auto" w:fill="auto"/>
            <w:noWrap/>
            <w:vAlign w:val="bottom"/>
          </w:tcPr>
          <w:p w:rsidR="000E123E" w:rsidRDefault="00000000">
            <w:pPr>
              <w:rPr>
                <w:sz w:val="18"/>
                <w:szCs w:val="18"/>
              </w:rPr>
            </w:pPr>
            <w:r>
              <w:rPr>
                <w:sz w:val="18"/>
                <w:szCs w:val="18"/>
              </w:rPr>
              <w:t>L1.ln_agro_exports</w:t>
            </w:r>
          </w:p>
        </w:tc>
        <w:tc>
          <w:tcPr>
            <w:tcW w:w="1060" w:type="dxa"/>
            <w:shd w:val="clear" w:color="auto" w:fill="auto"/>
            <w:noWrap/>
            <w:vAlign w:val="bottom"/>
          </w:tcPr>
          <w:p w:rsidR="000E123E" w:rsidRDefault="00000000">
            <w:pPr>
              <w:jc w:val="right"/>
              <w:rPr>
                <w:sz w:val="18"/>
                <w:szCs w:val="18"/>
              </w:rPr>
            </w:pPr>
            <w:r>
              <w:rPr>
                <w:sz w:val="18"/>
                <w:szCs w:val="18"/>
              </w:rPr>
              <w:t>-0.2471</w:t>
            </w:r>
          </w:p>
        </w:tc>
        <w:tc>
          <w:tcPr>
            <w:tcW w:w="1060" w:type="dxa"/>
            <w:shd w:val="clear" w:color="auto" w:fill="auto"/>
            <w:noWrap/>
            <w:vAlign w:val="bottom"/>
          </w:tcPr>
          <w:p w:rsidR="000E123E" w:rsidRDefault="00000000">
            <w:pPr>
              <w:jc w:val="right"/>
              <w:rPr>
                <w:sz w:val="18"/>
                <w:szCs w:val="18"/>
              </w:rPr>
            </w:pPr>
            <w:r>
              <w:rPr>
                <w:sz w:val="18"/>
                <w:szCs w:val="18"/>
              </w:rPr>
              <w:t>0.1803</w:t>
            </w:r>
          </w:p>
        </w:tc>
        <w:tc>
          <w:tcPr>
            <w:tcW w:w="1060" w:type="dxa"/>
            <w:shd w:val="clear" w:color="auto" w:fill="auto"/>
            <w:noWrap/>
            <w:vAlign w:val="bottom"/>
          </w:tcPr>
          <w:p w:rsidR="000E123E" w:rsidRDefault="00000000">
            <w:pPr>
              <w:jc w:val="right"/>
              <w:rPr>
                <w:sz w:val="18"/>
                <w:szCs w:val="18"/>
              </w:rPr>
            </w:pPr>
            <w:r>
              <w:rPr>
                <w:sz w:val="18"/>
                <w:szCs w:val="18"/>
              </w:rPr>
              <w:t>-1.3700</w:t>
            </w:r>
          </w:p>
        </w:tc>
        <w:tc>
          <w:tcPr>
            <w:tcW w:w="1060" w:type="dxa"/>
            <w:shd w:val="clear" w:color="auto" w:fill="auto"/>
            <w:noWrap/>
            <w:vAlign w:val="bottom"/>
          </w:tcPr>
          <w:p w:rsidR="000E123E" w:rsidRDefault="00000000">
            <w:pPr>
              <w:jc w:val="right"/>
              <w:rPr>
                <w:sz w:val="18"/>
                <w:szCs w:val="18"/>
              </w:rPr>
            </w:pPr>
            <w:r>
              <w:rPr>
                <w:sz w:val="18"/>
                <w:szCs w:val="18"/>
              </w:rPr>
              <w:t>0.1890</w:t>
            </w:r>
          </w:p>
        </w:tc>
        <w:tc>
          <w:tcPr>
            <w:tcW w:w="1060" w:type="dxa"/>
            <w:shd w:val="clear" w:color="auto" w:fill="auto"/>
            <w:noWrap/>
            <w:vAlign w:val="bottom"/>
          </w:tcPr>
          <w:p w:rsidR="000E123E" w:rsidRDefault="00000000">
            <w:pPr>
              <w:jc w:val="right"/>
              <w:rPr>
                <w:sz w:val="18"/>
                <w:szCs w:val="18"/>
              </w:rPr>
            </w:pPr>
            <w:r>
              <w:rPr>
                <w:sz w:val="18"/>
                <w:szCs w:val="18"/>
              </w:rPr>
              <w:t>-0.6294</w:t>
            </w:r>
          </w:p>
        </w:tc>
        <w:tc>
          <w:tcPr>
            <w:tcW w:w="1060" w:type="dxa"/>
            <w:shd w:val="clear" w:color="auto" w:fill="auto"/>
            <w:noWrap/>
            <w:vAlign w:val="bottom"/>
          </w:tcPr>
          <w:p w:rsidR="000E123E" w:rsidRDefault="00000000">
            <w:pPr>
              <w:jc w:val="right"/>
              <w:rPr>
                <w:sz w:val="18"/>
                <w:szCs w:val="18"/>
              </w:rPr>
            </w:pPr>
            <w:r>
              <w:rPr>
                <w:sz w:val="18"/>
                <w:szCs w:val="18"/>
              </w:rPr>
              <w:t>0.1351</w:t>
            </w:r>
          </w:p>
        </w:tc>
      </w:tr>
      <w:tr w:rsidR="000E123E">
        <w:trPr>
          <w:trHeight w:val="300"/>
        </w:trPr>
        <w:tc>
          <w:tcPr>
            <w:tcW w:w="1117" w:type="dxa"/>
            <w:shd w:val="clear" w:color="auto" w:fill="auto"/>
            <w:noWrap/>
            <w:vAlign w:val="bottom"/>
          </w:tcPr>
          <w:p w:rsidR="000E123E" w:rsidRDefault="00000000">
            <w:pPr>
              <w:rPr>
                <w:sz w:val="18"/>
                <w:szCs w:val="18"/>
              </w:rPr>
            </w:pPr>
            <w:r>
              <w:rPr>
                <w:sz w:val="18"/>
                <w:szCs w:val="18"/>
              </w:rPr>
              <w:t>Long Run</w:t>
            </w:r>
          </w:p>
        </w:tc>
        <w:tc>
          <w:tcPr>
            <w:tcW w:w="1750" w:type="dxa"/>
            <w:shd w:val="clear" w:color="auto" w:fill="auto"/>
            <w:noWrap/>
            <w:vAlign w:val="bottom"/>
          </w:tcPr>
          <w:p w:rsidR="000E123E" w:rsidRDefault="00000000">
            <w:pPr>
              <w:rPr>
                <w:sz w:val="18"/>
                <w:szCs w:val="18"/>
              </w:rPr>
            </w:pPr>
            <w:r>
              <w:rPr>
                <w:sz w:val="18"/>
                <w:szCs w:val="18"/>
              </w:rPr>
              <w:t>ERV</w:t>
            </w:r>
          </w:p>
        </w:tc>
        <w:tc>
          <w:tcPr>
            <w:tcW w:w="1060" w:type="dxa"/>
            <w:shd w:val="clear" w:color="auto" w:fill="auto"/>
            <w:noWrap/>
            <w:vAlign w:val="bottom"/>
          </w:tcPr>
          <w:p w:rsidR="000E123E" w:rsidRDefault="00000000">
            <w:pPr>
              <w:jc w:val="right"/>
              <w:rPr>
                <w:sz w:val="18"/>
                <w:szCs w:val="18"/>
              </w:rPr>
            </w:pPr>
            <w:r>
              <w:rPr>
                <w:sz w:val="18"/>
                <w:szCs w:val="18"/>
              </w:rPr>
              <w:t>-0.7028</w:t>
            </w:r>
          </w:p>
        </w:tc>
        <w:tc>
          <w:tcPr>
            <w:tcW w:w="1060" w:type="dxa"/>
            <w:shd w:val="clear" w:color="auto" w:fill="auto"/>
            <w:noWrap/>
            <w:vAlign w:val="bottom"/>
          </w:tcPr>
          <w:p w:rsidR="000E123E" w:rsidRDefault="00000000">
            <w:pPr>
              <w:jc w:val="right"/>
              <w:rPr>
                <w:sz w:val="18"/>
                <w:szCs w:val="18"/>
              </w:rPr>
            </w:pPr>
            <w:r>
              <w:rPr>
                <w:sz w:val="18"/>
                <w:szCs w:val="18"/>
              </w:rPr>
              <w:t>0.2089</w:t>
            </w:r>
          </w:p>
        </w:tc>
        <w:tc>
          <w:tcPr>
            <w:tcW w:w="1060" w:type="dxa"/>
            <w:shd w:val="clear" w:color="auto" w:fill="auto"/>
            <w:noWrap/>
            <w:vAlign w:val="bottom"/>
          </w:tcPr>
          <w:p w:rsidR="000E123E" w:rsidRDefault="00000000">
            <w:pPr>
              <w:jc w:val="right"/>
              <w:rPr>
                <w:sz w:val="18"/>
                <w:szCs w:val="18"/>
              </w:rPr>
            </w:pPr>
            <w:r>
              <w:rPr>
                <w:sz w:val="18"/>
                <w:szCs w:val="18"/>
              </w:rPr>
              <w:t>-3.3600</w:t>
            </w:r>
          </w:p>
        </w:tc>
        <w:tc>
          <w:tcPr>
            <w:tcW w:w="1060" w:type="dxa"/>
            <w:shd w:val="clear" w:color="auto" w:fill="auto"/>
            <w:noWrap/>
            <w:vAlign w:val="bottom"/>
          </w:tcPr>
          <w:p w:rsidR="000E123E" w:rsidRDefault="00000000">
            <w:pPr>
              <w:jc w:val="right"/>
              <w:rPr>
                <w:sz w:val="18"/>
                <w:szCs w:val="18"/>
              </w:rPr>
            </w:pPr>
            <w:r>
              <w:rPr>
                <w:sz w:val="18"/>
                <w:szCs w:val="18"/>
              </w:rPr>
              <w:t>0.0040</w:t>
            </w:r>
          </w:p>
        </w:tc>
        <w:tc>
          <w:tcPr>
            <w:tcW w:w="1060" w:type="dxa"/>
            <w:shd w:val="clear" w:color="auto" w:fill="auto"/>
            <w:noWrap/>
            <w:vAlign w:val="bottom"/>
          </w:tcPr>
          <w:p w:rsidR="000E123E" w:rsidRDefault="00000000">
            <w:pPr>
              <w:jc w:val="right"/>
              <w:rPr>
                <w:sz w:val="18"/>
                <w:szCs w:val="18"/>
              </w:rPr>
            </w:pPr>
            <w:r>
              <w:rPr>
                <w:sz w:val="18"/>
                <w:szCs w:val="18"/>
              </w:rPr>
              <w:t>-1.1457</w:t>
            </w:r>
          </w:p>
        </w:tc>
        <w:tc>
          <w:tcPr>
            <w:tcW w:w="1060" w:type="dxa"/>
            <w:shd w:val="clear" w:color="auto" w:fill="auto"/>
            <w:noWrap/>
            <w:vAlign w:val="bottom"/>
          </w:tcPr>
          <w:p w:rsidR="000E123E" w:rsidRDefault="00000000">
            <w:pPr>
              <w:jc w:val="right"/>
              <w:rPr>
                <w:sz w:val="18"/>
                <w:szCs w:val="18"/>
              </w:rPr>
            </w:pPr>
            <w:r>
              <w:rPr>
                <w:sz w:val="18"/>
                <w:szCs w:val="18"/>
              </w:rPr>
              <w:t>-0.2600</w:t>
            </w:r>
          </w:p>
        </w:tc>
      </w:tr>
      <w:tr w:rsidR="000E123E">
        <w:trPr>
          <w:trHeight w:val="300"/>
        </w:trPr>
        <w:tc>
          <w:tcPr>
            <w:tcW w:w="1117" w:type="dxa"/>
            <w:shd w:val="clear" w:color="auto" w:fill="auto"/>
            <w:noWrap/>
            <w:vAlign w:val="bottom"/>
          </w:tcPr>
          <w:p w:rsidR="000E123E" w:rsidRDefault="00000000">
            <w:pPr>
              <w:rPr>
                <w:sz w:val="18"/>
                <w:szCs w:val="18"/>
              </w:rPr>
            </w:pPr>
            <w:r>
              <w:rPr>
                <w:sz w:val="18"/>
                <w:szCs w:val="18"/>
              </w:rPr>
              <w:t>Long Run</w:t>
            </w:r>
          </w:p>
        </w:tc>
        <w:tc>
          <w:tcPr>
            <w:tcW w:w="1750" w:type="dxa"/>
            <w:shd w:val="clear" w:color="auto" w:fill="auto"/>
            <w:noWrap/>
            <w:vAlign w:val="bottom"/>
          </w:tcPr>
          <w:p w:rsidR="000E123E" w:rsidRDefault="00000000">
            <w:pPr>
              <w:rPr>
                <w:sz w:val="18"/>
                <w:szCs w:val="18"/>
              </w:rPr>
            </w:pPr>
            <w:r>
              <w:rPr>
                <w:sz w:val="18"/>
                <w:szCs w:val="18"/>
              </w:rPr>
              <w:t>INR</w:t>
            </w:r>
          </w:p>
        </w:tc>
        <w:tc>
          <w:tcPr>
            <w:tcW w:w="1060" w:type="dxa"/>
            <w:shd w:val="clear" w:color="auto" w:fill="auto"/>
            <w:noWrap/>
            <w:vAlign w:val="bottom"/>
          </w:tcPr>
          <w:p w:rsidR="000E123E" w:rsidRDefault="00000000">
            <w:pPr>
              <w:jc w:val="right"/>
              <w:rPr>
                <w:sz w:val="18"/>
                <w:szCs w:val="18"/>
              </w:rPr>
            </w:pPr>
            <w:r>
              <w:rPr>
                <w:sz w:val="18"/>
                <w:szCs w:val="18"/>
              </w:rPr>
              <w:t>-0.1920</w:t>
            </w:r>
          </w:p>
        </w:tc>
        <w:tc>
          <w:tcPr>
            <w:tcW w:w="1060" w:type="dxa"/>
            <w:shd w:val="clear" w:color="auto" w:fill="auto"/>
            <w:noWrap/>
            <w:vAlign w:val="bottom"/>
          </w:tcPr>
          <w:p w:rsidR="000E123E" w:rsidRDefault="00000000">
            <w:pPr>
              <w:jc w:val="right"/>
              <w:rPr>
                <w:sz w:val="18"/>
                <w:szCs w:val="18"/>
              </w:rPr>
            </w:pPr>
            <w:r>
              <w:rPr>
                <w:sz w:val="18"/>
                <w:szCs w:val="18"/>
              </w:rPr>
              <w:t>0.1655</w:t>
            </w:r>
          </w:p>
        </w:tc>
        <w:tc>
          <w:tcPr>
            <w:tcW w:w="1060" w:type="dxa"/>
            <w:shd w:val="clear" w:color="auto" w:fill="auto"/>
            <w:noWrap/>
            <w:vAlign w:val="bottom"/>
          </w:tcPr>
          <w:p w:rsidR="000E123E" w:rsidRDefault="00000000">
            <w:pPr>
              <w:jc w:val="right"/>
              <w:rPr>
                <w:sz w:val="18"/>
                <w:szCs w:val="18"/>
              </w:rPr>
            </w:pPr>
            <w:r>
              <w:rPr>
                <w:sz w:val="18"/>
                <w:szCs w:val="18"/>
              </w:rPr>
              <w:t>-1.1600</w:t>
            </w:r>
          </w:p>
        </w:tc>
        <w:tc>
          <w:tcPr>
            <w:tcW w:w="1060" w:type="dxa"/>
            <w:shd w:val="clear" w:color="auto" w:fill="auto"/>
            <w:noWrap/>
            <w:vAlign w:val="bottom"/>
          </w:tcPr>
          <w:p w:rsidR="000E123E" w:rsidRDefault="00000000">
            <w:pPr>
              <w:jc w:val="right"/>
              <w:rPr>
                <w:sz w:val="18"/>
                <w:szCs w:val="18"/>
              </w:rPr>
            </w:pPr>
            <w:r>
              <w:rPr>
                <w:sz w:val="18"/>
                <w:szCs w:val="18"/>
              </w:rPr>
              <w:t>0.2630</w:t>
            </w:r>
          </w:p>
        </w:tc>
        <w:tc>
          <w:tcPr>
            <w:tcW w:w="1060" w:type="dxa"/>
            <w:shd w:val="clear" w:color="auto" w:fill="auto"/>
            <w:noWrap/>
            <w:vAlign w:val="bottom"/>
          </w:tcPr>
          <w:p w:rsidR="000E123E" w:rsidRDefault="00000000">
            <w:pPr>
              <w:jc w:val="right"/>
              <w:rPr>
                <w:sz w:val="18"/>
                <w:szCs w:val="18"/>
              </w:rPr>
            </w:pPr>
            <w:r>
              <w:rPr>
                <w:sz w:val="18"/>
                <w:szCs w:val="18"/>
              </w:rPr>
              <w:t>-0.5428</w:t>
            </w:r>
          </w:p>
        </w:tc>
        <w:tc>
          <w:tcPr>
            <w:tcW w:w="1060" w:type="dxa"/>
            <w:shd w:val="clear" w:color="auto" w:fill="auto"/>
            <w:noWrap/>
            <w:vAlign w:val="bottom"/>
          </w:tcPr>
          <w:p w:rsidR="000E123E" w:rsidRDefault="00000000">
            <w:pPr>
              <w:jc w:val="right"/>
              <w:rPr>
                <w:sz w:val="18"/>
                <w:szCs w:val="18"/>
              </w:rPr>
            </w:pPr>
            <w:r>
              <w:rPr>
                <w:sz w:val="18"/>
                <w:szCs w:val="18"/>
              </w:rPr>
              <w:t>0.1588</w:t>
            </w:r>
          </w:p>
        </w:tc>
      </w:tr>
      <w:tr w:rsidR="000E123E">
        <w:trPr>
          <w:trHeight w:val="300"/>
        </w:trPr>
        <w:tc>
          <w:tcPr>
            <w:tcW w:w="1117" w:type="dxa"/>
            <w:shd w:val="clear" w:color="auto" w:fill="auto"/>
            <w:noWrap/>
            <w:vAlign w:val="bottom"/>
          </w:tcPr>
          <w:p w:rsidR="000E123E" w:rsidRDefault="00000000">
            <w:pPr>
              <w:rPr>
                <w:sz w:val="18"/>
                <w:szCs w:val="18"/>
              </w:rPr>
            </w:pPr>
            <w:r>
              <w:rPr>
                <w:sz w:val="18"/>
                <w:szCs w:val="18"/>
              </w:rPr>
              <w:t>Long Run</w:t>
            </w:r>
          </w:p>
        </w:tc>
        <w:tc>
          <w:tcPr>
            <w:tcW w:w="1750" w:type="dxa"/>
            <w:shd w:val="clear" w:color="auto" w:fill="auto"/>
            <w:noWrap/>
            <w:vAlign w:val="bottom"/>
          </w:tcPr>
          <w:p w:rsidR="000E123E" w:rsidRDefault="00000000">
            <w:pPr>
              <w:rPr>
                <w:sz w:val="18"/>
                <w:szCs w:val="18"/>
              </w:rPr>
            </w:pPr>
            <w:r>
              <w:rPr>
                <w:sz w:val="18"/>
                <w:szCs w:val="18"/>
              </w:rPr>
              <w:t>INF</w:t>
            </w:r>
          </w:p>
        </w:tc>
        <w:tc>
          <w:tcPr>
            <w:tcW w:w="1060" w:type="dxa"/>
            <w:shd w:val="clear" w:color="auto" w:fill="auto"/>
            <w:noWrap/>
            <w:vAlign w:val="bottom"/>
          </w:tcPr>
          <w:p w:rsidR="000E123E" w:rsidRDefault="00000000">
            <w:pPr>
              <w:jc w:val="right"/>
              <w:rPr>
                <w:sz w:val="18"/>
                <w:szCs w:val="18"/>
              </w:rPr>
            </w:pPr>
            <w:r>
              <w:rPr>
                <w:sz w:val="18"/>
                <w:szCs w:val="18"/>
              </w:rPr>
              <w:t>-0.0898</w:t>
            </w:r>
          </w:p>
        </w:tc>
        <w:tc>
          <w:tcPr>
            <w:tcW w:w="1060" w:type="dxa"/>
            <w:shd w:val="clear" w:color="auto" w:fill="auto"/>
            <w:noWrap/>
            <w:vAlign w:val="bottom"/>
          </w:tcPr>
          <w:p w:rsidR="000E123E" w:rsidRDefault="00000000">
            <w:pPr>
              <w:jc w:val="right"/>
              <w:rPr>
                <w:sz w:val="18"/>
                <w:szCs w:val="18"/>
              </w:rPr>
            </w:pPr>
            <w:r>
              <w:rPr>
                <w:sz w:val="18"/>
                <w:szCs w:val="18"/>
              </w:rPr>
              <w:t>0.1084</w:t>
            </w:r>
          </w:p>
        </w:tc>
        <w:tc>
          <w:tcPr>
            <w:tcW w:w="1060" w:type="dxa"/>
            <w:shd w:val="clear" w:color="auto" w:fill="auto"/>
            <w:noWrap/>
            <w:vAlign w:val="bottom"/>
          </w:tcPr>
          <w:p w:rsidR="000E123E" w:rsidRDefault="00000000">
            <w:pPr>
              <w:jc w:val="right"/>
              <w:rPr>
                <w:sz w:val="18"/>
                <w:szCs w:val="18"/>
              </w:rPr>
            </w:pPr>
            <w:r>
              <w:rPr>
                <w:sz w:val="18"/>
                <w:szCs w:val="18"/>
              </w:rPr>
              <w:t>-0.8300</w:t>
            </w:r>
          </w:p>
        </w:tc>
        <w:tc>
          <w:tcPr>
            <w:tcW w:w="1060" w:type="dxa"/>
            <w:shd w:val="clear" w:color="auto" w:fill="auto"/>
            <w:noWrap/>
            <w:vAlign w:val="bottom"/>
          </w:tcPr>
          <w:p w:rsidR="000E123E" w:rsidRDefault="00000000">
            <w:pPr>
              <w:jc w:val="right"/>
              <w:rPr>
                <w:sz w:val="18"/>
                <w:szCs w:val="18"/>
              </w:rPr>
            </w:pPr>
            <w:r>
              <w:rPr>
                <w:sz w:val="18"/>
                <w:szCs w:val="18"/>
              </w:rPr>
              <w:t>0.4200</w:t>
            </w:r>
          </w:p>
        </w:tc>
        <w:tc>
          <w:tcPr>
            <w:tcW w:w="1060" w:type="dxa"/>
            <w:shd w:val="clear" w:color="auto" w:fill="auto"/>
            <w:noWrap/>
            <w:vAlign w:val="bottom"/>
          </w:tcPr>
          <w:p w:rsidR="000E123E" w:rsidRDefault="00000000">
            <w:pPr>
              <w:jc w:val="right"/>
              <w:rPr>
                <w:sz w:val="18"/>
                <w:szCs w:val="18"/>
              </w:rPr>
            </w:pPr>
            <w:r>
              <w:rPr>
                <w:sz w:val="18"/>
                <w:szCs w:val="18"/>
              </w:rPr>
              <w:t>-0.3195</w:t>
            </w:r>
          </w:p>
        </w:tc>
        <w:tc>
          <w:tcPr>
            <w:tcW w:w="1060" w:type="dxa"/>
            <w:shd w:val="clear" w:color="auto" w:fill="auto"/>
            <w:noWrap/>
            <w:vAlign w:val="bottom"/>
          </w:tcPr>
          <w:p w:rsidR="000E123E" w:rsidRDefault="00000000">
            <w:pPr>
              <w:jc w:val="right"/>
              <w:rPr>
                <w:sz w:val="18"/>
                <w:szCs w:val="18"/>
              </w:rPr>
            </w:pPr>
            <w:r>
              <w:rPr>
                <w:sz w:val="18"/>
                <w:szCs w:val="18"/>
              </w:rPr>
              <w:t>0.1400</w:t>
            </w:r>
          </w:p>
        </w:tc>
      </w:tr>
      <w:tr w:rsidR="000E123E">
        <w:trPr>
          <w:trHeight w:val="300"/>
        </w:trPr>
        <w:tc>
          <w:tcPr>
            <w:tcW w:w="1117" w:type="dxa"/>
            <w:shd w:val="clear" w:color="auto" w:fill="auto"/>
            <w:noWrap/>
            <w:vAlign w:val="bottom"/>
          </w:tcPr>
          <w:p w:rsidR="000E123E" w:rsidRDefault="00000000">
            <w:pPr>
              <w:rPr>
                <w:sz w:val="18"/>
                <w:szCs w:val="18"/>
              </w:rPr>
            </w:pPr>
            <w:r>
              <w:rPr>
                <w:sz w:val="18"/>
                <w:szCs w:val="18"/>
              </w:rPr>
              <w:t>Long Run</w:t>
            </w:r>
          </w:p>
        </w:tc>
        <w:tc>
          <w:tcPr>
            <w:tcW w:w="1750" w:type="dxa"/>
            <w:shd w:val="clear" w:color="auto" w:fill="auto"/>
            <w:noWrap/>
            <w:vAlign w:val="bottom"/>
          </w:tcPr>
          <w:p w:rsidR="000E123E" w:rsidRDefault="00000000">
            <w:pPr>
              <w:rPr>
                <w:sz w:val="18"/>
                <w:szCs w:val="18"/>
              </w:rPr>
            </w:pPr>
            <w:r>
              <w:rPr>
                <w:sz w:val="18"/>
                <w:szCs w:val="18"/>
              </w:rPr>
              <w:t>FDI</w:t>
            </w:r>
          </w:p>
        </w:tc>
        <w:tc>
          <w:tcPr>
            <w:tcW w:w="1060" w:type="dxa"/>
            <w:shd w:val="clear" w:color="auto" w:fill="auto"/>
            <w:noWrap/>
            <w:vAlign w:val="bottom"/>
          </w:tcPr>
          <w:p w:rsidR="000E123E" w:rsidRDefault="00000000">
            <w:pPr>
              <w:jc w:val="right"/>
              <w:rPr>
                <w:sz w:val="18"/>
                <w:szCs w:val="18"/>
              </w:rPr>
            </w:pPr>
            <w:r>
              <w:rPr>
                <w:sz w:val="18"/>
                <w:szCs w:val="18"/>
              </w:rPr>
              <w:t>0.2246</w:t>
            </w:r>
          </w:p>
        </w:tc>
        <w:tc>
          <w:tcPr>
            <w:tcW w:w="1060" w:type="dxa"/>
            <w:shd w:val="clear" w:color="auto" w:fill="auto"/>
            <w:noWrap/>
            <w:vAlign w:val="bottom"/>
          </w:tcPr>
          <w:p w:rsidR="000E123E" w:rsidRDefault="00000000">
            <w:pPr>
              <w:jc w:val="right"/>
              <w:rPr>
                <w:sz w:val="18"/>
                <w:szCs w:val="18"/>
              </w:rPr>
            </w:pPr>
            <w:r>
              <w:rPr>
                <w:sz w:val="18"/>
                <w:szCs w:val="18"/>
              </w:rPr>
              <w:t>0.2567</w:t>
            </w:r>
          </w:p>
        </w:tc>
        <w:tc>
          <w:tcPr>
            <w:tcW w:w="1060" w:type="dxa"/>
            <w:shd w:val="clear" w:color="auto" w:fill="auto"/>
            <w:noWrap/>
            <w:vAlign w:val="bottom"/>
          </w:tcPr>
          <w:p w:rsidR="000E123E" w:rsidRDefault="00000000">
            <w:pPr>
              <w:jc w:val="right"/>
              <w:rPr>
                <w:sz w:val="18"/>
                <w:szCs w:val="18"/>
              </w:rPr>
            </w:pPr>
            <w:r>
              <w:rPr>
                <w:sz w:val="18"/>
                <w:szCs w:val="18"/>
              </w:rPr>
              <w:t>0.8700</w:t>
            </w:r>
          </w:p>
        </w:tc>
        <w:tc>
          <w:tcPr>
            <w:tcW w:w="1060" w:type="dxa"/>
            <w:shd w:val="clear" w:color="auto" w:fill="auto"/>
            <w:noWrap/>
            <w:vAlign w:val="bottom"/>
          </w:tcPr>
          <w:p w:rsidR="000E123E" w:rsidRDefault="00000000">
            <w:pPr>
              <w:jc w:val="right"/>
              <w:rPr>
                <w:sz w:val="18"/>
                <w:szCs w:val="18"/>
              </w:rPr>
            </w:pPr>
            <w:r>
              <w:rPr>
                <w:sz w:val="18"/>
                <w:szCs w:val="18"/>
              </w:rPr>
              <w:t>0.3950</w:t>
            </w:r>
          </w:p>
        </w:tc>
        <w:tc>
          <w:tcPr>
            <w:tcW w:w="1060" w:type="dxa"/>
            <w:shd w:val="clear" w:color="auto" w:fill="auto"/>
            <w:noWrap/>
            <w:vAlign w:val="bottom"/>
          </w:tcPr>
          <w:p w:rsidR="000E123E" w:rsidRDefault="00000000">
            <w:pPr>
              <w:jc w:val="right"/>
              <w:rPr>
                <w:sz w:val="18"/>
                <w:szCs w:val="18"/>
              </w:rPr>
            </w:pPr>
            <w:r>
              <w:rPr>
                <w:sz w:val="18"/>
                <w:szCs w:val="18"/>
              </w:rPr>
              <w:t>-0.3197</w:t>
            </w:r>
          </w:p>
        </w:tc>
        <w:tc>
          <w:tcPr>
            <w:tcW w:w="1060" w:type="dxa"/>
            <w:shd w:val="clear" w:color="auto" w:fill="auto"/>
            <w:noWrap/>
            <w:vAlign w:val="bottom"/>
          </w:tcPr>
          <w:p w:rsidR="000E123E" w:rsidRDefault="00000000">
            <w:pPr>
              <w:jc w:val="right"/>
              <w:rPr>
                <w:sz w:val="18"/>
                <w:szCs w:val="18"/>
              </w:rPr>
            </w:pPr>
            <w:r>
              <w:rPr>
                <w:sz w:val="18"/>
                <w:szCs w:val="18"/>
              </w:rPr>
              <w:t>0.7688</w:t>
            </w:r>
          </w:p>
        </w:tc>
      </w:tr>
      <w:tr w:rsidR="000E123E">
        <w:trPr>
          <w:trHeight w:val="300"/>
        </w:trPr>
        <w:tc>
          <w:tcPr>
            <w:tcW w:w="1117" w:type="dxa"/>
            <w:shd w:val="clear" w:color="auto" w:fill="auto"/>
            <w:noWrap/>
            <w:vAlign w:val="bottom"/>
          </w:tcPr>
          <w:p w:rsidR="000E123E" w:rsidRDefault="00000000">
            <w:pPr>
              <w:rPr>
                <w:sz w:val="18"/>
                <w:szCs w:val="18"/>
              </w:rPr>
            </w:pPr>
            <w:r>
              <w:rPr>
                <w:sz w:val="18"/>
                <w:szCs w:val="18"/>
              </w:rPr>
              <w:t>Short Run</w:t>
            </w:r>
          </w:p>
        </w:tc>
        <w:tc>
          <w:tcPr>
            <w:tcW w:w="1750" w:type="dxa"/>
            <w:shd w:val="clear" w:color="auto" w:fill="auto"/>
            <w:noWrap/>
            <w:vAlign w:val="bottom"/>
          </w:tcPr>
          <w:p w:rsidR="000E123E" w:rsidRDefault="00000000">
            <w:pPr>
              <w:rPr>
                <w:sz w:val="18"/>
                <w:szCs w:val="18"/>
              </w:rPr>
            </w:pPr>
            <w:r>
              <w:rPr>
                <w:sz w:val="18"/>
                <w:szCs w:val="18"/>
              </w:rPr>
              <w:t>D1.ERV</w:t>
            </w:r>
          </w:p>
        </w:tc>
        <w:tc>
          <w:tcPr>
            <w:tcW w:w="1060" w:type="dxa"/>
            <w:shd w:val="clear" w:color="auto" w:fill="auto"/>
            <w:noWrap/>
            <w:vAlign w:val="bottom"/>
          </w:tcPr>
          <w:p w:rsidR="000E123E" w:rsidRDefault="00000000">
            <w:pPr>
              <w:jc w:val="right"/>
              <w:rPr>
                <w:sz w:val="18"/>
                <w:szCs w:val="18"/>
              </w:rPr>
            </w:pPr>
            <w:r>
              <w:rPr>
                <w:sz w:val="18"/>
                <w:szCs w:val="18"/>
              </w:rPr>
              <w:t>0.0395</w:t>
            </w:r>
          </w:p>
        </w:tc>
        <w:tc>
          <w:tcPr>
            <w:tcW w:w="1060" w:type="dxa"/>
            <w:shd w:val="clear" w:color="auto" w:fill="auto"/>
            <w:noWrap/>
            <w:vAlign w:val="bottom"/>
          </w:tcPr>
          <w:p w:rsidR="000E123E" w:rsidRDefault="00000000">
            <w:pPr>
              <w:jc w:val="right"/>
              <w:rPr>
                <w:sz w:val="18"/>
                <w:szCs w:val="18"/>
              </w:rPr>
            </w:pPr>
            <w:r>
              <w:rPr>
                <w:sz w:val="18"/>
                <w:szCs w:val="18"/>
              </w:rPr>
              <w:t>0.0693</w:t>
            </w:r>
          </w:p>
        </w:tc>
        <w:tc>
          <w:tcPr>
            <w:tcW w:w="1060" w:type="dxa"/>
            <w:shd w:val="clear" w:color="auto" w:fill="auto"/>
            <w:noWrap/>
            <w:vAlign w:val="bottom"/>
          </w:tcPr>
          <w:p w:rsidR="000E123E" w:rsidRDefault="00000000">
            <w:pPr>
              <w:jc w:val="right"/>
              <w:rPr>
                <w:sz w:val="18"/>
                <w:szCs w:val="18"/>
              </w:rPr>
            </w:pPr>
            <w:r>
              <w:rPr>
                <w:sz w:val="18"/>
                <w:szCs w:val="18"/>
              </w:rPr>
              <w:t>0.5700</w:t>
            </w:r>
          </w:p>
        </w:tc>
        <w:tc>
          <w:tcPr>
            <w:tcW w:w="1060" w:type="dxa"/>
            <w:shd w:val="clear" w:color="auto" w:fill="auto"/>
            <w:noWrap/>
            <w:vAlign w:val="bottom"/>
          </w:tcPr>
          <w:p w:rsidR="000E123E" w:rsidRDefault="00000000">
            <w:pPr>
              <w:jc w:val="right"/>
              <w:rPr>
                <w:sz w:val="18"/>
                <w:szCs w:val="18"/>
              </w:rPr>
            </w:pPr>
            <w:r>
              <w:rPr>
                <w:sz w:val="18"/>
                <w:szCs w:val="18"/>
              </w:rPr>
              <w:t>0.5770</w:t>
            </w:r>
          </w:p>
        </w:tc>
        <w:tc>
          <w:tcPr>
            <w:tcW w:w="1060" w:type="dxa"/>
            <w:shd w:val="clear" w:color="auto" w:fill="auto"/>
            <w:noWrap/>
            <w:vAlign w:val="bottom"/>
          </w:tcPr>
          <w:p w:rsidR="000E123E" w:rsidRDefault="00000000">
            <w:pPr>
              <w:jc w:val="right"/>
              <w:rPr>
                <w:sz w:val="18"/>
                <w:szCs w:val="18"/>
              </w:rPr>
            </w:pPr>
            <w:r>
              <w:rPr>
                <w:sz w:val="18"/>
                <w:szCs w:val="18"/>
              </w:rPr>
              <w:t>-0.1074</w:t>
            </w:r>
          </w:p>
        </w:tc>
        <w:tc>
          <w:tcPr>
            <w:tcW w:w="1060" w:type="dxa"/>
            <w:shd w:val="clear" w:color="auto" w:fill="auto"/>
            <w:noWrap/>
            <w:vAlign w:val="bottom"/>
          </w:tcPr>
          <w:p w:rsidR="000E123E" w:rsidRDefault="00000000">
            <w:pPr>
              <w:jc w:val="right"/>
              <w:rPr>
                <w:sz w:val="18"/>
                <w:szCs w:val="18"/>
              </w:rPr>
            </w:pPr>
            <w:r>
              <w:rPr>
                <w:sz w:val="18"/>
                <w:szCs w:val="18"/>
              </w:rPr>
              <w:t>0.1864</w:t>
            </w:r>
          </w:p>
        </w:tc>
      </w:tr>
      <w:tr w:rsidR="000E123E">
        <w:trPr>
          <w:trHeight w:val="300"/>
        </w:trPr>
        <w:tc>
          <w:tcPr>
            <w:tcW w:w="1117" w:type="dxa"/>
            <w:shd w:val="clear" w:color="auto" w:fill="auto"/>
            <w:noWrap/>
            <w:vAlign w:val="bottom"/>
          </w:tcPr>
          <w:p w:rsidR="000E123E" w:rsidRDefault="00000000">
            <w:pPr>
              <w:rPr>
                <w:sz w:val="18"/>
                <w:szCs w:val="18"/>
              </w:rPr>
            </w:pPr>
            <w:r>
              <w:rPr>
                <w:sz w:val="18"/>
                <w:szCs w:val="18"/>
              </w:rPr>
              <w:t>Short Run</w:t>
            </w:r>
          </w:p>
        </w:tc>
        <w:tc>
          <w:tcPr>
            <w:tcW w:w="1750" w:type="dxa"/>
            <w:shd w:val="clear" w:color="auto" w:fill="auto"/>
            <w:noWrap/>
            <w:vAlign w:val="bottom"/>
          </w:tcPr>
          <w:p w:rsidR="000E123E" w:rsidRDefault="00000000">
            <w:pPr>
              <w:rPr>
                <w:sz w:val="18"/>
                <w:szCs w:val="18"/>
              </w:rPr>
            </w:pPr>
            <w:r>
              <w:rPr>
                <w:sz w:val="18"/>
                <w:szCs w:val="18"/>
              </w:rPr>
              <w:t>D1.INR</w:t>
            </w:r>
          </w:p>
        </w:tc>
        <w:tc>
          <w:tcPr>
            <w:tcW w:w="1060" w:type="dxa"/>
            <w:shd w:val="clear" w:color="auto" w:fill="auto"/>
            <w:noWrap/>
            <w:vAlign w:val="bottom"/>
          </w:tcPr>
          <w:p w:rsidR="000E123E" w:rsidRDefault="00000000">
            <w:pPr>
              <w:jc w:val="right"/>
              <w:rPr>
                <w:sz w:val="18"/>
                <w:szCs w:val="18"/>
              </w:rPr>
            </w:pPr>
            <w:r>
              <w:rPr>
                <w:sz w:val="18"/>
                <w:szCs w:val="18"/>
              </w:rPr>
              <w:t>0.0127</w:t>
            </w:r>
          </w:p>
        </w:tc>
        <w:tc>
          <w:tcPr>
            <w:tcW w:w="1060" w:type="dxa"/>
            <w:shd w:val="clear" w:color="auto" w:fill="auto"/>
            <w:noWrap/>
            <w:vAlign w:val="bottom"/>
          </w:tcPr>
          <w:p w:rsidR="000E123E" w:rsidRDefault="00000000">
            <w:pPr>
              <w:jc w:val="right"/>
              <w:rPr>
                <w:sz w:val="18"/>
                <w:szCs w:val="18"/>
              </w:rPr>
            </w:pPr>
            <w:r>
              <w:rPr>
                <w:sz w:val="18"/>
                <w:szCs w:val="18"/>
              </w:rPr>
              <w:t>0.0157</w:t>
            </w:r>
          </w:p>
        </w:tc>
        <w:tc>
          <w:tcPr>
            <w:tcW w:w="1060" w:type="dxa"/>
            <w:shd w:val="clear" w:color="auto" w:fill="auto"/>
            <w:noWrap/>
            <w:vAlign w:val="bottom"/>
          </w:tcPr>
          <w:p w:rsidR="000E123E" w:rsidRDefault="00000000">
            <w:pPr>
              <w:jc w:val="right"/>
              <w:rPr>
                <w:sz w:val="18"/>
                <w:szCs w:val="18"/>
              </w:rPr>
            </w:pPr>
            <w:r>
              <w:rPr>
                <w:sz w:val="18"/>
                <w:szCs w:val="18"/>
              </w:rPr>
              <w:t>0.8100</w:t>
            </w:r>
          </w:p>
        </w:tc>
        <w:tc>
          <w:tcPr>
            <w:tcW w:w="1060" w:type="dxa"/>
            <w:shd w:val="clear" w:color="auto" w:fill="auto"/>
            <w:noWrap/>
            <w:vAlign w:val="bottom"/>
          </w:tcPr>
          <w:p w:rsidR="000E123E" w:rsidRDefault="00000000">
            <w:pPr>
              <w:jc w:val="right"/>
              <w:rPr>
                <w:sz w:val="18"/>
                <w:szCs w:val="18"/>
              </w:rPr>
            </w:pPr>
            <w:r>
              <w:rPr>
                <w:sz w:val="18"/>
                <w:szCs w:val="18"/>
              </w:rPr>
              <w:t>0.4290</w:t>
            </w:r>
          </w:p>
        </w:tc>
        <w:tc>
          <w:tcPr>
            <w:tcW w:w="1060" w:type="dxa"/>
            <w:shd w:val="clear" w:color="auto" w:fill="auto"/>
            <w:noWrap/>
            <w:vAlign w:val="bottom"/>
          </w:tcPr>
          <w:p w:rsidR="000E123E" w:rsidRDefault="00000000">
            <w:pPr>
              <w:jc w:val="right"/>
              <w:rPr>
                <w:sz w:val="18"/>
                <w:szCs w:val="18"/>
              </w:rPr>
            </w:pPr>
            <w:r>
              <w:rPr>
                <w:sz w:val="18"/>
                <w:szCs w:val="18"/>
              </w:rPr>
              <w:t>-0.0205</w:t>
            </w:r>
          </w:p>
        </w:tc>
        <w:tc>
          <w:tcPr>
            <w:tcW w:w="1060" w:type="dxa"/>
            <w:shd w:val="clear" w:color="auto" w:fill="auto"/>
            <w:noWrap/>
            <w:vAlign w:val="bottom"/>
          </w:tcPr>
          <w:p w:rsidR="000E123E" w:rsidRDefault="00000000">
            <w:pPr>
              <w:jc w:val="right"/>
              <w:rPr>
                <w:sz w:val="18"/>
                <w:szCs w:val="18"/>
              </w:rPr>
            </w:pPr>
            <w:r>
              <w:rPr>
                <w:sz w:val="18"/>
                <w:szCs w:val="18"/>
              </w:rPr>
              <w:t>0.0459</w:t>
            </w:r>
          </w:p>
        </w:tc>
      </w:tr>
      <w:tr w:rsidR="000E123E">
        <w:trPr>
          <w:trHeight w:val="300"/>
        </w:trPr>
        <w:tc>
          <w:tcPr>
            <w:tcW w:w="1117" w:type="dxa"/>
            <w:shd w:val="clear" w:color="auto" w:fill="auto"/>
            <w:noWrap/>
            <w:vAlign w:val="bottom"/>
          </w:tcPr>
          <w:p w:rsidR="000E123E" w:rsidRDefault="00000000">
            <w:pPr>
              <w:rPr>
                <w:sz w:val="18"/>
                <w:szCs w:val="18"/>
              </w:rPr>
            </w:pPr>
            <w:r>
              <w:rPr>
                <w:sz w:val="18"/>
                <w:szCs w:val="18"/>
              </w:rPr>
              <w:t>Short Run</w:t>
            </w:r>
          </w:p>
        </w:tc>
        <w:tc>
          <w:tcPr>
            <w:tcW w:w="1750" w:type="dxa"/>
            <w:shd w:val="clear" w:color="auto" w:fill="auto"/>
            <w:noWrap/>
            <w:vAlign w:val="bottom"/>
          </w:tcPr>
          <w:p w:rsidR="000E123E" w:rsidRDefault="00000000">
            <w:pPr>
              <w:rPr>
                <w:sz w:val="18"/>
                <w:szCs w:val="18"/>
              </w:rPr>
            </w:pPr>
            <w:r>
              <w:rPr>
                <w:sz w:val="18"/>
                <w:szCs w:val="18"/>
              </w:rPr>
              <w:t>D1.INF</w:t>
            </w:r>
          </w:p>
        </w:tc>
        <w:tc>
          <w:tcPr>
            <w:tcW w:w="1060" w:type="dxa"/>
            <w:shd w:val="clear" w:color="auto" w:fill="auto"/>
            <w:noWrap/>
            <w:vAlign w:val="bottom"/>
          </w:tcPr>
          <w:p w:rsidR="000E123E" w:rsidRDefault="00000000">
            <w:pPr>
              <w:jc w:val="right"/>
              <w:rPr>
                <w:sz w:val="18"/>
                <w:szCs w:val="18"/>
              </w:rPr>
            </w:pPr>
            <w:r>
              <w:rPr>
                <w:sz w:val="18"/>
                <w:szCs w:val="18"/>
              </w:rPr>
              <w:t>0.0048</w:t>
            </w:r>
          </w:p>
        </w:tc>
        <w:tc>
          <w:tcPr>
            <w:tcW w:w="1060" w:type="dxa"/>
            <w:shd w:val="clear" w:color="auto" w:fill="auto"/>
            <w:noWrap/>
            <w:vAlign w:val="bottom"/>
          </w:tcPr>
          <w:p w:rsidR="000E123E" w:rsidRDefault="00000000">
            <w:pPr>
              <w:jc w:val="right"/>
              <w:rPr>
                <w:sz w:val="18"/>
                <w:szCs w:val="18"/>
              </w:rPr>
            </w:pPr>
            <w:r>
              <w:rPr>
                <w:sz w:val="18"/>
                <w:szCs w:val="18"/>
              </w:rPr>
              <w:t>0.0150</w:t>
            </w:r>
          </w:p>
        </w:tc>
        <w:tc>
          <w:tcPr>
            <w:tcW w:w="1060" w:type="dxa"/>
            <w:shd w:val="clear" w:color="auto" w:fill="auto"/>
            <w:noWrap/>
            <w:vAlign w:val="bottom"/>
          </w:tcPr>
          <w:p w:rsidR="000E123E" w:rsidRDefault="00000000">
            <w:pPr>
              <w:jc w:val="right"/>
              <w:rPr>
                <w:sz w:val="18"/>
                <w:szCs w:val="18"/>
              </w:rPr>
            </w:pPr>
            <w:r>
              <w:rPr>
                <w:sz w:val="18"/>
                <w:szCs w:val="18"/>
              </w:rPr>
              <w:t>0.3200</w:t>
            </w:r>
          </w:p>
        </w:tc>
        <w:tc>
          <w:tcPr>
            <w:tcW w:w="1060" w:type="dxa"/>
            <w:shd w:val="clear" w:color="auto" w:fill="auto"/>
            <w:noWrap/>
            <w:vAlign w:val="bottom"/>
          </w:tcPr>
          <w:p w:rsidR="000E123E" w:rsidRDefault="00000000">
            <w:pPr>
              <w:jc w:val="right"/>
              <w:rPr>
                <w:sz w:val="18"/>
                <w:szCs w:val="18"/>
              </w:rPr>
            </w:pPr>
            <w:r>
              <w:rPr>
                <w:sz w:val="18"/>
                <w:szCs w:val="18"/>
              </w:rPr>
              <w:t>0.7520</w:t>
            </w:r>
          </w:p>
        </w:tc>
        <w:tc>
          <w:tcPr>
            <w:tcW w:w="1060" w:type="dxa"/>
            <w:shd w:val="clear" w:color="auto" w:fill="auto"/>
            <w:noWrap/>
            <w:vAlign w:val="bottom"/>
          </w:tcPr>
          <w:p w:rsidR="000E123E" w:rsidRDefault="00000000">
            <w:pPr>
              <w:jc w:val="right"/>
              <w:rPr>
                <w:sz w:val="18"/>
                <w:szCs w:val="18"/>
              </w:rPr>
            </w:pPr>
            <w:r>
              <w:rPr>
                <w:sz w:val="18"/>
                <w:szCs w:val="18"/>
              </w:rPr>
              <w:t>-0.0270</w:t>
            </w:r>
          </w:p>
        </w:tc>
        <w:tc>
          <w:tcPr>
            <w:tcW w:w="1060" w:type="dxa"/>
            <w:shd w:val="clear" w:color="auto" w:fill="auto"/>
            <w:noWrap/>
            <w:vAlign w:val="bottom"/>
          </w:tcPr>
          <w:p w:rsidR="000E123E" w:rsidRDefault="00000000">
            <w:pPr>
              <w:jc w:val="right"/>
              <w:rPr>
                <w:sz w:val="18"/>
                <w:szCs w:val="18"/>
              </w:rPr>
            </w:pPr>
            <w:r>
              <w:rPr>
                <w:sz w:val="18"/>
                <w:szCs w:val="18"/>
              </w:rPr>
              <w:t>0.0366</w:t>
            </w:r>
          </w:p>
        </w:tc>
      </w:tr>
      <w:tr w:rsidR="000E123E">
        <w:trPr>
          <w:trHeight w:val="300"/>
        </w:trPr>
        <w:tc>
          <w:tcPr>
            <w:tcW w:w="1117" w:type="dxa"/>
            <w:shd w:val="clear" w:color="auto" w:fill="auto"/>
            <w:noWrap/>
            <w:vAlign w:val="bottom"/>
          </w:tcPr>
          <w:p w:rsidR="000E123E" w:rsidRDefault="00000000">
            <w:pPr>
              <w:rPr>
                <w:sz w:val="18"/>
                <w:szCs w:val="18"/>
              </w:rPr>
            </w:pPr>
            <w:r>
              <w:rPr>
                <w:sz w:val="18"/>
                <w:szCs w:val="18"/>
              </w:rPr>
              <w:t>Short Run</w:t>
            </w:r>
          </w:p>
        </w:tc>
        <w:tc>
          <w:tcPr>
            <w:tcW w:w="1750" w:type="dxa"/>
            <w:shd w:val="clear" w:color="auto" w:fill="auto"/>
            <w:noWrap/>
            <w:vAlign w:val="bottom"/>
          </w:tcPr>
          <w:p w:rsidR="000E123E" w:rsidRDefault="00000000">
            <w:pPr>
              <w:rPr>
                <w:sz w:val="18"/>
                <w:szCs w:val="18"/>
              </w:rPr>
            </w:pPr>
            <w:r>
              <w:rPr>
                <w:sz w:val="18"/>
                <w:szCs w:val="18"/>
              </w:rPr>
              <w:t>D1.FDI</w:t>
            </w:r>
          </w:p>
        </w:tc>
        <w:tc>
          <w:tcPr>
            <w:tcW w:w="1060" w:type="dxa"/>
            <w:shd w:val="clear" w:color="auto" w:fill="auto"/>
            <w:noWrap/>
            <w:vAlign w:val="bottom"/>
          </w:tcPr>
          <w:p w:rsidR="000E123E" w:rsidRDefault="00000000">
            <w:pPr>
              <w:jc w:val="right"/>
              <w:rPr>
                <w:sz w:val="18"/>
                <w:szCs w:val="18"/>
              </w:rPr>
            </w:pPr>
            <w:r>
              <w:rPr>
                <w:sz w:val="18"/>
                <w:szCs w:val="18"/>
              </w:rPr>
              <w:t>-0.0443</w:t>
            </w:r>
          </w:p>
        </w:tc>
        <w:tc>
          <w:tcPr>
            <w:tcW w:w="1060" w:type="dxa"/>
            <w:shd w:val="clear" w:color="auto" w:fill="auto"/>
            <w:noWrap/>
            <w:vAlign w:val="bottom"/>
          </w:tcPr>
          <w:p w:rsidR="000E123E" w:rsidRDefault="00000000">
            <w:pPr>
              <w:jc w:val="right"/>
              <w:rPr>
                <w:sz w:val="18"/>
                <w:szCs w:val="18"/>
              </w:rPr>
            </w:pPr>
            <w:r>
              <w:rPr>
                <w:sz w:val="18"/>
                <w:szCs w:val="18"/>
              </w:rPr>
              <w:t>0.0652</w:t>
            </w:r>
          </w:p>
        </w:tc>
        <w:tc>
          <w:tcPr>
            <w:tcW w:w="1060" w:type="dxa"/>
            <w:shd w:val="clear" w:color="auto" w:fill="auto"/>
            <w:noWrap/>
            <w:vAlign w:val="bottom"/>
          </w:tcPr>
          <w:p w:rsidR="000E123E" w:rsidRDefault="00000000">
            <w:pPr>
              <w:jc w:val="right"/>
              <w:rPr>
                <w:sz w:val="18"/>
                <w:szCs w:val="18"/>
              </w:rPr>
            </w:pPr>
            <w:r>
              <w:rPr>
                <w:sz w:val="18"/>
                <w:szCs w:val="18"/>
              </w:rPr>
              <w:t>-0.6800</w:t>
            </w:r>
          </w:p>
        </w:tc>
        <w:tc>
          <w:tcPr>
            <w:tcW w:w="1060" w:type="dxa"/>
            <w:shd w:val="clear" w:color="auto" w:fill="auto"/>
            <w:noWrap/>
            <w:vAlign w:val="bottom"/>
          </w:tcPr>
          <w:p w:rsidR="000E123E" w:rsidRDefault="00000000">
            <w:pPr>
              <w:jc w:val="right"/>
              <w:rPr>
                <w:sz w:val="18"/>
                <w:szCs w:val="18"/>
              </w:rPr>
            </w:pPr>
            <w:r>
              <w:rPr>
                <w:sz w:val="18"/>
                <w:szCs w:val="18"/>
              </w:rPr>
              <w:t>0.5060</w:t>
            </w:r>
          </w:p>
        </w:tc>
        <w:tc>
          <w:tcPr>
            <w:tcW w:w="1060" w:type="dxa"/>
            <w:shd w:val="clear" w:color="auto" w:fill="auto"/>
            <w:noWrap/>
            <w:vAlign w:val="bottom"/>
          </w:tcPr>
          <w:p w:rsidR="000E123E" w:rsidRDefault="00000000">
            <w:pPr>
              <w:jc w:val="right"/>
              <w:rPr>
                <w:sz w:val="18"/>
                <w:szCs w:val="18"/>
              </w:rPr>
            </w:pPr>
            <w:r>
              <w:rPr>
                <w:sz w:val="18"/>
                <w:szCs w:val="18"/>
              </w:rPr>
              <w:t>-0.1826</w:t>
            </w:r>
          </w:p>
        </w:tc>
        <w:tc>
          <w:tcPr>
            <w:tcW w:w="1060" w:type="dxa"/>
            <w:shd w:val="clear" w:color="auto" w:fill="auto"/>
            <w:noWrap/>
            <w:vAlign w:val="bottom"/>
          </w:tcPr>
          <w:p w:rsidR="000E123E" w:rsidRDefault="00000000">
            <w:pPr>
              <w:jc w:val="right"/>
              <w:rPr>
                <w:sz w:val="18"/>
                <w:szCs w:val="18"/>
              </w:rPr>
            </w:pPr>
            <w:r>
              <w:rPr>
                <w:sz w:val="18"/>
                <w:szCs w:val="18"/>
              </w:rPr>
              <w:t>0.0939</w:t>
            </w:r>
          </w:p>
        </w:tc>
      </w:tr>
      <w:tr w:rsidR="000E123E">
        <w:trPr>
          <w:trHeight w:val="300"/>
        </w:trPr>
        <w:tc>
          <w:tcPr>
            <w:tcW w:w="1117" w:type="dxa"/>
            <w:shd w:val="clear" w:color="auto" w:fill="auto"/>
            <w:noWrap/>
            <w:vAlign w:val="bottom"/>
          </w:tcPr>
          <w:p w:rsidR="000E123E" w:rsidRDefault="00000000">
            <w:pPr>
              <w:rPr>
                <w:sz w:val="18"/>
                <w:szCs w:val="18"/>
              </w:rPr>
            </w:pPr>
            <w:r>
              <w:rPr>
                <w:sz w:val="18"/>
                <w:szCs w:val="18"/>
              </w:rPr>
              <w:t>Constant</w:t>
            </w:r>
          </w:p>
        </w:tc>
        <w:tc>
          <w:tcPr>
            <w:tcW w:w="1750" w:type="dxa"/>
            <w:shd w:val="clear" w:color="auto" w:fill="auto"/>
            <w:noWrap/>
            <w:vAlign w:val="bottom"/>
          </w:tcPr>
          <w:p w:rsidR="000E123E" w:rsidRDefault="00000000">
            <w:pPr>
              <w:rPr>
                <w:sz w:val="18"/>
                <w:szCs w:val="18"/>
              </w:rPr>
            </w:pPr>
            <w:r>
              <w:rPr>
                <w:sz w:val="18"/>
                <w:szCs w:val="18"/>
              </w:rPr>
              <w:t>_cons</w:t>
            </w:r>
          </w:p>
        </w:tc>
        <w:tc>
          <w:tcPr>
            <w:tcW w:w="1060" w:type="dxa"/>
            <w:shd w:val="clear" w:color="auto" w:fill="auto"/>
            <w:noWrap/>
            <w:vAlign w:val="bottom"/>
          </w:tcPr>
          <w:p w:rsidR="000E123E" w:rsidRDefault="00000000">
            <w:pPr>
              <w:jc w:val="right"/>
              <w:rPr>
                <w:sz w:val="18"/>
                <w:szCs w:val="18"/>
              </w:rPr>
            </w:pPr>
            <w:r>
              <w:rPr>
                <w:sz w:val="18"/>
                <w:szCs w:val="18"/>
              </w:rPr>
              <w:t>5.7926</w:t>
            </w:r>
          </w:p>
        </w:tc>
        <w:tc>
          <w:tcPr>
            <w:tcW w:w="1060" w:type="dxa"/>
            <w:shd w:val="clear" w:color="auto" w:fill="auto"/>
            <w:noWrap/>
            <w:vAlign w:val="bottom"/>
          </w:tcPr>
          <w:p w:rsidR="000E123E" w:rsidRDefault="00000000">
            <w:pPr>
              <w:jc w:val="right"/>
              <w:rPr>
                <w:sz w:val="18"/>
                <w:szCs w:val="18"/>
              </w:rPr>
            </w:pPr>
            <w:r>
              <w:rPr>
                <w:sz w:val="18"/>
                <w:szCs w:val="18"/>
              </w:rPr>
              <w:t>4.1731</w:t>
            </w:r>
          </w:p>
        </w:tc>
        <w:tc>
          <w:tcPr>
            <w:tcW w:w="1060" w:type="dxa"/>
            <w:shd w:val="clear" w:color="auto" w:fill="auto"/>
            <w:noWrap/>
            <w:vAlign w:val="bottom"/>
          </w:tcPr>
          <w:p w:rsidR="000E123E" w:rsidRDefault="00000000">
            <w:pPr>
              <w:jc w:val="right"/>
              <w:rPr>
                <w:sz w:val="18"/>
                <w:szCs w:val="18"/>
              </w:rPr>
            </w:pPr>
            <w:r>
              <w:rPr>
                <w:sz w:val="18"/>
                <w:szCs w:val="18"/>
              </w:rPr>
              <w:t>1.3900</w:t>
            </w:r>
          </w:p>
        </w:tc>
        <w:tc>
          <w:tcPr>
            <w:tcW w:w="1060" w:type="dxa"/>
            <w:shd w:val="clear" w:color="auto" w:fill="auto"/>
            <w:noWrap/>
            <w:vAlign w:val="bottom"/>
          </w:tcPr>
          <w:p w:rsidR="000E123E" w:rsidRDefault="00000000">
            <w:pPr>
              <w:jc w:val="right"/>
              <w:rPr>
                <w:sz w:val="18"/>
                <w:szCs w:val="18"/>
              </w:rPr>
            </w:pPr>
            <w:r>
              <w:rPr>
                <w:sz w:val="18"/>
                <w:szCs w:val="18"/>
              </w:rPr>
              <w:t>0.1840</w:t>
            </w:r>
          </w:p>
        </w:tc>
        <w:tc>
          <w:tcPr>
            <w:tcW w:w="1060" w:type="dxa"/>
            <w:shd w:val="clear" w:color="auto" w:fill="auto"/>
            <w:noWrap/>
            <w:vAlign w:val="bottom"/>
          </w:tcPr>
          <w:p w:rsidR="000E123E" w:rsidRDefault="00000000">
            <w:pPr>
              <w:jc w:val="right"/>
              <w:rPr>
                <w:sz w:val="18"/>
                <w:szCs w:val="18"/>
              </w:rPr>
            </w:pPr>
            <w:r>
              <w:rPr>
                <w:sz w:val="18"/>
                <w:szCs w:val="18"/>
              </w:rPr>
              <w:t>-3.0541</w:t>
            </w:r>
          </w:p>
        </w:tc>
        <w:tc>
          <w:tcPr>
            <w:tcW w:w="1060" w:type="dxa"/>
            <w:shd w:val="clear" w:color="auto" w:fill="auto"/>
            <w:noWrap/>
            <w:vAlign w:val="bottom"/>
          </w:tcPr>
          <w:p w:rsidR="000E123E" w:rsidRDefault="00000000">
            <w:pPr>
              <w:jc w:val="right"/>
              <w:rPr>
                <w:sz w:val="18"/>
                <w:szCs w:val="18"/>
              </w:rPr>
            </w:pPr>
            <w:r>
              <w:rPr>
                <w:sz w:val="18"/>
                <w:szCs w:val="18"/>
              </w:rPr>
              <w:t>14.6393</w:t>
            </w:r>
          </w:p>
        </w:tc>
      </w:tr>
    </w:tbl>
    <w:p w:rsidR="000E123E" w:rsidRDefault="00000000">
      <w:pPr>
        <w:pStyle w:val="SCCAppendix"/>
        <w:rPr>
          <w:b w:val="0"/>
          <w:bCs w:val="0"/>
        </w:rPr>
      </w:pPr>
      <w:r>
        <w:rPr>
          <w:b w:val="0"/>
          <w:bCs w:val="0"/>
        </w:rPr>
        <w:t>Table 8: NARDL Model for Total Exports</w:t>
      </w:r>
    </w:p>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836"/>
        <w:gridCol w:w="1336"/>
        <w:gridCol w:w="1236"/>
        <w:gridCol w:w="1080"/>
        <w:gridCol w:w="1080"/>
        <w:gridCol w:w="1236"/>
        <w:gridCol w:w="1236"/>
      </w:tblGrid>
      <w:tr w:rsidR="000E123E">
        <w:trPr>
          <w:trHeight w:val="300"/>
        </w:trPr>
        <w:tc>
          <w:tcPr>
            <w:tcW w:w="1416" w:type="dxa"/>
            <w:shd w:val="clear" w:color="auto" w:fill="auto"/>
            <w:noWrap/>
          </w:tcPr>
          <w:p w:rsidR="000E123E" w:rsidRDefault="00000000">
            <w:pPr>
              <w:jc w:val="center"/>
              <w:rPr>
                <w:b/>
                <w:bCs/>
                <w:color w:val="000000"/>
                <w:sz w:val="18"/>
                <w:szCs w:val="18"/>
              </w:rPr>
            </w:pPr>
            <w:r>
              <w:rPr>
                <w:b/>
                <w:bCs/>
                <w:color w:val="000000"/>
                <w:sz w:val="18"/>
                <w:szCs w:val="18"/>
              </w:rPr>
              <w:t>Component</w:t>
            </w:r>
          </w:p>
        </w:tc>
        <w:tc>
          <w:tcPr>
            <w:tcW w:w="1836" w:type="dxa"/>
            <w:shd w:val="clear" w:color="auto" w:fill="auto"/>
            <w:noWrap/>
          </w:tcPr>
          <w:p w:rsidR="000E123E" w:rsidRDefault="00000000">
            <w:pPr>
              <w:jc w:val="center"/>
              <w:rPr>
                <w:b/>
                <w:bCs/>
                <w:color w:val="000000"/>
                <w:sz w:val="18"/>
                <w:szCs w:val="18"/>
              </w:rPr>
            </w:pPr>
            <w:r>
              <w:rPr>
                <w:b/>
                <w:bCs/>
                <w:color w:val="000000"/>
                <w:sz w:val="18"/>
                <w:szCs w:val="18"/>
              </w:rPr>
              <w:t>Variable</w:t>
            </w:r>
          </w:p>
        </w:tc>
        <w:tc>
          <w:tcPr>
            <w:tcW w:w="1336" w:type="dxa"/>
            <w:shd w:val="clear" w:color="auto" w:fill="auto"/>
            <w:noWrap/>
          </w:tcPr>
          <w:p w:rsidR="000E123E" w:rsidRDefault="00000000">
            <w:pPr>
              <w:jc w:val="center"/>
              <w:rPr>
                <w:b/>
                <w:bCs/>
                <w:color w:val="000000"/>
                <w:sz w:val="18"/>
                <w:szCs w:val="18"/>
              </w:rPr>
            </w:pPr>
            <w:r>
              <w:rPr>
                <w:b/>
                <w:bCs/>
                <w:color w:val="000000"/>
                <w:sz w:val="18"/>
                <w:szCs w:val="18"/>
              </w:rPr>
              <w:t>Coefficient</w:t>
            </w:r>
          </w:p>
        </w:tc>
        <w:tc>
          <w:tcPr>
            <w:tcW w:w="1236" w:type="dxa"/>
            <w:shd w:val="clear" w:color="auto" w:fill="auto"/>
            <w:noWrap/>
          </w:tcPr>
          <w:p w:rsidR="000E123E" w:rsidRDefault="00000000">
            <w:pPr>
              <w:jc w:val="center"/>
              <w:rPr>
                <w:b/>
                <w:bCs/>
                <w:color w:val="000000"/>
                <w:sz w:val="18"/>
                <w:szCs w:val="18"/>
              </w:rPr>
            </w:pPr>
            <w:r>
              <w:rPr>
                <w:b/>
                <w:bCs/>
                <w:color w:val="000000"/>
                <w:sz w:val="18"/>
                <w:szCs w:val="18"/>
              </w:rPr>
              <w:t>Std. Error</w:t>
            </w:r>
          </w:p>
        </w:tc>
        <w:tc>
          <w:tcPr>
            <w:tcW w:w="1080" w:type="dxa"/>
            <w:shd w:val="clear" w:color="auto" w:fill="auto"/>
            <w:noWrap/>
          </w:tcPr>
          <w:p w:rsidR="000E123E" w:rsidRDefault="00000000">
            <w:pPr>
              <w:jc w:val="center"/>
              <w:rPr>
                <w:b/>
                <w:bCs/>
                <w:color w:val="000000"/>
                <w:sz w:val="18"/>
                <w:szCs w:val="18"/>
              </w:rPr>
            </w:pPr>
            <w:r>
              <w:rPr>
                <w:b/>
                <w:bCs/>
                <w:color w:val="000000"/>
                <w:sz w:val="18"/>
                <w:szCs w:val="18"/>
              </w:rPr>
              <w:t>t-value</w:t>
            </w:r>
          </w:p>
        </w:tc>
        <w:tc>
          <w:tcPr>
            <w:tcW w:w="1080" w:type="dxa"/>
            <w:shd w:val="clear" w:color="auto" w:fill="auto"/>
            <w:noWrap/>
          </w:tcPr>
          <w:p w:rsidR="000E123E" w:rsidRDefault="00000000">
            <w:pPr>
              <w:jc w:val="center"/>
              <w:rPr>
                <w:b/>
                <w:bCs/>
                <w:color w:val="000000"/>
                <w:sz w:val="18"/>
                <w:szCs w:val="18"/>
              </w:rPr>
            </w:pPr>
            <w:r>
              <w:rPr>
                <w:b/>
                <w:bCs/>
                <w:color w:val="000000"/>
                <w:sz w:val="18"/>
                <w:szCs w:val="18"/>
              </w:rPr>
              <w:t>P&gt;|t|</w:t>
            </w:r>
          </w:p>
        </w:tc>
        <w:tc>
          <w:tcPr>
            <w:tcW w:w="1236" w:type="dxa"/>
            <w:shd w:val="clear" w:color="auto" w:fill="auto"/>
            <w:noWrap/>
          </w:tcPr>
          <w:p w:rsidR="000E123E" w:rsidRDefault="00000000">
            <w:pPr>
              <w:jc w:val="center"/>
              <w:rPr>
                <w:b/>
                <w:bCs/>
                <w:color w:val="000000"/>
                <w:sz w:val="18"/>
                <w:szCs w:val="18"/>
              </w:rPr>
            </w:pPr>
            <w:r>
              <w:rPr>
                <w:b/>
                <w:bCs/>
                <w:color w:val="000000"/>
                <w:sz w:val="18"/>
                <w:szCs w:val="18"/>
              </w:rPr>
              <w:t>95% CI Lower</w:t>
            </w:r>
          </w:p>
        </w:tc>
        <w:tc>
          <w:tcPr>
            <w:tcW w:w="1236" w:type="dxa"/>
            <w:shd w:val="clear" w:color="auto" w:fill="auto"/>
            <w:noWrap/>
          </w:tcPr>
          <w:p w:rsidR="000E123E" w:rsidRDefault="00000000">
            <w:pPr>
              <w:jc w:val="center"/>
              <w:rPr>
                <w:b/>
                <w:bCs/>
                <w:color w:val="000000"/>
                <w:sz w:val="18"/>
                <w:szCs w:val="18"/>
              </w:rPr>
            </w:pPr>
            <w:r>
              <w:rPr>
                <w:b/>
                <w:bCs/>
                <w:color w:val="000000"/>
                <w:sz w:val="18"/>
                <w:szCs w:val="18"/>
              </w:rPr>
              <w:t>95% CI Upper</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Adjustment</w:t>
            </w:r>
          </w:p>
        </w:tc>
        <w:tc>
          <w:tcPr>
            <w:tcW w:w="1836" w:type="dxa"/>
            <w:shd w:val="clear" w:color="auto" w:fill="auto"/>
            <w:noWrap/>
            <w:vAlign w:val="bottom"/>
          </w:tcPr>
          <w:p w:rsidR="000E123E" w:rsidRDefault="00000000">
            <w:pPr>
              <w:rPr>
                <w:color w:val="000000"/>
                <w:sz w:val="18"/>
                <w:szCs w:val="18"/>
              </w:rPr>
            </w:pPr>
            <w:r>
              <w:rPr>
                <w:color w:val="000000"/>
                <w:sz w:val="18"/>
                <w:szCs w:val="18"/>
              </w:rPr>
              <w:t>L1.ln_exports</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-0.0010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0.0633</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-0.0200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0.9880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-0.1352</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0.1333</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Long Run</w:t>
            </w:r>
          </w:p>
        </w:tc>
        <w:tc>
          <w:tcPr>
            <w:tcW w:w="1836" w:type="dxa"/>
            <w:shd w:val="clear" w:color="auto" w:fill="auto"/>
            <w:noWrap/>
            <w:vAlign w:val="bottom"/>
          </w:tcPr>
          <w:p w:rsidR="000E123E" w:rsidRDefault="00000000">
            <w:pPr>
              <w:rPr>
                <w:color w:val="000000"/>
                <w:sz w:val="18"/>
                <w:szCs w:val="18"/>
              </w:rPr>
            </w:pPr>
            <w:r>
              <w:rPr>
                <w:color w:val="000000"/>
                <w:sz w:val="18"/>
                <w:szCs w:val="18"/>
              </w:rPr>
              <w:t>ERV_POS</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8.6207</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435.3449</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0.0200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0.9840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-914.2693</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931.5107</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Long Run</w:t>
            </w:r>
          </w:p>
        </w:tc>
        <w:tc>
          <w:tcPr>
            <w:tcW w:w="1836" w:type="dxa"/>
            <w:shd w:val="clear" w:color="auto" w:fill="auto"/>
            <w:noWrap/>
            <w:vAlign w:val="bottom"/>
          </w:tcPr>
          <w:p w:rsidR="000E123E" w:rsidRDefault="00000000">
            <w:pPr>
              <w:rPr>
                <w:color w:val="000000"/>
                <w:sz w:val="18"/>
                <w:szCs w:val="18"/>
              </w:rPr>
            </w:pPr>
            <w:r>
              <w:rPr>
                <w:color w:val="000000"/>
                <w:sz w:val="18"/>
                <w:szCs w:val="18"/>
              </w:rPr>
              <w:t>ERV_NEG</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69.7871</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4584.6400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0.0200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0.9880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-9649.2150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9788.7900</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Long Run</w:t>
            </w:r>
          </w:p>
        </w:tc>
        <w:tc>
          <w:tcPr>
            <w:tcW w:w="1836" w:type="dxa"/>
            <w:shd w:val="clear" w:color="auto" w:fill="auto"/>
            <w:noWrap/>
            <w:vAlign w:val="bottom"/>
          </w:tcPr>
          <w:p w:rsidR="000E123E" w:rsidRDefault="00000000">
            <w:pPr>
              <w:rPr>
                <w:color w:val="000000"/>
                <w:sz w:val="18"/>
                <w:szCs w:val="18"/>
              </w:rPr>
            </w:pPr>
            <w:r>
              <w:rPr>
                <w:sz w:val="18"/>
                <w:szCs w:val="18"/>
              </w:rPr>
              <w:t>INR</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-34.9550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2263.2950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-0.0200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0.9880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-4832.9250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4763.0150</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Long Run</w:t>
            </w:r>
          </w:p>
        </w:tc>
        <w:tc>
          <w:tcPr>
            <w:tcW w:w="1836" w:type="dxa"/>
            <w:shd w:val="clear" w:color="auto" w:fill="auto"/>
            <w:noWrap/>
            <w:vAlign w:val="bottom"/>
          </w:tcPr>
          <w:p w:rsidR="000E123E" w:rsidRDefault="00000000">
            <w:pPr>
              <w:rPr>
                <w:color w:val="000000"/>
                <w:sz w:val="18"/>
                <w:szCs w:val="18"/>
              </w:rPr>
            </w:pPr>
            <w:r>
              <w:rPr>
                <w:sz w:val="18"/>
                <w:szCs w:val="18"/>
              </w:rPr>
              <w:t>INF</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2.1721</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149.2235</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0.0100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0.9890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-314.1677</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318.5118</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Long Run</w:t>
            </w:r>
          </w:p>
        </w:tc>
        <w:tc>
          <w:tcPr>
            <w:tcW w:w="1836" w:type="dxa"/>
            <w:shd w:val="clear" w:color="auto" w:fill="auto"/>
            <w:noWrap/>
            <w:vAlign w:val="bottom"/>
          </w:tcPr>
          <w:p w:rsidR="000E123E" w:rsidRDefault="00000000">
            <w:pPr>
              <w:rPr>
                <w:color w:val="000000"/>
                <w:sz w:val="18"/>
                <w:szCs w:val="18"/>
              </w:rPr>
            </w:pPr>
            <w:r>
              <w:rPr>
                <w:sz w:val="18"/>
                <w:szCs w:val="18"/>
              </w:rPr>
              <w:t>FDI</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11.6734</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740.0505</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0.0200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0.9880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-1557.1640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1580.5100</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Short Run</w:t>
            </w:r>
          </w:p>
        </w:tc>
        <w:tc>
          <w:tcPr>
            <w:tcW w:w="1836" w:type="dxa"/>
            <w:shd w:val="clear" w:color="auto" w:fill="auto"/>
            <w:noWrap/>
            <w:vAlign w:val="bottom"/>
          </w:tcPr>
          <w:p w:rsidR="000E123E" w:rsidRDefault="00000000">
            <w:pPr>
              <w:rPr>
                <w:color w:val="000000"/>
                <w:sz w:val="18"/>
                <w:szCs w:val="18"/>
              </w:rPr>
            </w:pPr>
            <w:r>
              <w:rPr>
                <w:color w:val="000000"/>
                <w:sz w:val="18"/>
                <w:szCs w:val="18"/>
              </w:rPr>
              <w:t>D1.ERV_POS</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0.4825</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0.4792</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1.0100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0.3290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-0.5334</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1.4983</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Short Run</w:t>
            </w:r>
          </w:p>
        </w:tc>
        <w:tc>
          <w:tcPr>
            <w:tcW w:w="1836" w:type="dxa"/>
            <w:shd w:val="clear" w:color="auto" w:fill="auto"/>
            <w:noWrap/>
            <w:vAlign w:val="bottom"/>
          </w:tcPr>
          <w:p w:rsidR="000E123E" w:rsidRDefault="00000000">
            <w:pPr>
              <w:rPr>
                <w:color w:val="000000"/>
                <w:sz w:val="18"/>
                <w:szCs w:val="18"/>
              </w:rPr>
            </w:pPr>
            <w:r>
              <w:rPr>
                <w:color w:val="000000"/>
                <w:sz w:val="18"/>
                <w:szCs w:val="18"/>
              </w:rPr>
              <w:t>D1.ERV_NEG</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0.1476</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0.0969</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1.5200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0.1470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-0.0578</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0.3530</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Short Run</w:t>
            </w:r>
          </w:p>
        </w:tc>
        <w:tc>
          <w:tcPr>
            <w:tcW w:w="1836" w:type="dxa"/>
            <w:shd w:val="clear" w:color="auto" w:fill="auto"/>
            <w:noWrap/>
            <w:vAlign w:val="bottom"/>
          </w:tcPr>
          <w:p w:rsidR="000E123E" w:rsidRDefault="00000000">
            <w:pPr>
              <w:rPr>
                <w:color w:val="000000"/>
                <w:sz w:val="18"/>
                <w:szCs w:val="18"/>
              </w:rPr>
            </w:pPr>
            <w:r>
              <w:rPr>
                <w:sz w:val="18"/>
                <w:szCs w:val="18"/>
              </w:rPr>
              <w:t>D1.INR</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-0.0086</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0.0107</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-0.8000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0.4350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-0.0313</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0.0141</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Short Run</w:t>
            </w:r>
          </w:p>
        </w:tc>
        <w:tc>
          <w:tcPr>
            <w:tcW w:w="1836" w:type="dxa"/>
            <w:shd w:val="clear" w:color="auto" w:fill="auto"/>
            <w:noWrap/>
            <w:vAlign w:val="bottom"/>
          </w:tcPr>
          <w:p w:rsidR="000E123E" w:rsidRDefault="00000000">
            <w:pPr>
              <w:rPr>
                <w:color w:val="000000"/>
                <w:sz w:val="18"/>
                <w:szCs w:val="18"/>
              </w:rPr>
            </w:pPr>
            <w:r>
              <w:rPr>
                <w:sz w:val="18"/>
                <w:szCs w:val="18"/>
              </w:rPr>
              <w:t>D1.INF</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-0.0104</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0.0110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-0.9400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0.3610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-0.0338</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0.0130</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Short Run</w:t>
            </w:r>
          </w:p>
        </w:tc>
        <w:tc>
          <w:tcPr>
            <w:tcW w:w="1836" w:type="dxa"/>
            <w:shd w:val="clear" w:color="auto" w:fill="auto"/>
            <w:noWrap/>
            <w:vAlign w:val="bottom"/>
          </w:tcPr>
          <w:p w:rsidR="000E123E" w:rsidRDefault="00000000">
            <w:pPr>
              <w:rPr>
                <w:color w:val="000000"/>
                <w:sz w:val="18"/>
                <w:szCs w:val="18"/>
              </w:rPr>
            </w:pPr>
            <w:r>
              <w:rPr>
                <w:sz w:val="18"/>
                <w:szCs w:val="18"/>
              </w:rPr>
              <w:t>D1.FDI</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0.0266</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0.0364</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0.7300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0.4740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-0.0504</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0.1037</w:t>
            </w:r>
          </w:p>
        </w:tc>
      </w:tr>
      <w:tr w:rsidR="000E123E">
        <w:trPr>
          <w:trHeight w:val="300"/>
        </w:trPr>
        <w:tc>
          <w:tcPr>
            <w:tcW w:w="1416" w:type="dxa"/>
            <w:shd w:val="clear" w:color="auto" w:fill="auto"/>
            <w:noWrap/>
            <w:vAlign w:val="bottom"/>
          </w:tcPr>
          <w:p w:rsidR="000E123E" w:rsidRDefault="00000000">
            <w:pPr>
              <w:rPr>
                <w:color w:val="000000"/>
                <w:sz w:val="18"/>
                <w:szCs w:val="18"/>
              </w:rPr>
            </w:pPr>
            <w:r>
              <w:rPr>
                <w:color w:val="000000"/>
                <w:sz w:val="18"/>
                <w:szCs w:val="18"/>
              </w:rPr>
              <w:t>Constant</w:t>
            </w:r>
          </w:p>
        </w:tc>
        <w:tc>
          <w:tcPr>
            <w:tcW w:w="1836" w:type="dxa"/>
            <w:shd w:val="clear" w:color="auto" w:fill="auto"/>
            <w:noWrap/>
            <w:vAlign w:val="bottom"/>
          </w:tcPr>
          <w:p w:rsidR="000E123E" w:rsidRDefault="00000000">
            <w:pPr>
              <w:rPr>
                <w:color w:val="000000"/>
                <w:sz w:val="18"/>
                <w:szCs w:val="18"/>
              </w:rPr>
            </w:pPr>
            <w:r>
              <w:rPr>
                <w:color w:val="000000"/>
                <w:sz w:val="18"/>
                <w:szCs w:val="18"/>
              </w:rPr>
              <w:t>_cons</w:t>
            </w:r>
          </w:p>
        </w:tc>
        <w:tc>
          <w:tcPr>
            <w:tcW w:w="1336" w:type="dxa"/>
            <w:shd w:val="clear" w:color="auto" w:fill="auto"/>
            <w:noWrap/>
            <w:vAlign w:val="bottom"/>
          </w:tcPr>
          <w:p w:rsidR="000E123E" w:rsidRDefault="00000000">
            <w:pPr>
              <w:jc w:val="right"/>
              <w:rPr>
                <w:color w:val="000000"/>
                <w:sz w:val="18"/>
                <w:szCs w:val="18"/>
              </w:rPr>
            </w:pPr>
            <w:r>
              <w:rPr>
                <w:color w:val="000000"/>
                <w:sz w:val="18"/>
                <w:szCs w:val="18"/>
              </w:rPr>
              <w:t>0.3505</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1.3262</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0.2600</w:t>
            </w:r>
          </w:p>
        </w:tc>
        <w:tc>
          <w:tcPr>
            <w:tcW w:w="1080" w:type="dxa"/>
            <w:shd w:val="clear" w:color="auto" w:fill="auto"/>
            <w:noWrap/>
            <w:vAlign w:val="bottom"/>
          </w:tcPr>
          <w:p w:rsidR="000E123E" w:rsidRDefault="00000000">
            <w:pPr>
              <w:jc w:val="right"/>
              <w:rPr>
                <w:color w:val="000000"/>
                <w:sz w:val="18"/>
                <w:szCs w:val="18"/>
              </w:rPr>
            </w:pPr>
            <w:r>
              <w:rPr>
                <w:color w:val="000000"/>
                <w:sz w:val="18"/>
                <w:szCs w:val="18"/>
              </w:rPr>
              <w:t>0.7950</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-2.4609</w:t>
            </w:r>
          </w:p>
        </w:tc>
        <w:tc>
          <w:tcPr>
            <w:tcW w:w="1236" w:type="dxa"/>
            <w:shd w:val="clear" w:color="auto" w:fill="auto"/>
            <w:noWrap/>
            <w:vAlign w:val="bottom"/>
          </w:tcPr>
          <w:p w:rsidR="000E123E" w:rsidRDefault="00000000">
            <w:pPr>
              <w:jc w:val="right"/>
              <w:rPr>
                <w:color w:val="000000"/>
                <w:sz w:val="18"/>
                <w:szCs w:val="18"/>
              </w:rPr>
            </w:pPr>
            <w:r>
              <w:rPr>
                <w:color w:val="000000"/>
                <w:sz w:val="18"/>
                <w:szCs w:val="18"/>
              </w:rPr>
              <w:t>3.1618</w:t>
            </w:r>
          </w:p>
        </w:tc>
      </w:tr>
    </w:tbl>
    <w:p w:rsidR="000E123E" w:rsidRDefault="00000000">
      <w:pPr>
        <w:pStyle w:val="SCCAppendix"/>
        <w:rPr>
          <w:b w:val="0"/>
          <w:bCs w:val="0"/>
        </w:rPr>
      </w:pPr>
      <w:r>
        <w:rPr>
          <w:b w:val="0"/>
          <w:bCs w:val="0"/>
        </w:rPr>
        <w:t>Table 9: NARDL Model for Agricultural Export Revenue</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867"/>
        <w:gridCol w:w="1196"/>
        <w:gridCol w:w="1060"/>
        <w:gridCol w:w="1060"/>
        <w:gridCol w:w="1060"/>
        <w:gridCol w:w="1060"/>
        <w:gridCol w:w="1060"/>
      </w:tblGrid>
      <w:tr w:rsidR="000E123E">
        <w:trPr>
          <w:trHeight w:val="300"/>
        </w:trPr>
        <w:tc>
          <w:tcPr>
            <w:tcW w:w="1267" w:type="dxa"/>
            <w:shd w:val="clear" w:color="auto" w:fill="auto"/>
            <w:noWrap/>
          </w:tcPr>
          <w:p w:rsidR="000E123E" w:rsidRDefault="00000000">
            <w:pPr>
              <w:jc w:val="center"/>
              <w:rPr>
                <w:b/>
                <w:bCs/>
                <w:color w:val="000000"/>
                <w:sz w:val="21"/>
                <w:szCs w:val="21"/>
              </w:rPr>
            </w:pPr>
            <w:r>
              <w:rPr>
                <w:b/>
                <w:bCs/>
                <w:color w:val="000000"/>
                <w:sz w:val="21"/>
                <w:szCs w:val="21"/>
              </w:rPr>
              <w:t>Component</w:t>
            </w:r>
          </w:p>
        </w:tc>
        <w:tc>
          <w:tcPr>
            <w:tcW w:w="1867" w:type="dxa"/>
            <w:shd w:val="clear" w:color="auto" w:fill="auto"/>
            <w:noWrap/>
          </w:tcPr>
          <w:p w:rsidR="000E123E" w:rsidRDefault="00000000">
            <w:pPr>
              <w:jc w:val="center"/>
              <w:rPr>
                <w:b/>
                <w:bCs/>
                <w:color w:val="000000"/>
                <w:sz w:val="21"/>
                <w:szCs w:val="21"/>
              </w:rPr>
            </w:pPr>
            <w:r>
              <w:rPr>
                <w:b/>
                <w:bCs/>
                <w:color w:val="000000"/>
                <w:sz w:val="21"/>
                <w:szCs w:val="21"/>
              </w:rPr>
              <w:t>Variable</w:t>
            </w:r>
          </w:p>
        </w:tc>
        <w:tc>
          <w:tcPr>
            <w:tcW w:w="1196" w:type="dxa"/>
            <w:shd w:val="clear" w:color="auto" w:fill="auto"/>
            <w:noWrap/>
          </w:tcPr>
          <w:p w:rsidR="000E123E" w:rsidRDefault="00000000">
            <w:pPr>
              <w:jc w:val="center"/>
              <w:rPr>
                <w:b/>
                <w:bCs/>
                <w:color w:val="000000"/>
                <w:sz w:val="21"/>
                <w:szCs w:val="21"/>
              </w:rPr>
            </w:pPr>
            <w:r>
              <w:rPr>
                <w:b/>
                <w:bCs/>
                <w:color w:val="000000"/>
                <w:sz w:val="21"/>
                <w:szCs w:val="21"/>
              </w:rPr>
              <w:t>Coefficient</w:t>
            </w:r>
          </w:p>
        </w:tc>
        <w:tc>
          <w:tcPr>
            <w:tcW w:w="1060" w:type="dxa"/>
            <w:shd w:val="clear" w:color="auto" w:fill="auto"/>
            <w:noWrap/>
          </w:tcPr>
          <w:p w:rsidR="000E123E" w:rsidRDefault="00000000">
            <w:pPr>
              <w:jc w:val="center"/>
              <w:rPr>
                <w:b/>
                <w:bCs/>
                <w:color w:val="000000"/>
                <w:sz w:val="21"/>
                <w:szCs w:val="21"/>
              </w:rPr>
            </w:pPr>
            <w:r>
              <w:rPr>
                <w:b/>
                <w:bCs/>
                <w:color w:val="000000"/>
                <w:sz w:val="21"/>
                <w:szCs w:val="21"/>
              </w:rPr>
              <w:t>Std. Error</w:t>
            </w:r>
          </w:p>
        </w:tc>
        <w:tc>
          <w:tcPr>
            <w:tcW w:w="1060" w:type="dxa"/>
            <w:shd w:val="clear" w:color="auto" w:fill="auto"/>
            <w:noWrap/>
          </w:tcPr>
          <w:p w:rsidR="000E123E" w:rsidRDefault="00000000">
            <w:pPr>
              <w:jc w:val="center"/>
              <w:rPr>
                <w:b/>
                <w:bCs/>
                <w:color w:val="000000"/>
                <w:sz w:val="21"/>
                <w:szCs w:val="21"/>
              </w:rPr>
            </w:pPr>
            <w:r>
              <w:rPr>
                <w:b/>
                <w:bCs/>
                <w:color w:val="000000"/>
                <w:sz w:val="21"/>
                <w:szCs w:val="21"/>
              </w:rPr>
              <w:t>t-value</w:t>
            </w:r>
          </w:p>
        </w:tc>
        <w:tc>
          <w:tcPr>
            <w:tcW w:w="1060" w:type="dxa"/>
            <w:shd w:val="clear" w:color="auto" w:fill="auto"/>
            <w:noWrap/>
          </w:tcPr>
          <w:p w:rsidR="000E123E" w:rsidRDefault="00000000">
            <w:pPr>
              <w:jc w:val="center"/>
              <w:rPr>
                <w:b/>
                <w:bCs/>
                <w:color w:val="000000"/>
                <w:sz w:val="21"/>
                <w:szCs w:val="21"/>
              </w:rPr>
            </w:pPr>
            <w:r>
              <w:rPr>
                <w:b/>
                <w:bCs/>
                <w:color w:val="000000"/>
                <w:sz w:val="21"/>
                <w:szCs w:val="21"/>
              </w:rPr>
              <w:t>P&gt;|t|</w:t>
            </w:r>
          </w:p>
        </w:tc>
        <w:tc>
          <w:tcPr>
            <w:tcW w:w="1060" w:type="dxa"/>
            <w:shd w:val="clear" w:color="auto" w:fill="auto"/>
            <w:noWrap/>
          </w:tcPr>
          <w:p w:rsidR="000E123E" w:rsidRDefault="00000000">
            <w:pPr>
              <w:jc w:val="center"/>
              <w:rPr>
                <w:b/>
                <w:bCs/>
                <w:color w:val="000000"/>
                <w:sz w:val="21"/>
                <w:szCs w:val="21"/>
              </w:rPr>
            </w:pPr>
            <w:r>
              <w:rPr>
                <w:b/>
                <w:bCs/>
                <w:color w:val="000000"/>
                <w:sz w:val="21"/>
                <w:szCs w:val="21"/>
              </w:rPr>
              <w:t>95% CI Lower</w:t>
            </w:r>
          </w:p>
        </w:tc>
        <w:tc>
          <w:tcPr>
            <w:tcW w:w="1060" w:type="dxa"/>
            <w:shd w:val="clear" w:color="auto" w:fill="auto"/>
            <w:noWrap/>
          </w:tcPr>
          <w:p w:rsidR="000E123E" w:rsidRDefault="00000000">
            <w:pPr>
              <w:jc w:val="center"/>
              <w:rPr>
                <w:b/>
                <w:bCs/>
                <w:color w:val="000000"/>
                <w:sz w:val="21"/>
                <w:szCs w:val="21"/>
              </w:rPr>
            </w:pPr>
            <w:r>
              <w:rPr>
                <w:b/>
                <w:bCs/>
                <w:color w:val="000000"/>
                <w:sz w:val="21"/>
                <w:szCs w:val="21"/>
              </w:rPr>
              <w:t>95% CI Upper</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t>Adjustment</w:t>
            </w:r>
          </w:p>
        </w:tc>
        <w:tc>
          <w:tcPr>
            <w:tcW w:w="1867" w:type="dxa"/>
            <w:shd w:val="clear" w:color="auto" w:fill="auto"/>
            <w:noWrap/>
            <w:vAlign w:val="bottom"/>
          </w:tcPr>
          <w:p w:rsidR="000E123E" w:rsidRDefault="00000000">
            <w:pPr>
              <w:rPr>
                <w:color w:val="000000"/>
                <w:sz w:val="21"/>
                <w:szCs w:val="21"/>
              </w:rPr>
            </w:pPr>
            <w:r>
              <w:rPr>
                <w:color w:val="000000"/>
                <w:sz w:val="18"/>
                <w:szCs w:val="18"/>
              </w:rPr>
              <w:t xml:space="preserve">Log_ </w:t>
            </w:r>
            <w:proofErr w:type="spellStart"/>
            <w:r>
              <w:rPr>
                <w:color w:val="000000"/>
                <w:sz w:val="18"/>
                <w:szCs w:val="18"/>
              </w:rPr>
              <w:t>Agro</w:t>
            </w:r>
            <w:proofErr w:type="spellEnd"/>
            <w:r>
              <w:rPr>
                <w:color w:val="000000"/>
                <w:sz w:val="18"/>
                <w:szCs w:val="18"/>
              </w:rPr>
              <w:t xml:space="preserve"> ER</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-0.5418</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0.2060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-2.6300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0.0210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-0.9869</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-0.0967</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t>Long Run</w:t>
            </w:r>
          </w:p>
        </w:tc>
        <w:tc>
          <w:tcPr>
            <w:tcW w:w="1867" w:type="dxa"/>
            <w:shd w:val="clear" w:color="auto" w:fill="auto"/>
            <w:noWrap/>
            <w:vAlign w:val="bottom"/>
          </w:tcPr>
          <w:p w:rsidR="000E123E" w:rsidRDefault="00000000">
            <w:pPr>
              <w:rPr>
                <w:color w:val="000000"/>
                <w:sz w:val="21"/>
                <w:szCs w:val="21"/>
              </w:rPr>
            </w:pPr>
            <w:r>
              <w:rPr>
                <w:color w:val="000000"/>
                <w:sz w:val="18"/>
                <w:szCs w:val="18"/>
              </w:rPr>
              <w:t>ERV_POS</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1.8756</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1.0962</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1.7100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0.1110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-0.4927</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4.2439</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t>Long Run</w:t>
            </w:r>
          </w:p>
        </w:tc>
        <w:tc>
          <w:tcPr>
            <w:tcW w:w="1867" w:type="dxa"/>
            <w:shd w:val="clear" w:color="auto" w:fill="auto"/>
            <w:noWrap/>
            <w:vAlign w:val="bottom"/>
          </w:tcPr>
          <w:p w:rsidR="000E123E" w:rsidRDefault="00000000">
            <w:pPr>
              <w:rPr>
                <w:color w:val="000000"/>
                <w:sz w:val="21"/>
                <w:szCs w:val="21"/>
              </w:rPr>
            </w:pPr>
            <w:r>
              <w:rPr>
                <w:color w:val="000000"/>
                <w:sz w:val="18"/>
                <w:szCs w:val="18"/>
              </w:rPr>
              <w:t>ERV_NEG</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-0.4843</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0.1048</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-4.6200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0.0000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-0.7108</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-0.2578</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t>Long Run</w:t>
            </w:r>
          </w:p>
        </w:tc>
        <w:tc>
          <w:tcPr>
            <w:tcW w:w="1867" w:type="dxa"/>
            <w:shd w:val="clear" w:color="auto" w:fill="auto"/>
            <w:noWrap/>
            <w:vAlign w:val="bottom"/>
          </w:tcPr>
          <w:p w:rsidR="000E123E" w:rsidRDefault="00000000">
            <w:pPr>
              <w:rPr>
                <w:color w:val="000000"/>
                <w:sz w:val="21"/>
                <w:szCs w:val="21"/>
              </w:rPr>
            </w:pPr>
            <w:r>
              <w:rPr>
                <w:sz w:val="18"/>
                <w:szCs w:val="18"/>
              </w:rPr>
              <w:t>INR</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-0.1246</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0.0547</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-2.2800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0.0400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-0.2428</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-0.0064</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t>Long Run</w:t>
            </w:r>
          </w:p>
        </w:tc>
        <w:tc>
          <w:tcPr>
            <w:tcW w:w="1867" w:type="dxa"/>
            <w:shd w:val="clear" w:color="auto" w:fill="auto"/>
            <w:noWrap/>
            <w:vAlign w:val="bottom"/>
          </w:tcPr>
          <w:p w:rsidR="000E123E" w:rsidRDefault="00000000">
            <w:pPr>
              <w:rPr>
                <w:color w:val="000000"/>
                <w:sz w:val="21"/>
                <w:szCs w:val="21"/>
              </w:rPr>
            </w:pPr>
            <w:r>
              <w:rPr>
                <w:sz w:val="18"/>
                <w:szCs w:val="18"/>
              </w:rPr>
              <w:t>INF</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-0.0608</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0.0451</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-1.3500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0.2000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-0.1582</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0.0366</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t>Long Run</w:t>
            </w:r>
          </w:p>
        </w:tc>
        <w:tc>
          <w:tcPr>
            <w:tcW w:w="1867" w:type="dxa"/>
            <w:shd w:val="clear" w:color="auto" w:fill="auto"/>
            <w:noWrap/>
            <w:vAlign w:val="bottom"/>
          </w:tcPr>
          <w:p w:rsidR="000E123E" w:rsidRDefault="00000000">
            <w:pPr>
              <w:rPr>
                <w:color w:val="000000"/>
                <w:sz w:val="21"/>
                <w:szCs w:val="21"/>
              </w:rPr>
            </w:pPr>
            <w:r>
              <w:rPr>
                <w:sz w:val="18"/>
                <w:szCs w:val="18"/>
              </w:rPr>
              <w:t>FDI</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0.2978</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0.1509</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1.9700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0.0700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-0.0282</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0.6238</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t>Short Run</w:t>
            </w:r>
          </w:p>
        </w:tc>
        <w:tc>
          <w:tcPr>
            <w:tcW w:w="1867" w:type="dxa"/>
            <w:shd w:val="clear" w:color="auto" w:fill="auto"/>
            <w:noWrap/>
            <w:vAlign w:val="bottom"/>
          </w:tcPr>
          <w:p w:rsidR="000E123E" w:rsidRDefault="00000000">
            <w:pPr>
              <w:rPr>
                <w:color w:val="000000"/>
                <w:sz w:val="21"/>
                <w:szCs w:val="21"/>
              </w:rPr>
            </w:pPr>
            <w:r>
              <w:rPr>
                <w:color w:val="000000"/>
                <w:sz w:val="18"/>
                <w:szCs w:val="18"/>
              </w:rPr>
              <w:t>D1.ERV_POS</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0.7286</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0.8094</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0.9000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0.3840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-1.0200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2.4773</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t>Short Run</w:t>
            </w:r>
          </w:p>
        </w:tc>
        <w:tc>
          <w:tcPr>
            <w:tcW w:w="1867" w:type="dxa"/>
            <w:shd w:val="clear" w:color="auto" w:fill="auto"/>
            <w:noWrap/>
            <w:vAlign w:val="bottom"/>
          </w:tcPr>
          <w:p w:rsidR="000E123E" w:rsidRDefault="00000000">
            <w:pPr>
              <w:rPr>
                <w:color w:val="000000"/>
                <w:sz w:val="21"/>
                <w:szCs w:val="21"/>
              </w:rPr>
            </w:pPr>
            <w:r>
              <w:rPr>
                <w:color w:val="000000"/>
                <w:sz w:val="18"/>
                <w:szCs w:val="18"/>
              </w:rPr>
              <w:t>D1.ERV_NEG</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0.0144</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0.2179</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0.0700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0.9480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-0.4563</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0.4851</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t>Short Run</w:t>
            </w:r>
          </w:p>
        </w:tc>
        <w:tc>
          <w:tcPr>
            <w:tcW w:w="1867" w:type="dxa"/>
            <w:shd w:val="clear" w:color="auto" w:fill="auto"/>
            <w:noWrap/>
            <w:vAlign w:val="bottom"/>
          </w:tcPr>
          <w:p w:rsidR="000E123E" w:rsidRDefault="00000000">
            <w:pPr>
              <w:rPr>
                <w:color w:val="000000"/>
                <w:sz w:val="21"/>
                <w:szCs w:val="21"/>
              </w:rPr>
            </w:pPr>
            <w:r>
              <w:rPr>
                <w:sz w:val="18"/>
                <w:szCs w:val="18"/>
              </w:rPr>
              <w:t>D1.INR</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0.0301</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0.0167</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1.8000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0.0950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-0.0060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0.0662</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t>Short Run</w:t>
            </w:r>
          </w:p>
        </w:tc>
        <w:tc>
          <w:tcPr>
            <w:tcW w:w="1867" w:type="dxa"/>
            <w:shd w:val="clear" w:color="auto" w:fill="auto"/>
            <w:noWrap/>
            <w:vAlign w:val="bottom"/>
          </w:tcPr>
          <w:p w:rsidR="000E123E" w:rsidRDefault="00000000">
            <w:pPr>
              <w:rPr>
                <w:color w:val="000000"/>
                <w:sz w:val="21"/>
                <w:szCs w:val="21"/>
              </w:rPr>
            </w:pPr>
            <w:r>
              <w:rPr>
                <w:sz w:val="18"/>
                <w:szCs w:val="18"/>
              </w:rPr>
              <w:t>D1.INF</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0.0156</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0.0159</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0.9800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0.3440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-0.0187</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0.0499</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lastRenderedPageBreak/>
              <w:t>Short Run</w:t>
            </w:r>
          </w:p>
        </w:tc>
        <w:tc>
          <w:tcPr>
            <w:tcW w:w="1867" w:type="dxa"/>
            <w:shd w:val="clear" w:color="auto" w:fill="auto"/>
            <w:noWrap/>
            <w:vAlign w:val="bottom"/>
          </w:tcPr>
          <w:p w:rsidR="000E123E" w:rsidRDefault="00000000">
            <w:pPr>
              <w:rPr>
                <w:color w:val="000000"/>
                <w:sz w:val="21"/>
                <w:szCs w:val="21"/>
              </w:rPr>
            </w:pPr>
            <w:r>
              <w:rPr>
                <w:sz w:val="18"/>
                <w:szCs w:val="18"/>
              </w:rPr>
              <w:t>D1.FDI</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-0.1097</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0.0761</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-1.4400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0.1730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-0.2742</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0.0548</w:t>
            </w:r>
          </w:p>
        </w:tc>
      </w:tr>
      <w:tr w:rsidR="000E123E">
        <w:trPr>
          <w:trHeight w:val="300"/>
        </w:trPr>
        <w:tc>
          <w:tcPr>
            <w:tcW w:w="1267" w:type="dxa"/>
            <w:shd w:val="clear" w:color="auto" w:fill="auto"/>
            <w:noWrap/>
            <w:vAlign w:val="bottom"/>
          </w:tcPr>
          <w:p w:rsidR="000E123E" w:rsidRDefault="00000000">
            <w:pPr>
              <w:rPr>
                <w:color w:val="000000"/>
                <w:sz w:val="21"/>
                <w:szCs w:val="21"/>
              </w:rPr>
            </w:pPr>
            <w:r>
              <w:rPr>
                <w:color w:val="000000"/>
                <w:sz w:val="21"/>
                <w:szCs w:val="21"/>
              </w:rPr>
              <w:t>Constant</w:t>
            </w:r>
          </w:p>
        </w:tc>
        <w:tc>
          <w:tcPr>
            <w:tcW w:w="1867" w:type="dxa"/>
            <w:shd w:val="clear" w:color="auto" w:fill="auto"/>
            <w:noWrap/>
            <w:vAlign w:val="bottom"/>
          </w:tcPr>
          <w:p w:rsidR="000E123E" w:rsidRDefault="00000000">
            <w:pPr>
              <w:rPr>
                <w:color w:val="000000"/>
                <w:sz w:val="21"/>
                <w:szCs w:val="21"/>
              </w:rPr>
            </w:pPr>
            <w:r>
              <w:rPr>
                <w:color w:val="000000"/>
                <w:sz w:val="21"/>
                <w:szCs w:val="21"/>
              </w:rPr>
              <w:t>_cons</w:t>
            </w:r>
          </w:p>
        </w:tc>
        <w:tc>
          <w:tcPr>
            <w:tcW w:w="1196" w:type="dxa"/>
            <w:shd w:val="clear" w:color="auto" w:fill="auto"/>
            <w:noWrap/>
            <w:vAlign w:val="bottom"/>
          </w:tcPr>
          <w:p w:rsidR="000E123E" w:rsidRDefault="00000000">
            <w:pPr>
              <w:jc w:val="right"/>
              <w:rPr>
                <w:color w:val="000000"/>
                <w:sz w:val="21"/>
                <w:szCs w:val="21"/>
              </w:rPr>
            </w:pPr>
            <w:r>
              <w:rPr>
                <w:color w:val="000000"/>
                <w:sz w:val="21"/>
                <w:szCs w:val="21"/>
              </w:rPr>
              <w:t>9.0248</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4.1855</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2.1600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0.0500</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-0.0175</w:t>
            </w:r>
          </w:p>
        </w:tc>
        <w:tc>
          <w:tcPr>
            <w:tcW w:w="1060" w:type="dxa"/>
            <w:shd w:val="clear" w:color="auto" w:fill="auto"/>
            <w:noWrap/>
            <w:vAlign w:val="bottom"/>
          </w:tcPr>
          <w:p w:rsidR="000E123E" w:rsidRDefault="00000000">
            <w:pPr>
              <w:jc w:val="right"/>
              <w:rPr>
                <w:color w:val="000000"/>
                <w:sz w:val="21"/>
                <w:szCs w:val="21"/>
              </w:rPr>
            </w:pPr>
            <w:r>
              <w:rPr>
                <w:color w:val="000000"/>
                <w:sz w:val="21"/>
                <w:szCs w:val="21"/>
              </w:rPr>
              <w:t>18.0671</w:t>
            </w:r>
          </w:p>
        </w:tc>
      </w:tr>
    </w:tbl>
    <w:p w:rsidR="000E123E" w:rsidRDefault="000E123E">
      <w:pPr>
        <w:pStyle w:val="SCCAppendix"/>
        <w:rPr>
          <w:b w:val="0"/>
          <w:bCs w:val="0"/>
        </w:rPr>
      </w:pPr>
    </w:p>
    <w:p w:rsidR="000E123E" w:rsidRDefault="00000000">
      <w:pPr>
        <w:pStyle w:val="SCCAppendix"/>
      </w:pPr>
      <w:r>
        <w:t xml:space="preserve">Appendix </w:t>
      </w:r>
      <w:r w:rsidR="0041552B">
        <w:t xml:space="preserve">B </w:t>
      </w:r>
      <w:r>
        <w:t>Post-Estimation Test Results</w:t>
      </w:r>
    </w:p>
    <w:p w:rsidR="000E123E" w:rsidRDefault="00000000">
      <w:pPr>
        <w:pStyle w:val="SCC41tablecaption"/>
        <w:rPr>
          <w:i/>
          <w:iCs/>
        </w:rPr>
      </w:pPr>
      <w:r>
        <w:t>Table 10</w:t>
      </w:r>
      <w:r>
        <w:rPr>
          <w:rFonts w:eastAsiaTheme="minorEastAsia" w:hint="eastAsia"/>
          <w:lang w:eastAsia="zh-CN"/>
        </w:rPr>
        <w:t>:</w:t>
      </w:r>
      <w:r>
        <w:t xml:space="preserve"> Test for VIF and B-Pagan for Multicollinearity and Heteroscedasticity for Model 1</w:t>
      </w:r>
    </w:p>
    <w:tbl>
      <w:tblPr>
        <w:tblStyle w:val="TableGrid"/>
        <w:tblW w:w="0" w:type="auto"/>
        <w:jc w:val="center"/>
        <w:tblLook w:val="04A0" w:firstRow="1" w:lastRow="0" w:firstColumn="1" w:lastColumn="0" w:noHBand="0" w:noVBand="1"/>
      </w:tblPr>
      <w:tblGrid>
        <w:gridCol w:w="1493"/>
        <w:gridCol w:w="1060"/>
      </w:tblGrid>
      <w:tr w:rsidR="000E123E">
        <w:trPr>
          <w:trHeight w:val="300"/>
          <w:jc w:val="center"/>
        </w:trPr>
        <w:tc>
          <w:tcPr>
            <w:tcW w:w="1493" w:type="dxa"/>
            <w:noWrap/>
          </w:tcPr>
          <w:p w:rsidR="000E123E" w:rsidRDefault="00000000">
            <w:pPr>
              <w:pStyle w:val="SCC42tablebody"/>
              <w:rPr>
                <w:shd w:val="clear" w:color="auto" w:fill="FFFFFF"/>
              </w:rPr>
            </w:pPr>
            <w:r>
              <w:rPr>
                <w:shd w:val="clear" w:color="auto" w:fill="FFFFFF"/>
              </w:rPr>
              <w:t>Variable</w:t>
            </w:r>
          </w:p>
        </w:tc>
        <w:tc>
          <w:tcPr>
            <w:tcW w:w="1060" w:type="dxa"/>
            <w:noWrap/>
          </w:tcPr>
          <w:p w:rsidR="000E123E" w:rsidRDefault="00000000">
            <w:pPr>
              <w:pStyle w:val="SCC42tablebody"/>
              <w:rPr>
                <w:shd w:val="clear" w:color="auto" w:fill="FFFFFF"/>
              </w:rPr>
            </w:pPr>
            <w:r>
              <w:rPr>
                <w:shd w:val="clear" w:color="auto" w:fill="FFFFFF"/>
              </w:rPr>
              <w:t>VIF</w:t>
            </w:r>
          </w:p>
        </w:tc>
      </w:tr>
      <w:tr w:rsidR="000E123E">
        <w:trPr>
          <w:trHeight w:val="300"/>
          <w:jc w:val="center"/>
        </w:trPr>
        <w:tc>
          <w:tcPr>
            <w:tcW w:w="1493" w:type="dxa"/>
            <w:noWrap/>
          </w:tcPr>
          <w:p w:rsidR="000E123E" w:rsidRDefault="00000000">
            <w:pPr>
              <w:pStyle w:val="SCC42tablebody"/>
              <w:rPr>
                <w:shd w:val="clear" w:color="auto" w:fill="FFFFFF"/>
              </w:rPr>
            </w:pPr>
            <w:r>
              <w:rPr>
                <w:shd w:val="clear" w:color="auto" w:fill="FFFFFF"/>
              </w:rPr>
              <w:t>ERV</w:t>
            </w:r>
          </w:p>
        </w:tc>
        <w:tc>
          <w:tcPr>
            <w:tcW w:w="1060" w:type="dxa"/>
            <w:noWrap/>
          </w:tcPr>
          <w:p w:rsidR="000E123E" w:rsidRDefault="00000000">
            <w:pPr>
              <w:pStyle w:val="SCC42tablebody"/>
              <w:rPr>
                <w:shd w:val="clear" w:color="auto" w:fill="FFFFFF"/>
              </w:rPr>
            </w:pPr>
            <w:r>
              <w:rPr>
                <w:shd w:val="clear" w:color="auto" w:fill="FFFFFF"/>
              </w:rPr>
              <w:t>2.54</w:t>
            </w:r>
          </w:p>
        </w:tc>
      </w:tr>
      <w:tr w:rsidR="000E123E">
        <w:trPr>
          <w:trHeight w:val="300"/>
          <w:jc w:val="center"/>
        </w:trPr>
        <w:tc>
          <w:tcPr>
            <w:tcW w:w="1493" w:type="dxa"/>
            <w:noWrap/>
          </w:tcPr>
          <w:p w:rsidR="000E123E" w:rsidRDefault="00000000">
            <w:pPr>
              <w:pStyle w:val="SCC42tablebody"/>
              <w:rPr>
                <w:shd w:val="clear" w:color="auto" w:fill="FFFFFF"/>
              </w:rPr>
            </w:pPr>
            <w:r>
              <w:rPr>
                <w:shd w:val="clear" w:color="auto" w:fill="FFFFFF"/>
              </w:rPr>
              <w:t>INT Rate</w:t>
            </w:r>
          </w:p>
        </w:tc>
        <w:tc>
          <w:tcPr>
            <w:tcW w:w="1060" w:type="dxa"/>
            <w:noWrap/>
          </w:tcPr>
          <w:p w:rsidR="000E123E" w:rsidRDefault="00000000">
            <w:pPr>
              <w:pStyle w:val="SCC42tablebody"/>
              <w:rPr>
                <w:shd w:val="clear" w:color="auto" w:fill="FFFFFF"/>
              </w:rPr>
            </w:pPr>
            <w:r>
              <w:rPr>
                <w:shd w:val="clear" w:color="auto" w:fill="FFFFFF"/>
              </w:rPr>
              <w:t>2.68</w:t>
            </w:r>
          </w:p>
        </w:tc>
      </w:tr>
      <w:tr w:rsidR="000E123E">
        <w:trPr>
          <w:trHeight w:val="300"/>
          <w:jc w:val="center"/>
        </w:trPr>
        <w:tc>
          <w:tcPr>
            <w:tcW w:w="1493" w:type="dxa"/>
            <w:noWrap/>
          </w:tcPr>
          <w:p w:rsidR="000E123E" w:rsidRDefault="00000000">
            <w:pPr>
              <w:pStyle w:val="SCC42tablebody"/>
              <w:rPr>
                <w:shd w:val="clear" w:color="auto" w:fill="FFFFFF"/>
              </w:rPr>
            </w:pPr>
            <w:r>
              <w:rPr>
                <w:shd w:val="clear" w:color="auto" w:fill="FFFFFF"/>
              </w:rPr>
              <w:t>INF Rate</w:t>
            </w:r>
          </w:p>
        </w:tc>
        <w:tc>
          <w:tcPr>
            <w:tcW w:w="1060" w:type="dxa"/>
            <w:noWrap/>
          </w:tcPr>
          <w:p w:rsidR="000E123E" w:rsidRDefault="00000000">
            <w:pPr>
              <w:pStyle w:val="SCC42tablebody"/>
              <w:rPr>
                <w:shd w:val="clear" w:color="auto" w:fill="FFFFFF"/>
              </w:rPr>
            </w:pPr>
            <w:r>
              <w:rPr>
                <w:shd w:val="clear" w:color="auto" w:fill="FFFFFF"/>
              </w:rPr>
              <w:t>2.87</w:t>
            </w:r>
          </w:p>
        </w:tc>
      </w:tr>
      <w:tr w:rsidR="000E123E">
        <w:trPr>
          <w:trHeight w:val="300"/>
          <w:jc w:val="center"/>
        </w:trPr>
        <w:tc>
          <w:tcPr>
            <w:tcW w:w="1493" w:type="dxa"/>
            <w:noWrap/>
          </w:tcPr>
          <w:p w:rsidR="000E123E" w:rsidRDefault="00000000">
            <w:pPr>
              <w:pStyle w:val="SCC42tablebody"/>
              <w:rPr>
                <w:shd w:val="clear" w:color="auto" w:fill="FFFFFF"/>
              </w:rPr>
            </w:pPr>
            <w:r>
              <w:rPr>
                <w:shd w:val="clear" w:color="auto" w:fill="FFFFFF"/>
              </w:rPr>
              <w:t>FDI</w:t>
            </w:r>
          </w:p>
        </w:tc>
        <w:tc>
          <w:tcPr>
            <w:tcW w:w="1060" w:type="dxa"/>
            <w:noWrap/>
          </w:tcPr>
          <w:p w:rsidR="000E123E" w:rsidRDefault="00000000">
            <w:pPr>
              <w:pStyle w:val="SCC42tablebody"/>
              <w:rPr>
                <w:shd w:val="clear" w:color="auto" w:fill="FFFFFF"/>
              </w:rPr>
            </w:pPr>
            <w:r>
              <w:rPr>
                <w:shd w:val="clear" w:color="auto" w:fill="FFFFFF"/>
              </w:rPr>
              <w:t>2.97</w:t>
            </w:r>
          </w:p>
        </w:tc>
      </w:tr>
      <w:tr w:rsidR="000E123E">
        <w:trPr>
          <w:trHeight w:val="300"/>
          <w:jc w:val="center"/>
        </w:trPr>
        <w:tc>
          <w:tcPr>
            <w:tcW w:w="1493" w:type="dxa"/>
            <w:noWrap/>
          </w:tcPr>
          <w:p w:rsidR="000E123E" w:rsidRDefault="00000000">
            <w:pPr>
              <w:pStyle w:val="SCC42tablebody"/>
              <w:rPr>
                <w:shd w:val="clear" w:color="auto" w:fill="FFFFFF"/>
              </w:rPr>
            </w:pPr>
            <w:r>
              <w:rPr>
                <w:shd w:val="clear" w:color="auto" w:fill="FFFFFF"/>
              </w:rPr>
              <w:t>Mean VIF</w:t>
            </w:r>
          </w:p>
        </w:tc>
        <w:tc>
          <w:tcPr>
            <w:tcW w:w="1060" w:type="dxa"/>
            <w:noWrap/>
          </w:tcPr>
          <w:p w:rsidR="000E123E" w:rsidRDefault="00000000">
            <w:pPr>
              <w:pStyle w:val="SCC42tablebody"/>
              <w:rPr>
                <w:shd w:val="clear" w:color="auto" w:fill="FFFFFF"/>
              </w:rPr>
            </w:pPr>
            <w:r>
              <w:rPr>
                <w:shd w:val="clear" w:color="auto" w:fill="FFFFFF"/>
              </w:rPr>
              <w:t>2.77</w:t>
            </w:r>
          </w:p>
        </w:tc>
      </w:tr>
      <w:tr w:rsidR="000E123E">
        <w:trPr>
          <w:trHeight w:val="300"/>
          <w:jc w:val="center"/>
        </w:trPr>
        <w:tc>
          <w:tcPr>
            <w:tcW w:w="2553" w:type="dxa"/>
            <w:gridSpan w:val="2"/>
            <w:noWrap/>
          </w:tcPr>
          <w:p w:rsidR="000E123E" w:rsidRDefault="00000000">
            <w:pPr>
              <w:pStyle w:val="SCC42tablebody"/>
              <w:rPr>
                <w:shd w:val="clear" w:color="auto" w:fill="FFFFFF"/>
              </w:rPr>
            </w:pPr>
            <w:r>
              <w:rPr>
                <w:shd w:val="clear" w:color="auto" w:fill="FFFFFF"/>
              </w:rPr>
              <w:t>Breusch-Pagan</w:t>
            </w:r>
          </w:p>
        </w:tc>
      </w:tr>
      <w:tr w:rsidR="000E123E">
        <w:trPr>
          <w:trHeight w:val="300"/>
          <w:jc w:val="center"/>
        </w:trPr>
        <w:tc>
          <w:tcPr>
            <w:tcW w:w="1493" w:type="dxa"/>
            <w:noWrap/>
          </w:tcPr>
          <w:p w:rsidR="000E123E" w:rsidRDefault="00000000">
            <w:pPr>
              <w:pStyle w:val="SCC42tablebody"/>
              <w:rPr>
                <w:shd w:val="clear" w:color="auto" w:fill="FFFFFF"/>
              </w:rPr>
            </w:pPr>
            <w:proofErr w:type="gramStart"/>
            <w:r>
              <w:rPr>
                <w:shd w:val="clear" w:color="auto" w:fill="FFFFFF"/>
              </w:rPr>
              <w:t>Chi(</w:t>
            </w:r>
            <w:proofErr w:type="gramEnd"/>
            <w:r>
              <w:rPr>
                <w:shd w:val="clear" w:color="auto" w:fill="FFFFFF"/>
              </w:rPr>
              <w:t>2)</w:t>
            </w:r>
          </w:p>
        </w:tc>
        <w:tc>
          <w:tcPr>
            <w:tcW w:w="1060" w:type="dxa"/>
            <w:noWrap/>
          </w:tcPr>
          <w:p w:rsidR="000E123E" w:rsidRDefault="00000000">
            <w:pPr>
              <w:pStyle w:val="SCC42tablebody"/>
              <w:rPr>
                <w:shd w:val="clear" w:color="auto" w:fill="FFFFFF"/>
              </w:rPr>
            </w:pPr>
            <w:r>
              <w:rPr>
                <w:shd w:val="clear" w:color="auto" w:fill="FFFFFF"/>
              </w:rPr>
              <w:t>0.17</w:t>
            </w:r>
          </w:p>
        </w:tc>
      </w:tr>
      <w:tr w:rsidR="000E123E">
        <w:trPr>
          <w:trHeight w:val="300"/>
          <w:jc w:val="center"/>
        </w:trPr>
        <w:tc>
          <w:tcPr>
            <w:tcW w:w="1493" w:type="dxa"/>
            <w:noWrap/>
          </w:tcPr>
          <w:p w:rsidR="000E123E" w:rsidRDefault="00000000">
            <w:pPr>
              <w:pStyle w:val="SCC42tablebody"/>
              <w:rPr>
                <w:shd w:val="clear" w:color="auto" w:fill="FFFFFF"/>
              </w:rPr>
            </w:pPr>
            <w:r>
              <w:rPr>
                <w:shd w:val="clear" w:color="auto" w:fill="FFFFFF"/>
              </w:rPr>
              <w:t>Prob&gt;Chi2</w:t>
            </w:r>
          </w:p>
        </w:tc>
        <w:tc>
          <w:tcPr>
            <w:tcW w:w="1060" w:type="dxa"/>
            <w:noWrap/>
          </w:tcPr>
          <w:p w:rsidR="000E123E" w:rsidRDefault="00000000">
            <w:pPr>
              <w:pStyle w:val="SCC42tablebody"/>
              <w:rPr>
                <w:shd w:val="clear" w:color="auto" w:fill="FFFFFF"/>
              </w:rPr>
            </w:pPr>
            <w:r>
              <w:rPr>
                <w:shd w:val="clear" w:color="auto" w:fill="FFFFFF"/>
              </w:rPr>
              <w:t>0.420</w:t>
            </w:r>
          </w:p>
        </w:tc>
      </w:tr>
    </w:tbl>
    <w:p w:rsidR="000E123E" w:rsidRDefault="000E123E">
      <w:pPr>
        <w:spacing w:line="360" w:lineRule="auto"/>
        <w:rPr>
          <w:b/>
          <w:bCs/>
          <w:shd w:val="clear" w:color="auto" w:fill="FFFFFF"/>
          <w:lang w:val="en-GB"/>
        </w:rPr>
      </w:pPr>
    </w:p>
    <w:p w:rsidR="000E123E" w:rsidRDefault="00000000">
      <w:pPr>
        <w:pStyle w:val="SCC41tablecaption"/>
        <w:rPr>
          <w:i/>
          <w:iCs/>
        </w:rPr>
      </w:pPr>
      <w:r>
        <w:t xml:space="preserve">Table </w:t>
      </w:r>
      <w:r>
        <w:rPr>
          <w:rFonts w:eastAsiaTheme="minorEastAsia"/>
          <w:lang w:eastAsia="zh-CN"/>
        </w:rPr>
        <w:t>11</w:t>
      </w:r>
      <w:r>
        <w:t>: Test for VIF and B-Pagan for Multicollinearity and Heteroscedasticity for Model 2</w:t>
      </w:r>
    </w:p>
    <w:tbl>
      <w:tblPr>
        <w:tblStyle w:val="TableGrid"/>
        <w:tblW w:w="0" w:type="auto"/>
        <w:jc w:val="center"/>
        <w:tblLook w:val="04A0" w:firstRow="1" w:lastRow="0" w:firstColumn="1" w:lastColumn="0" w:noHBand="0" w:noVBand="1"/>
      </w:tblPr>
      <w:tblGrid>
        <w:gridCol w:w="2147"/>
        <w:gridCol w:w="1525"/>
      </w:tblGrid>
      <w:tr w:rsidR="000E123E">
        <w:trPr>
          <w:trHeight w:val="310"/>
          <w:jc w:val="center"/>
        </w:trPr>
        <w:tc>
          <w:tcPr>
            <w:tcW w:w="2147" w:type="dxa"/>
            <w:noWrap/>
          </w:tcPr>
          <w:p w:rsidR="000E123E" w:rsidRDefault="00000000">
            <w:pPr>
              <w:pStyle w:val="SCC42tablebody"/>
              <w:rPr>
                <w:shd w:val="clear" w:color="auto" w:fill="FFFFFF"/>
              </w:rPr>
            </w:pPr>
            <w:r>
              <w:rPr>
                <w:shd w:val="clear" w:color="auto" w:fill="FFFFFF"/>
              </w:rPr>
              <w:t>Variable</w:t>
            </w:r>
          </w:p>
        </w:tc>
        <w:tc>
          <w:tcPr>
            <w:tcW w:w="1525" w:type="dxa"/>
            <w:noWrap/>
          </w:tcPr>
          <w:p w:rsidR="000E123E" w:rsidRDefault="00000000">
            <w:pPr>
              <w:pStyle w:val="SCC42tablebody"/>
              <w:rPr>
                <w:shd w:val="clear" w:color="auto" w:fill="FFFFFF"/>
              </w:rPr>
            </w:pPr>
            <w:r>
              <w:rPr>
                <w:shd w:val="clear" w:color="auto" w:fill="FFFFFF"/>
              </w:rPr>
              <w:t>VIF</w:t>
            </w:r>
          </w:p>
        </w:tc>
      </w:tr>
      <w:tr w:rsidR="000E123E">
        <w:trPr>
          <w:trHeight w:val="310"/>
          <w:jc w:val="center"/>
        </w:trPr>
        <w:tc>
          <w:tcPr>
            <w:tcW w:w="2147" w:type="dxa"/>
            <w:noWrap/>
          </w:tcPr>
          <w:p w:rsidR="000E123E" w:rsidRDefault="00000000">
            <w:pPr>
              <w:pStyle w:val="SCC42tablebody"/>
              <w:rPr>
                <w:shd w:val="clear" w:color="auto" w:fill="FFFFFF"/>
              </w:rPr>
            </w:pPr>
            <w:r>
              <w:rPr>
                <w:shd w:val="clear" w:color="auto" w:fill="FFFFFF"/>
              </w:rPr>
              <w:t>ERV</w:t>
            </w:r>
          </w:p>
        </w:tc>
        <w:tc>
          <w:tcPr>
            <w:tcW w:w="1525" w:type="dxa"/>
            <w:noWrap/>
          </w:tcPr>
          <w:p w:rsidR="000E123E" w:rsidRDefault="00000000">
            <w:pPr>
              <w:pStyle w:val="SCC42tablebody"/>
              <w:rPr>
                <w:shd w:val="clear" w:color="auto" w:fill="FFFFFF"/>
              </w:rPr>
            </w:pPr>
            <w:r>
              <w:rPr>
                <w:shd w:val="clear" w:color="auto" w:fill="FFFFFF"/>
              </w:rPr>
              <w:t>2.68</w:t>
            </w:r>
          </w:p>
        </w:tc>
      </w:tr>
      <w:tr w:rsidR="000E123E">
        <w:trPr>
          <w:trHeight w:val="310"/>
          <w:jc w:val="center"/>
        </w:trPr>
        <w:tc>
          <w:tcPr>
            <w:tcW w:w="2147" w:type="dxa"/>
            <w:noWrap/>
          </w:tcPr>
          <w:p w:rsidR="000E123E" w:rsidRDefault="00000000">
            <w:pPr>
              <w:pStyle w:val="SCC42tablebody"/>
              <w:rPr>
                <w:shd w:val="clear" w:color="auto" w:fill="FFFFFF"/>
              </w:rPr>
            </w:pPr>
            <w:r>
              <w:rPr>
                <w:shd w:val="clear" w:color="auto" w:fill="FFFFFF"/>
              </w:rPr>
              <w:t>INT Rate</w:t>
            </w:r>
          </w:p>
        </w:tc>
        <w:tc>
          <w:tcPr>
            <w:tcW w:w="1525" w:type="dxa"/>
            <w:noWrap/>
          </w:tcPr>
          <w:p w:rsidR="000E123E" w:rsidRDefault="00000000">
            <w:pPr>
              <w:pStyle w:val="SCC42tablebody"/>
              <w:rPr>
                <w:shd w:val="clear" w:color="auto" w:fill="FFFFFF"/>
              </w:rPr>
            </w:pPr>
            <w:r>
              <w:rPr>
                <w:shd w:val="clear" w:color="auto" w:fill="FFFFFF"/>
              </w:rPr>
              <w:t>2.72</w:t>
            </w:r>
          </w:p>
        </w:tc>
      </w:tr>
      <w:tr w:rsidR="000E123E">
        <w:trPr>
          <w:trHeight w:val="310"/>
          <w:jc w:val="center"/>
        </w:trPr>
        <w:tc>
          <w:tcPr>
            <w:tcW w:w="2147" w:type="dxa"/>
            <w:noWrap/>
          </w:tcPr>
          <w:p w:rsidR="000E123E" w:rsidRDefault="00000000">
            <w:pPr>
              <w:pStyle w:val="SCC42tablebody"/>
              <w:rPr>
                <w:shd w:val="clear" w:color="auto" w:fill="FFFFFF"/>
              </w:rPr>
            </w:pPr>
            <w:r>
              <w:rPr>
                <w:shd w:val="clear" w:color="auto" w:fill="FFFFFF"/>
              </w:rPr>
              <w:t>INF Rate</w:t>
            </w:r>
          </w:p>
        </w:tc>
        <w:tc>
          <w:tcPr>
            <w:tcW w:w="1525" w:type="dxa"/>
            <w:noWrap/>
          </w:tcPr>
          <w:p w:rsidR="000E123E" w:rsidRDefault="00000000">
            <w:pPr>
              <w:pStyle w:val="SCC42tablebody"/>
              <w:rPr>
                <w:shd w:val="clear" w:color="auto" w:fill="FFFFFF"/>
              </w:rPr>
            </w:pPr>
            <w:r>
              <w:rPr>
                <w:shd w:val="clear" w:color="auto" w:fill="FFFFFF"/>
              </w:rPr>
              <w:t>2.88</w:t>
            </w:r>
          </w:p>
        </w:tc>
      </w:tr>
      <w:tr w:rsidR="000E123E">
        <w:trPr>
          <w:trHeight w:val="310"/>
          <w:jc w:val="center"/>
        </w:trPr>
        <w:tc>
          <w:tcPr>
            <w:tcW w:w="2147" w:type="dxa"/>
            <w:noWrap/>
          </w:tcPr>
          <w:p w:rsidR="000E123E" w:rsidRDefault="00000000">
            <w:pPr>
              <w:pStyle w:val="SCC42tablebody"/>
              <w:rPr>
                <w:shd w:val="clear" w:color="auto" w:fill="FFFFFF"/>
              </w:rPr>
            </w:pPr>
            <w:r>
              <w:rPr>
                <w:shd w:val="clear" w:color="auto" w:fill="FFFFFF"/>
              </w:rPr>
              <w:t>FDI</w:t>
            </w:r>
          </w:p>
        </w:tc>
        <w:tc>
          <w:tcPr>
            <w:tcW w:w="1525" w:type="dxa"/>
            <w:noWrap/>
          </w:tcPr>
          <w:p w:rsidR="000E123E" w:rsidRDefault="00000000">
            <w:pPr>
              <w:pStyle w:val="SCC42tablebody"/>
              <w:rPr>
                <w:shd w:val="clear" w:color="auto" w:fill="FFFFFF"/>
              </w:rPr>
            </w:pPr>
            <w:r>
              <w:rPr>
                <w:shd w:val="clear" w:color="auto" w:fill="FFFFFF"/>
              </w:rPr>
              <w:t>3.02</w:t>
            </w:r>
          </w:p>
        </w:tc>
      </w:tr>
      <w:tr w:rsidR="000E123E">
        <w:trPr>
          <w:trHeight w:val="310"/>
          <w:jc w:val="center"/>
        </w:trPr>
        <w:tc>
          <w:tcPr>
            <w:tcW w:w="2147" w:type="dxa"/>
            <w:noWrap/>
          </w:tcPr>
          <w:p w:rsidR="000E123E" w:rsidRDefault="00000000">
            <w:pPr>
              <w:pStyle w:val="SCC42tablebody"/>
              <w:rPr>
                <w:shd w:val="clear" w:color="auto" w:fill="FFFFFF"/>
              </w:rPr>
            </w:pPr>
            <w:r>
              <w:rPr>
                <w:shd w:val="clear" w:color="auto" w:fill="FFFFFF"/>
              </w:rPr>
              <w:t>Mean VIF</w:t>
            </w:r>
          </w:p>
        </w:tc>
        <w:tc>
          <w:tcPr>
            <w:tcW w:w="1525" w:type="dxa"/>
            <w:noWrap/>
          </w:tcPr>
          <w:p w:rsidR="000E123E" w:rsidRDefault="00000000">
            <w:pPr>
              <w:pStyle w:val="SCC42tablebody"/>
              <w:rPr>
                <w:shd w:val="clear" w:color="auto" w:fill="FFFFFF"/>
              </w:rPr>
            </w:pPr>
            <w:r>
              <w:rPr>
                <w:shd w:val="clear" w:color="auto" w:fill="FFFFFF"/>
              </w:rPr>
              <w:t>2.84</w:t>
            </w:r>
          </w:p>
        </w:tc>
      </w:tr>
      <w:tr w:rsidR="000E123E">
        <w:trPr>
          <w:trHeight w:val="310"/>
          <w:jc w:val="center"/>
        </w:trPr>
        <w:tc>
          <w:tcPr>
            <w:tcW w:w="3672" w:type="dxa"/>
            <w:gridSpan w:val="2"/>
            <w:noWrap/>
          </w:tcPr>
          <w:p w:rsidR="000E123E" w:rsidRDefault="00000000">
            <w:pPr>
              <w:pStyle w:val="SCC42tablebody"/>
              <w:rPr>
                <w:shd w:val="clear" w:color="auto" w:fill="FFFFFF"/>
              </w:rPr>
            </w:pPr>
            <w:r>
              <w:rPr>
                <w:shd w:val="clear" w:color="auto" w:fill="FFFFFF"/>
              </w:rPr>
              <w:t>Breusch-Pagan</w:t>
            </w:r>
          </w:p>
        </w:tc>
      </w:tr>
      <w:tr w:rsidR="000E123E">
        <w:trPr>
          <w:trHeight w:val="310"/>
          <w:jc w:val="center"/>
        </w:trPr>
        <w:tc>
          <w:tcPr>
            <w:tcW w:w="2147" w:type="dxa"/>
            <w:noWrap/>
          </w:tcPr>
          <w:p w:rsidR="000E123E" w:rsidRDefault="00000000">
            <w:pPr>
              <w:pStyle w:val="SCC42tablebody"/>
              <w:rPr>
                <w:shd w:val="clear" w:color="auto" w:fill="FFFFFF"/>
              </w:rPr>
            </w:pPr>
            <w:proofErr w:type="gramStart"/>
            <w:r>
              <w:rPr>
                <w:shd w:val="clear" w:color="auto" w:fill="FFFFFF"/>
              </w:rPr>
              <w:t>Chi(</w:t>
            </w:r>
            <w:proofErr w:type="gramEnd"/>
            <w:r>
              <w:rPr>
                <w:shd w:val="clear" w:color="auto" w:fill="FFFFFF"/>
              </w:rPr>
              <w:t>2)</w:t>
            </w:r>
          </w:p>
        </w:tc>
        <w:tc>
          <w:tcPr>
            <w:tcW w:w="1525" w:type="dxa"/>
            <w:noWrap/>
          </w:tcPr>
          <w:p w:rsidR="000E123E" w:rsidRDefault="00000000">
            <w:pPr>
              <w:pStyle w:val="SCC42tablebody"/>
              <w:rPr>
                <w:shd w:val="clear" w:color="auto" w:fill="FFFFFF"/>
              </w:rPr>
            </w:pPr>
            <w:r>
              <w:rPr>
                <w:shd w:val="clear" w:color="auto" w:fill="FFFFFF"/>
              </w:rPr>
              <w:t>2.37</w:t>
            </w:r>
          </w:p>
        </w:tc>
      </w:tr>
      <w:tr w:rsidR="000E123E">
        <w:trPr>
          <w:trHeight w:val="310"/>
          <w:jc w:val="center"/>
        </w:trPr>
        <w:tc>
          <w:tcPr>
            <w:tcW w:w="2147" w:type="dxa"/>
            <w:noWrap/>
          </w:tcPr>
          <w:p w:rsidR="000E123E" w:rsidRDefault="00000000">
            <w:pPr>
              <w:pStyle w:val="SCC42tablebody"/>
              <w:rPr>
                <w:shd w:val="clear" w:color="auto" w:fill="FFFFFF"/>
              </w:rPr>
            </w:pPr>
            <w:r>
              <w:rPr>
                <w:shd w:val="clear" w:color="auto" w:fill="FFFFFF"/>
              </w:rPr>
              <w:t>Prob&gt;Chi2</w:t>
            </w:r>
          </w:p>
        </w:tc>
        <w:tc>
          <w:tcPr>
            <w:tcW w:w="1525" w:type="dxa"/>
            <w:noWrap/>
          </w:tcPr>
          <w:p w:rsidR="000E123E" w:rsidRDefault="00000000">
            <w:pPr>
              <w:pStyle w:val="SCC42tablebody"/>
              <w:rPr>
                <w:shd w:val="clear" w:color="auto" w:fill="FFFFFF"/>
              </w:rPr>
            </w:pPr>
            <w:r>
              <w:rPr>
                <w:shd w:val="clear" w:color="auto" w:fill="FFFFFF"/>
              </w:rPr>
              <w:t>0.1238</w:t>
            </w:r>
          </w:p>
        </w:tc>
      </w:tr>
    </w:tbl>
    <w:p w:rsidR="000E123E" w:rsidRDefault="000E123E">
      <w:pPr>
        <w:spacing w:after="240" w:line="360" w:lineRule="auto"/>
        <w:rPr>
          <w:shd w:val="clear" w:color="auto" w:fill="FFFFFF"/>
          <w:lang w:val="en-GB"/>
        </w:rPr>
      </w:pPr>
    </w:p>
    <w:p w:rsidR="000E123E" w:rsidRDefault="000E123E">
      <w:pPr>
        <w:pStyle w:val="SCCAppendix"/>
        <w:rPr>
          <w:rFonts w:eastAsiaTheme="minorEastAsia"/>
          <w:shd w:val="clear" w:color="auto" w:fill="FFFFFF"/>
        </w:rPr>
      </w:pPr>
    </w:p>
    <w:p w:rsidR="000E123E" w:rsidRDefault="00000000">
      <w:pPr>
        <w:pStyle w:val="SCCAppendix"/>
        <w:rPr>
          <w:shd w:val="clear" w:color="auto" w:fill="FFFFFF"/>
          <w:lang w:val="en-GB"/>
        </w:rPr>
      </w:pPr>
      <w:r>
        <w:rPr>
          <w:shd w:val="clear" w:color="auto" w:fill="FFFFFF"/>
        </w:rPr>
        <w:t xml:space="preserve">Appendix </w:t>
      </w:r>
      <w:r w:rsidR="0041552B">
        <w:rPr>
          <w:rFonts w:eastAsiaTheme="minorEastAsia"/>
          <w:shd w:val="clear" w:color="auto" w:fill="FFFFFF"/>
        </w:rPr>
        <w:t>C</w:t>
      </w:r>
      <w:r>
        <w:rPr>
          <w:shd w:val="clear" w:color="auto" w:fill="FFFFFF"/>
        </w:rPr>
        <w:t>: Trend Analysis of the Key Variables</w:t>
      </w:r>
    </w:p>
    <w:p w:rsidR="000E123E" w:rsidRDefault="00000000">
      <w:pPr>
        <w:keepNext/>
        <w:spacing w:after="240" w:line="360" w:lineRule="auto"/>
        <w:jc w:val="center"/>
      </w:pPr>
      <w:r>
        <w:rPr>
          <w:noProof/>
          <w:shd w:val="clear" w:color="auto" w:fill="FFFFFF"/>
        </w:rPr>
        <w:lastRenderedPageBreak/>
        <w:drawing>
          <wp:inline distT="0" distB="0" distL="0" distR="0">
            <wp:extent cx="5029200" cy="3657600"/>
            <wp:effectExtent l="0" t="0" r="0" b="0"/>
            <wp:docPr id="1930057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57293" name="Picture 1"/>
                    <pic:cNvPicPr>
                      <a:picLocks noChangeAspect="1"/>
                    </pic:cNvPicPr>
                  </pic:nvPicPr>
                  <pic:blipFill>
                    <a:blip r:embed="rId30"/>
                    <a:stretch>
                      <a:fillRect/>
                    </a:stretch>
                  </pic:blipFill>
                  <pic:spPr>
                    <a:xfrm>
                      <a:off x="0" y="0"/>
                      <a:ext cx="5029200" cy="3657600"/>
                    </a:xfrm>
                    <a:prstGeom prst="rect">
                      <a:avLst/>
                    </a:prstGeom>
                  </pic:spPr>
                </pic:pic>
              </a:graphicData>
            </a:graphic>
          </wp:inline>
        </w:drawing>
      </w:r>
    </w:p>
    <w:p w:rsidR="000E123E" w:rsidRDefault="00000000">
      <w:pPr>
        <w:pStyle w:val="SCC51figurecaption"/>
        <w:rPr>
          <w:i/>
          <w:iCs/>
          <w:shd w:val="clear" w:color="auto" w:fill="FFFFFF"/>
          <w:lang w:val="en-GB"/>
        </w:rPr>
      </w:pPr>
      <w:r>
        <w:t xml:space="preserve">Figure </w:t>
      </w:r>
      <w:r>
        <w:fldChar w:fldCharType="begin"/>
      </w:r>
      <w:r>
        <w:instrText xml:space="preserve"> SEQ Figure \* ARABIC </w:instrText>
      </w:r>
      <w:r>
        <w:fldChar w:fldCharType="separate"/>
      </w:r>
      <w:r>
        <w:t>1</w:t>
      </w:r>
      <w:r>
        <w:fldChar w:fldCharType="end"/>
      </w:r>
      <w:r>
        <w:t>: Trend Analysis of Key Variables</w:t>
      </w:r>
    </w:p>
    <w:sectPr w:rsidR="000E123E">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417" w:right="720" w:bottom="1077" w:left="720" w:header="1020" w:footer="340"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1A0F" w:rsidRDefault="00E71A0F">
      <w:r>
        <w:separator/>
      </w:r>
    </w:p>
  </w:endnote>
  <w:endnote w:type="continuationSeparator" w:id="0">
    <w:p w:rsidR="00E71A0F" w:rsidRDefault="00E7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23E" w:rsidRDefault="000E1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23E" w:rsidRDefault="000E1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23E" w:rsidRDefault="000E123E">
    <w:pPr>
      <w:pStyle w:val="SCCfooterfirstpage"/>
      <w:pBdr>
        <w:top w:val="single" w:sz="4" w:space="0" w:color="000000"/>
      </w:pBdr>
      <w:adjustRightInd w:val="0"/>
      <w:snapToGrid w:val="0"/>
      <w:spacing w:before="480" w:line="100" w:lineRule="exact"/>
      <w:rPr>
        <w:i/>
        <w:iCs/>
        <w:szCs w:val="16"/>
      </w:rPr>
    </w:pPr>
  </w:p>
  <w:p w:rsidR="000E123E" w:rsidRDefault="000E123E">
    <w:pPr>
      <w:pStyle w:val="SCCfooterfirstpage"/>
      <w:tabs>
        <w:tab w:val="clear" w:pos="8845"/>
        <w:tab w:val="right" w:pos="10466"/>
      </w:tabs>
      <w:spacing w:line="240" w:lineRule="auto"/>
      <w:jc w:val="both"/>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1A0F" w:rsidRDefault="00E71A0F">
      <w:r>
        <w:separator/>
      </w:r>
    </w:p>
  </w:footnote>
  <w:footnote w:type="continuationSeparator" w:id="0">
    <w:p w:rsidR="00E71A0F" w:rsidRDefault="00E7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23E" w:rsidRDefault="00000000">
    <w:pPr>
      <w:pStyle w:val="Header"/>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808532" o:spid="_x0000_s1027" type="#_x0000_t136" alt="" style="position:absolute;left:0;text-align:left;margin-left:0;margin-top:0;width:664.05pt;height:73.75pt;rotation:315;z-index:-251656192;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123E" w:rsidRDefault="00000000">
    <w:pPr>
      <w:pBdr>
        <w:bottom w:val="single" w:sz="4" w:space="1" w:color="auto"/>
      </w:pBdr>
      <w:tabs>
        <w:tab w:val="right" w:pos="10466"/>
      </w:tabs>
      <w:rPr>
        <w:sz w:val="16"/>
      </w:rPr>
    </w:pPr>
    <w:r>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808533" o:spid="_x0000_s1026" type="#_x0000_t136" alt="" style="position:absolute;margin-left:0;margin-top:0;width:664.05pt;height:73.75pt;rotation:315;z-index:-251655168;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fill opacity=".5"/>
          <v:textpath style="font-family:&quot;Times New Roman&quot;;font-size:1pt" fitpath="t" string="UNDER PEER REVIEW"/>
          <w10:wrap anchorx="margin" anchory="margin"/>
        </v:shape>
      </w:pict>
    </w:r>
    <w:r w:rsidR="00E04F1B">
      <w:rPr>
        <w:sz w:val="16"/>
      </w:rPr>
      <w:tab/>
    </w:r>
    <w:r w:rsidR="00E04F1B">
      <w:rPr>
        <w:sz w:val="16"/>
      </w:rPr>
      <w:fldChar w:fldCharType="begin"/>
    </w:r>
    <w:r w:rsidR="00E04F1B">
      <w:rPr>
        <w:sz w:val="16"/>
      </w:rPr>
      <w:instrText xml:space="preserve"> PAGE   \* MERGEFORMAT </w:instrText>
    </w:r>
    <w:r w:rsidR="00E04F1B">
      <w:rPr>
        <w:sz w:val="16"/>
      </w:rPr>
      <w:fldChar w:fldCharType="separate"/>
    </w:r>
    <w:r w:rsidR="00E04F1B">
      <w:rPr>
        <w:sz w:val="16"/>
      </w:rPr>
      <w:t>5</w:t>
    </w:r>
    <w:r w:rsidR="00E04F1B">
      <w:rPr>
        <w:sz w:val="16"/>
      </w:rPr>
      <w:fldChar w:fldCharType="end"/>
    </w:r>
    <w:r w:rsidR="00E04F1B">
      <w:rPr>
        <w:sz w:val="16"/>
      </w:rPr>
      <w:t xml:space="preserve"> of </w:t>
    </w:r>
    <w:fldSimple w:instr=" NUMPAGES   \* MERGEFORMAT ">
      <w:r w:rsidR="00E04F1B">
        <w:rPr>
          <w:sz w:val="16"/>
        </w:rPr>
        <w:t>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4004"/>
      <w:gridCol w:w="4274"/>
      <w:gridCol w:w="2209"/>
    </w:tblGrid>
    <w:tr w:rsidR="000E123E">
      <w:trPr>
        <w:trHeight w:val="686"/>
      </w:trPr>
      <w:tc>
        <w:tcPr>
          <w:tcW w:w="4004" w:type="dxa"/>
        </w:tcPr>
        <w:p w:rsidR="000E123E" w:rsidRDefault="000E123E">
          <w:pPr>
            <w:pStyle w:val="SCCheaderjournallogo"/>
            <w:rPr>
              <w:rFonts w:eastAsia="DengXian"/>
              <w:b/>
              <w:bCs/>
            </w:rPr>
          </w:pPr>
        </w:p>
      </w:tc>
      <w:tc>
        <w:tcPr>
          <w:tcW w:w="4274" w:type="dxa"/>
          <w:vAlign w:val="center"/>
        </w:tcPr>
        <w:p w:rsidR="000E123E" w:rsidRDefault="000E123E">
          <w:pPr>
            <w:pStyle w:val="Header"/>
            <w:pBdr>
              <w:bottom w:val="none" w:sz="0" w:space="0" w:color="auto"/>
            </w:pBdr>
            <w:rPr>
              <w:rFonts w:eastAsia="DengXian"/>
              <w:b/>
              <w:bCs/>
            </w:rPr>
          </w:pPr>
        </w:p>
      </w:tc>
      <w:tc>
        <w:tcPr>
          <w:tcW w:w="2209" w:type="dxa"/>
          <w:vAlign w:val="center"/>
        </w:tcPr>
        <w:p w:rsidR="000E123E" w:rsidRDefault="000E123E">
          <w:pPr>
            <w:pStyle w:val="SCCheaderSCClogo"/>
            <w:rPr>
              <w:rFonts w:eastAsia="DengXian"/>
              <w:b/>
              <w:bCs/>
            </w:rPr>
          </w:pPr>
        </w:p>
      </w:tc>
    </w:tr>
  </w:tbl>
  <w:p w:rsidR="000E123E" w:rsidRDefault="00000000">
    <w:pPr>
      <w:pBdr>
        <w:bottom w:val="single" w:sz="4" w:space="1" w:color="000000"/>
      </w:pBdr>
      <w:spacing w:line="100" w:lineRule="exact"/>
      <w:rPr>
        <w:rFonts w:eastAsiaTheme="minorEastAsia"/>
      </w:rPr>
    </w:pPr>
    <w:r>
      <w:rPr>
        <w:rFonts w:eastAsia="SimSu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808531" o:spid="_x0000_s1025" type="#_x0000_t136" alt="" style="position:absolute;margin-left:0;margin-top:0;width:664.05pt;height:73.75pt;rotation:315;z-index:-251657216;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5491"/>
    <w:multiLevelType w:val="multilevel"/>
    <w:tmpl w:val="078D5491"/>
    <w:lvl w:ilvl="0">
      <w:start w:val="1"/>
      <w:numFmt w:val="decimal"/>
      <w:pStyle w:val="SCC37itemiz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B68D0"/>
    <w:multiLevelType w:val="multilevel"/>
    <w:tmpl w:val="178B68D0"/>
    <w:lvl w:ilvl="0">
      <w:start w:val="1"/>
      <w:numFmt w:val="decimal"/>
      <w:pStyle w:val="SCC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468F5"/>
    <w:multiLevelType w:val="multilevel"/>
    <w:tmpl w:val="18B468F5"/>
    <w:lvl w:ilvl="0">
      <w:start w:val="1"/>
      <w:numFmt w:val="bullet"/>
      <w:pStyle w:val="SCC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9823083">
    <w:abstractNumId w:val="0"/>
  </w:num>
  <w:num w:numId="2" w16cid:durableId="1468085416">
    <w:abstractNumId w:val="2"/>
  </w:num>
  <w:num w:numId="3" w16cid:durableId="145046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ysjS0tDA1MjWxsDBV0lEKTi0uzszPAykwNKoFAMIl7q0tAAAA"/>
    <w:docVar w:name="commondata" w:val="eyJoZGlkIjoiMTNjZjZkMDMzNjI3Y2YzOGY2YjJhNGM1MDA4ZGQzN2EifQ=="/>
  </w:docVars>
  <w:rsids>
    <w:rsidRoot w:val="008354A1"/>
    <w:rsid w:val="00004873"/>
    <w:rsid w:val="000142CA"/>
    <w:rsid w:val="00016A8B"/>
    <w:rsid w:val="0002060C"/>
    <w:rsid w:val="00020CE2"/>
    <w:rsid w:val="00037AE6"/>
    <w:rsid w:val="00047C3A"/>
    <w:rsid w:val="00051876"/>
    <w:rsid w:val="00064772"/>
    <w:rsid w:val="00066DAD"/>
    <w:rsid w:val="00070D92"/>
    <w:rsid w:val="00071218"/>
    <w:rsid w:val="00080EFC"/>
    <w:rsid w:val="000855EA"/>
    <w:rsid w:val="00086D73"/>
    <w:rsid w:val="00090E44"/>
    <w:rsid w:val="00092019"/>
    <w:rsid w:val="000925CA"/>
    <w:rsid w:val="00093E7F"/>
    <w:rsid w:val="000946E5"/>
    <w:rsid w:val="000E123E"/>
    <w:rsid w:val="000E548B"/>
    <w:rsid w:val="000F0754"/>
    <w:rsid w:val="000F14A3"/>
    <w:rsid w:val="00104D24"/>
    <w:rsid w:val="00107EE3"/>
    <w:rsid w:val="001348F8"/>
    <w:rsid w:val="001352CA"/>
    <w:rsid w:val="00135EA8"/>
    <w:rsid w:val="00142E2F"/>
    <w:rsid w:val="0014459E"/>
    <w:rsid w:val="001527B4"/>
    <w:rsid w:val="00157CB1"/>
    <w:rsid w:val="001601D0"/>
    <w:rsid w:val="00185980"/>
    <w:rsid w:val="00186FDC"/>
    <w:rsid w:val="0018740A"/>
    <w:rsid w:val="001A1BB3"/>
    <w:rsid w:val="001A27B2"/>
    <w:rsid w:val="001A358A"/>
    <w:rsid w:val="001A57BF"/>
    <w:rsid w:val="001B38D4"/>
    <w:rsid w:val="001C02A6"/>
    <w:rsid w:val="001D057B"/>
    <w:rsid w:val="001D3BAF"/>
    <w:rsid w:val="001E2AEB"/>
    <w:rsid w:val="001F2EB8"/>
    <w:rsid w:val="002023C0"/>
    <w:rsid w:val="00204327"/>
    <w:rsid w:val="00206617"/>
    <w:rsid w:val="002104BE"/>
    <w:rsid w:val="00216B3A"/>
    <w:rsid w:val="00221C6A"/>
    <w:rsid w:val="0022638C"/>
    <w:rsid w:val="002266AA"/>
    <w:rsid w:val="002316BB"/>
    <w:rsid w:val="00253CA3"/>
    <w:rsid w:val="00256E65"/>
    <w:rsid w:val="0026101E"/>
    <w:rsid w:val="00281E5B"/>
    <w:rsid w:val="00292CD0"/>
    <w:rsid w:val="0029420B"/>
    <w:rsid w:val="002A10FA"/>
    <w:rsid w:val="002A2E7F"/>
    <w:rsid w:val="002A79F2"/>
    <w:rsid w:val="002C338C"/>
    <w:rsid w:val="002D650D"/>
    <w:rsid w:val="002E15C2"/>
    <w:rsid w:val="002E57DB"/>
    <w:rsid w:val="002E5B86"/>
    <w:rsid w:val="002F1BFE"/>
    <w:rsid w:val="00313B81"/>
    <w:rsid w:val="00316C89"/>
    <w:rsid w:val="00323FB6"/>
    <w:rsid w:val="003252FD"/>
    <w:rsid w:val="00326141"/>
    <w:rsid w:val="00330A75"/>
    <w:rsid w:val="003337EA"/>
    <w:rsid w:val="003366E1"/>
    <w:rsid w:val="00337833"/>
    <w:rsid w:val="00354A5A"/>
    <w:rsid w:val="003727CD"/>
    <w:rsid w:val="00376444"/>
    <w:rsid w:val="003770D5"/>
    <w:rsid w:val="00377CCB"/>
    <w:rsid w:val="00387893"/>
    <w:rsid w:val="00397D2B"/>
    <w:rsid w:val="003A5D42"/>
    <w:rsid w:val="003B6B37"/>
    <w:rsid w:val="003D1D40"/>
    <w:rsid w:val="003D60EE"/>
    <w:rsid w:val="003D6E45"/>
    <w:rsid w:val="003D7E4D"/>
    <w:rsid w:val="003E6954"/>
    <w:rsid w:val="003E7640"/>
    <w:rsid w:val="003F4EFE"/>
    <w:rsid w:val="003F6C3A"/>
    <w:rsid w:val="00401235"/>
    <w:rsid w:val="00401D30"/>
    <w:rsid w:val="004102B9"/>
    <w:rsid w:val="0041552B"/>
    <w:rsid w:val="00425371"/>
    <w:rsid w:val="00427D76"/>
    <w:rsid w:val="00431D81"/>
    <w:rsid w:val="00436007"/>
    <w:rsid w:val="004466E7"/>
    <w:rsid w:val="00450934"/>
    <w:rsid w:val="004517A7"/>
    <w:rsid w:val="00455948"/>
    <w:rsid w:val="004611C5"/>
    <w:rsid w:val="0048108F"/>
    <w:rsid w:val="004871F1"/>
    <w:rsid w:val="004B0B17"/>
    <w:rsid w:val="004B4287"/>
    <w:rsid w:val="004B4A24"/>
    <w:rsid w:val="004B6E6A"/>
    <w:rsid w:val="004B72B8"/>
    <w:rsid w:val="004C3F57"/>
    <w:rsid w:val="004C46B1"/>
    <w:rsid w:val="004D7E4E"/>
    <w:rsid w:val="004E0F98"/>
    <w:rsid w:val="004E21A1"/>
    <w:rsid w:val="004F0E02"/>
    <w:rsid w:val="00502870"/>
    <w:rsid w:val="005028E5"/>
    <w:rsid w:val="00502D13"/>
    <w:rsid w:val="00502EEE"/>
    <w:rsid w:val="00511E44"/>
    <w:rsid w:val="00523A53"/>
    <w:rsid w:val="005327C9"/>
    <w:rsid w:val="00534AF0"/>
    <w:rsid w:val="00536EEA"/>
    <w:rsid w:val="005479A0"/>
    <w:rsid w:val="00557BDA"/>
    <w:rsid w:val="005660F6"/>
    <w:rsid w:val="00567856"/>
    <w:rsid w:val="00587CE3"/>
    <w:rsid w:val="005B2E93"/>
    <w:rsid w:val="005B4A24"/>
    <w:rsid w:val="005D13A9"/>
    <w:rsid w:val="005D4F52"/>
    <w:rsid w:val="005E0240"/>
    <w:rsid w:val="005E14E8"/>
    <w:rsid w:val="005E42AE"/>
    <w:rsid w:val="005E76FE"/>
    <w:rsid w:val="005F2D10"/>
    <w:rsid w:val="00604EDE"/>
    <w:rsid w:val="00607F24"/>
    <w:rsid w:val="006204BC"/>
    <w:rsid w:val="00626AE6"/>
    <w:rsid w:val="00632077"/>
    <w:rsid w:val="006429BB"/>
    <w:rsid w:val="00644C5A"/>
    <w:rsid w:val="00651C6D"/>
    <w:rsid w:val="0065707C"/>
    <w:rsid w:val="006715E8"/>
    <w:rsid w:val="00692393"/>
    <w:rsid w:val="006A5001"/>
    <w:rsid w:val="006A7FF4"/>
    <w:rsid w:val="006B613F"/>
    <w:rsid w:val="006C4364"/>
    <w:rsid w:val="006C619C"/>
    <w:rsid w:val="006E142A"/>
    <w:rsid w:val="006F7233"/>
    <w:rsid w:val="00712120"/>
    <w:rsid w:val="00714719"/>
    <w:rsid w:val="00731AAE"/>
    <w:rsid w:val="0074061C"/>
    <w:rsid w:val="00740B6F"/>
    <w:rsid w:val="00742108"/>
    <w:rsid w:val="00747635"/>
    <w:rsid w:val="00751E06"/>
    <w:rsid w:val="0075794E"/>
    <w:rsid w:val="00760AD6"/>
    <w:rsid w:val="007628E6"/>
    <w:rsid w:val="0076686D"/>
    <w:rsid w:val="0076695B"/>
    <w:rsid w:val="007674BF"/>
    <w:rsid w:val="00770948"/>
    <w:rsid w:val="0077402B"/>
    <w:rsid w:val="00774651"/>
    <w:rsid w:val="0078341B"/>
    <w:rsid w:val="00796F53"/>
    <w:rsid w:val="007A108C"/>
    <w:rsid w:val="007A283C"/>
    <w:rsid w:val="007A2F36"/>
    <w:rsid w:val="007A6ACD"/>
    <w:rsid w:val="007B5DF5"/>
    <w:rsid w:val="007D2775"/>
    <w:rsid w:val="007E1AD0"/>
    <w:rsid w:val="007E5740"/>
    <w:rsid w:val="007F384A"/>
    <w:rsid w:val="00807D04"/>
    <w:rsid w:val="0081003E"/>
    <w:rsid w:val="00814257"/>
    <w:rsid w:val="00821C1B"/>
    <w:rsid w:val="00822B3D"/>
    <w:rsid w:val="00826DBD"/>
    <w:rsid w:val="0083272E"/>
    <w:rsid w:val="00832857"/>
    <w:rsid w:val="00834E90"/>
    <w:rsid w:val="008354A1"/>
    <w:rsid w:val="00840934"/>
    <w:rsid w:val="00841933"/>
    <w:rsid w:val="008523BB"/>
    <w:rsid w:val="00881822"/>
    <w:rsid w:val="008838CF"/>
    <w:rsid w:val="00887B1D"/>
    <w:rsid w:val="00895532"/>
    <w:rsid w:val="008A41F7"/>
    <w:rsid w:val="008A6BC7"/>
    <w:rsid w:val="008B5125"/>
    <w:rsid w:val="008D0FD1"/>
    <w:rsid w:val="008E2B6E"/>
    <w:rsid w:val="008F446B"/>
    <w:rsid w:val="00905425"/>
    <w:rsid w:val="009068D1"/>
    <w:rsid w:val="00933E2C"/>
    <w:rsid w:val="0094084F"/>
    <w:rsid w:val="009434B8"/>
    <w:rsid w:val="00944C47"/>
    <w:rsid w:val="00956613"/>
    <w:rsid w:val="00964A28"/>
    <w:rsid w:val="009675AE"/>
    <w:rsid w:val="0097702F"/>
    <w:rsid w:val="00986798"/>
    <w:rsid w:val="00993A21"/>
    <w:rsid w:val="009B5F97"/>
    <w:rsid w:val="009C3F59"/>
    <w:rsid w:val="009C423F"/>
    <w:rsid w:val="009C5F15"/>
    <w:rsid w:val="009D0DA8"/>
    <w:rsid w:val="009D5560"/>
    <w:rsid w:val="009D6324"/>
    <w:rsid w:val="009E7E90"/>
    <w:rsid w:val="009F0B0F"/>
    <w:rsid w:val="009F70E6"/>
    <w:rsid w:val="00A002C9"/>
    <w:rsid w:val="00A04FD6"/>
    <w:rsid w:val="00A0751C"/>
    <w:rsid w:val="00A14155"/>
    <w:rsid w:val="00A36565"/>
    <w:rsid w:val="00A41E6D"/>
    <w:rsid w:val="00A516CD"/>
    <w:rsid w:val="00A63A27"/>
    <w:rsid w:val="00A65307"/>
    <w:rsid w:val="00A70B08"/>
    <w:rsid w:val="00A7378E"/>
    <w:rsid w:val="00A82BF4"/>
    <w:rsid w:val="00A86E9F"/>
    <w:rsid w:val="00A91A39"/>
    <w:rsid w:val="00AA684A"/>
    <w:rsid w:val="00AA7856"/>
    <w:rsid w:val="00AB7B51"/>
    <w:rsid w:val="00AD18AF"/>
    <w:rsid w:val="00AE3495"/>
    <w:rsid w:val="00AF0644"/>
    <w:rsid w:val="00AF5A91"/>
    <w:rsid w:val="00B00AFB"/>
    <w:rsid w:val="00B05513"/>
    <w:rsid w:val="00B21347"/>
    <w:rsid w:val="00B4734C"/>
    <w:rsid w:val="00B67593"/>
    <w:rsid w:val="00B8082F"/>
    <w:rsid w:val="00B84354"/>
    <w:rsid w:val="00B84F5A"/>
    <w:rsid w:val="00BA2224"/>
    <w:rsid w:val="00BA570C"/>
    <w:rsid w:val="00BB2F5E"/>
    <w:rsid w:val="00BB5981"/>
    <w:rsid w:val="00BD2405"/>
    <w:rsid w:val="00BD33C3"/>
    <w:rsid w:val="00BD4D32"/>
    <w:rsid w:val="00BD5735"/>
    <w:rsid w:val="00BE0791"/>
    <w:rsid w:val="00C02A07"/>
    <w:rsid w:val="00C036E8"/>
    <w:rsid w:val="00C407A8"/>
    <w:rsid w:val="00C43255"/>
    <w:rsid w:val="00C4576A"/>
    <w:rsid w:val="00C45F1E"/>
    <w:rsid w:val="00C54BE2"/>
    <w:rsid w:val="00C659A3"/>
    <w:rsid w:val="00C82B54"/>
    <w:rsid w:val="00C8316E"/>
    <w:rsid w:val="00C90EAB"/>
    <w:rsid w:val="00C90F92"/>
    <w:rsid w:val="00C9552F"/>
    <w:rsid w:val="00C9601A"/>
    <w:rsid w:val="00CA632F"/>
    <w:rsid w:val="00CA6896"/>
    <w:rsid w:val="00CC21C9"/>
    <w:rsid w:val="00CD3203"/>
    <w:rsid w:val="00CD4E77"/>
    <w:rsid w:val="00CE7302"/>
    <w:rsid w:val="00CF2505"/>
    <w:rsid w:val="00D07230"/>
    <w:rsid w:val="00D14CE0"/>
    <w:rsid w:val="00D223A8"/>
    <w:rsid w:val="00D2684C"/>
    <w:rsid w:val="00D26A56"/>
    <w:rsid w:val="00D32E9B"/>
    <w:rsid w:val="00D33219"/>
    <w:rsid w:val="00D416AD"/>
    <w:rsid w:val="00D44B19"/>
    <w:rsid w:val="00D54CC9"/>
    <w:rsid w:val="00D613D1"/>
    <w:rsid w:val="00D85BA8"/>
    <w:rsid w:val="00D909B8"/>
    <w:rsid w:val="00D92691"/>
    <w:rsid w:val="00D94F8A"/>
    <w:rsid w:val="00DA51D6"/>
    <w:rsid w:val="00DA58DE"/>
    <w:rsid w:val="00DB04E8"/>
    <w:rsid w:val="00DC244F"/>
    <w:rsid w:val="00DC426C"/>
    <w:rsid w:val="00DC54D6"/>
    <w:rsid w:val="00DC5535"/>
    <w:rsid w:val="00DC6040"/>
    <w:rsid w:val="00DE00AF"/>
    <w:rsid w:val="00DE02F0"/>
    <w:rsid w:val="00DE201A"/>
    <w:rsid w:val="00DE61EE"/>
    <w:rsid w:val="00DF2812"/>
    <w:rsid w:val="00DF3CBA"/>
    <w:rsid w:val="00E034CE"/>
    <w:rsid w:val="00E04F1B"/>
    <w:rsid w:val="00E055DE"/>
    <w:rsid w:val="00E11356"/>
    <w:rsid w:val="00E22508"/>
    <w:rsid w:val="00E30E54"/>
    <w:rsid w:val="00E40745"/>
    <w:rsid w:val="00E43D8E"/>
    <w:rsid w:val="00E54A04"/>
    <w:rsid w:val="00E70428"/>
    <w:rsid w:val="00E70C32"/>
    <w:rsid w:val="00E71A0F"/>
    <w:rsid w:val="00E725CC"/>
    <w:rsid w:val="00E943BD"/>
    <w:rsid w:val="00E94AAD"/>
    <w:rsid w:val="00EA0DD1"/>
    <w:rsid w:val="00EA3B35"/>
    <w:rsid w:val="00EA3BB2"/>
    <w:rsid w:val="00EA3D01"/>
    <w:rsid w:val="00EA77BB"/>
    <w:rsid w:val="00EB16D5"/>
    <w:rsid w:val="00EB2FE7"/>
    <w:rsid w:val="00EB33F9"/>
    <w:rsid w:val="00EC3241"/>
    <w:rsid w:val="00EC3539"/>
    <w:rsid w:val="00EC7F07"/>
    <w:rsid w:val="00ED1B90"/>
    <w:rsid w:val="00ED36B2"/>
    <w:rsid w:val="00ED5790"/>
    <w:rsid w:val="00EE0142"/>
    <w:rsid w:val="00EE0869"/>
    <w:rsid w:val="00EE6F08"/>
    <w:rsid w:val="00EF3529"/>
    <w:rsid w:val="00EF7C2A"/>
    <w:rsid w:val="00F00695"/>
    <w:rsid w:val="00F15A6D"/>
    <w:rsid w:val="00F25B6A"/>
    <w:rsid w:val="00F25D88"/>
    <w:rsid w:val="00F306AD"/>
    <w:rsid w:val="00F528DD"/>
    <w:rsid w:val="00F57906"/>
    <w:rsid w:val="00F658F9"/>
    <w:rsid w:val="00F75730"/>
    <w:rsid w:val="00F86026"/>
    <w:rsid w:val="00F86CAE"/>
    <w:rsid w:val="00F9024B"/>
    <w:rsid w:val="00FA1B13"/>
    <w:rsid w:val="00FB2C15"/>
    <w:rsid w:val="00FD3E22"/>
    <w:rsid w:val="00FE6213"/>
    <w:rsid w:val="00FF00B3"/>
    <w:rsid w:val="03FA28F4"/>
    <w:rsid w:val="173F3B18"/>
    <w:rsid w:val="3D70539A"/>
    <w:rsid w:val="43875F88"/>
    <w:rsid w:val="65010101"/>
    <w:rsid w:val="6911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00348"/>
  <w15:docId w15:val="{2B6BE5DA-5958-BB4D-8412-A68CD7BE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uiPriority="0"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rFonts w:asciiTheme="minorHAnsi" w:eastAsiaTheme="minorEastAsia" w:hAnsiTheme="minorHAnsi" w:cstheme="minorBidi"/>
      <w:i/>
      <w:iCs/>
      <w:snapToGrid w:val="0"/>
      <w:color w:val="44546A" w:themeColor="text2"/>
      <w:kern w:val="2"/>
      <w:sz w:val="18"/>
      <w:szCs w:val="18"/>
      <w:lang w:eastAsia="en-US" w:bidi="en-US"/>
      <w14:ligatures w14:val="standardContextual"/>
    </w:rPr>
  </w:style>
  <w:style w:type="paragraph" w:styleId="CommentText">
    <w:name w:val="annotation text"/>
    <w:basedOn w:val="Normal"/>
    <w:link w:val="CommentTextChar"/>
    <w:qFormat/>
  </w:style>
  <w:style w:type="paragraph" w:styleId="BodyText">
    <w:name w:val="Body Text"/>
    <w:link w:val="BodyTextChar"/>
    <w:qFormat/>
    <w:pPr>
      <w:spacing w:after="120" w:line="340" w:lineRule="atLeast"/>
      <w:jc w:val="both"/>
    </w:pPr>
    <w:rPr>
      <w:rFonts w:eastAsia="Times New Roman"/>
      <w:snapToGrid w:val="0"/>
      <w:color w:val="000000"/>
      <w:sz w:val="24"/>
      <w:lang w:val="en-US" w:eastAsia="de-DE"/>
    </w:rPr>
  </w:style>
  <w:style w:type="paragraph" w:styleId="EndnoteText">
    <w:name w:val="endnote text"/>
    <w:basedOn w:val="Normal"/>
    <w:link w:val="EndnoteTextChar"/>
    <w:unhideWhenUsed/>
    <w:qFormat/>
  </w:style>
  <w:style w:type="paragraph" w:styleId="BalloonText">
    <w:name w:val="Balloon Text"/>
    <w:basedOn w:val="Normal"/>
    <w:link w:val="BalloonTextChar"/>
    <w:uiPriority w:val="99"/>
    <w:qFormat/>
    <w:rPr>
      <w:rFonts w:cs="Tahoma"/>
      <w:szCs w:val="18"/>
    </w:rPr>
  </w:style>
  <w:style w:type="paragraph" w:styleId="Footer">
    <w:name w:val="footer"/>
    <w:basedOn w:val="Normal"/>
    <w:link w:val="FooterChar"/>
    <w:uiPriority w:val="99"/>
    <w:qFormat/>
    <w:pPr>
      <w:tabs>
        <w:tab w:val="center" w:pos="4153"/>
        <w:tab w:val="right" w:pos="8306"/>
      </w:tabs>
      <w:spacing w:line="240" w:lineRule="atLeast"/>
    </w:pPr>
    <w:rPr>
      <w:szCs w:val="18"/>
    </w:rPr>
  </w:style>
  <w:style w:type="paragraph" w:styleId="Header">
    <w:name w:val="header"/>
    <w:basedOn w:val="Normal"/>
    <w:link w:val="HeaderChar"/>
    <w:uiPriority w:val="99"/>
    <w:qFormat/>
    <w:pPr>
      <w:pBdr>
        <w:bottom w:val="single" w:sz="6" w:space="1" w:color="auto"/>
      </w:pBdr>
      <w:tabs>
        <w:tab w:val="center" w:pos="4153"/>
        <w:tab w:val="right" w:pos="8306"/>
      </w:tabs>
      <w:spacing w:line="240" w:lineRule="atLeast"/>
      <w:jc w:val="center"/>
    </w:pPr>
    <w:rPr>
      <w:szCs w:val="18"/>
    </w:rPr>
  </w:style>
  <w:style w:type="paragraph" w:styleId="FootnoteText">
    <w:name w:val="footnote text"/>
    <w:basedOn w:val="Normal"/>
    <w:link w:val="FootnoteTextChar"/>
    <w:unhideWhenUsed/>
    <w:qFormat/>
  </w:style>
  <w:style w:type="paragraph" w:styleId="NormalWeb">
    <w:name w:val="Normal (Web)"/>
    <w:basedOn w:val="Normal"/>
    <w:uiPriority w:val="99"/>
    <w:qFormat/>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qFormat/>
    <w:rPr>
      <w:color w:val="954F72"/>
      <w:u w:val="single"/>
    </w:rPr>
  </w:style>
  <w:style w:type="character" w:styleId="LineNumber">
    <w:name w:val="line number"/>
    <w:uiPriority w:val="99"/>
    <w:qFormat/>
    <w:rPr>
      <w:rFonts w:ascii="Palatino Linotype" w:hAnsi="Palatino Linotype"/>
      <w:sz w:val="16"/>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ommentTextChar">
    <w:name w:val="Comment Text Char"/>
    <w:link w:val="CommentText"/>
    <w:qFormat/>
    <w:rPr>
      <w:rFonts w:ascii="Palatino Linotype" w:hAnsi="Palatino Linotype"/>
      <w:color w:val="000000"/>
    </w:rPr>
  </w:style>
  <w:style w:type="character" w:customStyle="1" w:styleId="BodyTextChar">
    <w:name w:val="Body Text Char"/>
    <w:link w:val="BodyText"/>
    <w:qFormat/>
    <w:rPr>
      <w:rFonts w:eastAsia="Times New Roman"/>
      <w:sz w:val="24"/>
      <w:lang w:eastAsia="de-DE"/>
    </w:rPr>
  </w:style>
  <w:style w:type="character" w:customStyle="1" w:styleId="EndnoteTextChar">
    <w:name w:val="Endnote Text Char"/>
    <w:link w:val="EndnoteText"/>
    <w:semiHidden/>
    <w:qFormat/>
    <w:rPr>
      <w:rFonts w:ascii="Palatino Linotype" w:hAnsi="Palatino Linotype"/>
      <w:color w:val="000000"/>
    </w:rPr>
  </w:style>
  <w:style w:type="character" w:customStyle="1" w:styleId="BalloonTextChar">
    <w:name w:val="Balloon Text Char"/>
    <w:link w:val="BalloonText"/>
    <w:uiPriority w:val="99"/>
    <w:qFormat/>
    <w:rPr>
      <w:rFonts w:ascii="Palatino Linotype" w:hAnsi="Palatino Linotype" w:cs="Tahoma"/>
      <w:color w:val="000000"/>
      <w:szCs w:val="18"/>
    </w:rPr>
  </w:style>
  <w:style w:type="character" w:customStyle="1" w:styleId="FooterChar">
    <w:name w:val="Footer Char"/>
    <w:link w:val="Footer"/>
    <w:uiPriority w:val="99"/>
    <w:qFormat/>
    <w:rPr>
      <w:rFonts w:ascii="Palatino Linotype" w:hAnsi="Palatino Linotype"/>
      <w:color w:val="000000"/>
      <w:szCs w:val="18"/>
    </w:rPr>
  </w:style>
  <w:style w:type="character" w:customStyle="1" w:styleId="HeaderChar">
    <w:name w:val="Header Char"/>
    <w:link w:val="Header"/>
    <w:uiPriority w:val="99"/>
    <w:qFormat/>
    <w:rPr>
      <w:rFonts w:ascii="Palatino Linotype" w:hAnsi="Palatino Linotype"/>
      <w:color w:val="000000"/>
      <w:szCs w:val="18"/>
    </w:rPr>
  </w:style>
  <w:style w:type="character" w:customStyle="1" w:styleId="FootnoteTextChar">
    <w:name w:val="Footnote Text Char"/>
    <w:link w:val="FootnoteText"/>
    <w:semiHidden/>
    <w:qFormat/>
    <w:rPr>
      <w:rFonts w:ascii="Palatino Linotype" w:hAnsi="Palatino Linotype"/>
      <w:color w:val="000000"/>
    </w:rPr>
  </w:style>
  <w:style w:type="character" w:customStyle="1" w:styleId="CommentSubjectChar">
    <w:name w:val="Comment Subject Char"/>
    <w:link w:val="CommentSubject"/>
    <w:qFormat/>
    <w:rPr>
      <w:rFonts w:ascii="Palatino Linotype" w:hAnsi="Palatino Linotype"/>
      <w:b/>
      <w:bCs/>
      <w:color w:val="000000"/>
    </w:rPr>
  </w:style>
  <w:style w:type="paragraph" w:customStyle="1" w:styleId="SCC11articletype">
    <w:name w:val="SCC_1.1_article_type"/>
    <w:next w:val="Normal"/>
    <w:qFormat/>
    <w:pPr>
      <w:adjustRightInd w:val="0"/>
      <w:snapToGrid w:val="0"/>
      <w:spacing w:before="240"/>
    </w:pPr>
    <w:rPr>
      <w:rFonts w:eastAsia="Times New Roman"/>
      <w:i/>
      <w:color w:val="000000"/>
      <w:lang w:val="en-US" w:eastAsia="de-DE" w:bidi="en-US"/>
    </w:rPr>
  </w:style>
  <w:style w:type="paragraph" w:customStyle="1" w:styleId="SCC12title">
    <w:name w:val="SCC_1.2_title"/>
    <w:next w:val="Normal"/>
    <w:qFormat/>
    <w:pPr>
      <w:adjustRightInd w:val="0"/>
      <w:snapToGrid w:val="0"/>
      <w:spacing w:after="240" w:line="240" w:lineRule="atLeast"/>
    </w:pPr>
    <w:rPr>
      <w:rFonts w:eastAsia="Times New Roman"/>
      <w:b/>
      <w:color w:val="000000"/>
      <w:sz w:val="36"/>
      <w:lang w:val="en-US" w:eastAsia="de-DE" w:bidi="en-US"/>
    </w:rPr>
  </w:style>
  <w:style w:type="paragraph" w:customStyle="1" w:styleId="SCC13authornames">
    <w:name w:val="SCC_1.3_authornames"/>
    <w:next w:val="Normal"/>
    <w:qFormat/>
    <w:pPr>
      <w:adjustRightInd w:val="0"/>
      <w:snapToGrid w:val="0"/>
      <w:spacing w:after="360" w:line="260" w:lineRule="atLeast"/>
    </w:pPr>
    <w:rPr>
      <w:rFonts w:eastAsia="Times New Roman"/>
      <w:b/>
      <w:snapToGrid w:val="0"/>
      <w:color w:val="000000"/>
      <w:lang w:val="en-US" w:eastAsia="de-DE" w:bidi="en-US"/>
    </w:rPr>
  </w:style>
  <w:style w:type="paragraph" w:customStyle="1" w:styleId="SCC14history">
    <w:name w:val="SCC_1.4_history"/>
    <w:basedOn w:val="Normal"/>
    <w:next w:val="Normal"/>
    <w:qFormat/>
    <w:pPr>
      <w:spacing w:line="240" w:lineRule="atLeast"/>
      <w:ind w:right="113"/>
    </w:pPr>
    <w:rPr>
      <w:sz w:val="14"/>
      <w:lang w:eastAsia="de-DE" w:bidi="en-US"/>
    </w:rPr>
  </w:style>
  <w:style w:type="paragraph" w:customStyle="1" w:styleId="SCC16affiliation">
    <w:name w:val="SCC_1.6_affiliation"/>
    <w:qFormat/>
    <w:pPr>
      <w:adjustRightInd w:val="0"/>
      <w:snapToGrid w:val="0"/>
      <w:spacing w:line="200" w:lineRule="atLeast"/>
      <w:ind w:left="2806" w:hanging="198"/>
    </w:pPr>
    <w:rPr>
      <w:rFonts w:eastAsia="Times New Roman"/>
      <w:snapToGrid w:val="0"/>
      <w:color w:val="000000"/>
      <w:sz w:val="16"/>
      <w:szCs w:val="18"/>
      <w:lang w:val="en-US" w:eastAsia="de-DE" w:bidi="en-US"/>
    </w:rPr>
  </w:style>
  <w:style w:type="paragraph" w:customStyle="1" w:styleId="SCC17abstract">
    <w:name w:val="SCC_1.7_abstract"/>
    <w:next w:val="Normal"/>
    <w:qFormat/>
    <w:pPr>
      <w:adjustRightInd w:val="0"/>
      <w:snapToGrid w:val="0"/>
      <w:spacing w:before="240" w:line="260" w:lineRule="atLeast"/>
      <w:ind w:left="2608"/>
      <w:jc w:val="both"/>
    </w:pPr>
    <w:rPr>
      <w:rFonts w:eastAsia="Times New Roman"/>
      <w:snapToGrid w:val="0"/>
      <w:color w:val="000000"/>
      <w:sz w:val="18"/>
      <w:lang w:val="en-US" w:eastAsia="de-DE" w:bidi="en-US"/>
    </w:rPr>
  </w:style>
  <w:style w:type="paragraph" w:customStyle="1" w:styleId="SCC18keywords">
    <w:name w:val="SCC_1.8_keywords"/>
    <w:next w:val="Normal"/>
    <w:qFormat/>
    <w:pPr>
      <w:adjustRightInd w:val="0"/>
      <w:snapToGrid w:val="0"/>
      <w:spacing w:before="240" w:line="260" w:lineRule="atLeast"/>
      <w:ind w:left="2608"/>
      <w:jc w:val="both"/>
    </w:pPr>
    <w:rPr>
      <w:rFonts w:eastAsia="Times New Roman"/>
      <w:color w:val="000000"/>
      <w:sz w:val="18"/>
      <w:lang w:val="en-US" w:eastAsia="de-DE" w:bidi="en-US"/>
    </w:rPr>
  </w:style>
  <w:style w:type="paragraph" w:customStyle="1" w:styleId="SCC19line">
    <w:name w:val="SCC_1.9_line"/>
    <w:qFormat/>
    <w:pPr>
      <w:pBdr>
        <w:bottom w:val="single" w:sz="6" w:space="1" w:color="auto"/>
      </w:pBdr>
      <w:adjustRightInd w:val="0"/>
      <w:snapToGrid w:val="0"/>
      <w:spacing w:after="480" w:line="260" w:lineRule="atLeast"/>
      <w:ind w:left="2608"/>
      <w:jc w:val="both"/>
    </w:pPr>
    <w:rPr>
      <w:rFonts w:eastAsia="Times New Roman" w:cs="Cordia New"/>
      <w:snapToGrid w:val="0"/>
      <w:color w:val="000000"/>
      <w:szCs w:val="24"/>
      <w:lang w:val="en-US" w:eastAsia="de-DE" w:bidi="en-US"/>
    </w:rPr>
  </w:style>
  <w:style w:type="table" w:customStyle="1" w:styleId="Mdeck5tablebodythreelines">
    <w:name w:val="M_deck_5_table_body_three_lines"/>
    <w:basedOn w:val="TableNormal"/>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jc w:val="center"/>
        <w:outlineLvl w:val="9"/>
      </w:pPr>
      <w:rPr>
        <w:rFonts w:ascii="Courier New" w:eastAsia="Courier New" w:hAnsi="Courier New"/>
        <w:b w:val="0"/>
        <w:i w:val="0"/>
        <w:snapToGrid w:val="0"/>
        <w:sz w:val="22"/>
      </w:rPr>
      <w:tblPr/>
      <w:tcPr>
        <w:tcBorders>
          <w:top w:val="single" w:sz="8" w:space="0" w:color="auto"/>
          <w:left w:val="single" w:sz="4" w:space="0" w:color="auto"/>
          <w:bottom w:val="nil"/>
          <w:right w:val="nil"/>
          <w:insideH w:val="nil"/>
          <w:insideV w:val="nil"/>
          <w:tl2br w:val="nil"/>
          <w:tr2bl w:val="nil"/>
        </w:tcBorders>
      </w:tcPr>
    </w:tblStylePr>
  </w:style>
  <w:style w:type="paragraph" w:customStyle="1" w:styleId="SCCheaderjournallogo">
    <w:name w:val="SCC_header_journal_logo"/>
    <w:qFormat/>
    <w:pPr>
      <w:adjustRightInd w:val="0"/>
      <w:snapToGrid w:val="0"/>
      <w:spacing w:line="260" w:lineRule="atLeast"/>
      <w:jc w:val="both"/>
    </w:pPr>
    <w:rPr>
      <w:rFonts w:eastAsia="Times New Roman"/>
      <w:i/>
      <w:snapToGrid w:val="0"/>
      <w:color w:val="000000"/>
      <w:sz w:val="24"/>
      <w:lang w:val="en-US" w:eastAsia="de-CH"/>
    </w:rPr>
  </w:style>
  <w:style w:type="paragraph" w:customStyle="1" w:styleId="SCC32textnoindent">
    <w:name w:val="SCC_3.2_text_no_indent"/>
    <w:basedOn w:val="SCC31text"/>
    <w:qFormat/>
    <w:pPr>
      <w:ind w:firstLine="0"/>
    </w:pPr>
  </w:style>
  <w:style w:type="paragraph" w:customStyle="1" w:styleId="SCC31text">
    <w:name w:val="SCC_3.1_text"/>
    <w:qFormat/>
    <w:pPr>
      <w:adjustRightInd w:val="0"/>
      <w:snapToGrid w:val="0"/>
      <w:spacing w:line="228" w:lineRule="auto"/>
      <w:ind w:left="2608" w:firstLine="425"/>
      <w:jc w:val="both"/>
    </w:pPr>
    <w:rPr>
      <w:rFonts w:eastAsia="Times New Roman"/>
      <w:color w:val="000000"/>
      <w:lang w:val="en-US" w:eastAsia="de-DE" w:bidi="en-US"/>
    </w:rPr>
  </w:style>
  <w:style w:type="paragraph" w:customStyle="1" w:styleId="SCC33textspaceafter">
    <w:name w:val="SCC_3.3_text_space_after"/>
    <w:qFormat/>
    <w:pPr>
      <w:adjustRightInd w:val="0"/>
      <w:snapToGrid w:val="0"/>
      <w:spacing w:after="240" w:line="228" w:lineRule="auto"/>
      <w:ind w:left="2608"/>
      <w:jc w:val="both"/>
    </w:pPr>
    <w:rPr>
      <w:rFonts w:eastAsia="Times New Roman"/>
      <w:color w:val="000000"/>
      <w:lang w:val="en-US" w:eastAsia="de-DE" w:bidi="en-US"/>
    </w:rPr>
  </w:style>
  <w:style w:type="paragraph" w:customStyle="1" w:styleId="SCC35textbeforelist">
    <w:name w:val="SCC_3.5_text_before_list"/>
    <w:qFormat/>
    <w:pPr>
      <w:adjustRightInd w:val="0"/>
      <w:snapToGrid w:val="0"/>
      <w:spacing w:after="60" w:line="228" w:lineRule="auto"/>
      <w:ind w:left="2608" w:firstLine="425"/>
      <w:jc w:val="both"/>
    </w:pPr>
    <w:rPr>
      <w:rFonts w:eastAsia="Times New Roman"/>
      <w:color w:val="000000"/>
      <w:lang w:val="en-US" w:eastAsia="de-DE" w:bidi="en-US"/>
    </w:rPr>
  </w:style>
  <w:style w:type="paragraph" w:customStyle="1" w:styleId="SCC36textafterlist">
    <w:name w:val="SCC_3.6_text_after_list"/>
    <w:qFormat/>
    <w:pPr>
      <w:adjustRightInd w:val="0"/>
      <w:snapToGrid w:val="0"/>
      <w:spacing w:before="120" w:line="228" w:lineRule="auto"/>
      <w:ind w:left="2608"/>
      <w:jc w:val="both"/>
    </w:pPr>
    <w:rPr>
      <w:rFonts w:eastAsia="Times New Roman"/>
      <w:color w:val="000000"/>
      <w:lang w:val="en-US" w:eastAsia="de-DE" w:bidi="en-US"/>
    </w:rPr>
  </w:style>
  <w:style w:type="paragraph" w:customStyle="1" w:styleId="SCC37itemize">
    <w:name w:val="SCC_3.7_itemize"/>
    <w:qFormat/>
    <w:pPr>
      <w:numPr>
        <w:numId w:val="1"/>
      </w:numPr>
      <w:adjustRightInd w:val="0"/>
      <w:snapToGrid w:val="0"/>
      <w:spacing w:line="228" w:lineRule="auto"/>
      <w:jc w:val="both"/>
    </w:pPr>
    <w:rPr>
      <w:rFonts w:eastAsia="Times New Roman"/>
      <w:snapToGrid w:val="0"/>
      <w:color w:val="000000"/>
      <w:lang w:val="en-US" w:eastAsia="de-DE" w:bidi="en-US"/>
    </w:rPr>
  </w:style>
  <w:style w:type="paragraph" w:customStyle="1" w:styleId="SCC38bullet">
    <w:name w:val="SCC_3.8_bullet"/>
    <w:qFormat/>
    <w:pPr>
      <w:numPr>
        <w:numId w:val="2"/>
      </w:numPr>
      <w:adjustRightInd w:val="0"/>
      <w:snapToGrid w:val="0"/>
      <w:spacing w:line="228" w:lineRule="auto"/>
      <w:jc w:val="both"/>
    </w:pPr>
    <w:rPr>
      <w:rFonts w:eastAsia="Times New Roman"/>
      <w:snapToGrid w:val="0"/>
      <w:color w:val="000000"/>
      <w:lang w:val="en-US" w:eastAsia="de-DE" w:bidi="en-US"/>
    </w:rPr>
  </w:style>
  <w:style w:type="paragraph" w:customStyle="1" w:styleId="SCC39equation">
    <w:name w:val="SCC_3.9_equation"/>
    <w:qFormat/>
    <w:pPr>
      <w:adjustRightInd w:val="0"/>
      <w:snapToGrid w:val="0"/>
      <w:spacing w:before="120" w:after="120" w:line="260" w:lineRule="atLeast"/>
      <w:ind w:left="709"/>
      <w:jc w:val="center"/>
    </w:pPr>
    <w:rPr>
      <w:rFonts w:eastAsia="Times New Roman"/>
      <w:color w:val="000000"/>
      <w:lang w:val="en-US" w:eastAsia="de-DE" w:bidi="en-US"/>
    </w:rPr>
  </w:style>
  <w:style w:type="paragraph" w:customStyle="1" w:styleId="SCC3aequationnumber">
    <w:name w:val="SCC_3.a_equation_number"/>
    <w:qFormat/>
    <w:pPr>
      <w:spacing w:before="120" w:after="120"/>
      <w:jc w:val="right"/>
    </w:pPr>
    <w:rPr>
      <w:rFonts w:eastAsia="Times New Roman"/>
      <w:color w:val="000000"/>
      <w:lang w:val="en-US" w:eastAsia="de-DE" w:bidi="en-US"/>
    </w:rPr>
  </w:style>
  <w:style w:type="paragraph" w:customStyle="1" w:styleId="SCC41tablecaption">
    <w:name w:val="SCC_4.1_table_caption"/>
    <w:qFormat/>
    <w:pPr>
      <w:adjustRightInd w:val="0"/>
      <w:snapToGrid w:val="0"/>
      <w:spacing w:before="240" w:after="120" w:line="228" w:lineRule="auto"/>
      <w:ind w:left="2608"/>
      <w:jc w:val="both"/>
    </w:pPr>
    <w:rPr>
      <w:rFonts w:eastAsia="Times New Roman" w:cs="Cordia New"/>
      <w:snapToGrid w:val="0"/>
      <w:color w:val="000000"/>
      <w:sz w:val="18"/>
      <w:lang w:val="en-US" w:eastAsia="de-DE" w:bidi="en-US"/>
    </w:rPr>
  </w:style>
  <w:style w:type="paragraph" w:customStyle="1" w:styleId="SCC42tablebody">
    <w:name w:val="SCC_4.2_table_body"/>
    <w:link w:val="SCC42tablebodyChar"/>
    <w:autoRedefine/>
    <w:qFormat/>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SCC43tablefooter">
    <w:name w:val="SCC_4.3_table_footer"/>
    <w:next w:val="SCC31text"/>
    <w:qFormat/>
    <w:pPr>
      <w:adjustRightInd w:val="0"/>
      <w:snapToGrid w:val="0"/>
      <w:spacing w:after="240" w:line="228" w:lineRule="auto"/>
      <w:ind w:left="2608"/>
      <w:jc w:val="both"/>
    </w:pPr>
    <w:rPr>
      <w:rFonts w:eastAsia="Times New Roman" w:cs="Cordia New"/>
      <w:snapToGrid w:val="0"/>
      <w:color w:val="000000"/>
      <w:sz w:val="18"/>
      <w:lang w:val="en-US" w:eastAsia="de-DE" w:bidi="en-US"/>
    </w:rPr>
  </w:style>
  <w:style w:type="paragraph" w:customStyle="1" w:styleId="SCC51figurecaption">
    <w:name w:val="SCC_5.1_figure_caption"/>
    <w:qFormat/>
    <w:pPr>
      <w:adjustRightInd w:val="0"/>
      <w:snapToGrid w:val="0"/>
      <w:spacing w:before="120" w:after="240" w:line="228" w:lineRule="auto"/>
      <w:ind w:left="2608"/>
      <w:jc w:val="both"/>
    </w:pPr>
    <w:rPr>
      <w:rFonts w:eastAsia="Times New Roman"/>
      <w:snapToGrid w:val="0"/>
      <w:color w:val="000000"/>
      <w:sz w:val="18"/>
      <w:lang w:val="en-US" w:eastAsia="de-DE" w:bidi="en-US"/>
    </w:rPr>
  </w:style>
  <w:style w:type="paragraph" w:customStyle="1" w:styleId="SCC52figure">
    <w:name w:val="SCC_5.2_figure"/>
    <w:qFormat/>
    <w:pPr>
      <w:adjustRightInd w:val="0"/>
      <w:snapToGrid w:val="0"/>
      <w:spacing w:before="240" w:after="120"/>
      <w:ind w:left="2608"/>
      <w:jc w:val="center"/>
    </w:pPr>
    <w:rPr>
      <w:rFonts w:eastAsia="Times New Roman"/>
      <w:color w:val="000000"/>
      <w:lang w:val="en-US" w:eastAsia="de-DE" w:bidi="en-US"/>
    </w:rPr>
  </w:style>
  <w:style w:type="paragraph" w:customStyle="1" w:styleId="SCCfooterfirstpage">
    <w:name w:val="SCC_footer_firstpage"/>
    <w:qFormat/>
    <w:pPr>
      <w:tabs>
        <w:tab w:val="right" w:pos="8845"/>
      </w:tabs>
      <w:spacing w:line="160" w:lineRule="exact"/>
    </w:pPr>
    <w:rPr>
      <w:rFonts w:eastAsia="Times New Roman"/>
      <w:snapToGrid w:val="0"/>
      <w:color w:val="000000"/>
      <w:sz w:val="16"/>
      <w:lang w:val="en-US" w:eastAsia="de-DE"/>
    </w:rPr>
  </w:style>
  <w:style w:type="paragraph" w:customStyle="1" w:styleId="SCC23heading3">
    <w:name w:val="SCC_2.3_heading3"/>
    <w:qFormat/>
    <w:pPr>
      <w:adjustRightInd w:val="0"/>
      <w:snapToGrid w:val="0"/>
      <w:spacing w:before="60" w:after="60" w:line="228" w:lineRule="auto"/>
      <w:ind w:left="2608"/>
      <w:outlineLvl w:val="2"/>
    </w:pPr>
    <w:rPr>
      <w:rFonts w:eastAsia="Times New Roman"/>
      <w:color w:val="000000"/>
      <w:lang w:val="en-US" w:eastAsia="de-DE" w:bidi="en-US"/>
    </w:rPr>
  </w:style>
  <w:style w:type="paragraph" w:customStyle="1" w:styleId="SCC21heading1">
    <w:name w:val="SCC_2.1_heading1"/>
    <w:link w:val="SCC21heading1Char"/>
    <w:qFormat/>
    <w:pPr>
      <w:adjustRightInd w:val="0"/>
      <w:snapToGrid w:val="0"/>
      <w:spacing w:before="240" w:after="60" w:line="228" w:lineRule="auto"/>
      <w:ind w:left="2608"/>
      <w:outlineLvl w:val="0"/>
    </w:pPr>
    <w:rPr>
      <w:rFonts w:eastAsia="Times New Roman"/>
      <w:b/>
      <w:color w:val="000000"/>
      <w:lang w:val="en-US" w:eastAsia="de-DE" w:bidi="en-US"/>
    </w:rPr>
  </w:style>
  <w:style w:type="paragraph" w:customStyle="1" w:styleId="SCC22heading2">
    <w:name w:val="SCC_2.2_heading2"/>
    <w:qFormat/>
    <w:pPr>
      <w:adjustRightInd w:val="0"/>
      <w:snapToGrid w:val="0"/>
      <w:spacing w:before="240" w:after="60" w:line="228" w:lineRule="auto"/>
      <w:ind w:left="2608"/>
      <w:outlineLvl w:val="1"/>
    </w:pPr>
    <w:rPr>
      <w:rFonts w:eastAsia="Times New Roman"/>
      <w:i/>
      <w:color w:val="000000"/>
      <w:lang w:val="en-US" w:eastAsia="de-DE" w:bidi="en-US"/>
    </w:rPr>
  </w:style>
  <w:style w:type="paragraph" w:customStyle="1" w:styleId="SCC71References">
    <w:name w:val="SCC_7.1_References"/>
    <w:qFormat/>
    <w:pPr>
      <w:adjustRightInd w:val="0"/>
      <w:snapToGrid w:val="0"/>
      <w:spacing w:line="228" w:lineRule="auto"/>
      <w:ind w:left="720" w:hanging="720"/>
    </w:pPr>
    <w:rPr>
      <w:rFonts w:eastAsia="Times New Roman"/>
      <w:snapToGrid w:val="0"/>
      <w:color w:val="000000"/>
      <w:sz w:val="18"/>
      <w:lang w:val="en-US" w:eastAsia="de-DE" w:bidi="en-US"/>
    </w:rPr>
  </w:style>
  <w:style w:type="table" w:customStyle="1" w:styleId="MDPI41threelinetable">
    <w:name w:val="MDPI_4.1_three_line_table"/>
    <w:basedOn w:val="TableNormal"/>
    <w:uiPriority w:val="99"/>
    <w:qFormat/>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Symbol" w:hAnsi="Symbol"/>
        <w:b/>
        <w:i w:val="0"/>
        <w:sz w:val="20"/>
      </w:rPr>
      <w:tblPr/>
      <w:tcPr>
        <w:tcBorders>
          <w:top w:val="nil"/>
          <w:left w:val="single" w:sz="4" w:space="0" w:color="auto"/>
          <w:bottom w:val="nil"/>
          <w:right w:val="nil"/>
          <w:insideH w:val="nil"/>
          <w:insideV w:val="nil"/>
          <w:tl2br w:val="nil"/>
          <w:tr2bl w:val="nil"/>
        </w:tcBorders>
      </w:tcPr>
    </w:tblStylePr>
  </w:style>
  <w:style w:type="character" w:customStyle="1" w:styleId="1">
    <w:name w:val="未处理的提及1"/>
    <w:uiPriority w:val="99"/>
    <w:unhideWhenUsed/>
    <w:qFormat/>
    <w:rPr>
      <w:color w:val="605E5C"/>
      <w:shd w:val="clear" w:color="auto" w:fill="E1DFDD"/>
    </w:rPr>
  </w:style>
  <w:style w:type="table" w:customStyle="1" w:styleId="41">
    <w:name w:val="无格式表格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CC34textspacebefore">
    <w:name w:val="SCC_3.4_text_space_before"/>
    <w:qFormat/>
    <w:pPr>
      <w:adjustRightInd w:val="0"/>
      <w:snapToGrid w:val="0"/>
      <w:spacing w:before="240" w:line="228" w:lineRule="auto"/>
      <w:ind w:left="2608"/>
      <w:jc w:val="both"/>
    </w:pPr>
    <w:rPr>
      <w:rFonts w:eastAsia="Times New Roman"/>
      <w:color w:val="000000"/>
      <w:lang w:val="en-US" w:eastAsia="de-DE" w:bidi="en-US"/>
    </w:rPr>
  </w:style>
  <w:style w:type="paragraph" w:customStyle="1" w:styleId="SCC81theorem">
    <w:name w:val="SCC_8.1_theorem"/>
    <w:qFormat/>
    <w:pPr>
      <w:adjustRightInd w:val="0"/>
      <w:snapToGrid w:val="0"/>
      <w:spacing w:line="228" w:lineRule="auto"/>
      <w:ind w:left="2608"/>
      <w:jc w:val="both"/>
    </w:pPr>
    <w:rPr>
      <w:rFonts w:eastAsia="Times New Roman"/>
      <w:i/>
      <w:color w:val="000000"/>
      <w:lang w:val="en-US" w:eastAsia="de-DE" w:bidi="en-US"/>
    </w:rPr>
  </w:style>
  <w:style w:type="paragraph" w:customStyle="1" w:styleId="SCC82proof">
    <w:name w:val="SCC_8.2_proof"/>
    <w:qFormat/>
    <w:pPr>
      <w:adjustRightInd w:val="0"/>
      <w:snapToGrid w:val="0"/>
      <w:spacing w:line="228" w:lineRule="auto"/>
      <w:ind w:left="2608"/>
      <w:jc w:val="both"/>
    </w:pPr>
    <w:rPr>
      <w:rFonts w:eastAsia="Times New Roman"/>
      <w:color w:val="000000"/>
      <w:lang w:val="en-US" w:eastAsia="de-DE" w:bidi="en-US"/>
    </w:rPr>
  </w:style>
  <w:style w:type="paragraph" w:customStyle="1" w:styleId="SCC61Citation">
    <w:name w:val="SCC_6.1_Citation"/>
    <w:qFormat/>
    <w:pPr>
      <w:adjustRightInd w:val="0"/>
      <w:snapToGrid w:val="0"/>
      <w:spacing w:line="240" w:lineRule="atLeast"/>
      <w:ind w:right="113"/>
    </w:pPr>
    <w:rPr>
      <w:rFonts w:eastAsia="Times New Roman" w:cs="Cordia New"/>
      <w:snapToGrid w:val="0"/>
      <w:color w:val="000000"/>
      <w:sz w:val="14"/>
      <w:lang w:val="en-US" w:eastAsia="zh-CN"/>
    </w:rPr>
  </w:style>
  <w:style w:type="paragraph" w:customStyle="1" w:styleId="SCC62BackMatter">
    <w:name w:val="SCC_6.2_BackMatter"/>
    <w:qFormat/>
    <w:pPr>
      <w:adjustRightInd w:val="0"/>
      <w:snapToGrid w:val="0"/>
      <w:spacing w:after="120" w:line="228" w:lineRule="auto"/>
      <w:ind w:left="2608"/>
      <w:jc w:val="both"/>
    </w:pPr>
    <w:rPr>
      <w:rFonts w:eastAsia="Times New Roman"/>
      <w:color w:val="000000"/>
      <w:sz w:val="18"/>
      <w:lang w:val="en-US" w:eastAsia="en-US" w:bidi="en-US"/>
    </w:rPr>
  </w:style>
  <w:style w:type="paragraph" w:customStyle="1" w:styleId="SCC63Notes">
    <w:name w:val="SCC_6.3_Notes"/>
    <w:qFormat/>
    <w:pPr>
      <w:adjustRightInd w:val="0"/>
      <w:snapToGrid w:val="0"/>
      <w:spacing w:before="480" w:line="228" w:lineRule="auto"/>
      <w:jc w:val="both"/>
    </w:pPr>
    <w:rPr>
      <w:rFonts w:eastAsia="Times New Roman"/>
      <w:color w:val="000000"/>
      <w:lang w:val="en-US" w:eastAsia="en-US" w:bidi="en-US"/>
    </w:rPr>
  </w:style>
  <w:style w:type="paragraph" w:customStyle="1" w:styleId="SCC15academiceditor">
    <w:name w:val="SCC_1.5_academic_editor"/>
    <w:qFormat/>
    <w:pPr>
      <w:adjustRightInd w:val="0"/>
      <w:snapToGrid w:val="0"/>
      <w:spacing w:before="120" w:line="240" w:lineRule="atLeast"/>
      <w:ind w:right="113"/>
    </w:pPr>
    <w:rPr>
      <w:rFonts w:eastAsia="Times New Roman"/>
      <w:snapToGrid w:val="0"/>
      <w:color w:val="000000"/>
      <w:sz w:val="14"/>
      <w:lang w:val="en-US" w:eastAsia="de-DE" w:bidi="en-US"/>
    </w:rPr>
  </w:style>
  <w:style w:type="paragraph" w:customStyle="1" w:styleId="SCC19classification">
    <w:name w:val="SCC_1.9_classification"/>
    <w:qFormat/>
    <w:pPr>
      <w:spacing w:before="240" w:line="260" w:lineRule="atLeast"/>
      <w:ind w:left="113"/>
      <w:jc w:val="both"/>
    </w:pPr>
    <w:rPr>
      <w:rFonts w:eastAsia="Times New Roman"/>
      <w:b/>
      <w:snapToGrid w:val="0"/>
      <w:color w:val="000000"/>
      <w:lang w:val="en-US" w:eastAsia="de-DE" w:bidi="en-US"/>
    </w:rPr>
  </w:style>
  <w:style w:type="paragraph" w:customStyle="1" w:styleId="SCC411onetablecaption">
    <w:name w:val="SCC_4.1.1_one_table_caption"/>
    <w:qFormat/>
    <w:pPr>
      <w:adjustRightInd w:val="0"/>
      <w:snapToGrid w:val="0"/>
      <w:spacing w:before="240" w:after="120" w:line="260" w:lineRule="atLeast"/>
      <w:jc w:val="center"/>
    </w:pPr>
    <w:rPr>
      <w:rFonts w:eastAsia="Times New Roman" w:cs="Cordia New"/>
      <w:snapToGrid w:val="0"/>
      <w:color w:val="000000"/>
      <w:sz w:val="18"/>
      <w:lang w:val="en-US" w:eastAsia="zh-CN" w:bidi="en-US"/>
    </w:rPr>
  </w:style>
  <w:style w:type="paragraph" w:customStyle="1" w:styleId="SCC511onefigurecaption">
    <w:name w:val="SCC_5.1.1_one_figure_caption"/>
    <w:autoRedefine/>
    <w:qFormat/>
    <w:pPr>
      <w:adjustRightInd w:val="0"/>
      <w:snapToGrid w:val="0"/>
      <w:spacing w:before="240" w:after="120" w:line="260" w:lineRule="atLeast"/>
      <w:jc w:val="center"/>
    </w:pPr>
    <w:rPr>
      <w:rFonts w:eastAsia="Times New Roman"/>
      <w:snapToGrid w:val="0"/>
      <w:color w:val="000000"/>
      <w:sz w:val="18"/>
      <w:lang w:val="en-US" w:eastAsia="zh-CN" w:bidi="en-US"/>
    </w:rPr>
  </w:style>
  <w:style w:type="paragraph" w:customStyle="1" w:styleId="SCC72Copyright">
    <w:name w:val="SCC_7.2_Copyright"/>
    <w:qFormat/>
    <w:pPr>
      <w:adjustRightInd w:val="0"/>
      <w:snapToGrid w:val="0"/>
      <w:spacing w:before="120" w:line="240" w:lineRule="atLeast"/>
      <w:ind w:right="113"/>
      <w:jc w:val="both"/>
    </w:pPr>
    <w:rPr>
      <w:rFonts w:eastAsia="Times New Roman"/>
      <w:color w:val="000000"/>
      <w:spacing w:val="-2"/>
      <w:sz w:val="14"/>
      <w:lang w:val="en-US"/>
    </w:rPr>
  </w:style>
  <w:style w:type="paragraph" w:customStyle="1" w:styleId="SCC73CopyrightImage">
    <w:name w:val="SCC_7.3_CopyrightImage"/>
    <w:qFormat/>
    <w:pPr>
      <w:adjustRightInd w:val="0"/>
      <w:snapToGrid w:val="0"/>
      <w:spacing w:before="120" w:line="240" w:lineRule="atLeast"/>
      <w:ind w:right="113"/>
    </w:pPr>
    <w:rPr>
      <w:rFonts w:eastAsia="Times New Roman"/>
      <w:snapToGrid w:val="0"/>
      <w:color w:val="000000"/>
      <w:lang w:val="en-US" w:eastAsia="de-CH"/>
    </w:rPr>
  </w:style>
  <w:style w:type="paragraph" w:customStyle="1" w:styleId="SCCequationFram">
    <w:name w:val="SCC_equationFram"/>
    <w:qFormat/>
    <w:pPr>
      <w:adjustRightInd w:val="0"/>
      <w:snapToGrid w:val="0"/>
      <w:spacing w:before="120" w:after="120"/>
      <w:jc w:val="center"/>
    </w:pPr>
    <w:rPr>
      <w:rFonts w:eastAsia="Times New Roman"/>
      <w:color w:val="000000"/>
      <w:lang w:val="en-US" w:eastAsia="de-DE" w:bidi="en-US"/>
    </w:rPr>
  </w:style>
  <w:style w:type="paragraph" w:customStyle="1" w:styleId="SCCfooter">
    <w:name w:val="SCC_footer"/>
    <w:qFormat/>
    <w:pPr>
      <w:adjustRightInd w:val="0"/>
      <w:snapToGrid w:val="0"/>
      <w:spacing w:before="120" w:line="260" w:lineRule="atLeast"/>
      <w:jc w:val="center"/>
    </w:pPr>
    <w:rPr>
      <w:rFonts w:eastAsia="Times New Roman"/>
      <w:snapToGrid w:val="0"/>
      <w:color w:val="000000"/>
      <w:lang w:val="en-US" w:eastAsia="de-DE"/>
    </w:rPr>
  </w:style>
  <w:style w:type="paragraph" w:customStyle="1" w:styleId="SCCheader">
    <w:name w:val="SCC_header"/>
    <w:qFormat/>
    <w:pPr>
      <w:adjustRightInd w:val="0"/>
      <w:snapToGrid w:val="0"/>
      <w:spacing w:after="240" w:line="260" w:lineRule="atLeast"/>
      <w:jc w:val="both"/>
    </w:pPr>
    <w:rPr>
      <w:rFonts w:eastAsia="Times New Roman"/>
      <w:iCs/>
      <w:snapToGrid w:val="0"/>
      <w:color w:val="000000"/>
      <w:sz w:val="16"/>
      <w:lang w:val="en-US" w:eastAsia="de-DE"/>
    </w:rPr>
  </w:style>
  <w:style w:type="paragraph" w:customStyle="1" w:styleId="SCCheadercitation">
    <w:name w:val="SCC_header_citation"/>
    <w:qFormat/>
    <w:pPr>
      <w:spacing w:after="240"/>
    </w:pPr>
    <w:rPr>
      <w:rFonts w:eastAsia="Times New Roman"/>
      <w:color w:val="000000"/>
      <w:sz w:val="18"/>
      <w:lang w:val="en-US" w:eastAsia="de-DE" w:bidi="en-US"/>
    </w:rPr>
  </w:style>
  <w:style w:type="paragraph" w:customStyle="1" w:styleId="SCCheaderSCClogo">
    <w:name w:val="SCC_header_SCC_logo"/>
    <w:qFormat/>
    <w:pPr>
      <w:adjustRightInd w:val="0"/>
      <w:snapToGrid w:val="0"/>
      <w:spacing w:line="260" w:lineRule="atLeast"/>
      <w:jc w:val="right"/>
    </w:pPr>
    <w:rPr>
      <w:rFonts w:eastAsia="Times New Roman"/>
      <w:snapToGrid w:val="0"/>
      <w:color w:val="000000"/>
      <w:sz w:val="24"/>
      <w:lang w:val="en-US" w:eastAsia="de-CH"/>
    </w:rPr>
  </w:style>
  <w:style w:type="table" w:customStyle="1" w:styleId="MDPITable">
    <w:name w:val="MDPI_Table"/>
    <w:basedOn w:val="TableNormal"/>
    <w:uiPriority w:val="99"/>
    <w:qFormat/>
    <w:rPr>
      <w:rFonts w:ascii="Palatino Linotype" w:hAnsi="Palatino Linotype"/>
      <w:lang w:val="en-CA" w:eastAsia="en-US"/>
    </w:rPr>
    <w:tblPr>
      <w:tblCellMar>
        <w:left w:w="0" w:type="dxa"/>
        <w:right w:w="0" w:type="dxa"/>
      </w:tblCellMar>
    </w:tblPr>
  </w:style>
  <w:style w:type="paragraph" w:customStyle="1" w:styleId="SCCReferenceHeading">
    <w:name w:val="SCC_Reference_Heading"/>
    <w:basedOn w:val="SCC21heading1"/>
    <w:link w:val="SCCReferenceHeadingChar"/>
    <w:qFormat/>
    <w:pPr>
      <w:ind w:left="0"/>
    </w:pPr>
  </w:style>
  <w:style w:type="character" w:customStyle="1" w:styleId="SCC21heading1Char">
    <w:name w:val="SCC_2.1_heading1 Char"/>
    <w:basedOn w:val="DefaultParagraphFont"/>
    <w:link w:val="SCC21heading1"/>
    <w:qFormat/>
    <w:rPr>
      <w:rFonts w:eastAsia="Times New Roman"/>
      <w:b/>
      <w:snapToGrid/>
      <w:lang w:eastAsia="de-DE" w:bidi="en-US"/>
    </w:rPr>
  </w:style>
  <w:style w:type="character" w:customStyle="1" w:styleId="apple-converted-space">
    <w:name w:val="apple-converted-space"/>
    <w:qFormat/>
  </w:style>
  <w:style w:type="paragraph" w:customStyle="1" w:styleId="10">
    <w:name w:val="书目1"/>
    <w:basedOn w:val="Normal"/>
    <w:next w:val="Normal"/>
    <w:uiPriority w:val="37"/>
    <w:unhideWhenUsed/>
    <w:qFormat/>
  </w:style>
  <w:style w:type="paragraph" w:customStyle="1" w:styleId="MsoFootnoteText0">
    <w:name w:val="MsoFootnoteText"/>
    <w:basedOn w:val="NormalWeb"/>
    <w:qFormat/>
  </w:style>
  <w:style w:type="character" w:styleId="PlaceholderText">
    <w:name w:val="Placeholder Text"/>
    <w:uiPriority w:val="99"/>
    <w:semiHidden/>
    <w:qFormat/>
    <w:rPr>
      <w:color w:val="808080"/>
    </w:rPr>
  </w:style>
  <w:style w:type="paragraph" w:customStyle="1" w:styleId="SCC71FootNotes">
    <w:name w:val="SCC_7.1_FootNotes"/>
    <w:qFormat/>
    <w:pPr>
      <w:numPr>
        <w:numId w:val="3"/>
      </w:numPr>
      <w:adjustRightInd w:val="0"/>
      <w:snapToGrid w:val="0"/>
      <w:spacing w:line="228" w:lineRule="auto"/>
    </w:pPr>
    <w:rPr>
      <w:rFonts w:eastAsia="Times New Roman"/>
      <w:snapToGrid w:val="0"/>
      <w:color w:val="000000"/>
      <w:sz w:val="18"/>
      <w:lang w:val="en-US" w:eastAsia="zh-CN"/>
    </w:rPr>
  </w:style>
  <w:style w:type="character" w:customStyle="1" w:styleId="UnresolvedMention1">
    <w:name w:val="Unresolved Mention1"/>
    <w:uiPriority w:val="99"/>
    <w:semiHidden/>
    <w:unhideWhenUsed/>
    <w:qFormat/>
    <w:rPr>
      <w:color w:val="605E5C"/>
      <w:shd w:val="clear" w:color="auto" w:fill="E1DFDD"/>
    </w:rPr>
  </w:style>
  <w:style w:type="paragraph" w:customStyle="1" w:styleId="SCCAppendix">
    <w:name w:val="SCC_Appendix"/>
    <w:qFormat/>
    <w:pPr>
      <w:adjustRightInd w:val="0"/>
      <w:snapToGrid w:val="0"/>
      <w:spacing w:before="240" w:after="60" w:line="228" w:lineRule="auto"/>
      <w:ind w:left="2608"/>
    </w:pPr>
    <w:rPr>
      <w:rFonts w:eastAsia="Times New Roman"/>
      <w:b/>
      <w:bCs/>
      <w:snapToGrid w:val="0"/>
      <w:color w:val="000000"/>
      <w:lang w:val="en-US" w:eastAsia="zh-CN" w:bidi="en-US"/>
    </w:rPr>
  </w:style>
  <w:style w:type="character" w:customStyle="1" w:styleId="SCCReferenceHeadingChar">
    <w:name w:val="SCC_Reference_Heading Char"/>
    <w:basedOn w:val="SCC21heading1Char"/>
    <w:link w:val="SCCReferenceHeading"/>
    <w:qFormat/>
    <w:rPr>
      <w:rFonts w:eastAsia="Times New Roman"/>
      <w:b/>
      <w:snapToGrid/>
      <w:lang w:eastAsia="de-DE" w:bidi="en-US"/>
    </w:rPr>
  </w:style>
  <w:style w:type="paragraph" w:customStyle="1" w:styleId="SCC53figurefooter">
    <w:name w:val="SCC_5.3_figure_footer"/>
    <w:basedOn w:val="Normal"/>
    <w:qFormat/>
    <w:pPr>
      <w:spacing w:after="240"/>
    </w:pPr>
    <w:rPr>
      <w:sz w:val="18"/>
    </w:rPr>
  </w:style>
  <w:style w:type="character" w:customStyle="1" w:styleId="SCC42tablebodyChar">
    <w:name w:val="SCC_4.2_table_body Char"/>
    <w:basedOn w:val="DefaultParagraphFont"/>
    <w:link w:val="SCC42tablebody"/>
    <w:qFormat/>
    <w:rPr>
      <w:rFonts w:ascii="Palatino Linotype" w:eastAsia="Times New Roman" w:hAnsi="Palatino Linotype"/>
      <w:lang w:eastAsia="de-DE" w:bidi="en-US"/>
    </w:rPr>
  </w:style>
  <w:style w:type="paragraph" w:customStyle="1" w:styleId="SCCtext">
    <w:name w:val="SCC_text"/>
    <w:qFormat/>
    <w:pPr>
      <w:spacing w:line="260" w:lineRule="atLeast"/>
      <w:ind w:left="425" w:right="425" w:firstLine="284"/>
      <w:jc w:val="both"/>
    </w:pPr>
    <w:rPr>
      <w:rFonts w:eastAsia="Times New Roman"/>
      <w:snapToGrid w:val="0"/>
      <w:sz w:val="22"/>
      <w:szCs w:val="22"/>
      <w:lang w:val="en-US" w:eastAsia="de-DE" w:bidi="en-US"/>
    </w:rPr>
  </w:style>
  <w:style w:type="paragraph" w:customStyle="1" w:styleId="SCCtitle">
    <w:name w:val="SCC_title"/>
    <w:qFormat/>
    <w:pPr>
      <w:adjustRightInd w:val="0"/>
      <w:snapToGrid w:val="0"/>
      <w:spacing w:after="240" w:line="260" w:lineRule="atLeast"/>
      <w:jc w:val="both"/>
    </w:pPr>
    <w:rPr>
      <w:rFonts w:ascii="Palatino Linotype" w:eastAsia="Times New Roman" w:hAnsi="Palatino Linotype"/>
      <w:b/>
      <w:snapToGrid w:val="0"/>
      <w:sz w:val="36"/>
      <w:lang w:val="en-US" w:eastAsia="de-DE" w:bidi="en-US"/>
    </w:rPr>
  </w:style>
  <w:style w:type="character" w:styleId="UnresolvedMention">
    <w:name w:val="Unresolved Mention"/>
    <w:basedOn w:val="DefaultParagraphFont"/>
    <w:uiPriority w:val="99"/>
    <w:semiHidden/>
    <w:unhideWhenUsed/>
    <w:rsid w:val="00107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7/S1474745613000025" TargetMode="External"/><Relationship Id="rId18" Type="http://schemas.openxmlformats.org/officeDocument/2006/relationships/hyperlink" Target="https://doi.org/10.1111/joes.12418" TargetMode="External"/><Relationship Id="rId26" Type="http://schemas.openxmlformats.org/officeDocument/2006/relationships/hyperlink" Target="https://doi.org/10.3390/su11174620" TargetMode="External"/><Relationship Id="rId3" Type="http://schemas.openxmlformats.org/officeDocument/2006/relationships/numbering" Target="numbering.xml"/><Relationship Id="rId21" Type="http://schemas.openxmlformats.org/officeDocument/2006/relationships/hyperlink" Target="https://doi.org/10.1016/j.jbusres.2023.114156"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oi.org/10.2134/agronj2012.0506" TargetMode="External"/><Relationship Id="rId17" Type="http://schemas.openxmlformats.org/officeDocument/2006/relationships/hyperlink" Target="https://doi.org/10.1108/JEAS-09-2019-0101" TargetMode="External"/><Relationship Id="rId25" Type="http://schemas.openxmlformats.org/officeDocument/2006/relationships/hyperlink" Target="https://doi.org/10.1108/SAJBS-07-2019-012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16/j.jeca.2022.e00265" TargetMode="External"/><Relationship Id="rId20" Type="http://schemas.openxmlformats.org/officeDocument/2006/relationships/hyperlink" Target="https://doi.org/10.1080/15140326.2018.1526878" TargetMode="External"/><Relationship Id="rId29" Type="http://schemas.openxmlformats.org/officeDocument/2006/relationships/hyperlink" Target="https://doi.org/10.3390/su141595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2146/ijccs.65586" TargetMode="External"/><Relationship Id="rId24" Type="http://schemas.openxmlformats.org/officeDocument/2006/relationships/hyperlink" Target="https://doi.org/10.2308/TAR-2023-0293"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108/17561371111103525" TargetMode="External"/><Relationship Id="rId23" Type="http://schemas.openxmlformats.org/officeDocument/2006/relationships/hyperlink" Target="https://doi.org/10.1108/JABES-05-2020-0054" TargetMode="External"/><Relationship Id="rId28" Type="http://schemas.openxmlformats.org/officeDocument/2006/relationships/hyperlink" Target="https://databank.worldbank.org/source/world-development-indicators" TargetMode="External"/><Relationship Id="rId36" Type="http://schemas.openxmlformats.org/officeDocument/2006/relationships/footer" Target="footer3.xml"/><Relationship Id="rId10" Type="http://schemas.openxmlformats.org/officeDocument/2006/relationships/hyperlink" Target="https://doi.org/10.1007/BF02707309" TargetMode="External"/><Relationship Id="rId19" Type="http://schemas.openxmlformats.org/officeDocument/2006/relationships/hyperlink" Target="https://fred.stlouisfed.org/series/EXCHUS"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1371/journal.pone.0274187" TargetMode="External"/><Relationship Id="rId14" Type="http://schemas.openxmlformats.org/officeDocument/2006/relationships/hyperlink" Target="https://doi.org/10.1093/aepp/ppr047" TargetMode="External"/><Relationship Id="rId22" Type="http://schemas.openxmlformats.org/officeDocument/2006/relationships/hyperlink" Target="https://doi.org/10.1016/j.regsus.2021.09.001" TargetMode="External"/><Relationship Id="rId27" Type="http://schemas.openxmlformats.org/officeDocument/2006/relationships/hyperlink" Target="https://wits.worldbank.org/CountryProfile/en/Country/CHN/Year/2022/TradeFlow/Export/Partner/all/Product/AgrRaw" TargetMode="External"/><Relationship Id="rId30" Type="http://schemas.openxmlformats.org/officeDocument/2006/relationships/image" Target="media/image1.emf"/><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7\Desktop\&#26399;&#21002;&#21806;&#20013;\zhangtongxue%20&#32463;&#27982;&#23398;google%20scholar\A&amp;R%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40A9A-33F2-4C88-894B-32311E60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A&amp;R template</Template>
  <TotalTime>1390</TotalTime>
  <Pages>13</Pages>
  <Words>6320</Words>
  <Characters>36028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Paper Structure</vt:lpstr>
    </vt:vector>
  </TitlesOfParts>
  <Company>SCCPRESS</Company>
  <LinksUpToDate>false</LinksUpToDate>
  <CharactersWithSpaces>42264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Structure</dc:title>
  <dc:creator>1</dc:creator>
  <cp:lastModifiedBy>Editor GP 005</cp:lastModifiedBy>
  <cp:revision>24</cp:revision>
  <dcterms:created xsi:type="dcterms:W3CDTF">2025-03-21T08:45:00Z</dcterms:created>
  <dcterms:modified xsi:type="dcterms:W3CDTF">2025-05-07T10:11:00Z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5DD07E83723E45D2B44CC366260D4240</vt:lpwstr>
  </property>
  <property fmtid="{D5CDD505-2E9C-101B-9397-08002B2CF9AE}" pid="3" name="KSOProductBuildVer">
    <vt:lpwstr>2052-12.1.0.20784</vt:lpwstr>
  </property>
  <property fmtid="{D5CDD505-2E9C-101B-9397-08002B2CF9AE}" pid="4" name="GrammarlyDocumentId">
    <vt:lpwstr>f7acc827-1194-42bd-85a1-d2133e141231</vt:lpwstr>
  </property>
  <property fmtid="{D5CDD505-2E9C-101B-9397-08002B2CF9AE}" pid="5" name="KSOTemplateDocerSaveRecord">
    <vt:lpwstr>eyJoZGlkIjoiMmQ4MjJjYWQyODZjODBlZDU3MjE0ODI5ZTIyYjc4YTciLCJ1c2VySWQiOiIzODMyMTEzMTkifQ==</vt:lpwstr>
  </property>
</Properties>
</file>