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873AC9" w14:textId="77777777" w:rsidR="00470B7E" w:rsidRPr="00470B7E" w:rsidRDefault="00470B7E" w:rsidP="00470B7E">
      <w:pPr>
        <w:pStyle w:val="Heading1"/>
        <w:spacing w:before="100" w:line="480" w:lineRule="auto"/>
        <w:ind w:left="295"/>
        <w:jc w:val="center"/>
        <w:rPr>
          <w:rFonts w:ascii="Times New Roman" w:hAnsi="Times New Roman" w:cs="Times New Roman"/>
          <w:color w:val="231F20"/>
          <w:sz w:val="28"/>
          <w:szCs w:val="28"/>
        </w:rPr>
      </w:pPr>
      <w:r w:rsidRPr="00470B7E">
        <w:rPr>
          <w:rFonts w:ascii="Times New Roman" w:hAnsi="Times New Roman" w:cs="Times New Roman"/>
          <w:color w:val="231F20"/>
          <w:sz w:val="28"/>
          <w:szCs w:val="28"/>
        </w:rPr>
        <w:t xml:space="preserve">Meiotic aberrations induced by varying doses of gamma radiations </w:t>
      </w:r>
      <w:r w:rsidR="009227E2">
        <w:rPr>
          <w:rFonts w:ascii="Times New Roman" w:hAnsi="Times New Roman" w:cs="Times New Roman"/>
          <w:color w:val="231F20"/>
          <w:sz w:val="28"/>
          <w:szCs w:val="28"/>
        </w:rPr>
        <w:t xml:space="preserve">in </w:t>
      </w:r>
      <w:r w:rsidRPr="00470B7E">
        <w:rPr>
          <w:rFonts w:ascii="Times New Roman" w:hAnsi="Times New Roman" w:cs="Times New Roman"/>
          <w:i/>
          <w:iCs/>
          <w:color w:val="231F20"/>
          <w:sz w:val="28"/>
          <w:szCs w:val="28"/>
        </w:rPr>
        <w:t>Coriandrum sativum</w:t>
      </w:r>
      <w:r w:rsidRPr="00470B7E">
        <w:rPr>
          <w:rFonts w:ascii="Times New Roman" w:hAnsi="Times New Roman" w:cs="Times New Roman"/>
          <w:color w:val="231F20"/>
          <w:sz w:val="28"/>
          <w:szCs w:val="28"/>
        </w:rPr>
        <w:t xml:space="preserve"> L.</w:t>
      </w:r>
    </w:p>
    <w:p w14:paraId="6293347F" w14:textId="6AF2BE71" w:rsidR="00FE18E9" w:rsidRPr="009227E2" w:rsidRDefault="00FE18E9" w:rsidP="00470B7E">
      <w:pPr>
        <w:pStyle w:val="Heading1"/>
        <w:spacing w:before="100" w:line="480" w:lineRule="auto"/>
        <w:ind w:left="295"/>
        <w:jc w:val="center"/>
        <w:rPr>
          <w:rFonts w:ascii="Times New Roman" w:hAnsi="Times New Roman" w:cs="Times New Roman"/>
          <w:b w:val="0"/>
          <w:bCs w:val="0"/>
          <w:color w:val="231F20"/>
          <w:sz w:val="24"/>
          <w:szCs w:val="24"/>
        </w:rPr>
      </w:pPr>
      <w:r>
        <w:rPr>
          <w:rFonts w:ascii="Times New Roman" w:hAnsi="Times New Roman" w:cs="Times New Roman"/>
          <w:b w:val="0"/>
          <w:bCs w:val="0"/>
          <w:color w:val="231F20"/>
          <w:sz w:val="24"/>
          <w:szCs w:val="24"/>
        </w:rPr>
        <w:t xml:space="preserve"> </w:t>
      </w:r>
    </w:p>
    <w:p w14:paraId="2B9BF687" w14:textId="77777777" w:rsidR="009227E2" w:rsidRDefault="009227E2" w:rsidP="003A11C2">
      <w:pPr>
        <w:pStyle w:val="Heading1"/>
        <w:spacing w:before="100" w:line="480" w:lineRule="auto"/>
        <w:ind w:left="295"/>
        <w:jc w:val="center"/>
        <w:rPr>
          <w:rFonts w:ascii="Times New Roman" w:hAnsi="Times New Roman" w:cs="Times New Roman"/>
          <w:color w:val="231F20"/>
          <w:sz w:val="24"/>
          <w:szCs w:val="24"/>
        </w:rPr>
      </w:pPr>
    </w:p>
    <w:p w14:paraId="194D6852" w14:textId="77777777" w:rsidR="009526B2" w:rsidRDefault="000A13B8" w:rsidP="003A11C2">
      <w:pPr>
        <w:pStyle w:val="Heading1"/>
        <w:spacing w:before="100" w:line="480" w:lineRule="auto"/>
        <w:ind w:left="295"/>
        <w:jc w:val="center"/>
        <w:rPr>
          <w:rFonts w:ascii="Times New Roman" w:hAnsi="Times New Roman" w:cs="Times New Roman"/>
          <w:color w:val="231F20"/>
          <w:sz w:val="24"/>
          <w:szCs w:val="24"/>
        </w:rPr>
      </w:pPr>
      <w:r>
        <w:rPr>
          <w:rFonts w:ascii="Times New Roman" w:hAnsi="Times New Roman" w:cs="Times New Roman"/>
          <w:color w:val="231F20"/>
          <w:sz w:val="24"/>
          <w:szCs w:val="24"/>
        </w:rPr>
        <w:t>ABSTRACT</w:t>
      </w:r>
    </w:p>
    <w:p w14:paraId="49A7CC02" w14:textId="77777777" w:rsidR="003110EB" w:rsidRDefault="003110EB" w:rsidP="003110EB">
      <w:pPr>
        <w:widowControl/>
        <w:autoSpaceDE/>
        <w:autoSpaceDN/>
        <w:spacing w:line="480" w:lineRule="auto"/>
        <w:jc w:val="both"/>
        <w:rPr>
          <w:sz w:val="24"/>
          <w:szCs w:val="24"/>
          <w:lang w:bidi="hi-IN"/>
        </w:rPr>
      </w:pPr>
      <w:r w:rsidRPr="003110EB">
        <w:rPr>
          <w:sz w:val="24"/>
          <w:szCs w:val="24"/>
          <w:lang w:bidi="hi-IN"/>
        </w:rPr>
        <w:t>With 2n=22 chromosomes, coriander (</w:t>
      </w:r>
      <w:r w:rsidRPr="003110EB">
        <w:rPr>
          <w:i/>
          <w:iCs/>
          <w:sz w:val="24"/>
          <w:szCs w:val="24"/>
          <w:lang w:bidi="hi-IN"/>
        </w:rPr>
        <w:t xml:space="preserve">Coriandrum sativum </w:t>
      </w:r>
      <w:r w:rsidRPr="003110EB">
        <w:rPr>
          <w:sz w:val="24"/>
          <w:szCs w:val="24"/>
          <w:lang w:bidi="hi-IN"/>
        </w:rPr>
        <w:t>L.) is a significant spice and vegetable crop as well. Five distinct irradiation doses (100, 200, 300, 400, and 500Gy) were applied to dry and healthy cori</w:t>
      </w:r>
      <w:r w:rsidR="00470B7E">
        <w:rPr>
          <w:sz w:val="24"/>
          <w:szCs w:val="24"/>
          <w:lang w:bidi="hi-IN"/>
        </w:rPr>
        <w:t>a</w:t>
      </w:r>
      <w:r w:rsidRPr="003110EB">
        <w:rPr>
          <w:sz w:val="24"/>
          <w:szCs w:val="24"/>
          <w:lang w:bidi="hi-IN"/>
        </w:rPr>
        <w:t xml:space="preserve">nder seeds in order to evaluate the effects of radiation. A broad range of meiotic defects were seen in the gamma-irradiated seed offspring, with </w:t>
      </w:r>
      <w:proofErr w:type="spellStart"/>
      <w:r w:rsidRPr="003110EB">
        <w:rPr>
          <w:sz w:val="24"/>
          <w:szCs w:val="24"/>
          <w:lang w:bidi="hi-IN"/>
        </w:rPr>
        <w:t>uni</w:t>
      </w:r>
      <w:proofErr w:type="spellEnd"/>
      <w:r w:rsidRPr="003110EB">
        <w:rPr>
          <w:sz w:val="24"/>
          <w:szCs w:val="24"/>
          <w:lang w:bidi="hi-IN"/>
        </w:rPr>
        <w:t xml:space="preserve"> and </w:t>
      </w:r>
      <w:r w:rsidR="00470B7E" w:rsidRPr="003110EB">
        <w:rPr>
          <w:sz w:val="24"/>
          <w:szCs w:val="24"/>
          <w:lang w:bidi="hi-IN"/>
        </w:rPr>
        <w:t>multiva</w:t>
      </w:r>
      <w:r w:rsidR="00470B7E">
        <w:rPr>
          <w:sz w:val="24"/>
          <w:szCs w:val="24"/>
          <w:lang w:bidi="hi-IN"/>
        </w:rPr>
        <w:t>l</w:t>
      </w:r>
      <w:r w:rsidR="00470B7E" w:rsidRPr="003110EB">
        <w:rPr>
          <w:sz w:val="24"/>
          <w:szCs w:val="24"/>
          <w:lang w:bidi="hi-IN"/>
        </w:rPr>
        <w:t>ent</w:t>
      </w:r>
      <w:r w:rsidRPr="003110EB">
        <w:rPr>
          <w:sz w:val="24"/>
          <w:szCs w:val="24"/>
          <w:lang w:bidi="hi-IN"/>
        </w:rPr>
        <w:t>, laggards and stickiness of chromosomes, stray bivalents, bridges, and micronuclei being the most common. Chromosome dispersion, disrupted polarity, and premature chromosomal migration are among the other abnormalities found. Compared to anaphase/telophase, the entire range of these meiotic anomalies was shown to be greater during metaphase. Furthermore, a positive association was seen between the magnitude of aberrations and the rising dose of gamma irradiation.</w:t>
      </w:r>
      <w:r>
        <w:rPr>
          <w:sz w:val="24"/>
          <w:szCs w:val="24"/>
          <w:lang w:bidi="hi-IN"/>
        </w:rPr>
        <w:t xml:space="preserve"> </w:t>
      </w:r>
      <w:r w:rsidRPr="003110EB">
        <w:rPr>
          <w:sz w:val="24"/>
          <w:szCs w:val="24"/>
          <w:lang w:bidi="hi-IN"/>
        </w:rPr>
        <w:t>Furthermore, gamma radiation dosages also reduced the percentage of plant survival and seed germination. It was discovered that radiation doses between 200 and 300Gy were advantageous in causing quick cytogenetic changes and average mortality, which may be helpful in upcoming cytological and mutant breeding programs.</w:t>
      </w:r>
    </w:p>
    <w:p w14:paraId="454A47BC" w14:textId="77777777" w:rsidR="003110EB" w:rsidRPr="00470B7E" w:rsidRDefault="003110EB" w:rsidP="00470B7E">
      <w:pPr>
        <w:widowControl/>
        <w:autoSpaceDE/>
        <w:autoSpaceDN/>
        <w:spacing w:line="480" w:lineRule="auto"/>
        <w:ind w:left="1260" w:hanging="1260"/>
        <w:jc w:val="both"/>
        <w:rPr>
          <w:b/>
          <w:bCs/>
          <w:sz w:val="24"/>
          <w:szCs w:val="24"/>
          <w:lang w:bidi="hi-IN"/>
        </w:rPr>
      </w:pPr>
      <w:r w:rsidRPr="00470B7E">
        <w:rPr>
          <w:b/>
          <w:bCs/>
          <w:sz w:val="24"/>
          <w:szCs w:val="24"/>
          <w:lang w:bidi="hi-IN"/>
        </w:rPr>
        <w:t>Ke</w:t>
      </w:r>
      <w:r w:rsidR="00470B7E" w:rsidRPr="00470B7E">
        <w:rPr>
          <w:b/>
          <w:bCs/>
          <w:sz w:val="24"/>
          <w:szCs w:val="24"/>
          <w:lang w:bidi="hi-IN"/>
        </w:rPr>
        <w:t>ywords</w:t>
      </w:r>
      <w:r w:rsidR="00470B7E">
        <w:rPr>
          <w:b/>
          <w:bCs/>
          <w:sz w:val="24"/>
          <w:szCs w:val="24"/>
          <w:lang w:bidi="hi-IN"/>
        </w:rPr>
        <w:t xml:space="preserve">: </w:t>
      </w:r>
      <w:r w:rsidR="00470B7E" w:rsidRPr="00470B7E">
        <w:rPr>
          <w:sz w:val="24"/>
          <w:szCs w:val="24"/>
          <w:lang w:bidi="hi-IN"/>
        </w:rPr>
        <w:t>Gamma</w:t>
      </w:r>
      <w:r w:rsidR="00470B7E">
        <w:rPr>
          <w:sz w:val="24"/>
          <w:szCs w:val="24"/>
          <w:lang w:bidi="hi-IN"/>
        </w:rPr>
        <w:t xml:space="preserve"> </w:t>
      </w:r>
      <w:r w:rsidR="00470B7E" w:rsidRPr="00470B7E">
        <w:rPr>
          <w:sz w:val="24"/>
          <w:szCs w:val="24"/>
          <w:lang w:bidi="hi-IN"/>
        </w:rPr>
        <w:t>rays, meiotic abnormality, coriander, germination, plant survival, chromosome.</w:t>
      </w:r>
    </w:p>
    <w:p w14:paraId="4DAEDD6C" w14:textId="77777777" w:rsidR="00984BDE" w:rsidRPr="00055741" w:rsidRDefault="00055741" w:rsidP="00984BDE">
      <w:pPr>
        <w:pStyle w:val="Heading1"/>
        <w:spacing w:before="100" w:line="480" w:lineRule="auto"/>
        <w:ind w:left="295"/>
        <w:jc w:val="both"/>
        <w:rPr>
          <w:rFonts w:ascii="Times New Roman" w:hAnsi="Times New Roman" w:cs="Times New Roman"/>
          <w:sz w:val="24"/>
          <w:szCs w:val="24"/>
        </w:rPr>
      </w:pPr>
      <w:r w:rsidRPr="00055741">
        <w:rPr>
          <w:rFonts w:ascii="Times New Roman" w:hAnsi="Times New Roman" w:cs="Times New Roman"/>
          <w:color w:val="231F20"/>
          <w:sz w:val="24"/>
          <w:szCs w:val="24"/>
        </w:rPr>
        <w:t>INTRODUCTION</w:t>
      </w:r>
    </w:p>
    <w:p w14:paraId="4871682D" w14:textId="77777777" w:rsidR="00984BDE" w:rsidRDefault="00984BDE" w:rsidP="00055741">
      <w:pPr>
        <w:pStyle w:val="BodyText"/>
        <w:spacing w:before="24" w:line="480" w:lineRule="auto"/>
        <w:ind w:left="294" w:right="110"/>
        <w:jc w:val="both"/>
        <w:rPr>
          <w:iCs/>
          <w:color w:val="231F20"/>
          <w:sz w:val="24"/>
          <w:szCs w:val="24"/>
        </w:rPr>
      </w:pPr>
      <w:r w:rsidRPr="00984BDE">
        <w:rPr>
          <w:iCs/>
          <w:color w:val="231F20"/>
          <w:sz w:val="24"/>
          <w:szCs w:val="24"/>
        </w:rPr>
        <w:t xml:space="preserve">A significant spice and aromatic herb, coriander </w:t>
      </w:r>
      <w:r w:rsidRPr="00984BDE">
        <w:rPr>
          <w:i/>
          <w:color w:val="231F20"/>
          <w:sz w:val="24"/>
          <w:szCs w:val="24"/>
        </w:rPr>
        <w:t>(Coriandrum sativum</w:t>
      </w:r>
      <w:r w:rsidRPr="00984BDE">
        <w:rPr>
          <w:iCs/>
          <w:color w:val="231F20"/>
          <w:sz w:val="24"/>
          <w:szCs w:val="24"/>
        </w:rPr>
        <w:t xml:space="preserve"> L.) is a member of the </w:t>
      </w:r>
      <w:proofErr w:type="spellStart"/>
      <w:r w:rsidRPr="00984BDE">
        <w:rPr>
          <w:iCs/>
          <w:color w:val="231F20"/>
          <w:sz w:val="24"/>
          <w:szCs w:val="24"/>
        </w:rPr>
        <w:lastRenderedPageBreak/>
        <w:t>umbelliferae</w:t>
      </w:r>
      <w:proofErr w:type="spellEnd"/>
      <w:r w:rsidRPr="00984BDE">
        <w:rPr>
          <w:iCs/>
          <w:color w:val="231F20"/>
          <w:sz w:val="24"/>
          <w:szCs w:val="24"/>
        </w:rPr>
        <w:t>/</w:t>
      </w:r>
      <w:proofErr w:type="spellStart"/>
      <w:r w:rsidRPr="00984BDE">
        <w:rPr>
          <w:iCs/>
          <w:color w:val="231F20"/>
          <w:sz w:val="24"/>
          <w:szCs w:val="24"/>
        </w:rPr>
        <w:t>Apiaceae</w:t>
      </w:r>
      <w:proofErr w:type="spellEnd"/>
      <w:r w:rsidRPr="00984BDE">
        <w:rPr>
          <w:iCs/>
          <w:color w:val="231F20"/>
          <w:sz w:val="24"/>
          <w:szCs w:val="24"/>
        </w:rPr>
        <w:t xml:space="preserve"> family. Its green, vitamin- and mineral-rich leaves are added in salads and vegetables, and it is utilized in cooking and medicine.</w:t>
      </w:r>
    </w:p>
    <w:p w14:paraId="41B66E6C" w14:textId="77777777" w:rsidR="00984BDE" w:rsidRDefault="00984BDE" w:rsidP="00055741">
      <w:pPr>
        <w:pStyle w:val="BodyText"/>
        <w:spacing w:before="24" w:line="480" w:lineRule="auto"/>
        <w:ind w:left="294" w:right="110"/>
        <w:jc w:val="both"/>
        <w:rPr>
          <w:iCs/>
          <w:color w:val="231F20"/>
          <w:sz w:val="24"/>
          <w:szCs w:val="24"/>
        </w:rPr>
      </w:pPr>
      <w:r w:rsidRPr="00984BDE">
        <w:rPr>
          <w:iCs/>
          <w:color w:val="231F20"/>
          <w:sz w:val="24"/>
          <w:szCs w:val="24"/>
        </w:rPr>
        <w:t>Essential oils high in linalool are found in seeds. Coriander is grown in India because of its excellent prospects for consumption at home and promising export market, but it also has a low yield potential and generally suffers from a lack of useful variety for key yield features</w:t>
      </w:r>
      <w:r w:rsidRPr="00984BDE">
        <w:rPr>
          <w:i/>
          <w:color w:val="231F20"/>
          <w:sz w:val="24"/>
          <w:szCs w:val="24"/>
        </w:rPr>
        <w:t>.</w:t>
      </w:r>
    </w:p>
    <w:p w14:paraId="0EB70A8A" w14:textId="77777777" w:rsidR="00984BDE" w:rsidRPr="00984BDE" w:rsidRDefault="00984BDE" w:rsidP="00055741">
      <w:pPr>
        <w:pStyle w:val="BodyText"/>
        <w:spacing w:before="24" w:line="480" w:lineRule="auto"/>
        <w:ind w:left="294" w:right="110"/>
        <w:jc w:val="both"/>
        <w:rPr>
          <w:iCs/>
          <w:color w:val="231F20"/>
          <w:sz w:val="24"/>
          <w:szCs w:val="24"/>
        </w:rPr>
      </w:pPr>
      <w:r w:rsidRPr="00984BDE">
        <w:rPr>
          <w:color w:val="231F20"/>
          <w:sz w:val="24"/>
          <w:szCs w:val="24"/>
        </w:rPr>
        <w:t>Owing to its significance, coriander variety needs to be improved in order to yield more. Mutation breeding, which involves changing the genetic makeup of a crop to improve it, has become a crucial tool. The method of DNA repair machinery causes new, random, and heritable mutations to occur during the process of mutation induction, which is caused by mutagens breaking down nuclear DNA.</w:t>
      </w:r>
    </w:p>
    <w:p w14:paraId="1F1C19CA" w14:textId="77777777" w:rsidR="00984BDE" w:rsidRDefault="00984BDE" w:rsidP="00055741">
      <w:pPr>
        <w:pStyle w:val="BodyText"/>
        <w:spacing w:before="24" w:line="480" w:lineRule="auto"/>
        <w:ind w:left="294" w:right="110"/>
        <w:jc w:val="both"/>
        <w:rPr>
          <w:color w:val="231F20"/>
          <w:sz w:val="24"/>
          <w:szCs w:val="24"/>
        </w:rPr>
      </w:pPr>
      <w:r w:rsidRPr="00984BDE">
        <w:rPr>
          <w:color w:val="231F20"/>
          <w:sz w:val="24"/>
          <w:szCs w:val="24"/>
        </w:rPr>
        <w:t>With respect to the radiation magnitude, gamma irradiations typically cause fast DNA damages by producing free radicals in the cells, which then have an impact on the cytology, biochemistry, physiology, and ultimately the morphology of plants (</w:t>
      </w:r>
      <w:proofErr w:type="spellStart"/>
      <w:r w:rsidRPr="00984BDE">
        <w:rPr>
          <w:color w:val="231F20"/>
          <w:sz w:val="24"/>
          <w:szCs w:val="24"/>
        </w:rPr>
        <w:t>Verma</w:t>
      </w:r>
      <w:proofErr w:type="spellEnd"/>
      <w:r w:rsidRPr="00984BDE">
        <w:rPr>
          <w:color w:val="231F20"/>
          <w:sz w:val="24"/>
          <w:szCs w:val="24"/>
        </w:rPr>
        <w:t xml:space="preserve"> and </w:t>
      </w:r>
      <w:proofErr w:type="spellStart"/>
      <w:r w:rsidRPr="00984BDE">
        <w:rPr>
          <w:color w:val="231F20"/>
          <w:sz w:val="24"/>
          <w:szCs w:val="24"/>
        </w:rPr>
        <w:t>Khah</w:t>
      </w:r>
      <w:proofErr w:type="spellEnd"/>
      <w:r w:rsidRPr="00984BDE">
        <w:rPr>
          <w:color w:val="231F20"/>
          <w:sz w:val="24"/>
          <w:szCs w:val="24"/>
        </w:rPr>
        <w:t xml:space="preserve"> 2016). Additionally, gamma rays cause point mutations in genes linked to yield and improve the chances of producing better cultivars by systematic selection strategies among the mutant progenies. Examining the meiotic abnormalities that a mutagen induces in order to determine its clastogenic potential is an effective method of measuring the mutagen's cytotoxicity. Thus, an essential component of the majority of studies on mutant breeding is the examination of cytological anomalies and their effects on a species' genetic system. (Bhat </w:t>
      </w:r>
      <w:r w:rsidRPr="00984BDE">
        <w:rPr>
          <w:i/>
          <w:color w:val="231F20"/>
          <w:sz w:val="24"/>
          <w:szCs w:val="24"/>
        </w:rPr>
        <w:t>et al</w:t>
      </w:r>
      <w:r w:rsidRPr="00984BDE">
        <w:rPr>
          <w:color w:val="231F20"/>
          <w:sz w:val="24"/>
          <w:szCs w:val="24"/>
        </w:rPr>
        <w:t>. 2007, Wani and Anis 2013,</w:t>
      </w:r>
      <w:r w:rsidRPr="00984BDE">
        <w:rPr>
          <w:color w:val="231F20"/>
          <w:spacing w:val="1"/>
          <w:sz w:val="24"/>
          <w:szCs w:val="24"/>
        </w:rPr>
        <w:t xml:space="preserve"> </w:t>
      </w:r>
      <w:r w:rsidR="00805DB2">
        <w:rPr>
          <w:color w:val="231F20"/>
          <w:sz w:val="24"/>
          <w:szCs w:val="24"/>
        </w:rPr>
        <w:t xml:space="preserve">Raina </w:t>
      </w:r>
      <w:r w:rsidR="00F151B2">
        <w:rPr>
          <w:color w:val="231F20"/>
          <w:sz w:val="24"/>
          <w:szCs w:val="24"/>
        </w:rPr>
        <w:t xml:space="preserve">et al </w:t>
      </w:r>
      <w:r w:rsidR="00805DB2">
        <w:rPr>
          <w:color w:val="231F20"/>
          <w:sz w:val="24"/>
          <w:szCs w:val="24"/>
        </w:rPr>
        <w:t>2022</w:t>
      </w:r>
      <w:r w:rsidR="00DF6C3A">
        <w:rPr>
          <w:color w:val="231F20"/>
          <w:sz w:val="24"/>
          <w:szCs w:val="24"/>
        </w:rPr>
        <w:t>, Gulfishan</w:t>
      </w:r>
      <w:r w:rsidR="00F151B2">
        <w:rPr>
          <w:color w:val="231F20"/>
          <w:sz w:val="24"/>
          <w:szCs w:val="24"/>
        </w:rPr>
        <w:t xml:space="preserve"> et al</w:t>
      </w:r>
      <w:r w:rsidR="00DF6C3A">
        <w:rPr>
          <w:color w:val="231F20"/>
          <w:sz w:val="24"/>
          <w:szCs w:val="24"/>
        </w:rPr>
        <w:t xml:space="preserve"> 2023</w:t>
      </w:r>
      <w:r w:rsidRPr="00984BDE">
        <w:rPr>
          <w:color w:val="231F20"/>
          <w:sz w:val="24"/>
          <w:szCs w:val="24"/>
        </w:rPr>
        <w:t>).</w:t>
      </w:r>
    </w:p>
    <w:p w14:paraId="14162311" w14:textId="77777777" w:rsidR="00055741" w:rsidRDefault="00984BDE" w:rsidP="00055741">
      <w:pPr>
        <w:pStyle w:val="BodyText"/>
        <w:spacing w:before="24" w:line="480" w:lineRule="auto"/>
        <w:ind w:left="294" w:right="110"/>
        <w:jc w:val="both"/>
        <w:rPr>
          <w:color w:val="231F20"/>
          <w:sz w:val="24"/>
          <w:szCs w:val="24"/>
        </w:rPr>
      </w:pPr>
      <w:r w:rsidRPr="00984BDE">
        <w:rPr>
          <w:color w:val="231F20"/>
          <w:sz w:val="24"/>
          <w:szCs w:val="24"/>
        </w:rPr>
        <w:t xml:space="preserve">Mutagenic research </w:t>
      </w:r>
      <w:r w:rsidR="00F151B2" w:rsidRPr="00984BDE">
        <w:rPr>
          <w:color w:val="231F20"/>
          <w:sz w:val="24"/>
          <w:szCs w:val="24"/>
        </w:rPr>
        <w:t>is</w:t>
      </w:r>
      <w:r w:rsidRPr="00984BDE">
        <w:rPr>
          <w:color w:val="231F20"/>
          <w:sz w:val="24"/>
          <w:szCs w:val="24"/>
        </w:rPr>
        <w:t xml:space="preserve"> required for </w:t>
      </w:r>
      <w:r w:rsidRPr="00984BDE">
        <w:rPr>
          <w:i/>
          <w:iCs/>
          <w:color w:val="231F20"/>
          <w:sz w:val="24"/>
          <w:szCs w:val="24"/>
        </w:rPr>
        <w:t xml:space="preserve">Coriander </w:t>
      </w:r>
      <w:r w:rsidRPr="00984BDE">
        <w:rPr>
          <w:color w:val="231F20"/>
          <w:sz w:val="24"/>
          <w:szCs w:val="24"/>
        </w:rPr>
        <w:t xml:space="preserve">in order to create plant kinds with enhanced quality attributes. Salve (2023) investigated the effectiveness and </w:t>
      </w:r>
      <w:r w:rsidR="00F151B2" w:rsidRPr="00984BDE">
        <w:rPr>
          <w:color w:val="231F20"/>
          <w:sz w:val="24"/>
          <w:szCs w:val="24"/>
        </w:rPr>
        <w:t>efficiency</w:t>
      </w:r>
      <w:r w:rsidRPr="00984BDE">
        <w:rPr>
          <w:color w:val="231F20"/>
          <w:sz w:val="24"/>
          <w:szCs w:val="24"/>
        </w:rPr>
        <w:t xml:space="preserve"> of EMS and gamma </w:t>
      </w:r>
      <w:proofErr w:type="gramStart"/>
      <w:r w:rsidRPr="00984BDE">
        <w:rPr>
          <w:color w:val="231F20"/>
          <w:sz w:val="24"/>
          <w:szCs w:val="24"/>
        </w:rPr>
        <w:t>rays  on</w:t>
      </w:r>
      <w:proofErr w:type="gramEnd"/>
      <w:r w:rsidRPr="00984BDE">
        <w:rPr>
          <w:color w:val="231F20"/>
          <w:sz w:val="24"/>
          <w:szCs w:val="24"/>
        </w:rPr>
        <w:t xml:space="preserve"> </w:t>
      </w:r>
      <w:r w:rsidRPr="0024736E">
        <w:rPr>
          <w:i/>
          <w:iCs/>
          <w:color w:val="231F20"/>
          <w:sz w:val="24"/>
          <w:szCs w:val="24"/>
        </w:rPr>
        <w:t>Coriander</w:t>
      </w:r>
      <w:r w:rsidRPr="00984BDE">
        <w:rPr>
          <w:color w:val="231F20"/>
          <w:sz w:val="24"/>
          <w:szCs w:val="24"/>
        </w:rPr>
        <w:t xml:space="preserve"> variety CS-287. </w:t>
      </w:r>
      <w:r w:rsidRPr="00F151B2">
        <w:rPr>
          <w:color w:val="231F20"/>
          <w:sz w:val="24"/>
          <w:szCs w:val="24"/>
        </w:rPr>
        <w:t>Kol</w:t>
      </w:r>
      <w:bookmarkStart w:id="0" w:name="_GoBack"/>
      <w:bookmarkEnd w:id="0"/>
      <w:r w:rsidRPr="00F151B2">
        <w:rPr>
          <w:color w:val="231F20"/>
          <w:sz w:val="24"/>
          <w:szCs w:val="24"/>
        </w:rPr>
        <w:t>he et al. (2020)</w:t>
      </w:r>
      <w:r w:rsidRPr="00984BDE">
        <w:rPr>
          <w:color w:val="231F20"/>
          <w:sz w:val="24"/>
          <w:szCs w:val="24"/>
        </w:rPr>
        <w:t xml:space="preserve"> examined the impact of </w:t>
      </w:r>
      <w:r w:rsidRPr="00984BDE">
        <w:rPr>
          <w:color w:val="231F20"/>
          <w:sz w:val="24"/>
          <w:szCs w:val="24"/>
        </w:rPr>
        <w:lastRenderedPageBreak/>
        <w:t xml:space="preserve">sodium </w:t>
      </w:r>
      <w:proofErr w:type="spellStart"/>
      <w:r w:rsidRPr="00984BDE">
        <w:rPr>
          <w:color w:val="231F20"/>
          <w:sz w:val="24"/>
          <w:szCs w:val="24"/>
        </w:rPr>
        <w:t>azide</w:t>
      </w:r>
      <w:proofErr w:type="spellEnd"/>
      <w:r w:rsidRPr="00984BDE">
        <w:rPr>
          <w:color w:val="231F20"/>
          <w:sz w:val="24"/>
          <w:szCs w:val="24"/>
        </w:rPr>
        <w:t xml:space="preserve"> (SA) and methyl methane sulphonate (MMS) on four varieties of Coriander by </w:t>
      </w:r>
      <w:r w:rsidR="00F151B2" w:rsidRPr="00984BDE">
        <w:rPr>
          <w:color w:val="231F20"/>
          <w:sz w:val="24"/>
          <w:szCs w:val="24"/>
        </w:rPr>
        <w:t>examining</w:t>
      </w:r>
      <w:r w:rsidRPr="00984BDE">
        <w:rPr>
          <w:color w:val="231F20"/>
          <w:sz w:val="24"/>
          <w:szCs w:val="24"/>
        </w:rPr>
        <w:t xml:space="preserve"> plant growth and seed germination. Less is known, though, about how gamma radiation affects chromosomal activity. Thus, the goal of the current study is to evaluate the meiotic abnormalities and their subsequent effects on pollen fertility while examining the carcinogenic effect of gamma irradiations in </w:t>
      </w:r>
      <w:r w:rsidRPr="008A4DC8">
        <w:rPr>
          <w:color w:val="231F20"/>
          <w:sz w:val="24"/>
          <w:szCs w:val="24"/>
        </w:rPr>
        <w:t>Coriander.</w:t>
      </w:r>
      <w:r w:rsidRPr="00984BDE">
        <w:rPr>
          <w:color w:val="231F20"/>
          <w:sz w:val="24"/>
          <w:szCs w:val="24"/>
        </w:rPr>
        <w:t xml:space="preserve"> The current investigation can be used to calculate the ideal dose of gamma radiation to induce fast genetic changes in this spice and vegetable crop.</w:t>
      </w:r>
    </w:p>
    <w:p w14:paraId="304BFDFF" w14:textId="77777777" w:rsidR="00055741" w:rsidRDefault="00055741" w:rsidP="00055741">
      <w:pPr>
        <w:pStyle w:val="BodyText"/>
        <w:spacing w:before="24" w:line="480" w:lineRule="auto"/>
        <w:ind w:left="294" w:right="110"/>
        <w:jc w:val="both"/>
        <w:rPr>
          <w:b/>
          <w:bCs/>
          <w:color w:val="231F20"/>
          <w:sz w:val="24"/>
          <w:szCs w:val="24"/>
        </w:rPr>
      </w:pPr>
      <w:r w:rsidRPr="00055741">
        <w:rPr>
          <w:b/>
          <w:bCs/>
          <w:color w:val="231F20"/>
          <w:sz w:val="24"/>
          <w:szCs w:val="24"/>
        </w:rPr>
        <w:t>MATERIALS AND METHODS</w:t>
      </w:r>
    </w:p>
    <w:p w14:paraId="6E5BE9AA" w14:textId="77777777" w:rsidR="00055741" w:rsidRDefault="00055741" w:rsidP="00055741">
      <w:pPr>
        <w:pStyle w:val="BodyText"/>
        <w:spacing w:before="24" w:line="480" w:lineRule="auto"/>
        <w:ind w:left="294" w:right="110"/>
        <w:jc w:val="both"/>
        <w:rPr>
          <w:color w:val="231F20"/>
          <w:sz w:val="24"/>
          <w:szCs w:val="24"/>
        </w:rPr>
      </w:pPr>
      <w:r>
        <w:rPr>
          <w:color w:val="231F20"/>
          <w:sz w:val="24"/>
          <w:szCs w:val="24"/>
        </w:rPr>
        <w:t xml:space="preserve">Indian </w:t>
      </w:r>
      <w:r w:rsidR="005A7C2C">
        <w:rPr>
          <w:color w:val="231F20"/>
          <w:sz w:val="24"/>
          <w:szCs w:val="24"/>
        </w:rPr>
        <w:t>A</w:t>
      </w:r>
      <w:r>
        <w:rPr>
          <w:color w:val="231F20"/>
          <w:sz w:val="24"/>
          <w:szCs w:val="24"/>
        </w:rPr>
        <w:t xml:space="preserve">gricultural </w:t>
      </w:r>
      <w:r w:rsidR="005A7C2C">
        <w:rPr>
          <w:color w:val="231F20"/>
          <w:sz w:val="24"/>
          <w:szCs w:val="24"/>
        </w:rPr>
        <w:t>R</w:t>
      </w:r>
      <w:r>
        <w:rPr>
          <w:color w:val="231F20"/>
          <w:sz w:val="24"/>
          <w:szCs w:val="24"/>
        </w:rPr>
        <w:t>esearch Institu</w:t>
      </w:r>
      <w:r w:rsidR="005A7C2C">
        <w:rPr>
          <w:color w:val="231F20"/>
          <w:sz w:val="24"/>
          <w:szCs w:val="24"/>
        </w:rPr>
        <w:t xml:space="preserve">te (IARI) New Delhi, provided the </w:t>
      </w:r>
      <w:r>
        <w:rPr>
          <w:color w:val="231F20"/>
          <w:sz w:val="24"/>
          <w:szCs w:val="24"/>
        </w:rPr>
        <w:t xml:space="preserve">dry and healthy seeds of </w:t>
      </w:r>
      <w:r w:rsidRPr="00055741">
        <w:rPr>
          <w:i/>
          <w:iCs/>
          <w:color w:val="231F20"/>
          <w:sz w:val="24"/>
          <w:szCs w:val="24"/>
        </w:rPr>
        <w:t>Coriander sativum</w:t>
      </w:r>
      <w:r>
        <w:rPr>
          <w:color w:val="231F20"/>
          <w:sz w:val="24"/>
          <w:szCs w:val="24"/>
        </w:rPr>
        <w:t xml:space="preserve"> variety CO-1</w:t>
      </w:r>
      <w:r w:rsidR="005A7C2C">
        <w:rPr>
          <w:color w:val="231F20"/>
          <w:sz w:val="24"/>
          <w:szCs w:val="24"/>
        </w:rPr>
        <w:t xml:space="preserve">. </w:t>
      </w:r>
      <w:r w:rsidR="005A7C2C" w:rsidRPr="005A7C2C">
        <w:rPr>
          <w:color w:val="231F20"/>
          <w:sz w:val="24"/>
          <w:szCs w:val="24"/>
        </w:rPr>
        <w:t>The seeds were subjected to several doses of gamma irradiation at the Bhabha Atomic Research Centre located in Mumbai. The following are the radiation doses:</w:t>
      </w:r>
      <w:r w:rsidR="005A7C2C">
        <w:rPr>
          <w:color w:val="231F20"/>
          <w:sz w:val="24"/>
          <w:szCs w:val="24"/>
        </w:rPr>
        <w:t xml:space="preserve"> 100</w:t>
      </w:r>
      <w:r w:rsidR="005A7C2C" w:rsidRPr="005A7C2C">
        <w:rPr>
          <w:color w:val="231F20"/>
          <w:sz w:val="24"/>
          <w:szCs w:val="24"/>
        </w:rPr>
        <w:t xml:space="preserve">, </w:t>
      </w:r>
      <w:r w:rsidR="005A7C2C">
        <w:rPr>
          <w:color w:val="231F20"/>
          <w:sz w:val="24"/>
          <w:szCs w:val="24"/>
        </w:rPr>
        <w:t>200</w:t>
      </w:r>
      <w:r w:rsidR="005A7C2C" w:rsidRPr="005A7C2C">
        <w:rPr>
          <w:color w:val="231F20"/>
          <w:sz w:val="24"/>
          <w:szCs w:val="24"/>
        </w:rPr>
        <w:t>, 3</w:t>
      </w:r>
      <w:r w:rsidR="005A7C2C">
        <w:rPr>
          <w:color w:val="231F20"/>
          <w:sz w:val="24"/>
          <w:szCs w:val="24"/>
        </w:rPr>
        <w:t>00</w:t>
      </w:r>
      <w:r w:rsidR="005A7C2C" w:rsidRPr="005A7C2C">
        <w:rPr>
          <w:color w:val="231F20"/>
          <w:sz w:val="24"/>
          <w:szCs w:val="24"/>
        </w:rPr>
        <w:t>, 40</w:t>
      </w:r>
      <w:r w:rsidR="005A7C2C">
        <w:rPr>
          <w:color w:val="231F20"/>
          <w:sz w:val="24"/>
          <w:szCs w:val="24"/>
        </w:rPr>
        <w:t>0</w:t>
      </w:r>
      <w:r w:rsidR="005A7C2C" w:rsidRPr="005A7C2C">
        <w:rPr>
          <w:color w:val="231F20"/>
          <w:sz w:val="24"/>
          <w:szCs w:val="24"/>
        </w:rPr>
        <w:t>, and 50</w:t>
      </w:r>
      <w:r w:rsidR="005A7C2C">
        <w:rPr>
          <w:color w:val="231F20"/>
          <w:sz w:val="24"/>
          <w:szCs w:val="24"/>
        </w:rPr>
        <w:t xml:space="preserve">0Gy. </w:t>
      </w:r>
      <w:r w:rsidR="005A7C2C" w:rsidRPr="005A7C2C">
        <w:rPr>
          <w:color w:val="231F20"/>
          <w:sz w:val="24"/>
          <w:szCs w:val="24"/>
        </w:rPr>
        <w:t>To grow M1 progenies, the control and irradiation seeds were subsequently sowed in the field in three duplicates for each dose. There were 150 seeds in each treatment and control group with 50 seeds in every replicate. Following that, the treated offspring were evaluated for pollen fertility, chromosome aberrations, plant survival, and seed germination. Three and five weeks following sowing, respectively, were used to record the rate of germination and survival percentages.</w:t>
      </w:r>
      <w:r w:rsidR="005A7C2C">
        <w:rPr>
          <w:color w:val="231F20"/>
          <w:sz w:val="24"/>
          <w:szCs w:val="24"/>
        </w:rPr>
        <w:t xml:space="preserve"> </w:t>
      </w:r>
      <w:r w:rsidR="005A7C2C" w:rsidRPr="005A7C2C">
        <w:rPr>
          <w:color w:val="231F20"/>
          <w:sz w:val="24"/>
          <w:szCs w:val="24"/>
        </w:rPr>
        <w:t xml:space="preserve">In order to determine the extent of induced variations, the data for germination and survival was evaluated using a variety of statistical techniques (including standard deviation, coefficient of variation, and ANOVA), as described by Gomez and Gomez (1983). The significant differences between the treatment and control groups were also found using Fischer's Least Significant Difference (LSD) test (P&lt;0.01). Furthermore, the simple connection between the percentage of plants that survived and the overall percentage of meiotic abnormalities was </w:t>
      </w:r>
      <w:r w:rsidR="005A7C2C" w:rsidRPr="005A7C2C">
        <w:rPr>
          <w:color w:val="231F20"/>
          <w:sz w:val="24"/>
          <w:szCs w:val="24"/>
        </w:rPr>
        <w:lastRenderedPageBreak/>
        <w:t>estimated using Pearson's correlation coefficient.</w:t>
      </w:r>
      <w:r w:rsidR="005A7C2C">
        <w:rPr>
          <w:color w:val="231F20"/>
          <w:sz w:val="24"/>
          <w:szCs w:val="24"/>
        </w:rPr>
        <w:t xml:space="preserve"> </w:t>
      </w:r>
      <w:r w:rsidR="005A7C2C" w:rsidRPr="005A7C2C">
        <w:rPr>
          <w:color w:val="231F20"/>
          <w:sz w:val="24"/>
          <w:szCs w:val="24"/>
        </w:rPr>
        <w:t>Young flower buds of</w:t>
      </w:r>
      <w:proofErr w:type="gramStart"/>
      <w:r w:rsidR="005A7C2C" w:rsidRPr="005A7C2C">
        <w:rPr>
          <w:color w:val="231F20"/>
          <w:sz w:val="24"/>
          <w:szCs w:val="24"/>
        </w:rPr>
        <w:t>  the</w:t>
      </w:r>
      <w:proofErr w:type="gramEnd"/>
      <w:r w:rsidR="005A7C2C" w:rsidRPr="005A7C2C">
        <w:rPr>
          <w:color w:val="231F20"/>
          <w:sz w:val="24"/>
          <w:szCs w:val="24"/>
        </w:rPr>
        <w:t xml:space="preserve"> proper size were gathered between 6 and 8 a.m. for the meiotic examination. They were then fixed right away in freshly made </w:t>
      </w:r>
      <w:proofErr w:type="spellStart"/>
      <w:r w:rsidR="005A7C2C" w:rsidRPr="005A7C2C">
        <w:rPr>
          <w:color w:val="231F20"/>
          <w:sz w:val="24"/>
          <w:szCs w:val="24"/>
        </w:rPr>
        <w:t>Carnoy's</w:t>
      </w:r>
      <w:proofErr w:type="spellEnd"/>
      <w:r w:rsidR="005A7C2C" w:rsidRPr="005A7C2C">
        <w:rPr>
          <w:color w:val="231F20"/>
          <w:sz w:val="24"/>
          <w:szCs w:val="24"/>
        </w:rPr>
        <w:t xml:space="preserve"> fixative (ethanol and acetic acid in a 3:1 ratio) and kept in a refrigerator for at least 24 hours. The removed anthers from appropriate buds were crushed in a 2% iron acetocarmine drop. For every treatment, the meiotic stages of several chromosomal abnormalities were examined in over 100 PMCs. Using an Olympus microscope, the readily identifiable chromosomal abnormalities from obviously dividing pollen mother cells (PMCs) in each radiation treatment were noted which subsequently used to calculate the percentage of the chromosomal anomalies.</w:t>
      </w:r>
    </w:p>
    <w:p w14:paraId="57200A47" w14:textId="77777777" w:rsidR="005263C6" w:rsidRPr="005263C6" w:rsidRDefault="005263C6" w:rsidP="00055741">
      <w:pPr>
        <w:pStyle w:val="BodyText"/>
        <w:spacing w:before="24" w:line="480" w:lineRule="auto"/>
        <w:ind w:left="294" w:right="110"/>
        <w:jc w:val="both"/>
        <w:rPr>
          <w:b/>
          <w:bCs/>
          <w:color w:val="231F20"/>
          <w:sz w:val="24"/>
          <w:szCs w:val="24"/>
        </w:rPr>
      </w:pPr>
      <w:r w:rsidRPr="005263C6">
        <w:rPr>
          <w:b/>
          <w:bCs/>
          <w:color w:val="231F20"/>
          <w:sz w:val="24"/>
          <w:szCs w:val="24"/>
        </w:rPr>
        <w:t>RESULTS</w:t>
      </w:r>
    </w:p>
    <w:p w14:paraId="033738D0" w14:textId="77777777" w:rsidR="00A53D67" w:rsidRDefault="00394652" w:rsidP="00055741">
      <w:pPr>
        <w:pStyle w:val="BodyText"/>
        <w:spacing w:before="24" w:line="480" w:lineRule="auto"/>
        <w:ind w:left="294" w:right="110"/>
        <w:jc w:val="both"/>
        <w:rPr>
          <w:color w:val="231F20"/>
          <w:sz w:val="24"/>
          <w:szCs w:val="24"/>
        </w:rPr>
      </w:pPr>
      <w:r w:rsidRPr="00394652">
        <w:rPr>
          <w:color w:val="231F20"/>
          <w:sz w:val="24"/>
          <w:szCs w:val="24"/>
        </w:rPr>
        <w:t>The PMCs of control plants had normal meiosis; during diakinesis, they displayed regular 11 bivalents (2n=22), and at anaphase I, they segregated normally. On the other hand, different kinds of chromosome anomalies including chromatin bridges, lagging chromosomes, disturbed polarity, univalents and multivalents, unorientation of chromosomes, precocious migration of chromosome separation, and micronuclei, were observed at various phases of meiotic division in gamma-irradiated seed plants. Table 2 presents information on different meiotic aberrations at metaphase I/II and anaphase/telophase I/II.</w:t>
      </w:r>
      <w:r w:rsidR="00240D1A">
        <w:rPr>
          <w:color w:val="231F20"/>
          <w:sz w:val="24"/>
          <w:szCs w:val="24"/>
        </w:rPr>
        <w:t xml:space="preserve"> </w:t>
      </w:r>
      <w:r w:rsidR="00240D1A" w:rsidRPr="00240D1A">
        <w:rPr>
          <w:color w:val="231F20"/>
          <w:sz w:val="24"/>
          <w:szCs w:val="24"/>
        </w:rPr>
        <w:t xml:space="preserve">All of the seed-irradiated progenies regularly showed evidence of chromosomal stickiness in the PMCs during metaphase I/II. At </w:t>
      </w:r>
      <w:r w:rsidR="00D971B4">
        <w:rPr>
          <w:color w:val="231F20"/>
          <w:sz w:val="24"/>
          <w:szCs w:val="24"/>
        </w:rPr>
        <w:t>400Gy</w:t>
      </w:r>
      <w:r w:rsidR="00D971B4" w:rsidRPr="00240D1A">
        <w:rPr>
          <w:color w:val="231F20"/>
          <w:sz w:val="24"/>
          <w:szCs w:val="24"/>
        </w:rPr>
        <w:t xml:space="preserve"> </w:t>
      </w:r>
      <w:r w:rsidR="00240D1A" w:rsidRPr="00240D1A">
        <w:rPr>
          <w:color w:val="231F20"/>
          <w:sz w:val="24"/>
          <w:szCs w:val="24"/>
        </w:rPr>
        <w:t>of radiation exposure (</w:t>
      </w:r>
      <w:r w:rsidR="00D971B4">
        <w:rPr>
          <w:color w:val="231F20"/>
          <w:sz w:val="24"/>
          <w:szCs w:val="24"/>
        </w:rPr>
        <w:t>6.0</w:t>
      </w:r>
      <w:r w:rsidR="00240D1A" w:rsidRPr="00240D1A">
        <w:rPr>
          <w:color w:val="231F20"/>
          <w:sz w:val="24"/>
          <w:szCs w:val="24"/>
        </w:rPr>
        <w:t xml:space="preserve">5%), the stickiness was highest, subsequent to </w:t>
      </w:r>
      <w:r w:rsidR="00D971B4">
        <w:rPr>
          <w:color w:val="231F20"/>
          <w:sz w:val="24"/>
          <w:szCs w:val="24"/>
        </w:rPr>
        <w:t>300Gy</w:t>
      </w:r>
      <w:r w:rsidR="00D971B4" w:rsidRPr="00240D1A">
        <w:rPr>
          <w:color w:val="231F20"/>
          <w:sz w:val="24"/>
          <w:szCs w:val="24"/>
        </w:rPr>
        <w:t xml:space="preserve"> </w:t>
      </w:r>
      <w:r w:rsidR="00240D1A" w:rsidRPr="00240D1A">
        <w:rPr>
          <w:color w:val="231F20"/>
          <w:sz w:val="24"/>
          <w:szCs w:val="24"/>
        </w:rPr>
        <w:t>(</w:t>
      </w:r>
      <w:r w:rsidR="00D971B4">
        <w:rPr>
          <w:color w:val="231F20"/>
          <w:sz w:val="24"/>
          <w:szCs w:val="24"/>
        </w:rPr>
        <w:t>4</w:t>
      </w:r>
      <w:r w:rsidR="00240D1A" w:rsidRPr="00240D1A">
        <w:rPr>
          <w:color w:val="231F20"/>
          <w:sz w:val="24"/>
          <w:szCs w:val="24"/>
        </w:rPr>
        <w:t xml:space="preserve">.36%) and </w:t>
      </w:r>
      <w:r w:rsidR="00D971B4">
        <w:rPr>
          <w:color w:val="231F20"/>
          <w:sz w:val="24"/>
          <w:szCs w:val="24"/>
        </w:rPr>
        <w:t>200GY</w:t>
      </w:r>
      <w:r w:rsidR="00240D1A" w:rsidRPr="00240D1A">
        <w:rPr>
          <w:color w:val="231F20"/>
          <w:sz w:val="24"/>
          <w:szCs w:val="24"/>
        </w:rPr>
        <w:t xml:space="preserve"> (4.26%). When there is chromatin stickiness, some cells exhibit a single chromatin mass including every </w:t>
      </w:r>
      <w:proofErr w:type="gramStart"/>
      <w:r w:rsidR="00240D1A" w:rsidRPr="00240D1A">
        <w:rPr>
          <w:color w:val="231F20"/>
          <w:sz w:val="24"/>
          <w:szCs w:val="24"/>
        </w:rPr>
        <w:t>bivalents</w:t>
      </w:r>
      <w:proofErr w:type="gramEnd"/>
      <w:r w:rsidR="00240D1A" w:rsidRPr="00240D1A">
        <w:rPr>
          <w:color w:val="231F20"/>
          <w:sz w:val="24"/>
          <w:szCs w:val="24"/>
        </w:rPr>
        <w:t xml:space="preserve"> at metaphase-I, or the chromosomes either clump together in distinct groups. The PMCs at the metaphase of treated plants in the current study had a varied broad range of </w:t>
      </w:r>
      <w:r w:rsidR="00240D1A" w:rsidRPr="00240D1A">
        <w:rPr>
          <w:color w:val="231F20"/>
          <w:sz w:val="24"/>
          <w:szCs w:val="24"/>
        </w:rPr>
        <w:lastRenderedPageBreak/>
        <w:t>multivalents, having a greater prevalence seen among irradiation progenies of 40</w:t>
      </w:r>
      <w:r w:rsidR="00D971B4">
        <w:rPr>
          <w:color w:val="231F20"/>
          <w:sz w:val="24"/>
          <w:szCs w:val="24"/>
        </w:rPr>
        <w:t>0Gy</w:t>
      </w:r>
      <w:r w:rsidR="00240D1A" w:rsidRPr="00240D1A">
        <w:rPr>
          <w:color w:val="231F20"/>
          <w:sz w:val="24"/>
          <w:szCs w:val="24"/>
        </w:rPr>
        <w:t xml:space="preserve"> (</w:t>
      </w:r>
      <w:r w:rsidR="00D971B4">
        <w:rPr>
          <w:color w:val="231F20"/>
          <w:sz w:val="24"/>
          <w:szCs w:val="24"/>
        </w:rPr>
        <w:t>4</w:t>
      </w:r>
      <w:r w:rsidR="00240D1A" w:rsidRPr="00240D1A">
        <w:rPr>
          <w:color w:val="231F20"/>
          <w:sz w:val="24"/>
          <w:szCs w:val="24"/>
        </w:rPr>
        <w:t>.57%) and 35kR (3.</w:t>
      </w:r>
      <w:r w:rsidR="00D971B4">
        <w:rPr>
          <w:color w:val="231F20"/>
          <w:sz w:val="24"/>
          <w:szCs w:val="24"/>
        </w:rPr>
        <w:t>66</w:t>
      </w:r>
      <w:r w:rsidR="00240D1A" w:rsidRPr="00240D1A">
        <w:rPr>
          <w:color w:val="231F20"/>
          <w:sz w:val="24"/>
          <w:szCs w:val="24"/>
        </w:rPr>
        <w:t xml:space="preserve">%). It was noticed that the </w:t>
      </w:r>
      <w:proofErr w:type="spellStart"/>
      <w:r w:rsidR="00240D1A" w:rsidRPr="00240D1A">
        <w:rPr>
          <w:color w:val="231F20"/>
          <w:sz w:val="24"/>
          <w:szCs w:val="24"/>
        </w:rPr>
        <w:t>multivalents</w:t>
      </w:r>
      <w:proofErr w:type="spellEnd"/>
      <w:r w:rsidR="00240D1A" w:rsidRPr="00240D1A">
        <w:rPr>
          <w:color w:val="231F20"/>
          <w:sz w:val="24"/>
          <w:szCs w:val="24"/>
        </w:rPr>
        <w:t xml:space="preserve"> were both </w:t>
      </w:r>
      <w:proofErr w:type="spellStart"/>
      <w:r w:rsidR="00240D1A" w:rsidRPr="00240D1A">
        <w:rPr>
          <w:color w:val="231F20"/>
          <w:sz w:val="24"/>
          <w:szCs w:val="24"/>
        </w:rPr>
        <w:t>hexavalents</w:t>
      </w:r>
      <w:proofErr w:type="spellEnd"/>
      <w:r w:rsidR="00240D1A" w:rsidRPr="00240D1A">
        <w:rPr>
          <w:color w:val="231F20"/>
          <w:sz w:val="24"/>
          <w:szCs w:val="24"/>
        </w:rPr>
        <w:t xml:space="preserve"> and quadrivalent.</w:t>
      </w:r>
      <w:r w:rsidR="00240D1A">
        <w:rPr>
          <w:color w:val="231F20"/>
          <w:sz w:val="24"/>
          <w:szCs w:val="24"/>
        </w:rPr>
        <w:t xml:space="preserve"> </w:t>
      </w:r>
      <w:r w:rsidR="00240D1A" w:rsidRPr="00240D1A">
        <w:rPr>
          <w:color w:val="231F20"/>
          <w:sz w:val="24"/>
          <w:szCs w:val="24"/>
        </w:rPr>
        <w:t>In addition to multivalents, gamma-irradiated offspring also included varying spectra of PMCs featuring univalents at metaphase-I. In general, the univalent stay far from metaphasic plates as they approach the cell's edge. In progenies treated with 20</w:t>
      </w:r>
      <w:r w:rsidR="00D971B4">
        <w:rPr>
          <w:color w:val="231F20"/>
          <w:sz w:val="24"/>
          <w:szCs w:val="24"/>
        </w:rPr>
        <w:t>0</w:t>
      </w:r>
      <w:r w:rsidR="00240D1A" w:rsidRPr="00240D1A">
        <w:rPr>
          <w:color w:val="231F20"/>
          <w:sz w:val="24"/>
          <w:szCs w:val="24"/>
        </w:rPr>
        <w:t xml:space="preserve"> </w:t>
      </w:r>
      <w:r w:rsidR="00D971B4">
        <w:rPr>
          <w:color w:val="231F20"/>
          <w:sz w:val="24"/>
          <w:szCs w:val="24"/>
        </w:rPr>
        <w:t>Gy</w:t>
      </w:r>
      <w:r w:rsidR="00240D1A" w:rsidRPr="00240D1A">
        <w:rPr>
          <w:color w:val="231F20"/>
          <w:sz w:val="24"/>
          <w:szCs w:val="24"/>
        </w:rPr>
        <w:t xml:space="preserve"> and </w:t>
      </w:r>
      <w:r w:rsidR="00D971B4">
        <w:rPr>
          <w:color w:val="231F20"/>
          <w:sz w:val="24"/>
          <w:szCs w:val="24"/>
        </w:rPr>
        <w:t>300Gy</w:t>
      </w:r>
      <w:r w:rsidR="00240D1A" w:rsidRPr="00240D1A">
        <w:rPr>
          <w:color w:val="231F20"/>
          <w:sz w:val="24"/>
          <w:szCs w:val="24"/>
        </w:rPr>
        <w:t>, the percentage of univalents varied from 0.</w:t>
      </w:r>
      <w:r w:rsidR="00D971B4">
        <w:rPr>
          <w:color w:val="231F20"/>
          <w:sz w:val="24"/>
          <w:szCs w:val="24"/>
        </w:rPr>
        <w:t>9</w:t>
      </w:r>
      <w:r w:rsidR="00240D1A" w:rsidRPr="00240D1A">
        <w:rPr>
          <w:color w:val="231F20"/>
          <w:sz w:val="24"/>
          <w:szCs w:val="24"/>
        </w:rPr>
        <w:t>6% to 1.</w:t>
      </w:r>
      <w:r w:rsidR="00D971B4">
        <w:rPr>
          <w:color w:val="231F20"/>
          <w:sz w:val="24"/>
          <w:szCs w:val="24"/>
        </w:rPr>
        <w:t>12</w:t>
      </w:r>
      <w:r w:rsidR="00240D1A" w:rsidRPr="00240D1A">
        <w:rPr>
          <w:color w:val="231F20"/>
          <w:sz w:val="24"/>
          <w:szCs w:val="24"/>
        </w:rPr>
        <w:t>%, respectively. Anaphase migration and chromosomal separation were accompanied by a variety of different meiotic irregularities. Unoriented or stray bivalents were also detected during metaphase-I, with a range of 1.</w:t>
      </w:r>
      <w:r w:rsidR="00D971B4">
        <w:rPr>
          <w:color w:val="231F20"/>
          <w:sz w:val="24"/>
          <w:szCs w:val="24"/>
        </w:rPr>
        <w:t>77</w:t>
      </w:r>
      <w:r w:rsidR="00240D1A" w:rsidRPr="00240D1A">
        <w:rPr>
          <w:color w:val="231F20"/>
          <w:sz w:val="24"/>
          <w:szCs w:val="24"/>
        </w:rPr>
        <w:t>% to 4.</w:t>
      </w:r>
      <w:r w:rsidR="00D971B4">
        <w:rPr>
          <w:color w:val="231F20"/>
          <w:sz w:val="24"/>
          <w:szCs w:val="24"/>
        </w:rPr>
        <w:t>38</w:t>
      </w:r>
      <w:r w:rsidR="00240D1A" w:rsidRPr="00240D1A">
        <w:rPr>
          <w:color w:val="231F20"/>
          <w:sz w:val="24"/>
          <w:szCs w:val="24"/>
        </w:rPr>
        <w:t>% in progenies treated with 1</w:t>
      </w:r>
      <w:r w:rsidR="00D971B4">
        <w:rPr>
          <w:color w:val="231F20"/>
          <w:sz w:val="24"/>
          <w:szCs w:val="24"/>
        </w:rPr>
        <w:t>00Gy</w:t>
      </w:r>
      <w:r w:rsidR="00240D1A" w:rsidRPr="00240D1A">
        <w:rPr>
          <w:color w:val="231F20"/>
          <w:sz w:val="24"/>
          <w:szCs w:val="24"/>
        </w:rPr>
        <w:t xml:space="preserve"> and 4</w:t>
      </w:r>
      <w:r w:rsidR="00D971B4">
        <w:rPr>
          <w:color w:val="231F20"/>
          <w:sz w:val="24"/>
          <w:szCs w:val="24"/>
        </w:rPr>
        <w:t>0</w:t>
      </w:r>
      <w:r w:rsidR="00240D1A" w:rsidRPr="00240D1A">
        <w:rPr>
          <w:color w:val="231F20"/>
          <w:sz w:val="24"/>
          <w:szCs w:val="24"/>
        </w:rPr>
        <w:t>0</w:t>
      </w:r>
      <w:r w:rsidR="00D971B4">
        <w:rPr>
          <w:color w:val="231F20"/>
          <w:sz w:val="24"/>
          <w:szCs w:val="24"/>
        </w:rPr>
        <w:t>Gy</w:t>
      </w:r>
      <w:r w:rsidR="00240D1A" w:rsidRPr="00240D1A">
        <w:rPr>
          <w:color w:val="231F20"/>
          <w:sz w:val="24"/>
          <w:szCs w:val="24"/>
        </w:rPr>
        <w:t>. Similarly, the early or premature migration of chromosomes in the direction of the poles was also clearly seen in the PMCs at metaphase stage of the seed offspring treated with gamma radiation.</w:t>
      </w:r>
      <w:r w:rsidR="008C4B44">
        <w:rPr>
          <w:color w:val="231F20"/>
          <w:sz w:val="24"/>
          <w:szCs w:val="24"/>
        </w:rPr>
        <w:t xml:space="preserve"> </w:t>
      </w:r>
      <w:r w:rsidR="008C4B44" w:rsidRPr="008C4B44">
        <w:rPr>
          <w:color w:val="231F20"/>
          <w:sz w:val="24"/>
          <w:szCs w:val="24"/>
        </w:rPr>
        <w:t>At 40</w:t>
      </w:r>
      <w:r w:rsidR="00D971B4">
        <w:rPr>
          <w:color w:val="231F20"/>
          <w:sz w:val="24"/>
          <w:szCs w:val="24"/>
        </w:rPr>
        <w:t>0Gy</w:t>
      </w:r>
      <w:r w:rsidR="008C4B44" w:rsidRPr="008C4B44">
        <w:rPr>
          <w:color w:val="231F20"/>
          <w:sz w:val="24"/>
          <w:szCs w:val="24"/>
        </w:rPr>
        <w:t xml:space="preserve"> gamma irradiation dose, the highest frequency (</w:t>
      </w:r>
      <w:r w:rsidR="00D971B4">
        <w:rPr>
          <w:color w:val="231F20"/>
          <w:sz w:val="24"/>
          <w:szCs w:val="24"/>
        </w:rPr>
        <w:t>3</w:t>
      </w:r>
      <w:r w:rsidR="008C4B44" w:rsidRPr="008C4B44">
        <w:rPr>
          <w:color w:val="231F20"/>
          <w:sz w:val="24"/>
          <w:szCs w:val="24"/>
        </w:rPr>
        <w:t>.68%), of PMCs exhibiting premature chromosomal movement was noted, next to 3</w:t>
      </w:r>
      <w:r w:rsidR="00D971B4">
        <w:rPr>
          <w:color w:val="231F20"/>
          <w:sz w:val="24"/>
          <w:szCs w:val="24"/>
        </w:rPr>
        <w:t>00Gy</w:t>
      </w:r>
      <w:r w:rsidR="008C4B44" w:rsidRPr="008C4B44">
        <w:rPr>
          <w:color w:val="231F20"/>
          <w:sz w:val="24"/>
          <w:szCs w:val="24"/>
        </w:rPr>
        <w:t xml:space="preserve"> (2.</w:t>
      </w:r>
      <w:r w:rsidR="00D971B4">
        <w:rPr>
          <w:color w:val="231F20"/>
          <w:sz w:val="24"/>
          <w:szCs w:val="24"/>
        </w:rPr>
        <w:t>1</w:t>
      </w:r>
      <w:r w:rsidR="008C4B44" w:rsidRPr="008C4B44">
        <w:rPr>
          <w:color w:val="231F20"/>
          <w:sz w:val="24"/>
          <w:szCs w:val="24"/>
        </w:rPr>
        <w:t xml:space="preserve">3%) and </w:t>
      </w:r>
      <w:r w:rsidR="00D971B4">
        <w:rPr>
          <w:color w:val="231F20"/>
          <w:sz w:val="24"/>
          <w:szCs w:val="24"/>
        </w:rPr>
        <w:t>2</w:t>
      </w:r>
      <w:r w:rsidR="008C4B44" w:rsidRPr="008C4B44">
        <w:rPr>
          <w:color w:val="231F20"/>
          <w:sz w:val="24"/>
          <w:szCs w:val="24"/>
        </w:rPr>
        <w:t>0</w:t>
      </w:r>
      <w:r w:rsidR="00D971B4">
        <w:rPr>
          <w:color w:val="231F20"/>
          <w:sz w:val="24"/>
          <w:szCs w:val="24"/>
        </w:rPr>
        <w:t>0Gy</w:t>
      </w:r>
      <w:r w:rsidR="008C4B44" w:rsidRPr="008C4B44">
        <w:rPr>
          <w:color w:val="231F20"/>
          <w:sz w:val="24"/>
          <w:szCs w:val="24"/>
        </w:rPr>
        <w:t xml:space="preserve"> (1.6</w:t>
      </w:r>
      <w:r w:rsidR="00D971B4">
        <w:rPr>
          <w:color w:val="231F20"/>
          <w:sz w:val="24"/>
          <w:szCs w:val="24"/>
        </w:rPr>
        <w:t>2</w:t>
      </w:r>
      <w:r w:rsidR="008C4B44" w:rsidRPr="008C4B44">
        <w:rPr>
          <w:color w:val="231F20"/>
          <w:sz w:val="24"/>
          <w:szCs w:val="24"/>
        </w:rPr>
        <w:t>%). Furthermore, the chromosomes during metaphase-I displayed random dispersion with a significant proportion of PMCs observed in seed progenies irradiated with gamma radiation at 30</w:t>
      </w:r>
      <w:r w:rsidR="00DE51F5">
        <w:rPr>
          <w:color w:val="231F20"/>
          <w:sz w:val="24"/>
          <w:szCs w:val="24"/>
        </w:rPr>
        <w:t>0Gy</w:t>
      </w:r>
      <w:r w:rsidR="008C4B44" w:rsidRPr="008C4B44">
        <w:rPr>
          <w:color w:val="231F20"/>
          <w:sz w:val="24"/>
          <w:szCs w:val="24"/>
        </w:rPr>
        <w:t xml:space="preserve"> (1.</w:t>
      </w:r>
      <w:r w:rsidR="00DE51F5">
        <w:rPr>
          <w:color w:val="231F20"/>
          <w:sz w:val="24"/>
          <w:szCs w:val="24"/>
        </w:rPr>
        <w:t>21</w:t>
      </w:r>
      <w:r w:rsidR="008C4B44" w:rsidRPr="008C4B44">
        <w:rPr>
          <w:color w:val="231F20"/>
          <w:sz w:val="24"/>
          <w:szCs w:val="24"/>
        </w:rPr>
        <w:t>%) and 2</w:t>
      </w:r>
      <w:r w:rsidR="00DE51F5">
        <w:rPr>
          <w:color w:val="231F20"/>
          <w:sz w:val="24"/>
          <w:szCs w:val="24"/>
        </w:rPr>
        <w:t>00Gy</w:t>
      </w:r>
      <w:r w:rsidR="008C4B44" w:rsidRPr="008C4B44">
        <w:rPr>
          <w:color w:val="231F20"/>
          <w:sz w:val="24"/>
          <w:szCs w:val="24"/>
        </w:rPr>
        <w:t xml:space="preserve"> (1.05%).</w:t>
      </w:r>
      <w:r w:rsidR="00F86A30">
        <w:rPr>
          <w:color w:val="231F20"/>
          <w:sz w:val="24"/>
          <w:szCs w:val="24"/>
        </w:rPr>
        <w:t xml:space="preserve"> </w:t>
      </w:r>
      <w:r w:rsidR="00F86A30" w:rsidRPr="00F86A30">
        <w:rPr>
          <w:color w:val="231F20"/>
          <w:sz w:val="24"/>
          <w:szCs w:val="24"/>
        </w:rPr>
        <w:t>When the PMCs of radiation-treated seed offspring undergo anaphase and telophase I/II, the most frequent abnormality seen is the existence of laggards or lagging chromosomes. The offspring treated with 40</w:t>
      </w:r>
      <w:r w:rsidR="00DE51F5">
        <w:rPr>
          <w:color w:val="231F20"/>
          <w:sz w:val="24"/>
          <w:szCs w:val="24"/>
        </w:rPr>
        <w:t>0Gy</w:t>
      </w:r>
      <w:r w:rsidR="00F86A30" w:rsidRPr="00F86A30">
        <w:rPr>
          <w:color w:val="231F20"/>
          <w:sz w:val="24"/>
          <w:szCs w:val="24"/>
        </w:rPr>
        <w:t xml:space="preserve"> had the highest frequency (</w:t>
      </w:r>
      <w:r w:rsidR="00DE51F5">
        <w:rPr>
          <w:color w:val="231F20"/>
          <w:sz w:val="24"/>
          <w:szCs w:val="24"/>
        </w:rPr>
        <w:t>6.</w:t>
      </w:r>
      <w:r w:rsidR="00F86A30" w:rsidRPr="00F86A30">
        <w:rPr>
          <w:color w:val="231F20"/>
          <w:sz w:val="24"/>
          <w:szCs w:val="24"/>
        </w:rPr>
        <w:t>8</w:t>
      </w:r>
      <w:r w:rsidR="00DE51F5">
        <w:rPr>
          <w:color w:val="231F20"/>
          <w:sz w:val="24"/>
          <w:szCs w:val="24"/>
        </w:rPr>
        <w:t>7</w:t>
      </w:r>
      <w:r w:rsidR="00F86A30" w:rsidRPr="00F86A30">
        <w:rPr>
          <w:color w:val="231F20"/>
          <w:sz w:val="24"/>
          <w:szCs w:val="24"/>
        </w:rPr>
        <w:t xml:space="preserve">%), while those that were treated with </w:t>
      </w:r>
      <w:r w:rsidR="00DE51F5">
        <w:rPr>
          <w:color w:val="231F20"/>
          <w:sz w:val="24"/>
          <w:szCs w:val="24"/>
        </w:rPr>
        <w:t xml:space="preserve">100Gy </w:t>
      </w:r>
      <w:r w:rsidR="00F86A30" w:rsidRPr="00F86A30">
        <w:rPr>
          <w:color w:val="231F20"/>
          <w:sz w:val="24"/>
          <w:szCs w:val="24"/>
        </w:rPr>
        <w:t>had the lowest (0.8</w:t>
      </w:r>
      <w:r w:rsidR="00DE51F5">
        <w:rPr>
          <w:color w:val="231F20"/>
          <w:sz w:val="24"/>
          <w:szCs w:val="24"/>
        </w:rPr>
        <w:t>1</w:t>
      </w:r>
      <w:r w:rsidR="00F86A30" w:rsidRPr="00F86A30">
        <w:rPr>
          <w:color w:val="231F20"/>
          <w:sz w:val="24"/>
          <w:szCs w:val="24"/>
        </w:rPr>
        <w:t>%). Laggards were noted as univalents and occasionally as bivalents as well. In gamma-irradiated seed offspring, chromosomal bridges were also clearly visible. These offspring were found at 40</w:t>
      </w:r>
      <w:r w:rsidR="00DE51F5">
        <w:rPr>
          <w:color w:val="231F20"/>
          <w:sz w:val="24"/>
          <w:szCs w:val="24"/>
        </w:rPr>
        <w:t>0Gy</w:t>
      </w:r>
      <w:r w:rsidR="00F86A30" w:rsidRPr="00F86A30">
        <w:rPr>
          <w:color w:val="231F20"/>
          <w:sz w:val="24"/>
          <w:szCs w:val="24"/>
        </w:rPr>
        <w:t xml:space="preserve"> (</w:t>
      </w:r>
      <w:r w:rsidR="00DE51F5">
        <w:rPr>
          <w:color w:val="231F20"/>
          <w:sz w:val="24"/>
          <w:szCs w:val="24"/>
        </w:rPr>
        <w:t>5.12</w:t>
      </w:r>
      <w:r w:rsidR="00F86A30" w:rsidRPr="00F86A30">
        <w:rPr>
          <w:color w:val="231F20"/>
          <w:sz w:val="24"/>
          <w:szCs w:val="24"/>
        </w:rPr>
        <w:t>%), 3</w:t>
      </w:r>
      <w:r w:rsidR="00DE51F5">
        <w:rPr>
          <w:color w:val="231F20"/>
          <w:sz w:val="24"/>
          <w:szCs w:val="24"/>
        </w:rPr>
        <w:t>00Gy</w:t>
      </w:r>
      <w:r w:rsidR="00F86A30" w:rsidRPr="00F86A30">
        <w:rPr>
          <w:color w:val="231F20"/>
          <w:sz w:val="24"/>
          <w:szCs w:val="24"/>
        </w:rPr>
        <w:t xml:space="preserve"> (</w:t>
      </w:r>
      <w:r w:rsidR="00DE51F5">
        <w:rPr>
          <w:color w:val="231F20"/>
          <w:sz w:val="24"/>
          <w:szCs w:val="24"/>
        </w:rPr>
        <w:t>4</w:t>
      </w:r>
      <w:r w:rsidR="00F86A30" w:rsidRPr="00F86A30">
        <w:rPr>
          <w:color w:val="231F20"/>
          <w:sz w:val="24"/>
          <w:szCs w:val="24"/>
        </w:rPr>
        <w:t>.</w:t>
      </w:r>
      <w:r w:rsidR="00DE51F5">
        <w:rPr>
          <w:color w:val="231F20"/>
          <w:sz w:val="24"/>
          <w:szCs w:val="24"/>
        </w:rPr>
        <w:t>67</w:t>
      </w:r>
      <w:r w:rsidR="00F86A30" w:rsidRPr="00F86A30">
        <w:rPr>
          <w:color w:val="231F20"/>
          <w:sz w:val="24"/>
          <w:szCs w:val="24"/>
        </w:rPr>
        <w:t xml:space="preserve">%), </w:t>
      </w:r>
      <w:r w:rsidR="00DE51F5">
        <w:rPr>
          <w:color w:val="231F20"/>
          <w:sz w:val="24"/>
          <w:szCs w:val="24"/>
        </w:rPr>
        <w:t>200Gy</w:t>
      </w:r>
      <w:r w:rsidR="00F86A30" w:rsidRPr="00F86A30">
        <w:rPr>
          <w:color w:val="231F20"/>
          <w:sz w:val="24"/>
          <w:szCs w:val="24"/>
        </w:rPr>
        <w:t xml:space="preserve"> (3.</w:t>
      </w:r>
      <w:r w:rsidR="00DE51F5">
        <w:rPr>
          <w:color w:val="231F20"/>
          <w:sz w:val="24"/>
          <w:szCs w:val="24"/>
        </w:rPr>
        <w:t>83</w:t>
      </w:r>
      <w:r w:rsidR="00F86A30" w:rsidRPr="00F86A30">
        <w:rPr>
          <w:color w:val="231F20"/>
          <w:sz w:val="24"/>
          <w:szCs w:val="24"/>
        </w:rPr>
        <w:t xml:space="preserve">%) </w:t>
      </w:r>
      <w:r w:rsidR="00DE51F5">
        <w:rPr>
          <w:color w:val="231F20"/>
          <w:sz w:val="24"/>
          <w:szCs w:val="24"/>
        </w:rPr>
        <w:t xml:space="preserve">and 100Gy (0.02%) </w:t>
      </w:r>
      <w:r w:rsidR="00F86A30" w:rsidRPr="00F86A30">
        <w:rPr>
          <w:color w:val="231F20"/>
          <w:sz w:val="24"/>
          <w:szCs w:val="24"/>
        </w:rPr>
        <w:t xml:space="preserve">with a notable frequency. </w:t>
      </w:r>
      <w:proofErr w:type="gramStart"/>
      <w:r w:rsidR="00F86A30" w:rsidRPr="00F86A30">
        <w:rPr>
          <w:color w:val="231F20"/>
          <w:sz w:val="24"/>
          <w:szCs w:val="24"/>
        </w:rPr>
        <w:t>A frequent quantity of PMCs were</w:t>
      </w:r>
      <w:proofErr w:type="gramEnd"/>
      <w:r w:rsidR="00F86A30" w:rsidRPr="00F86A30">
        <w:rPr>
          <w:color w:val="231F20"/>
          <w:sz w:val="24"/>
          <w:szCs w:val="24"/>
        </w:rPr>
        <w:t xml:space="preserve"> also seen to indicate the presence of </w:t>
      </w:r>
      <w:r w:rsidR="00F86A30" w:rsidRPr="00F86A30">
        <w:rPr>
          <w:color w:val="231F20"/>
          <w:sz w:val="24"/>
          <w:szCs w:val="24"/>
        </w:rPr>
        <w:lastRenderedPageBreak/>
        <w:t>altered polarity in treated offspring during anaphase and telophase I/II.</w:t>
      </w:r>
      <w:r w:rsidR="00791704">
        <w:rPr>
          <w:color w:val="231F20"/>
          <w:sz w:val="24"/>
          <w:szCs w:val="24"/>
        </w:rPr>
        <w:t xml:space="preserve"> </w:t>
      </w:r>
      <w:r w:rsidR="00791704" w:rsidRPr="00791704">
        <w:rPr>
          <w:color w:val="231F20"/>
          <w:sz w:val="24"/>
          <w:szCs w:val="24"/>
        </w:rPr>
        <w:t>The highest percent of altered polarity (</w:t>
      </w:r>
      <w:r w:rsidR="00DE51F5">
        <w:rPr>
          <w:color w:val="231F20"/>
          <w:sz w:val="24"/>
          <w:szCs w:val="24"/>
        </w:rPr>
        <w:t>4.56</w:t>
      </w:r>
      <w:r w:rsidR="00791704" w:rsidRPr="00791704">
        <w:rPr>
          <w:color w:val="231F20"/>
          <w:sz w:val="24"/>
          <w:szCs w:val="24"/>
        </w:rPr>
        <w:t>%) was noted in 4</w:t>
      </w:r>
      <w:r w:rsidR="00DE51F5">
        <w:rPr>
          <w:color w:val="231F20"/>
          <w:sz w:val="24"/>
          <w:szCs w:val="24"/>
        </w:rPr>
        <w:t>0Gy</w:t>
      </w:r>
      <w:r w:rsidR="00791704" w:rsidRPr="00791704">
        <w:rPr>
          <w:color w:val="231F20"/>
          <w:sz w:val="24"/>
          <w:szCs w:val="24"/>
        </w:rPr>
        <w:t xml:space="preserve"> treated sets, whilst the lowest percentage (1.</w:t>
      </w:r>
      <w:r w:rsidR="00DE51F5">
        <w:rPr>
          <w:color w:val="231F20"/>
          <w:sz w:val="24"/>
          <w:szCs w:val="24"/>
        </w:rPr>
        <w:t>1</w:t>
      </w:r>
      <w:r w:rsidR="00791704" w:rsidRPr="00791704">
        <w:rPr>
          <w:color w:val="231F20"/>
          <w:sz w:val="24"/>
          <w:szCs w:val="24"/>
        </w:rPr>
        <w:t>5%) was noted in offspring of 2</w:t>
      </w:r>
      <w:r w:rsidR="00DE51F5">
        <w:rPr>
          <w:color w:val="231F20"/>
          <w:sz w:val="24"/>
          <w:szCs w:val="24"/>
        </w:rPr>
        <w:t>00Gy</w:t>
      </w:r>
      <w:r w:rsidR="00791704" w:rsidRPr="00791704">
        <w:rPr>
          <w:color w:val="231F20"/>
          <w:sz w:val="24"/>
          <w:szCs w:val="24"/>
        </w:rPr>
        <w:t xml:space="preserve"> seed irradiation. A variable frequency of micronuclei was also seen in the PMCs of treated progenies in the current study. Progenies treated with 40</w:t>
      </w:r>
      <w:r w:rsidR="00B2078E">
        <w:rPr>
          <w:color w:val="231F20"/>
          <w:sz w:val="24"/>
          <w:szCs w:val="24"/>
        </w:rPr>
        <w:t>0Gy</w:t>
      </w:r>
      <w:r w:rsidR="00791704" w:rsidRPr="00791704">
        <w:rPr>
          <w:color w:val="231F20"/>
          <w:sz w:val="24"/>
          <w:szCs w:val="24"/>
        </w:rPr>
        <w:t xml:space="preserve"> had the largest percentage of meiotic cells with micronuclei (</w:t>
      </w:r>
      <w:r w:rsidR="00B2078E">
        <w:rPr>
          <w:color w:val="231F20"/>
          <w:sz w:val="24"/>
          <w:szCs w:val="24"/>
        </w:rPr>
        <w:t>3</w:t>
      </w:r>
      <w:r w:rsidR="00791704" w:rsidRPr="00791704">
        <w:rPr>
          <w:color w:val="231F20"/>
          <w:sz w:val="24"/>
          <w:szCs w:val="24"/>
        </w:rPr>
        <w:t>.</w:t>
      </w:r>
      <w:r w:rsidR="00B2078E">
        <w:rPr>
          <w:color w:val="231F20"/>
          <w:sz w:val="24"/>
          <w:szCs w:val="24"/>
        </w:rPr>
        <w:t>77</w:t>
      </w:r>
      <w:r w:rsidR="00791704" w:rsidRPr="00791704">
        <w:rPr>
          <w:color w:val="231F20"/>
          <w:sz w:val="24"/>
          <w:szCs w:val="24"/>
        </w:rPr>
        <w:t>%), followed by those treated with 3</w:t>
      </w:r>
      <w:r w:rsidR="00B2078E">
        <w:rPr>
          <w:color w:val="231F20"/>
          <w:sz w:val="24"/>
          <w:szCs w:val="24"/>
        </w:rPr>
        <w:t>00Gy</w:t>
      </w:r>
      <w:r w:rsidR="00791704" w:rsidRPr="00791704">
        <w:rPr>
          <w:color w:val="231F20"/>
          <w:sz w:val="24"/>
          <w:szCs w:val="24"/>
        </w:rPr>
        <w:t xml:space="preserve"> (2.</w:t>
      </w:r>
      <w:r w:rsidR="00B2078E">
        <w:rPr>
          <w:color w:val="231F20"/>
          <w:sz w:val="24"/>
          <w:szCs w:val="24"/>
        </w:rPr>
        <w:t>2</w:t>
      </w:r>
      <w:r w:rsidR="00791704" w:rsidRPr="00791704">
        <w:rPr>
          <w:color w:val="231F20"/>
          <w:sz w:val="24"/>
          <w:szCs w:val="24"/>
        </w:rPr>
        <w:t xml:space="preserve">5%) and </w:t>
      </w:r>
      <w:r w:rsidR="00B2078E">
        <w:rPr>
          <w:color w:val="231F20"/>
          <w:sz w:val="24"/>
          <w:szCs w:val="24"/>
        </w:rPr>
        <w:t>200Gy</w:t>
      </w:r>
      <w:r w:rsidR="00791704" w:rsidRPr="00791704">
        <w:rPr>
          <w:color w:val="231F20"/>
          <w:sz w:val="24"/>
          <w:szCs w:val="24"/>
        </w:rPr>
        <w:t xml:space="preserve"> (1.85%).</w:t>
      </w:r>
      <w:r w:rsidR="00791704">
        <w:rPr>
          <w:color w:val="231F20"/>
          <w:sz w:val="24"/>
          <w:szCs w:val="24"/>
        </w:rPr>
        <w:t xml:space="preserve"> </w:t>
      </w:r>
      <w:r w:rsidR="00791704" w:rsidRPr="00791704">
        <w:rPr>
          <w:color w:val="231F20"/>
          <w:sz w:val="24"/>
          <w:szCs w:val="24"/>
        </w:rPr>
        <w:t>The germination percentage and plant survival was likewise impacted by mutagenic dosages of gamma radiation (Table 1). The control set had the highest germination percentage (9</w:t>
      </w:r>
      <w:r w:rsidR="00B2078E">
        <w:rPr>
          <w:color w:val="231F20"/>
          <w:sz w:val="24"/>
          <w:szCs w:val="24"/>
        </w:rPr>
        <w:t>2</w:t>
      </w:r>
      <w:r w:rsidR="00791704" w:rsidRPr="00791704">
        <w:rPr>
          <w:color w:val="231F20"/>
          <w:sz w:val="24"/>
          <w:szCs w:val="24"/>
        </w:rPr>
        <w:t>.</w:t>
      </w:r>
      <w:r w:rsidR="00B2078E">
        <w:rPr>
          <w:color w:val="231F20"/>
          <w:sz w:val="24"/>
          <w:szCs w:val="24"/>
        </w:rPr>
        <w:t>81</w:t>
      </w:r>
      <w:r w:rsidR="00791704" w:rsidRPr="00791704">
        <w:rPr>
          <w:color w:val="231F20"/>
          <w:sz w:val="24"/>
          <w:szCs w:val="24"/>
        </w:rPr>
        <w:t>%), whereas treatment projects had a much lower proportion. 50</w:t>
      </w:r>
      <w:r w:rsidR="00612A91">
        <w:rPr>
          <w:color w:val="231F20"/>
          <w:sz w:val="24"/>
          <w:szCs w:val="24"/>
        </w:rPr>
        <w:t>0Gy</w:t>
      </w:r>
      <w:r w:rsidR="00791704" w:rsidRPr="00791704">
        <w:rPr>
          <w:color w:val="231F20"/>
          <w:sz w:val="24"/>
          <w:szCs w:val="24"/>
        </w:rPr>
        <w:t xml:space="preserve"> (</w:t>
      </w:r>
      <w:r w:rsidR="00612A91">
        <w:rPr>
          <w:color w:val="231F20"/>
          <w:sz w:val="24"/>
          <w:szCs w:val="24"/>
        </w:rPr>
        <w:t>21</w:t>
      </w:r>
      <w:r w:rsidR="00791704" w:rsidRPr="00791704">
        <w:rPr>
          <w:color w:val="231F20"/>
          <w:sz w:val="24"/>
          <w:szCs w:val="24"/>
        </w:rPr>
        <w:t>.0%) had the least germination percentage, subsequent to 40</w:t>
      </w:r>
      <w:r w:rsidR="00612A91">
        <w:rPr>
          <w:color w:val="231F20"/>
          <w:sz w:val="24"/>
          <w:szCs w:val="24"/>
        </w:rPr>
        <w:t>0Gy</w:t>
      </w:r>
      <w:r w:rsidR="00791704" w:rsidRPr="00791704">
        <w:rPr>
          <w:color w:val="231F20"/>
          <w:sz w:val="24"/>
          <w:szCs w:val="24"/>
        </w:rPr>
        <w:t xml:space="preserve"> (23.</w:t>
      </w:r>
      <w:r w:rsidR="00612A91">
        <w:rPr>
          <w:color w:val="231F20"/>
          <w:sz w:val="24"/>
          <w:szCs w:val="24"/>
        </w:rPr>
        <w:t>12</w:t>
      </w:r>
      <w:r w:rsidR="00791704" w:rsidRPr="00791704">
        <w:rPr>
          <w:color w:val="231F20"/>
          <w:sz w:val="24"/>
          <w:szCs w:val="24"/>
        </w:rPr>
        <w:t>%) and 3</w:t>
      </w:r>
      <w:r w:rsidR="00612A91">
        <w:rPr>
          <w:color w:val="231F20"/>
          <w:sz w:val="24"/>
          <w:szCs w:val="24"/>
        </w:rPr>
        <w:t>00Gy</w:t>
      </w:r>
      <w:r w:rsidR="00791704" w:rsidRPr="00791704">
        <w:rPr>
          <w:color w:val="231F20"/>
          <w:sz w:val="24"/>
          <w:szCs w:val="24"/>
        </w:rPr>
        <w:t xml:space="preserve"> (</w:t>
      </w:r>
      <w:r w:rsidR="00612A91">
        <w:rPr>
          <w:color w:val="231F20"/>
          <w:sz w:val="24"/>
          <w:szCs w:val="24"/>
        </w:rPr>
        <w:t>55</w:t>
      </w:r>
      <w:r w:rsidR="00791704" w:rsidRPr="00791704">
        <w:rPr>
          <w:color w:val="231F20"/>
          <w:sz w:val="24"/>
          <w:szCs w:val="24"/>
        </w:rPr>
        <w:t xml:space="preserve">.67%). Similar to this, offspring treated with </w:t>
      </w:r>
      <w:r w:rsidR="00612A91">
        <w:rPr>
          <w:color w:val="231F20"/>
          <w:sz w:val="24"/>
          <w:szCs w:val="24"/>
        </w:rPr>
        <w:t>100Gy had the highest survival rate (88.23%)</w:t>
      </w:r>
      <w:r w:rsidR="00791704" w:rsidRPr="00791704">
        <w:rPr>
          <w:color w:val="231F20"/>
          <w:sz w:val="24"/>
          <w:szCs w:val="24"/>
        </w:rPr>
        <w:t xml:space="preserve"> and control groups had a 100% survival rate, but progenies exposed to </w:t>
      </w:r>
      <w:r w:rsidR="00612A91">
        <w:rPr>
          <w:color w:val="231F20"/>
          <w:sz w:val="24"/>
          <w:szCs w:val="24"/>
        </w:rPr>
        <w:t>400Gy</w:t>
      </w:r>
      <w:r w:rsidR="00791704" w:rsidRPr="00791704">
        <w:rPr>
          <w:color w:val="231F20"/>
          <w:sz w:val="24"/>
          <w:szCs w:val="24"/>
        </w:rPr>
        <w:t xml:space="preserve"> radiation had a drop</w:t>
      </w:r>
      <w:r w:rsidR="00C63BD8">
        <w:rPr>
          <w:color w:val="231F20"/>
          <w:sz w:val="24"/>
          <w:szCs w:val="24"/>
        </w:rPr>
        <w:t xml:space="preserve"> </w:t>
      </w:r>
      <w:r w:rsidR="00791704" w:rsidRPr="00791704">
        <w:rPr>
          <w:color w:val="231F20"/>
          <w:sz w:val="24"/>
          <w:szCs w:val="24"/>
        </w:rPr>
        <w:t xml:space="preserve">in survival to </w:t>
      </w:r>
      <w:r w:rsidR="00612A91">
        <w:rPr>
          <w:color w:val="231F20"/>
          <w:sz w:val="24"/>
          <w:szCs w:val="24"/>
        </w:rPr>
        <w:t>29</w:t>
      </w:r>
      <w:r w:rsidR="00791704" w:rsidRPr="00791704">
        <w:rPr>
          <w:color w:val="231F20"/>
          <w:sz w:val="24"/>
          <w:szCs w:val="24"/>
        </w:rPr>
        <w:t>.</w:t>
      </w:r>
      <w:r w:rsidR="00612A91">
        <w:rPr>
          <w:color w:val="231F20"/>
          <w:sz w:val="24"/>
          <w:szCs w:val="24"/>
        </w:rPr>
        <w:t>3</w:t>
      </w:r>
      <w:r w:rsidR="00791704" w:rsidRPr="00791704">
        <w:rPr>
          <w:color w:val="231F20"/>
          <w:sz w:val="24"/>
          <w:szCs w:val="24"/>
        </w:rPr>
        <w:t>7%. In the event of a 50</w:t>
      </w:r>
      <w:r w:rsidR="00612A91">
        <w:rPr>
          <w:color w:val="231F20"/>
          <w:sz w:val="24"/>
          <w:szCs w:val="24"/>
        </w:rPr>
        <w:t>0Gy</w:t>
      </w:r>
      <w:r w:rsidR="00791704" w:rsidRPr="00791704">
        <w:rPr>
          <w:color w:val="231F20"/>
          <w:sz w:val="24"/>
          <w:szCs w:val="24"/>
        </w:rPr>
        <w:t xml:space="preserve"> dosage, no plant survived.</w:t>
      </w:r>
    </w:p>
    <w:p w14:paraId="788B3011" w14:textId="77777777" w:rsidR="00791704" w:rsidRDefault="00791704" w:rsidP="00055741">
      <w:pPr>
        <w:pStyle w:val="BodyText"/>
        <w:spacing w:before="24" w:line="480" w:lineRule="auto"/>
        <w:ind w:left="294" w:right="110"/>
        <w:jc w:val="both"/>
        <w:rPr>
          <w:b/>
          <w:bCs/>
          <w:color w:val="231F20"/>
          <w:sz w:val="24"/>
          <w:szCs w:val="24"/>
        </w:rPr>
      </w:pPr>
      <w:r w:rsidRPr="00791704">
        <w:rPr>
          <w:b/>
          <w:bCs/>
          <w:color w:val="231F20"/>
          <w:sz w:val="24"/>
          <w:szCs w:val="24"/>
        </w:rPr>
        <w:t>DISCUSSION</w:t>
      </w:r>
    </w:p>
    <w:p w14:paraId="0EBFF856" w14:textId="77777777" w:rsidR="007D5DF7" w:rsidRPr="007D5DF7" w:rsidRDefault="00791704" w:rsidP="007D5DF7">
      <w:pPr>
        <w:pStyle w:val="BodyText"/>
        <w:spacing w:before="24" w:line="480" w:lineRule="auto"/>
        <w:ind w:left="294" w:right="110"/>
        <w:jc w:val="both"/>
        <w:rPr>
          <w:color w:val="231F20"/>
          <w:sz w:val="24"/>
          <w:szCs w:val="24"/>
        </w:rPr>
      </w:pPr>
      <w:r w:rsidRPr="00791704">
        <w:rPr>
          <w:color w:val="231F20"/>
          <w:sz w:val="24"/>
          <w:szCs w:val="24"/>
        </w:rPr>
        <w:t xml:space="preserve">According to Gulfishan et al. (2012), cytological analyses of mitotic or meiotic activity are thought to be among the most trustworthy indicators for determining the degree of any given mutagen. Numerous studies have been conducted in the past to examine the effects of gamma rays on meiosis in a variety of plant species, including </w:t>
      </w:r>
      <w:proofErr w:type="spellStart"/>
      <w:r w:rsidRPr="007D5DF7">
        <w:rPr>
          <w:i/>
          <w:iCs/>
          <w:color w:val="231F20"/>
          <w:sz w:val="24"/>
          <w:szCs w:val="24"/>
        </w:rPr>
        <w:t>Triticum</w:t>
      </w:r>
      <w:proofErr w:type="spellEnd"/>
      <w:r w:rsidRPr="007D5DF7">
        <w:rPr>
          <w:i/>
          <w:iCs/>
          <w:color w:val="231F20"/>
          <w:sz w:val="24"/>
          <w:szCs w:val="24"/>
        </w:rPr>
        <w:t xml:space="preserve"> </w:t>
      </w:r>
      <w:proofErr w:type="spellStart"/>
      <w:r w:rsidRPr="007D5DF7">
        <w:rPr>
          <w:i/>
          <w:iCs/>
          <w:color w:val="231F20"/>
          <w:sz w:val="24"/>
          <w:szCs w:val="24"/>
        </w:rPr>
        <w:t>aestivum</w:t>
      </w:r>
      <w:proofErr w:type="spellEnd"/>
      <w:r w:rsidRPr="00791704">
        <w:rPr>
          <w:color w:val="231F20"/>
          <w:sz w:val="24"/>
          <w:szCs w:val="24"/>
        </w:rPr>
        <w:t xml:space="preserve"> (</w:t>
      </w:r>
      <w:proofErr w:type="spellStart"/>
      <w:r w:rsidRPr="00791704">
        <w:rPr>
          <w:color w:val="231F20"/>
          <w:sz w:val="24"/>
          <w:szCs w:val="24"/>
        </w:rPr>
        <w:t>Verma</w:t>
      </w:r>
      <w:proofErr w:type="spellEnd"/>
      <w:r w:rsidRPr="00791704">
        <w:rPr>
          <w:color w:val="231F20"/>
          <w:sz w:val="24"/>
          <w:szCs w:val="24"/>
        </w:rPr>
        <w:t xml:space="preserve"> and </w:t>
      </w:r>
      <w:proofErr w:type="spellStart"/>
      <w:r w:rsidRPr="00791704">
        <w:rPr>
          <w:color w:val="231F20"/>
          <w:sz w:val="24"/>
          <w:szCs w:val="24"/>
        </w:rPr>
        <w:t>Khah</w:t>
      </w:r>
      <w:proofErr w:type="spellEnd"/>
      <w:r w:rsidRPr="00791704">
        <w:rPr>
          <w:color w:val="231F20"/>
          <w:sz w:val="24"/>
          <w:szCs w:val="24"/>
        </w:rPr>
        <w:t xml:space="preserve"> 2015,)</w:t>
      </w:r>
      <w:r w:rsidR="002236ED">
        <w:rPr>
          <w:color w:val="231F20"/>
          <w:sz w:val="24"/>
          <w:szCs w:val="24"/>
        </w:rPr>
        <w:t xml:space="preserve"> </w:t>
      </w:r>
      <w:r w:rsidRPr="007D5DF7">
        <w:rPr>
          <w:i/>
          <w:iCs/>
          <w:color w:val="231F20"/>
          <w:sz w:val="24"/>
          <w:szCs w:val="24"/>
        </w:rPr>
        <w:t xml:space="preserve">Phlox </w:t>
      </w:r>
      <w:proofErr w:type="spellStart"/>
      <w:r w:rsidRPr="007D5DF7">
        <w:rPr>
          <w:i/>
          <w:iCs/>
          <w:color w:val="231F20"/>
          <w:sz w:val="24"/>
          <w:szCs w:val="24"/>
        </w:rPr>
        <w:t>drummondii</w:t>
      </w:r>
      <w:proofErr w:type="spellEnd"/>
      <w:r w:rsidRPr="00791704">
        <w:rPr>
          <w:color w:val="231F20"/>
          <w:sz w:val="24"/>
          <w:szCs w:val="24"/>
        </w:rPr>
        <w:t xml:space="preserve"> (</w:t>
      </w:r>
      <w:proofErr w:type="spellStart"/>
      <w:r w:rsidRPr="00791704">
        <w:rPr>
          <w:color w:val="231F20"/>
          <w:sz w:val="24"/>
          <w:szCs w:val="24"/>
        </w:rPr>
        <w:t>Verma</w:t>
      </w:r>
      <w:proofErr w:type="spellEnd"/>
      <w:r w:rsidRPr="00791704">
        <w:rPr>
          <w:color w:val="231F20"/>
          <w:sz w:val="24"/>
          <w:szCs w:val="24"/>
        </w:rPr>
        <w:t xml:space="preserve"> and Sharma 2000), </w:t>
      </w:r>
      <w:r w:rsidRPr="007D5DF7">
        <w:rPr>
          <w:i/>
          <w:iCs/>
          <w:color w:val="231F20"/>
          <w:sz w:val="24"/>
          <w:szCs w:val="24"/>
        </w:rPr>
        <w:t>Vicia faba</w:t>
      </w:r>
      <w:r w:rsidRPr="00791704">
        <w:rPr>
          <w:color w:val="231F20"/>
          <w:sz w:val="24"/>
          <w:szCs w:val="24"/>
        </w:rPr>
        <w:t xml:space="preserve"> (Bhat et al. 2006), </w:t>
      </w:r>
      <w:r w:rsidRPr="007D5DF7">
        <w:rPr>
          <w:i/>
          <w:iCs/>
          <w:color w:val="231F20"/>
          <w:sz w:val="24"/>
          <w:szCs w:val="24"/>
        </w:rPr>
        <w:t>Nigella sativa</w:t>
      </w:r>
      <w:r w:rsidRPr="00791704">
        <w:rPr>
          <w:color w:val="231F20"/>
          <w:sz w:val="24"/>
          <w:szCs w:val="24"/>
        </w:rPr>
        <w:t xml:space="preserve"> (Kumar and Gupta 2007), </w:t>
      </w:r>
      <w:r w:rsidRPr="007D5DF7">
        <w:rPr>
          <w:i/>
          <w:iCs/>
          <w:color w:val="231F20"/>
          <w:sz w:val="24"/>
          <w:szCs w:val="24"/>
        </w:rPr>
        <w:t>Cicer arietinum</w:t>
      </w:r>
      <w:r w:rsidRPr="00791704">
        <w:rPr>
          <w:color w:val="231F20"/>
          <w:sz w:val="24"/>
          <w:szCs w:val="24"/>
        </w:rPr>
        <w:t xml:space="preserve"> (Wani and Anis 2013), and </w:t>
      </w:r>
      <w:r w:rsidRPr="007D5DF7">
        <w:rPr>
          <w:i/>
          <w:iCs/>
          <w:color w:val="231F20"/>
          <w:sz w:val="24"/>
          <w:szCs w:val="24"/>
        </w:rPr>
        <w:t xml:space="preserve">Phlox </w:t>
      </w:r>
      <w:proofErr w:type="spellStart"/>
      <w:r w:rsidRPr="007D5DF7">
        <w:rPr>
          <w:i/>
          <w:iCs/>
          <w:color w:val="231F20"/>
          <w:sz w:val="24"/>
          <w:szCs w:val="24"/>
        </w:rPr>
        <w:t>drummondii</w:t>
      </w:r>
      <w:proofErr w:type="spellEnd"/>
      <w:r w:rsidRPr="00791704">
        <w:rPr>
          <w:color w:val="231F20"/>
          <w:sz w:val="24"/>
          <w:szCs w:val="24"/>
        </w:rPr>
        <w:t xml:space="preserve"> (</w:t>
      </w:r>
      <w:proofErr w:type="spellStart"/>
      <w:r w:rsidRPr="00791704">
        <w:rPr>
          <w:color w:val="231F20"/>
          <w:sz w:val="24"/>
          <w:szCs w:val="24"/>
        </w:rPr>
        <w:t>Verma</w:t>
      </w:r>
      <w:proofErr w:type="spellEnd"/>
      <w:r w:rsidRPr="00791704">
        <w:rPr>
          <w:color w:val="231F20"/>
          <w:sz w:val="24"/>
          <w:szCs w:val="24"/>
        </w:rPr>
        <w:t xml:space="preserve"> and Sharma 2000).</w:t>
      </w:r>
      <w:r w:rsidR="007D5DF7">
        <w:rPr>
          <w:color w:val="231F20"/>
          <w:sz w:val="24"/>
          <w:szCs w:val="24"/>
        </w:rPr>
        <w:t xml:space="preserve"> </w:t>
      </w:r>
      <w:r w:rsidR="007D5DF7" w:rsidRPr="007D5DF7">
        <w:rPr>
          <w:color w:val="231F20"/>
          <w:sz w:val="24"/>
          <w:szCs w:val="24"/>
        </w:rPr>
        <w:t xml:space="preserve">It was evident from the current study's evaluation of the range and intensity of chromosomal aberrations that gamma irradiations are highly effective at altering Coriandrum sativum L.'s genetic layout. In the current study, </w:t>
      </w:r>
      <w:r w:rsidR="007D5DF7" w:rsidRPr="007D5DF7">
        <w:rPr>
          <w:color w:val="231F20"/>
          <w:sz w:val="24"/>
          <w:szCs w:val="24"/>
        </w:rPr>
        <w:lastRenderedPageBreak/>
        <w:t>meiotic abnormalities increased steadily in proportion to increasing gamma irradiation dose intensities.</w:t>
      </w:r>
    </w:p>
    <w:p w14:paraId="75A6C4E5" w14:textId="77777777" w:rsidR="00363DCA" w:rsidRPr="00363DCA" w:rsidRDefault="007D5DF7" w:rsidP="00363DCA">
      <w:pPr>
        <w:pStyle w:val="BodyText"/>
        <w:spacing w:before="24" w:line="480" w:lineRule="auto"/>
        <w:ind w:left="294" w:right="110"/>
        <w:jc w:val="both"/>
        <w:rPr>
          <w:color w:val="231F20"/>
          <w:sz w:val="24"/>
          <w:szCs w:val="24"/>
        </w:rPr>
      </w:pPr>
      <w:r w:rsidRPr="007D5DF7">
        <w:rPr>
          <w:color w:val="231F20"/>
          <w:sz w:val="24"/>
          <w:szCs w:val="24"/>
        </w:rPr>
        <w:t>Chromosome clustering was observed in the PMCs most frequently during metaphase. While chromosomal clumping—either spontaneous or induced—has been observed in a variety of plant species in the past, the precise mechanisms responsible for it remain poorly known.</w:t>
      </w:r>
      <w:r>
        <w:rPr>
          <w:color w:val="231F20"/>
          <w:sz w:val="24"/>
          <w:szCs w:val="24"/>
        </w:rPr>
        <w:t xml:space="preserve"> </w:t>
      </w:r>
      <w:r w:rsidRPr="007D5DF7">
        <w:rPr>
          <w:color w:val="231F20"/>
          <w:sz w:val="24"/>
          <w:szCs w:val="24"/>
        </w:rPr>
        <w:t>The most likely reason is that the gamma radiation treatments may have caused changes in a certain gene that is normally helpful for proper chromosomal pairings at different meiotic phases (Tripathi and Kumar 2010). Furthermore, it has been suggested that chromosomal breakdown is the obvious source of chromosome clumping (</w:t>
      </w:r>
      <w:proofErr w:type="spellStart"/>
      <w:r w:rsidRPr="007D5DF7">
        <w:rPr>
          <w:color w:val="231F20"/>
          <w:sz w:val="24"/>
          <w:szCs w:val="24"/>
        </w:rPr>
        <w:t>Verma</w:t>
      </w:r>
      <w:proofErr w:type="spellEnd"/>
      <w:r w:rsidRPr="007D5DF7">
        <w:rPr>
          <w:color w:val="231F20"/>
          <w:sz w:val="24"/>
          <w:szCs w:val="24"/>
        </w:rPr>
        <w:t xml:space="preserve"> and </w:t>
      </w:r>
      <w:proofErr w:type="spellStart"/>
      <w:r w:rsidRPr="007D5DF7">
        <w:rPr>
          <w:color w:val="231F20"/>
          <w:sz w:val="24"/>
          <w:szCs w:val="24"/>
        </w:rPr>
        <w:t>Khah</w:t>
      </w:r>
      <w:proofErr w:type="spellEnd"/>
      <w:r w:rsidRPr="007D5DF7">
        <w:rPr>
          <w:color w:val="231F20"/>
          <w:sz w:val="24"/>
          <w:szCs w:val="24"/>
        </w:rPr>
        <w:t xml:space="preserve"> 2016). According to Evans (1962), chromosome sticking has also been attributed to partial histone protein detachment, regular rearrangement following repair mechanisms, and depolymerization of nucleic acids.</w:t>
      </w:r>
      <w:r>
        <w:rPr>
          <w:color w:val="231F20"/>
          <w:sz w:val="24"/>
          <w:szCs w:val="24"/>
        </w:rPr>
        <w:t xml:space="preserve"> </w:t>
      </w:r>
      <w:r w:rsidRPr="007D5DF7">
        <w:rPr>
          <w:color w:val="231F20"/>
          <w:sz w:val="24"/>
          <w:szCs w:val="24"/>
        </w:rPr>
        <w:t xml:space="preserve">As has been documented in numerous previous studies (Verma and Raina 1990, Basi et al. 2006, Verma and </w:t>
      </w:r>
      <w:proofErr w:type="spellStart"/>
      <w:r w:rsidRPr="007D5DF7">
        <w:rPr>
          <w:color w:val="231F20"/>
          <w:sz w:val="24"/>
          <w:szCs w:val="24"/>
        </w:rPr>
        <w:t>Shrivastava</w:t>
      </w:r>
      <w:proofErr w:type="spellEnd"/>
      <w:r w:rsidRPr="007D5DF7">
        <w:rPr>
          <w:color w:val="231F20"/>
          <w:sz w:val="24"/>
          <w:szCs w:val="24"/>
        </w:rPr>
        <w:t xml:space="preserve"> 2015, </w:t>
      </w:r>
      <w:proofErr w:type="spellStart"/>
      <w:r w:rsidRPr="007D5DF7">
        <w:rPr>
          <w:color w:val="231F20"/>
          <w:sz w:val="24"/>
          <w:szCs w:val="24"/>
        </w:rPr>
        <w:t>Khah</w:t>
      </w:r>
      <w:proofErr w:type="spellEnd"/>
      <w:r w:rsidRPr="007D5DF7">
        <w:rPr>
          <w:color w:val="231F20"/>
          <w:sz w:val="24"/>
          <w:szCs w:val="24"/>
        </w:rPr>
        <w:t xml:space="preserve"> and </w:t>
      </w:r>
      <w:proofErr w:type="spellStart"/>
      <w:r w:rsidRPr="007D5DF7">
        <w:rPr>
          <w:color w:val="231F20"/>
          <w:sz w:val="24"/>
          <w:szCs w:val="24"/>
        </w:rPr>
        <w:t>Verma</w:t>
      </w:r>
      <w:proofErr w:type="spellEnd"/>
      <w:r w:rsidRPr="007D5DF7">
        <w:rPr>
          <w:color w:val="231F20"/>
          <w:sz w:val="24"/>
          <w:szCs w:val="24"/>
        </w:rPr>
        <w:t xml:space="preserve"> 2017b), the multivalent development seen in the PMCs during the current investigation may have resulted from breakage followed by exchange of chromosome segments among non-homologous chromosomes. Furthermore, it has been observed that chromosomal stickiness occasionally results in multivalent formation </w:t>
      </w:r>
      <w:r w:rsidR="001675D1" w:rsidRPr="001675D1">
        <w:rPr>
          <w:color w:val="231F20"/>
          <w:sz w:val="24"/>
          <w:szCs w:val="24"/>
        </w:rPr>
        <w:t xml:space="preserve">Univalents were also seen during metaphase I, which could have resulted from </w:t>
      </w:r>
      <w:proofErr w:type="spellStart"/>
      <w:r w:rsidR="001675D1" w:rsidRPr="001675D1">
        <w:rPr>
          <w:color w:val="231F20"/>
          <w:sz w:val="24"/>
          <w:szCs w:val="24"/>
        </w:rPr>
        <w:t>asynapsis</w:t>
      </w:r>
      <w:proofErr w:type="spellEnd"/>
      <w:r w:rsidR="001675D1" w:rsidRPr="001675D1">
        <w:rPr>
          <w:color w:val="231F20"/>
          <w:sz w:val="24"/>
          <w:szCs w:val="24"/>
        </w:rPr>
        <w:t xml:space="preserve"> or </w:t>
      </w:r>
      <w:proofErr w:type="spellStart"/>
      <w:r w:rsidR="001675D1" w:rsidRPr="001675D1">
        <w:rPr>
          <w:color w:val="231F20"/>
          <w:sz w:val="24"/>
          <w:szCs w:val="24"/>
        </w:rPr>
        <w:t>desynapsis</w:t>
      </w:r>
      <w:proofErr w:type="spellEnd"/>
      <w:r w:rsidR="001675D1" w:rsidRPr="001675D1">
        <w:rPr>
          <w:color w:val="231F20"/>
          <w:sz w:val="24"/>
          <w:szCs w:val="24"/>
        </w:rPr>
        <w:t>, that could have caused a partial or whole lack of homologous chromosomal pairing (Verma and Raina 1991). The discovered stray bivalents may have arisen from gamma radiations that most likely disrupted spindle dysfunction and caused aberrant chromosomal alignments during metaphase I</w:t>
      </w:r>
      <w:r w:rsidR="002236ED">
        <w:rPr>
          <w:color w:val="231F20"/>
          <w:sz w:val="24"/>
          <w:szCs w:val="24"/>
        </w:rPr>
        <w:t>.</w:t>
      </w:r>
      <w:r w:rsidR="001675D1" w:rsidRPr="001675D1">
        <w:rPr>
          <w:color w:val="231F20"/>
          <w:sz w:val="24"/>
          <w:szCs w:val="24"/>
        </w:rPr>
        <w:t>). The early chromosomal movement seen in this study may have resulted from spindle malfunction (Gulfishan et al., 2012), incorrect congression of univalent chromosomes (</w:t>
      </w:r>
      <w:proofErr w:type="spellStart"/>
      <w:r w:rsidR="001675D1" w:rsidRPr="001675D1">
        <w:rPr>
          <w:color w:val="231F20"/>
          <w:sz w:val="24"/>
          <w:szCs w:val="24"/>
        </w:rPr>
        <w:t>Verma</w:t>
      </w:r>
      <w:proofErr w:type="spellEnd"/>
      <w:r w:rsidR="001675D1" w:rsidRPr="001675D1">
        <w:rPr>
          <w:color w:val="231F20"/>
          <w:sz w:val="24"/>
          <w:szCs w:val="24"/>
        </w:rPr>
        <w:t xml:space="preserve"> and </w:t>
      </w:r>
      <w:proofErr w:type="spellStart"/>
      <w:r w:rsidR="001675D1" w:rsidRPr="001675D1">
        <w:rPr>
          <w:color w:val="231F20"/>
          <w:sz w:val="24"/>
          <w:szCs w:val="24"/>
        </w:rPr>
        <w:t>Khah</w:t>
      </w:r>
      <w:proofErr w:type="spellEnd"/>
      <w:r w:rsidR="001675D1" w:rsidRPr="001675D1">
        <w:rPr>
          <w:color w:val="231F20"/>
          <w:sz w:val="24"/>
          <w:szCs w:val="24"/>
        </w:rPr>
        <w:t xml:space="preserve">, </w:t>
      </w:r>
      <w:r w:rsidR="001675D1" w:rsidRPr="001675D1">
        <w:rPr>
          <w:color w:val="231F20"/>
          <w:sz w:val="24"/>
          <w:szCs w:val="24"/>
        </w:rPr>
        <w:lastRenderedPageBreak/>
        <w:t>2016), or early chiasma transcription.</w:t>
      </w:r>
      <w:r w:rsidR="00363DCA">
        <w:rPr>
          <w:color w:val="231F20"/>
          <w:sz w:val="24"/>
          <w:szCs w:val="24"/>
        </w:rPr>
        <w:t xml:space="preserve"> </w:t>
      </w:r>
      <w:r w:rsidR="00363DCA" w:rsidRPr="00363DCA">
        <w:rPr>
          <w:color w:val="231F20"/>
          <w:sz w:val="24"/>
          <w:szCs w:val="24"/>
        </w:rPr>
        <w:t>According to the current investigation, chromosomal dispersion at metaphase I may be caused by damage to spindle fibers or obstruction of spindle formation.</w:t>
      </w:r>
    </w:p>
    <w:p w14:paraId="19DC743D" w14:textId="77777777" w:rsidR="00791704" w:rsidRDefault="00363DCA" w:rsidP="00363DCA">
      <w:pPr>
        <w:pStyle w:val="BodyText"/>
        <w:spacing w:before="24" w:line="480" w:lineRule="auto"/>
        <w:ind w:left="294" w:right="110"/>
        <w:jc w:val="both"/>
        <w:rPr>
          <w:color w:val="231F20"/>
          <w:sz w:val="24"/>
          <w:szCs w:val="24"/>
        </w:rPr>
      </w:pPr>
      <w:r w:rsidRPr="00363DCA">
        <w:rPr>
          <w:color w:val="231F20"/>
          <w:sz w:val="24"/>
          <w:szCs w:val="24"/>
        </w:rPr>
        <w:t>A variety of pre-</w:t>
      </w:r>
      <w:proofErr w:type="spellStart"/>
      <w:r w:rsidRPr="00363DCA">
        <w:rPr>
          <w:color w:val="231F20"/>
          <w:sz w:val="24"/>
          <w:szCs w:val="24"/>
        </w:rPr>
        <w:t>anaphasic</w:t>
      </w:r>
      <w:proofErr w:type="spellEnd"/>
      <w:r w:rsidRPr="00363DCA">
        <w:rPr>
          <w:color w:val="231F20"/>
          <w:sz w:val="24"/>
          <w:szCs w:val="24"/>
        </w:rPr>
        <w:t xml:space="preserve"> chromosomal abnormalities, including chromosome sticking, spindle malfunctioning, extended terminalization of the chiasma, and inappropriate motion of multivalents and univalents, may contribute to the emergence of laggards at anaphase and telophase I/II (Bhat et al. 2006, Wani and Anis 2013). Additionally, chromatin bridges were frequently seen in large quantities of PMCs. Saylor and Smith (1966) postulated that bridges may arise during anaphase and telophase I/II as a result of chiasmata in a bivalent being unable to formalize.</w:t>
      </w:r>
      <w:r w:rsidR="00AF1F2C">
        <w:rPr>
          <w:color w:val="231F20"/>
          <w:sz w:val="24"/>
          <w:szCs w:val="24"/>
        </w:rPr>
        <w:t xml:space="preserve"> </w:t>
      </w:r>
      <w:r w:rsidR="00AF1F2C" w:rsidRPr="00AF1F2C">
        <w:rPr>
          <w:color w:val="231F20"/>
          <w:sz w:val="24"/>
          <w:szCs w:val="24"/>
        </w:rPr>
        <w:t>Furthermore, sticky bridges can result from chromosomal clumping during metaphase, which can prevent bivalents from separating during anaphase (</w:t>
      </w:r>
      <w:proofErr w:type="spellStart"/>
      <w:r w:rsidR="00AF1F2C" w:rsidRPr="00AF1F2C">
        <w:rPr>
          <w:color w:val="231F20"/>
          <w:sz w:val="24"/>
          <w:szCs w:val="24"/>
        </w:rPr>
        <w:t>Khah</w:t>
      </w:r>
      <w:proofErr w:type="spellEnd"/>
      <w:r w:rsidR="00AF1F2C" w:rsidRPr="00AF1F2C">
        <w:rPr>
          <w:color w:val="231F20"/>
          <w:sz w:val="24"/>
          <w:szCs w:val="24"/>
        </w:rPr>
        <w:t xml:space="preserve"> and </w:t>
      </w:r>
      <w:proofErr w:type="spellStart"/>
      <w:r w:rsidR="00AF1F2C" w:rsidRPr="00AF1F2C">
        <w:rPr>
          <w:color w:val="231F20"/>
          <w:sz w:val="24"/>
          <w:szCs w:val="24"/>
        </w:rPr>
        <w:t>Verma</w:t>
      </w:r>
      <w:proofErr w:type="spellEnd"/>
      <w:r w:rsidR="00AF1F2C" w:rsidRPr="00AF1F2C">
        <w:rPr>
          <w:color w:val="231F20"/>
          <w:sz w:val="24"/>
          <w:szCs w:val="24"/>
        </w:rPr>
        <w:t xml:space="preserve"> 2017a). According to</w:t>
      </w:r>
      <w:r w:rsidR="002236ED">
        <w:rPr>
          <w:color w:val="231F20"/>
          <w:sz w:val="24"/>
          <w:szCs w:val="24"/>
        </w:rPr>
        <w:t xml:space="preserve"> Raina</w:t>
      </w:r>
      <w:r w:rsidR="00AF1F2C" w:rsidRPr="00AF1F2C">
        <w:rPr>
          <w:color w:val="231F20"/>
          <w:sz w:val="24"/>
          <w:szCs w:val="24"/>
        </w:rPr>
        <w:t xml:space="preserve"> (20</w:t>
      </w:r>
      <w:r w:rsidR="002236ED">
        <w:rPr>
          <w:color w:val="231F20"/>
          <w:sz w:val="24"/>
          <w:szCs w:val="24"/>
        </w:rPr>
        <w:t>22</w:t>
      </w:r>
      <w:r w:rsidR="00AF1F2C" w:rsidRPr="00AF1F2C">
        <w:rPr>
          <w:color w:val="231F20"/>
          <w:sz w:val="24"/>
          <w:szCs w:val="24"/>
        </w:rPr>
        <w:t xml:space="preserve">), spindle disruptions and a high prevalence of univalents may have contributed to the observed altered polarity. In this instance, stickiness and the existence of multivalents may potentially be contributing factors to the cells' disrupted polarity. When there is a disturbance in polarity, PMCs may cause chromosomal disjunction to malfunction during meiosis II's anaphase, producing </w:t>
      </w:r>
      <w:proofErr w:type="spellStart"/>
      <w:r w:rsidR="00AF1F2C" w:rsidRPr="00AF1F2C">
        <w:rPr>
          <w:color w:val="231F20"/>
          <w:sz w:val="24"/>
          <w:szCs w:val="24"/>
        </w:rPr>
        <w:t>tripolarity</w:t>
      </w:r>
      <w:proofErr w:type="spellEnd"/>
      <w:r w:rsidR="00AF1F2C" w:rsidRPr="00AF1F2C">
        <w:rPr>
          <w:color w:val="231F20"/>
          <w:sz w:val="24"/>
          <w:szCs w:val="24"/>
        </w:rPr>
        <w:t>. In several instances, the cells had chromosomes at several poles, which later resulted in the creation of distinct nuclei.</w:t>
      </w:r>
      <w:r w:rsidR="00AF1F2C">
        <w:rPr>
          <w:color w:val="231F20"/>
          <w:sz w:val="24"/>
          <w:szCs w:val="24"/>
        </w:rPr>
        <w:t xml:space="preserve"> </w:t>
      </w:r>
      <w:r w:rsidR="00AF1F2C" w:rsidRPr="00AF1F2C">
        <w:rPr>
          <w:color w:val="231F20"/>
          <w:sz w:val="24"/>
          <w:szCs w:val="24"/>
        </w:rPr>
        <w:t xml:space="preserve">Gamma-ray-induced meiotic abnormalities at metaphase and anaphase could represent the cause of the micronuclei seen in the PMCs of mutagenic populations. Micronuclei usually arise when laggards and nonsynchronous chromosome content are unable to be incorporated at the poles throughout telophase stages. According to </w:t>
      </w:r>
      <w:r w:rsidR="002236ED">
        <w:rPr>
          <w:color w:val="231F20"/>
          <w:sz w:val="24"/>
          <w:szCs w:val="24"/>
        </w:rPr>
        <w:t>Bhat</w:t>
      </w:r>
      <w:r w:rsidR="00AF1F2C" w:rsidRPr="00AF1F2C">
        <w:rPr>
          <w:color w:val="231F20"/>
          <w:sz w:val="24"/>
          <w:szCs w:val="24"/>
        </w:rPr>
        <w:t xml:space="preserve"> (2017), unusual actions of univalents, multivalents, unoriented chromosomes, and fragments might give rise to micronuclei.</w:t>
      </w:r>
      <w:r w:rsidR="003746AB">
        <w:rPr>
          <w:color w:val="231F20"/>
          <w:sz w:val="24"/>
          <w:szCs w:val="24"/>
        </w:rPr>
        <w:t xml:space="preserve"> </w:t>
      </w:r>
      <w:r w:rsidR="003746AB" w:rsidRPr="003746AB">
        <w:rPr>
          <w:color w:val="231F20"/>
          <w:sz w:val="24"/>
          <w:szCs w:val="24"/>
        </w:rPr>
        <w:t xml:space="preserve">For every treatment dose, the pollen fertility was assessed in </w:t>
      </w:r>
      <w:r w:rsidR="003746AB" w:rsidRPr="003746AB">
        <w:rPr>
          <w:color w:val="231F20"/>
          <w:sz w:val="24"/>
          <w:szCs w:val="24"/>
        </w:rPr>
        <w:lastRenderedPageBreak/>
        <w:t xml:space="preserve">conjunction with the corresponding control (Table 1). Pollen fertility continuously decreased throughout the current investigation as gamma irradiation intensity increased. Numerous studies, including those on Vicia </w:t>
      </w:r>
      <w:r w:rsidR="003746AB" w:rsidRPr="00470B7E">
        <w:rPr>
          <w:color w:val="231F20"/>
          <w:sz w:val="24"/>
          <w:szCs w:val="24"/>
        </w:rPr>
        <w:t>faba (</w:t>
      </w:r>
      <w:proofErr w:type="spellStart"/>
      <w:r w:rsidR="002236ED" w:rsidRPr="00470B7E">
        <w:rPr>
          <w:color w:val="231F20"/>
          <w:sz w:val="24"/>
          <w:szCs w:val="24"/>
        </w:rPr>
        <w:t>Souguir</w:t>
      </w:r>
      <w:proofErr w:type="spellEnd"/>
      <w:r w:rsidR="003746AB" w:rsidRPr="00470B7E">
        <w:rPr>
          <w:color w:val="231F20"/>
          <w:sz w:val="24"/>
          <w:szCs w:val="24"/>
        </w:rPr>
        <w:t xml:space="preserve"> et al. 20</w:t>
      </w:r>
      <w:r w:rsidR="002236ED" w:rsidRPr="00470B7E">
        <w:rPr>
          <w:color w:val="231F20"/>
          <w:sz w:val="24"/>
          <w:szCs w:val="24"/>
        </w:rPr>
        <w:t>18</w:t>
      </w:r>
      <w:r w:rsidR="003746AB" w:rsidRPr="00470B7E">
        <w:rPr>
          <w:color w:val="231F20"/>
          <w:sz w:val="24"/>
          <w:szCs w:val="24"/>
        </w:rPr>
        <w:t>),</w:t>
      </w:r>
      <w:r w:rsidR="003746AB" w:rsidRPr="003746AB">
        <w:rPr>
          <w:color w:val="231F20"/>
          <w:sz w:val="24"/>
          <w:szCs w:val="24"/>
        </w:rPr>
        <w:t xml:space="preserve"> Delphinium </w:t>
      </w:r>
      <w:proofErr w:type="spellStart"/>
      <w:r w:rsidR="003746AB" w:rsidRPr="003746AB">
        <w:rPr>
          <w:color w:val="231F20"/>
          <w:sz w:val="24"/>
          <w:szCs w:val="24"/>
        </w:rPr>
        <w:t>malabaricum</w:t>
      </w:r>
      <w:proofErr w:type="spellEnd"/>
      <w:r w:rsidR="003746AB" w:rsidRPr="003746AB">
        <w:rPr>
          <w:color w:val="231F20"/>
          <w:sz w:val="24"/>
          <w:szCs w:val="24"/>
        </w:rPr>
        <w:t xml:space="preserve"> (</w:t>
      </w:r>
      <w:proofErr w:type="spellStart"/>
      <w:r w:rsidR="003746AB" w:rsidRPr="003746AB">
        <w:rPr>
          <w:color w:val="231F20"/>
          <w:sz w:val="24"/>
          <w:szCs w:val="24"/>
        </w:rPr>
        <w:t>Kolar</w:t>
      </w:r>
      <w:proofErr w:type="spellEnd"/>
      <w:r w:rsidR="003746AB" w:rsidRPr="003746AB">
        <w:rPr>
          <w:color w:val="231F20"/>
          <w:sz w:val="24"/>
          <w:szCs w:val="24"/>
        </w:rPr>
        <w:t xml:space="preserve"> et al. 2014), have documented a rise in pollen sterility with an increase in mutagenic dosages. Pollen fertility may be declining as a result of the combined effects of different chromosomal abnormalities brought on by gamma radiation (Kolar et al. 2014</w:t>
      </w:r>
      <w:r w:rsidR="00934A75">
        <w:rPr>
          <w:color w:val="231F20"/>
          <w:sz w:val="24"/>
          <w:szCs w:val="24"/>
        </w:rPr>
        <w:t>). I</w:t>
      </w:r>
      <w:r w:rsidR="00026A37" w:rsidRPr="00026A37">
        <w:rPr>
          <w:color w:val="231F20"/>
          <w:sz w:val="24"/>
          <w:szCs w:val="24"/>
        </w:rPr>
        <w:t xml:space="preserve">n </w:t>
      </w:r>
      <w:proofErr w:type="spellStart"/>
      <w:r w:rsidR="00026A37" w:rsidRPr="00026A37">
        <w:rPr>
          <w:i/>
          <w:iCs/>
          <w:color w:val="231F20"/>
          <w:sz w:val="24"/>
          <w:szCs w:val="24"/>
        </w:rPr>
        <w:t>Turnera</w:t>
      </w:r>
      <w:proofErr w:type="spellEnd"/>
      <w:r w:rsidR="00026A37" w:rsidRPr="00026A37">
        <w:rPr>
          <w:i/>
          <w:iCs/>
          <w:color w:val="231F20"/>
          <w:sz w:val="24"/>
          <w:szCs w:val="24"/>
        </w:rPr>
        <w:t xml:space="preserve"> </w:t>
      </w:r>
      <w:proofErr w:type="spellStart"/>
      <w:r w:rsidR="00026A37" w:rsidRPr="00026A37">
        <w:rPr>
          <w:i/>
          <w:iCs/>
          <w:color w:val="231F20"/>
          <w:sz w:val="24"/>
          <w:szCs w:val="24"/>
        </w:rPr>
        <w:t>ulmifolia</w:t>
      </w:r>
      <w:proofErr w:type="spellEnd"/>
      <w:r w:rsidR="00026A37" w:rsidRPr="00026A37">
        <w:rPr>
          <w:color w:val="231F20"/>
          <w:sz w:val="24"/>
          <w:szCs w:val="24"/>
        </w:rPr>
        <w:t xml:space="preserve">, </w:t>
      </w:r>
      <w:proofErr w:type="spellStart"/>
      <w:r w:rsidR="00026A37" w:rsidRPr="00026A37">
        <w:rPr>
          <w:color w:val="231F20"/>
          <w:sz w:val="24"/>
          <w:szCs w:val="24"/>
        </w:rPr>
        <w:t>Tarar</w:t>
      </w:r>
      <w:proofErr w:type="spellEnd"/>
      <w:r w:rsidR="00026A37" w:rsidRPr="00026A37">
        <w:rPr>
          <w:color w:val="231F20"/>
          <w:sz w:val="24"/>
          <w:szCs w:val="24"/>
        </w:rPr>
        <w:t xml:space="preserve"> and </w:t>
      </w:r>
      <w:proofErr w:type="spellStart"/>
      <w:r w:rsidR="00026A37" w:rsidRPr="00026A37">
        <w:rPr>
          <w:color w:val="231F20"/>
          <w:sz w:val="24"/>
          <w:szCs w:val="24"/>
        </w:rPr>
        <w:t>Dnyansagar</w:t>
      </w:r>
      <w:proofErr w:type="spellEnd"/>
      <w:r w:rsidR="00026A37" w:rsidRPr="00026A37">
        <w:rPr>
          <w:color w:val="231F20"/>
          <w:sz w:val="24"/>
          <w:szCs w:val="24"/>
        </w:rPr>
        <w:t xml:space="preserve"> (1983) proposed that strong radiation doses could cause an elevated level of active free radicals, which in turn could explain limited germination. Marcu et al. (2013), on the other hand, countered this theory. The percentage of surviving plants and all of the meiotic abnormalities showed a highly significant negative connection in the current investigation. This implies that the increased frequency of meiotic aberrations seen in this study at higher radiation doses constituted a major factor in the decreased percentage of plants that survived</w:t>
      </w:r>
      <w:r w:rsidR="00026A37">
        <w:rPr>
          <w:color w:val="231F20"/>
          <w:sz w:val="24"/>
          <w:szCs w:val="24"/>
        </w:rPr>
        <w:t>.</w:t>
      </w:r>
    </w:p>
    <w:p w14:paraId="39640321" w14:textId="77CF25D1" w:rsidR="006E5C5E" w:rsidRDefault="00026A37" w:rsidP="006E5C5E">
      <w:pPr>
        <w:pStyle w:val="BodyText"/>
        <w:spacing w:before="24" w:line="480" w:lineRule="auto"/>
        <w:ind w:left="294" w:right="110"/>
        <w:jc w:val="both"/>
        <w:rPr>
          <w:color w:val="231F20"/>
          <w:sz w:val="24"/>
          <w:szCs w:val="24"/>
        </w:rPr>
      </w:pPr>
      <w:r w:rsidRPr="00026A37">
        <w:rPr>
          <w:color w:val="231F20"/>
          <w:sz w:val="24"/>
          <w:szCs w:val="24"/>
        </w:rPr>
        <w:t xml:space="preserve">According to the results of the aforementioned study, </w:t>
      </w:r>
      <w:r w:rsidRPr="00934A75">
        <w:rPr>
          <w:i/>
          <w:iCs/>
          <w:color w:val="231F20"/>
          <w:sz w:val="24"/>
          <w:szCs w:val="24"/>
        </w:rPr>
        <w:t>Coriandrum sativum</w:t>
      </w:r>
      <w:r w:rsidRPr="00026A37">
        <w:rPr>
          <w:color w:val="231F20"/>
          <w:sz w:val="24"/>
          <w:szCs w:val="24"/>
        </w:rPr>
        <w:t xml:space="preserve"> L. cytogenetic variation can be quickly increased by applying the ideal gamma irradiation dosages. It was discovered that the 50kR radiation dose was entirely fatal, while the 40kR dose was nearly as deadly. The chromosomal alterations caused by the gamma irradiations offer greater potential for this significant crop species' future development. Thus, the parent study envisages the effectiveness of intermediate doses of gamma irradiation which can induce promising point mutations and are less harmful in segregating generations. These mutations might then be used in breeding programs to increase the genetic variety of </w:t>
      </w:r>
      <w:proofErr w:type="spellStart"/>
      <w:r w:rsidRPr="006E5C5E">
        <w:rPr>
          <w:i/>
          <w:iCs/>
          <w:color w:val="231F20"/>
          <w:sz w:val="24"/>
          <w:szCs w:val="24"/>
        </w:rPr>
        <w:t>Coriandrum</w:t>
      </w:r>
      <w:proofErr w:type="spellEnd"/>
      <w:r w:rsidRPr="006E5C5E">
        <w:rPr>
          <w:i/>
          <w:iCs/>
          <w:color w:val="231F20"/>
          <w:sz w:val="24"/>
          <w:szCs w:val="24"/>
        </w:rPr>
        <w:t xml:space="preserve"> </w:t>
      </w:r>
      <w:proofErr w:type="spellStart"/>
      <w:r w:rsidRPr="006E5C5E">
        <w:rPr>
          <w:i/>
          <w:iCs/>
          <w:color w:val="231F20"/>
          <w:sz w:val="24"/>
          <w:szCs w:val="24"/>
        </w:rPr>
        <w:t>sativum</w:t>
      </w:r>
      <w:proofErr w:type="spellEnd"/>
      <w:r w:rsidRPr="00026A37">
        <w:rPr>
          <w:color w:val="231F20"/>
          <w:sz w:val="24"/>
          <w:szCs w:val="24"/>
        </w:rPr>
        <w:t xml:space="preserve"> L</w:t>
      </w:r>
      <w:r w:rsidR="009D14E7">
        <w:rPr>
          <w:color w:val="231F20"/>
          <w:sz w:val="24"/>
          <w:szCs w:val="24"/>
        </w:rPr>
        <w:t>.</w:t>
      </w:r>
    </w:p>
    <w:p w14:paraId="0D071255" w14:textId="111C200D" w:rsidR="0045447B" w:rsidRDefault="009D14E7" w:rsidP="0045447B">
      <w:pPr>
        <w:pStyle w:val="BodyText"/>
        <w:spacing w:before="24" w:line="480" w:lineRule="auto"/>
        <w:ind w:left="294" w:right="110"/>
        <w:jc w:val="both"/>
        <w:rPr>
          <w:color w:val="231F20"/>
          <w:sz w:val="24"/>
          <w:szCs w:val="24"/>
        </w:rPr>
      </w:pPr>
      <w:r w:rsidRPr="009D14E7">
        <w:rPr>
          <w:b/>
          <w:bCs/>
          <w:color w:val="231F20"/>
          <w:sz w:val="24"/>
          <w:szCs w:val="24"/>
        </w:rPr>
        <w:t xml:space="preserve">Conclusion: </w:t>
      </w:r>
      <w:r w:rsidRPr="0045447B">
        <w:rPr>
          <w:color w:val="231F20"/>
          <w:sz w:val="24"/>
          <w:szCs w:val="24"/>
        </w:rPr>
        <w:t xml:space="preserve">The present investigation showed the mutagenic potential of EMS and gamma </w:t>
      </w:r>
      <w:r w:rsidRPr="0045447B">
        <w:rPr>
          <w:color w:val="231F20"/>
          <w:sz w:val="24"/>
          <w:szCs w:val="24"/>
        </w:rPr>
        <w:lastRenderedPageBreak/>
        <w:t>rays in the form of meiotic aberrations</w:t>
      </w:r>
      <w:r w:rsidR="0045447B" w:rsidRPr="0045447B">
        <w:rPr>
          <w:color w:val="231F20"/>
          <w:sz w:val="24"/>
          <w:szCs w:val="24"/>
        </w:rPr>
        <w:t>, effects on germination percentage and plant survival at maturity.</w:t>
      </w:r>
      <w:r w:rsidR="0045447B">
        <w:rPr>
          <w:color w:val="231F20"/>
          <w:sz w:val="24"/>
          <w:szCs w:val="24"/>
        </w:rPr>
        <w:t xml:space="preserve"> It is established that the low doses/concentrations of the mutagens can be used to induce mutation in </w:t>
      </w:r>
      <w:proofErr w:type="spellStart"/>
      <w:r w:rsidR="0045447B" w:rsidRPr="006E5C5E">
        <w:rPr>
          <w:i/>
          <w:iCs/>
          <w:color w:val="231F20"/>
          <w:sz w:val="24"/>
          <w:szCs w:val="24"/>
        </w:rPr>
        <w:t>Coriandrum</w:t>
      </w:r>
      <w:proofErr w:type="spellEnd"/>
      <w:r w:rsidR="0045447B" w:rsidRPr="006E5C5E">
        <w:rPr>
          <w:i/>
          <w:iCs/>
          <w:color w:val="231F20"/>
          <w:sz w:val="24"/>
          <w:szCs w:val="24"/>
        </w:rPr>
        <w:t xml:space="preserve"> </w:t>
      </w:r>
      <w:proofErr w:type="spellStart"/>
      <w:r w:rsidR="0045447B" w:rsidRPr="006E5C5E">
        <w:rPr>
          <w:i/>
          <w:iCs/>
          <w:color w:val="231F20"/>
          <w:sz w:val="24"/>
          <w:szCs w:val="24"/>
        </w:rPr>
        <w:t>sativum</w:t>
      </w:r>
      <w:proofErr w:type="spellEnd"/>
      <w:r w:rsidR="0045447B" w:rsidRPr="00026A37">
        <w:rPr>
          <w:color w:val="231F20"/>
          <w:sz w:val="24"/>
          <w:szCs w:val="24"/>
        </w:rPr>
        <w:t xml:space="preserve"> L</w:t>
      </w:r>
      <w:r w:rsidR="0045447B">
        <w:rPr>
          <w:color w:val="231F20"/>
          <w:sz w:val="24"/>
          <w:szCs w:val="24"/>
        </w:rPr>
        <w:t>.</w:t>
      </w:r>
      <w:r w:rsidR="0045447B">
        <w:rPr>
          <w:color w:val="231F20"/>
          <w:sz w:val="24"/>
          <w:szCs w:val="24"/>
        </w:rPr>
        <w:t xml:space="preserve"> to enhance genetic diversity and its implications in crop improvement program.</w:t>
      </w:r>
    </w:p>
    <w:p w14:paraId="24000545" w14:textId="652F741E" w:rsidR="0045447B" w:rsidRPr="0045447B" w:rsidRDefault="0045447B" w:rsidP="0045447B">
      <w:pPr>
        <w:pStyle w:val="BodyText"/>
        <w:spacing w:before="24" w:line="480" w:lineRule="auto"/>
        <w:ind w:left="294" w:right="110"/>
        <w:jc w:val="both"/>
        <w:rPr>
          <w:color w:val="231F20"/>
          <w:sz w:val="24"/>
          <w:szCs w:val="24"/>
        </w:rPr>
      </w:pPr>
    </w:p>
    <w:p w14:paraId="3E1DB455" w14:textId="77777777" w:rsidR="009D14E7" w:rsidRPr="009D14E7" w:rsidRDefault="00324C1E" w:rsidP="009D14E7">
      <w:pPr>
        <w:widowControl/>
        <w:autoSpaceDE/>
        <w:autoSpaceDN/>
        <w:spacing w:after="200" w:line="276" w:lineRule="auto"/>
        <w:jc w:val="both"/>
        <w:rPr>
          <w:rFonts w:eastAsiaTheme="minorHAnsi"/>
          <w:kern w:val="2"/>
          <w:highlight w:val="yellow"/>
          <w14:ligatures w14:val="standardContextual"/>
        </w:rPr>
      </w:pPr>
      <w:bookmarkStart w:id="1" w:name="_Hlk192523178"/>
      <w:bookmarkStart w:id="2" w:name="_Hlk192511221"/>
      <w:bookmarkStart w:id="3" w:name="_Hlk193205233"/>
      <w:r w:rsidRPr="009D14E7">
        <w:rPr>
          <w:rFonts w:eastAsiaTheme="minorHAnsi"/>
          <w:b/>
          <w:bCs/>
          <w:kern w:val="2"/>
          <w14:ligatures w14:val="standardContextual"/>
        </w:rPr>
        <w:t>Disclaimer (Artificial intelligence</w:t>
      </w:r>
      <w:r w:rsidR="009D14E7" w:rsidRPr="009D14E7">
        <w:rPr>
          <w:rFonts w:eastAsiaTheme="minorHAnsi"/>
          <w:b/>
          <w:bCs/>
          <w:kern w:val="2"/>
          <w14:ligatures w14:val="standardContextual"/>
        </w:rPr>
        <w:t>):</w:t>
      </w:r>
      <w:r w:rsidR="009D14E7" w:rsidRPr="009D14E7">
        <w:rPr>
          <w:rFonts w:eastAsiaTheme="minorHAnsi"/>
          <w:kern w:val="2"/>
          <w14:ligatures w14:val="standardContextual"/>
        </w:rPr>
        <w:t xml:space="preserve"> </w:t>
      </w:r>
      <w:r w:rsidR="009D14E7" w:rsidRPr="009D14E7">
        <w:rPr>
          <w:rFonts w:eastAsiaTheme="minorHAnsi"/>
          <w:kern w:val="2"/>
          <w14:ligatures w14:val="standardContextual"/>
        </w:rPr>
        <w:t>Author(s) hereby declare that NO generative AI technologies such as Large Language Models (</w:t>
      </w:r>
      <w:proofErr w:type="spellStart"/>
      <w:r w:rsidR="009D14E7" w:rsidRPr="009D14E7">
        <w:rPr>
          <w:rFonts w:eastAsiaTheme="minorHAnsi"/>
          <w:kern w:val="2"/>
          <w14:ligatures w14:val="standardContextual"/>
        </w:rPr>
        <w:t>ChatGPT</w:t>
      </w:r>
      <w:proofErr w:type="spellEnd"/>
      <w:r w:rsidR="009D14E7" w:rsidRPr="009D14E7">
        <w:rPr>
          <w:rFonts w:eastAsiaTheme="minorHAnsi"/>
          <w:kern w:val="2"/>
          <w14:ligatures w14:val="standardContextual"/>
        </w:rPr>
        <w:t xml:space="preserve">, COPILOT, etc.) and text-to-image generators have been used during the writing or editing of this manuscript. </w:t>
      </w:r>
    </w:p>
    <w:p w14:paraId="7E8D0DD2" w14:textId="4D6712BE"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p>
    <w:p w14:paraId="045833D1"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p>
    <w:p w14:paraId="46C89C96"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 xml:space="preserve">Option 1: </w:t>
      </w:r>
    </w:p>
    <w:p w14:paraId="192C0128"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p>
    <w:p w14:paraId="48352D21"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Author(s) hereby declare that NO generative AI technologies such as Large Language Models (</w:t>
      </w:r>
      <w:proofErr w:type="spellStart"/>
      <w:r w:rsidRPr="00324C1E">
        <w:rPr>
          <w:rFonts w:asciiTheme="minorHAnsi" w:eastAsiaTheme="minorHAnsi" w:hAnsiTheme="minorHAnsi" w:cstheme="minorBidi"/>
          <w:kern w:val="2"/>
          <w:highlight w:val="yellow"/>
          <w14:ligatures w14:val="standardContextual"/>
        </w:rPr>
        <w:t>ChatGPT</w:t>
      </w:r>
      <w:proofErr w:type="spellEnd"/>
      <w:r w:rsidRPr="00324C1E">
        <w:rPr>
          <w:rFonts w:asciiTheme="minorHAnsi" w:eastAsiaTheme="minorHAnsi" w:hAnsiTheme="minorHAnsi" w:cstheme="minorBidi"/>
          <w:kern w:val="2"/>
          <w:highlight w:val="yellow"/>
          <w14:ligatures w14:val="standardContextual"/>
        </w:rPr>
        <w:t xml:space="preserve">, COPILOT, etc.) and text-to-image generators have been used during the writing or editing of this manuscript. </w:t>
      </w:r>
    </w:p>
    <w:p w14:paraId="3B111D69"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p>
    <w:p w14:paraId="1AA2177E"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 xml:space="preserve">Option 2: </w:t>
      </w:r>
    </w:p>
    <w:p w14:paraId="576C0826"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p>
    <w:p w14:paraId="66818FAA"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13716240"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p>
    <w:p w14:paraId="7FD2DD87"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Details of the AI usage are given below:</w:t>
      </w:r>
    </w:p>
    <w:p w14:paraId="578991A8"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1.</w:t>
      </w:r>
    </w:p>
    <w:p w14:paraId="53A5BF8F"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2.</w:t>
      </w:r>
    </w:p>
    <w:p w14:paraId="18B2AF83" w14:textId="77777777" w:rsidR="00324C1E" w:rsidRPr="00324C1E" w:rsidRDefault="00324C1E" w:rsidP="00324C1E">
      <w:pPr>
        <w:widowControl/>
        <w:autoSpaceDE/>
        <w:autoSpaceDN/>
        <w:spacing w:after="200" w:line="276" w:lineRule="auto"/>
        <w:rPr>
          <w:rFonts w:asciiTheme="minorHAnsi" w:eastAsiaTheme="minorHAnsi" w:hAnsiTheme="minorHAnsi" w:cstheme="minorBidi"/>
          <w:kern w:val="2"/>
          <w:highlight w:val="yellow"/>
          <w14:ligatures w14:val="standardContextual"/>
        </w:rPr>
      </w:pPr>
      <w:r w:rsidRPr="00324C1E">
        <w:rPr>
          <w:rFonts w:asciiTheme="minorHAnsi" w:eastAsiaTheme="minorHAnsi" w:hAnsiTheme="minorHAnsi" w:cstheme="minorBidi"/>
          <w:kern w:val="2"/>
          <w:highlight w:val="yellow"/>
          <w14:ligatures w14:val="standardContextual"/>
        </w:rPr>
        <w:t>3.</w:t>
      </w:r>
      <w:bookmarkEnd w:id="1"/>
      <w:bookmarkEnd w:id="2"/>
      <w:bookmarkEnd w:id="3"/>
    </w:p>
    <w:p w14:paraId="4CD8E0F4" w14:textId="77777777" w:rsidR="00424A55" w:rsidRDefault="00424A55" w:rsidP="006E5C5E">
      <w:pPr>
        <w:widowControl/>
        <w:autoSpaceDE/>
        <w:autoSpaceDN/>
        <w:spacing w:after="200" w:line="276" w:lineRule="auto"/>
        <w:ind w:left="274"/>
        <w:rPr>
          <w:b/>
          <w:bCs/>
          <w:color w:val="231F20"/>
          <w:sz w:val="24"/>
          <w:szCs w:val="24"/>
        </w:rPr>
      </w:pPr>
    </w:p>
    <w:p w14:paraId="373AD3EC" w14:textId="77777777" w:rsidR="00424A55" w:rsidRDefault="00424A55" w:rsidP="006E5C5E">
      <w:pPr>
        <w:widowControl/>
        <w:autoSpaceDE/>
        <w:autoSpaceDN/>
        <w:spacing w:after="200" w:line="276" w:lineRule="auto"/>
        <w:ind w:left="274"/>
        <w:rPr>
          <w:b/>
          <w:bCs/>
          <w:color w:val="231F20"/>
          <w:sz w:val="24"/>
          <w:szCs w:val="24"/>
        </w:rPr>
      </w:pPr>
    </w:p>
    <w:p w14:paraId="66E0D20F" w14:textId="77777777" w:rsidR="00424A55" w:rsidRDefault="00424A55" w:rsidP="006E5C5E">
      <w:pPr>
        <w:widowControl/>
        <w:autoSpaceDE/>
        <w:autoSpaceDN/>
        <w:spacing w:after="200" w:line="276" w:lineRule="auto"/>
        <w:ind w:left="274"/>
        <w:rPr>
          <w:b/>
          <w:bCs/>
          <w:color w:val="231F20"/>
          <w:sz w:val="24"/>
          <w:szCs w:val="24"/>
        </w:rPr>
      </w:pPr>
    </w:p>
    <w:p w14:paraId="59E774AC" w14:textId="77777777" w:rsidR="00424A55" w:rsidRDefault="00424A55" w:rsidP="006E5C5E">
      <w:pPr>
        <w:widowControl/>
        <w:autoSpaceDE/>
        <w:autoSpaceDN/>
        <w:spacing w:after="200" w:line="276" w:lineRule="auto"/>
        <w:ind w:left="274"/>
        <w:rPr>
          <w:b/>
          <w:bCs/>
          <w:color w:val="231F20"/>
          <w:sz w:val="24"/>
          <w:szCs w:val="24"/>
        </w:rPr>
      </w:pPr>
    </w:p>
    <w:p w14:paraId="1F73C18E" w14:textId="77777777" w:rsidR="006E5C5E" w:rsidRDefault="00D44381" w:rsidP="006E5C5E">
      <w:pPr>
        <w:widowControl/>
        <w:autoSpaceDE/>
        <w:autoSpaceDN/>
        <w:spacing w:after="200" w:line="276" w:lineRule="auto"/>
        <w:ind w:left="274"/>
        <w:rPr>
          <w:b/>
          <w:bCs/>
          <w:color w:val="231F20"/>
          <w:sz w:val="24"/>
          <w:szCs w:val="24"/>
        </w:rPr>
      </w:pPr>
      <w:r w:rsidRPr="006E5C5E">
        <w:rPr>
          <w:b/>
          <w:bCs/>
          <w:color w:val="231F20"/>
          <w:sz w:val="24"/>
          <w:szCs w:val="24"/>
        </w:rPr>
        <w:t>REFERENCES</w:t>
      </w:r>
    </w:p>
    <w:p w14:paraId="36D51A9C"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Basi S, Subedi LP, K C GB, Adhikari NR (2006) Cytogenetic effects of gamma rays on indica rice radha-4. J Inst Agric Anim Sci 27:25- 36.</w:t>
      </w:r>
    </w:p>
    <w:p w14:paraId="286AAB17"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Bhat TA, Khan AH, Parveen S (2006) Effect of gamma rays on certain cytomorphological parameters in two varieties of </w:t>
      </w:r>
      <w:r w:rsidRPr="00B15E73">
        <w:rPr>
          <w:i/>
          <w:iCs/>
          <w:color w:val="231F20"/>
          <w:sz w:val="24"/>
          <w:szCs w:val="24"/>
        </w:rPr>
        <w:t>Vicia faba</w:t>
      </w:r>
      <w:r w:rsidRPr="00D44381">
        <w:rPr>
          <w:color w:val="231F20"/>
          <w:sz w:val="24"/>
          <w:szCs w:val="24"/>
        </w:rPr>
        <w:t xml:space="preserve"> L. Adv Plant Sci 19:227-232.</w:t>
      </w:r>
    </w:p>
    <w:p w14:paraId="1F3251B9"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Bhat TA, Sharma M, Anis M (2007) Comparative analysis of meiotic aberrations induced by </w:t>
      </w:r>
      <w:proofErr w:type="spellStart"/>
      <w:r w:rsidRPr="00D44381">
        <w:rPr>
          <w:color w:val="231F20"/>
          <w:sz w:val="24"/>
          <w:szCs w:val="24"/>
        </w:rPr>
        <w:t>diethylsulphate</w:t>
      </w:r>
      <w:proofErr w:type="spellEnd"/>
      <w:r w:rsidRPr="00D44381">
        <w:rPr>
          <w:color w:val="231F20"/>
          <w:sz w:val="24"/>
          <w:szCs w:val="24"/>
        </w:rPr>
        <w:t xml:space="preserve"> and sodium </w:t>
      </w:r>
      <w:proofErr w:type="spellStart"/>
      <w:r w:rsidRPr="00D44381">
        <w:rPr>
          <w:color w:val="231F20"/>
          <w:sz w:val="24"/>
          <w:szCs w:val="24"/>
        </w:rPr>
        <w:t>azide</w:t>
      </w:r>
      <w:proofErr w:type="spellEnd"/>
      <w:r w:rsidRPr="00D44381">
        <w:rPr>
          <w:color w:val="231F20"/>
          <w:sz w:val="24"/>
          <w:szCs w:val="24"/>
        </w:rPr>
        <w:t xml:space="preserve"> in broad bean (</w:t>
      </w:r>
      <w:r w:rsidRPr="00B15E73">
        <w:rPr>
          <w:i/>
          <w:iCs/>
          <w:color w:val="231F20"/>
          <w:sz w:val="24"/>
          <w:szCs w:val="24"/>
        </w:rPr>
        <w:t>Vicia faba</w:t>
      </w:r>
      <w:r w:rsidRPr="00D44381">
        <w:rPr>
          <w:color w:val="231F20"/>
          <w:sz w:val="24"/>
          <w:szCs w:val="24"/>
        </w:rPr>
        <w:t xml:space="preserve"> L.). Asian J Plant Sci 6:1051-1057.</w:t>
      </w:r>
    </w:p>
    <w:p w14:paraId="6875DACE"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Evans HJ (1962) Chromosome aberrations induced by ionizing </w:t>
      </w:r>
      <w:proofErr w:type="spellStart"/>
      <w:r w:rsidRPr="00D44381">
        <w:rPr>
          <w:color w:val="231F20"/>
          <w:sz w:val="24"/>
          <w:szCs w:val="24"/>
        </w:rPr>
        <w:t>radia</w:t>
      </w:r>
      <w:proofErr w:type="spellEnd"/>
      <w:r w:rsidRPr="00D44381">
        <w:rPr>
          <w:color w:val="231F20"/>
          <w:sz w:val="24"/>
          <w:szCs w:val="24"/>
        </w:rPr>
        <w:t xml:space="preserve">- </w:t>
      </w:r>
      <w:proofErr w:type="spellStart"/>
      <w:r w:rsidRPr="00D44381">
        <w:rPr>
          <w:color w:val="231F20"/>
          <w:sz w:val="24"/>
          <w:szCs w:val="24"/>
        </w:rPr>
        <w:t>tions</w:t>
      </w:r>
      <w:proofErr w:type="spellEnd"/>
      <w:r w:rsidRPr="00D44381">
        <w:rPr>
          <w:color w:val="231F20"/>
          <w:sz w:val="24"/>
          <w:szCs w:val="24"/>
        </w:rPr>
        <w:t>. Int Rev Cytol 13:221-232.</w:t>
      </w:r>
    </w:p>
    <w:p w14:paraId="0C57FE4F" w14:textId="77777777" w:rsidR="002236ED" w:rsidRPr="00D44381" w:rsidRDefault="002236ED" w:rsidP="00D44381">
      <w:pPr>
        <w:widowControl/>
        <w:autoSpaceDE/>
        <w:autoSpaceDN/>
        <w:spacing w:after="200" w:line="276" w:lineRule="auto"/>
        <w:ind w:left="274"/>
        <w:jc w:val="both"/>
        <w:rPr>
          <w:color w:val="231F20"/>
          <w:sz w:val="24"/>
          <w:szCs w:val="24"/>
        </w:rPr>
      </w:pPr>
      <w:r w:rsidRPr="002236ED">
        <w:rPr>
          <w:color w:val="231F20"/>
          <w:sz w:val="24"/>
          <w:szCs w:val="24"/>
        </w:rPr>
        <w:t>Bhat, T.A., Gulfishan, M. and Wani, A.A. 2017. Cytomixis: Causes and Consequences as a Case Study in Vicia faba L. In Chromosome Structure and Aberrations (pp. 331-342). Springer, New Delhi. biological sciences. 21(5): 465-472.</w:t>
      </w:r>
    </w:p>
    <w:p w14:paraId="26C3DEA3"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Gulfishan M, Khan AH, Jafri IF, Bhat TA (2012) Assessment of </w:t>
      </w:r>
      <w:proofErr w:type="spellStart"/>
      <w:r w:rsidRPr="00D44381">
        <w:rPr>
          <w:color w:val="231F20"/>
          <w:sz w:val="24"/>
          <w:szCs w:val="24"/>
        </w:rPr>
        <w:t>muta</w:t>
      </w:r>
      <w:proofErr w:type="spellEnd"/>
      <w:r w:rsidRPr="00D44381">
        <w:rPr>
          <w:color w:val="231F20"/>
          <w:sz w:val="24"/>
          <w:szCs w:val="24"/>
        </w:rPr>
        <w:t xml:space="preserve">- </w:t>
      </w:r>
      <w:proofErr w:type="spellStart"/>
      <w:r w:rsidRPr="00D44381">
        <w:rPr>
          <w:color w:val="231F20"/>
          <w:sz w:val="24"/>
          <w:szCs w:val="24"/>
        </w:rPr>
        <w:t>genicity</w:t>
      </w:r>
      <w:proofErr w:type="spellEnd"/>
      <w:r w:rsidRPr="00D44381">
        <w:rPr>
          <w:color w:val="231F20"/>
          <w:sz w:val="24"/>
          <w:szCs w:val="24"/>
        </w:rPr>
        <w:t xml:space="preserve"> induced by MMS and DES in Capsicum annuum L. Saudi J Biol Sc 19:251-255.</w:t>
      </w:r>
    </w:p>
    <w:p w14:paraId="4340E70F" w14:textId="77777777" w:rsidR="00DF6C3A" w:rsidRPr="00DF6C3A" w:rsidRDefault="00DF6C3A" w:rsidP="00DF6C3A">
      <w:pPr>
        <w:widowControl/>
        <w:autoSpaceDE/>
        <w:autoSpaceDN/>
        <w:spacing w:after="200" w:line="276" w:lineRule="auto"/>
        <w:ind w:left="274"/>
        <w:jc w:val="both"/>
        <w:rPr>
          <w:color w:val="231F20"/>
          <w:sz w:val="24"/>
          <w:szCs w:val="24"/>
        </w:rPr>
      </w:pPr>
      <w:r w:rsidRPr="00DF6C3A">
        <w:rPr>
          <w:color w:val="231F20"/>
          <w:sz w:val="24"/>
          <w:szCs w:val="24"/>
        </w:rPr>
        <w:t>Gulfishan</w:t>
      </w:r>
      <w:r w:rsidR="00B15E73">
        <w:rPr>
          <w:color w:val="231F20"/>
          <w:sz w:val="24"/>
          <w:szCs w:val="24"/>
        </w:rPr>
        <w:t xml:space="preserve"> M.</w:t>
      </w:r>
      <w:r w:rsidRPr="00DF6C3A">
        <w:rPr>
          <w:color w:val="231F20"/>
          <w:sz w:val="24"/>
          <w:szCs w:val="24"/>
        </w:rPr>
        <w:t xml:space="preserve">, TA Bhat, A Jahan. 2023. DNA repair pathways and genes in plants. </w:t>
      </w:r>
      <w:r>
        <w:rPr>
          <w:color w:val="231F20"/>
          <w:sz w:val="24"/>
          <w:szCs w:val="24"/>
        </w:rPr>
        <w:t xml:space="preserve">IN: </w:t>
      </w:r>
      <w:r w:rsidRPr="00DF6C3A">
        <w:rPr>
          <w:color w:val="231F20"/>
          <w:sz w:val="24"/>
          <w:szCs w:val="24"/>
        </w:rPr>
        <w:t>Biotechnologies and Genetics in Plant Mutation Breeding, 109-129</w:t>
      </w:r>
    </w:p>
    <w:p w14:paraId="2BED0E1B" w14:textId="77777777" w:rsidR="00DF6C3A" w:rsidRPr="00D44381" w:rsidRDefault="00B15E73" w:rsidP="00DF6C3A">
      <w:pPr>
        <w:widowControl/>
        <w:autoSpaceDE/>
        <w:autoSpaceDN/>
        <w:spacing w:after="200" w:line="276" w:lineRule="auto"/>
        <w:ind w:left="274"/>
        <w:jc w:val="both"/>
        <w:rPr>
          <w:color w:val="231F20"/>
          <w:sz w:val="24"/>
          <w:szCs w:val="24"/>
        </w:rPr>
      </w:pPr>
      <w:r w:rsidRPr="00DF6C3A">
        <w:rPr>
          <w:color w:val="231F20"/>
          <w:sz w:val="24"/>
          <w:szCs w:val="24"/>
        </w:rPr>
        <w:t>Gulfishan</w:t>
      </w:r>
      <w:r>
        <w:rPr>
          <w:color w:val="231F20"/>
          <w:sz w:val="24"/>
          <w:szCs w:val="24"/>
        </w:rPr>
        <w:t xml:space="preserve"> M.</w:t>
      </w:r>
      <w:r w:rsidRPr="00DF6C3A">
        <w:rPr>
          <w:color w:val="231F20"/>
          <w:sz w:val="24"/>
          <w:szCs w:val="24"/>
        </w:rPr>
        <w:t xml:space="preserve">, </w:t>
      </w:r>
      <w:r w:rsidR="00DF6C3A" w:rsidRPr="00DF6C3A">
        <w:rPr>
          <w:color w:val="231F20"/>
          <w:sz w:val="24"/>
          <w:szCs w:val="24"/>
        </w:rPr>
        <w:t>TA Bhat, RA Mir, A Jahan, F Shabir, SA Khan. 2023. Plant mutagenesis: terms and applications. IN: Biotechnologies and Genetics in Plant Mutation Breeding, 157-171</w:t>
      </w:r>
    </w:p>
    <w:p w14:paraId="4042EB9D"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Gomez KA, Gomez AA (1984) Statistical procedures for agricultural research. 2nd Edition, John Wiley and Sons, New York.</w:t>
      </w:r>
    </w:p>
    <w:p w14:paraId="6255BCA7" w14:textId="77777777" w:rsidR="00D44381" w:rsidRPr="00D44381" w:rsidRDefault="00D44381" w:rsidP="00D44381">
      <w:pPr>
        <w:widowControl/>
        <w:autoSpaceDE/>
        <w:autoSpaceDN/>
        <w:spacing w:after="200" w:line="276" w:lineRule="auto"/>
        <w:ind w:left="274"/>
        <w:jc w:val="both"/>
        <w:rPr>
          <w:color w:val="231F20"/>
          <w:sz w:val="24"/>
          <w:szCs w:val="24"/>
        </w:rPr>
      </w:pPr>
      <w:proofErr w:type="spellStart"/>
      <w:r w:rsidRPr="00D44381">
        <w:rPr>
          <w:color w:val="231F20"/>
          <w:sz w:val="24"/>
          <w:szCs w:val="24"/>
        </w:rPr>
        <w:t>Khah</w:t>
      </w:r>
      <w:proofErr w:type="spellEnd"/>
      <w:r w:rsidRPr="00D44381">
        <w:rPr>
          <w:color w:val="231F20"/>
          <w:sz w:val="24"/>
          <w:szCs w:val="24"/>
        </w:rPr>
        <w:t xml:space="preserve"> MA, </w:t>
      </w:r>
      <w:proofErr w:type="spellStart"/>
      <w:r w:rsidRPr="00D44381">
        <w:rPr>
          <w:color w:val="231F20"/>
          <w:sz w:val="24"/>
          <w:szCs w:val="24"/>
        </w:rPr>
        <w:t>Verma</w:t>
      </w:r>
      <w:proofErr w:type="spellEnd"/>
      <w:r w:rsidRPr="00D44381">
        <w:rPr>
          <w:color w:val="231F20"/>
          <w:sz w:val="24"/>
          <w:szCs w:val="24"/>
        </w:rPr>
        <w:t xml:space="preserve"> RC (2015) Assessment of the effects of gamma </w:t>
      </w:r>
      <w:proofErr w:type="spellStart"/>
      <w:r w:rsidRPr="00D44381">
        <w:rPr>
          <w:color w:val="231F20"/>
          <w:sz w:val="24"/>
          <w:szCs w:val="24"/>
        </w:rPr>
        <w:t>radi</w:t>
      </w:r>
      <w:proofErr w:type="spellEnd"/>
      <w:r w:rsidRPr="00D44381">
        <w:rPr>
          <w:color w:val="231F20"/>
          <w:sz w:val="24"/>
          <w:szCs w:val="24"/>
        </w:rPr>
        <w:t xml:space="preserve">- </w:t>
      </w:r>
      <w:proofErr w:type="spellStart"/>
      <w:r w:rsidRPr="00D44381">
        <w:rPr>
          <w:color w:val="231F20"/>
          <w:sz w:val="24"/>
          <w:szCs w:val="24"/>
        </w:rPr>
        <w:t>ations</w:t>
      </w:r>
      <w:proofErr w:type="spellEnd"/>
      <w:r w:rsidRPr="00D44381">
        <w:rPr>
          <w:color w:val="231F20"/>
          <w:sz w:val="24"/>
          <w:szCs w:val="24"/>
        </w:rPr>
        <w:t xml:space="preserve"> on various morphological and agronomic traits of common wheat (</w:t>
      </w:r>
      <w:r w:rsidRPr="00B15E73">
        <w:rPr>
          <w:i/>
          <w:iCs/>
          <w:color w:val="231F20"/>
          <w:sz w:val="24"/>
          <w:szCs w:val="24"/>
        </w:rPr>
        <w:t>Triticum aestivum</w:t>
      </w:r>
      <w:r w:rsidRPr="00D44381">
        <w:rPr>
          <w:color w:val="231F20"/>
          <w:sz w:val="24"/>
          <w:szCs w:val="24"/>
        </w:rPr>
        <w:t xml:space="preserve"> L.) var. WH-147. European Journal of Experimental Biology 5:6-11</w:t>
      </w:r>
    </w:p>
    <w:p w14:paraId="0E332B9C" w14:textId="77777777" w:rsidR="00D44381" w:rsidRPr="00D44381" w:rsidRDefault="00D44381" w:rsidP="00D44381">
      <w:pPr>
        <w:widowControl/>
        <w:autoSpaceDE/>
        <w:autoSpaceDN/>
        <w:spacing w:after="200" w:line="276" w:lineRule="auto"/>
        <w:ind w:left="274"/>
        <w:jc w:val="both"/>
        <w:rPr>
          <w:color w:val="231F20"/>
          <w:sz w:val="24"/>
          <w:szCs w:val="24"/>
        </w:rPr>
      </w:pPr>
      <w:proofErr w:type="spellStart"/>
      <w:r w:rsidRPr="00D44381">
        <w:rPr>
          <w:color w:val="231F20"/>
          <w:sz w:val="24"/>
          <w:szCs w:val="24"/>
        </w:rPr>
        <w:t>Khah</w:t>
      </w:r>
      <w:proofErr w:type="spellEnd"/>
      <w:r w:rsidRPr="00D44381">
        <w:rPr>
          <w:color w:val="231F20"/>
          <w:sz w:val="24"/>
          <w:szCs w:val="24"/>
        </w:rPr>
        <w:t xml:space="preserve"> MA, </w:t>
      </w:r>
      <w:proofErr w:type="spellStart"/>
      <w:r w:rsidRPr="00D44381">
        <w:rPr>
          <w:color w:val="231F20"/>
          <w:sz w:val="24"/>
          <w:szCs w:val="24"/>
        </w:rPr>
        <w:t>Verma</w:t>
      </w:r>
      <w:proofErr w:type="spellEnd"/>
      <w:r w:rsidRPr="00D44381">
        <w:rPr>
          <w:color w:val="231F20"/>
          <w:sz w:val="24"/>
          <w:szCs w:val="24"/>
        </w:rPr>
        <w:t xml:space="preserve"> RC (2017b) Cytological characterization of induced multiple translocation heterozygote in pearl millet (</w:t>
      </w:r>
      <w:r w:rsidRPr="00B15E73">
        <w:rPr>
          <w:i/>
          <w:iCs/>
          <w:color w:val="231F20"/>
          <w:sz w:val="24"/>
          <w:szCs w:val="24"/>
        </w:rPr>
        <w:t>Pennisetum glaucum</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82:443-447.</w:t>
      </w:r>
    </w:p>
    <w:p w14:paraId="5C1CCA73"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Kolar FA, Pai SR, Dixit GB (2013) EMS, sodium </w:t>
      </w:r>
      <w:proofErr w:type="spellStart"/>
      <w:r w:rsidRPr="00D44381">
        <w:rPr>
          <w:color w:val="231F20"/>
          <w:sz w:val="24"/>
          <w:szCs w:val="24"/>
        </w:rPr>
        <w:t>azide</w:t>
      </w:r>
      <w:proofErr w:type="spellEnd"/>
      <w:r w:rsidRPr="00D44381">
        <w:rPr>
          <w:color w:val="231F20"/>
          <w:sz w:val="24"/>
          <w:szCs w:val="24"/>
        </w:rPr>
        <w:t xml:space="preserve"> and gamma rays induced meiotic anomalies in </w:t>
      </w:r>
      <w:r w:rsidRPr="00B15E73">
        <w:rPr>
          <w:i/>
          <w:iCs/>
          <w:color w:val="231F20"/>
          <w:sz w:val="24"/>
          <w:szCs w:val="24"/>
        </w:rPr>
        <w:t xml:space="preserve">Delphinium </w:t>
      </w:r>
      <w:proofErr w:type="spellStart"/>
      <w:r w:rsidRPr="00B15E73">
        <w:rPr>
          <w:i/>
          <w:iCs/>
          <w:color w:val="231F20"/>
          <w:sz w:val="24"/>
          <w:szCs w:val="24"/>
        </w:rPr>
        <w:t>malabaricum</w:t>
      </w:r>
      <w:proofErr w:type="spellEnd"/>
      <w:r w:rsidRPr="00D44381">
        <w:rPr>
          <w:color w:val="231F20"/>
          <w:sz w:val="24"/>
          <w:szCs w:val="24"/>
        </w:rPr>
        <w:t xml:space="preserve"> (</w:t>
      </w:r>
      <w:proofErr w:type="spellStart"/>
      <w:r w:rsidRPr="00D44381">
        <w:rPr>
          <w:color w:val="231F20"/>
          <w:sz w:val="24"/>
          <w:szCs w:val="24"/>
        </w:rPr>
        <w:t>Huth</w:t>
      </w:r>
      <w:proofErr w:type="spellEnd"/>
      <w:r w:rsidRPr="00D44381">
        <w:rPr>
          <w:color w:val="231F20"/>
          <w:sz w:val="24"/>
          <w:szCs w:val="24"/>
        </w:rPr>
        <w:t xml:space="preserve">) </w:t>
      </w:r>
      <w:proofErr w:type="spellStart"/>
      <w:r w:rsidRPr="00D44381">
        <w:rPr>
          <w:color w:val="231F20"/>
          <w:sz w:val="24"/>
          <w:szCs w:val="24"/>
        </w:rPr>
        <w:t>Munz</w:t>
      </w:r>
      <w:proofErr w:type="spellEnd"/>
      <w:r w:rsidRPr="00D44381">
        <w:rPr>
          <w:color w:val="231F20"/>
          <w:sz w:val="24"/>
          <w:szCs w:val="24"/>
        </w:rPr>
        <w:t>. Israel J Plant Sci 61:64-72.</w:t>
      </w:r>
    </w:p>
    <w:p w14:paraId="578F8241" w14:textId="77777777" w:rsidR="00B15E73" w:rsidRDefault="00B15E73" w:rsidP="00D44381">
      <w:pPr>
        <w:widowControl/>
        <w:autoSpaceDE/>
        <w:autoSpaceDN/>
        <w:spacing w:after="200" w:line="276" w:lineRule="auto"/>
        <w:ind w:left="274"/>
        <w:jc w:val="both"/>
        <w:rPr>
          <w:color w:val="231F20"/>
          <w:sz w:val="24"/>
          <w:szCs w:val="24"/>
        </w:rPr>
      </w:pPr>
      <w:r w:rsidRPr="00B15E73">
        <w:rPr>
          <w:color w:val="231F20"/>
          <w:sz w:val="24"/>
          <w:szCs w:val="24"/>
        </w:rPr>
        <w:lastRenderedPageBreak/>
        <w:t xml:space="preserve">Kolar F.R., Pai S.R. &amp; Dixit G.B. (2014). EMS, sodium </w:t>
      </w:r>
      <w:proofErr w:type="spellStart"/>
      <w:r w:rsidRPr="00B15E73">
        <w:rPr>
          <w:color w:val="231F20"/>
          <w:sz w:val="24"/>
          <w:szCs w:val="24"/>
        </w:rPr>
        <w:t>azide</w:t>
      </w:r>
      <w:proofErr w:type="spellEnd"/>
      <w:r w:rsidRPr="00B15E73">
        <w:rPr>
          <w:color w:val="231F20"/>
          <w:sz w:val="24"/>
          <w:szCs w:val="24"/>
        </w:rPr>
        <w:t xml:space="preserve"> and gamma rays induced meiotic anomalies in </w:t>
      </w:r>
      <w:r w:rsidRPr="00B15E73">
        <w:rPr>
          <w:i/>
          <w:iCs/>
          <w:color w:val="231F20"/>
          <w:sz w:val="24"/>
          <w:szCs w:val="24"/>
        </w:rPr>
        <w:t xml:space="preserve">Delphinium </w:t>
      </w:r>
      <w:proofErr w:type="spellStart"/>
      <w:r w:rsidRPr="00B15E73">
        <w:rPr>
          <w:i/>
          <w:iCs/>
          <w:color w:val="231F20"/>
          <w:sz w:val="24"/>
          <w:szCs w:val="24"/>
        </w:rPr>
        <w:t>malabaricum</w:t>
      </w:r>
      <w:proofErr w:type="spellEnd"/>
      <w:r w:rsidRPr="00B15E73">
        <w:rPr>
          <w:color w:val="231F20"/>
          <w:sz w:val="24"/>
          <w:szCs w:val="24"/>
        </w:rPr>
        <w:t xml:space="preserve"> (</w:t>
      </w:r>
      <w:proofErr w:type="spellStart"/>
      <w:r w:rsidRPr="00B15E73">
        <w:rPr>
          <w:color w:val="231F20"/>
          <w:sz w:val="24"/>
          <w:szCs w:val="24"/>
        </w:rPr>
        <w:t>Huth</w:t>
      </w:r>
      <w:proofErr w:type="spellEnd"/>
      <w:r w:rsidRPr="00B15E73">
        <w:rPr>
          <w:color w:val="231F20"/>
          <w:sz w:val="24"/>
          <w:szCs w:val="24"/>
        </w:rPr>
        <w:t xml:space="preserve">) </w:t>
      </w:r>
      <w:proofErr w:type="spellStart"/>
      <w:r w:rsidRPr="00B15E73">
        <w:rPr>
          <w:color w:val="231F20"/>
          <w:sz w:val="24"/>
          <w:szCs w:val="24"/>
        </w:rPr>
        <w:t>Munz</w:t>
      </w:r>
      <w:proofErr w:type="spellEnd"/>
      <w:r w:rsidRPr="00B15E73">
        <w:rPr>
          <w:color w:val="231F20"/>
          <w:sz w:val="24"/>
          <w:szCs w:val="24"/>
        </w:rPr>
        <w:t>. Israel Journal of Plant Sciences 61: 1-9.</w:t>
      </w:r>
    </w:p>
    <w:p w14:paraId="3784E7B5" w14:textId="77777777" w:rsidR="002236ED" w:rsidRPr="00D44381" w:rsidRDefault="002236ED" w:rsidP="00D44381">
      <w:pPr>
        <w:widowControl/>
        <w:autoSpaceDE/>
        <w:autoSpaceDN/>
        <w:spacing w:after="200" w:line="276" w:lineRule="auto"/>
        <w:ind w:left="274"/>
        <w:jc w:val="both"/>
        <w:rPr>
          <w:color w:val="231F20"/>
          <w:sz w:val="24"/>
          <w:szCs w:val="24"/>
        </w:rPr>
      </w:pPr>
      <w:proofErr w:type="spellStart"/>
      <w:r w:rsidRPr="002236ED">
        <w:rPr>
          <w:color w:val="231F20"/>
          <w:sz w:val="24"/>
          <w:szCs w:val="24"/>
        </w:rPr>
        <w:t>Kolhe</w:t>
      </w:r>
      <w:proofErr w:type="spellEnd"/>
      <w:r w:rsidRPr="002236ED">
        <w:rPr>
          <w:color w:val="231F20"/>
          <w:sz w:val="24"/>
          <w:szCs w:val="24"/>
        </w:rPr>
        <w:t xml:space="preserve"> P.N., </w:t>
      </w:r>
      <w:proofErr w:type="spellStart"/>
      <w:r w:rsidRPr="002236ED">
        <w:rPr>
          <w:color w:val="231F20"/>
          <w:sz w:val="24"/>
          <w:szCs w:val="24"/>
        </w:rPr>
        <w:t>Varne</w:t>
      </w:r>
      <w:proofErr w:type="spellEnd"/>
      <w:r w:rsidRPr="002236ED">
        <w:rPr>
          <w:color w:val="231F20"/>
          <w:sz w:val="24"/>
          <w:szCs w:val="24"/>
        </w:rPr>
        <w:t xml:space="preserve"> M.D., Deshmukh S.N., Harke S.N. &amp; Wagh S.G., (2020). Assessment of Mutagenicity Induced by Different Mutagens in Coriander (</w:t>
      </w:r>
      <w:r w:rsidRPr="00B15E73">
        <w:rPr>
          <w:i/>
          <w:iCs/>
          <w:color w:val="231F20"/>
          <w:sz w:val="24"/>
          <w:szCs w:val="24"/>
        </w:rPr>
        <w:t>Coriandrum sativum</w:t>
      </w:r>
      <w:r w:rsidRPr="002236ED">
        <w:rPr>
          <w:color w:val="231F20"/>
          <w:sz w:val="24"/>
          <w:szCs w:val="24"/>
        </w:rPr>
        <w:t xml:space="preserve"> L.). Biotechnology Journal International. 24(5): 12-21,</w:t>
      </w:r>
    </w:p>
    <w:p w14:paraId="00B9DA68"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Kumar G, Gupta P (2007) Mutagenic efficiency of lower doses of gam- ma rays in black cumin (</w:t>
      </w:r>
      <w:r w:rsidRPr="00B15E73">
        <w:rPr>
          <w:i/>
          <w:iCs/>
          <w:color w:val="231F20"/>
          <w:sz w:val="24"/>
          <w:szCs w:val="24"/>
        </w:rPr>
        <w:t>Nigella sativa</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72:435-440.</w:t>
      </w:r>
    </w:p>
    <w:p w14:paraId="74FC7E7A"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Kumar G, Rai PK (2007) EMS induced karyomorphological variations in maize (</w:t>
      </w:r>
      <w:proofErr w:type="spellStart"/>
      <w:r w:rsidRPr="00B15E73">
        <w:rPr>
          <w:i/>
          <w:iCs/>
          <w:color w:val="231F20"/>
          <w:sz w:val="24"/>
          <w:szCs w:val="24"/>
        </w:rPr>
        <w:t>Zea</w:t>
      </w:r>
      <w:proofErr w:type="spellEnd"/>
      <w:r w:rsidRPr="00B15E73">
        <w:rPr>
          <w:i/>
          <w:iCs/>
          <w:color w:val="231F20"/>
          <w:sz w:val="24"/>
          <w:szCs w:val="24"/>
        </w:rPr>
        <w:t xml:space="preserve"> mays</w:t>
      </w:r>
      <w:r w:rsidRPr="00D44381">
        <w:rPr>
          <w:color w:val="231F20"/>
          <w:sz w:val="24"/>
          <w:szCs w:val="24"/>
        </w:rPr>
        <w:t xml:space="preserve"> L.) inbreds. Turk J Biol 31:187-195.</w:t>
      </w:r>
    </w:p>
    <w:p w14:paraId="158CFF17"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Levin DA (2002) The role of chromosomal change in plant evolution.</w:t>
      </w:r>
      <w:r>
        <w:rPr>
          <w:color w:val="231F20"/>
          <w:sz w:val="24"/>
          <w:szCs w:val="24"/>
        </w:rPr>
        <w:t xml:space="preserve"> </w:t>
      </w:r>
      <w:r w:rsidRPr="00D44381">
        <w:rPr>
          <w:color w:val="231F20"/>
          <w:sz w:val="24"/>
          <w:szCs w:val="24"/>
        </w:rPr>
        <w:t>Oxford University Press.</w:t>
      </w:r>
    </w:p>
    <w:p w14:paraId="5D22E29B" w14:textId="77777777" w:rsid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Marcu D, Damian G, Cosma C, Cristea V (2013) Gamma radiation </w:t>
      </w:r>
      <w:proofErr w:type="spellStart"/>
      <w:r w:rsidRPr="00D44381">
        <w:rPr>
          <w:color w:val="231F20"/>
          <w:sz w:val="24"/>
          <w:szCs w:val="24"/>
        </w:rPr>
        <w:t>ef</w:t>
      </w:r>
      <w:proofErr w:type="spellEnd"/>
      <w:r w:rsidRPr="00D44381">
        <w:rPr>
          <w:color w:val="231F20"/>
          <w:sz w:val="24"/>
          <w:szCs w:val="24"/>
        </w:rPr>
        <w:t xml:space="preserve">- </w:t>
      </w:r>
      <w:proofErr w:type="spellStart"/>
      <w:r w:rsidRPr="00D44381">
        <w:rPr>
          <w:color w:val="231F20"/>
          <w:sz w:val="24"/>
          <w:szCs w:val="24"/>
        </w:rPr>
        <w:t>fects</w:t>
      </w:r>
      <w:proofErr w:type="spellEnd"/>
      <w:r w:rsidRPr="00D44381">
        <w:rPr>
          <w:color w:val="231F20"/>
          <w:sz w:val="24"/>
          <w:szCs w:val="24"/>
        </w:rPr>
        <w:t xml:space="preserve"> on seed germination, growth and pigment content, and ESR study of induced free radicals in maize (</w:t>
      </w:r>
      <w:proofErr w:type="spellStart"/>
      <w:r w:rsidRPr="00B15E73">
        <w:rPr>
          <w:i/>
          <w:iCs/>
          <w:color w:val="231F20"/>
          <w:sz w:val="24"/>
          <w:szCs w:val="24"/>
        </w:rPr>
        <w:t>Zea</w:t>
      </w:r>
      <w:proofErr w:type="spellEnd"/>
      <w:r w:rsidRPr="00B15E73">
        <w:rPr>
          <w:i/>
          <w:iCs/>
          <w:color w:val="231F20"/>
          <w:sz w:val="24"/>
          <w:szCs w:val="24"/>
        </w:rPr>
        <w:t xml:space="preserve"> mays</w:t>
      </w:r>
      <w:r w:rsidRPr="00D44381">
        <w:rPr>
          <w:color w:val="231F20"/>
          <w:sz w:val="24"/>
          <w:szCs w:val="24"/>
        </w:rPr>
        <w:t>). J Biol Phys</w:t>
      </w:r>
      <w:r>
        <w:rPr>
          <w:color w:val="231F20"/>
          <w:sz w:val="24"/>
          <w:szCs w:val="24"/>
        </w:rPr>
        <w:t xml:space="preserve"> </w:t>
      </w:r>
      <w:r w:rsidRPr="00D44381">
        <w:rPr>
          <w:color w:val="231F20"/>
          <w:sz w:val="24"/>
          <w:szCs w:val="24"/>
        </w:rPr>
        <w:t>39:625-634.</w:t>
      </w:r>
    </w:p>
    <w:p w14:paraId="1E5C3891" w14:textId="77777777" w:rsidR="00805DB2" w:rsidRDefault="00805DB2" w:rsidP="00D44381">
      <w:pPr>
        <w:widowControl/>
        <w:autoSpaceDE/>
        <w:autoSpaceDN/>
        <w:spacing w:after="200" w:line="276" w:lineRule="auto"/>
        <w:ind w:left="274"/>
        <w:jc w:val="both"/>
        <w:rPr>
          <w:color w:val="231F20"/>
          <w:sz w:val="24"/>
          <w:szCs w:val="24"/>
        </w:rPr>
      </w:pPr>
      <w:r w:rsidRPr="00805DB2">
        <w:rPr>
          <w:color w:val="231F20"/>
          <w:sz w:val="24"/>
          <w:szCs w:val="24"/>
        </w:rPr>
        <w:t>A Raina, MR Wani, RA Laskar, S Khan. 2022. Chemical mutagenesis: role in breeding and biofortification of lentil (</w:t>
      </w:r>
      <w:r w:rsidRPr="00B15E73">
        <w:rPr>
          <w:i/>
          <w:iCs/>
          <w:color w:val="231F20"/>
          <w:sz w:val="24"/>
          <w:szCs w:val="24"/>
        </w:rPr>
        <w:t xml:space="preserve">Lens </w:t>
      </w:r>
      <w:proofErr w:type="spellStart"/>
      <w:r w:rsidRPr="00B15E73">
        <w:rPr>
          <w:i/>
          <w:iCs/>
          <w:color w:val="231F20"/>
          <w:sz w:val="24"/>
          <w:szCs w:val="24"/>
        </w:rPr>
        <w:t>culinaris</w:t>
      </w:r>
      <w:proofErr w:type="spellEnd"/>
      <w:r w:rsidRPr="00805DB2">
        <w:rPr>
          <w:color w:val="231F20"/>
          <w:sz w:val="24"/>
          <w:szCs w:val="24"/>
        </w:rPr>
        <w:t xml:space="preserve"> </w:t>
      </w:r>
      <w:proofErr w:type="spellStart"/>
      <w:r w:rsidRPr="00805DB2">
        <w:rPr>
          <w:color w:val="231F20"/>
          <w:sz w:val="24"/>
          <w:szCs w:val="24"/>
        </w:rPr>
        <w:t>Medik</w:t>
      </w:r>
      <w:proofErr w:type="spellEnd"/>
      <w:r w:rsidRPr="00805DB2">
        <w:rPr>
          <w:color w:val="231F20"/>
          <w:sz w:val="24"/>
          <w:szCs w:val="24"/>
        </w:rPr>
        <w:t>) mutant lines. Molecular Biology Reports 49 (12), 11313-11325</w:t>
      </w:r>
    </w:p>
    <w:p w14:paraId="52F2C780" w14:textId="77777777" w:rsidR="00DF6C3A" w:rsidRDefault="00DF6C3A" w:rsidP="00D44381">
      <w:pPr>
        <w:widowControl/>
        <w:autoSpaceDE/>
        <w:autoSpaceDN/>
        <w:spacing w:after="200" w:line="276" w:lineRule="auto"/>
        <w:ind w:left="274"/>
        <w:jc w:val="both"/>
        <w:rPr>
          <w:color w:val="231F20"/>
          <w:sz w:val="24"/>
          <w:szCs w:val="24"/>
        </w:rPr>
      </w:pPr>
      <w:r w:rsidRPr="00DF6C3A">
        <w:rPr>
          <w:color w:val="231F20"/>
          <w:sz w:val="24"/>
          <w:szCs w:val="24"/>
        </w:rPr>
        <w:t xml:space="preserve">A Raina, D Laskar, R Amin, MR Wani, S Khan, P Ahmad. 2022. Gamma rays and sodium </w:t>
      </w:r>
      <w:proofErr w:type="spellStart"/>
      <w:r w:rsidRPr="00DF6C3A">
        <w:rPr>
          <w:color w:val="231F20"/>
          <w:sz w:val="24"/>
          <w:szCs w:val="24"/>
        </w:rPr>
        <w:t>azide</w:t>
      </w:r>
      <w:proofErr w:type="spellEnd"/>
      <w:r w:rsidRPr="00DF6C3A">
        <w:rPr>
          <w:color w:val="231F20"/>
          <w:sz w:val="24"/>
          <w:szCs w:val="24"/>
        </w:rPr>
        <w:t xml:space="preserve"> induced genetic variability in high yielding and biofortified mutant lines in cowpea [</w:t>
      </w:r>
      <w:r w:rsidRPr="00B15E73">
        <w:rPr>
          <w:i/>
          <w:iCs/>
          <w:color w:val="231F20"/>
          <w:sz w:val="24"/>
          <w:szCs w:val="24"/>
        </w:rPr>
        <w:t xml:space="preserve">Vigna unguiculata </w:t>
      </w:r>
      <w:r w:rsidRPr="00DF6C3A">
        <w:rPr>
          <w:color w:val="231F20"/>
          <w:sz w:val="24"/>
          <w:szCs w:val="24"/>
        </w:rPr>
        <w:t>(L.) Walp.] Frontiers in Plant Science, 1605</w:t>
      </w:r>
      <w:r>
        <w:rPr>
          <w:color w:val="231F20"/>
          <w:sz w:val="24"/>
          <w:szCs w:val="24"/>
        </w:rPr>
        <w:t>.</w:t>
      </w:r>
    </w:p>
    <w:p w14:paraId="46DC5583" w14:textId="77777777" w:rsidR="00DF6C3A" w:rsidRPr="00D44381" w:rsidRDefault="00DF6C3A" w:rsidP="00D44381">
      <w:pPr>
        <w:widowControl/>
        <w:autoSpaceDE/>
        <w:autoSpaceDN/>
        <w:spacing w:after="200" w:line="276" w:lineRule="auto"/>
        <w:ind w:left="274"/>
        <w:jc w:val="both"/>
        <w:rPr>
          <w:color w:val="231F20"/>
          <w:sz w:val="24"/>
          <w:szCs w:val="24"/>
        </w:rPr>
      </w:pPr>
      <w:r w:rsidRPr="00DF6C3A">
        <w:rPr>
          <w:color w:val="231F20"/>
          <w:sz w:val="24"/>
          <w:szCs w:val="24"/>
        </w:rPr>
        <w:t>Salve KM</w:t>
      </w:r>
      <w:r>
        <w:rPr>
          <w:color w:val="231F20"/>
          <w:sz w:val="24"/>
          <w:szCs w:val="24"/>
        </w:rPr>
        <w:t>.</w:t>
      </w:r>
      <w:r w:rsidRPr="00DF6C3A">
        <w:rPr>
          <w:color w:val="231F20"/>
          <w:sz w:val="24"/>
          <w:szCs w:val="24"/>
        </w:rPr>
        <w:t xml:space="preserve"> 2023. Effectiveness and Relative Efficiency of Mutagens in Coriandrum Sativum Linn. Int. J. of Life Sciences, 2023; 11 (3): 375-378</w:t>
      </w:r>
    </w:p>
    <w:p w14:paraId="0DC95E88"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Saylor LG, Smith BN (1966) Meiotic irregularities in species of inter- specific hybrids in Pinus. Am J Bot 53:453-468.</w:t>
      </w:r>
    </w:p>
    <w:p w14:paraId="013C3604" w14:textId="77777777" w:rsidR="002236ED" w:rsidRPr="00D44381" w:rsidRDefault="002236ED" w:rsidP="00D44381">
      <w:pPr>
        <w:widowControl/>
        <w:autoSpaceDE/>
        <w:autoSpaceDN/>
        <w:spacing w:after="200" w:line="276" w:lineRule="auto"/>
        <w:ind w:left="274"/>
        <w:jc w:val="both"/>
        <w:rPr>
          <w:color w:val="231F20"/>
          <w:sz w:val="24"/>
          <w:szCs w:val="24"/>
        </w:rPr>
      </w:pPr>
      <w:proofErr w:type="spellStart"/>
      <w:r w:rsidRPr="002236ED">
        <w:rPr>
          <w:color w:val="231F20"/>
          <w:sz w:val="24"/>
          <w:szCs w:val="24"/>
        </w:rPr>
        <w:t>Souguir</w:t>
      </w:r>
      <w:proofErr w:type="spellEnd"/>
      <w:r w:rsidRPr="002236ED">
        <w:rPr>
          <w:color w:val="231F20"/>
          <w:sz w:val="24"/>
          <w:szCs w:val="24"/>
        </w:rPr>
        <w:t xml:space="preserve">, D., </w:t>
      </w:r>
      <w:proofErr w:type="spellStart"/>
      <w:r w:rsidRPr="002236ED">
        <w:rPr>
          <w:color w:val="231F20"/>
          <w:sz w:val="24"/>
          <w:szCs w:val="24"/>
        </w:rPr>
        <w:t>Abd</w:t>
      </w:r>
      <w:proofErr w:type="spellEnd"/>
      <w:r w:rsidRPr="002236ED">
        <w:rPr>
          <w:color w:val="231F20"/>
          <w:sz w:val="24"/>
          <w:szCs w:val="24"/>
        </w:rPr>
        <w:t xml:space="preserve">‐ </w:t>
      </w:r>
      <w:proofErr w:type="spellStart"/>
      <w:r w:rsidRPr="002236ED">
        <w:rPr>
          <w:color w:val="231F20"/>
          <w:sz w:val="24"/>
          <w:szCs w:val="24"/>
        </w:rPr>
        <w:t>Alla</w:t>
      </w:r>
      <w:proofErr w:type="spellEnd"/>
      <w:r w:rsidRPr="002236ED">
        <w:rPr>
          <w:color w:val="231F20"/>
          <w:sz w:val="24"/>
          <w:szCs w:val="24"/>
        </w:rPr>
        <w:t xml:space="preserve">, H.I., </w:t>
      </w:r>
      <w:proofErr w:type="spellStart"/>
      <w:r w:rsidRPr="002236ED">
        <w:rPr>
          <w:color w:val="231F20"/>
          <w:sz w:val="24"/>
          <w:szCs w:val="24"/>
        </w:rPr>
        <w:t>Hörmann</w:t>
      </w:r>
      <w:proofErr w:type="spellEnd"/>
      <w:r w:rsidRPr="002236ED">
        <w:rPr>
          <w:color w:val="231F20"/>
          <w:sz w:val="24"/>
          <w:szCs w:val="24"/>
        </w:rPr>
        <w:t xml:space="preserve">, G. and </w:t>
      </w:r>
      <w:proofErr w:type="spellStart"/>
      <w:r w:rsidRPr="002236ED">
        <w:rPr>
          <w:color w:val="231F20"/>
          <w:sz w:val="24"/>
          <w:szCs w:val="24"/>
        </w:rPr>
        <w:t>Hachicha</w:t>
      </w:r>
      <w:proofErr w:type="spellEnd"/>
      <w:r w:rsidRPr="002236ED">
        <w:rPr>
          <w:color w:val="231F20"/>
          <w:sz w:val="24"/>
          <w:szCs w:val="24"/>
        </w:rPr>
        <w:t>, M. 2018. Chromosomal and Nuclear Alterations in the Root Tip Cells of Vicia faba Induced by Sodium Chloride</w:t>
      </w:r>
      <w:r w:rsidR="00B15E73">
        <w:rPr>
          <w:color w:val="231F20"/>
          <w:sz w:val="24"/>
          <w:szCs w:val="24"/>
        </w:rPr>
        <w:t>.</w:t>
      </w:r>
      <w:r w:rsidRPr="002236ED">
        <w:rPr>
          <w:color w:val="231F20"/>
          <w:sz w:val="24"/>
          <w:szCs w:val="24"/>
        </w:rPr>
        <w:t xml:space="preserve"> Water Environment Research, 90(2), pp.164- 171.</w:t>
      </w:r>
    </w:p>
    <w:p w14:paraId="7DF0EA2D" w14:textId="77777777" w:rsidR="00D44381" w:rsidRPr="00D44381" w:rsidRDefault="00D44381" w:rsidP="00D44381">
      <w:pPr>
        <w:widowControl/>
        <w:autoSpaceDE/>
        <w:autoSpaceDN/>
        <w:spacing w:after="200" w:line="276" w:lineRule="auto"/>
        <w:ind w:left="274"/>
        <w:jc w:val="both"/>
        <w:rPr>
          <w:color w:val="231F20"/>
          <w:sz w:val="24"/>
          <w:szCs w:val="24"/>
        </w:rPr>
      </w:pPr>
      <w:proofErr w:type="spellStart"/>
      <w:r w:rsidRPr="00D44381">
        <w:rPr>
          <w:color w:val="231F20"/>
          <w:sz w:val="24"/>
          <w:szCs w:val="24"/>
        </w:rPr>
        <w:t>Tarar</w:t>
      </w:r>
      <w:proofErr w:type="spellEnd"/>
      <w:r w:rsidRPr="00D44381">
        <w:rPr>
          <w:color w:val="231F20"/>
          <w:sz w:val="24"/>
          <w:szCs w:val="24"/>
        </w:rPr>
        <w:t xml:space="preserve"> JL, </w:t>
      </w:r>
      <w:proofErr w:type="spellStart"/>
      <w:r w:rsidRPr="00D44381">
        <w:rPr>
          <w:color w:val="231F20"/>
          <w:sz w:val="24"/>
          <w:szCs w:val="24"/>
        </w:rPr>
        <w:t>Dnyansagar</w:t>
      </w:r>
      <w:proofErr w:type="spellEnd"/>
      <w:r w:rsidRPr="00D44381">
        <w:rPr>
          <w:color w:val="231F20"/>
          <w:sz w:val="24"/>
          <w:szCs w:val="24"/>
        </w:rPr>
        <w:t xml:space="preserve"> VR (1983) Effect of gamma rays and ethyl meth- </w:t>
      </w:r>
      <w:proofErr w:type="spellStart"/>
      <w:r w:rsidRPr="00D44381">
        <w:rPr>
          <w:color w:val="231F20"/>
          <w:sz w:val="24"/>
          <w:szCs w:val="24"/>
        </w:rPr>
        <w:t>ane</w:t>
      </w:r>
      <w:proofErr w:type="spellEnd"/>
      <w:r w:rsidRPr="00D44381">
        <w:rPr>
          <w:color w:val="231F20"/>
          <w:sz w:val="24"/>
          <w:szCs w:val="24"/>
        </w:rPr>
        <w:t xml:space="preserve"> </w:t>
      </w:r>
      <w:proofErr w:type="spellStart"/>
      <w:r w:rsidRPr="00D44381">
        <w:rPr>
          <w:color w:val="231F20"/>
          <w:sz w:val="24"/>
          <w:szCs w:val="24"/>
        </w:rPr>
        <w:t>sulfonate</w:t>
      </w:r>
      <w:proofErr w:type="spellEnd"/>
      <w:r w:rsidRPr="00D44381">
        <w:rPr>
          <w:color w:val="231F20"/>
          <w:sz w:val="24"/>
          <w:szCs w:val="24"/>
        </w:rPr>
        <w:t xml:space="preserve"> on seed germination and survival of seedlings in </w:t>
      </w:r>
      <w:proofErr w:type="spellStart"/>
      <w:r w:rsidRPr="00B15E73">
        <w:rPr>
          <w:i/>
          <w:iCs/>
          <w:color w:val="231F20"/>
          <w:sz w:val="24"/>
          <w:szCs w:val="24"/>
        </w:rPr>
        <w:t>Turnera</w:t>
      </w:r>
      <w:proofErr w:type="spellEnd"/>
      <w:r w:rsidRPr="00B15E73">
        <w:rPr>
          <w:i/>
          <w:iCs/>
          <w:color w:val="231F20"/>
          <w:sz w:val="24"/>
          <w:szCs w:val="24"/>
        </w:rPr>
        <w:t xml:space="preserve"> </w:t>
      </w:r>
      <w:proofErr w:type="spellStart"/>
      <w:r w:rsidRPr="00B15E73">
        <w:rPr>
          <w:i/>
          <w:iCs/>
          <w:color w:val="231F20"/>
          <w:sz w:val="24"/>
          <w:szCs w:val="24"/>
        </w:rPr>
        <w:t>ulmifolia</w:t>
      </w:r>
      <w:proofErr w:type="spellEnd"/>
      <w:r w:rsidRPr="00D44381">
        <w:rPr>
          <w:color w:val="231F20"/>
          <w:sz w:val="24"/>
          <w:szCs w:val="24"/>
        </w:rPr>
        <w:t xml:space="preserve"> Linn. var. angustifolia Willd. Ind J Bot 6:10-18.</w:t>
      </w:r>
    </w:p>
    <w:p w14:paraId="1E54BF6E"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Tripathi R, Kumar G (2010) Genetic loss through heavy metal induced chromosomal stickiness in Grass pea. </w:t>
      </w:r>
      <w:proofErr w:type="spellStart"/>
      <w:r w:rsidRPr="00D44381">
        <w:rPr>
          <w:color w:val="231F20"/>
          <w:sz w:val="24"/>
          <w:szCs w:val="24"/>
        </w:rPr>
        <w:t>Caryologia</w:t>
      </w:r>
      <w:proofErr w:type="spellEnd"/>
      <w:r w:rsidRPr="00D44381">
        <w:rPr>
          <w:color w:val="231F20"/>
          <w:sz w:val="24"/>
          <w:szCs w:val="24"/>
        </w:rPr>
        <w:t xml:space="preserve"> 63:223-228.</w:t>
      </w:r>
    </w:p>
    <w:p w14:paraId="3440A060"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lastRenderedPageBreak/>
        <w:t xml:space="preserve">Verma RC, Raina SN (1990) Cytogenetics of Crotalaria IV. Induced translocation lines in </w:t>
      </w:r>
      <w:r w:rsidRPr="00B15E73">
        <w:rPr>
          <w:i/>
          <w:iCs/>
          <w:color w:val="231F20"/>
          <w:sz w:val="24"/>
          <w:szCs w:val="24"/>
        </w:rPr>
        <w:t>C. juncea</w:t>
      </w:r>
      <w:r w:rsidRPr="00D44381">
        <w:rPr>
          <w:color w:val="231F20"/>
          <w:sz w:val="24"/>
          <w:szCs w:val="24"/>
        </w:rPr>
        <w:t>. Nucleus 33:11-14.</w:t>
      </w:r>
    </w:p>
    <w:p w14:paraId="2E554C4E" w14:textId="77777777" w:rsidR="00D44381" w:rsidRPr="00D44381" w:rsidRDefault="00D44381" w:rsidP="00D44381">
      <w:pPr>
        <w:widowControl/>
        <w:autoSpaceDE/>
        <w:autoSpaceDN/>
        <w:spacing w:after="200" w:line="276" w:lineRule="auto"/>
        <w:ind w:left="274"/>
        <w:jc w:val="both"/>
        <w:rPr>
          <w:color w:val="231F20"/>
          <w:sz w:val="24"/>
          <w:szCs w:val="24"/>
        </w:rPr>
      </w:pPr>
      <w:proofErr w:type="spellStart"/>
      <w:r w:rsidRPr="00D44381">
        <w:rPr>
          <w:color w:val="231F20"/>
          <w:sz w:val="24"/>
          <w:szCs w:val="24"/>
        </w:rPr>
        <w:t>Verma</w:t>
      </w:r>
      <w:proofErr w:type="spellEnd"/>
      <w:r w:rsidRPr="00D44381">
        <w:rPr>
          <w:color w:val="231F20"/>
          <w:sz w:val="24"/>
          <w:szCs w:val="24"/>
        </w:rPr>
        <w:t xml:space="preserve"> RC, </w:t>
      </w:r>
      <w:proofErr w:type="spellStart"/>
      <w:r w:rsidRPr="00D44381">
        <w:rPr>
          <w:color w:val="231F20"/>
          <w:sz w:val="24"/>
          <w:szCs w:val="24"/>
        </w:rPr>
        <w:t>Khah</w:t>
      </w:r>
      <w:proofErr w:type="spellEnd"/>
      <w:r w:rsidRPr="00D44381">
        <w:rPr>
          <w:color w:val="231F20"/>
          <w:sz w:val="24"/>
          <w:szCs w:val="24"/>
        </w:rPr>
        <w:t xml:space="preserve"> MA (2016) Assessment of gamma rays induced cyto- toxicity in common wheat (</w:t>
      </w:r>
      <w:r w:rsidRPr="00B15E73">
        <w:rPr>
          <w:i/>
          <w:iCs/>
          <w:color w:val="231F20"/>
          <w:sz w:val="24"/>
          <w:szCs w:val="24"/>
        </w:rPr>
        <w:t>Triticum aestivum</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81:41- 45.</w:t>
      </w:r>
    </w:p>
    <w:p w14:paraId="195D267A"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Verma RC, Shrivastava P (2014) Radiation induced reciprocal trans- locations in Safflower (</w:t>
      </w:r>
      <w:r w:rsidRPr="00B15E73">
        <w:rPr>
          <w:i/>
          <w:iCs/>
          <w:color w:val="231F20"/>
          <w:sz w:val="24"/>
          <w:szCs w:val="24"/>
        </w:rPr>
        <w:t>Carthamus tinctorius</w:t>
      </w:r>
      <w:r w:rsidRPr="00D44381">
        <w:rPr>
          <w:color w:val="231F20"/>
          <w:sz w:val="24"/>
          <w:szCs w:val="24"/>
        </w:rPr>
        <w:t xml:space="preserve"> L.). </w:t>
      </w:r>
      <w:proofErr w:type="spellStart"/>
      <w:r w:rsidRPr="00D44381">
        <w:rPr>
          <w:color w:val="231F20"/>
          <w:sz w:val="24"/>
          <w:szCs w:val="24"/>
        </w:rPr>
        <w:t>Cytologia</w:t>
      </w:r>
      <w:proofErr w:type="spellEnd"/>
      <w:r w:rsidRPr="00D44381">
        <w:rPr>
          <w:color w:val="231F20"/>
          <w:sz w:val="24"/>
          <w:szCs w:val="24"/>
        </w:rPr>
        <w:t xml:space="preserve"> 79:541- 545.</w:t>
      </w:r>
    </w:p>
    <w:p w14:paraId="2599DD81"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Verma RC, Raina SN (1991) Cytogenetics of Crotalaria. VII. In- </w:t>
      </w:r>
      <w:proofErr w:type="spellStart"/>
      <w:r w:rsidRPr="00D44381">
        <w:rPr>
          <w:color w:val="231F20"/>
          <w:sz w:val="24"/>
          <w:szCs w:val="24"/>
        </w:rPr>
        <w:t>duced</w:t>
      </w:r>
      <w:proofErr w:type="spellEnd"/>
      <w:r w:rsidRPr="00D44381">
        <w:rPr>
          <w:color w:val="231F20"/>
          <w:sz w:val="24"/>
          <w:szCs w:val="24"/>
        </w:rPr>
        <w:t xml:space="preserve"> </w:t>
      </w:r>
      <w:proofErr w:type="spellStart"/>
      <w:r w:rsidRPr="00D44381">
        <w:rPr>
          <w:color w:val="231F20"/>
          <w:sz w:val="24"/>
          <w:szCs w:val="24"/>
        </w:rPr>
        <w:t>cytochimeral</w:t>
      </w:r>
      <w:proofErr w:type="spellEnd"/>
      <w:r w:rsidRPr="00D44381">
        <w:rPr>
          <w:color w:val="231F20"/>
          <w:sz w:val="24"/>
          <w:szCs w:val="24"/>
        </w:rPr>
        <w:t xml:space="preserve"> and </w:t>
      </w:r>
      <w:proofErr w:type="spellStart"/>
      <w:r w:rsidRPr="00D44381">
        <w:rPr>
          <w:color w:val="231F20"/>
          <w:sz w:val="24"/>
          <w:szCs w:val="24"/>
        </w:rPr>
        <w:t>asynaptic</w:t>
      </w:r>
      <w:proofErr w:type="spellEnd"/>
      <w:r w:rsidRPr="00D44381">
        <w:rPr>
          <w:color w:val="231F20"/>
          <w:sz w:val="24"/>
          <w:szCs w:val="24"/>
        </w:rPr>
        <w:t xml:space="preserve"> mutants of </w:t>
      </w:r>
      <w:r w:rsidRPr="00B15E73">
        <w:rPr>
          <w:i/>
          <w:iCs/>
          <w:color w:val="231F20"/>
          <w:sz w:val="24"/>
          <w:szCs w:val="24"/>
        </w:rPr>
        <w:t xml:space="preserve">Crotalaria </w:t>
      </w:r>
      <w:proofErr w:type="spellStart"/>
      <w:r w:rsidRPr="00B15E73">
        <w:rPr>
          <w:i/>
          <w:iCs/>
          <w:color w:val="231F20"/>
          <w:sz w:val="24"/>
          <w:szCs w:val="24"/>
        </w:rPr>
        <w:t>juncea</w:t>
      </w:r>
      <w:proofErr w:type="spellEnd"/>
      <w:r w:rsidRPr="00D44381">
        <w:rPr>
          <w:color w:val="231F20"/>
          <w:sz w:val="24"/>
          <w:szCs w:val="24"/>
        </w:rPr>
        <w:t xml:space="preserve"> (</w:t>
      </w:r>
      <w:proofErr w:type="spellStart"/>
      <w:r w:rsidRPr="00D44381">
        <w:rPr>
          <w:color w:val="231F20"/>
          <w:sz w:val="24"/>
          <w:szCs w:val="24"/>
        </w:rPr>
        <w:t>Sunnhemp</w:t>
      </w:r>
      <w:proofErr w:type="spellEnd"/>
      <w:r w:rsidRPr="00D44381">
        <w:rPr>
          <w:color w:val="231F20"/>
          <w:sz w:val="24"/>
          <w:szCs w:val="24"/>
        </w:rPr>
        <w:t>). Indian J Genet Plant Breed 51:315-319.</w:t>
      </w:r>
    </w:p>
    <w:p w14:paraId="1AD366C5" w14:textId="77777777" w:rsidR="00D44381" w:rsidRPr="00D44381"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Verma RC, Sharma R (2000) Radiation induced cytological changes in</w:t>
      </w:r>
      <w:r>
        <w:rPr>
          <w:color w:val="231F20"/>
          <w:sz w:val="24"/>
          <w:szCs w:val="24"/>
        </w:rPr>
        <w:t xml:space="preserve"> </w:t>
      </w:r>
      <w:r w:rsidRPr="00B15E73">
        <w:rPr>
          <w:i/>
          <w:iCs/>
          <w:color w:val="231F20"/>
          <w:sz w:val="24"/>
          <w:szCs w:val="24"/>
        </w:rPr>
        <w:t xml:space="preserve">Phlox </w:t>
      </w:r>
      <w:proofErr w:type="spellStart"/>
      <w:r w:rsidRPr="00B15E73">
        <w:rPr>
          <w:i/>
          <w:iCs/>
          <w:color w:val="231F20"/>
          <w:sz w:val="24"/>
          <w:szCs w:val="24"/>
        </w:rPr>
        <w:t>drummondii</w:t>
      </w:r>
      <w:proofErr w:type="spellEnd"/>
      <w:r w:rsidR="00B15E73">
        <w:rPr>
          <w:color w:val="231F20"/>
          <w:sz w:val="24"/>
          <w:szCs w:val="24"/>
        </w:rPr>
        <w:t>.</w:t>
      </w:r>
      <w:r w:rsidRPr="00D44381">
        <w:rPr>
          <w:color w:val="231F20"/>
          <w:sz w:val="24"/>
          <w:szCs w:val="24"/>
        </w:rPr>
        <w:t xml:space="preserve"> J Cytol Genet 1:33-39.</w:t>
      </w:r>
    </w:p>
    <w:p w14:paraId="3B1A634A" w14:textId="77777777" w:rsidR="00C63BD8" w:rsidRDefault="00D44381" w:rsidP="00D44381">
      <w:pPr>
        <w:widowControl/>
        <w:autoSpaceDE/>
        <w:autoSpaceDN/>
        <w:spacing w:after="200" w:line="276" w:lineRule="auto"/>
        <w:ind w:left="274"/>
        <w:jc w:val="both"/>
        <w:rPr>
          <w:color w:val="231F20"/>
          <w:sz w:val="24"/>
          <w:szCs w:val="24"/>
        </w:rPr>
      </w:pPr>
      <w:r w:rsidRPr="00D44381">
        <w:rPr>
          <w:color w:val="231F20"/>
          <w:sz w:val="24"/>
          <w:szCs w:val="24"/>
        </w:rPr>
        <w:t xml:space="preserve">Wani AA, Anis M (2013) Spectrum and frequency of meiotic </w:t>
      </w:r>
      <w:proofErr w:type="spellStart"/>
      <w:r w:rsidRPr="00D44381">
        <w:rPr>
          <w:color w:val="231F20"/>
          <w:sz w:val="24"/>
          <w:szCs w:val="24"/>
        </w:rPr>
        <w:t>aber</w:t>
      </w:r>
      <w:proofErr w:type="spellEnd"/>
      <w:r w:rsidRPr="00D44381">
        <w:rPr>
          <w:color w:val="231F20"/>
          <w:sz w:val="24"/>
          <w:szCs w:val="24"/>
        </w:rPr>
        <w:t xml:space="preserve">- rations induced by gamma rays and EMS in </w:t>
      </w:r>
      <w:r w:rsidRPr="00B15E73">
        <w:rPr>
          <w:i/>
          <w:iCs/>
          <w:color w:val="231F20"/>
          <w:sz w:val="24"/>
          <w:szCs w:val="24"/>
        </w:rPr>
        <w:t xml:space="preserve">Cicer arietinum </w:t>
      </w:r>
      <w:r w:rsidRPr="00D44381">
        <w:rPr>
          <w:color w:val="231F20"/>
          <w:sz w:val="24"/>
          <w:szCs w:val="24"/>
        </w:rPr>
        <w:t>L. Chrom Sci 16:11-16.</w:t>
      </w:r>
    </w:p>
    <w:p w14:paraId="7E5FF1E9" w14:textId="77777777" w:rsidR="00C63BD8" w:rsidRDefault="00C63BD8">
      <w:pPr>
        <w:widowControl/>
        <w:autoSpaceDE/>
        <w:autoSpaceDN/>
        <w:spacing w:after="200" w:line="276" w:lineRule="auto"/>
        <w:rPr>
          <w:color w:val="231F20"/>
          <w:sz w:val="24"/>
          <w:szCs w:val="24"/>
        </w:rPr>
      </w:pPr>
      <w:r>
        <w:rPr>
          <w:color w:val="231F20"/>
          <w:sz w:val="24"/>
          <w:szCs w:val="24"/>
        </w:rPr>
        <w:br w:type="page"/>
      </w:r>
    </w:p>
    <w:p w14:paraId="41D0644A" w14:textId="77777777" w:rsidR="00C63BD8" w:rsidRDefault="00C63BD8" w:rsidP="00C63BD8">
      <w:pPr>
        <w:ind w:left="720" w:hanging="720"/>
        <w:jc w:val="both"/>
        <w:rPr>
          <w:color w:val="231F20"/>
          <w:w w:val="90"/>
          <w:sz w:val="24"/>
          <w:szCs w:val="24"/>
        </w:rPr>
      </w:pPr>
      <w:r w:rsidRPr="00CE1B1B">
        <w:rPr>
          <w:color w:val="231F20"/>
          <w:w w:val="90"/>
          <w:sz w:val="24"/>
          <w:szCs w:val="24"/>
        </w:rPr>
        <w:lastRenderedPageBreak/>
        <w:t xml:space="preserve"> </w:t>
      </w:r>
      <w:r w:rsidRPr="00FE40EB">
        <w:rPr>
          <w:b/>
          <w:bCs/>
          <w:color w:val="231F20"/>
          <w:w w:val="90"/>
          <w:sz w:val="24"/>
          <w:szCs w:val="24"/>
        </w:rPr>
        <w:t>Table</w:t>
      </w:r>
      <w:r w:rsidRPr="00FE40EB">
        <w:rPr>
          <w:b/>
          <w:bCs/>
          <w:color w:val="231F20"/>
          <w:spacing w:val="4"/>
          <w:w w:val="90"/>
          <w:sz w:val="24"/>
          <w:szCs w:val="24"/>
        </w:rPr>
        <w:t xml:space="preserve"> </w:t>
      </w:r>
      <w:r w:rsidRPr="00FE40EB">
        <w:rPr>
          <w:b/>
          <w:bCs/>
          <w:color w:val="231F20"/>
          <w:w w:val="90"/>
          <w:sz w:val="24"/>
          <w:szCs w:val="24"/>
        </w:rPr>
        <w:t>1</w:t>
      </w:r>
      <w:r w:rsidRPr="00CE1B1B">
        <w:rPr>
          <w:color w:val="231F20"/>
          <w:w w:val="90"/>
          <w:sz w:val="24"/>
          <w:szCs w:val="24"/>
        </w:rPr>
        <w:t>.</w:t>
      </w:r>
      <w:r w:rsidRPr="00CE1B1B">
        <w:rPr>
          <w:color w:val="231F20"/>
          <w:spacing w:val="4"/>
          <w:w w:val="90"/>
          <w:sz w:val="24"/>
          <w:szCs w:val="24"/>
        </w:rPr>
        <w:t xml:space="preserve"> </w:t>
      </w:r>
      <w:r w:rsidRPr="00CE1B1B">
        <w:rPr>
          <w:color w:val="231F20"/>
          <w:w w:val="90"/>
          <w:sz w:val="24"/>
          <w:szCs w:val="24"/>
        </w:rPr>
        <w:t>Effect</w:t>
      </w:r>
      <w:r w:rsidRPr="00CE1B1B">
        <w:rPr>
          <w:color w:val="231F20"/>
          <w:spacing w:val="4"/>
          <w:w w:val="90"/>
          <w:sz w:val="24"/>
          <w:szCs w:val="24"/>
        </w:rPr>
        <w:t xml:space="preserve"> </w:t>
      </w:r>
      <w:r w:rsidRPr="00CE1B1B">
        <w:rPr>
          <w:color w:val="231F20"/>
          <w:w w:val="90"/>
          <w:sz w:val="24"/>
          <w:szCs w:val="24"/>
        </w:rPr>
        <w:t>of</w:t>
      </w:r>
      <w:r w:rsidRPr="00CE1B1B">
        <w:rPr>
          <w:color w:val="231F20"/>
          <w:spacing w:val="5"/>
          <w:w w:val="90"/>
          <w:sz w:val="24"/>
          <w:szCs w:val="24"/>
        </w:rPr>
        <w:t xml:space="preserve"> </w:t>
      </w:r>
      <w:r w:rsidRPr="00CE1B1B">
        <w:rPr>
          <w:color w:val="231F20"/>
          <w:w w:val="90"/>
          <w:sz w:val="24"/>
          <w:szCs w:val="24"/>
        </w:rPr>
        <w:t>different treatment doses</w:t>
      </w:r>
      <w:r w:rsidRPr="00CE1B1B">
        <w:rPr>
          <w:color w:val="231F20"/>
          <w:spacing w:val="4"/>
          <w:w w:val="90"/>
          <w:sz w:val="24"/>
          <w:szCs w:val="24"/>
        </w:rPr>
        <w:t xml:space="preserve"> </w:t>
      </w:r>
      <w:r w:rsidRPr="00CE1B1B">
        <w:rPr>
          <w:color w:val="231F20"/>
          <w:w w:val="90"/>
          <w:sz w:val="24"/>
          <w:szCs w:val="24"/>
        </w:rPr>
        <w:t>of</w:t>
      </w:r>
      <w:r w:rsidRPr="00CE1B1B">
        <w:rPr>
          <w:color w:val="231F20"/>
          <w:spacing w:val="4"/>
          <w:w w:val="90"/>
          <w:sz w:val="24"/>
          <w:szCs w:val="24"/>
        </w:rPr>
        <w:t xml:space="preserve"> </w:t>
      </w:r>
      <w:r w:rsidRPr="00CE1B1B">
        <w:rPr>
          <w:color w:val="231F20"/>
          <w:w w:val="90"/>
          <w:sz w:val="24"/>
          <w:szCs w:val="24"/>
        </w:rPr>
        <w:t>gamma</w:t>
      </w:r>
      <w:r w:rsidRPr="00CE1B1B">
        <w:rPr>
          <w:color w:val="231F20"/>
          <w:spacing w:val="5"/>
          <w:w w:val="90"/>
          <w:sz w:val="24"/>
          <w:szCs w:val="24"/>
        </w:rPr>
        <w:t xml:space="preserve"> </w:t>
      </w:r>
      <w:r w:rsidRPr="00CE1B1B">
        <w:rPr>
          <w:color w:val="231F20"/>
          <w:w w:val="90"/>
          <w:sz w:val="24"/>
          <w:szCs w:val="24"/>
        </w:rPr>
        <w:t>radiations</w:t>
      </w:r>
      <w:r w:rsidRPr="00CE1B1B">
        <w:rPr>
          <w:color w:val="231F20"/>
          <w:spacing w:val="4"/>
          <w:w w:val="90"/>
          <w:sz w:val="24"/>
          <w:szCs w:val="24"/>
        </w:rPr>
        <w:t xml:space="preserve"> </w:t>
      </w:r>
      <w:r w:rsidRPr="00CE1B1B">
        <w:rPr>
          <w:color w:val="231F20"/>
          <w:w w:val="90"/>
          <w:sz w:val="24"/>
          <w:szCs w:val="24"/>
        </w:rPr>
        <w:t>on</w:t>
      </w:r>
      <w:r w:rsidRPr="00CE1B1B">
        <w:rPr>
          <w:color w:val="231F20"/>
          <w:spacing w:val="4"/>
          <w:w w:val="90"/>
          <w:sz w:val="24"/>
          <w:szCs w:val="24"/>
        </w:rPr>
        <w:t xml:space="preserve"> </w:t>
      </w:r>
      <w:r w:rsidRPr="00CE1B1B">
        <w:rPr>
          <w:color w:val="231F20"/>
          <w:w w:val="90"/>
          <w:sz w:val="24"/>
          <w:szCs w:val="24"/>
        </w:rPr>
        <w:t>germination</w:t>
      </w:r>
      <w:r w:rsidRPr="00CE1B1B">
        <w:rPr>
          <w:color w:val="231F20"/>
          <w:spacing w:val="5"/>
          <w:w w:val="90"/>
          <w:sz w:val="24"/>
          <w:szCs w:val="24"/>
        </w:rPr>
        <w:t xml:space="preserve"> </w:t>
      </w:r>
      <w:r w:rsidRPr="00CE1B1B">
        <w:rPr>
          <w:color w:val="231F20"/>
          <w:w w:val="90"/>
          <w:sz w:val="24"/>
          <w:szCs w:val="24"/>
        </w:rPr>
        <w:t>and</w:t>
      </w:r>
      <w:r w:rsidRPr="00CE1B1B">
        <w:rPr>
          <w:color w:val="231F20"/>
          <w:spacing w:val="4"/>
          <w:w w:val="90"/>
          <w:sz w:val="24"/>
          <w:szCs w:val="24"/>
        </w:rPr>
        <w:t xml:space="preserve"> </w:t>
      </w:r>
      <w:r w:rsidRPr="00CE1B1B">
        <w:rPr>
          <w:color w:val="231F20"/>
          <w:w w:val="90"/>
          <w:sz w:val="24"/>
          <w:szCs w:val="24"/>
        </w:rPr>
        <w:t>survival</w:t>
      </w:r>
      <w:r w:rsidRPr="00CE1B1B">
        <w:rPr>
          <w:color w:val="231F20"/>
          <w:spacing w:val="5"/>
          <w:w w:val="90"/>
          <w:sz w:val="24"/>
          <w:szCs w:val="24"/>
        </w:rPr>
        <w:t xml:space="preserve"> of </w:t>
      </w:r>
      <w:r w:rsidRPr="00CE1B1B">
        <w:rPr>
          <w:i/>
          <w:color w:val="231F20"/>
          <w:w w:val="90"/>
          <w:sz w:val="24"/>
          <w:szCs w:val="24"/>
        </w:rPr>
        <w:t>Coriandrum sativum</w:t>
      </w:r>
      <w:r w:rsidRPr="00CE1B1B">
        <w:rPr>
          <w:i/>
          <w:color w:val="231F20"/>
          <w:spacing w:val="4"/>
          <w:w w:val="90"/>
          <w:sz w:val="24"/>
          <w:szCs w:val="24"/>
        </w:rPr>
        <w:t xml:space="preserve"> </w:t>
      </w:r>
      <w:r w:rsidRPr="00CE1B1B">
        <w:rPr>
          <w:color w:val="231F20"/>
          <w:w w:val="90"/>
          <w:sz w:val="24"/>
          <w:szCs w:val="24"/>
        </w:rPr>
        <w:t>L. plants.</w:t>
      </w:r>
    </w:p>
    <w:tbl>
      <w:tblPr>
        <w:tblpPr w:leftFromText="180" w:rightFromText="180" w:vertAnchor="page" w:horzAnchor="margin" w:tblpY="22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68"/>
        <w:gridCol w:w="732"/>
        <w:gridCol w:w="619"/>
        <w:gridCol w:w="726"/>
        <w:gridCol w:w="780"/>
        <w:gridCol w:w="707"/>
        <w:gridCol w:w="733"/>
        <w:gridCol w:w="657"/>
        <w:gridCol w:w="938"/>
        <w:gridCol w:w="1105"/>
        <w:gridCol w:w="969"/>
      </w:tblGrid>
      <w:tr w:rsidR="00C63BD8" w:rsidRPr="00DA5EFD" w14:paraId="2ABC47B2" w14:textId="77777777" w:rsidTr="00C63BD8">
        <w:trPr>
          <w:trHeight w:val="403"/>
        </w:trPr>
        <w:tc>
          <w:tcPr>
            <w:tcW w:w="1368" w:type="dxa"/>
          </w:tcPr>
          <w:p w14:paraId="72A45368" w14:textId="77777777" w:rsidR="00C63BD8" w:rsidRPr="00DA5EFD" w:rsidRDefault="00C63BD8" w:rsidP="00C63BD8">
            <w:pPr>
              <w:pStyle w:val="TableParagraph"/>
              <w:spacing w:before="105" w:line="240" w:lineRule="auto"/>
              <w:ind w:left="178" w:right="129"/>
              <w:rPr>
                <w:rFonts w:ascii="Times New Roman" w:hAnsi="Times New Roman" w:cs="Times New Roman"/>
                <w:sz w:val="20"/>
                <w:szCs w:val="20"/>
              </w:rPr>
            </w:pPr>
            <w:r w:rsidRPr="00DA5EFD">
              <w:rPr>
                <w:rFonts w:ascii="Times New Roman" w:hAnsi="Times New Roman" w:cs="Times New Roman"/>
                <w:color w:val="231F20"/>
                <w:w w:val="90"/>
                <w:sz w:val="20"/>
                <w:szCs w:val="20"/>
              </w:rPr>
              <w:t>Irradiation</w:t>
            </w:r>
            <w:r w:rsidRPr="00DA5EFD">
              <w:rPr>
                <w:rFonts w:ascii="Times New Roman" w:hAnsi="Times New Roman" w:cs="Times New Roman"/>
                <w:color w:val="231F20"/>
                <w:spacing w:val="4"/>
                <w:w w:val="90"/>
                <w:sz w:val="20"/>
                <w:szCs w:val="20"/>
              </w:rPr>
              <w:t xml:space="preserve"> </w:t>
            </w:r>
            <w:r w:rsidRPr="00DA5EFD">
              <w:rPr>
                <w:rFonts w:ascii="Times New Roman" w:hAnsi="Times New Roman" w:cs="Times New Roman"/>
                <w:color w:val="231F20"/>
                <w:w w:val="90"/>
                <w:sz w:val="20"/>
                <w:szCs w:val="20"/>
              </w:rPr>
              <w:t>dose</w:t>
            </w:r>
          </w:p>
        </w:tc>
        <w:tc>
          <w:tcPr>
            <w:tcW w:w="732" w:type="dxa"/>
          </w:tcPr>
          <w:p w14:paraId="2520A588" w14:textId="77777777" w:rsidR="00C63BD8" w:rsidRPr="00DA5EFD" w:rsidRDefault="00C63BD8" w:rsidP="00C63BD8">
            <w:pPr>
              <w:pStyle w:val="TableParagraph"/>
              <w:tabs>
                <w:tab w:val="left" w:pos="495"/>
              </w:tabs>
              <w:spacing w:before="0" w:line="183" w:lineRule="exact"/>
              <w:ind w:left="49" w:right="-15"/>
              <w:rPr>
                <w:rFonts w:ascii="Times New Roman" w:hAnsi="Times New Roman" w:cs="Times New Roman"/>
                <w:sz w:val="20"/>
                <w:szCs w:val="20"/>
              </w:rPr>
            </w:pPr>
            <w:r w:rsidRPr="00DA5EFD">
              <w:rPr>
                <w:rFonts w:ascii="Times New Roman" w:hAnsi="Times New Roman" w:cs="Times New Roman"/>
                <w:color w:val="231F20"/>
                <w:sz w:val="20"/>
                <w:szCs w:val="20"/>
                <w:u w:val="thick" w:color="231F20"/>
              </w:rPr>
              <w:tab/>
            </w:r>
            <w:r w:rsidRPr="00DA5EFD">
              <w:rPr>
                <w:rFonts w:ascii="Times New Roman" w:hAnsi="Times New Roman" w:cs="Times New Roman"/>
                <w:color w:val="231F20"/>
                <w:w w:val="95"/>
                <w:sz w:val="20"/>
                <w:szCs w:val="20"/>
                <w:u w:val="thick" w:color="231F20"/>
              </w:rPr>
              <w:t>Ge</w:t>
            </w:r>
          </w:p>
          <w:p w14:paraId="707B29D8" w14:textId="77777777" w:rsidR="00C63BD8" w:rsidRPr="00DA5EFD" w:rsidRDefault="00C63BD8" w:rsidP="00C63BD8">
            <w:pPr>
              <w:pStyle w:val="TableParagraph"/>
              <w:spacing w:before="31" w:line="170" w:lineRule="exact"/>
              <w:ind w:left="49" w:right="22"/>
              <w:rPr>
                <w:rFonts w:ascii="Times New Roman" w:hAnsi="Times New Roman" w:cs="Times New Roman"/>
                <w:sz w:val="20"/>
                <w:szCs w:val="20"/>
              </w:rPr>
            </w:pPr>
            <w:r w:rsidRPr="00DA5EFD">
              <w:rPr>
                <w:rFonts w:ascii="Times New Roman" w:hAnsi="Times New Roman" w:cs="Times New Roman"/>
                <w:color w:val="231F20"/>
                <w:sz w:val="20"/>
                <w:szCs w:val="20"/>
              </w:rPr>
              <w:t>Mean</w:t>
            </w:r>
          </w:p>
        </w:tc>
        <w:tc>
          <w:tcPr>
            <w:tcW w:w="619" w:type="dxa"/>
          </w:tcPr>
          <w:p w14:paraId="400142B3" w14:textId="77777777" w:rsidR="00C63BD8" w:rsidRPr="00DA5EFD" w:rsidRDefault="00C63BD8" w:rsidP="00C63BD8">
            <w:pPr>
              <w:pStyle w:val="TableParagraph"/>
              <w:spacing w:before="0" w:line="183" w:lineRule="exact"/>
              <w:ind w:right="-29"/>
              <w:rPr>
                <w:rFonts w:ascii="Times New Roman" w:hAnsi="Times New Roman" w:cs="Times New Roman"/>
                <w:sz w:val="20"/>
                <w:szCs w:val="20"/>
              </w:rPr>
            </w:pPr>
            <w:proofErr w:type="spellStart"/>
            <w:r w:rsidRPr="00DA5EFD">
              <w:rPr>
                <w:rFonts w:ascii="Times New Roman" w:hAnsi="Times New Roman" w:cs="Times New Roman"/>
                <w:color w:val="231F20"/>
                <w:sz w:val="20"/>
                <w:szCs w:val="20"/>
                <w:u w:val="thick" w:color="231F20"/>
              </w:rPr>
              <w:t>mination</w:t>
            </w:r>
            <w:proofErr w:type="spellEnd"/>
            <w:r w:rsidRPr="00DA5EFD">
              <w:rPr>
                <w:rFonts w:ascii="Times New Roman" w:hAnsi="Times New Roman" w:cs="Times New Roman"/>
                <w:color w:val="231F20"/>
                <w:spacing w:val="-15"/>
                <w:sz w:val="20"/>
                <w:szCs w:val="20"/>
                <w:u w:val="thick" w:color="231F20"/>
              </w:rPr>
              <w:t xml:space="preserve"> </w:t>
            </w:r>
          </w:p>
          <w:p w14:paraId="0B6890FE" w14:textId="77777777" w:rsidR="00C63BD8" w:rsidRPr="00DA5EFD" w:rsidRDefault="00C63BD8" w:rsidP="00C63BD8">
            <w:pPr>
              <w:pStyle w:val="TableParagraph"/>
              <w:spacing w:before="31" w:line="170" w:lineRule="exact"/>
              <w:rPr>
                <w:rFonts w:ascii="Times New Roman" w:hAnsi="Times New Roman" w:cs="Times New Roman"/>
                <w:sz w:val="20"/>
                <w:szCs w:val="20"/>
              </w:rPr>
            </w:pPr>
            <w:r w:rsidRPr="00DA5EFD">
              <w:rPr>
                <w:rFonts w:ascii="Times New Roman" w:hAnsi="Times New Roman" w:cs="Times New Roman"/>
                <w:color w:val="231F20"/>
                <w:sz w:val="20"/>
                <w:szCs w:val="20"/>
              </w:rPr>
              <w:t>±</w:t>
            </w:r>
            <w:r w:rsidRPr="00DA5EFD">
              <w:rPr>
                <w:rFonts w:ascii="Times New Roman" w:hAnsi="Times New Roman" w:cs="Times New Roman"/>
                <w:color w:val="231F20"/>
                <w:spacing w:val="-13"/>
                <w:sz w:val="20"/>
                <w:szCs w:val="20"/>
              </w:rPr>
              <w:t xml:space="preserve"> </w:t>
            </w:r>
            <w:r w:rsidRPr="00DA5EFD">
              <w:rPr>
                <w:rFonts w:ascii="Times New Roman" w:hAnsi="Times New Roman" w:cs="Times New Roman"/>
                <w:color w:val="231F20"/>
                <w:sz w:val="20"/>
                <w:szCs w:val="20"/>
              </w:rPr>
              <w:t>SE</w:t>
            </w:r>
          </w:p>
        </w:tc>
        <w:tc>
          <w:tcPr>
            <w:tcW w:w="726" w:type="dxa"/>
          </w:tcPr>
          <w:p w14:paraId="458F0A15" w14:textId="77777777" w:rsidR="00C63BD8" w:rsidRPr="00DA5EFD" w:rsidRDefault="00C63BD8" w:rsidP="00C63BD8">
            <w:pPr>
              <w:pStyle w:val="TableParagraph"/>
              <w:tabs>
                <w:tab w:val="left" w:pos="663"/>
              </w:tabs>
              <w:spacing w:before="0" w:line="183" w:lineRule="exact"/>
              <w:ind w:right="22"/>
              <w:rPr>
                <w:rFonts w:ascii="Times New Roman" w:hAnsi="Times New Roman" w:cs="Times New Roman"/>
                <w:sz w:val="20"/>
                <w:szCs w:val="20"/>
              </w:rPr>
            </w:pPr>
            <w:r w:rsidRPr="00DA5EFD">
              <w:rPr>
                <w:rFonts w:ascii="Times New Roman" w:hAnsi="Times New Roman" w:cs="Times New Roman"/>
                <w:color w:val="231F20"/>
                <w:sz w:val="20"/>
                <w:szCs w:val="20"/>
                <w:u w:val="thick" w:color="231F20"/>
              </w:rPr>
              <w:t>(%)</w:t>
            </w:r>
            <w:r w:rsidRPr="00DA5EFD">
              <w:rPr>
                <w:rFonts w:ascii="Times New Roman" w:hAnsi="Times New Roman" w:cs="Times New Roman"/>
                <w:color w:val="231F20"/>
                <w:sz w:val="20"/>
                <w:szCs w:val="20"/>
                <w:u w:val="thick" w:color="231F20"/>
              </w:rPr>
              <w:tab/>
            </w:r>
          </w:p>
          <w:p w14:paraId="1B82AF1C" w14:textId="77777777" w:rsidR="00C63BD8" w:rsidRPr="00DA5EFD" w:rsidRDefault="00C63BD8" w:rsidP="00C63BD8">
            <w:pPr>
              <w:pStyle w:val="TableParagraph"/>
              <w:spacing w:before="31" w:line="170" w:lineRule="exact"/>
              <w:ind w:right="18"/>
              <w:rPr>
                <w:rFonts w:ascii="Times New Roman" w:hAnsi="Times New Roman" w:cs="Times New Roman"/>
                <w:sz w:val="20"/>
                <w:szCs w:val="20"/>
              </w:rPr>
            </w:pPr>
            <w:r w:rsidRPr="00DA5EFD">
              <w:rPr>
                <w:rFonts w:ascii="Times New Roman" w:hAnsi="Times New Roman" w:cs="Times New Roman"/>
                <w:color w:val="231F20"/>
                <w:sz w:val="20"/>
                <w:szCs w:val="20"/>
              </w:rPr>
              <w:t>CV</w:t>
            </w:r>
          </w:p>
        </w:tc>
        <w:tc>
          <w:tcPr>
            <w:tcW w:w="780" w:type="dxa"/>
          </w:tcPr>
          <w:p w14:paraId="7F8472BA" w14:textId="77777777" w:rsidR="00C63BD8" w:rsidRPr="00DA5EFD" w:rsidRDefault="00C63BD8" w:rsidP="00C63BD8">
            <w:pPr>
              <w:pStyle w:val="TableParagraph"/>
              <w:spacing w:before="20" w:line="232" w:lineRule="auto"/>
              <w:ind w:left="272" w:right="30" w:hanging="217"/>
              <w:jc w:val="left"/>
              <w:rPr>
                <w:rFonts w:ascii="Times New Roman" w:hAnsi="Times New Roman" w:cs="Times New Roman"/>
                <w:sz w:val="20"/>
                <w:szCs w:val="20"/>
              </w:rPr>
            </w:pPr>
            <w:r w:rsidRPr="00DA5EFD">
              <w:rPr>
                <w:rFonts w:ascii="Times New Roman" w:hAnsi="Times New Roman" w:cs="Times New Roman"/>
                <w:color w:val="231F20"/>
                <w:w w:val="95"/>
                <w:sz w:val="20"/>
                <w:szCs w:val="20"/>
              </w:rPr>
              <w:t>Inhibition</w:t>
            </w:r>
            <w:r w:rsidRPr="00DA5EFD">
              <w:rPr>
                <w:rFonts w:ascii="Times New Roman" w:hAnsi="Times New Roman" w:cs="Times New Roman"/>
                <w:color w:val="231F20"/>
                <w:spacing w:val="-43"/>
                <w:w w:val="95"/>
                <w:sz w:val="20"/>
                <w:szCs w:val="20"/>
              </w:rPr>
              <w:t xml:space="preserve"> </w:t>
            </w:r>
            <w:r w:rsidRPr="00DA5EFD">
              <w:rPr>
                <w:rFonts w:ascii="Times New Roman" w:hAnsi="Times New Roman" w:cs="Times New Roman"/>
                <w:color w:val="231F20"/>
                <w:sz w:val="20"/>
                <w:szCs w:val="20"/>
              </w:rPr>
              <w:t>(%)</w:t>
            </w:r>
          </w:p>
        </w:tc>
        <w:tc>
          <w:tcPr>
            <w:tcW w:w="707" w:type="dxa"/>
          </w:tcPr>
          <w:p w14:paraId="17323432" w14:textId="77777777" w:rsidR="00C63BD8" w:rsidRPr="00DA5EFD" w:rsidRDefault="00C63BD8" w:rsidP="00C63BD8">
            <w:pPr>
              <w:pStyle w:val="TableParagraph"/>
              <w:tabs>
                <w:tab w:val="left" w:pos="468"/>
              </w:tabs>
              <w:spacing w:before="0" w:line="183" w:lineRule="exact"/>
              <w:ind w:left="53" w:right="-29"/>
              <w:rPr>
                <w:rFonts w:ascii="Times New Roman" w:hAnsi="Times New Roman" w:cs="Times New Roman"/>
                <w:sz w:val="20"/>
                <w:szCs w:val="20"/>
              </w:rPr>
            </w:pPr>
            <w:r w:rsidRPr="00DA5EFD">
              <w:rPr>
                <w:rFonts w:ascii="Times New Roman" w:hAnsi="Times New Roman" w:cs="Times New Roman"/>
                <w:color w:val="231F20"/>
                <w:spacing w:val="-2"/>
                <w:w w:val="95"/>
                <w:sz w:val="20"/>
                <w:szCs w:val="20"/>
                <w:u w:val="thick" w:color="231F20"/>
              </w:rPr>
              <w:t>Plan</w:t>
            </w:r>
            <w:r>
              <w:rPr>
                <w:rFonts w:ascii="Times New Roman" w:hAnsi="Times New Roman" w:cs="Times New Roman"/>
                <w:color w:val="231F20"/>
                <w:spacing w:val="-2"/>
                <w:w w:val="95"/>
                <w:sz w:val="20"/>
                <w:szCs w:val="20"/>
                <w:u w:val="thick" w:color="231F20"/>
              </w:rPr>
              <w:t>t</w:t>
            </w:r>
          </w:p>
          <w:p w14:paraId="7C0927EB" w14:textId="77777777" w:rsidR="00C63BD8" w:rsidRPr="00DA5EFD" w:rsidRDefault="00C63BD8" w:rsidP="00C63BD8">
            <w:pPr>
              <w:pStyle w:val="TableParagraph"/>
              <w:spacing w:before="31" w:line="170" w:lineRule="exact"/>
              <w:ind w:left="53" w:right="19"/>
              <w:rPr>
                <w:rFonts w:ascii="Times New Roman" w:hAnsi="Times New Roman" w:cs="Times New Roman"/>
                <w:sz w:val="20"/>
                <w:szCs w:val="20"/>
              </w:rPr>
            </w:pPr>
            <w:r w:rsidRPr="00DA5EFD">
              <w:rPr>
                <w:rFonts w:ascii="Times New Roman" w:hAnsi="Times New Roman" w:cs="Times New Roman"/>
                <w:color w:val="231F20"/>
                <w:sz w:val="20"/>
                <w:szCs w:val="20"/>
              </w:rPr>
              <w:t>Mean</w:t>
            </w:r>
          </w:p>
        </w:tc>
        <w:tc>
          <w:tcPr>
            <w:tcW w:w="733" w:type="dxa"/>
          </w:tcPr>
          <w:p w14:paraId="064D66B3" w14:textId="77777777" w:rsidR="00C63BD8" w:rsidRPr="00DA5EFD" w:rsidRDefault="00C63BD8" w:rsidP="00C63BD8">
            <w:pPr>
              <w:pStyle w:val="TableParagraph"/>
              <w:spacing w:before="0" w:line="183" w:lineRule="exact"/>
              <w:ind w:left="9" w:right="6"/>
              <w:rPr>
                <w:rFonts w:ascii="Times New Roman" w:hAnsi="Times New Roman" w:cs="Times New Roman"/>
                <w:sz w:val="20"/>
                <w:szCs w:val="20"/>
              </w:rPr>
            </w:pPr>
            <w:proofErr w:type="spellStart"/>
            <w:r w:rsidRPr="00DA5EFD">
              <w:rPr>
                <w:rFonts w:ascii="Times New Roman" w:hAnsi="Times New Roman" w:cs="Times New Roman"/>
                <w:color w:val="231F20"/>
                <w:w w:val="90"/>
                <w:sz w:val="20"/>
                <w:szCs w:val="20"/>
                <w:u w:val="thick" w:color="231F20"/>
              </w:rPr>
              <w:t>Surviva</w:t>
            </w:r>
            <w:r>
              <w:rPr>
                <w:rFonts w:ascii="Times New Roman" w:hAnsi="Times New Roman" w:cs="Times New Roman"/>
                <w:color w:val="231F20"/>
                <w:w w:val="90"/>
                <w:sz w:val="20"/>
                <w:szCs w:val="20"/>
                <w:u w:val="thick" w:color="231F20"/>
              </w:rPr>
              <w:t>ll</w:t>
            </w:r>
            <w:proofErr w:type="spellEnd"/>
          </w:p>
          <w:p w14:paraId="62698C1C" w14:textId="77777777" w:rsidR="00C63BD8" w:rsidRPr="00DA5EFD" w:rsidRDefault="00C63BD8" w:rsidP="00C63BD8">
            <w:pPr>
              <w:pStyle w:val="TableParagraph"/>
              <w:spacing w:before="31" w:line="170" w:lineRule="exact"/>
              <w:ind w:left="9" w:right="5"/>
              <w:rPr>
                <w:rFonts w:ascii="Times New Roman" w:hAnsi="Times New Roman" w:cs="Times New Roman"/>
                <w:sz w:val="20"/>
                <w:szCs w:val="20"/>
              </w:rPr>
            </w:pPr>
            <w:r w:rsidRPr="00DA5EFD">
              <w:rPr>
                <w:rFonts w:ascii="Times New Roman" w:hAnsi="Times New Roman" w:cs="Times New Roman"/>
                <w:color w:val="231F20"/>
                <w:sz w:val="20"/>
                <w:szCs w:val="20"/>
              </w:rPr>
              <w:t>±</w:t>
            </w:r>
            <w:r w:rsidRPr="00DA5EFD">
              <w:rPr>
                <w:rFonts w:ascii="Times New Roman" w:hAnsi="Times New Roman" w:cs="Times New Roman"/>
                <w:color w:val="231F20"/>
                <w:spacing w:val="-13"/>
                <w:sz w:val="20"/>
                <w:szCs w:val="20"/>
              </w:rPr>
              <w:t xml:space="preserve"> </w:t>
            </w:r>
            <w:r w:rsidRPr="00DA5EFD">
              <w:rPr>
                <w:rFonts w:ascii="Times New Roman" w:hAnsi="Times New Roman" w:cs="Times New Roman"/>
                <w:color w:val="231F20"/>
                <w:sz w:val="20"/>
                <w:szCs w:val="20"/>
              </w:rPr>
              <w:t>SE</w:t>
            </w:r>
          </w:p>
        </w:tc>
        <w:tc>
          <w:tcPr>
            <w:tcW w:w="657" w:type="dxa"/>
          </w:tcPr>
          <w:p w14:paraId="0630F906" w14:textId="77777777" w:rsidR="00C63BD8" w:rsidRPr="00DA5EFD" w:rsidRDefault="00C63BD8" w:rsidP="00C63BD8">
            <w:pPr>
              <w:pStyle w:val="TableParagraph"/>
              <w:tabs>
                <w:tab w:val="left" w:pos="632"/>
              </w:tabs>
              <w:spacing w:before="0" w:line="183" w:lineRule="exact"/>
              <w:ind w:right="30"/>
              <w:rPr>
                <w:rFonts w:ascii="Times New Roman" w:hAnsi="Times New Roman" w:cs="Times New Roman"/>
                <w:sz w:val="20"/>
                <w:szCs w:val="20"/>
              </w:rPr>
            </w:pPr>
            <w:r>
              <w:rPr>
                <w:rFonts w:ascii="Times New Roman" w:hAnsi="Times New Roman" w:cs="Times New Roman"/>
                <w:color w:val="231F20"/>
                <w:sz w:val="20"/>
                <w:szCs w:val="20"/>
                <w:u w:val="thick" w:color="231F20"/>
              </w:rPr>
              <w:t xml:space="preserve">   </w:t>
            </w:r>
            <w:r w:rsidRPr="00DA5EFD">
              <w:rPr>
                <w:rFonts w:ascii="Times New Roman" w:hAnsi="Times New Roman" w:cs="Times New Roman"/>
                <w:color w:val="231F20"/>
                <w:sz w:val="20"/>
                <w:szCs w:val="20"/>
                <w:u w:val="thick" w:color="231F20"/>
              </w:rPr>
              <w:t>(%)</w:t>
            </w:r>
            <w:r w:rsidRPr="00DA5EFD">
              <w:rPr>
                <w:rFonts w:ascii="Times New Roman" w:hAnsi="Times New Roman" w:cs="Times New Roman"/>
                <w:color w:val="231F20"/>
                <w:sz w:val="20"/>
                <w:szCs w:val="20"/>
                <w:u w:val="thick" w:color="231F20"/>
              </w:rPr>
              <w:tab/>
            </w:r>
          </w:p>
          <w:p w14:paraId="1FCE0F68" w14:textId="77777777" w:rsidR="00C63BD8" w:rsidRPr="00DA5EFD" w:rsidRDefault="00C63BD8" w:rsidP="00C63BD8">
            <w:pPr>
              <w:pStyle w:val="TableParagraph"/>
              <w:spacing w:before="31" w:line="170" w:lineRule="exact"/>
              <w:ind w:right="58"/>
              <w:rPr>
                <w:rFonts w:ascii="Times New Roman" w:hAnsi="Times New Roman" w:cs="Times New Roman"/>
                <w:sz w:val="20"/>
                <w:szCs w:val="20"/>
              </w:rPr>
            </w:pPr>
            <w:r w:rsidRPr="00DA5EFD">
              <w:rPr>
                <w:rFonts w:ascii="Times New Roman" w:hAnsi="Times New Roman" w:cs="Times New Roman"/>
                <w:color w:val="231F20"/>
                <w:sz w:val="20"/>
                <w:szCs w:val="20"/>
              </w:rPr>
              <w:t>CV</w:t>
            </w:r>
          </w:p>
        </w:tc>
        <w:tc>
          <w:tcPr>
            <w:tcW w:w="938" w:type="dxa"/>
          </w:tcPr>
          <w:p w14:paraId="3F31D369" w14:textId="77777777" w:rsidR="00C63BD8" w:rsidRPr="00DA5EFD" w:rsidRDefault="00C63BD8" w:rsidP="00C63BD8">
            <w:pPr>
              <w:pStyle w:val="TableParagraph"/>
              <w:spacing w:before="20" w:line="232" w:lineRule="auto"/>
              <w:ind w:left="321" w:right="166" w:hanging="321"/>
              <w:jc w:val="left"/>
              <w:rPr>
                <w:rFonts w:ascii="Times New Roman" w:hAnsi="Times New Roman" w:cs="Times New Roman"/>
                <w:sz w:val="20"/>
                <w:szCs w:val="20"/>
              </w:rPr>
            </w:pPr>
            <w:r w:rsidRPr="00DA5EFD">
              <w:rPr>
                <w:rFonts w:ascii="Times New Roman" w:hAnsi="Times New Roman" w:cs="Times New Roman"/>
                <w:color w:val="231F20"/>
                <w:w w:val="95"/>
                <w:sz w:val="20"/>
                <w:szCs w:val="20"/>
              </w:rPr>
              <w:t>Inhibition</w:t>
            </w:r>
            <w:r w:rsidRPr="00DA5EFD">
              <w:rPr>
                <w:rFonts w:ascii="Times New Roman" w:hAnsi="Times New Roman" w:cs="Times New Roman"/>
                <w:color w:val="231F20"/>
                <w:spacing w:val="-43"/>
                <w:w w:val="95"/>
                <w:sz w:val="20"/>
                <w:szCs w:val="20"/>
              </w:rPr>
              <w:t xml:space="preserve"> </w:t>
            </w:r>
            <w:r w:rsidRPr="00DA5EFD">
              <w:rPr>
                <w:rFonts w:ascii="Times New Roman" w:hAnsi="Times New Roman" w:cs="Times New Roman"/>
                <w:color w:val="231F20"/>
                <w:sz w:val="20"/>
                <w:szCs w:val="20"/>
              </w:rPr>
              <w:t>(%)</w:t>
            </w:r>
          </w:p>
        </w:tc>
        <w:tc>
          <w:tcPr>
            <w:tcW w:w="1105" w:type="dxa"/>
          </w:tcPr>
          <w:p w14:paraId="758839AF" w14:textId="77777777" w:rsidR="00C63BD8" w:rsidRPr="00DA5EFD" w:rsidRDefault="00C63BD8" w:rsidP="00C63BD8">
            <w:pPr>
              <w:pStyle w:val="TableParagraph"/>
              <w:spacing w:before="20" w:line="232" w:lineRule="auto"/>
              <w:ind w:left="414" w:right="41" w:hanging="384"/>
              <w:jc w:val="left"/>
              <w:rPr>
                <w:rFonts w:ascii="Times New Roman" w:hAnsi="Times New Roman" w:cs="Times New Roman"/>
                <w:sz w:val="20"/>
                <w:szCs w:val="20"/>
              </w:rPr>
            </w:pPr>
            <w:r w:rsidRPr="00DA5EFD">
              <w:rPr>
                <w:rFonts w:ascii="Times New Roman" w:hAnsi="Times New Roman" w:cs="Times New Roman"/>
                <w:color w:val="231F20"/>
                <w:spacing w:val="-2"/>
                <w:w w:val="90"/>
                <w:sz w:val="20"/>
                <w:szCs w:val="20"/>
              </w:rPr>
              <w:t>Pollen</w:t>
            </w:r>
            <w:r>
              <w:rPr>
                <w:rFonts w:ascii="Times New Roman" w:hAnsi="Times New Roman" w:cs="Times New Roman"/>
                <w:color w:val="231F20"/>
                <w:spacing w:val="-2"/>
                <w:w w:val="90"/>
                <w:sz w:val="20"/>
                <w:szCs w:val="20"/>
              </w:rPr>
              <w:t xml:space="preserve"> </w:t>
            </w:r>
            <w:r w:rsidRPr="00DA5EFD">
              <w:rPr>
                <w:rFonts w:ascii="Times New Roman" w:hAnsi="Times New Roman" w:cs="Times New Roman"/>
                <w:color w:val="231F20"/>
                <w:spacing w:val="-2"/>
                <w:w w:val="90"/>
                <w:sz w:val="20"/>
                <w:szCs w:val="20"/>
              </w:rPr>
              <w:t>fertility</w:t>
            </w:r>
            <w:r w:rsidRPr="00DA5EFD">
              <w:rPr>
                <w:rFonts w:ascii="Times New Roman" w:hAnsi="Times New Roman" w:cs="Times New Roman"/>
                <w:color w:val="231F20"/>
                <w:spacing w:val="-41"/>
                <w:w w:val="90"/>
                <w:sz w:val="20"/>
                <w:szCs w:val="20"/>
              </w:rPr>
              <w:t xml:space="preserve"> </w:t>
            </w:r>
            <w:r w:rsidRPr="00DA5EFD">
              <w:rPr>
                <w:rFonts w:ascii="Times New Roman" w:hAnsi="Times New Roman" w:cs="Times New Roman"/>
                <w:color w:val="231F20"/>
                <w:sz w:val="20"/>
                <w:szCs w:val="20"/>
              </w:rPr>
              <w:t>(%)</w:t>
            </w:r>
          </w:p>
        </w:tc>
        <w:tc>
          <w:tcPr>
            <w:tcW w:w="969" w:type="dxa"/>
          </w:tcPr>
          <w:p w14:paraId="0619E6EA" w14:textId="77777777" w:rsidR="00C63BD8" w:rsidRPr="00DA5EFD" w:rsidRDefault="00C63BD8" w:rsidP="00C63BD8">
            <w:pPr>
              <w:pStyle w:val="TableParagraph"/>
              <w:tabs>
                <w:tab w:val="left" w:pos="876"/>
              </w:tabs>
              <w:spacing w:before="20" w:line="232" w:lineRule="auto"/>
              <w:ind w:left="432" w:right="160" w:hanging="432"/>
              <w:jc w:val="left"/>
              <w:rPr>
                <w:rFonts w:ascii="Times New Roman" w:hAnsi="Times New Roman" w:cs="Times New Roman"/>
                <w:sz w:val="20"/>
                <w:szCs w:val="20"/>
              </w:rPr>
            </w:pPr>
            <w:r w:rsidRPr="00DA5EFD">
              <w:rPr>
                <w:rFonts w:ascii="Times New Roman" w:hAnsi="Times New Roman" w:cs="Times New Roman"/>
                <w:color w:val="231F20"/>
                <w:w w:val="95"/>
                <w:sz w:val="20"/>
                <w:szCs w:val="20"/>
              </w:rPr>
              <w:t>Reduction</w:t>
            </w:r>
            <w:r w:rsidRPr="00DA5EFD">
              <w:rPr>
                <w:rFonts w:ascii="Times New Roman" w:hAnsi="Times New Roman" w:cs="Times New Roman"/>
                <w:color w:val="231F20"/>
                <w:spacing w:val="-43"/>
                <w:w w:val="95"/>
                <w:sz w:val="20"/>
                <w:szCs w:val="20"/>
              </w:rPr>
              <w:t xml:space="preserve"> </w:t>
            </w:r>
            <w:r w:rsidRPr="00DA5EFD">
              <w:rPr>
                <w:rFonts w:ascii="Times New Roman" w:hAnsi="Times New Roman" w:cs="Times New Roman"/>
                <w:color w:val="231F20"/>
                <w:sz w:val="20"/>
                <w:szCs w:val="20"/>
              </w:rPr>
              <w:t>(%)</w:t>
            </w:r>
          </w:p>
        </w:tc>
      </w:tr>
      <w:tr w:rsidR="00C63BD8" w:rsidRPr="00DA5EFD" w14:paraId="2EEBD508" w14:textId="77777777" w:rsidTr="00C63BD8">
        <w:trPr>
          <w:trHeight w:val="199"/>
        </w:trPr>
        <w:tc>
          <w:tcPr>
            <w:tcW w:w="1368" w:type="dxa"/>
          </w:tcPr>
          <w:p w14:paraId="14174358" w14:textId="77777777" w:rsidR="00C63BD8" w:rsidRPr="00DA5EFD" w:rsidRDefault="00C63BD8" w:rsidP="00C63BD8">
            <w:pPr>
              <w:pStyle w:val="TableParagraph"/>
              <w:spacing w:before="0" w:line="179" w:lineRule="exact"/>
              <w:ind w:left="177" w:right="129"/>
              <w:rPr>
                <w:rFonts w:ascii="Times New Roman" w:hAnsi="Times New Roman" w:cs="Times New Roman"/>
                <w:sz w:val="20"/>
                <w:szCs w:val="20"/>
              </w:rPr>
            </w:pPr>
            <w:r w:rsidRPr="00DA5EFD">
              <w:rPr>
                <w:rFonts w:ascii="Times New Roman" w:hAnsi="Times New Roman" w:cs="Times New Roman"/>
                <w:color w:val="231F20"/>
                <w:sz w:val="20"/>
                <w:szCs w:val="20"/>
              </w:rPr>
              <w:t>Control</w:t>
            </w:r>
          </w:p>
        </w:tc>
        <w:tc>
          <w:tcPr>
            <w:tcW w:w="732" w:type="dxa"/>
          </w:tcPr>
          <w:p w14:paraId="5B7F4BFA" w14:textId="77777777" w:rsidR="00C63BD8" w:rsidRPr="00DA5EFD" w:rsidRDefault="00C63BD8" w:rsidP="00C63BD8">
            <w:pPr>
              <w:pStyle w:val="TableParagraph"/>
              <w:spacing w:before="0" w:line="179" w:lineRule="exact"/>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9</w:t>
            </w:r>
            <w:r>
              <w:rPr>
                <w:rFonts w:ascii="Times New Roman" w:hAnsi="Times New Roman" w:cs="Times New Roman"/>
                <w:color w:val="231F20"/>
                <w:sz w:val="20"/>
                <w:szCs w:val="20"/>
              </w:rPr>
              <w:t>2</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81</w:t>
            </w:r>
          </w:p>
        </w:tc>
        <w:tc>
          <w:tcPr>
            <w:tcW w:w="619" w:type="dxa"/>
          </w:tcPr>
          <w:p w14:paraId="3D929AD3" w14:textId="77777777" w:rsidR="00C63BD8" w:rsidRPr="00DA5EFD" w:rsidRDefault="00C63BD8" w:rsidP="00C63BD8">
            <w:pPr>
              <w:pStyle w:val="TableParagraph"/>
              <w:spacing w:before="0" w:line="179" w:lineRule="exact"/>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0.15</w:t>
            </w:r>
          </w:p>
        </w:tc>
        <w:tc>
          <w:tcPr>
            <w:tcW w:w="726" w:type="dxa"/>
          </w:tcPr>
          <w:p w14:paraId="3C4A64CC" w14:textId="77777777" w:rsidR="00C63BD8" w:rsidRPr="00DA5EFD" w:rsidRDefault="00C63BD8" w:rsidP="00C63BD8">
            <w:pPr>
              <w:pStyle w:val="TableParagraph"/>
              <w:spacing w:before="0" w:line="179" w:lineRule="exact"/>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2.44</w:t>
            </w:r>
          </w:p>
        </w:tc>
        <w:tc>
          <w:tcPr>
            <w:tcW w:w="780" w:type="dxa"/>
          </w:tcPr>
          <w:p w14:paraId="0D09BF47" w14:textId="77777777" w:rsidR="00C63BD8" w:rsidRPr="00DA5EFD" w:rsidRDefault="00C63BD8" w:rsidP="00C63BD8">
            <w:pPr>
              <w:pStyle w:val="TableParagraph"/>
              <w:spacing w:before="0" w:line="179" w:lineRule="exact"/>
              <w:ind w:left="10"/>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707" w:type="dxa"/>
          </w:tcPr>
          <w:p w14:paraId="49FBC01D" w14:textId="77777777" w:rsidR="00C63BD8" w:rsidRPr="00DA5EFD" w:rsidRDefault="00C63BD8" w:rsidP="00C63BD8">
            <w:pPr>
              <w:pStyle w:val="TableParagraph"/>
              <w:spacing w:before="0" w:line="179" w:lineRule="exact"/>
              <w:ind w:left="53" w:right="19"/>
              <w:rPr>
                <w:rFonts w:ascii="Times New Roman" w:hAnsi="Times New Roman" w:cs="Times New Roman"/>
                <w:sz w:val="20"/>
                <w:szCs w:val="20"/>
              </w:rPr>
            </w:pPr>
            <w:r w:rsidRPr="00DA5EFD">
              <w:rPr>
                <w:rFonts w:ascii="Times New Roman" w:hAnsi="Times New Roman" w:cs="Times New Roman"/>
                <w:color w:val="231F20"/>
                <w:sz w:val="20"/>
                <w:szCs w:val="20"/>
              </w:rPr>
              <w:t>100.0</w:t>
            </w:r>
          </w:p>
        </w:tc>
        <w:tc>
          <w:tcPr>
            <w:tcW w:w="733" w:type="dxa"/>
          </w:tcPr>
          <w:p w14:paraId="5A05F0A6" w14:textId="77777777" w:rsidR="00C63BD8" w:rsidRPr="00DA5EFD" w:rsidRDefault="00C63BD8" w:rsidP="00C63BD8">
            <w:pPr>
              <w:pStyle w:val="TableParagraph"/>
              <w:spacing w:before="0" w:line="179" w:lineRule="exact"/>
              <w:ind w:left="9" w:right="5"/>
              <w:rPr>
                <w:rFonts w:ascii="Times New Roman" w:hAnsi="Times New Roman" w:cs="Times New Roman"/>
                <w:sz w:val="20"/>
                <w:szCs w:val="20"/>
              </w:rPr>
            </w:pPr>
            <w:r w:rsidRPr="00DA5EFD">
              <w:rPr>
                <w:rFonts w:ascii="Times New Roman" w:hAnsi="Times New Roman" w:cs="Times New Roman"/>
                <w:color w:val="231F20"/>
                <w:sz w:val="20"/>
                <w:szCs w:val="20"/>
              </w:rPr>
              <w:t>0.15</w:t>
            </w:r>
          </w:p>
        </w:tc>
        <w:tc>
          <w:tcPr>
            <w:tcW w:w="657" w:type="dxa"/>
          </w:tcPr>
          <w:p w14:paraId="30EE0186" w14:textId="77777777" w:rsidR="00C63BD8" w:rsidRPr="00DA5EFD" w:rsidRDefault="00C63BD8" w:rsidP="00C63BD8">
            <w:pPr>
              <w:pStyle w:val="TableParagraph"/>
              <w:spacing w:before="0" w:line="179" w:lineRule="exact"/>
              <w:ind w:right="60"/>
              <w:rPr>
                <w:rFonts w:ascii="Times New Roman" w:hAnsi="Times New Roman" w:cs="Times New Roman"/>
                <w:sz w:val="20"/>
                <w:szCs w:val="20"/>
              </w:rPr>
            </w:pPr>
            <w:r w:rsidRPr="00DA5EFD">
              <w:rPr>
                <w:rFonts w:ascii="Times New Roman" w:hAnsi="Times New Roman" w:cs="Times New Roman"/>
                <w:color w:val="231F20"/>
                <w:sz w:val="20"/>
                <w:szCs w:val="20"/>
              </w:rPr>
              <w:t>2.44</w:t>
            </w:r>
          </w:p>
        </w:tc>
        <w:tc>
          <w:tcPr>
            <w:tcW w:w="938" w:type="dxa"/>
          </w:tcPr>
          <w:p w14:paraId="35BD36C4" w14:textId="77777777" w:rsidR="00C63BD8" w:rsidRPr="00DA5EFD" w:rsidRDefault="00C63BD8" w:rsidP="00C63BD8">
            <w:pPr>
              <w:pStyle w:val="TableParagraph"/>
              <w:spacing w:before="0" w:line="179" w:lineRule="exact"/>
              <w:ind w:right="76"/>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1105" w:type="dxa"/>
          </w:tcPr>
          <w:p w14:paraId="36EAC2D0" w14:textId="77777777" w:rsidR="00C63BD8" w:rsidRPr="00DA5EFD" w:rsidRDefault="00C63BD8" w:rsidP="00C63BD8">
            <w:pPr>
              <w:pStyle w:val="TableParagraph"/>
              <w:spacing w:before="0" w:line="179" w:lineRule="exact"/>
              <w:ind w:right="288"/>
              <w:jc w:val="left"/>
              <w:rPr>
                <w:rFonts w:ascii="Times New Roman" w:hAnsi="Times New Roman" w:cs="Times New Roman"/>
                <w:sz w:val="20"/>
                <w:szCs w:val="20"/>
              </w:rPr>
            </w:pPr>
            <w:r w:rsidRPr="00DA5EFD">
              <w:rPr>
                <w:rFonts w:ascii="Times New Roman" w:hAnsi="Times New Roman" w:cs="Times New Roman"/>
                <w:color w:val="231F20"/>
                <w:sz w:val="20"/>
                <w:szCs w:val="20"/>
              </w:rPr>
              <w:t>9</w:t>
            </w:r>
            <w:r>
              <w:rPr>
                <w:rFonts w:ascii="Times New Roman" w:hAnsi="Times New Roman" w:cs="Times New Roman"/>
                <w:color w:val="231F20"/>
                <w:sz w:val="20"/>
                <w:szCs w:val="20"/>
              </w:rPr>
              <w:t>5</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02</w:t>
            </w:r>
          </w:p>
        </w:tc>
        <w:tc>
          <w:tcPr>
            <w:tcW w:w="969" w:type="dxa"/>
          </w:tcPr>
          <w:p w14:paraId="67407595" w14:textId="77777777" w:rsidR="00C63BD8" w:rsidRPr="00DA5EFD" w:rsidRDefault="00C63BD8" w:rsidP="00C63BD8">
            <w:pPr>
              <w:pStyle w:val="TableParagraph"/>
              <w:spacing w:before="0" w:line="179" w:lineRule="exact"/>
              <w:ind w:left="5"/>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r>
      <w:tr w:rsidR="00C63BD8" w:rsidRPr="00DA5EFD" w14:paraId="43D2330F" w14:textId="77777777" w:rsidTr="00C63BD8">
        <w:trPr>
          <w:trHeight w:val="216"/>
        </w:trPr>
        <w:tc>
          <w:tcPr>
            <w:tcW w:w="1368" w:type="dxa"/>
          </w:tcPr>
          <w:p w14:paraId="28587012" w14:textId="77777777" w:rsidR="00C63BD8" w:rsidRPr="00DA5EFD" w:rsidRDefault="00C63BD8" w:rsidP="00C63BD8">
            <w:pPr>
              <w:pStyle w:val="TableParagraph"/>
              <w:ind w:left="177" w:right="129"/>
              <w:rPr>
                <w:rFonts w:ascii="Times New Roman" w:hAnsi="Times New Roman" w:cs="Times New Roman"/>
                <w:sz w:val="20"/>
                <w:szCs w:val="20"/>
              </w:rPr>
            </w:pPr>
            <w:r w:rsidRPr="00DA5EFD">
              <w:rPr>
                <w:rFonts w:ascii="Times New Roman" w:hAnsi="Times New Roman" w:cs="Times New Roman"/>
                <w:color w:val="231F20"/>
                <w:sz w:val="20"/>
                <w:szCs w:val="20"/>
              </w:rPr>
              <w:t>100kR</w:t>
            </w:r>
          </w:p>
        </w:tc>
        <w:tc>
          <w:tcPr>
            <w:tcW w:w="732" w:type="dxa"/>
          </w:tcPr>
          <w:p w14:paraId="63D0260C" w14:textId="77777777" w:rsidR="00C63BD8" w:rsidRPr="00DA5EFD" w:rsidRDefault="00C63BD8" w:rsidP="00C63BD8">
            <w:pPr>
              <w:pStyle w:val="TableParagraph"/>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88.33</w:t>
            </w:r>
          </w:p>
        </w:tc>
        <w:tc>
          <w:tcPr>
            <w:tcW w:w="619" w:type="dxa"/>
          </w:tcPr>
          <w:p w14:paraId="43508D73" w14:textId="77777777" w:rsidR="00C63BD8" w:rsidRPr="00DA5EFD" w:rsidRDefault="00C63BD8" w:rsidP="00C63BD8">
            <w:pPr>
              <w:pStyle w:val="TableParagraph"/>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0.15</w:t>
            </w:r>
          </w:p>
        </w:tc>
        <w:tc>
          <w:tcPr>
            <w:tcW w:w="726" w:type="dxa"/>
          </w:tcPr>
          <w:p w14:paraId="044F4E9F" w14:textId="77777777" w:rsidR="00C63BD8" w:rsidRPr="00DA5EFD" w:rsidRDefault="00C63BD8" w:rsidP="00C63BD8">
            <w:pPr>
              <w:pStyle w:val="TableParagraph"/>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2.67</w:t>
            </w:r>
          </w:p>
        </w:tc>
        <w:tc>
          <w:tcPr>
            <w:tcW w:w="780" w:type="dxa"/>
          </w:tcPr>
          <w:p w14:paraId="7187D511" w14:textId="77777777" w:rsidR="00C63BD8" w:rsidRPr="00DA5EFD" w:rsidRDefault="00C63BD8" w:rsidP="00C63BD8">
            <w:pPr>
              <w:pStyle w:val="TableParagraph"/>
              <w:ind w:left="162" w:right="153"/>
              <w:rPr>
                <w:rFonts w:ascii="Times New Roman" w:hAnsi="Times New Roman" w:cs="Times New Roman"/>
                <w:sz w:val="20"/>
                <w:szCs w:val="20"/>
              </w:rPr>
            </w:pPr>
            <w:r w:rsidRPr="00DA5EFD">
              <w:rPr>
                <w:rFonts w:ascii="Times New Roman" w:hAnsi="Times New Roman" w:cs="Times New Roman"/>
                <w:color w:val="231F20"/>
                <w:sz w:val="20"/>
                <w:szCs w:val="20"/>
              </w:rPr>
              <w:t>8.62</w:t>
            </w:r>
          </w:p>
        </w:tc>
        <w:tc>
          <w:tcPr>
            <w:tcW w:w="707" w:type="dxa"/>
          </w:tcPr>
          <w:p w14:paraId="0305ECEF" w14:textId="77777777" w:rsidR="00C63BD8" w:rsidRPr="00DA5EFD" w:rsidRDefault="00C63BD8" w:rsidP="00C63BD8">
            <w:pPr>
              <w:pStyle w:val="TableParagraph"/>
              <w:ind w:left="53" w:right="19"/>
              <w:rPr>
                <w:rFonts w:ascii="Times New Roman" w:hAnsi="Times New Roman" w:cs="Times New Roman"/>
                <w:sz w:val="20"/>
                <w:szCs w:val="20"/>
              </w:rPr>
            </w:pPr>
            <w:r>
              <w:rPr>
                <w:rFonts w:ascii="Times New Roman" w:hAnsi="Times New Roman" w:cs="Times New Roman"/>
                <w:color w:val="231F20"/>
                <w:sz w:val="20"/>
                <w:szCs w:val="20"/>
              </w:rPr>
              <w:t>88.23</w:t>
            </w:r>
          </w:p>
        </w:tc>
        <w:tc>
          <w:tcPr>
            <w:tcW w:w="733" w:type="dxa"/>
          </w:tcPr>
          <w:p w14:paraId="155F34C4" w14:textId="77777777" w:rsidR="00C63BD8" w:rsidRPr="00DA5EFD" w:rsidRDefault="00C63BD8" w:rsidP="00C63BD8">
            <w:pPr>
              <w:pStyle w:val="TableParagraph"/>
              <w:ind w:left="9" w:right="5"/>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657" w:type="dxa"/>
          </w:tcPr>
          <w:p w14:paraId="0077EF91" w14:textId="77777777" w:rsidR="00C63BD8" w:rsidRPr="00DA5EFD" w:rsidRDefault="00C63BD8" w:rsidP="00C63BD8">
            <w:pPr>
              <w:pStyle w:val="TableParagraph"/>
              <w:ind w:right="61"/>
              <w:rPr>
                <w:rFonts w:ascii="Times New Roman" w:hAnsi="Times New Roman" w:cs="Times New Roman"/>
                <w:sz w:val="20"/>
                <w:szCs w:val="20"/>
              </w:rPr>
            </w:pPr>
            <w:r w:rsidRPr="00DA5EFD">
              <w:rPr>
                <w:rFonts w:ascii="Times New Roman" w:hAnsi="Times New Roman" w:cs="Times New Roman"/>
                <w:color w:val="231F20"/>
                <w:sz w:val="20"/>
                <w:szCs w:val="20"/>
              </w:rPr>
              <w:t>5.10</w:t>
            </w:r>
          </w:p>
        </w:tc>
        <w:tc>
          <w:tcPr>
            <w:tcW w:w="938" w:type="dxa"/>
          </w:tcPr>
          <w:p w14:paraId="142E462D" w14:textId="77777777" w:rsidR="00C63BD8" w:rsidRPr="00DA5EFD" w:rsidRDefault="00C63BD8" w:rsidP="00C63BD8">
            <w:pPr>
              <w:pStyle w:val="TableParagraph"/>
              <w:ind w:right="288"/>
              <w:jc w:val="left"/>
              <w:rPr>
                <w:rFonts w:ascii="Times New Roman" w:hAnsi="Times New Roman" w:cs="Times New Roman"/>
                <w:sz w:val="20"/>
                <w:szCs w:val="20"/>
              </w:rPr>
            </w:pPr>
            <w:r w:rsidRPr="00DA5EFD">
              <w:rPr>
                <w:rFonts w:ascii="Times New Roman" w:hAnsi="Times New Roman" w:cs="Times New Roman"/>
                <w:color w:val="231F20"/>
                <w:sz w:val="20"/>
                <w:szCs w:val="20"/>
              </w:rPr>
              <w:t>9.43</w:t>
            </w:r>
          </w:p>
        </w:tc>
        <w:tc>
          <w:tcPr>
            <w:tcW w:w="1105" w:type="dxa"/>
          </w:tcPr>
          <w:p w14:paraId="4E46DE2D" w14:textId="77777777" w:rsidR="00C63BD8" w:rsidRPr="00DA5EFD" w:rsidRDefault="00C63BD8" w:rsidP="00C63BD8">
            <w:pPr>
              <w:pStyle w:val="TableParagraph"/>
              <w:ind w:right="289"/>
              <w:jc w:val="left"/>
              <w:rPr>
                <w:rFonts w:ascii="Times New Roman" w:hAnsi="Times New Roman" w:cs="Times New Roman"/>
                <w:sz w:val="20"/>
                <w:szCs w:val="20"/>
              </w:rPr>
            </w:pPr>
            <w:r w:rsidRPr="00DA5EFD">
              <w:rPr>
                <w:rFonts w:ascii="Times New Roman" w:hAnsi="Times New Roman" w:cs="Times New Roman"/>
                <w:color w:val="231F20"/>
                <w:sz w:val="20"/>
                <w:szCs w:val="20"/>
              </w:rPr>
              <w:t>9</w:t>
            </w:r>
            <w:r>
              <w:rPr>
                <w:rFonts w:ascii="Times New Roman" w:hAnsi="Times New Roman" w:cs="Times New Roman"/>
                <w:color w:val="231F20"/>
                <w:sz w:val="20"/>
                <w:szCs w:val="20"/>
              </w:rPr>
              <w:t>0</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2</w:t>
            </w:r>
            <w:r w:rsidRPr="00DA5EFD">
              <w:rPr>
                <w:rFonts w:ascii="Times New Roman" w:hAnsi="Times New Roman" w:cs="Times New Roman"/>
                <w:color w:val="231F20"/>
                <w:sz w:val="20"/>
                <w:szCs w:val="20"/>
              </w:rPr>
              <w:t>7</w:t>
            </w:r>
          </w:p>
        </w:tc>
        <w:tc>
          <w:tcPr>
            <w:tcW w:w="969" w:type="dxa"/>
          </w:tcPr>
          <w:p w14:paraId="0FC641AD" w14:textId="77777777" w:rsidR="00C63BD8" w:rsidRPr="00DA5EFD" w:rsidRDefault="00C63BD8" w:rsidP="00C63BD8">
            <w:pPr>
              <w:pStyle w:val="TableParagraph"/>
              <w:ind w:right="300"/>
              <w:jc w:val="left"/>
              <w:rPr>
                <w:rFonts w:ascii="Times New Roman" w:hAnsi="Times New Roman" w:cs="Times New Roman"/>
                <w:sz w:val="20"/>
                <w:szCs w:val="20"/>
              </w:rPr>
            </w:pPr>
            <w:r w:rsidRPr="00DA5EFD">
              <w:rPr>
                <w:rFonts w:ascii="Times New Roman" w:hAnsi="Times New Roman" w:cs="Times New Roman"/>
                <w:color w:val="231F20"/>
                <w:sz w:val="20"/>
                <w:szCs w:val="20"/>
              </w:rPr>
              <w:t>3.</w:t>
            </w:r>
            <w:r>
              <w:rPr>
                <w:rFonts w:ascii="Times New Roman" w:hAnsi="Times New Roman" w:cs="Times New Roman"/>
                <w:color w:val="231F20"/>
                <w:sz w:val="20"/>
                <w:szCs w:val="20"/>
              </w:rPr>
              <w:t>42</w:t>
            </w:r>
          </w:p>
        </w:tc>
      </w:tr>
      <w:tr w:rsidR="00C63BD8" w:rsidRPr="00DA5EFD" w14:paraId="3E317A2F" w14:textId="77777777" w:rsidTr="00C63BD8">
        <w:trPr>
          <w:trHeight w:val="216"/>
        </w:trPr>
        <w:tc>
          <w:tcPr>
            <w:tcW w:w="1368" w:type="dxa"/>
          </w:tcPr>
          <w:p w14:paraId="71FD9C8A" w14:textId="77777777" w:rsidR="00C63BD8" w:rsidRPr="00DA5EFD" w:rsidRDefault="00C63BD8" w:rsidP="00C63BD8">
            <w:pPr>
              <w:pStyle w:val="TableParagraph"/>
              <w:ind w:left="176" w:right="129"/>
              <w:rPr>
                <w:rFonts w:ascii="Times New Roman" w:hAnsi="Times New Roman" w:cs="Times New Roman"/>
                <w:sz w:val="20"/>
                <w:szCs w:val="20"/>
              </w:rPr>
            </w:pPr>
            <w:r w:rsidRPr="00DA5EFD">
              <w:rPr>
                <w:rFonts w:ascii="Times New Roman" w:hAnsi="Times New Roman" w:cs="Times New Roman"/>
                <w:color w:val="231F20"/>
                <w:sz w:val="20"/>
                <w:szCs w:val="20"/>
              </w:rPr>
              <w:t>200kR</w:t>
            </w:r>
          </w:p>
        </w:tc>
        <w:tc>
          <w:tcPr>
            <w:tcW w:w="732" w:type="dxa"/>
          </w:tcPr>
          <w:p w14:paraId="296B4F06" w14:textId="77777777" w:rsidR="00C63BD8" w:rsidRPr="00DA5EFD" w:rsidRDefault="00C63BD8" w:rsidP="00C63BD8">
            <w:pPr>
              <w:pStyle w:val="TableParagraph"/>
              <w:ind w:right="170"/>
              <w:jc w:val="right"/>
              <w:rPr>
                <w:rFonts w:ascii="Times New Roman" w:hAnsi="Times New Roman" w:cs="Times New Roman"/>
                <w:sz w:val="20"/>
                <w:szCs w:val="20"/>
              </w:rPr>
            </w:pPr>
            <w:r w:rsidRPr="00DA5EFD">
              <w:rPr>
                <w:rFonts w:ascii="Times New Roman" w:hAnsi="Times New Roman" w:cs="Times New Roman"/>
                <w:color w:val="231F20"/>
                <w:sz w:val="20"/>
                <w:szCs w:val="20"/>
              </w:rPr>
              <w:t>75.00</w:t>
            </w:r>
          </w:p>
        </w:tc>
        <w:tc>
          <w:tcPr>
            <w:tcW w:w="619" w:type="dxa"/>
          </w:tcPr>
          <w:p w14:paraId="14C35A72" w14:textId="77777777" w:rsidR="00C63BD8" w:rsidRPr="00DA5EFD" w:rsidRDefault="00C63BD8" w:rsidP="00C63BD8">
            <w:pPr>
              <w:pStyle w:val="TableParagraph"/>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726" w:type="dxa"/>
          </w:tcPr>
          <w:p w14:paraId="257182E9" w14:textId="77777777" w:rsidR="00C63BD8" w:rsidRPr="00DA5EFD" w:rsidRDefault="00C63BD8" w:rsidP="00C63BD8">
            <w:pPr>
              <w:pStyle w:val="TableParagraph"/>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5.44</w:t>
            </w:r>
          </w:p>
        </w:tc>
        <w:tc>
          <w:tcPr>
            <w:tcW w:w="780" w:type="dxa"/>
          </w:tcPr>
          <w:p w14:paraId="0EB7E0AA" w14:textId="77777777" w:rsidR="00C63BD8" w:rsidRPr="00DA5EFD" w:rsidRDefault="00C63BD8" w:rsidP="00C63BD8">
            <w:pPr>
              <w:pStyle w:val="TableParagraph"/>
              <w:ind w:left="162" w:right="154"/>
              <w:rPr>
                <w:rFonts w:ascii="Times New Roman" w:hAnsi="Times New Roman" w:cs="Times New Roman"/>
                <w:sz w:val="20"/>
                <w:szCs w:val="20"/>
              </w:rPr>
            </w:pPr>
            <w:r w:rsidRPr="00DA5EFD">
              <w:rPr>
                <w:rFonts w:ascii="Times New Roman" w:hAnsi="Times New Roman" w:cs="Times New Roman"/>
                <w:color w:val="231F20"/>
                <w:sz w:val="20"/>
                <w:szCs w:val="20"/>
              </w:rPr>
              <w:t>22.42</w:t>
            </w:r>
          </w:p>
        </w:tc>
        <w:tc>
          <w:tcPr>
            <w:tcW w:w="707" w:type="dxa"/>
          </w:tcPr>
          <w:p w14:paraId="3F32A031" w14:textId="77777777" w:rsidR="00C63BD8" w:rsidRPr="00DA5EFD" w:rsidRDefault="00C63BD8" w:rsidP="00C63BD8">
            <w:pPr>
              <w:pStyle w:val="TableParagraph"/>
              <w:ind w:left="53" w:right="20"/>
              <w:rPr>
                <w:rFonts w:ascii="Times New Roman" w:hAnsi="Times New Roman" w:cs="Times New Roman"/>
                <w:sz w:val="20"/>
                <w:szCs w:val="20"/>
              </w:rPr>
            </w:pPr>
            <w:r w:rsidRPr="00DA5EFD">
              <w:rPr>
                <w:rFonts w:ascii="Times New Roman" w:hAnsi="Times New Roman" w:cs="Times New Roman"/>
                <w:color w:val="231F20"/>
                <w:sz w:val="20"/>
                <w:szCs w:val="20"/>
              </w:rPr>
              <w:t>73.33</w:t>
            </w:r>
          </w:p>
        </w:tc>
        <w:tc>
          <w:tcPr>
            <w:tcW w:w="733" w:type="dxa"/>
          </w:tcPr>
          <w:p w14:paraId="143847C1" w14:textId="77777777" w:rsidR="00C63BD8" w:rsidRPr="00DA5EFD" w:rsidRDefault="00C63BD8" w:rsidP="00C63BD8">
            <w:pPr>
              <w:pStyle w:val="TableParagraph"/>
              <w:ind w:left="9" w:right="6"/>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657" w:type="dxa"/>
          </w:tcPr>
          <w:p w14:paraId="4E256352" w14:textId="77777777" w:rsidR="00C63BD8" w:rsidRPr="00DA5EFD" w:rsidRDefault="00C63BD8" w:rsidP="00C63BD8">
            <w:pPr>
              <w:pStyle w:val="TableParagraph"/>
              <w:ind w:right="61"/>
              <w:rPr>
                <w:rFonts w:ascii="Times New Roman" w:hAnsi="Times New Roman" w:cs="Times New Roman"/>
                <w:sz w:val="20"/>
                <w:szCs w:val="20"/>
              </w:rPr>
            </w:pPr>
            <w:r w:rsidRPr="00DA5EFD">
              <w:rPr>
                <w:rFonts w:ascii="Times New Roman" w:hAnsi="Times New Roman" w:cs="Times New Roman"/>
                <w:color w:val="231F20"/>
                <w:sz w:val="20"/>
                <w:szCs w:val="20"/>
              </w:rPr>
              <w:t>7.42</w:t>
            </w:r>
          </w:p>
        </w:tc>
        <w:tc>
          <w:tcPr>
            <w:tcW w:w="938" w:type="dxa"/>
          </w:tcPr>
          <w:p w14:paraId="0B602113" w14:textId="77777777" w:rsidR="00C63BD8" w:rsidRPr="00DA5EFD" w:rsidRDefault="00C63BD8" w:rsidP="00C63BD8">
            <w:pPr>
              <w:pStyle w:val="TableParagraph"/>
              <w:ind w:right="289"/>
              <w:jc w:val="left"/>
              <w:rPr>
                <w:rFonts w:ascii="Times New Roman" w:hAnsi="Times New Roman" w:cs="Times New Roman"/>
                <w:sz w:val="20"/>
                <w:szCs w:val="20"/>
              </w:rPr>
            </w:pPr>
            <w:r w:rsidRPr="00DA5EFD">
              <w:rPr>
                <w:rFonts w:ascii="Times New Roman" w:hAnsi="Times New Roman" w:cs="Times New Roman"/>
                <w:color w:val="231F20"/>
                <w:sz w:val="20"/>
                <w:szCs w:val="20"/>
              </w:rPr>
              <w:t>26.67</w:t>
            </w:r>
          </w:p>
        </w:tc>
        <w:tc>
          <w:tcPr>
            <w:tcW w:w="1105" w:type="dxa"/>
          </w:tcPr>
          <w:p w14:paraId="01E1990B" w14:textId="77777777" w:rsidR="00C63BD8" w:rsidRPr="00DA5EFD" w:rsidRDefault="00C63BD8" w:rsidP="00C63BD8">
            <w:pPr>
              <w:pStyle w:val="TableParagraph"/>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8</w:t>
            </w:r>
            <w:r>
              <w:rPr>
                <w:rFonts w:ascii="Times New Roman" w:hAnsi="Times New Roman" w:cs="Times New Roman"/>
                <w:color w:val="231F20"/>
                <w:sz w:val="20"/>
                <w:szCs w:val="20"/>
              </w:rPr>
              <w:t>5</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1</w:t>
            </w:r>
            <w:r w:rsidRPr="00DA5EFD">
              <w:rPr>
                <w:rFonts w:ascii="Times New Roman" w:hAnsi="Times New Roman" w:cs="Times New Roman"/>
                <w:color w:val="231F20"/>
                <w:sz w:val="20"/>
                <w:szCs w:val="20"/>
              </w:rPr>
              <w:t>6</w:t>
            </w:r>
          </w:p>
        </w:tc>
        <w:tc>
          <w:tcPr>
            <w:tcW w:w="969" w:type="dxa"/>
          </w:tcPr>
          <w:p w14:paraId="46B8E4E2" w14:textId="77777777" w:rsidR="00C63BD8" w:rsidRPr="00DA5EFD" w:rsidRDefault="00C63BD8" w:rsidP="00C63BD8">
            <w:pPr>
              <w:pStyle w:val="TableParagraph"/>
              <w:ind w:right="301"/>
              <w:jc w:val="left"/>
              <w:rPr>
                <w:rFonts w:ascii="Times New Roman" w:hAnsi="Times New Roman" w:cs="Times New Roman"/>
                <w:sz w:val="20"/>
                <w:szCs w:val="20"/>
              </w:rPr>
            </w:pPr>
            <w:r w:rsidRPr="00DA5EFD">
              <w:rPr>
                <w:rFonts w:ascii="Times New Roman" w:hAnsi="Times New Roman" w:cs="Times New Roman"/>
                <w:color w:val="231F20"/>
                <w:sz w:val="20"/>
                <w:szCs w:val="20"/>
              </w:rPr>
              <w:t>1</w:t>
            </w:r>
            <w:r>
              <w:rPr>
                <w:rFonts w:ascii="Times New Roman" w:hAnsi="Times New Roman" w:cs="Times New Roman"/>
                <w:color w:val="231F20"/>
                <w:sz w:val="20"/>
                <w:szCs w:val="20"/>
              </w:rPr>
              <w:t>2</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23</w:t>
            </w:r>
          </w:p>
        </w:tc>
      </w:tr>
      <w:tr w:rsidR="00C63BD8" w:rsidRPr="00DA5EFD" w14:paraId="47D00556" w14:textId="77777777" w:rsidTr="00C63BD8">
        <w:trPr>
          <w:trHeight w:val="216"/>
        </w:trPr>
        <w:tc>
          <w:tcPr>
            <w:tcW w:w="1368" w:type="dxa"/>
          </w:tcPr>
          <w:p w14:paraId="0B2943E1" w14:textId="77777777" w:rsidR="00C63BD8" w:rsidRPr="00DA5EFD" w:rsidRDefault="00C63BD8" w:rsidP="00C63BD8">
            <w:pPr>
              <w:pStyle w:val="TableParagraph"/>
              <w:ind w:left="176" w:right="129"/>
              <w:rPr>
                <w:rFonts w:ascii="Times New Roman" w:hAnsi="Times New Roman" w:cs="Times New Roman"/>
                <w:sz w:val="20"/>
                <w:szCs w:val="20"/>
              </w:rPr>
            </w:pPr>
            <w:r w:rsidRPr="00DA5EFD">
              <w:rPr>
                <w:rFonts w:ascii="Times New Roman" w:hAnsi="Times New Roman" w:cs="Times New Roman"/>
                <w:color w:val="231F20"/>
                <w:sz w:val="20"/>
                <w:szCs w:val="20"/>
              </w:rPr>
              <w:t>300kR</w:t>
            </w:r>
          </w:p>
        </w:tc>
        <w:tc>
          <w:tcPr>
            <w:tcW w:w="732" w:type="dxa"/>
          </w:tcPr>
          <w:p w14:paraId="491DCA4E" w14:textId="77777777" w:rsidR="00C63BD8" w:rsidRPr="00DA5EFD" w:rsidRDefault="00C63BD8" w:rsidP="00C63BD8">
            <w:pPr>
              <w:pStyle w:val="TableParagraph"/>
              <w:ind w:right="170"/>
              <w:jc w:val="right"/>
              <w:rPr>
                <w:rFonts w:ascii="Times New Roman" w:hAnsi="Times New Roman" w:cs="Times New Roman"/>
                <w:sz w:val="20"/>
                <w:szCs w:val="20"/>
              </w:rPr>
            </w:pPr>
            <w:r>
              <w:rPr>
                <w:rFonts w:ascii="Times New Roman" w:hAnsi="Times New Roman" w:cs="Times New Roman"/>
                <w:color w:val="231F20"/>
                <w:sz w:val="20"/>
                <w:szCs w:val="20"/>
              </w:rPr>
              <w:t>55.67</w:t>
            </w:r>
          </w:p>
        </w:tc>
        <w:tc>
          <w:tcPr>
            <w:tcW w:w="619" w:type="dxa"/>
          </w:tcPr>
          <w:p w14:paraId="16E6FBB0" w14:textId="77777777" w:rsidR="00C63BD8" w:rsidRPr="00DA5EFD" w:rsidRDefault="00C63BD8" w:rsidP="00C63BD8">
            <w:pPr>
              <w:pStyle w:val="TableParagraph"/>
              <w:ind w:right="168"/>
              <w:jc w:val="right"/>
              <w:rPr>
                <w:rFonts w:ascii="Times New Roman" w:hAnsi="Times New Roman" w:cs="Times New Roman"/>
                <w:sz w:val="20"/>
                <w:szCs w:val="20"/>
              </w:rPr>
            </w:pPr>
            <w:r w:rsidRPr="00DA5EFD">
              <w:rPr>
                <w:rFonts w:ascii="Times New Roman" w:hAnsi="Times New Roman" w:cs="Times New Roman"/>
                <w:color w:val="231F20"/>
                <w:sz w:val="20"/>
                <w:szCs w:val="20"/>
              </w:rPr>
              <w:t>0.30</w:t>
            </w:r>
          </w:p>
        </w:tc>
        <w:tc>
          <w:tcPr>
            <w:tcW w:w="726" w:type="dxa"/>
          </w:tcPr>
          <w:p w14:paraId="36525140" w14:textId="77777777" w:rsidR="00C63BD8" w:rsidRPr="00DA5EFD" w:rsidRDefault="00C63BD8" w:rsidP="00C63BD8">
            <w:pPr>
              <w:pStyle w:val="TableParagraph"/>
              <w:ind w:left="211"/>
              <w:jc w:val="left"/>
              <w:rPr>
                <w:rFonts w:ascii="Times New Roman" w:hAnsi="Times New Roman" w:cs="Times New Roman"/>
                <w:sz w:val="20"/>
                <w:szCs w:val="20"/>
              </w:rPr>
            </w:pPr>
            <w:r w:rsidRPr="00DA5EFD">
              <w:rPr>
                <w:rFonts w:ascii="Times New Roman" w:hAnsi="Times New Roman" w:cs="Times New Roman"/>
                <w:color w:val="231F20"/>
                <w:sz w:val="20"/>
                <w:szCs w:val="20"/>
              </w:rPr>
              <w:t>9.75</w:t>
            </w:r>
          </w:p>
        </w:tc>
        <w:tc>
          <w:tcPr>
            <w:tcW w:w="780" w:type="dxa"/>
          </w:tcPr>
          <w:p w14:paraId="0F03D494" w14:textId="77777777" w:rsidR="00C63BD8" w:rsidRPr="00DA5EFD" w:rsidRDefault="00C63BD8" w:rsidP="00C63BD8">
            <w:pPr>
              <w:pStyle w:val="TableParagraph"/>
              <w:ind w:left="162" w:right="154"/>
              <w:rPr>
                <w:rFonts w:ascii="Times New Roman" w:hAnsi="Times New Roman" w:cs="Times New Roman"/>
                <w:sz w:val="20"/>
                <w:szCs w:val="20"/>
              </w:rPr>
            </w:pPr>
            <w:r w:rsidRPr="00DA5EFD">
              <w:rPr>
                <w:rFonts w:ascii="Times New Roman" w:hAnsi="Times New Roman" w:cs="Times New Roman"/>
                <w:color w:val="231F20"/>
                <w:sz w:val="20"/>
                <w:szCs w:val="20"/>
              </w:rPr>
              <w:t>50.00</w:t>
            </w:r>
          </w:p>
        </w:tc>
        <w:tc>
          <w:tcPr>
            <w:tcW w:w="707" w:type="dxa"/>
          </w:tcPr>
          <w:p w14:paraId="20FEDA74" w14:textId="77777777" w:rsidR="00C63BD8" w:rsidRPr="00DA5EFD" w:rsidRDefault="00C63BD8" w:rsidP="00C63BD8">
            <w:pPr>
              <w:pStyle w:val="TableParagraph"/>
              <w:ind w:left="53" w:right="20"/>
              <w:rPr>
                <w:rFonts w:ascii="Times New Roman" w:hAnsi="Times New Roman" w:cs="Times New Roman"/>
                <w:sz w:val="20"/>
                <w:szCs w:val="20"/>
              </w:rPr>
            </w:pPr>
            <w:r w:rsidRPr="00DA5EFD">
              <w:rPr>
                <w:rFonts w:ascii="Times New Roman" w:hAnsi="Times New Roman" w:cs="Times New Roman"/>
                <w:color w:val="231F20"/>
                <w:sz w:val="20"/>
                <w:szCs w:val="20"/>
              </w:rPr>
              <w:t>62.07</w:t>
            </w:r>
          </w:p>
        </w:tc>
        <w:tc>
          <w:tcPr>
            <w:tcW w:w="733" w:type="dxa"/>
          </w:tcPr>
          <w:p w14:paraId="6C0F5FD1" w14:textId="77777777" w:rsidR="00C63BD8" w:rsidRPr="00DA5EFD" w:rsidRDefault="00C63BD8" w:rsidP="00C63BD8">
            <w:pPr>
              <w:pStyle w:val="TableParagraph"/>
              <w:ind w:left="9" w:right="6"/>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657" w:type="dxa"/>
          </w:tcPr>
          <w:p w14:paraId="24DBC04D" w14:textId="77777777" w:rsidR="00C63BD8" w:rsidRPr="00DA5EFD" w:rsidRDefault="00C63BD8" w:rsidP="00C63BD8">
            <w:pPr>
              <w:pStyle w:val="TableParagraph"/>
              <w:ind w:right="62"/>
              <w:rPr>
                <w:rFonts w:ascii="Times New Roman" w:hAnsi="Times New Roman" w:cs="Times New Roman"/>
                <w:sz w:val="20"/>
                <w:szCs w:val="20"/>
              </w:rPr>
            </w:pPr>
            <w:r w:rsidRPr="00DA5EFD">
              <w:rPr>
                <w:rFonts w:ascii="Times New Roman" w:hAnsi="Times New Roman" w:cs="Times New Roman"/>
                <w:color w:val="231F20"/>
                <w:sz w:val="20"/>
                <w:szCs w:val="20"/>
              </w:rPr>
              <w:t>13.61</w:t>
            </w:r>
          </w:p>
        </w:tc>
        <w:tc>
          <w:tcPr>
            <w:tcW w:w="938" w:type="dxa"/>
          </w:tcPr>
          <w:p w14:paraId="1D6D08B1" w14:textId="77777777" w:rsidR="00C63BD8" w:rsidRPr="00DA5EFD" w:rsidRDefault="00C63BD8" w:rsidP="00C63BD8">
            <w:pPr>
              <w:pStyle w:val="TableParagraph"/>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37.93</w:t>
            </w:r>
          </w:p>
        </w:tc>
        <w:tc>
          <w:tcPr>
            <w:tcW w:w="1105" w:type="dxa"/>
          </w:tcPr>
          <w:p w14:paraId="7AF3230C" w14:textId="77777777" w:rsidR="00C63BD8" w:rsidRPr="00DA5EFD" w:rsidRDefault="00C63BD8" w:rsidP="00C63BD8">
            <w:pPr>
              <w:pStyle w:val="TableParagraph"/>
              <w:ind w:right="290"/>
              <w:jc w:val="left"/>
              <w:rPr>
                <w:rFonts w:ascii="Times New Roman" w:hAnsi="Times New Roman" w:cs="Times New Roman"/>
                <w:sz w:val="20"/>
                <w:szCs w:val="20"/>
              </w:rPr>
            </w:pPr>
            <w:r>
              <w:rPr>
                <w:rFonts w:ascii="Times New Roman" w:hAnsi="Times New Roman" w:cs="Times New Roman"/>
                <w:color w:val="231F20"/>
                <w:sz w:val="20"/>
                <w:szCs w:val="20"/>
              </w:rPr>
              <w:t>74</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34</w:t>
            </w:r>
          </w:p>
        </w:tc>
        <w:tc>
          <w:tcPr>
            <w:tcW w:w="969" w:type="dxa"/>
          </w:tcPr>
          <w:p w14:paraId="5C947EC4" w14:textId="77777777" w:rsidR="00C63BD8" w:rsidRPr="00DA5EFD" w:rsidRDefault="00C63BD8" w:rsidP="00C63BD8">
            <w:pPr>
              <w:pStyle w:val="TableParagraph"/>
              <w:ind w:right="301"/>
              <w:jc w:val="left"/>
              <w:rPr>
                <w:rFonts w:ascii="Times New Roman" w:hAnsi="Times New Roman" w:cs="Times New Roman"/>
                <w:sz w:val="20"/>
                <w:szCs w:val="20"/>
              </w:rPr>
            </w:pPr>
            <w:r w:rsidRPr="00DA5EFD">
              <w:rPr>
                <w:rFonts w:ascii="Times New Roman" w:hAnsi="Times New Roman" w:cs="Times New Roman"/>
                <w:color w:val="231F20"/>
                <w:sz w:val="20"/>
                <w:szCs w:val="20"/>
              </w:rPr>
              <w:t>1</w:t>
            </w:r>
            <w:r>
              <w:rPr>
                <w:rFonts w:ascii="Times New Roman" w:hAnsi="Times New Roman" w:cs="Times New Roman"/>
                <w:color w:val="231F20"/>
                <w:sz w:val="20"/>
                <w:szCs w:val="20"/>
              </w:rPr>
              <w:t>8</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22</w:t>
            </w:r>
          </w:p>
        </w:tc>
      </w:tr>
      <w:tr w:rsidR="00C63BD8" w:rsidRPr="00DA5EFD" w14:paraId="2E4EECAA" w14:textId="77777777" w:rsidTr="00C63BD8">
        <w:trPr>
          <w:trHeight w:val="216"/>
        </w:trPr>
        <w:tc>
          <w:tcPr>
            <w:tcW w:w="1368" w:type="dxa"/>
          </w:tcPr>
          <w:p w14:paraId="12698FCF" w14:textId="77777777" w:rsidR="00C63BD8" w:rsidRPr="00DA5EFD" w:rsidRDefault="00C63BD8" w:rsidP="00C63BD8">
            <w:pPr>
              <w:pStyle w:val="TableParagraph"/>
              <w:ind w:left="175" w:right="129"/>
              <w:rPr>
                <w:rFonts w:ascii="Times New Roman" w:hAnsi="Times New Roman" w:cs="Times New Roman"/>
                <w:sz w:val="20"/>
                <w:szCs w:val="20"/>
              </w:rPr>
            </w:pPr>
            <w:r w:rsidRPr="00DA5EFD">
              <w:rPr>
                <w:rFonts w:ascii="Times New Roman" w:hAnsi="Times New Roman" w:cs="Times New Roman"/>
                <w:color w:val="231F20"/>
                <w:sz w:val="20"/>
                <w:szCs w:val="20"/>
              </w:rPr>
              <w:t>400kR</w:t>
            </w:r>
          </w:p>
        </w:tc>
        <w:tc>
          <w:tcPr>
            <w:tcW w:w="732" w:type="dxa"/>
          </w:tcPr>
          <w:p w14:paraId="76BEAA53" w14:textId="77777777" w:rsidR="00C63BD8" w:rsidRPr="00DA5EFD" w:rsidRDefault="00C63BD8" w:rsidP="00C63BD8">
            <w:pPr>
              <w:pStyle w:val="TableParagraph"/>
              <w:ind w:right="170"/>
              <w:jc w:val="right"/>
              <w:rPr>
                <w:rFonts w:ascii="Times New Roman" w:hAnsi="Times New Roman" w:cs="Times New Roman"/>
                <w:sz w:val="20"/>
                <w:szCs w:val="20"/>
              </w:rPr>
            </w:pPr>
            <w:r w:rsidRPr="00DA5EFD">
              <w:rPr>
                <w:rFonts w:ascii="Times New Roman" w:hAnsi="Times New Roman" w:cs="Times New Roman"/>
                <w:color w:val="231F20"/>
                <w:sz w:val="20"/>
                <w:szCs w:val="20"/>
              </w:rPr>
              <w:t>23.</w:t>
            </w:r>
            <w:r>
              <w:rPr>
                <w:rFonts w:ascii="Times New Roman" w:hAnsi="Times New Roman" w:cs="Times New Roman"/>
                <w:color w:val="231F20"/>
                <w:sz w:val="20"/>
                <w:szCs w:val="20"/>
              </w:rPr>
              <w:t>12</w:t>
            </w:r>
          </w:p>
        </w:tc>
        <w:tc>
          <w:tcPr>
            <w:tcW w:w="619" w:type="dxa"/>
          </w:tcPr>
          <w:p w14:paraId="0B991FDA" w14:textId="77777777" w:rsidR="00C63BD8" w:rsidRPr="00DA5EFD" w:rsidRDefault="00C63BD8" w:rsidP="00C63BD8">
            <w:pPr>
              <w:pStyle w:val="TableParagraph"/>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0.30</w:t>
            </w:r>
          </w:p>
        </w:tc>
        <w:tc>
          <w:tcPr>
            <w:tcW w:w="726" w:type="dxa"/>
          </w:tcPr>
          <w:p w14:paraId="0C679EAD" w14:textId="77777777" w:rsidR="00C63BD8" w:rsidRPr="00DA5EFD" w:rsidRDefault="00C63BD8" w:rsidP="00C63BD8">
            <w:pPr>
              <w:pStyle w:val="TableParagraph"/>
              <w:ind w:left="169"/>
              <w:jc w:val="left"/>
              <w:rPr>
                <w:rFonts w:ascii="Times New Roman" w:hAnsi="Times New Roman" w:cs="Times New Roman"/>
                <w:sz w:val="20"/>
                <w:szCs w:val="20"/>
              </w:rPr>
            </w:pPr>
            <w:r w:rsidRPr="00DA5EFD">
              <w:rPr>
                <w:rFonts w:ascii="Times New Roman" w:hAnsi="Times New Roman" w:cs="Times New Roman"/>
                <w:color w:val="231F20"/>
                <w:sz w:val="20"/>
                <w:szCs w:val="20"/>
              </w:rPr>
              <w:t>20.20</w:t>
            </w:r>
          </w:p>
        </w:tc>
        <w:tc>
          <w:tcPr>
            <w:tcW w:w="780" w:type="dxa"/>
          </w:tcPr>
          <w:p w14:paraId="7E3F1A53" w14:textId="77777777" w:rsidR="00C63BD8" w:rsidRPr="00DA5EFD" w:rsidRDefault="00C63BD8" w:rsidP="00C63BD8">
            <w:pPr>
              <w:pStyle w:val="TableParagraph"/>
              <w:ind w:left="161" w:right="154"/>
              <w:rPr>
                <w:rFonts w:ascii="Times New Roman" w:hAnsi="Times New Roman" w:cs="Times New Roman"/>
                <w:sz w:val="20"/>
                <w:szCs w:val="20"/>
              </w:rPr>
            </w:pPr>
            <w:r w:rsidRPr="00DA5EFD">
              <w:rPr>
                <w:rFonts w:ascii="Times New Roman" w:hAnsi="Times New Roman" w:cs="Times New Roman"/>
                <w:color w:val="231F20"/>
                <w:sz w:val="20"/>
                <w:szCs w:val="20"/>
              </w:rPr>
              <w:t>75.86</w:t>
            </w:r>
          </w:p>
        </w:tc>
        <w:tc>
          <w:tcPr>
            <w:tcW w:w="707" w:type="dxa"/>
          </w:tcPr>
          <w:p w14:paraId="55E1ED4B" w14:textId="77777777" w:rsidR="00C63BD8" w:rsidRPr="00DA5EFD" w:rsidRDefault="00C63BD8" w:rsidP="00C63BD8">
            <w:pPr>
              <w:pStyle w:val="TableParagraph"/>
              <w:ind w:left="53" w:right="21"/>
              <w:rPr>
                <w:rFonts w:ascii="Times New Roman" w:hAnsi="Times New Roman" w:cs="Times New Roman"/>
                <w:sz w:val="20"/>
                <w:szCs w:val="20"/>
              </w:rPr>
            </w:pPr>
            <w:r>
              <w:rPr>
                <w:rFonts w:ascii="Times New Roman" w:hAnsi="Times New Roman" w:cs="Times New Roman"/>
                <w:color w:val="231F20"/>
                <w:sz w:val="20"/>
                <w:szCs w:val="20"/>
              </w:rPr>
              <w:t>29.37</w:t>
            </w:r>
          </w:p>
        </w:tc>
        <w:tc>
          <w:tcPr>
            <w:tcW w:w="733" w:type="dxa"/>
          </w:tcPr>
          <w:p w14:paraId="57593BEC" w14:textId="77777777" w:rsidR="00C63BD8" w:rsidRPr="00DA5EFD" w:rsidRDefault="00C63BD8" w:rsidP="00C63BD8">
            <w:pPr>
              <w:pStyle w:val="TableParagraph"/>
              <w:ind w:left="7" w:right="6"/>
              <w:rPr>
                <w:rFonts w:ascii="Times New Roman" w:hAnsi="Times New Roman" w:cs="Times New Roman"/>
                <w:sz w:val="20"/>
                <w:szCs w:val="20"/>
              </w:rPr>
            </w:pPr>
            <w:r w:rsidRPr="00DA5EFD">
              <w:rPr>
                <w:rFonts w:ascii="Times New Roman" w:hAnsi="Times New Roman" w:cs="Times New Roman"/>
                <w:color w:val="231F20"/>
                <w:sz w:val="20"/>
                <w:szCs w:val="20"/>
              </w:rPr>
              <w:t>0.39</w:t>
            </w:r>
          </w:p>
        </w:tc>
        <w:tc>
          <w:tcPr>
            <w:tcW w:w="657" w:type="dxa"/>
          </w:tcPr>
          <w:p w14:paraId="155CB93C" w14:textId="77777777" w:rsidR="00C63BD8" w:rsidRPr="00DA5EFD" w:rsidRDefault="00C63BD8" w:rsidP="00C63BD8">
            <w:pPr>
              <w:pStyle w:val="TableParagraph"/>
              <w:ind w:right="63"/>
              <w:rPr>
                <w:rFonts w:ascii="Times New Roman" w:hAnsi="Times New Roman" w:cs="Times New Roman"/>
                <w:sz w:val="20"/>
                <w:szCs w:val="20"/>
              </w:rPr>
            </w:pPr>
            <w:r w:rsidRPr="00DA5EFD">
              <w:rPr>
                <w:rFonts w:ascii="Times New Roman" w:hAnsi="Times New Roman" w:cs="Times New Roman"/>
                <w:color w:val="231F20"/>
                <w:sz w:val="20"/>
                <w:szCs w:val="20"/>
              </w:rPr>
              <w:t>93.54</w:t>
            </w:r>
          </w:p>
        </w:tc>
        <w:tc>
          <w:tcPr>
            <w:tcW w:w="938" w:type="dxa"/>
          </w:tcPr>
          <w:p w14:paraId="213AE6E0" w14:textId="77777777" w:rsidR="00C63BD8" w:rsidRPr="00DA5EFD" w:rsidRDefault="00C63BD8" w:rsidP="00C63BD8">
            <w:pPr>
              <w:pStyle w:val="TableParagraph"/>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71.43</w:t>
            </w:r>
          </w:p>
        </w:tc>
        <w:tc>
          <w:tcPr>
            <w:tcW w:w="1105" w:type="dxa"/>
          </w:tcPr>
          <w:p w14:paraId="6BB7DC11" w14:textId="77777777" w:rsidR="00C63BD8" w:rsidRPr="00DA5EFD" w:rsidRDefault="00C63BD8" w:rsidP="00C63BD8">
            <w:pPr>
              <w:pStyle w:val="TableParagraph"/>
              <w:ind w:right="290"/>
              <w:jc w:val="left"/>
              <w:rPr>
                <w:rFonts w:ascii="Times New Roman" w:hAnsi="Times New Roman" w:cs="Times New Roman"/>
                <w:sz w:val="20"/>
                <w:szCs w:val="20"/>
              </w:rPr>
            </w:pPr>
            <w:r>
              <w:rPr>
                <w:rFonts w:ascii="Times New Roman" w:hAnsi="Times New Roman" w:cs="Times New Roman"/>
                <w:color w:val="231F20"/>
                <w:sz w:val="20"/>
                <w:szCs w:val="20"/>
              </w:rPr>
              <w:t>62</w:t>
            </w:r>
            <w:r w:rsidRPr="00DA5EFD">
              <w:rPr>
                <w:rFonts w:ascii="Times New Roman" w:hAnsi="Times New Roman" w:cs="Times New Roman"/>
                <w:color w:val="231F20"/>
                <w:sz w:val="20"/>
                <w:szCs w:val="20"/>
              </w:rPr>
              <w:t>.12</w:t>
            </w:r>
          </w:p>
        </w:tc>
        <w:tc>
          <w:tcPr>
            <w:tcW w:w="969" w:type="dxa"/>
          </w:tcPr>
          <w:p w14:paraId="078256F7" w14:textId="77777777" w:rsidR="00C63BD8" w:rsidRPr="00DA5EFD" w:rsidRDefault="00C63BD8" w:rsidP="00C63BD8">
            <w:pPr>
              <w:pStyle w:val="TableParagraph"/>
              <w:ind w:right="302"/>
              <w:jc w:val="left"/>
              <w:rPr>
                <w:rFonts w:ascii="Times New Roman" w:hAnsi="Times New Roman" w:cs="Times New Roman"/>
                <w:sz w:val="20"/>
                <w:szCs w:val="20"/>
              </w:rPr>
            </w:pPr>
            <w:r w:rsidRPr="00DA5EFD">
              <w:rPr>
                <w:rFonts w:ascii="Times New Roman" w:hAnsi="Times New Roman" w:cs="Times New Roman"/>
                <w:color w:val="231F20"/>
                <w:sz w:val="20"/>
                <w:szCs w:val="20"/>
              </w:rPr>
              <w:t>2</w:t>
            </w:r>
            <w:r>
              <w:rPr>
                <w:rFonts w:ascii="Times New Roman" w:hAnsi="Times New Roman" w:cs="Times New Roman"/>
                <w:color w:val="231F20"/>
                <w:sz w:val="20"/>
                <w:szCs w:val="20"/>
              </w:rPr>
              <w:t>4</w:t>
            </w:r>
            <w:r w:rsidRPr="00DA5EFD">
              <w:rPr>
                <w:rFonts w:ascii="Times New Roman" w:hAnsi="Times New Roman" w:cs="Times New Roman"/>
                <w:color w:val="231F20"/>
                <w:sz w:val="20"/>
                <w:szCs w:val="20"/>
              </w:rPr>
              <w:t>.</w:t>
            </w:r>
            <w:r>
              <w:rPr>
                <w:rFonts w:ascii="Times New Roman" w:hAnsi="Times New Roman" w:cs="Times New Roman"/>
                <w:color w:val="231F20"/>
                <w:sz w:val="20"/>
                <w:szCs w:val="20"/>
              </w:rPr>
              <w:t>63</w:t>
            </w:r>
          </w:p>
        </w:tc>
      </w:tr>
      <w:tr w:rsidR="00C63BD8" w:rsidRPr="00DA5EFD" w14:paraId="0F0F0559" w14:textId="77777777" w:rsidTr="00C63BD8">
        <w:trPr>
          <w:trHeight w:val="204"/>
        </w:trPr>
        <w:tc>
          <w:tcPr>
            <w:tcW w:w="1368" w:type="dxa"/>
          </w:tcPr>
          <w:p w14:paraId="24DA12AC" w14:textId="77777777" w:rsidR="00C63BD8" w:rsidRPr="00DA5EFD" w:rsidRDefault="00C63BD8" w:rsidP="00C63BD8">
            <w:pPr>
              <w:pStyle w:val="TableParagraph"/>
              <w:spacing w:line="170" w:lineRule="exact"/>
              <w:ind w:left="174" w:right="129"/>
              <w:rPr>
                <w:rFonts w:ascii="Times New Roman" w:hAnsi="Times New Roman" w:cs="Times New Roman"/>
                <w:sz w:val="20"/>
                <w:szCs w:val="20"/>
              </w:rPr>
            </w:pPr>
            <w:r w:rsidRPr="00DA5EFD">
              <w:rPr>
                <w:rFonts w:ascii="Times New Roman" w:hAnsi="Times New Roman" w:cs="Times New Roman"/>
                <w:color w:val="231F20"/>
                <w:sz w:val="20"/>
                <w:szCs w:val="20"/>
              </w:rPr>
              <w:t>500kR</w:t>
            </w:r>
          </w:p>
        </w:tc>
        <w:tc>
          <w:tcPr>
            <w:tcW w:w="732" w:type="dxa"/>
          </w:tcPr>
          <w:p w14:paraId="5D0B0CF3" w14:textId="77777777" w:rsidR="00C63BD8" w:rsidRPr="00DA5EFD" w:rsidRDefault="00C63BD8" w:rsidP="00C63BD8">
            <w:pPr>
              <w:pStyle w:val="TableParagraph"/>
              <w:spacing w:line="170" w:lineRule="exact"/>
              <w:ind w:right="170"/>
              <w:jc w:val="right"/>
              <w:rPr>
                <w:rFonts w:ascii="Times New Roman" w:hAnsi="Times New Roman" w:cs="Times New Roman"/>
                <w:sz w:val="20"/>
                <w:szCs w:val="20"/>
              </w:rPr>
            </w:pPr>
            <w:r>
              <w:rPr>
                <w:rFonts w:ascii="Times New Roman" w:hAnsi="Times New Roman" w:cs="Times New Roman"/>
                <w:color w:val="231F20"/>
                <w:sz w:val="20"/>
                <w:szCs w:val="20"/>
              </w:rPr>
              <w:t>21</w:t>
            </w:r>
            <w:r w:rsidRPr="00DA5EFD">
              <w:rPr>
                <w:rFonts w:ascii="Times New Roman" w:hAnsi="Times New Roman" w:cs="Times New Roman"/>
                <w:color w:val="231F20"/>
                <w:sz w:val="20"/>
                <w:szCs w:val="20"/>
              </w:rPr>
              <w:t>.00</w:t>
            </w:r>
          </w:p>
        </w:tc>
        <w:tc>
          <w:tcPr>
            <w:tcW w:w="619" w:type="dxa"/>
          </w:tcPr>
          <w:p w14:paraId="0BFCB686" w14:textId="77777777" w:rsidR="00C63BD8" w:rsidRPr="00DA5EFD" w:rsidRDefault="00C63BD8" w:rsidP="00C63BD8">
            <w:pPr>
              <w:pStyle w:val="TableParagraph"/>
              <w:spacing w:line="170" w:lineRule="exact"/>
              <w:ind w:right="169"/>
              <w:jc w:val="right"/>
              <w:rPr>
                <w:rFonts w:ascii="Times New Roman" w:hAnsi="Times New Roman" w:cs="Times New Roman"/>
                <w:sz w:val="20"/>
                <w:szCs w:val="20"/>
              </w:rPr>
            </w:pPr>
            <w:r w:rsidRPr="00DA5EFD">
              <w:rPr>
                <w:rFonts w:ascii="Times New Roman" w:hAnsi="Times New Roman" w:cs="Times New Roman"/>
                <w:color w:val="231F20"/>
                <w:sz w:val="20"/>
                <w:szCs w:val="20"/>
              </w:rPr>
              <w:t>0.26</w:t>
            </w:r>
          </w:p>
        </w:tc>
        <w:tc>
          <w:tcPr>
            <w:tcW w:w="726" w:type="dxa"/>
          </w:tcPr>
          <w:p w14:paraId="78F2E9E6" w14:textId="77777777" w:rsidR="00C63BD8" w:rsidRPr="00DA5EFD" w:rsidRDefault="00C63BD8" w:rsidP="00C63BD8">
            <w:pPr>
              <w:pStyle w:val="TableParagraph"/>
              <w:spacing w:line="170" w:lineRule="exact"/>
              <w:ind w:left="169"/>
              <w:jc w:val="left"/>
              <w:rPr>
                <w:rFonts w:ascii="Times New Roman" w:hAnsi="Times New Roman" w:cs="Times New Roman"/>
                <w:sz w:val="20"/>
                <w:szCs w:val="20"/>
              </w:rPr>
            </w:pPr>
            <w:r w:rsidRPr="00DA5EFD">
              <w:rPr>
                <w:rFonts w:ascii="Times New Roman" w:hAnsi="Times New Roman" w:cs="Times New Roman"/>
                <w:color w:val="231F20"/>
                <w:sz w:val="20"/>
                <w:szCs w:val="20"/>
              </w:rPr>
              <w:t>27.22</w:t>
            </w:r>
          </w:p>
        </w:tc>
        <w:tc>
          <w:tcPr>
            <w:tcW w:w="780" w:type="dxa"/>
          </w:tcPr>
          <w:p w14:paraId="1A0417BD" w14:textId="77777777" w:rsidR="00C63BD8" w:rsidRPr="00DA5EFD" w:rsidRDefault="00C63BD8" w:rsidP="00C63BD8">
            <w:pPr>
              <w:pStyle w:val="TableParagraph"/>
              <w:spacing w:line="170" w:lineRule="exact"/>
              <w:ind w:left="160" w:right="154"/>
              <w:rPr>
                <w:rFonts w:ascii="Times New Roman" w:hAnsi="Times New Roman" w:cs="Times New Roman"/>
                <w:sz w:val="20"/>
                <w:szCs w:val="20"/>
              </w:rPr>
            </w:pPr>
            <w:r w:rsidRPr="00DA5EFD">
              <w:rPr>
                <w:rFonts w:ascii="Times New Roman" w:hAnsi="Times New Roman" w:cs="Times New Roman"/>
                <w:color w:val="231F20"/>
                <w:sz w:val="20"/>
                <w:szCs w:val="20"/>
              </w:rPr>
              <w:t>84.48</w:t>
            </w:r>
          </w:p>
        </w:tc>
        <w:tc>
          <w:tcPr>
            <w:tcW w:w="707" w:type="dxa"/>
          </w:tcPr>
          <w:p w14:paraId="2A0F78D1" w14:textId="77777777" w:rsidR="00C63BD8" w:rsidRPr="00DA5EFD" w:rsidRDefault="00C63BD8" w:rsidP="00C63BD8">
            <w:pPr>
              <w:pStyle w:val="TableParagraph"/>
              <w:spacing w:line="170" w:lineRule="exact"/>
              <w:ind w:left="31"/>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733" w:type="dxa"/>
          </w:tcPr>
          <w:p w14:paraId="2E9AA485" w14:textId="77777777" w:rsidR="00C63BD8" w:rsidRPr="00DA5EFD" w:rsidRDefault="00C63BD8" w:rsidP="00C63BD8">
            <w:pPr>
              <w:pStyle w:val="TableParagraph"/>
              <w:spacing w:line="170" w:lineRule="exact"/>
              <w:ind w:left="1"/>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657" w:type="dxa"/>
          </w:tcPr>
          <w:p w14:paraId="7DA65DCD" w14:textId="77777777" w:rsidR="00C63BD8" w:rsidRPr="00DA5EFD" w:rsidRDefault="00C63BD8" w:rsidP="00C63BD8">
            <w:pPr>
              <w:pStyle w:val="TableParagraph"/>
              <w:spacing w:line="170" w:lineRule="exact"/>
              <w:ind w:right="63"/>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938" w:type="dxa"/>
          </w:tcPr>
          <w:p w14:paraId="7269795B" w14:textId="77777777" w:rsidR="00C63BD8" w:rsidRPr="00DA5EFD" w:rsidRDefault="00C63BD8" w:rsidP="00C63BD8">
            <w:pPr>
              <w:pStyle w:val="TableParagraph"/>
              <w:spacing w:line="170" w:lineRule="exact"/>
              <w:ind w:right="290"/>
              <w:jc w:val="left"/>
              <w:rPr>
                <w:rFonts w:ascii="Times New Roman" w:hAnsi="Times New Roman" w:cs="Times New Roman"/>
                <w:sz w:val="20"/>
                <w:szCs w:val="20"/>
              </w:rPr>
            </w:pPr>
            <w:r w:rsidRPr="00DA5EFD">
              <w:rPr>
                <w:rFonts w:ascii="Times New Roman" w:hAnsi="Times New Roman" w:cs="Times New Roman"/>
                <w:color w:val="231F20"/>
                <w:sz w:val="20"/>
                <w:szCs w:val="20"/>
              </w:rPr>
              <w:t>100.0</w:t>
            </w:r>
          </w:p>
        </w:tc>
        <w:tc>
          <w:tcPr>
            <w:tcW w:w="1105" w:type="dxa"/>
          </w:tcPr>
          <w:p w14:paraId="536189E0" w14:textId="77777777" w:rsidR="00C63BD8" w:rsidRPr="00DA5EFD" w:rsidRDefault="00C63BD8" w:rsidP="00C63BD8">
            <w:pPr>
              <w:pStyle w:val="TableParagraph"/>
              <w:spacing w:line="170" w:lineRule="exact"/>
              <w:ind w:left="13"/>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c>
          <w:tcPr>
            <w:tcW w:w="969" w:type="dxa"/>
          </w:tcPr>
          <w:p w14:paraId="5FF32CEA" w14:textId="77777777" w:rsidR="00C63BD8" w:rsidRPr="00DA5EFD" w:rsidRDefault="00C63BD8" w:rsidP="00C63BD8">
            <w:pPr>
              <w:pStyle w:val="TableParagraph"/>
              <w:spacing w:line="170" w:lineRule="exact"/>
              <w:ind w:left="2"/>
              <w:rPr>
                <w:rFonts w:ascii="Times New Roman" w:hAnsi="Times New Roman" w:cs="Times New Roman"/>
                <w:sz w:val="20"/>
                <w:szCs w:val="20"/>
              </w:rPr>
            </w:pPr>
            <w:r w:rsidRPr="00DA5EFD">
              <w:rPr>
                <w:rFonts w:ascii="Times New Roman" w:hAnsi="Times New Roman" w:cs="Times New Roman"/>
                <w:color w:val="231F20"/>
                <w:w w:val="83"/>
                <w:sz w:val="20"/>
                <w:szCs w:val="20"/>
              </w:rPr>
              <w:t>-</w:t>
            </w:r>
          </w:p>
        </w:tc>
      </w:tr>
      <w:tr w:rsidR="00C63BD8" w:rsidRPr="00DA5EFD" w14:paraId="36DBAC10" w14:textId="77777777" w:rsidTr="00C63BD8">
        <w:trPr>
          <w:trHeight w:val="198"/>
        </w:trPr>
        <w:tc>
          <w:tcPr>
            <w:tcW w:w="1368" w:type="dxa"/>
          </w:tcPr>
          <w:p w14:paraId="4E4CCFDE" w14:textId="77777777" w:rsidR="00C63BD8" w:rsidRPr="00DA5EFD" w:rsidRDefault="00C63BD8" w:rsidP="00C63BD8">
            <w:pPr>
              <w:pStyle w:val="TableParagraph"/>
              <w:spacing w:before="0" w:line="169" w:lineRule="exact"/>
              <w:ind w:left="174" w:right="129"/>
              <w:rPr>
                <w:rFonts w:ascii="Times New Roman" w:hAnsi="Times New Roman" w:cs="Times New Roman"/>
                <w:sz w:val="20"/>
                <w:szCs w:val="20"/>
              </w:rPr>
            </w:pPr>
            <w:r w:rsidRPr="00DA5EFD">
              <w:rPr>
                <w:rFonts w:ascii="Times New Roman" w:hAnsi="Times New Roman" w:cs="Times New Roman"/>
                <w:color w:val="231F20"/>
                <w:w w:val="95"/>
                <w:sz w:val="20"/>
                <w:szCs w:val="20"/>
              </w:rPr>
              <w:t>LSD</w:t>
            </w:r>
            <w:r w:rsidRPr="00DA5EFD">
              <w:rPr>
                <w:rFonts w:ascii="Times New Roman" w:hAnsi="Times New Roman" w:cs="Times New Roman"/>
                <w:color w:val="231F20"/>
                <w:spacing w:val="-9"/>
                <w:w w:val="95"/>
                <w:sz w:val="20"/>
                <w:szCs w:val="20"/>
              </w:rPr>
              <w:t xml:space="preserve"> </w:t>
            </w:r>
            <w:r w:rsidRPr="00DA5EFD">
              <w:rPr>
                <w:rFonts w:ascii="Times New Roman" w:hAnsi="Times New Roman" w:cs="Times New Roman"/>
                <w:color w:val="231F20"/>
                <w:w w:val="95"/>
                <w:sz w:val="20"/>
                <w:szCs w:val="20"/>
              </w:rPr>
              <w:t>(5%</w:t>
            </w:r>
            <w:r w:rsidRPr="00DA5EFD">
              <w:rPr>
                <w:rFonts w:ascii="Times New Roman" w:hAnsi="Times New Roman" w:cs="Times New Roman"/>
                <w:color w:val="231F20"/>
                <w:spacing w:val="-8"/>
                <w:w w:val="95"/>
                <w:sz w:val="20"/>
                <w:szCs w:val="20"/>
              </w:rPr>
              <w:t xml:space="preserve"> </w:t>
            </w:r>
            <w:r w:rsidRPr="00DA5EFD">
              <w:rPr>
                <w:rFonts w:ascii="Times New Roman" w:hAnsi="Times New Roman" w:cs="Times New Roman"/>
                <w:color w:val="231F20"/>
                <w:w w:val="95"/>
                <w:sz w:val="20"/>
                <w:szCs w:val="20"/>
              </w:rPr>
              <w:t>level)</w:t>
            </w:r>
          </w:p>
        </w:tc>
        <w:tc>
          <w:tcPr>
            <w:tcW w:w="1351" w:type="dxa"/>
            <w:gridSpan w:val="2"/>
          </w:tcPr>
          <w:p w14:paraId="73CF5BC0" w14:textId="77777777" w:rsidR="00C63BD8" w:rsidRPr="00DA5EFD" w:rsidRDefault="00C63BD8" w:rsidP="00C63BD8">
            <w:pPr>
              <w:pStyle w:val="TableParagraph"/>
              <w:tabs>
                <w:tab w:val="left" w:pos="1014"/>
              </w:tabs>
              <w:spacing w:before="0" w:line="169" w:lineRule="exact"/>
              <w:ind w:left="238"/>
              <w:jc w:val="left"/>
              <w:rPr>
                <w:rFonts w:ascii="Times New Roman" w:hAnsi="Times New Roman" w:cs="Times New Roman"/>
                <w:sz w:val="20"/>
                <w:szCs w:val="20"/>
              </w:rPr>
            </w:pPr>
            <w:r w:rsidRPr="00DA5EFD">
              <w:rPr>
                <w:rFonts w:ascii="Times New Roman" w:hAnsi="Times New Roman" w:cs="Times New Roman"/>
                <w:color w:val="231F20"/>
                <w:w w:val="95"/>
                <w:sz w:val="20"/>
                <w:szCs w:val="20"/>
              </w:rPr>
              <w:t>1.</w:t>
            </w:r>
            <w:r>
              <w:rPr>
                <w:rFonts w:ascii="Times New Roman" w:hAnsi="Times New Roman" w:cs="Times New Roman"/>
                <w:color w:val="231F20"/>
                <w:w w:val="95"/>
                <w:sz w:val="20"/>
                <w:szCs w:val="20"/>
              </w:rPr>
              <w:t>43</w:t>
            </w:r>
            <w:r w:rsidRPr="00DA5EFD">
              <w:rPr>
                <w:rFonts w:ascii="Times New Roman" w:hAnsi="Times New Roman" w:cs="Times New Roman"/>
                <w:color w:val="231F20"/>
                <w:w w:val="95"/>
                <w:sz w:val="20"/>
                <w:szCs w:val="20"/>
              </w:rPr>
              <w:tab/>
              <w:t>-</w:t>
            </w:r>
          </w:p>
        </w:tc>
        <w:tc>
          <w:tcPr>
            <w:tcW w:w="1506" w:type="dxa"/>
            <w:gridSpan w:val="2"/>
          </w:tcPr>
          <w:p w14:paraId="74FFC85D" w14:textId="77777777" w:rsidR="00C63BD8" w:rsidRPr="00DA5EFD" w:rsidRDefault="00C63BD8" w:rsidP="00C63BD8">
            <w:pPr>
              <w:pStyle w:val="TableParagraph"/>
              <w:tabs>
                <w:tab w:val="left" w:pos="1081"/>
              </w:tabs>
              <w:spacing w:before="0" w:line="169" w:lineRule="exact"/>
              <w:ind w:left="32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p>
        </w:tc>
        <w:tc>
          <w:tcPr>
            <w:tcW w:w="707" w:type="dxa"/>
          </w:tcPr>
          <w:p w14:paraId="13B67C1E" w14:textId="77777777" w:rsidR="00C63BD8" w:rsidRPr="00DA5EFD" w:rsidRDefault="00C63BD8" w:rsidP="00C63BD8">
            <w:pPr>
              <w:pStyle w:val="TableParagraph"/>
              <w:spacing w:before="0" w:line="169" w:lineRule="exact"/>
              <w:ind w:left="53" w:right="22"/>
              <w:rPr>
                <w:rFonts w:ascii="Times New Roman" w:hAnsi="Times New Roman" w:cs="Times New Roman"/>
                <w:sz w:val="20"/>
                <w:szCs w:val="20"/>
              </w:rPr>
            </w:pPr>
            <w:r w:rsidRPr="00DA5EFD">
              <w:rPr>
                <w:rFonts w:ascii="Times New Roman" w:hAnsi="Times New Roman" w:cs="Times New Roman"/>
                <w:color w:val="231F20"/>
                <w:sz w:val="20"/>
                <w:szCs w:val="20"/>
              </w:rPr>
              <w:t>1.</w:t>
            </w:r>
            <w:r>
              <w:rPr>
                <w:rFonts w:ascii="Times New Roman" w:hAnsi="Times New Roman" w:cs="Times New Roman"/>
                <w:color w:val="231F20"/>
                <w:sz w:val="20"/>
                <w:szCs w:val="20"/>
              </w:rPr>
              <w:t>28</w:t>
            </w:r>
          </w:p>
        </w:tc>
        <w:tc>
          <w:tcPr>
            <w:tcW w:w="4402" w:type="dxa"/>
            <w:gridSpan w:val="5"/>
          </w:tcPr>
          <w:p w14:paraId="5AC446C4" w14:textId="77777777" w:rsidR="00C63BD8" w:rsidRPr="00DA5EFD" w:rsidRDefault="00C63BD8" w:rsidP="00C63BD8">
            <w:pPr>
              <w:pStyle w:val="TableParagraph"/>
              <w:tabs>
                <w:tab w:val="left" w:pos="946"/>
                <w:tab w:val="left" w:pos="1793"/>
                <w:tab w:val="left" w:pos="2825"/>
                <w:tab w:val="left" w:pos="3857"/>
              </w:tabs>
              <w:spacing w:before="0" w:line="169" w:lineRule="exact"/>
              <w:ind w:left="28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p>
        </w:tc>
      </w:tr>
      <w:tr w:rsidR="00C63BD8" w:rsidRPr="00DA5EFD" w14:paraId="422492BE" w14:textId="77777777" w:rsidTr="00C63BD8">
        <w:trPr>
          <w:trHeight w:val="204"/>
        </w:trPr>
        <w:tc>
          <w:tcPr>
            <w:tcW w:w="1368" w:type="dxa"/>
          </w:tcPr>
          <w:p w14:paraId="2464BA01" w14:textId="77777777" w:rsidR="00C63BD8" w:rsidRPr="00DA5EFD" w:rsidRDefault="00C63BD8" w:rsidP="00C63BD8">
            <w:pPr>
              <w:pStyle w:val="TableParagraph"/>
              <w:spacing w:line="170" w:lineRule="exact"/>
              <w:ind w:left="174" w:right="129"/>
              <w:rPr>
                <w:rFonts w:ascii="Times New Roman" w:hAnsi="Times New Roman" w:cs="Times New Roman"/>
                <w:sz w:val="20"/>
                <w:szCs w:val="20"/>
              </w:rPr>
            </w:pPr>
            <w:r w:rsidRPr="00DA5EFD">
              <w:rPr>
                <w:rFonts w:ascii="Times New Roman" w:hAnsi="Times New Roman" w:cs="Times New Roman"/>
                <w:color w:val="231F20"/>
                <w:w w:val="95"/>
                <w:sz w:val="20"/>
                <w:szCs w:val="20"/>
              </w:rPr>
              <w:t>LSD</w:t>
            </w:r>
            <w:r w:rsidRPr="00DA5EFD">
              <w:rPr>
                <w:rFonts w:ascii="Times New Roman" w:hAnsi="Times New Roman" w:cs="Times New Roman"/>
                <w:color w:val="231F20"/>
                <w:spacing w:val="-9"/>
                <w:w w:val="95"/>
                <w:sz w:val="20"/>
                <w:szCs w:val="20"/>
              </w:rPr>
              <w:t xml:space="preserve"> </w:t>
            </w:r>
            <w:r w:rsidRPr="00DA5EFD">
              <w:rPr>
                <w:rFonts w:ascii="Times New Roman" w:hAnsi="Times New Roman" w:cs="Times New Roman"/>
                <w:color w:val="231F20"/>
                <w:w w:val="95"/>
                <w:sz w:val="20"/>
                <w:szCs w:val="20"/>
              </w:rPr>
              <w:t>(1%</w:t>
            </w:r>
            <w:r w:rsidRPr="00DA5EFD">
              <w:rPr>
                <w:rFonts w:ascii="Times New Roman" w:hAnsi="Times New Roman" w:cs="Times New Roman"/>
                <w:color w:val="231F20"/>
                <w:spacing w:val="-8"/>
                <w:w w:val="95"/>
                <w:sz w:val="20"/>
                <w:szCs w:val="20"/>
              </w:rPr>
              <w:t xml:space="preserve"> </w:t>
            </w:r>
            <w:r w:rsidRPr="00DA5EFD">
              <w:rPr>
                <w:rFonts w:ascii="Times New Roman" w:hAnsi="Times New Roman" w:cs="Times New Roman"/>
                <w:color w:val="231F20"/>
                <w:w w:val="95"/>
                <w:sz w:val="20"/>
                <w:szCs w:val="20"/>
              </w:rPr>
              <w:t>level)</w:t>
            </w:r>
          </w:p>
        </w:tc>
        <w:tc>
          <w:tcPr>
            <w:tcW w:w="1351" w:type="dxa"/>
            <w:gridSpan w:val="2"/>
          </w:tcPr>
          <w:p w14:paraId="47408A2F" w14:textId="77777777" w:rsidR="00C63BD8" w:rsidRPr="00DA5EFD" w:rsidRDefault="00C63BD8" w:rsidP="00C63BD8">
            <w:pPr>
              <w:pStyle w:val="TableParagraph"/>
              <w:tabs>
                <w:tab w:val="left" w:pos="1014"/>
              </w:tabs>
              <w:spacing w:line="170" w:lineRule="exact"/>
              <w:ind w:left="238"/>
              <w:jc w:val="left"/>
              <w:rPr>
                <w:rFonts w:ascii="Times New Roman" w:hAnsi="Times New Roman" w:cs="Times New Roman"/>
                <w:sz w:val="20"/>
                <w:szCs w:val="20"/>
              </w:rPr>
            </w:pPr>
            <w:r w:rsidRPr="00DA5EFD">
              <w:rPr>
                <w:rFonts w:ascii="Times New Roman" w:hAnsi="Times New Roman" w:cs="Times New Roman"/>
                <w:color w:val="231F20"/>
                <w:w w:val="95"/>
                <w:sz w:val="20"/>
                <w:szCs w:val="20"/>
              </w:rPr>
              <w:t>2.</w:t>
            </w:r>
            <w:r>
              <w:rPr>
                <w:rFonts w:ascii="Times New Roman" w:hAnsi="Times New Roman" w:cs="Times New Roman"/>
                <w:color w:val="231F20"/>
                <w:w w:val="95"/>
                <w:sz w:val="20"/>
                <w:szCs w:val="20"/>
              </w:rPr>
              <w:t>53</w:t>
            </w:r>
            <w:r w:rsidRPr="00DA5EFD">
              <w:rPr>
                <w:rFonts w:ascii="Times New Roman" w:hAnsi="Times New Roman" w:cs="Times New Roman"/>
                <w:color w:val="231F20"/>
                <w:w w:val="95"/>
                <w:sz w:val="20"/>
                <w:szCs w:val="20"/>
              </w:rPr>
              <w:tab/>
              <w:t>-</w:t>
            </w:r>
          </w:p>
        </w:tc>
        <w:tc>
          <w:tcPr>
            <w:tcW w:w="1506" w:type="dxa"/>
            <w:gridSpan w:val="2"/>
          </w:tcPr>
          <w:p w14:paraId="12021467" w14:textId="77777777" w:rsidR="00C63BD8" w:rsidRPr="00DA5EFD" w:rsidRDefault="00C63BD8" w:rsidP="00C63BD8">
            <w:pPr>
              <w:pStyle w:val="TableParagraph"/>
              <w:tabs>
                <w:tab w:val="left" w:pos="1081"/>
              </w:tabs>
              <w:spacing w:line="170" w:lineRule="exact"/>
              <w:ind w:left="32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p>
        </w:tc>
        <w:tc>
          <w:tcPr>
            <w:tcW w:w="707" w:type="dxa"/>
          </w:tcPr>
          <w:p w14:paraId="74D57966" w14:textId="77777777" w:rsidR="00C63BD8" w:rsidRPr="00DA5EFD" w:rsidRDefault="00C63BD8" w:rsidP="00C63BD8">
            <w:pPr>
              <w:pStyle w:val="TableParagraph"/>
              <w:spacing w:line="170" w:lineRule="exact"/>
              <w:ind w:left="53" w:right="22"/>
              <w:rPr>
                <w:rFonts w:ascii="Times New Roman" w:hAnsi="Times New Roman" w:cs="Times New Roman"/>
                <w:sz w:val="20"/>
                <w:szCs w:val="20"/>
              </w:rPr>
            </w:pPr>
            <w:r w:rsidRPr="00DA5EFD">
              <w:rPr>
                <w:rFonts w:ascii="Times New Roman" w:hAnsi="Times New Roman" w:cs="Times New Roman"/>
                <w:color w:val="231F20"/>
                <w:sz w:val="20"/>
                <w:szCs w:val="20"/>
              </w:rPr>
              <w:t>2.</w:t>
            </w:r>
            <w:r>
              <w:rPr>
                <w:rFonts w:ascii="Times New Roman" w:hAnsi="Times New Roman" w:cs="Times New Roman"/>
                <w:color w:val="231F20"/>
                <w:sz w:val="20"/>
                <w:szCs w:val="20"/>
              </w:rPr>
              <w:t>17</w:t>
            </w:r>
          </w:p>
        </w:tc>
        <w:tc>
          <w:tcPr>
            <w:tcW w:w="4402" w:type="dxa"/>
            <w:gridSpan w:val="5"/>
          </w:tcPr>
          <w:p w14:paraId="3C9F30EC" w14:textId="77777777" w:rsidR="00C63BD8" w:rsidRPr="00DA5EFD" w:rsidRDefault="00C63BD8" w:rsidP="00C63BD8">
            <w:pPr>
              <w:pStyle w:val="TableParagraph"/>
              <w:tabs>
                <w:tab w:val="left" w:pos="946"/>
                <w:tab w:val="left" w:pos="1793"/>
                <w:tab w:val="left" w:pos="2825"/>
                <w:tab w:val="left" w:pos="3857"/>
              </w:tabs>
              <w:spacing w:line="170" w:lineRule="exact"/>
              <w:ind w:left="285"/>
              <w:jc w:val="left"/>
              <w:rPr>
                <w:rFonts w:ascii="Times New Roman" w:hAnsi="Times New Roman" w:cs="Times New Roman"/>
                <w:sz w:val="20"/>
                <w:szCs w:val="20"/>
              </w:rPr>
            </w:pPr>
            <w:r w:rsidRPr="00DA5EFD">
              <w:rPr>
                <w:rFonts w:ascii="Times New Roman" w:hAnsi="Times New Roman" w:cs="Times New Roman"/>
                <w:color w:val="231F20"/>
                <w:w w:val="95"/>
                <w:sz w:val="20"/>
                <w:szCs w:val="20"/>
              </w:rPr>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r w:rsidRPr="00DA5EFD">
              <w:rPr>
                <w:rFonts w:ascii="Times New Roman" w:hAnsi="Times New Roman" w:cs="Times New Roman"/>
                <w:color w:val="231F20"/>
                <w:w w:val="95"/>
                <w:sz w:val="20"/>
                <w:szCs w:val="20"/>
              </w:rPr>
              <w:tab/>
              <w:t>-</w:t>
            </w:r>
          </w:p>
        </w:tc>
      </w:tr>
    </w:tbl>
    <w:p w14:paraId="101E6808" w14:textId="77777777" w:rsidR="00C63BD8" w:rsidRDefault="00C63BD8" w:rsidP="00D44381">
      <w:pPr>
        <w:widowControl/>
        <w:autoSpaceDE/>
        <w:autoSpaceDN/>
        <w:spacing w:after="200" w:line="276" w:lineRule="auto"/>
        <w:rPr>
          <w:color w:val="231F20"/>
          <w:sz w:val="24"/>
          <w:szCs w:val="24"/>
        </w:rPr>
      </w:pPr>
    </w:p>
    <w:p w14:paraId="7989A8AF" w14:textId="77777777" w:rsidR="00C63BD8" w:rsidRPr="00C63BD8" w:rsidRDefault="00C63BD8" w:rsidP="00C63BD8">
      <w:pPr>
        <w:rPr>
          <w:sz w:val="24"/>
          <w:szCs w:val="24"/>
        </w:rPr>
      </w:pPr>
    </w:p>
    <w:p w14:paraId="3119411A" w14:textId="77777777" w:rsidR="00C63BD8" w:rsidRPr="00C63BD8" w:rsidRDefault="00C63BD8" w:rsidP="00C63BD8">
      <w:pPr>
        <w:rPr>
          <w:sz w:val="24"/>
          <w:szCs w:val="24"/>
        </w:rPr>
      </w:pPr>
    </w:p>
    <w:p w14:paraId="30E36248" w14:textId="77777777" w:rsidR="00C63BD8" w:rsidRPr="00C63BD8" w:rsidRDefault="00C63BD8" w:rsidP="00C63BD8">
      <w:pPr>
        <w:rPr>
          <w:sz w:val="24"/>
          <w:szCs w:val="24"/>
        </w:rPr>
      </w:pPr>
    </w:p>
    <w:p w14:paraId="1E3E23D9" w14:textId="77777777" w:rsidR="00C63BD8" w:rsidRDefault="00C63BD8" w:rsidP="00C63BD8">
      <w:pPr>
        <w:spacing w:before="103"/>
        <w:ind w:left="810" w:hanging="720"/>
        <w:rPr>
          <w:rFonts w:ascii="Trebuchet MS"/>
          <w:sz w:val="16"/>
        </w:rPr>
      </w:pPr>
      <w:r w:rsidRPr="00FE40EB">
        <w:rPr>
          <w:b/>
          <w:bCs/>
          <w:color w:val="231F20"/>
          <w:w w:val="90"/>
          <w:sz w:val="24"/>
          <w:szCs w:val="24"/>
        </w:rPr>
        <w:t>Table</w:t>
      </w:r>
      <w:r w:rsidRPr="00FE40EB">
        <w:rPr>
          <w:b/>
          <w:bCs/>
          <w:color w:val="231F20"/>
          <w:spacing w:val="3"/>
          <w:w w:val="90"/>
          <w:sz w:val="24"/>
          <w:szCs w:val="24"/>
        </w:rPr>
        <w:t xml:space="preserve"> </w:t>
      </w:r>
      <w:r w:rsidRPr="00FE40EB">
        <w:rPr>
          <w:b/>
          <w:bCs/>
          <w:color w:val="231F20"/>
          <w:w w:val="90"/>
          <w:sz w:val="24"/>
          <w:szCs w:val="24"/>
        </w:rPr>
        <w:t>2.</w:t>
      </w:r>
      <w:r w:rsidRPr="00361F9C">
        <w:rPr>
          <w:color w:val="231F20"/>
          <w:spacing w:val="4"/>
          <w:w w:val="90"/>
          <w:sz w:val="24"/>
          <w:szCs w:val="24"/>
        </w:rPr>
        <w:t xml:space="preserve"> </w:t>
      </w:r>
      <w:r w:rsidRPr="00361F9C">
        <w:rPr>
          <w:color w:val="231F20"/>
          <w:w w:val="90"/>
          <w:sz w:val="24"/>
          <w:szCs w:val="24"/>
        </w:rPr>
        <w:t>Frequency</w:t>
      </w:r>
      <w:r w:rsidRPr="00361F9C">
        <w:rPr>
          <w:color w:val="231F20"/>
          <w:spacing w:val="4"/>
          <w:w w:val="90"/>
          <w:sz w:val="24"/>
          <w:szCs w:val="24"/>
        </w:rPr>
        <w:t xml:space="preserve"> </w:t>
      </w:r>
      <w:r w:rsidRPr="00361F9C">
        <w:rPr>
          <w:color w:val="231F20"/>
          <w:w w:val="90"/>
          <w:sz w:val="24"/>
          <w:szCs w:val="24"/>
        </w:rPr>
        <w:t>of</w:t>
      </w:r>
      <w:r w:rsidRPr="00361F9C">
        <w:rPr>
          <w:color w:val="231F20"/>
          <w:spacing w:val="3"/>
          <w:w w:val="90"/>
          <w:sz w:val="24"/>
          <w:szCs w:val="24"/>
        </w:rPr>
        <w:t xml:space="preserve"> </w:t>
      </w:r>
      <w:r w:rsidRPr="00361F9C">
        <w:rPr>
          <w:color w:val="231F20"/>
          <w:w w:val="90"/>
          <w:sz w:val="24"/>
          <w:szCs w:val="24"/>
        </w:rPr>
        <w:t>various</w:t>
      </w:r>
      <w:r w:rsidRPr="00361F9C">
        <w:rPr>
          <w:color w:val="231F20"/>
          <w:spacing w:val="4"/>
          <w:w w:val="90"/>
          <w:sz w:val="24"/>
          <w:szCs w:val="24"/>
        </w:rPr>
        <w:t xml:space="preserve"> </w:t>
      </w:r>
      <w:r w:rsidRPr="00361F9C">
        <w:rPr>
          <w:color w:val="231F20"/>
          <w:w w:val="90"/>
          <w:sz w:val="24"/>
          <w:szCs w:val="24"/>
        </w:rPr>
        <w:t>chromosomal</w:t>
      </w:r>
      <w:r w:rsidRPr="00361F9C">
        <w:rPr>
          <w:color w:val="231F20"/>
          <w:spacing w:val="4"/>
          <w:w w:val="90"/>
          <w:sz w:val="24"/>
          <w:szCs w:val="24"/>
        </w:rPr>
        <w:t xml:space="preserve"> </w:t>
      </w:r>
      <w:r w:rsidRPr="00361F9C">
        <w:rPr>
          <w:color w:val="231F20"/>
          <w:w w:val="90"/>
          <w:sz w:val="24"/>
          <w:szCs w:val="24"/>
        </w:rPr>
        <w:t>aberrations</w:t>
      </w:r>
      <w:r w:rsidRPr="00361F9C">
        <w:rPr>
          <w:color w:val="231F20"/>
          <w:spacing w:val="4"/>
          <w:w w:val="90"/>
          <w:sz w:val="24"/>
          <w:szCs w:val="24"/>
        </w:rPr>
        <w:t xml:space="preserve"> </w:t>
      </w:r>
      <w:r w:rsidRPr="00361F9C">
        <w:rPr>
          <w:color w:val="231F20"/>
          <w:w w:val="90"/>
          <w:sz w:val="24"/>
          <w:szCs w:val="24"/>
        </w:rPr>
        <w:t>in PMCs</w:t>
      </w:r>
      <w:r w:rsidRPr="00361F9C">
        <w:rPr>
          <w:color w:val="231F20"/>
          <w:spacing w:val="4"/>
          <w:w w:val="90"/>
          <w:sz w:val="24"/>
          <w:szCs w:val="24"/>
        </w:rPr>
        <w:t xml:space="preserve"> </w:t>
      </w:r>
      <w:r w:rsidRPr="00361F9C">
        <w:rPr>
          <w:color w:val="231F20"/>
          <w:w w:val="90"/>
          <w:sz w:val="24"/>
          <w:szCs w:val="24"/>
        </w:rPr>
        <w:t>of</w:t>
      </w:r>
      <w:r w:rsidRPr="00361F9C">
        <w:rPr>
          <w:color w:val="231F20"/>
          <w:spacing w:val="3"/>
          <w:w w:val="90"/>
          <w:sz w:val="24"/>
          <w:szCs w:val="24"/>
        </w:rPr>
        <w:t xml:space="preserve"> </w:t>
      </w:r>
      <w:r w:rsidRPr="00361F9C">
        <w:rPr>
          <w:i/>
          <w:color w:val="231F20"/>
          <w:w w:val="90"/>
          <w:sz w:val="24"/>
          <w:szCs w:val="24"/>
        </w:rPr>
        <w:t>Coriandrum sativum</w:t>
      </w:r>
      <w:r w:rsidRPr="00361F9C">
        <w:rPr>
          <w:color w:val="231F20"/>
          <w:w w:val="90"/>
          <w:sz w:val="24"/>
          <w:szCs w:val="24"/>
        </w:rPr>
        <w:t xml:space="preserve"> </w:t>
      </w:r>
      <w:r>
        <w:rPr>
          <w:color w:val="231F20"/>
          <w:w w:val="90"/>
          <w:sz w:val="24"/>
          <w:szCs w:val="24"/>
        </w:rPr>
        <w:t>L.</w:t>
      </w:r>
      <w:r w:rsidRPr="00361F9C">
        <w:rPr>
          <w:color w:val="231F20"/>
          <w:spacing w:val="3"/>
          <w:w w:val="90"/>
          <w:sz w:val="24"/>
          <w:szCs w:val="24"/>
        </w:rPr>
        <w:t xml:space="preserve"> </w:t>
      </w:r>
      <w:r w:rsidRPr="00361F9C">
        <w:rPr>
          <w:color w:val="231F20"/>
          <w:w w:val="90"/>
          <w:sz w:val="24"/>
          <w:szCs w:val="24"/>
        </w:rPr>
        <w:t>after</w:t>
      </w:r>
      <w:r w:rsidRPr="00361F9C">
        <w:rPr>
          <w:color w:val="231F20"/>
          <w:spacing w:val="3"/>
          <w:w w:val="90"/>
          <w:sz w:val="24"/>
          <w:szCs w:val="24"/>
        </w:rPr>
        <w:t xml:space="preserve"> </w:t>
      </w:r>
      <w:r w:rsidRPr="00361F9C">
        <w:rPr>
          <w:color w:val="231F20"/>
          <w:w w:val="90"/>
          <w:sz w:val="24"/>
          <w:szCs w:val="24"/>
        </w:rPr>
        <w:t>gamma</w:t>
      </w:r>
      <w:r w:rsidRPr="00361F9C">
        <w:rPr>
          <w:color w:val="231F20"/>
          <w:spacing w:val="4"/>
          <w:w w:val="90"/>
          <w:sz w:val="24"/>
          <w:szCs w:val="24"/>
        </w:rPr>
        <w:t xml:space="preserve"> </w:t>
      </w:r>
      <w:r w:rsidRPr="00361F9C">
        <w:rPr>
          <w:color w:val="231F20"/>
          <w:w w:val="90"/>
          <w:sz w:val="24"/>
          <w:szCs w:val="24"/>
        </w:rPr>
        <w:t>radiations treatment.</w:t>
      </w:r>
    </w:p>
    <w:tbl>
      <w:tblPr>
        <w:tblW w:w="0" w:type="auto"/>
        <w:tblLook w:val="04A0" w:firstRow="1" w:lastRow="0" w:firstColumn="1" w:lastColumn="0" w:noHBand="0" w:noVBand="1"/>
      </w:tblPr>
      <w:tblGrid>
        <w:gridCol w:w="901"/>
        <w:gridCol w:w="737"/>
        <w:gridCol w:w="511"/>
        <w:gridCol w:w="667"/>
        <w:gridCol w:w="563"/>
        <w:gridCol w:w="587"/>
        <w:gridCol w:w="710"/>
        <w:gridCol w:w="800"/>
        <w:gridCol w:w="930"/>
        <w:gridCol w:w="584"/>
        <w:gridCol w:w="605"/>
        <w:gridCol w:w="566"/>
        <w:gridCol w:w="563"/>
        <w:gridCol w:w="852"/>
      </w:tblGrid>
      <w:tr w:rsidR="00C63BD8" w:rsidRPr="00345556" w14:paraId="3EBDBA49" w14:textId="77777777" w:rsidTr="005539F0">
        <w:trPr>
          <w:trHeight w:val="255"/>
        </w:trPr>
        <w:tc>
          <w:tcPr>
            <w:tcW w:w="9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1FE71" w14:textId="77777777" w:rsidR="00C63BD8" w:rsidRPr="00345556" w:rsidRDefault="00C63BD8" w:rsidP="005539F0">
            <w:pPr>
              <w:widowControl/>
              <w:autoSpaceDE/>
              <w:autoSpaceDN/>
              <w:ind w:hanging="120"/>
              <w:rPr>
                <w:rFonts w:ascii="Arial" w:hAnsi="Arial" w:cs="Arial"/>
                <w:color w:val="000000"/>
                <w:sz w:val="20"/>
                <w:szCs w:val="20"/>
                <w:lang w:bidi="hi-IN"/>
              </w:rPr>
            </w:pPr>
            <w:r w:rsidRPr="00345556">
              <w:rPr>
                <w:rFonts w:ascii="Arial" w:hAnsi="Arial" w:cs="Arial"/>
                <w:color w:val="000000"/>
                <w:sz w:val="20"/>
                <w:szCs w:val="20"/>
                <w:lang w:bidi="hi-IN"/>
              </w:rPr>
              <w:t>Radiation Dose</w:t>
            </w:r>
          </w:p>
        </w:tc>
        <w:tc>
          <w:tcPr>
            <w:tcW w:w="768" w:type="dxa"/>
            <w:tcBorders>
              <w:top w:val="single" w:sz="4" w:space="0" w:color="auto"/>
              <w:left w:val="nil"/>
              <w:bottom w:val="single" w:sz="4" w:space="0" w:color="auto"/>
              <w:right w:val="single" w:sz="4" w:space="0" w:color="auto"/>
            </w:tcBorders>
            <w:shd w:val="clear" w:color="auto" w:fill="auto"/>
            <w:noWrap/>
            <w:vAlign w:val="bottom"/>
            <w:hideMark/>
          </w:tcPr>
          <w:p w14:paraId="6EBB213F"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 </w:t>
            </w:r>
          </w:p>
        </w:tc>
        <w:tc>
          <w:tcPr>
            <w:tcW w:w="3934" w:type="dxa"/>
            <w:gridSpan w:val="6"/>
            <w:tcBorders>
              <w:top w:val="single" w:sz="4" w:space="0" w:color="auto"/>
              <w:left w:val="nil"/>
              <w:bottom w:val="single" w:sz="4" w:space="0" w:color="auto"/>
              <w:right w:val="single" w:sz="4" w:space="0" w:color="auto"/>
            </w:tcBorders>
            <w:shd w:val="clear" w:color="auto" w:fill="auto"/>
            <w:noWrap/>
            <w:vAlign w:val="bottom"/>
            <w:hideMark/>
          </w:tcPr>
          <w:p w14:paraId="1BF752D1" w14:textId="77777777" w:rsidR="00C63BD8" w:rsidRPr="00345556" w:rsidRDefault="00C63BD8" w:rsidP="005539F0">
            <w:pPr>
              <w:widowControl/>
              <w:autoSpaceDE/>
              <w:autoSpaceDN/>
              <w:jc w:val="center"/>
              <w:rPr>
                <w:rFonts w:ascii="Arial" w:hAnsi="Arial" w:cs="Arial"/>
                <w:color w:val="000000"/>
                <w:sz w:val="20"/>
                <w:szCs w:val="20"/>
                <w:lang w:bidi="hi-IN"/>
              </w:rPr>
            </w:pPr>
            <w:r>
              <w:rPr>
                <w:rFonts w:ascii="Arial" w:hAnsi="Arial" w:cs="Arial"/>
                <w:color w:val="000000"/>
                <w:sz w:val="20"/>
                <w:szCs w:val="20"/>
                <w:lang w:bidi="hi-IN"/>
              </w:rPr>
              <w:t>A</w:t>
            </w:r>
            <w:r w:rsidRPr="00345556">
              <w:rPr>
                <w:rFonts w:ascii="Arial" w:hAnsi="Arial" w:cs="Arial"/>
                <w:color w:val="000000"/>
                <w:sz w:val="20"/>
                <w:szCs w:val="20"/>
                <w:lang w:bidi="hi-IN"/>
              </w:rPr>
              <w:t>bnormal PMC’s</w:t>
            </w:r>
            <w:r>
              <w:rPr>
                <w:rFonts w:ascii="Arial" w:hAnsi="Arial" w:cs="Arial"/>
                <w:color w:val="000000"/>
                <w:sz w:val="20"/>
                <w:szCs w:val="20"/>
                <w:lang w:bidi="hi-IN"/>
              </w:rPr>
              <w:t xml:space="preserve"> percentage</w:t>
            </w:r>
            <w:r w:rsidRPr="00345556">
              <w:rPr>
                <w:rFonts w:ascii="Arial" w:hAnsi="Arial" w:cs="Arial"/>
                <w:color w:val="000000"/>
                <w:sz w:val="20"/>
                <w:szCs w:val="20"/>
                <w:lang w:bidi="hi-IN"/>
              </w:rPr>
              <w:t xml:space="preserve"> at metaphase-I/II</w:t>
            </w:r>
          </w:p>
        </w:tc>
        <w:tc>
          <w:tcPr>
            <w:tcW w:w="972" w:type="dxa"/>
            <w:tcBorders>
              <w:top w:val="single" w:sz="4" w:space="0" w:color="auto"/>
              <w:left w:val="nil"/>
              <w:bottom w:val="single" w:sz="4" w:space="0" w:color="auto"/>
              <w:right w:val="single" w:sz="4" w:space="0" w:color="auto"/>
            </w:tcBorders>
            <w:shd w:val="clear" w:color="auto" w:fill="auto"/>
            <w:noWrap/>
            <w:vAlign w:val="bottom"/>
            <w:hideMark/>
          </w:tcPr>
          <w:p w14:paraId="7A30E92C"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 </w:t>
            </w:r>
          </w:p>
        </w:tc>
        <w:tc>
          <w:tcPr>
            <w:tcW w:w="3265" w:type="dxa"/>
            <w:gridSpan w:val="5"/>
            <w:tcBorders>
              <w:top w:val="single" w:sz="4" w:space="0" w:color="auto"/>
              <w:left w:val="nil"/>
              <w:bottom w:val="single" w:sz="4" w:space="0" w:color="auto"/>
              <w:right w:val="single" w:sz="4" w:space="0" w:color="auto"/>
            </w:tcBorders>
            <w:shd w:val="clear" w:color="auto" w:fill="auto"/>
            <w:noWrap/>
            <w:vAlign w:val="bottom"/>
            <w:hideMark/>
          </w:tcPr>
          <w:p w14:paraId="416E479A" w14:textId="77777777" w:rsidR="00C63BD8" w:rsidRPr="00345556" w:rsidRDefault="00C63BD8" w:rsidP="005539F0">
            <w:pPr>
              <w:widowControl/>
              <w:autoSpaceDE/>
              <w:autoSpaceDN/>
              <w:jc w:val="center"/>
              <w:rPr>
                <w:rFonts w:ascii="Arial" w:hAnsi="Arial" w:cs="Arial"/>
                <w:color w:val="000000"/>
                <w:sz w:val="20"/>
                <w:szCs w:val="20"/>
                <w:lang w:bidi="hi-IN"/>
              </w:rPr>
            </w:pPr>
            <w:r>
              <w:rPr>
                <w:rFonts w:ascii="Arial" w:hAnsi="Arial" w:cs="Arial"/>
                <w:color w:val="000000"/>
                <w:sz w:val="20"/>
                <w:szCs w:val="20"/>
                <w:lang w:bidi="hi-IN"/>
              </w:rPr>
              <w:t>A</w:t>
            </w:r>
            <w:r w:rsidRPr="00345556">
              <w:rPr>
                <w:rFonts w:ascii="Arial" w:hAnsi="Arial" w:cs="Arial"/>
                <w:color w:val="000000"/>
                <w:sz w:val="20"/>
                <w:szCs w:val="20"/>
                <w:lang w:bidi="hi-IN"/>
              </w:rPr>
              <w:t xml:space="preserve">bnormal PMC’s </w:t>
            </w:r>
            <w:r>
              <w:rPr>
                <w:rFonts w:ascii="Arial" w:hAnsi="Arial" w:cs="Arial"/>
                <w:color w:val="000000"/>
                <w:sz w:val="20"/>
                <w:szCs w:val="20"/>
                <w:lang w:bidi="hi-IN"/>
              </w:rPr>
              <w:t>percentage</w:t>
            </w:r>
            <w:r w:rsidRPr="00345556">
              <w:rPr>
                <w:rFonts w:ascii="Arial" w:hAnsi="Arial" w:cs="Arial"/>
                <w:color w:val="000000"/>
                <w:sz w:val="20"/>
                <w:szCs w:val="20"/>
                <w:lang w:bidi="hi-IN"/>
              </w:rPr>
              <w:t xml:space="preserve"> at anaphase an</w:t>
            </w:r>
            <w:r>
              <w:rPr>
                <w:rFonts w:ascii="Arial" w:hAnsi="Arial" w:cs="Arial"/>
                <w:color w:val="000000"/>
                <w:sz w:val="20"/>
                <w:szCs w:val="20"/>
                <w:lang w:bidi="hi-IN"/>
              </w:rPr>
              <w:t>d</w:t>
            </w:r>
            <w:r w:rsidRPr="00345556">
              <w:rPr>
                <w:rFonts w:ascii="Arial" w:hAnsi="Arial" w:cs="Arial"/>
                <w:color w:val="000000"/>
                <w:sz w:val="20"/>
                <w:szCs w:val="20"/>
                <w:lang w:bidi="hi-IN"/>
              </w:rPr>
              <w:t xml:space="preserve"> telophase-I/II</w:t>
            </w:r>
          </w:p>
        </w:tc>
      </w:tr>
      <w:tr w:rsidR="00C63BD8" w:rsidRPr="00345556" w14:paraId="1717CD43" w14:textId="77777777" w:rsidTr="005539F0">
        <w:trPr>
          <w:trHeight w:val="255"/>
        </w:trPr>
        <w:tc>
          <w:tcPr>
            <w:tcW w:w="921" w:type="dxa"/>
            <w:tcBorders>
              <w:top w:val="nil"/>
              <w:left w:val="single" w:sz="4" w:space="0" w:color="auto"/>
              <w:bottom w:val="single" w:sz="4" w:space="0" w:color="auto"/>
              <w:right w:val="single" w:sz="4" w:space="0" w:color="auto"/>
            </w:tcBorders>
            <w:shd w:val="clear" w:color="auto" w:fill="auto"/>
            <w:noWrap/>
            <w:vAlign w:val="bottom"/>
            <w:hideMark/>
          </w:tcPr>
          <w:p w14:paraId="0FA0461C"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 </w:t>
            </w:r>
          </w:p>
        </w:tc>
        <w:tc>
          <w:tcPr>
            <w:tcW w:w="768" w:type="dxa"/>
            <w:tcBorders>
              <w:top w:val="nil"/>
              <w:left w:val="nil"/>
              <w:bottom w:val="single" w:sz="4" w:space="0" w:color="auto"/>
              <w:right w:val="single" w:sz="4" w:space="0" w:color="auto"/>
            </w:tcBorders>
            <w:shd w:val="clear" w:color="auto" w:fill="auto"/>
            <w:noWrap/>
            <w:vAlign w:val="bottom"/>
            <w:hideMark/>
          </w:tcPr>
          <w:p w14:paraId="12AE4D82" w14:textId="77777777" w:rsidR="00C63BD8" w:rsidRPr="00345556" w:rsidRDefault="00C63BD8" w:rsidP="005539F0">
            <w:pPr>
              <w:widowControl/>
              <w:autoSpaceDE/>
              <w:autoSpaceDN/>
              <w:ind w:left="-59" w:hanging="15"/>
              <w:rPr>
                <w:rFonts w:ascii="Arial" w:hAnsi="Arial" w:cs="Arial"/>
                <w:color w:val="000000"/>
                <w:sz w:val="20"/>
                <w:szCs w:val="20"/>
                <w:lang w:bidi="hi-IN"/>
              </w:rPr>
            </w:pPr>
            <w:r w:rsidRPr="00345556">
              <w:rPr>
                <w:rFonts w:ascii="Arial" w:hAnsi="Arial" w:cs="Arial"/>
                <w:color w:val="000000"/>
                <w:sz w:val="20"/>
                <w:szCs w:val="20"/>
                <w:lang w:bidi="hi-IN"/>
              </w:rPr>
              <w:t>No. of PMCs</w:t>
            </w:r>
          </w:p>
        </w:tc>
        <w:tc>
          <w:tcPr>
            <w:tcW w:w="518" w:type="dxa"/>
            <w:tcBorders>
              <w:top w:val="nil"/>
              <w:left w:val="nil"/>
              <w:bottom w:val="single" w:sz="4" w:space="0" w:color="auto"/>
              <w:right w:val="single" w:sz="4" w:space="0" w:color="auto"/>
            </w:tcBorders>
            <w:shd w:val="clear" w:color="auto" w:fill="auto"/>
            <w:noWrap/>
            <w:vAlign w:val="bottom"/>
            <w:hideMark/>
          </w:tcPr>
          <w:p w14:paraId="43E02395" w14:textId="77777777" w:rsidR="00C63BD8" w:rsidRPr="00345556" w:rsidRDefault="00C63BD8" w:rsidP="005539F0">
            <w:pPr>
              <w:widowControl/>
              <w:autoSpaceDE/>
              <w:autoSpaceDN/>
              <w:ind w:hanging="44"/>
              <w:rPr>
                <w:rFonts w:ascii="Arial" w:hAnsi="Arial" w:cs="Arial"/>
                <w:color w:val="000000"/>
                <w:sz w:val="20"/>
                <w:szCs w:val="20"/>
                <w:lang w:bidi="hi-IN"/>
              </w:rPr>
            </w:pPr>
            <w:r w:rsidRPr="00345556">
              <w:rPr>
                <w:rFonts w:ascii="Arial" w:hAnsi="Arial" w:cs="Arial"/>
                <w:color w:val="000000"/>
                <w:sz w:val="20"/>
                <w:szCs w:val="20"/>
                <w:lang w:bidi="hi-IN"/>
              </w:rPr>
              <w:t>Uni.</w:t>
            </w:r>
          </w:p>
        </w:tc>
        <w:tc>
          <w:tcPr>
            <w:tcW w:w="679" w:type="dxa"/>
            <w:tcBorders>
              <w:top w:val="nil"/>
              <w:left w:val="nil"/>
              <w:bottom w:val="single" w:sz="4" w:space="0" w:color="auto"/>
              <w:right w:val="single" w:sz="4" w:space="0" w:color="auto"/>
            </w:tcBorders>
            <w:shd w:val="clear" w:color="auto" w:fill="auto"/>
            <w:noWrap/>
            <w:vAlign w:val="bottom"/>
            <w:hideMark/>
          </w:tcPr>
          <w:p w14:paraId="08C1DD2E"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Multi.</w:t>
            </w:r>
          </w:p>
        </w:tc>
        <w:tc>
          <w:tcPr>
            <w:tcW w:w="583" w:type="dxa"/>
            <w:tcBorders>
              <w:top w:val="nil"/>
              <w:left w:val="nil"/>
              <w:bottom w:val="single" w:sz="4" w:space="0" w:color="auto"/>
              <w:right w:val="single" w:sz="4" w:space="0" w:color="auto"/>
            </w:tcBorders>
            <w:shd w:val="clear" w:color="auto" w:fill="auto"/>
            <w:noWrap/>
            <w:vAlign w:val="bottom"/>
            <w:hideMark/>
          </w:tcPr>
          <w:p w14:paraId="104EDD38" w14:textId="77777777" w:rsidR="00C63BD8" w:rsidRPr="00345556" w:rsidRDefault="00C63BD8" w:rsidP="005539F0">
            <w:pPr>
              <w:widowControl/>
              <w:autoSpaceDE/>
              <w:autoSpaceDN/>
              <w:ind w:hanging="134"/>
              <w:rPr>
                <w:rFonts w:ascii="Arial" w:hAnsi="Arial" w:cs="Arial"/>
                <w:color w:val="000000"/>
                <w:sz w:val="20"/>
                <w:szCs w:val="20"/>
                <w:lang w:bidi="hi-IN"/>
              </w:rPr>
            </w:pPr>
            <w:r w:rsidRPr="00345556">
              <w:rPr>
                <w:rFonts w:ascii="Arial" w:hAnsi="Arial" w:cs="Arial"/>
                <w:color w:val="000000"/>
                <w:sz w:val="20"/>
                <w:szCs w:val="20"/>
                <w:lang w:bidi="hi-IN"/>
              </w:rPr>
              <w:t>Sti</w:t>
            </w:r>
            <w:r>
              <w:rPr>
                <w:rFonts w:ascii="Arial" w:hAnsi="Arial" w:cs="Arial"/>
                <w:color w:val="000000"/>
                <w:sz w:val="20"/>
                <w:szCs w:val="20"/>
                <w:lang w:bidi="hi-IN"/>
              </w:rPr>
              <w:t>ck.</w:t>
            </w:r>
          </w:p>
        </w:tc>
        <w:tc>
          <w:tcPr>
            <w:tcW w:w="597" w:type="dxa"/>
            <w:tcBorders>
              <w:top w:val="nil"/>
              <w:left w:val="nil"/>
              <w:bottom w:val="single" w:sz="4" w:space="0" w:color="auto"/>
              <w:right w:val="single" w:sz="4" w:space="0" w:color="auto"/>
            </w:tcBorders>
            <w:shd w:val="clear" w:color="auto" w:fill="auto"/>
            <w:noWrap/>
            <w:vAlign w:val="bottom"/>
            <w:hideMark/>
          </w:tcPr>
          <w:p w14:paraId="3C8966F7" w14:textId="77777777" w:rsidR="00C63BD8" w:rsidRPr="00345556" w:rsidRDefault="00C63BD8" w:rsidP="005539F0">
            <w:pPr>
              <w:widowControl/>
              <w:autoSpaceDE/>
              <w:autoSpaceDN/>
              <w:ind w:hanging="74"/>
              <w:rPr>
                <w:rFonts w:ascii="Arial" w:hAnsi="Arial" w:cs="Arial"/>
                <w:color w:val="000000"/>
                <w:sz w:val="20"/>
                <w:szCs w:val="20"/>
                <w:lang w:bidi="hi-IN"/>
              </w:rPr>
            </w:pPr>
            <w:r w:rsidRPr="00345556">
              <w:rPr>
                <w:rFonts w:ascii="Arial" w:hAnsi="Arial" w:cs="Arial"/>
                <w:color w:val="000000"/>
                <w:sz w:val="20"/>
                <w:szCs w:val="20"/>
                <w:lang w:bidi="hi-IN"/>
              </w:rPr>
              <w:t>Prec</w:t>
            </w:r>
            <w:r>
              <w:rPr>
                <w:rFonts w:ascii="Arial" w:hAnsi="Arial" w:cs="Arial"/>
                <w:color w:val="000000"/>
                <w:sz w:val="20"/>
                <w:szCs w:val="20"/>
                <w:lang w:bidi="hi-IN"/>
              </w:rPr>
              <w:t>.</w:t>
            </w:r>
          </w:p>
        </w:tc>
        <w:tc>
          <w:tcPr>
            <w:tcW w:w="0" w:type="auto"/>
            <w:tcBorders>
              <w:top w:val="nil"/>
              <w:left w:val="nil"/>
              <w:bottom w:val="single" w:sz="4" w:space="0" w:color="auto"/>
              <w:right w:val="single" w:sz="4" w:space="0" w:color="auto"/>
            </w:tcBorders>
            <w:shd w:val="clear" w:color="auto" w:fill="auto"/>
            <w:noWrap/>
            <w:vAlign w:val="bottom"/>
            <w:hideMark/>
          </w:tcPr>
          <w:p w14:paraId="7E3FDF5A"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Stray.</w:t>
            </w:r>
          </w:p>
        </w:tc>
        <w:tc>
          <w:tcPr>
            <w:tcW w:w="834" w:type="dxa"/>
            <w:tcBorders>
              <w:top w:val="nil"/>
              <w:left w:val="nil"/>
              <w:bottom w:val="single" w:sz="4" w:space="0" w:color="auto"/>
              <w:right w:val="single" w:sz="4" w:space="0" w:color="auto"/>
            </w:tcBorders>
            <w:shd w:val="clear" w:color="auto" w:fill="auto"/>
            <w:noWrap/>
            <w:vAlign w:val="bottom"/>
            <w:hideMark/>
          </w:tcPr>
          <w:p w14:paraId="736886CA"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Scatt.</w:t>
            </w:r>
          </w:p>
        </w:tc>
        <w:tc>
          <w:tcPr>
            <w:tcW w:w="972" w:type="dxa"/>
            <w:tcBorders>
              <w:top w:val="nil"/>
              <w:left w:val="nil"/>
              <w:bottom w:val="single" w:sz="4" w:space="0" w:color="auto"/>
              <w:right w:val="single" w:sz="4" w:space="0" w:color="auto"/>
            </w:tcBorders>
            <w:shd w:val="clear" w:color="auto" w:fill="auto"/>
            <w:noWrap/>
            <w:vAlign w:val="bottom"/>
            <w:hideMark/>
          </w:tcPr>
          <w:p w14:paraId="0C07E068"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No. of PMCs</w:t>
            </w:r>
          </w:p>
        </w:tc>
        <w:tc>
          <w:tcPr>
            <w:tcW w:w="594" w:type="dxa"/>
            <w:tcBorders>
              <w:top w:val="nil"/>
              <w:left w:val="nil"/>
              <w:bottom w:val="single" w:sz="4" w:space="0" w:color="auto"/>
              <w:right w:val="single" w:sz="4" w:space="0" w:color="auto"/>
            </w:tcBorders>
            <w:shd w:val="clear" w:color="auto" w:fill="auto"/>
            <w:noWrap/>
            <w:vAlign w:val="bottom"/>
            <w:hideMark/>
          </w:tcPr>
          <w:p w14:paraId="2538B459" w14:textId="77777777" w:rsidR="00C63BD8" w:rsidRPr="00345556" w:rsidRDefault="00C63BD8" w:rsidP="005539F0">
            <w:pPr>
              <w:widowControl/>
              <w:autoSpaceDE/>
              <w:autoSpaceDN/>
              <w:rPr>
                <w:rFonts w:ascii="Arial" w:hAnsi="Arial" w:cs="Arial"/>
                <w:color w:val="000000"/>
                <w:sz w:val="20"/>
                <w:szCs w:val="20"/>
                <w:lang w:bidi="hi-IN"/>
              </w:rPr>
            </w:pPr>
            <w:r>
              <w:rPr>
                <w:rFonts w:ascii="Arial" w:hAnsi="Arial" w:cs="Arial"/>
                <w:color w:val="000000"/>
                <w:sz w:val="20"/>
                <w:szCs w:val="20"/>
                <w:lang w:bidi="hi-IN"/>
              </w:rPr>
              <w:t>L</w:t>
            </w:r>
            <w:r w:rsidRPr="00345556">
              <w:rPr>
                <w:rFonts w:ascii="Arial" w:hAnsi="Arial" w:cs="Arial"/>
                <w:color w:val="000000"/>
                <w:sz w:val="20"/>
                <w:szCs w:val="20"/>
                <w:lang w:bidi="hi-IN"/>
              </w:rPr>
              <w:t>ag.</w:t>
            </w:r>
          </w:p>
        </w:tc>
        <w:tc>
          <w:tcPr>
            <w:tcW w:w="615" w:type="dxa"/>
            <w:tcBorders>
              <w:top w:val="nil"/>
              <w:left w:val="nil"/>
              <w:bottom w:val="single" w:sz="4" w:space="0" w:color="auto"/>
              <w:right w:val="single" w:sz="4" w:space="0" w:color="auto"/>
            </w:tcBorders>
            <w:shd w:val="clear" w:color="auto" w:fill="auto"/>
            <w:noWrap/>
            <w:vAlign w:val="bottom"/>
            <w:hideMark/>
          </w:tcPr>
          <w:p w14:paraId="0B6B8783"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Brid.</w:t>
            </w:r>
          </w:p>
        </w:tc>
        <w:tc>
          <w:tcPr>
            <w:tcW w:w="583" w:type="dxa"/>
            <w:tcBorders>
              <w:top w:val="nil"/>
              <w:left w:val="nil"/>
              <w:bottom w:val="single" w:sz="4" w:space="0" w:color="auto"/>
              <w:right w:val="single" w:sz="4" w:space="0" w:color="auto"/>
            </w:tcBorders>
            <w:shd w:val="clear" w:color="auto" w:fill="auto"/>
            <w:noWrap/>
            <w:vAlign w:val="bottom"/>
            <w:hideMark/>
          </w:tcPr>
          <w:p w14:paraId="373A6383" w14:textId="77777777" w:rsidR="00C63BD8" w:rsidRPr="00345556" w:rsidRDefault="00C63BD8" w:rsidP="005539F0">
            <w:pPr>
              <w:widowControl/>
              <w:autoSpaceDE/>
              <w:autoSpaceDN/>
              <w:ind w:hanging="29"/>
              <w:rPr>
                <w:rFonts w:ascii="Arial" w:hAnsi="Arial" w:cs="Arial"/>
                <w:color w:val="000000"/>
                <w:sz w:val="20"/>
                <w:szCs w:val="20"/>
                <w:lang w:bidi="hi-IN"/>
              </w:rPr>
            </w:pPr>
            <w:r w:rsidRPr="00345556">
              <w:rPr>
                <w:rFonts w:ascii="Arial" w:hAnsi="Arial" w:cs="Arial"/>
                <w:color w:val="000000"/>
                <w:sz w:val="20"/>
                <w:szCs w:val="20"/>
                <w:lang w:bidi="hi-IN"/>
              </w:rPr>
              <w:t>Dis</w:t>
            </w:r>
            <w:r>
              <w:rPr>
                <w:rFonts w:ascii="Arial" w:hAnsi="Arial" w:cs="Arial"/>
                <w:color w:val="000000"/>
                <w:sz w:val="20"/>
                <w:szCs w:val="20"/>
                <w:lang w:bidi="hi-IN"/>
              </w:rPr>
              <w:t>t.</w:t>
            </w:r>
          </w:p>
        </w:tc>
        <w:tc>
          <w:tcPr>
            <w:tcW w:w="583" w:type="dxa"/>
            <w:tcBorders>
              <w:top w:val="nil"/>
              <w:left w:val="nil"/>
              <w:bottom w:val="single" w:sz="4" w:space="0" w:color="auto"/>
              <w:right w:val="single" w:sz="4" w:space="0" w:color="auto"/>
            </w:tcBorders>
            <w:shd w:val="clear" w:color="auto" w:fill="auto"/>
            <w:noWrap/>
            <w:vAlign w:val="bottom"/>
            <w:hideMark/>
          </w:tcPr>
          <w:p w14:paraId="560877E6"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Mic.</w:t>
            </w:r>
          </w:p>
        </w:tc>
        <w:tc>
          <w:tcPr>
            <w:tcW w:w="890" w:type="dxa"/>
            <w:tcBorders>
              <w:top w:val="nil"/>
              <w:left w:val="nil"/>
              <w:bottom w:val="single" w:sz="4" w:space="0" w:color="auto"/>
              <w:right w:val="single" w:sz="4" w:space="0" w:color="auto"/>
            </w:tcBorders>
            <w:shd w:val="clear" w:color="auto" w:fill="auto"/>
            <w:noWrap/>
            <w:vAlign w:val="bottom"/>
            <w:hideMark/>
          </w:tcPr>
          <w:p w14:paraId="1DEC8E32" w14:textId="77777777" w:rsidR="00C63BD8" w:rsidRPr="00345556" w:rsidRDefault="00C63BD8" w:rsidP="005539F0">
            <w:pPr>
              <w:widowControl/>
              <w:autoSpaceDE/>
              <w:autoSpaceDN/>
              <w:rPr>
                <w:rFonts w:ascii="Arial" w:hAnsi="Arial" w:cs="Arial"/>
                <w:color w:val="000000"/>
                <w:sz w:val="20"/>
                <w:szCs w:val="20"/>
                <w:lang w:bidi="hi-IN"/>
              </w:rPr>
            </w:pPr>
            <w:r w:rsidRPr="00345556">
              <w:rPr>
                <w:rFonts w:ascii="Arial" w:hAnsi="Arial" w:cs="Arial"/>
                <w:color w:val="000000"/>
                <w:sz w:val="20"/>
                <w:szCs w:val="20"/>
                <w:lang w:bidi="hi-IN"/>
              </w:rPr>
              <w:t>Total Ab. %</w:t>
            </w:r>
          </w:p>
        </w:tc>
      </w:tr>
      <w:tr w:rsidR="00C63BD8" w:rsidRPr="00345556" w14:paraId="56B7CA07"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072A468E"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Control</w:t>
            </w:r>
          </w:p>
        </w:tc>
        <w:tc>
          <w:tcPr>
            <w:tcW w:w="768" w:type="dxa"/>
            <w:tcBorders>
              <w:top w:val="nil"/>
              <w:left w:val="nil"/>
              <w:bottom w:val="single" w:sz="4" w:space="0" w:color="auto"/>
              <w:right w:val="single" w:sz="4" w:space="0" w:color="auto"/>
            </w:tcBorders>
            <w:shd w:val="clear" w:color="auto" w:fill="auto"/>
            <w:noWrap/>
            <w:vAlign w:val="center"/>
            <w:hideMark/>
          </w:tcPr>
          <w:p w14:paraId="7BE1667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133</w:t>
            </w:r>
          </w:p>
        </w:tc>
        <w:tc>
          <w:tcPr>
            <w:tcW w:w="518" w:type="dxa"/>
            <w:tcBorders>
              <w:top w:val="nil"/>
              <w:left w:val="nil"/>
              <w:bottom w:val="single" w:sz="4" w:space="0" w:color="auto"/>
              <w:right w:val="single" w:sz="4" w:space="0" w:color="auto"/>
            </w:tcBorders>
            <w:shd w:val="clear" w:color="auto" w:fill="auto"/>
            <w:noWrap/>
            <w:vAlign w:val="center"/>
            <w:hideMark/>
          </w:tcPr>
          <w:p w14:paraId="1123C10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79" w:type="dxa"/>
            <w:tcBorders>
              <w:top w:val="nil"/>
              <w:left w:val="nil"/>
              <w:bottom w:val="single" w:sz="4" w:space="0" w:color="auto"/>
              <w:right w:val="single" w:sz="4" w:space="0" w:color="auto"/>
            </w:tcBorders>
            <w:shd w:val="clear" w:color="auto" w:fill="auto"/>
            <w:noWrap/>
            <w:vAlign w:val="center"/>
            <w:hideMark/>
          </w:tcPr>
          <w:p w14:paraId="23B06057"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406CB1B0" w14:textId="77777777" w:rsidR="00C63BD8" w:rsidRPr="00345556" w:rsidRDefault="00C63BD8" w:rsidP="005539F0">
            <w:pPr>
              <w:widowControl/>
              <w:autoSpaceDE/>
              <w:autoSpaceDN/>
              <w:ind w:firstLineChars="100" w:firstLine="160"/>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97" w:type="dxa"/>
            <w:tcBorders>
              <w:top w:val="nil"/>
              <w:left w:val="nil"/>
              <w:bottom w:val="single" w:sz="4" w:space="0" w:color="auto"/>
              <w:right w:val="single" w:sz="4" w:space="0" w:color="auto"/>
            </w:tcBorders>
            <w:shd w:val="clear" w:color="auto" w:fill="auto"/>
            <w:noWrap/>
            <w:vAlign w:val="center"/>
            <w:hideMark/>
          </w:tcPr>
          <w:p w14:paraId="24E97CB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0" w:type="auto"/>
            <w:tcBorders>
              <w:top w:val="nil"/>
              <w:left w:val="nil"/>
              <w:bottom w:val="single" w:sz="4" w:space="0" w:color="auto"/>
              <w:right w:val="single" w:sz="4" w:space="0" w:color="auto"/>
            </w:tcBorders>
            <w:shd w:val="clear" w:color="auto" w:fill="auto"/>
            <w:noWrap/>
            <w:vAlign w:val="center"/>
            <w:hideMark/>
          </w:tcPr>
          <w:p w14:paraId="2C63234C"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34" w:type="dxa"/>
            <w:tcBorders>
              <w:top w:val="nil"/>
              <w:left w:val="nil"/>
              <w:bottom w:val="single" w:sz="4" w:space="0" w:color="auto"/>
              <w:right w:val="single" w:sz="4" w:space="0" w:color="auto"/>
            </w:tcBorders>
            <w:shd w:val="clear" w:color="auto" w:fill="auto"/>
            <w:noWrap/>
            <w:vAlign w:val="center"/>
            <w:hideMark/>
          </w:tcPr>
          <w:p w14:paraId="724DDCC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972" w:type="dxa"/>
            <w:tcBorders>
              <w:top w:val="nil"/>
              <w:left w:val="nil"/>
              <w:bottom w:val="single" w:sz="4" w:space="0" w:color="auto"/>
              <w:right w:val="single" w:sz="4" w:space="0" w:color="auto"/>
            </w:tcBorders>
            <w:shd w:val="clear" w:color="auto" w:fill="auto"/>
            <w:noWrap/>
            <w:vAlign w:val="center"/>
            <w:hideMark/>
          </w:tcPr>
          <w:p w14:paraId="301B5A51"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150</w:t>
            </w:r>
          </w:p>
        </w:tc>
        <w:tc>
          <w:tcPr>
            <w:tcW w:w="594" w:type="dxa"/>
            <w:tcBorders>
              <w:top w:val="nil"/>
              <w:left w:val="nil"/>
              <w:bottom w:val="single" w:sz="4" w:space="0" w:color="auto"/>
              <w:right w:val="single" w:sz="4" w:space="0" w:color="auto"/>
            </w:tcBorders>
            <w:shd w:val="clear" w:color="auto" w:fill="auto"/>
            <w:noWrap/>
            <w:vAlign w:val="center"/>
            <w:hideMark/>
          </w:tcPr>
          <w:p w14:paraId="2464ACDE" w14:textId="77777777" w:rsidR="00C63BD8" w:rsidRPr="00345556" w:rsidRDefault="00C63BD8" w:rsidP="005539F0">
            <w:pPr>
              <w:widowControl/>
              <w:autoSpaceDE/>
              <w:autoSpaceDN/>
              <w:ind w:firstLineChars="100" w:firstLine="160"/>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15" w:type="dxa"/>
            <w:tcBorders>
              <w:top w:val="nil"/>
              <w:left w:val="nil"/>
              <w:bottom w:val="single" w:sz="4" w:space="0" w:color="auto"/>
              <w:right w:val="single" w:sz="4" w:space="0" w:color="auto"/>
            </w:tcBorders>
            <w:shd w:val="clear" w:color="auto" w:fill="auto"/>
            <w:noWrap/>
            <w:vAlign w:val="center"/>
            <w:hideMark/>
          </w:tcPr>
          <w:p w14:paraId="4548998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0D3620C4"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7093C170"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90" w:type="dxa"/>
            <w:tcBorders>
              <w:top w:val="nil"/>
              <w:left w:val="nil"/>
              <w:bottom w:val="single" w:sz="4" w:space="0" w:color="auto"/>
              <w:right w:val="single" w:sz="4" w:space="0" w:color="auto"/>
            </w:tcBorders>
            <w:shd w:val="clear" w:color="auto" w:fill="auto"/>
            <w:noWrap/>
            <w:vAlign w:val="center"/>
            <w:hideMark/>
          </w:tcPr>
          <w:p w14:paraId="6F70D567"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r>
      <w:tr w:rsidR="00C63BD8" w:rsidRPr="00345556" w14:paraId="78A298A7"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63CE40E3"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10</w:t>
            </w:r>
            <w:r>
              <w:rPr>
                <w:rFonts w:ascii="Trebuchet MS" w:hAnsi="Trebuchet MS" w:cs="Arial"/>
                <w:color w:val="231F20"/>
                <w:sz w:val="16"/>
                <w:szCs w:val="16"/>
                <w:lang w:bidi="hi-IN"/>
              </w:rPr>
              <w:t>0Gy</w:t>
            </w:r>
          </w:p>
        </w:tc>
        <w:tc>
          <w:tcPr>
            <w:tcW w:w="768" w:type="dxa"/>
            <w:tcBorders>
              <w:top w:val="nil"/>
              <w:left w:val="nil"/>
              <w:bottom w:val="single" w:sz="4" w:space="0" w:color="auto"/>
              <w:right w:val="single" w:sz="4" w:space="0" w:color="auto"/>
            </w:tcBorders>
            <w:shd w:val="clear" w:color="auto" w:fill="auto"/>
            <w:noWrap/>
            <w:vAlign w:val="center"/>
            <w:hideMark/>
          </w:tcPr>
          <w:p w14:paraId="7A9C363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124</w:t>
            </w:r>
          </w:p>
        </w:tc>
        <w:tc>
          <w:tcPr>
            <w:tcW w:w="518" w:type="dxa"/>
            <w:tcBorders>
              <w:top w:val="nil"/>
              <w:left w:val="nil"/>
              <w:bottom w:val="single" w:sz="4" w:space="0" w:color="auto"/>
              <w:right w:val="single" w:sz="4" w:space="0" w:color="auto"/>
            </w:tcBorders>
            <w:shd w:val="clear" w:color="auto" w:fill="auto"/>
            <w:noWrap/>
            <w:vAlign w:val="center"/>
            <w:hideMark/>
          </w:tcPr>
          <w:p w14:paraId="55D85EC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79" w:type="dxa"/>
            <w:tcBorders>
              <w:top w:val="nil"/>
              <w:left w:val="nil"/>
              <w:bottom w:val="single" w:sz="4" w:space="0" w:color="auto"/>
              <w:right w:val="single" w:sz="4" w:space="0" w:color="auto"/>
            </w:tcBorders>
            <w:shd w:val="clear" w:color="auto" w:fill="auto"/>
            <w:noWrap/>
            <w:vAlign w:val="center"/>
            <w:hideMark/>
          </w:tcPr>
          <w:p w14:paraId="68B7E14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1.61</w:t>
            </w:r>
          </w:p>
        </w:tc>
        <w:tc>
          <w:tcPr>
            <w:tcW w:w="583" w:type="dxa"/>
            <w:tcBorders>
              <w:top w:val="nil"/>
              <w:left w:val="nil"/>
              <w:bottom w:val="single" w:sz="4" w:space="0" w:color="auto"/>
              <w:right w:val="single" w:sz="4" w:space="0" w:color="auto"/>
            </w:tcBorders>
            <w:shd w:val="clear" w:color="auto" w:fill="auto"/>
            <w:noWrap/>
            <w:vAlign w:val="center"/>
            <w:hideMark/>
          </w:tcPr>
          <w:p w14:paraId="714B93A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1.61</w:t>
            </w:r>
          </w:p>
        </w:tc>
        <w:tc>
          <w:tcPr>
            <w:tcW w:w="597" w:type="dxa"/>
            <w:tcBorders>
              <w:top w:val="nil"/>
              <w:left w:val="nil"/>
              <w:bottom w:val="single" w:sz="4" w:space="0" w:color="auto"/>
              <w:right w:val="single" w:sz="4" w:space="0" w:color="auto"/>
            </w:tcBorders>
            <w:shd w:val="clear" w:color="auto" w:fill="auto"/>
            <w:noWrap/>
            <w:vAlign w:val="center"/>
            <w:hideMark/>
          </w:tcPr>
          <w:p w14:paraId="7B6D36F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0" w:type="auto"/>
            <w:tcBorders>
              <w:top w:val="nil"/>
              <w:left w:val="nil"/>
              <w:bottom w:val="single" w:sz="4" w:space="0" w:color="auto"/>
              <w:right w:val="single" w:sz="4" w:space="0" w:color="auto"/>
            </w:tcBorders>
            <w:shd w:val="clear" w:color="auto" w:fill="auto"/>
            <w:noWrap/>
            <w:vAlign w:val="center"/>
            <w:hideMark/>
          </w:tcPr>
          <w:p w14:paraId="27E2FAA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1.77</w:t>
            </w:r>
          </w:p>
        </w:tc>
        <w:tc>
          <w:tcPr>
            <w:tcW w:w="834" w:type="dxa"/>
            <w:tcBorders>
              <w:top w:val="nil"/>
              <w:left w:val="nil"/>
              <w:bottom w:val="single" w:sz="4" w:space="0" w:color="auto"/>
              <w:right w:val="single" w:sz="4" w:space="0" w:color="auto"/>
            </w:tcBorders>
            <w:shd w:val="clear" w:color="auto" w:fill="auto"/>
            <w:noWrap/>
            <w:vAlign w:val="center"/>
            <w:hideMark/>
          </w:tcPr>
          <w:p w14:paraId="49B6867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972" w:type="dxa"/>
            <w:tcBorders>
              <w:top w:val="nil"/>
              <w:left w:val="nil"/>
              <w:bottom w:val="single" w:sz="4" w:space="0" w:color="auto"/>
              <w:right w:val="single" w:sz="4" w:space="0" w:color="auto"/>
            </w:tcBorders>
            <w:shd w:val="clear" w:color="auto" w:fill="auto"/>
            <w:noWrap/>
            <w:vAlign w:val="center"/>
            <w:hideMark/>
          </w:tcPr>
          <w:p w14:paraId="7A50C2F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118</w:t>
            </w:r>
          </w:p>
        </w:tc>
        <w:tc>
          <w:tcPr>
            <w:tcW w:w="594" w:type="dxa"/>
            <w:tcBorders>
              <w:top w:val="nil"/>
              <w:left w:val="nil"/>
              <w:bottom w:val="single" w:sz="4" w:space="0" w:color="auto"/>
              <w:right w:val="single" w:sz="4" w:space="0" w:color="auto"/>
            </w:tcBorders>
            <w:shd w:val="clear" w:color="auto" w:fill="auto"/>
            <w:noWrap/>
            <w:vAlign w:val="center"/>
            <w:hideMark/>
          </w:tcPr>
          <w:p w14:paraId="0753773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0.8</w:t>
            </w:r>
            <w:r>
              <w:rPr>
                <w:rFonts w:ascii="Trebuchet MS" w:hAnsi="Trebuchet MS" w:cs="Arial"/>
                <w:color w:val="231F20"/>
                <w:sz w:val="16"/>
                <w:szCs w:val="16"/>
                <w:lang w:bidi="hi-IN"/>
              </w:rPr>
              <w:t>1</w:t>
            </w:r>
          </w:p>
        </w:tc>
        <w:tc>
          <w:tcPr>
            <w:tcW w:w="615" w:type="dxa"/>
            <w:tcBorders>
              <w:top w:val="nil"/>
              <w:left w:val="nil"/>
              <w:bottom w:val="single" w:sz="4" w:space="0" w:color="auto"/>
              <w:right w:val="single" w:sz="4" w:space="0" w:color="auto"/>
            </w:tcBorders>
            <w:shd w:val="clear" w:color="auto" w:fill="auto"/>
            <w:noWrap/>
            <w:vAlign w:val="center"/>
            <w:hideMark/>
          </w:tcPr>
          <w:p w14:paraId="281210F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0.02</w:t>
            </w:r>
          </w:p>
        </w:tc>
        <w:tc>
          <w:tcPr>
            <w:tcW w:w="583" w:type="dxa"/>
            <w:tcBorders>
              <w:top w:val="nil"/>
              <w:left w:val="nil"/>
              <w:bottom w:val="single" w:sz="4" w:space="0" w:color="auto"/>
              <w:right w:val="single" w:sz="4" w:space="0" w:color="auto"/>
            </w:tcBorders>
            <w:shd w:val="clear" w:color="auto" w:fill="auto"/>
            <w:noWrap/>
            <w:vAlign w:val="center"/>
            <w:hideMark/>
          </w:tcPr>
          <w:p w14:paraId="58228BBB"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40576C43" w14:textId="77777777" w:rsidR="00C63BD8" w:rsidRPr="00345556" w:rsidRDefault="00C63BD8" w:rsidP="005539F0">
            <w:pPr>
              <w:widowControl/>
              <w:autoSpaceDE/>
              <w:autoSpaceDN/>
              <w:jc w:val="center"/>
              <w:rPr>
                <w:rFonts w:ascii="Trebuchet MS" w:hAnsi="Trebuchet MS" w:cs="Arial"/>
                <w:color w:val="231F20"/>
                <w:sz w:val="16"/>
                <w:szCs w:val="16"/>
                <w:lang w:bidi="hi-IN"/>
              </w:rPr>
            </w:pPr>
            <w:r>
              <w:rPr>
                <w:rFonts w:ascii="Trebuchet MS" w:hAnsi="Trebuchet MS" w:cs="Arial"/>
                <w:color w:val="231F20"/>
                <w:sz w:val="16"/>
                <w:szCs w:val="16"/>
                <w:lang w:bidi="hi-IN"/>
              </w:rPr>
              <w:t>-</w:t>
            </w:r>
          </w:p>
        </w:tc>
        <w:tc>
          <w:tcPr>
            <w:tcW w:w="890" w:type="dxa"/>
            <w:tcBorders>
              <w:top w:val="nil"/>
              <w:left w:val="nil"/>
              <w:bottom w:val="single" w:sz="4" w:space="0" w:color="auto"/>
              <w:right w:val="single" w:sz="4" w:space="0" w:color="auto"/>
            </w:tcBorders>
            <w:shd w:val="clear" w:color="auto" w:fill="auto"/>
            <w:noWrap/>
            <w:vAlign w:val="center"/>
            <w:hideMark/>
          </w:tcPr>
          <w:p w14:paraId="74E10C52"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5.</w:t>
            </w:r>
            <w:r>
              <w:rPr>
                <w:rFonts w:ascii="Trebuchet MS" w:hAnsi="Trebuchet MS" w:cs="Arial"/>
                <w:color w:val="231F20"/>
                <w:sz w:val="16"/>
                <w:szCs w:val="16"/>
                <w:lang w:bidi="hi-IN"/>
              </w:rPr>
              <w:t>83</w:t>
            </w:r>
          </w:p>
        </w:tc>
      </w:tr>
      <w:tr w:rsidR="00C63BD8" w:rsidRPr="00345556" w14:paraId="48698E45"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10C72A0B"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20</w:t>
            </w:r>
            <w:r>
              <w:rPr>
                <w:rFonts w:ascii="Trebuchet MS" w:hAnsi="Trebuchet MS" w:cs="Arial"/>
                <w:color w:val="231F20"/>
                <w:sz w:val="16"/>
                <w:szCs w:val="16"/>
                <w:lang w:bidi="hi-IN"/>
              </w:rPr>
              <w:t>0Gy</w:t>
            </w:r>
          </w:p>
        </w:tc>
        <w:tc>
          <w:tcPr>
            <w:tcW w:w="768" w:type="dxa"/>
            <w:tcBorders>
              <w:top w:val="nil"/>
              <w:left w:val="nil"/>
              <w:bottom w:val="single" w:sz="4" w:space="0" w:color="auto"/>
              <w:right w:val="single" w:sz="4" w:space="0" w:color="auto"/>
            </w:tcBorders>
            <w:shd w:val="clear" w:color="auto" w:fill="auto"/>
            <w:noWrap/>
            <w:vAlign w:val="center"/>
            <w:hideMark/>
          </w:tcPr>
          <w:p w14:paraId="43A4A6B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116</w:t>
            </w:r>
          </w:p>
        </w:tc>
        <w:tc>
          <w:tcPr>
            <w:tcW w:w="518" w:type="dxa"/>
            <w:tcBorders>
              <w:top w:val="nil"/>
              <w:left w:val="nil"/>
              <w:bottom w:val="single" w:sz="4" w:space="0" w:color="auto"/>
              <w:right w:val="single" w:sz="4" w:space="0" w:color="auto"/>
            </w:tcBorders>
            <w:shd w:val="clear" w:color="auto" w:fill="auto"/>
            <w:noWrap/>
            <w:vAlign w:val="center"/>
            <w:hideMark/>
          </w:tcPr>
          <w:p w14:paraId="1E9C6F3B" w14:textId="77777777" w:rsidR="00C63BD8" w:rsidRPr="00345556" w:rsidRDefault="00C63BD8" w:rsidP="005539F0">
            <w:pPr>
              <w:widowControl/>
              <w:autoSpaceDE/>
              <w:autoSpaceDN/>
              <w:ind w:leftChars="-20" w:left="-1" w:hangingChars="27" w:hanging="43"/>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0.</w:t>
            </w:r>
            <w:r>
              <w:rPr>
                <w:rFonts w:ascii="Trebuchet MS" w:hAnsi="Trebuchet MS" w:cs="Arial"/>
                <w:color w:val="231F20"/>
                <w:sz w:val="16"/>
                <w:szCs w:val="16"/>
                <w:lang w:bidi="hi-IN"/>
              </w:rPr>
              <w:t>9</w:t>
            </w:r>
            <w:r w:rsidRPr="00345556">
              <w:rPr>
                <w:rFonts w:ascii="Trebuchet MS" w:hAnsi="Trebuchet MS" w:cs="Arial"/>
                <w:color w:val="231F20"/>
                <w:sz w:val="16"/>
                <w:szCs w:val="16"/>
                <w:lang w:bidi="hi-IN"/>
              </w:rPr>
              <w:t>6</w:t>
            </w:r>
          </w:p>
        </w:tc>
        <w:tc>
          <w:tcPr>
            <w:tcW w:w="679" w:type="dxa"/>
            <w:tcBorders>
              <w:top w:val="nil"/>
              <w:left w:val="nil"/>
              <w:bottom w:val="single" w:sz="4" w:space="0" w:color="auto"/>
              <w:right w:val="single" w:sz="4" w:space="0" w:color="auto"/>
            </w:tcBorders>
            <w:shd w:val="clear" w:color="auto" w:fill="auto"/>
            <w:noWrap/>
            <w:vAlign w:val="center"/>
            <w:hideMark/>
          </w:tcPr>
          <w:p w14:paraId="7263FF7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2.59</w:t>
            </w:r>
          </w:p>
        </w:tc>
        <w:tc>
          <w:tcPr>
            <w:tcW w:w="583" w:type="dxa"/>
            <w:tcBorders>
              <w:top w:val="nil"/>
              <w:left w:val="nil"/>
              <w:bottom w:val="single" w:sz="4" w:space="0" w:color="auto"/>
              <w:right w:val="single" w:sz="4" w:space="0" w:color="auto"/>
            </w:tcBorders>
            <w:shd w:val="clear" w:color="auto" w:fill="auto"/>
            <w:noWrap/>
            <w:vAlign w:val="center"/>
            <w:hideMark/>
          </w:tcPr>
          <w:p w14:paraId="014CCB62"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4.26</w:t>
            </w:r>
          </w:p>
        </w:tc>
        <w:tc>
          <w:tcPr>
            <w:tcW w:w="597" w:type="dxa"/>
            <w:tcBorders>
              <w:top w:val="nil"/>
              <w:left w:val="nil"/>
              <w:bottom w:val="single" w:sz="4" w:space="0" w:color="auto"/>
              <w:right w:val="single" w:sz="4" w:space="0" w:color="auto"/>
            </w:tcBorders>
            <w:shd w:val="clear" w:color="auto" w:fill="auto"/>
            <w:noWrap/>
            <w:vAlign w:val="center"/>
            <w:hideMark/>
          </w:tcPr>
          <w:p w14:paraId="7A231CFB"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1.62</w:t>
            </w:r>
          </w:p>
        </w:tc>
        <w:tc>
          <w:tcPr>
            <w:tcW w:w="0" w:type="auto"/>
            <w:tcBorders>
              <w:top w:val="nil"/>
              <w:left w:val="nil"/>
              <w:bottom w:val="single" w:sz="4" w:space="0" w:color="auto"/>
              <w:right w:val="single" w:sz="4" w:space="0" w:color="auto"/>
            </w:tcBorders>
            <w:shd w:val="clear" w:color="auto" w:fill="auto"/>
            <w:noWrap/>
            <w:vAlign w:val="center"/>
            <w:hideMark/>
          </w:tcPr>
          <w:p w14:paraId="301BB3BC"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2.59</w:t>
            </w:r>
          </w:p>
        </w:tc>
        <w:tc>
          <w:tcPr>
            <w:tcW w:w="834" w:type="dxa"/>
            <w:tcBorders>
              <w:top w:val="nil"/>
              <w:left w:val="nil"/>
              <w:bottom w:val="single" w:sz="4" w:space="0" w:color="auto"/>
              <w:right w:val="single" w:sz="4" w:space="0" w:color="auto"/>
            </w:tcBorders>
            <w:shd w:val="clear" w:color="auto" w:fill="auto"/>
            <w:noWrap/>
            <w:vAlign w:val="center"/>
            <w:hideMark/>
          </w:tcPr>
          <w:p w14:paraId="31CAFD8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1.05</w:t>
            </w:r>
          </w:p>
        </w:tc>
        <w:tc>
          <w:tcPr>
            <w:tcW w:w="972" w:type="dxa"/>
            <w:tcBorders>
              <w:top w:val="nil"/>
              <w:left w:val="nil"/>
              <w:bottom w:val="single" w:sz="4" w:space="0" w:color="auto"/>
              <w:right w:val="single" w:sz="4" w:space="0" w:color="auto"/>
            </w:tcBorders>
            <w:shd w:val="clear" w:color="auto" w:fill="auto"/>
            <w:noWrap/>
            <w:vAlign w:val="center"/>
            <w:hideMark/>
          </w:tcPr>
          <w:p w14:paraId="536DE44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108</w:t>
            </w:r>
          </w:p>
        </w:tc>
        <w:tc>
          <w:tcPr>
            <w:tcW w:w="594" w:type="dxa"/>
            <w:tcBorders>
              <w:top w:val="nil"/>
              <w:left w:val="nil"/>
              <w:bottom w:val="single" w:sz="4" w:space="0" w:color="auto"/>
              <w:right w:val="single" w:sz="4" w:space="0" w:color="auto"/>
            </w:tcBorders>
            <w:shd w:val="clear" w:color="auto" w:fill="auto"/>
            <w:noWrap/>
            <w:vAlign w:val="center"/>
          </w:tcPr>
          <w:p w14:paraId="39DBAB19"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1.20</w:t>
            </w:r>
          </w:p>
        </w:tc>
        <w:tc>
          <w:tcPr>
            <w:tcW w:w="615" w:type="dxa"/>
            <w:tcBorders>
              <w:top w:val="nil"/>
              <w:left w:val="nil"/>
              <w:bottom w:val="single" w:sz="4" w:space="0" w:color="auto"/>
              <w:right w:val="single" w:sz="4" w:space="0" w:color="auto"/>
            </w:tcBorders>
            <w:shd w:val="clear" w:color="auto" w:fill="auto"/>
            <w:noWrap/>
            <w:vAlign w:val="center"/>
            <w:hideMark/>
          </w:tcPr>
          <w:p w14:paraId="3B3FAB1C"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3.83</w:t>
            </w:r>
          </w:p>
        </w:tc>
        <w:tc>
          <w:tcPr>
            <w:tcW w:w="583" w:type="dxa"/>
            <w:tcBorders>
              <w:top w:val="nil"/>
              <w:left w:val="nil"/>
              <w:bottom w:val="single" w:sz="4" w:space="0" w:color="auto"/>
              <w:right w:val="single" w:sz="4" w:space="0" w:color="auto"/>
            </w:tcBorders>
            <w:shd w:val="clear" w:color="auto" w:fill="auto"/>
            <w:noWrap/>
            <w:vAlign w:val="center"/>
            <w:hideMark/>
          </w:tcPr>
          <w:p w14:paraId="1494208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1.85</w:t>
            </w:r>
          </w:p>
        </w:tc>
        <w:tc>
          <w:tcPr>
            <w:tcW w:w="583" w:type="dxa"/>
            <w:tcBorders>
              <w:top w:val="nil"/>
              <w:left w:val="nil"/>
              <w:bottom w:val="single" w:sz="4" w:space="0" w:color="auto"/>
              <w:right w:val="single" w:sz="4" w:space="0" w:color="auto"/>
            </w:tcBorders>
            <w:shd w:val="clear" w:color="auto" w:fill="auto"/>
            <w:noWrap/>
            <w:vAlign w:val="center"/>
            <w:hideMark/>
          </w:tcPr>
          <w:p w14:paraId="11B075D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1.85</w:t>
            </w:r>
          </w:p>
        </w:tc>
        <w:tc>
          <w:tcPr>
            <w:tcW w:w="890" w:type="dxa"/>
            <w:tcBorders>
              <w:top w:val="nil"/>
              <w:left w:val="nil"/>
              <w:bottom w:val="single" w:sz="4" w:space="0" w:color="auto"/>
              <w:right w:val="single" w:sz="4" w:space="0" w:color="auto"/>
            </w:tcBorders>
            <w:shd w:val="clear" w:color="auto" w:fill="auto"/>
            <w:noWrap/>
            <w:vAlign w:val="center"/>
            <w:hideMark/>
          </w:tcPr>
          <w:p w14:paraId="39A6A08A"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23</w:t>
            </w:r>
            <w:r w:rsidRPr="00345556">
              <w:rPr>
                <w:rFonts w:ascii="Trebuchet MS" w:hAnsi="Trebuchet MS" w:cs="Arial"/>
                <w:color w:val="231F20"/>
                <w:sz w:val="16"/>
                <w:szCs w:val="16"/>
                <w:lang w:bidi="hi-IN"/>
              </w:rPr>
              <w:t>.</w:t>
            </w:r>
            <w:r>
              <w:rPr>
                <w:rFonts w:ascii="Trebuchet MS" w:hAnsi="Trebuchet MS" w:cs="Arial"/>
                <w:color w:val="231F20"/>
                <w:sz w:val="16"/>
                <w:szCs w:val="16"/>
                <w:lang w:bidi="hi-IN"/>
              </w:rPr>
              <w:t>65</w:t>
            </w:r>
          </w:p>
        </w:tc>
      </w:tr>
      <w:tr w:rsidR="00C63BD8" w:rsidRPr="00345556" w14:paraId="1E24B512"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1483D97E"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3</w:t>
            </w:r>
            <w:r>
              <w:rPr>
                <w:rFonts w:ascii="Trebuchet MS" w:hAnsi="Trebuchet MS" w:cs="Arial"/>
                <w:color w:val="231F20"/>
                <w:sz w:val="16"/>
                <w:szCs w:val="16"/>
                <w:lang w:bidi="hi-IN"/>
              </w:rPr>
              <w:t>0</w:t>
            </w:r>
            <w:r w:rsidRPr="00345556">
              <w:rPr>
                <w:rFonts w:ascii="Trebuchet MS" w:hAnsi="Trebuchet MS" w:cs="Arial"/>
                <w:color w:val="231F20"/>
                <w:sz w:val="16"/>
                <w:szCs w:val="16"/>
                <w:lang w:bidi="hi-IN"/>
              </w:rPr>
              <w:t>0</w:t>
            </w:r>
            <w:r>
              <w:rPr>
                <w:rFonts w:ascii="Trebuchet MS" w:hAnsi="Trebuchet MS" w:cs="Arial"/>
                <w:color w:val="231F20"/>
                <w:sz w:val="16"/>
                <w:szCs w:val="16"/>
                <w:lang w:bidi="hi-IN"/>
              </w:rPr>
              <w:t>Gy</w:t>
            </w:r>
          </w:p>
        </w:tc>
        <w:tc>
          <w:tcPr>
            <w:tcW w:w="768" w:type="dxa"/>
            <w:tcBorders>
              <w:top w:val="nil"/>
              <w:left w:val="nil"/>
              <w:bottom w:val="single" w:sz="4" w:space="0" w:color="auto"/>
              <w:right w:val="single" w:sz="4" w:space="0" w:color="auto"/>
            </w:tcBorders>
            <w:shd w:val="clear" w:color="auto" w:fill="auto"/>
            <w:noWrap/>
            <w:vAlign w:val="center"/>
            <w:hideMark/>
          </w:tcPr>
          <w:p w14:paraId="213B63E2"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188</w:t>
            </w:r>
          </w:p>
        </w:tc>
        <w:tc>
          <w:tcPr>
            <w:tcW w:w="518" w:type="dxa"/>
            <w:tcBorders>
              <w:top w:val="nil"/>
              <w:left w:val="nil"/>
              <w:bottom w:val="single" w:sz="4" w:space="0" w:color="auto"/>
              <w:right w:val="single" w:sz="4" w:space="0" w:color="auto"/>
            </w:tcBorders>
            <w:shd w:val="clear" w:color="auto" w:fill="auto"/>
            <w:noWrap/>
            <w:vAlign w:val="center"/>
            <w:hideMark/>
          </w:tcPr>
          <w:p w14:paraId="7E7395E9" w14:textId="77777777" w:rsidR="00C63BD8" w:rsidRPr="00345556" w:rsidRDefault="00C63BD8" w:rsidP="005539F0">
            <w:pPr>
              <w:widowControl/>
              <w:autoSpaceDE/>
              <w:autoSpaceDN/>
              <w:ind w:leftChars="-20" w:left="-1" w:hangingChars="27" w:hanging="43"/>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w:t>
            </w:r>
            <w:r>
              <w:rPr>
                <w:rFonts w:ascii="Trebuchet MS" w:hAnsi="Trebuchet MS" w:cs="Arial"/>
                <w:color w:val="231F20"/>
                <w:sz w:val="16"/>
                <w:szCs w:val="16"/>
                <w:lang w:bidi="hi-IN"/>
              </w:rPr>
              <w:t>12</w:t>
            </w:r>
          </w:p>
        </w:tc>
        <w:tc>
          <w:tcPr>
            <w:tcW w:w="679" w:type="dxa"/>
            <w:tcBorders>
              <w:top w:val="nil"/>
              <w:left w:val="nil"/>
              <w:bottom w:val="single" w:sz="4" w:space="0" w:color="auto"/>
              <w:right w:val="single" w:sz="4" w:space="0" w:color="auto"/>
            </w:tcBorders>
            <w:shd w:val="clear" w:color="auto" w:fill="auto"/>
            <w:noWrap/>
            <w:vAlign w:val="center"/>
            <w:hideMark/>
          </w:tcPr>
          <w:p w14:paraId="334B106B"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w:t>
            </w:r>
            <w:r w:rsidRPr="00345556">
              <w:rPr>
                <w:rFonts w:ascii="Trebuchet MS" w:hAnsi="Trebuchet MS" w:cs="Arial"/>
                <w:color w:val="231F20"/>
                <w:sz w:val="16"/>
                <w:szCs w:val="16"/>
                <w:lang w:bidi="hi-IN"/>
              </w:rPr>
              <w:t>.66</w:t>
            </w:r>
          </w:p>
        </w:tc>
        <w:tc>
          <w:tcPr>
            <w:tcW w:w="583" w:type="dxa"/>
            <w:tcBorders>
              <w:top w:val="nil"/>
              <w:left w:val="nil"/>
              <w:bottom w:val="single" w:sz="4" w:space="0" w:color="auto"/>
              <w:right w:val="single" w:sz="4" w:space="0" w:color="auto"/>
            </w:tcBorders>
            <w:shd w:val="clear" w:color="auto" w:fill="auto"/>
            <w:noWrap/>
            <w:vAlign w:val="center"/>
            <w:hideMark/>
          </w:tcPr>
          <w:p w14:paraId="61C1AD9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3</w:t>
            </w:r>
            <w:r w:rsidRPr="00345556">
              <w:rPr>
                <w:rFonts w:ascii="Trebuchet MS" w:hAnsi="Trebuchet MS" w:cs="Arial"/>
                <w:color w:val="231F20"/>
                <w:sz w:val="16"/>
                <w:szCs w:val="16"/>
                <w:lang w:bidi="hi-IN"/>
              </w:rPr>
              <w:t>6</w:t>
            </w:r>
          </w:p>
        </w:tc>
        <w:tc>
          <w:tcPr>
            <w:tcW w:w="597" w:type="dxa"/>
            <w:tcBorders>
              <w:top w:val="nil"/>
              <w:left w:val="nil"/>
              <w:bottom w:val="single" w:sz="4" w:space="0" w:color="auto"/>
              <w:right w:val="single" w:sz="4" w:space="0" w:color="auto"/>
            </w:tcBorders>
            <w:shd w:val="clear" w:color="auto" w:fill="auto"/>
            <w:noWrap/>
            <w:vAlign w:val="center"/>
            <w:hideMark/>
          </w:tcPr>
          <w:p w14:paraId="5E2E4A9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2.13</w:t>
            </w:r>
          </w:p>
        </w:tc>
        <w:tc>
          <w:tcPr>
            <w:tcW w:w="0" w:type="auto"/>
            <w:tcBorders>
              <w:top w:val="nil"/>
              <w:left w:val="nil"/>
              <w:bottom w:val="single" w:sz="4" w:space="0" w:color="auto"/>
              <w:right w:val="single" w:sz="4" w:space="0" w:color="auto"/>
            </w:tcBorders>
            <w:shd w:val="clear" w:color="auto" w:fill="auto"/>
            <w:noWrap/>
            <w:vAlign w:val="center"/>
            <w:hideMark/>
          </w:tcPr>
          <w:p w14:paraId="30F01B3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2.13</w:t>
            </w:r>
          </w:p>
        </w:tc>
        <w:tc>
          <w:tcPr>
            <w:tcW w:w="834" w:type="dxa"/>
            <w:tcBorders>
              <w:top w:val="nil"/>
              <w:left w:val="nil"/>
              <w:bottom w:val="single" w:sz="4" w:space="0" w:color="auto"/>
              <w:right w:val="single" w:sz="4" w:space="0" w:color="auto"/>
            </w:tcBorders>
            <w:shd w:val="clear" w:color="auto" w:fill="auto"/>
            <w:noWrap/>
            <w:vAlign w:val="center"/>
            <w:hideMark/>
          </w:tcPr>
          <w:p w14:paraId="06509B5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w:t>
            </w:r>
            <w:r>
              <w:rPr>
                <w:rFonts w:ascii="Trebuchet MS" w:hAnsi="Trebuchet MS" w:cs="Arial"/>
                <w:color w:val="231F20"/>
                <w:sz w:val="16"/>
                <w:szCs w:val="16"/>
                <w:lang w:bidi="hi-IN"/>
              </w:rPr>
              <w:t>21</w:t>
            </w:r>
          </w:p>
        </w:tc>
        <w:tc>
          <w:tcPr>
            <w:tcW w:w="972" w:type="dxa"/>
            <w:tcBorders>
              <w:top w:val="nil"/>
              <w:left w:val="nil"/>
              <w:bottom w:val="single" w:sz="4" w:space="0" w:color="auto"/>
              <w:right w:val="single" w:sz="4" w:space="0" w:color="auto"/>
            </w:tcBorders>
            <w:shd w:val="clear" w:color="auto" w:fill="auto"/>
            <w:noWrap/>
            <w:vAlign w:val="center"/>
            <w:hideMark/>
          </w:tcPr>
          <w:p w14:paraId="5D653A31"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162</w:t>
            </w:r>
          </w:p>
        </w:tc>
        <w:tc>
          <w:tcPr>
            <w:tcW w:w="594" w:type="dxa"/>
            <w:tcBorders>
              <w:top w:val="nil"/>
              <w:left w:val="nil"/>
              <w:bottom w:val="single" w:sz="4" w:space="0" w:color="auto"/>
              <w:right w:val="single" w:sz="4" w:space="0" w:color="auto"/>
            </w:tcBorders>
            <w:shd w:val="clear" w:color="auto" w:fill="auto"/>
            <w:noWrap/>
            <w:vAlign w:val="center"/>
          </w:tcPr>
          <w:p w14:paraId="0F7649D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3.01</w:t>
            </w:r>
          </w:p>
        </w:tc>
        <w:tc>
          <w:tcPr>
            <w:tcW w:w="615" w:type="dxa"/>
            <w:tcBorders>
              <w:top w:val="nil"/>
              <w:left w:val="nil"/>
              <w:bottom w:val="single" w:sz="4" w:space="0" w:color="auto"/>
              <w:right w:val="single" w:sz="4" w:space="0" w:color="auto"/>
            </w:tcBorders>
            <w:shd w:val="clear" w:color="auto" w:fill="auto"/>
            <w:noWrap/>
            <w:vAlign w:val="center"/>
            <w:hideMark/>
          </w:tcPr>
          <w:p w14:paraId="47FC518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67</w:t>
            </w:r>
          </w:p>
        </w:tc>
        <w:tc>
          <w:tcPr>
            <w:tcW w:w="583" w:type="dxa"/>
            <w:tcBorders>
              <w:top w:val="nil"/>
              <w:left w:val="nil"/>
              <w:bottom w:val="single" w:sz="4" w:space="0" w:color="auto"/>
              <w:right w:val="single" w:sz="4" w:space="0" w:color="auto"/>
            </w:tcBorders>
            <w:shd w:val="clear" w:color="auto" w:fill="auto"/>
            <w:noWrap/>
            <w:vAlign w:val="center"/>
            <w:hideMark/>
          </w:tcPr>
          <w:p w14:paraId="35D01191"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2.47</w:t>
            </w:r>
          </w:p>
        </w:tc>
        <w:tc>
          <w:tcPr>
            <w:tcW w:w="583" w:type="dxa"/>
            <w:tcBorders>
              <w:top w:val="nil"/>
              <w:left w:val="nil"/>
              <w:bottom w:val="single" w:sz="4" w:space="0" w:color="auto"/>
              <w:right w:val="single" w:sz="4" w:space="0" w:color="auto"/>
            </w:tcBorders>
            <w:shd w:val="clear" w:color="auto" w:fill="auto"/>
            <w:noWrap/>
            <w:vAlign w:val="center"/>
            <w:hideMark/>
          </w:tcPr>
          <w:p w14:paraId="0A3EAEA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2.25</w:t>
            </w:r>
          </w:p>
        </w:tc>
        <w:tc>
          <w:tcPr>
            <w:tcW w:w="890" w:type="dxa"/>
            <w:tcBorders>
              <w:top w:val="nil"/>
              <w:left w:val="nil"/>
              <w:bottom w:val="single" w:sz="4" w:space="0" w:color="auto"/>
              <w:right w:val="single" w:sz="4" w:space="0" w:color="auto"/>
            </w:tcBorders>
            <w:shd w:val="clear" w:color="auto" w:fill="auto"/>
            <w:noWrap/>
            <w:vAlign w:val="center"/>
            <w:hideMark/>
          </w:tcPr>
          <w:p w14:paraId="21BE5738"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24.</w:t>
            </w:r>
            <w:r>
              <w:rPr>
                <w:rFonts w:ascii="Trebuchet MS" w:hAnsi="Trebuchet MS" w:cs="Arial"/>
                <w:color w:val="231F20"/>
                <w:sz w:val="16"/>
                <w:szCs w:val="16"/>
                <w:lang w:bidi="hi-IN"/>
              </w:rPr>
              <w:t>88</w:t>
            </w:r>
          </w:p>
        </w:tc>
      </w:tr>
      <w:tr w:rsidR="00C63BD8" w:rsidRPr="00345556" w14:paraId="56E5FB56"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01433016"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0</w:t>
            </w:r>
            <w:r w:rsidRPr="00345556">
              <w:rPr>
                <w:rFonts w:ascii="Trebuchet MS" w:hAnsi="Trebuchet MS" w:cs="Arial"/>
                <w:color w:val="231F20"/>
                <w:sz w:val="16"/>
                <w:szCs w:val="16"/>
                <w:lang w:bidi="hi-IN"/>
              </w:rPr>
              <w:t>0</w:t>
            </w:r>
            <w:r>
              <w:rPr>
                <w:rFonts w:ascii="Trebuchet MS" w:hAnsi="Trebuchet MS" w:cs="Arial"/>
                <w:color w:val="231F20"/>
                <w:sz w:val="16"/>
                <w:szCs w:val="16"/>
                <w:lang w:bidi="hi-IN"/>
              </w:rPr>
              <w:t>Gy</w:t>
            </w:r>
          </w:p>
        </w:tc>
        <w:tc>
          <w:tcPr>
            <w:tcW w:w="768" w:type="dxa"/>
            <w:tcBorders>
              <w:top w:val="nil"/>
              <w:left w:val="nil"/>
              <w:bottom w:val="single" w:sz="4" w:space="0" w:color="auto"/>
              <w:right w:val="single" w:sz="4" w:space="0" w:color="auto"/>
            </w:tcBorders>
            <w:shd w:val="clear" w:color="auto" w:fill="auto"/>
            <w:noWrap/>
            <w:vAlign w:val="center"/>
            <w:hideMark/>
          </w:tcPr>
          <w:p w14:paraId="0998667B"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112</w:t>
            </w:r>
          </w:p>
        </w:tc>
        <w:tc>
          <w:tcPr>
            <w:tcW w:w="518" w:type="dxa"/>
            <w:tcBorders>
              <w:top w:val="nil"/>
              <w:left w:val="nil"/>
              <w:bottom w:val="single" w:sz="4" w:space="0" w:color="auto"/>
              <w:right w:val="single" w:sz="4" w:space="0" w:color="auto"/>
            </w:tcBorders>
            <w:shd w:val="clear" w:color="auto" w:fill="auto"/>
            <w:noWrap/>
            <w:vAlign w:val="center"/>
            <w:hideMark/>
          </w:tcPr>
          <w:p w14:paraId="36A02FC9" w14:textId="77777777" w:rsidR="00C63BD8" w:rsidRPr="00345556" w:rsidRDefault="00C63BD8" w:rsidP="005539F0">
            <w:pPr>
              <w:widowControl/>
              <w:autoSpaceDE/>
              <w:autoSpaceDN/>
              <w:ind w:leftChars="-20" w:left="-1" w:hangingChars="27" w:hanging="43"/>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1.79</w:t>
            </w:r>
          </w:p>
        </w:tc>
        <w:tc>
          <w:tcPr>
            <w:tcW w:w="679" w:type="dxa"/>
            <w:tcBorders>
              <w:top w:val="nil"/>
              <w:left w:val="nil"/>
              <w:bottom w:val="single" w:sz="4" w:space="0" w:color="auto"/>
              <w:right w:val="single" w:sz="4" w:space="0" w:color="auto"/>
            </w:tcBorders>
            <w:shd w:val="clear" w:color="auto" w:fill="auto"/>
            <w:noWrap/>
            <w:vAlign w:val="center"/>
            <w:hideMark/>
          </w:tcPr>
          <w:p w14:paraId="3A5612B7"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w:t>
            </w:r>
            <w:r w:rsidRPr="00345556">
              <w:rPr>
                <w:rFonts w:ascii="Trebuchet MS" w:hAnsi="Trebuchet MS" w:cs="Arial"/>
                <w:color w:val="231F20"/>
                <w:sz w:val="16"/>
                <w:szCs w:val="16"/>
                <w:lang w:bidi="hi-IN"/>
              </w:rPr>
              <w:t>.57</w:t>
            </w:r>
          </w:p>
        </w:tc>
        <w:tc>
          <w:tcPr>
            <w:tcW w:w="583" w:type="dxa"/>
            <w:tcBorders>
              <w:top w:val="nil"/>
              <w:left w:val="nil"/>
              <w:bottom w:val="single" w:sz="4" w:space="0" w:color="auto"/>
              <w:right w:val="single" w:sz="4" w:space="0" w:color="auto"/>
            </w:tcBorders>
            <w:shd w:val="clear" w:color="auto" w:fill="auto"/>
            <w:noWrap/>
            <w:vAlign w:val="center"/>
            <w:hideMark/>
          </w:tcPr>
          <w:p w14:paraId="1318CCC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6.05</w:t>
            </w:r>
          </w:p>
        </w:tc>
        <w:tc>
          <w:tcPr>
            <w:tcW w:w="597" w:type="dxa"/>
            <w:tcBorders>
              <w:top w:val="nil"/>
              <w:left w:val="nil"/>
              <w:bottom w:val="single" w:sz="4" w:space="0" w:color="auto"/>
              <w:right w:val="single" w:sz="4" w:space="0" w:color="auto"/>
            </w:tcBorders>
            <w:shd w:val="clear" w:color="auto" w:fill="auto"/>
            <w:noWrap/>
            <w:vAlign w:val="center"/>
            <w:hideMark/>
          </w:tcPr>
          <w:p w14:paraId="3975918A"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w:t>
            </w:r>
            <w:r w:rsidRPr="00345556">
              <w:rPr>
                <w:rFonts w:ascii="Trebuchet MS" w:hAnsi="Trebuchet MS" w:cs="Arial"/>
                <w:color w:val="231F20"/>
                <w:sz w:val="16"/>
                <w:szCs w:val="16"/>
                <w:lang w:bidi="hi-IN"/>
              </w:rPr>
              <w:t>68</w:t>
            </w:r>
          </w:p>
        </w:tc>
        <w:tc>
          <w:tcPr>
            <w:tcW w:w="0" w:type="auto"/>
            <w:tcBorders>
              <w:top w:val="nil"/>
              <w:left w:val="nil"/>
              <w:bottom w:val="single" w:sz="4" w:space="0" w:color="auto"/>
              <w:right w:val="single" w:sz="4" w:space="0" w:color="auto"/>
            </w:tcBorders>
            <w:shd w:val="clear" w:color="auto" w:fill="auto"/>
            <w:noWrap/>
            <w:vAlign w:val="center"/>
            <w:hideMark/>
          </w:tcPr>
          <w:p w14:paraId="6E5D3665"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4.</w:t>
            </w:r>
            <w:r>
              <w:rPr>
                <w:rFonts w:ascii="Trebuchet MS" w:hAnsi="Trebuchet MS" w:cs="Arial"/>
                <w:color w:val="231F20"/>
                <w:sz w:val="16"/>
                <w:szCs w:val="16"/>
                <w:lang w:bidi="hi-IN"/>
              </w:rPr>
              <w:t>38</w:t>
            </w:r>
          </w:p>
        </w:tc>
        <w:tc>
          <w:tcPr>
            <w:tcW w:w="834" w:type="dxa"/>
            <w:tcBorders>
              <w:top w:val="nil"/>
              <w:left w:val="nil"/>
              <w:bottom w:val="single" w:sz="4" w:space="0" w:color="auto"/>
              <w:right w:val="single" w:sz="4" w:space="0" w:color="auto"/>
            </w:tcBorders>
            <w:shd w:val="clear" w:color="auto" w:fill="auto"/>
            <w:noWrap/>
            <w:vAlign w:val="center"/>
            <w:hideMark/>
          </w:tcPr>
          <w:p w14:paraId="08FCA3AD"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0.89</w:t>
            </w:r>
          </w:p>
        </w:tc>
        <w:tc>
          <w:tcPr>
            <w:tcW w:w="972" w:type="dxa"/>
            <w:tcBorders>
              <w:top w:val="nil"/>
              <w:left w:val="nil"/>
              <w:bottom w:val="single" w:sz="4" w:space="0" w:color="auto"/>
              <w:right w:val="single" w:sz="4" w:space="0" w:color="auto"/>
            </w:tcBorders>
            <w:shd w:val="clear" w:color="auto" w:fill="auto"/>
            <w:noWrap/>
            <w:vAlign w:val="center"/>
            <w:hideMark/>
          </w:tcPr>
          <w:p w14:paraId="5F1FD560" w14:textId="77777777" w:rsidR="00C63BD8" w:rsidRPr="00345556" w:rsidRDefault="00C63BD8" w:rsidP="005539F0">
            <w:pPr>
              <w:widowControl/>
              <w:autoSpaceDE/>
              <w:autoSpaceDN/>
              <w:jc w:val="both"/>
              <w:rPr>
                <w:rFonts w:ascii="Trebuchet MS" w:hAnsi="Trebuchet MS" w:cs="Arial"/>
                <w:color w:val="231F20"/>
                <w:sz w:val="16"/>
                <w:szCs w:val="16"/>
                <w:lang w:bidi="hi-IN"/>
              </w:rPr>
            </w:pPr>
            <w:r w:rsidRPr="00345556">
              <w:rPr>
                <w:rFonts w:ascii="Trebuchet MS" w:hAnsi="Trebuchet MS" w:cs="Arial"/>
                <w:color w:val="231F20"/>
                <w:sz w:val="16"/>
                <w:szCs w:val="16"/>
                <w:lang w:bidi="hi-IN"/>
              </w:rPr>
              <w:t>102</w:t>
            </w:r>
          </w:p>
        </w:tc>
        <w:tc>
          <w:tcPr>
            <w:tcW w:w="594" w:type="dxa"/>
            <w:tcBorders>
              <w:top w:val="nil"/>
              <w:left w:val="nil"/>
              <w:bottom w:val="single" w:sz="4" w:space="0" w:color="auto"/>
              <w:right w:val="single" w:sz="4" w:space="0" w:color="auto"/>
            </w:tcBorders>
            <w:shd w:val="clear" w:color="auto" w:fill="auto"/>
            <w:noWrap/>
            <w:vAlign w:val="center"/>
            <w:hideMark/>
          </w:tcPr>
          <w:p w14:paraId="6349A02F"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6</w:t>
            </w:r>
            <w:r w:rsidRPr="00345556">
              <w:rPr>
                <w:rFonts w:ascii="Trebuchet MS" w:hAnsi="Trebuchet MS" w:cs="Arial"/>
                <w:color w:val="231F20"/>
                <w:sz w:val="16"/>
                <w:szCs w:val="16"/>
                <w:lang w:bidi="hi-IN"/>
              </w:rPr>
              <w:t>.8</w:t>
            </w:r>
            <w:r>
              <w:rPr>
                <w:rFonts w:ascii="Trebuchet MS" w:hAnsi="Trebuchet MS" w:cs="Arial"/>
                <w:color w:val="231F20"/>
                <w:sz w:val="16"/>
                <w:szCs w:val="16"/>
                <w:lang w:bidi="hi-IN"/>
              </w:rPr>
              <w:t>7</w:t>
            </w:r>
          </w:p>
        </w:tc>
        <w:tc>
          <w:tcPr>
            <w:tcW w:w="615" w:type="dxa"/>
            <w:tcBorders>
              <w:top w:val="nil"/>
              <w:left w:val="nil"/>
              <w:bottom w:val="single" w:sz="4" w:space="0" w:color="auto"/>
              <w:right w:val="single" w:sz="4" w:space="0" w:color="auto"/>
            </w:tcBorders>
            <w:shd w:val="clear" w:color="auto" w:fill="auto"/>
            <w:noWrap/>
            <w:vAlign w:val="center"/>
            <w:hideMark/>
          </w:tcPr>
          <w:p w14:paraId="1A9322E3"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5.12</w:t>
            </w:r>
          </w:p>
        </w:tc>
        <w:tc>
          <w:tcPr>
            <w:tcW w:w="583" w:type="dxa"/>
            <w:tcBorders>
              <w:top w:val="nil"/>
              <w:left w:val="nil"/>
              <w:bottom w:val="single" w:sz="4" w:space="0" w:color="auto"/>
              <w:right w:val="single" w:sz="4" w:space="0" w:color="auto"/>
            </w:tcBorders>
            <w:shd w:val="clear" w:color="auto" w:fill="auto"/>
            <w:noWrap/>
            <w:vAlign w:val="center"/>
            <w:hideMark/>
          </w:tcPr>
          <w:p w14:paraId="19AE22F4"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4.56</w:t>
            </w:r>
          </w:p>
        </w:tc>
        <w:tc>
          <w:tcPr>
            <w:tcW w:w="583" w:type="dxa"/>
            <w:tcBorders>
              <w:top w:val="nil"/>
              <w:left w:val="nil"/>
              <w:bottom w:val="single" w:sz="4" w:space="0" w:color="auto"/>
              <w:right w:val="single" w:sz="4" w:space="0" w:color="auto"/>
            </w:tcBorders>
            <w:shd w:val="clear" w:color="auto" w:fill="auto"/>
            <w:noWrap/>
            <w:vAlign w:val="center"/>
            <w:hideMark/>
          </w:tcPr>
          <w:p w14:paraId="487F9EDE"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3.77</w:t>
            </w:r>
          </w:p>
        </w:tc>
        <w:tc>
          <w:tcPr>
            <w:tcW w:w="890" w:type="dxa"/>
            <w:tcBorders>
              <w:top w:val="nil"/>
              <w:left w:val="nil"/>
              <w:bottom w:val="single" w:sz="4" w:space="0" w:color="auto"/>
              <w:right w:val="single" w:sz="4" w:space="0" w:color="auto"/>
            </w:tcBorders>
            <w:shd w:val="clear" w:color="auto" w:fill="auto"/>
            <w:noWrap/>
            <w:vAlign w:val="center"/>
            <w:hideMark/>
          </w:tcPr>
          <w:p w14:paraId="62FE7546" w14:textId="77777777" w:rsidR="00C63BD8" w:rsidRPr="00345556" w:rsidRDefault="00C63BD8" w:rsidP="005539F0">
            <w:pPr>
              <w:widowControl/>
              <w:autoSpaceDE/>
              <w:autoSpaceDN/>
              <w:jc w:val="both"/>
              <w:rPr>
                <w:rFonts w:ascii="Trebuchet MS" w:hAnsi="Trebuchet MS" w:cs="Arial"/>
                <w:color w:val="231F20"/>
                <w:sz w:val="16"/>
                <w:szCs w:val="16"/>
                <w:lang w:bidi="hi-IN"/>
              </w:rPr>
            </w:pPr>
            <w:r>
              <w:rPr>
                <w:rFonts w:ascii="Trebuchet MS" w:hAnsi="Trebuchet MS" w:cs="Arial"/>
                <w:color w:val="231F20"/>
                <w:sz w:val="16"/>
                <w:szCs w:val="16"/>
                <w:lang w:bidi="hi-IN"/>
              </w:rPr>
              <w:t>41</w:t>
            </w:r>
            <w:r w:rsidRPr="00345556">
              <w:rPr>
                <w:rFonts w:ascii="Trebuchet MS" w:hAnsi="Trebuchet MS" w:cs="Arial"/>
                <w:color w:val="231F20"/>
                <w:sz w:val="16"/>
                <w:szCs w:val="16"/>
                <w:lang w:bidi="hi-IN"/>
              </w:rPr>
              <w:t>.</w:t>
            </w:r>
            <w:r>
              <w:rPr>
                <w:rFonts w:ascii="Trebuchet MS" w:hAnsi="Trebuchet MS" w:cs="Arial"/>
                <w:color w:val="231F20"/>
                <w:sz w:val="16"/>
                <w:szCs w:val="16"/>
                <w:lang w:bidi="hi-IN"/>
              </w:rPr>
              <w:t>68</w:t>
            </w:r>
          </w:p>
        </w:tc>
      </w:tr>
      <w:tr w:rsidR="00C63BD8" w:rsidRPr="00345556" w14:paraId="1F8AC5E0" w14:textId="77777777" w:rsidTr="005539F0">
        <w:trPr>
          <w:trHeight w:val="270"/>
        </w:trPr>
        <w:tc>
          <w:tcPr>
            <w:tcW w:w="921" w:type="dxa"/>
            <w:tcBorders>
              <w:top w:val="nil"/>
              <w:left w:val="single" w:sz="4" w:space="0" w:color="auto"/>
              <w:bottom w:val="single" w:sz="4" w:space="0" w:color="auto"/>
              <w:right w:val="single" w:sz="4" w:space="0" w:color="auto"/>
            </w:tcBorders>
            <w:shd w:val="clear" w:color="auto" w:fill="auto"/>
            <w:noWrap/>
            <w:vAlign w:val="center"/>
            <w:hideMark/>
          </w:tcPr>
          <w:p w14:paraId="4FE7E437"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50</w:t>
            </w:r>
            <w:r>
              <w:rPr>
                <w:rFonts w:ascii="Trebuchet MS" w:hAnsi="Trebuchet MS" w:cs="Arial"/>
                <w:color w:val="231F20"/>
                <w:sz w:val="16"/>
                <w:szCs w:val="16"/>
                <w:lang w:bidi="hi-IN"/>
              </w:rPr>
              <w:t>0</w:t>
            </w:r>
            <w:r w:rsidRPr="00345556">
              <w:rPr>
                <w:rFonts w:ascii="Trebuchet MS" w:hAnsi="Trebuchet MS" w:cs="Arial"/>
                <w:color w:val="231F20"/>
                <w:sz w:val="16"/>
                <w:szCs w:val="16"/>
                <w:lang w:bidi="hi-IN"/>
              </w:rPr>
              <w:t>kR</w:t>
            </w:r>
          </w:p>
        </w:tc>
        <w:tc>
          <w:tcPr>
            <w:tcW w:w="768" w:type="dxa"/>
            <w:tcBorders>
              <w:top w:val="nil"/>
              <w:left w:val="nil"/>
              <w:bottom w:val="single" w:sz="4" w:space="0" w:color="auto"/>
              <w:right w:val="single" w:sz="4" w:space="0" w:color="auto"/>
            </w:tcBorders>
            <w:shd w:val="clear" w:color="auto" w:fill="auto"/>
            <w:noWrap/>
            <w:vAlign w:val="center"/>
            <w:hideMark/>
          </w:tcPr>
          <w:p w14:paraId="0E2AE0E2" w14:textId="77777777" w:rsidR="00C63BD8" w:rsidRPr="00345556" w:rsidRDefault="00C63BD8" w:rsidP="005539F0">
            <w:pPr>
              <w:widowControl/>
              <w:autoSpaceDE/>
              <w:autoSpaceDN/>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18" w:type="dxa"/>
            <w:tcBorders>
              <w:top w:val="nil"/>
              <w:left w:val="nil"/>
              <w:bottom w:val="single" w:sz="4" w:space="0" w:color="auto"/>
              <w:right w:val="single" w:sz="4" w:space="0" w:color="auto"/>
            </w:tcBorders>
            <w:shd w:val="clear" w:color="auto" w:fill="auto"/>
            <w:noWrap/>
            <w:vAlign w:val="center"/>
            <w:hideMark/>
          </w:tcPr>
          <w:p w14:paraId="1E01FBD8" w14:textId="77777777" w:rsidR="00C63BD8" w:rsidRPr="00345556" w:rsidRDefault="00C63BD8" w:rsidP="005539F0">
            <w:pPr>
              <w:widowControl/>
              <w:autoSpaceDE/>
              <w:autoSpaceDN/>
              <w:ind w:leftChars="-20" w:left="-1" w:hangingChars="27" w:hanging="43"/>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79" w:type="dxa"/>
            <w:tcBorders>
              <w:top w:val="nil"/>
              <w:left w:val="nil"/>
              <w:bottom w:val="single" w:sz="4" w:space="0" w:color="auto"/>
              <w:right w:val="single" w:sz="4" w:space="0" w:color="auto"/>
            </w:tcBorders>
            <w:shd w:val="clear" w:color="auto" w:fill="auto"/>
            <w:noWrap/>
            <w:vAlign w:val="center"/>
            <w:hideMark/>
          </w:tcPr>
          <w:p w14:paraId="4D275AB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79D0291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97" w:type="dxa"/>
            <w:tcBorders>
              <w:top w:val="nil"/>
              <w:left w:val="nil"/>
              <w:bottom w:val="single" w:sz="4" w:space="0" w:color="auto"/>
              <w:right w:val="single" w:sz="4" w:space="0" w:color="auto"/>
            </w:tcBorders>
            <w:shd w:val="clear" w:color="auto" w:fill="auto"/>
            <w:noWrap/>
            <w:vAlign w:val="center"/>
            <w:hideMark/>
          </w:tcPr>
          <w:p w14:paraId="41C57F45"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0" w:type="auto"/>
            <w:tcBorders>
              <w:top w:val="nil"/>
              <w:left w:val="nil"/>
              <w:bottom w:val="single" w:sz="4" w:space="0" w:color="auto"/>
              <w:right w:val="single" w:sz="4" w:space="0" w:color="auto"/>
            </w:tcBorders>
            <w:shd w:val="clear" w:color="auto" w:fill="auto"/>
            <w:noWrap/>
            <w:vAlign w:val="center"/>
            <w:hideMark/>
          </w:tcPr>
          <w:p w14:paraId="50B05627"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34" w:type="dxa"/>
            <w:tcBorders>
              <w:top w:val="nil"/>
              <w:left w:val="nil"/>
              <w:bottom w:val="single" w:sz="4" w:space="0" w:color="auto"/>
              <w:right w:val="single" w:sz="4" w:space="0" w:color="auto"/>
            </w:tcBorders>
            <w:shd w:val="clear" w:color="auto" w:fill="auto"/>
            <w:noWrap/>
            <w:vAlign w:val="center"/>
            <w:hideMark/>
          </w:tcPr>
          <w:p w14:paraId="17E5F913"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972" w:type="dxa"/>
            <w:tcBorders>
              <w:top w:val="nil"/>
              <w:left w:val="nil"/>
              <w:bottom w:val="single" w:sz="4" w:space="0" w:color="auto"/>
              <w:right w:val="single" w:sz="4" w:space="0" w:color="auto"/>
            </w:tcBorders>
            <w:shd w:val="clear" w:color="auto" w:fill="auto"/>
            <w:noWrap/>
            <w:vAlign w:val="center"/>
            <w:hideMark/>
          </w:tcPr>
          <w:p w14:paraId="6C911EBF"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94" w:type="dxa"/>
            <w:tcBorders>
              <w:top w:val="nil"/>
              <w:left w:val="nil"/>
              <w:bottom w:val="single" w:sz="4" w:space="0" w:color="auto"/>
              <w:right w:val="single" w:sz="4" w:space="0" w:color="auto"/>
            </w:tcBorders>
            <w:shd w:val="clear" w:color="auto" w:fill="auto"/>
            <w:noWrap/>
            <w:vAlign w:val="center"/>
            <w:hideMark/>
          </w:tcPr>
          <w:p w14:paraId="1655853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615" w:type="dxa"/>
            <w:tcBorders>
              <w:top w:val="nil"/>
              <w:left w:val="nil"/>
              <w:bottom w:val="single" w:sz="4" w:space="0" w:color="auto"/>
              <w:right w:val="single" w:sz="4" w:space="0" w:color="auto"/>
            </w:tcBorders>
            <w:shd w:val="clear" w:color="auto" w:fill="auto"/>
            <w:noWrap/>
            <w:vAlign w:val="center"/>
            <w:hideMark/>
          </w:tcPr>
          <w:p w14:paraId="69E46452"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79E999B8"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583" w:type="dxa"/>
            <w:tcBorders>
              <w:top w:val="nil"/>
              <w:left w:val="nil"/>
              <w:bottom w:val="single" w:sz="4" w:space="0" w:color="auto"/>
              <w:right w:val="single" w:sz="4" w:space="0" w:color="auto"/>
            </w:tcBorders>
            <w:shd w:val="clear" w:color="auto" w:fill="auto"/>
            <w:noWrap/>
            <w:vAlign w:val="center"/>
            <w:hideMark/>
          </w:tcPr>
          <w:p w14:paraId="11BB1252"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c>
          <w:tcPr>
            <w:tcW w:w="890" w:type="dxa"/>
            <w:tcBorders>
              <w:top w:val="nil"/>
              <w:left w:val="nil"/>
              <w:bottom w:val="single" w:sz="4" w:space="0" w:color="auto"/>
              <w:right w:val="single" w:sz="4" w:space="0" w:color="auto"/>
            </w:tcBorders>
            <w:shd w:val="clear" w:color="auto" w:fill="auto"/>
            <w:noWrap/>
            <w:vAlign w:val="center"/>
            <w:hideMark/>
          </w:tcPr>
          <w:p w14:paraId="50BA8B9C" w14:textId="77777777" w:rsidR="00C63BD8" w:rsidRPr="00345556" w:rsidRDefault="00C63BD8" w:rsidP="005539F0">
            <w:pPr>
              <w:widowControl/>
              <w:autoSpaceDE/>
              <w:autoSpaceDN/>
              <w:ind w:firstLineChars="200" w:firstLine="320"/>
              <w:rPr>
                <w:rFonts w:ascii="Trebuchet MS" w:hAnsi="Trebuchet MS" w:cs="Arial"/>
                <w:color w:val="231F20"/>
                <w:sz w:val="16"/>
                <w:szCs w:val="16"/>
                <w:lang w:bidi="hi-IN"/>
              </w:rPr>
            </w:pPr>
            <w:r w:rsidRPr="00345556">
              <w:rPr>
                <w:rFonts w:ascii="Trebuchet MS" w:hAnsi="Trebuchet MS" w:cs="Arial"/>
                <w:color w:val="231F20"/>
                <w:sz w:val="16"/>
                <w:szCs w:val="16"/>
                <w:lang w:bidi="hi-IN"/>
              </w:rPr>
              <w:t>-</w:t>
            </w:r>
          </w:p>
        </w:tc>
      </w:tr>
    </w:tbl>
    <w:p w14:paraId="29D5F2ED" w14:textId="77777777" w:rsidR="00C63BD8" w:rsidRPr="00C63BD8" w:rsidRDefault="00C63BD8" w:rsidP="00C63BD8">
      <w:pPr>
        <w:rPr>
          <w:sz w:val="24"/>
          <w:szCs w:val="24"/>
        </w:rPr>
      </w:pPr>
    </w:p>
    <w:p w14:paraId="0FD52BB1" w14:textId="77777777" w:rsidR="00C63BD8" w:rsidRPr="00C63BD8" w:rsidRDefault="00C63BD8" w:rsidP="00C63BD8">
      <w:pPr>
        <w:rPr>
          <w:sz w:val="24"/>
          <w:szCs w:val="24"/>
        </w:rPr>
      </w:pPr>
    </w:p>
    <w:p w14:paraId="7FF9E49D" w14:textId="77777777" w:rsidR="00C63BD8" w:rsidRPr="00C63BD8" w:rsidRDefault="00C63BD8" w:rsidP="00C63BD8">
      <w:pPr>
        <w:rPr>
          <w:sz w:val="24"/>
          <w:szCs w:val="24"/>
        </w:rPr>
      </w:pPr>
    </w:p>
    <w:p w14:paraId="30C44788" w14:textId="77777777" w:rsidR="00C63BD8" w:rsidRPr="00C63BD8" w:rsidRDefault="00C63BD8" w:rsidP="00C63BD8">
      <w:pPr>
        <w:rPr>
          <w:sz w:val="24"/>
          <w:szCs w:val="24"/>
        </w:rPr>
      </w:pPr>
    </w:p>
    <w:p w14:paraId="74F906D7" w14:textId="77777777" w:rsidR="00C63BD8" w:rsidRPr="00C63BD8" w:rsidRDefault="00C63BD8" w:rsidP="00C63BD8">
      <w:pPr>
        <w:rPr>
          <w:sz w:val="24"/>
          <w:szCs w:val="24"/>
        </w:rPr>
      </w:pPr>
    </w:p>
    <w:p w14:paraId="10886F87" w14:textId="77777777" w:rsidR="00C63BD8" w:rsidRPr="00C63BD8" w:rsidRDefault="00C63BD8" w:rsidP="00C63BD8">
      <w:pPr>
        <w:rPr>
          <w:sz w:val="24"/>
          <w:szCs w:val="24"/>
        </w:rPr>
      </w:pPr>
    </w:p>
    <w:p w14:paraId="5D2B469D" w14:textId="77777777" w:rsidR="00C63BD8" w:rsidRPr="00C63BD8" w:rsidRDefault="00C63BD8" w:rsidP="00C63BD8">
      <w:pPr>
        <w:rPr>
          <w:sz w:val="24"/>
          <w:szCs w:val="24"/>
        </w:rPr>
      </w:pPr>
    </w:p>
    <w:p w14:paraId="6040D431" w14:textId="77777777" w:rsidR="00C63BD8" w:rsidRPr="00C63BD8" w:rsidRDefault="00C63BD8" w:rsidP="00C63BD8">
      <w:pPr>
        <w:rPr>
          <w:sz w:val="24"/>
          <w:szCs w:val="24"/>
        </w:rPr>
      </w:pPr>
    </w:p>
    <w:p w14:paraId="32194FDE" w14:textId="77777777" w:rsidR="006E5C5E" w:rsidRPr="00C63BD8" w:rsidRDefault="006E5C5E" w:rsidP="00C63BD8">
      <w:pPr>
        <w:rPr>
          <w:sz w:val="24"/>
          <w:szCs w:val="24"/>
        </w:rPr>
      </w:pPr>
    </w:p>
    <w:sectPr w:rsidR="006E5C5E" w:rsidRPr="00C63BD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DB0C69" w14:textId="77777777" w:rsidR="00AE2B81" w:rsidRDefault="00AE2B81" w:rsidP="002350D0">
      <w:r>
        <w:separator/>
      </w:r>
    </w:p>
  </w:endnote>
  <w:endnote w:type="continuationSeparator" w:id="0">
    <w:p w14:paraId="12B38BEC" w14:textId="77777777" w:rsidR="00AE2B81" w:rsidRDefault="00AE2B81" w:rsidP="00235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9A4AA" w14:textId="77777777" w:rsidR="002350D0" w:rsidRDefault="002350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F6E141" w14:textId="77777777" w:rsidR="002350D0" w:rsidRDefault="002350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866C5" w14:textId="77777777" w:rsidR="002350D0" w:rsidRDefault="00235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C7B66" w14:textId="77777777" w:rsidR="00AE2B81" w:rsidRDefault="00AE2B81" w:rsidP="002350D0">
      <w:r>
        <w:separator/>
      </w:r>
    </w:p>
  </w:footnote>
  <w:footnote w:type="continuationSeparator" w:id="0">
    <w:p w14:paraId="7B80D7C4" w14:textId="77777777" w:rsidR="00AE2B81" w:rsidRDefault="00AE2B81" w:rsidP="002350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DBB00" w14:textId="79B69B79" w:rsidR="002350D0" w:rsidRDefault="00AE2B81">
    <w:pPr>
      <w:pStyle w:val="Header"/>
    </w:pPr>
    <w:r>
      <w:rPr>
        <w:noProof/>
      </w:rPr>
      <w:pict w14:anchorId="740833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074172" o:spid="_x0000_s2050" type="#_x0000_t136" style="position:absolute;margin-left:0;margin-top:0;width:593.85pt;height:65.95pt;rotation:315;z-index:-25165516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4D578A" w14:textId="68E31664" w:rsidR="002350D0" w:rsidRDefault="00AE2B81">
    <w:pPr>
      <w:pStyle w:val="Header"/>
    </w:pPr>
    <w:r>
      <w:rPr>
        <w:noProof/>
      </w:rPr>
      <w:pict w14:anchorId="14785F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074173" o:spid="_x0000_s2051" type="#_x0000_t136" style="position:absolute;margin-left:0;margin-top:0;width:593.85pt;height:65.95pt;rotation:315;z-index:-25165312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119A04" w14:textId="4BC3ABD6" w:rsidR="002350D0" w:rsidRDefault="00AE2B81">
    <w:pPr>
      <w:pStyle w:val="Header"/>
    </w:pPr>
    <w:r>
      <w:rPr>
        <w:noProof/>
      </w:rPr>
      <w:pict w14:anchorId="153FCD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074171" o:spid="_x0000_s2049" type="#_x0000_t136" style="position:absolute;margin-left:0;margin-top:0;width:593.85pt;height:65.95pt;rotation:315;z-index:-25165721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BDE"/>
    <w:rsid w:val="00026A37"/>
    <w:rsid w:val="00055741"/>
    <w:rsid w:val="000867DA"/>
    <w:rsid w:val="000A13B8"/>
    <w:rsid w:val="001675D1"/>
    <w:rsid w:val="002236ED"/>
    <w:rsid w:val="002350D0"/>
    <w:rsid w:val="00240D1A"/>
    <w:rsid w:val="0024736E"/>
    <w:rsid w:val="003110EB"/>
    <w:rsid w:val="00324C1E"/>
    <w:rsid w:val="00363DCA"/>
    <w:rsid w:val="003746AB"/>
    <w:rsid w:val="00394652"/>
    <w:rsid w:val="003A11C2"/>
    <w:rsid w:val="00424A55"/>
    <w:rsid w:val="0045447B"/>
    <w:rsid w:val="00470B7E"/>
    <w:rsid w:val="004B6D58"/>
    <w:rsid w:val="005263C6"/>
    <w:rsid w:val="005A7C2C"/>
    <w:rsid w:val="00612A91"/>
    <w:rsid w:val="006E5C5E"/>
    <w:rsid w:val="00791704"/>
    <w:rsid w:val="007D5DF7"/>
    <w:rsid w:val="007E7E52"/>
    <w:rsid w:val="00805DB2"/>
    <w:rsid w:val="008A4DC8"/>
    <w:rsid w:val="008C4B44"/>
    <w:rsid w:val="009227E2"/>
    <w:rsid w:val="00934A75"/>
    <w:rsid w:val="009526B2"/>
    <w:rsid w:val="00984BDE"/>
    <w:rsid w:val="009D14E7"/>
    <w:rsid w:val="00A53D67"/>
    <w:rsid w:val="00A63D1C"/>
    <w:rsid w:val="00AE2B81"/>
    <w:rsid w:val="00AF1F2C"/>
    <w:rsid w:val="00B15E73"/>
    <w:rsid w:val="00B2078E"/>
    <w:rsid w:val="00C63BD8"/>
    <w:rsid w:val="00CE683D"/>
    <w:rsid w:val="00D44381"/>
    <w:rsid w:val="00D83137"/>
    <w:rsid w:val="00D971B4"/>
    <w:rsid w:val="00DD63AF"/>
    <w:rsid w:val="00DE51F5"/>
    <w:rsid w:val="00DF6C3A"/>
    <w:rsid w:val="00F151B2"/>
    <w:rsid w:val="00F86A30"/>
    <w:rsid w:val="00FA1375"/>
    <w:rsid w:val="00FE18E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B150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BDE"/>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9"/>
    <w:qFormat/>
    <w:rsid w:val="00984BDE"/>
    <w:pPr>
      <w:ind w:left="113"/>
      <w:outlineLvl w:val="0"/>
    </w:pPr>
    <w:rPr>
      <w:rFonts w:ascii="Segoe UI" w:eastAsia="Segoe UI" w:hAnsi="Segoe UI" w:cs="Segoe UI"/>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4BDE"/>
    <w:pPr>
      <w:autoSpaceDE w:val="0"/>
      <w:autoSpaceDN w:val="0"/>
      <w:adjustRightInd w:val="0"/>
      <w:spacing w:after="0" w:line="240" w:lineRule="auto"/>
    </w:pPr>
    <w:rPr>
      <w:rFonts w:ascii="Times New Roman" w:hAnsi="Times New Roman" w:cs="Times New Roman"/>
      <w:color w:val="000000"/>
      <w:sz w:val="24"/>
      <w:szCs w:val="24"/>
      <w:lang w:bidi="hi-IN"/>
    </w:rPr>
  </w:style>
  <w:style w:type="character" w:customStyle="1" w:styleId="Heading1Char">
    <w:name w:val="Heading 1 Char"/>
    <w:basedOn w:val="DefaultParagraphFont"/>
    <w:link w:val="Heading1"/>
    <w:uiPriority w:val="9"/>
    <w:rsid w:val="00984BDE"/>
    <w:rPr>
      <w:rFonts w:ascii="Segoe UI" w:eastAsia="Segoe UI" w:hAnsi="Segoe UI" w:cs="Segoe UI"/>
      <w:b/>
      <w:bCs/>
      <w:sz w:val="20"/>
      <w:szCs w:val="20"/>
    </w:rPr>
  </w:style>
  <w:style w:type="paragraph" w:styleId="BodyText">
    <w:name w:val="Body Text"/>
    <w:basedOn w:val="Normal"/>
    <w:link w:val="BodyTextChar"/>
    <w:uiPriority w:val="1"/>
    <w:qFormat/>
    <w:rsid w:val="00984BDE"/>
    <w:rPr>
      <w:sz w:val="19"/>
      <w:szCs w:val="19"/>
    </w:rPr>
  </w:style>
  <w:style w:type="character" w:customStyle="1" w:styleId="BodyTextChar">
    <w:name w:val="Body Text Char"/>
    <w:basedOn w:val="DefaultParagraphFont"/>
    <w:link w:val="BodyText"/>
    <w:uiPriority w:val="1"/>
    <w:rsid w:val="00984BDE"/>
    <w:rPr>
      <w:rFonts w:ascii="Times New Roman" w:eastAsia="Times New Roman" w:hAnsi="Times New Roman" w:cs="Times New Roman"/>
      <w:sz w:val="19"/>
      <w:szCs w:val="19"/>
    </w:rPr>
  </w:style>
  <w:style w:type="paragraph" w:customStyle="1" w:styleId="TableParagraph">
    <w:name w:val="Table Paragraph"/>
    <w:basedOn w:val="Normal"/>
    <w:uiPriority w:val="1"/>
    <w:qFormat/>
    <w:rsid w:val="00C63BD8"/>
    <w:pPr>
      <w:spacing w:before="14" w:line="182" w:lineRule="exact"/>
      <w:jc w:val="center"/>
    </w:pPr>
    <w:rPr>
      <w:rFonts w:ascii="Trebuchet MS" w:eastAsia="Trebuchet MS" w:hAnsi="Trebuchet MS" w:cs="Trebuchet MS"/>
    </w:rPr>
  </w:style>
  <w:style w:type="character" w:styleId="Hyperlink">
    <w:name w:val="Hyperlink"/>
    <w:basedOn w:val="DefaultParagraphFont"/>
    <w:uiPriority w:val="99"/>
    <w:unhideWhenUsed/>
    <w:rsid w:val="00FE18E9"/>
    <w:rPr>
      <w:color w:val="0000FF" w:themeColor="hyperlink"/>
      <w:u w:val="single"/>
    </w:rPr>
  </w:style>
  <w:style w:type="character" w:customStyle="1" w:styleId="UnresolvedMention">
    <w:name w:val="Unresolved Mention"/>
    <w:basedOn w:val="DefaultParagraphFont"/>
    <w:uiPriority w:val="99"/>
    <w:semiHidden/>
    <w:unhideWhenUsed/>
    <w:rsid w:val="00FE18E9"/>
    <w:rPr>
      <w:color w:val="605E5C"/>
      <w:shd w:val="clear" w:color="auto" w:fill="E1DFDD"/>
    </w:rPr>
  </w:style>
  <w:style w:type="paragraph" w:styleId="ListParagraph">
    <w:name w:val="List Paragraph"/>
    <w:basedOn w:val="Normal"/>
    <w:uiPriority w:val="34"/>
    <w:qFormat/>
    <w:rsid w:val="00FE18E9"/>
    <w:pPr>
      <w:ind w:left="720"/>
      <w:contextualSpacing/>
    </w:pPr>
  </w:style>
  <w:style w:type="paragraph" w:styleId="Header">
    <w:name w:val="header"/>
    <w:basedOn w:val="Normal"/>
    <w:link w:val="HeaderChar"/>
    <w:uiPriority w:val="99"/>
    <w:unhideWhenUsed/>
    <w:rsid w:val="002350D0"/>
    <w:pPr>
      <w:tabs>
        <w:tab w:val="center" w:pos="4680"/>
        <w:tab w:val="right" w:pos="9360"/>
      </w:tabs>
    </w:pPr>
  </w:style>
  <w:style w:type="character" w:customStyle="1" w:styleId="HeaderChar">
    <w:name w:val="Header Char"/>
    <w:basedOn w:val="DefaultParagraphFont"/>
    <w:link w:val="Header"/>
    <w:uiPriority w:val="99"/>
    <w:rsid w:val="002350D0"/>
    <w:rPr>
      <w:rFonts w:ascii="Times New Roman" w:eastAsia="Times New Roman" w:hAnsi="Times New Roman" w:cs="Times New Roman"/>
    </w:rPr>
  </w:style>
  <w:style w:type="paragraph" w:styleId="Footer">
    <w:name w:val="footer"/>
    <w:basedOn w:val="Normal"/>
    <w:link w:val="FooterChar"/>
    <w:uiPriority w:val="99"/>
    <w:unhideWhenUsed/>
    <w:rsid w:val="002350D0"/>
    <w:pPr>
      <w:tabs>
        <w:tab w:val="center" w:pos="4680"/>
        <w:tab w:val="right" w:pos="9360"/>
      </w:tabs>
    </w:pPr>
  </w:style>
  <w:style w:type="character" w:customStyle="1" w:styleId="FooterChar">
    <w:name w:val="Footer Char"/>
    <w:basedOn w:val="DefaultParagraphFont"/>
    <w:link w:val="Footer"/>
    <w:uiPriority w:val="99"/>
    <w:rsid w:val="002350D0"/>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BDE"/>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9"/>
    <w:qFormat/>
    <w:rsid w:val="00984BDE"/>
    <w:pPr>
      <w:ind w:left="113"/>
      <w:outlineLvl w:val="0"/>
    </w:pPr>
    <w:rPr>
      <w:rFonts w:ascii="Segoe UI" w:eastAsia="Segoe UI" w:hAnsi="Segoe UI" w:cs="Segoe UI"/>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84BDE"/>
    <w:pPr>
      <w:autoSpaceDE w:val="0"/>
      <w:autoSpaceDN w:val="0"/>
      <w:adjustRightInd w:val="0"/>
      <w:spacing w:after="0" w:line="240" w:lineRule="auto"/>
    </w:pPr>
    <w:rPr>
      <w:rFonts w:ascii="Times New Roman" w:hAnsi="Times New Roman" w:cs="Times New Roman"/>
      <w:color w:val="000000"/>
      <w:sz w:val="24"/>
      <w:szCs w:val="24"/>
      <w:lang w:bidi="hi-IN"/>
    </w:rPr>
  </w:style>
  <w:style w:type="character" w:customStyle="1" w:styleId="Heading1Char">
    <w:name w:val="Heading 1 Char"/>
    <w:basedOn w:val="DefaultParagraphFont"/>
    <w:link w:val="Heading1"/>
    <w:uiPriority w:val="9"/>
    <w:rsid w:val="00984BDE"/>
    <w:rPr>
      <w:rFonts w:ascii="Segoe UI" w:eastAsia="Segoe UI" w:hAnsi="Segoe UI" w:cs="Segoe UI"/>
      <w:b/>
      <w:bCs/>
      <w:sz w:val="20"/>
      <w:szCs w:val="20"/>
    </w:rPr>
  </w:style>
  <w:style w:type="paragraph" w:styleId="BodyText">
    <w:name w:val="Body Text"/>
    <w:basedOn w:val="Normal"/>
    <w:link w:val="BodyTextChar"/>
    <w:uiPriority w:val="1"/>
    <w:qFormat/>
    <w:rsid w:val="00984BDE"/>
    <w:rPr>
      <w:sz w:val="19"/>
      <w:szCs w:val="19"/>
    </w:rPr>
  </w:style>
  <w:style w:type="character" w:customStyle="1" w:styleId="BodyTextChar">
    <w:name w:val="Body Text Char"/>
    <w:basedOn w:val="DefaultParagraphFont"/>
    <w:link w:val="BodyText"/>
    <w:uiPriority w:val="1"/>
    <w:rsid w:val="00984BDE"/>
    <w:rPr>
      <w:rFonts w:ascii="Times New Roman" w:eastAsia="Times New Roman" w:hAnsi="Times New Roman" w:cs="Times New Roman"/>
      <w:sz w:val="19"/>
      <w:szCs w:val="19"/>
    </w:rPr>
  </w:style>
  <w:style w:type="paragraph" w:customStyle="1" w:styleId="TableParagraph">
    <w:name w:val="Table Paragraph"/>
    <w:basedOn w:val="Normal"/>
    <w:uiPriority w:val="1"/>
    <w:qFormat/>
    <w:rsid w:val="00C63BD8"/>
    <w:pPr>
      <w:spacing w:before="14" w:line="182" w:lineRule="exact"/>
      <w:jc w:val="center"/>
    </w:pPr>
    <w:rPr>
      <w:rFonts w:ascii="Trebuchet MS" w:eastAsia="Trebuchet MS" w:hAnsi="Trebuchet MS" w:cs="Trebuchet MS"/>
    </w:rPr>
  </w:style>
  <w:style w:type="character" w:styleId="Hyperlink">
    <w:name w:val="Hyperlink"/>
    <w:basedOn w:val="DefaultParagraphFont"/>
    <w:uiPriority w:val="99"/>
    <w:unhideWhenUsed/>
    <w:rsid w:val="00FE18E9"/>
    <w:rPr>
      <w:color w:val="0000FF" w:themeColor="hyperlink"/>
      <w:u w:val="single"/>
    </w:rPr>
  </w:style>
  <w:style w:type="character" w:customStyle="1" w:styleId="UnresolvedMention">
    <w:name w:val="Unresolved Mention"/>
    <w:basedOn w:val="DefaultParagraphFont"/>
    <w:uiPriority w:val="99"/>
    <w:semiHidden/>
    <w:unhideWhenUsed/>
    <w:rsid w:val="00FE18E9"/>
    <w:rPr>
      <w:color w:val="605E5C"/>
      <w:shd w:val="clear" w:color="auto" w:fill="E1DFDD"/>
    </w:rPr>
  </w:style>
  <w:style w:type="paragraph" w:styleId="ListParagraph">
    <w:name w:val="List Paragraph"/>
    <w:basedOn w:val="Normal"/>
    <w:uiPriority w:val="34"/>
    <w:qFormat/>
    <w:rsid w:val="00FE18E9"/>
    <w:pPr>
      <w:ind w:left="720"/>
      <w:contextualSpacing/>
    </w:pPr>
  </w:style>
  <w:style w:type="paragraph" w:styleId="Header">
    <w:name w:val="header"/>
    <w:basedOn w:val="Normal"/>
    <w:link w:val="HeaderChar"/>
    <w:uiPriority w:val="99"/>
    <w:unhideWhenUsed/>
    <w:rsid w:val="002350D0"/>
    <w:pPr>
      <w:tabs>
        <w:tab w:val="center" w:pos="4680"/>
        <w:tab w:val="right" w:pos="9360"/>
      </w:tabs>
    </w:pPr>
  </w:style>
  <w:style w:type="character" w:customStyle="1" w:styleId="HeaderChar">
    <w:name w:val="Header Char"/>
    <w:basedOn w:val="DefaultParagraphFont"/>
    <w:link w:val="Header"/>
    <w:uiPriority w:val="99"/>
    <w:rsid w:val="002350D0"/>
    <w:rPr>
      <w:rFonts w:ascii="Times New Roman" w:eastAsia="Times New Roman" w:hAnsi="Times New Roman" w:cs="Times New Roman"/>
    </w:rPr>
  </w:style>
  <w:style w:type="paragraph" w:styleId="Footer">
    <w:name w:val="footer"/>
    <w:basedOn w:val="Normal"/>
    <w:link w:val="FooterChar"/>
    <w:uiPriority w:val="99"/>
    <w:unhideWhenUsed/>
    <w:rsid w:val="002350D0"/>
    <w:pPr>
      <w:tabs>
        <w:tab w:val="center" w:pos="4680"/>
        <w:tab w:val="right" w:pos="9360"/>
      </w:tabs>
    </w:pPr>
  </w:style>
  <w:style w:type="character" w:customStyle="1" w:styleId="FooterChar">
    <w:name w:val="Footer Char"/>
    <w:basedOn w:val="DefaultParagraphFont"/>
    <w:link w:val="Footer"/>
    <w:uiPriority w:val="99"/>
    <w:rsid w:val="002350D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077647">
      <w:bodyDiv w:val="1"/>
      <w:marLeft w:val="0"/>
      <w:marRight w:val="0"/>
      <w:marTop w:val="0"/>
      <w:marBottom w:val="0"/>
      <w:divBdr>
        <w:top w:val="none" w:sz="0" w:space="0" w:color="auto"/>
        <w:left w:val="none" w:sz="0" w:space="0" w:color="auto"/>
        <w:bottom w:val="none" w:sz="0" w:space="0" w:color="auto"/>
        <w:right w:val="none" w:sz="0" w:space="0" w:color="auto"/>
      </w:divBdr>
    </w:div>
    <w:div w:id="809205485">
      <w:bodyDiv w:val="1"/>
      <w:marLeft w:val="0"/>
      <w:marRight w:val="0"/>
      <w:marTop w:val="0"/>
      <w:marBottom w:val="0"/>
      <w:divBdr>
        <w:top w:val="none" w:sz="0" w:space="0" w:color="auto"/>
        <w:left w:val="none" w:sz="0" w:space="0" w:color="auto"/>
        <w:bottom w:val="none" w:sz="0" w:space="0" w:color="auto"/>
        <w:right w:val="none" w:sz="0" w:space="0" w:color="auto"/>
      </w:divBdr>
    </w:div>
    <w:div w:id="1336885721">
      <w:bodyDiv w:val="1"/>
      <w:marLeft w:val="0"/>
      <w:marRight w:val="0"/>
      <w:marTop w:val="0"/>
      <w:marBottom w:val="0"/>
      <w:divBdr>
        <w:top w:val="none" w:sz="0" w:space="0" w:color="auto"/>
        <w:left w:val="none" w:sz="0" w:space="0" w:color="auto"/>
        <w:bottom w:val="none" w:sz="0" w:space="0" w:color="auto"/>
        <w:right w:val="none" w:sz="0" w:space="0" w:color="auto"/>
      </w:divBdr>
    </w:div>
    <w:div w:id="213714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2715</TotalTime>
  <Pages>14</Pages>
  <Words>3661</Words>
  <Characters>20871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29</cp:revision>
  <dcterms:created xsi:type="dcterms:W3CDTF">2024-09-14T06:00:00Z</dcterms:created>
  <dcterms:modified xsi:type="dcterms:W3CDTF">2025-05-06T09:58:00Z</dcterms:modified>
</cp:coreProperties>
</file>