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F1F39">
      <w:pPr>
        <w:jc w:val="center"/>
        <w:rPr>
          <w:rFonts w:ascii="Times New Roman" w:hAnsi="Times New Roman" w:cs="Times New Roman"/>
          <w:b/>
          <w:color w:val="000000" w:themeColor="text1"/>
          <w:sz w:val="24"/>
          <w14:textFill>
            <w14:solidFill>
              <w14:schemeClr w14:val="tx1"/>
            </w14:solidFill>
          </w14:textFill>
        </w:rPr>
      </w:pPr>
      <w:bookmarkStart w:id="4" w:name="_GoBack"/>
      <w:bookmarkEnd w:id="4"/>
      <w:r>
        <w:rPr>
          <w:rFonts w:ascii="Times New Roman" w:hAnsi="Times New Roman" w:cs="Times New Roman"/>
          <w:b/>
          <w:color w:val="000000" w:themeColor="text1"/>
          <w:sz w:val="24"/>
          <w14:textFill>
            <w14:solidFill>
              <w14:schemeClr w14:val="tx1"/>
            </w14:solidFill>
          </w14:textFill>
        </w:rPr>
        <w:t>The influence of English-speaking anxiety on learning attitude of Chinese non-English major undergraduates: Motivation as a mediator</w:t>
      </w:r>
    </w:p>
    <w:p w14:paraId="20A830C0">
      <w:pPr>
        <w:rPr>
          <w:rFonts w:ascii="Times New Roman" w:hAnsi="Times New Roman" w:cs="Times New Roman"/>
          <w:b/>
          <w:color w:val="000000" w:themeColor="text1"/>
          <w:sz w:val="24"/>
          <w14:textFill>
            <w14:solidFill>
              <w14:schemeClr w14:val="tx1"/>
            </w14:solidFill>
          </w14:textFill>
        </w:rPr>
      </w:pPr>
    </w:p>
    <w:p w14:paraId="003C1D57">
      <w:pPr>
        <w:rPr>
          <w:rFonts w:ascii="宋体" w:hAnsi="宋体" w:eastAsia="宋体" w:cs="宋体"/>
          <w:sz w:val="24"/>
        </w:rPr>
      </w:pPr>
    </w:p>
    <w:p w14:paraId="31C6FA51">
      <w:pPr>
        <w:rPr>
          <w:rFonts w:ascii="Times New Roman" w:hAnsi="Times New Roman" w:cs="Times New Roman"/>
          <w:b/>
          <w:color w:val="000000" w:themeColor="text1"/>
          <w:sz w:val="24"/>
          <w14:textFill>
            <w14:solidFill>
              <w14:schemeClr w14:val="tx1"/>
            </w14:solidFill>
          </w14:textFill>
        </w:rPr>
      </w:pPr>
    </w:p>
    <w:p w14:paraId="0849B104">
      <w:pPr>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Abstract</w:t>
      </w:r>
    </w:p>
    <w:p w14:paraId="50E765B0">
      <w:pPr>
        <w:rPr>
          <w:rFonts w:ascii="Times New Roman" w:hAnsi="Times New Roman" w:cs="Times New Roman"/>
          <w:color w:val="FF0000"/>
          <w:sz w:val="24"/>
          <w:lang w:val="en-GB"/>
        </w:rPr>
      </w:pPr>
      <w:r>
        <w:rPr>
          <w:rFonts w:ascii="Times New Roman" w:hAnsi="Times New Roman" w:cs="Times New Roman"/>
          <w:color w:val="000000" w:themeColor="text1"/>
          <w:sz w:val="24"/>
          <w14:textFill>
            <w14:solidFill>
              <w14:schemeClr w14:val="tx1"/>
            </w14:solidFill>
          </w14:textFill>
        </w:rPr>
        <w:t>This study explores how English-speaking anxiety affects non-English major students' learning attitudes in China, highlighting motivation's mediating role. In China's higher education, English learning, especially oral skills, is crucial. However, English learning anxiety impacts students' attitudes towards spoken English. Employing standard measures and literature, multiple regression shows oral anxiety significantly shapes learning attitudes, with motivation as a key mediator</w:t>
      </w:r>
      <w:r>
        <w:rPr>
          <w:rFonts w:ascii="Times New Roman" w:hAnsi="Times New Roman" w:cs="Times New Roman"/>
          <w:color w:val="FF0000"/>
          <w:sz w:val="24"/>
        </w:rPr>
        <w:t xml:space="preserve">. </w:t>
      </w:r>
      <w:r>
        <w:rPr>
          <w:rFonts w:hint="eastAsia" w:ascii="Times New Roman" w:hAnsi="Times New Roman" w:cs="Times New Roman"/>
          <w:color w:val="FF0000"/>
          <w:sz w:val="24"/>
          <w:lang w:val="en-GB"/>
        </w:rPr>
        <w:t>Despite the acknowledged importance of English oral proficiency in higher education, a substantial number of non-English major students in China continue to experience considerable levels of speaking anxiety. This anxiety adversely affects their willingness to engage in classroom oral activities and poses significant challenges to the cultivation of positive learning attitudes. Notably, the role of underlying motivational mechanisms in this context has received limited empirical attention within Chinese university settings. To address this gap, the present study employed a quantitative research approach using a survey design to collect data from undergraduate students. The final sample comprised 198 participants, including 49.</w:t>
      </w:r>
      <w:r>
        <w:rPr>
          <w:rFonts w:hint="eastAsia" w:ascii="Times New Roman" w:hAnsi="Times New Roman" w:cs="Times New Roman"/>
          <w:color w:val="FF0000"/>
          <w:sz w:val="24"/>
        </w:rPr>
        <w:t>49</w:t>
      </w:r>
      <w:r>
        <w:rPr>
          <w:rFonts w:hint="eastAsia" w:ascii="Times New Roman" w:hAnsi="Times New Roman" w:cs="Times New Roman"/>
          <w:color w:val="FF0000"/>
          <w:sz w:val="24"/>
          <w:lang w:val="en-GB"/>
        </w:rPr>
        <w:t>% male (n = 98) and 51.5</w:t>
      </w:r>
      <w:r>
        <w:rPr>
          <w:rFonts w:hint="eastAsia" w:ascii="Times New Roman" w:hAnsi="Times New Roman" w:cs="Times New Roman"/>
          <w:color w:val="FF0000"/>
          <w:sz w:val="24"/>
        </w:rPr>
        <w:t>1</w:t>
      </w:r>
      <w:r>
        <w:rPr>
          <w:rFonts w:hint="eastAsia" w:ascii="Times New Roman" w:hAnsi="Times New Roman" w:cs="Times New Roman"/>
          <w:color w:val="FF0000"/>
          <w:sz w:val="24"/>
          <w:lang w:val="en-GB"/>
        </w:rPr>
        <w:t xml:space="preserve">% female (n = 100), all enrolled in non-English major programs at Chinese universities. </w:t>
      </w:r>
      <w:r>
        <w:rPr>
          <w:rFonts w:ascii="Times New Roman" w:hAnsi="Times New Roman" w:cs="Times New Roman"/>
          <w:color w:val="000000" w:themeColor="text1"/>
          <w:sz w:val="24"/>
          <w14:textFill>
            <w14:solidFill>
              <w14:schemeClr w14:val="tx1"/>
            </w14:solidFill>
          </w14:textFill>
        </w:rPr>
        <w:t>The study discusses findings, gives anxiety-management suggestions, and notes limitations. It concludes that Chinese universities should consider students' attitudes to boost learning efficiency. Future research could examine more influencing factors, expand samples, conduct qualitative studies on different age groups, and use longitudinal methods.</w:t>
      </w:r>
    </w:p>
    <w:p w14:paraId="24AD8DF5">
      <w:pPr>
        <w:pStyle w:val="3"/>
        <w:rPr>
          <w:rFonts w:ascii="Times New Roman" w:hAnsi="Times New Roman" w:cs="Times New Roman"/>
          <w:i/>
          <w:iCs/>
          <w:sz w:val="24"/>
          <w:szCs w:val="24"/>
        </w:rPr>
      </w:pPr>
      <w:r>
        <w:rPr>
          <w:rFonts w:ascii="Times New Roman" w:hAnsi="Times New Roman" w:cs="Times New Roman"/>
          <w:b/>
          <w:bCs/>
          <w:color w:val="000000" w:themeColor="text1"/>
          <w:sz w:val="24"/>
          <w14:textFill>
            <w14:solidFill>
              <w14:schemeClr w14:val="tx1"/>
            </w14:solidFill>
          </w14:textFill>
        </w:rPr>
        <w:t>Key words:</w:t>
      </w:r>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szCs w:val="24"/>
          <w14:textFill>
            <w14:solidFill>
              <w14:schemeClr w14:val="tx1"/>
            </w14:solidFill>
          </w14:textFill>
        </w:rPr>
        <w:t xml:space="preserve">speaking anxiety on learning attitude, </w:t>
      </w:r>
      <w:r>
        <w:rPr>
          <w:rFonts w:ascii="Times New Roman" w:hAnsi="Times New Roman" w:cs="Times New Roman"/>
          <w:i/>
          <w:iCs/>
          <w:color w:val="FF0000"/>
          <w:sz w:val="24"/>
          <w:szCs w:val="24"/>
        </w:rPr>
        <w:t>speaking anxiety, motivation, learning attitude and undergraduate students</w:t>
      </w:r>
    </w:p>
    <w:p w14:paraId="61607696">
      <w:pPr>
        <w:rPr>
          <w:rFonts w:ascii="Times New Roman" w:hAnsi="Times New Roman" w:cs="Times New Roman"/>
          <w:color w:val="000000" w:themeColor="text1"/>
          <w:sz w:val="24"/>
          <w14:textFill>
            <w14:solidFill>
              <w14:schemeClr w14:val="tx1"/>
            </w14:solidFill>
          </w14:textFill>
        </w:rPr>
      </w:pPr>
    </w:p>
    <w:p w14:paraId="46349EC5">
      <w:pPr>
        <w:keepNext/>
        <w:keepLines/>
        <w:numPr>
          <w:ilvl w:val="0"/>
          <w:numId w:val="1"/>
        </w:numPr>
        <w:spacing w:after="240"/>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Introduction</w:t>
      </w:r>
    </w:p>
    <w:p w14:paraId="08AD0D4A">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Historically, English education in China prioritised the mastery of grammar and linguistic structure, with a predominant focus on syntactic rules and language forms rather than practical language use or communicative competence (Bao &amp; Liu, 2021; Liang et al., 2019). As English education undergoes continuous reform and advancement, there is growing recognition of the significance of oral proficiency. Consequently, as students' learning priorities have shifted toward developing speaking skills, issues such as oral anxiety and evolving attitudes toward English learning have emerged. Speaking anxiety is characterised by the nervousness or fear experienced by learners when using a second language, often driven by concerns about making errors or facing judgment (Pahargyan, 2021). Learning attitude encompasses a learner’s mindset and beliefs about the learning process, which can significantly influence their motivation and level of engagement, either positively or negatively (Zulfikar et al., 2019).</w:t>
      </w:r>
    </w:p>
    <w:p w14:paraId="3ABCFE08">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Factors influencing English learning attitudes have consistently been a central focus for researchers. Numerous studies have identified a variety of determinants influencing learners' attitudes, including self-confidence (Astalini et al., 2020), learning motivation (Liu et al., 2021), teaching methods employed by instructors (Dewaele et al., 2022), classroom environment (Getie, 2020), peer interactions (Fang &amp; Tang, 2021), and cultural background (Abdullaev, 2021). Among these factors, oral anxiety and motivation are particularly recognised as critical variables. Oral anxiety can undermine learners' confidence and evoke negative emotions toward English learning, thereby adversely affecting their attitudes (Sohrabi &amp; Ahmadi Safa, 2020; Yousefabadi et al., 2022). Conversely, learning motivation plays a crucial role in regulating and enhancing learning attitudes. High motivation levels are often associated with more proactive learning behaviours and greater engagement (Pan</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 2020). Thus, understanding the interplay between oral anxiety and motivation in shaping learners' attitudes toward English learning has emerged as a significant area of contemporary research.</w:t>
      </w:r>
    </w:p>
    <w:p w14:paraId="0007B8CC">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China, with its rich cultural heritage and diverse linguistic landscape, is home to numerous regional languages such as Mandarin, Cantonese, Shanghainese, and Hokkien, which are spoken widely across the country (Wang &amp; Li, 2024). Despite this linguistic diversity, English occupies a prominent place in the Chinese educational system (Wei, 2023). It is a mandatory subject from primary school through university, and in some instances, extends to graduate studies (</w:t>
      </w:r>
      <w:r>
        <w:rPr>
          <w:rFonts w:hint="eastAsia" w:ascii="Times New Roman" w:hAnsi="Times New Roman" w:cs="Times New Roman"/>
          <w:color w:val="000000" w:themeColor="text1"/>
          <w:sz w:val="24"/>
          <w14:textFill>
            <w14:solidFill>
              <w14:schemeClr w14:val="tx1"/>
            </w14:solidFill>
          </w14:textFill>
        </w:rPr>
        <w:t>Hu</w:t>
      </w:r>
      <w:r>
        <w:rPr>
          <w:rFonts w:ascii="Times New Roman" w:hAnsi="Times New Roman" w:cs="Times New Roman"/>
          <w:color w:val="000000" w:themeColor="text1"/>
          <w:sz w:val="24"/>
          <w14:textFill>
            <w14:solidFill>
              <w14:schemeClr w14:val="tx1"/>
            </w14:solidFill>
          </w14:textFill>
        </w:rPr>
        <w:t xml:space="preserve"> et al. 202</w:t>
      </w:r>
      <w:r>
        <w:rPr>
          <w:rFonts w:hint="eastAsia"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Proficiency in English is often viewed as essential for obtaining high-paying employment and accessing opportunities in global markets (Wang &amp; Li, 2024). It is associated with social mobility, academic achievement, and access to international business, technological advancements, and higher education (Jie &amp; Sunze, 2023; Prasetya, 2021; Schmidtke et al., 2025; Takino, 2020). Consequently, the importance of students' attitudes toward English, particularly about speaking anxiety, is heavily emphasised in China.</w:t>
      </w:r>
    </w:p>
    <w:p w14:paraId="4FFD91B4">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FF0000"/>
          <w:sz w:val="24"/>
          <w:lang w:val="en-GB"/>
        </w:rPr>
        <w:t>Although considerable research has explored spoken English, there remains a notable gap concerning the speaking anxiety and learning attitudes of non-English major students</w:t>
      </w:r>
      <w:r>
        <w:rPr>
          <w:rFonts w:hint="eastAsia" w:ascii="Times New Roman" w:hAnsi="Times New Roman" w:cs="Times New Roman"/>
          <w:color w:val="FF0000"/>
          <w:sz w:val="24"/>
          <w:lang w:val="en-GB"/>
        </w:rPr>
        <w:t xml:space="preserve"> (Dana and Aminatun, 2022; Dewaele and Proietti Ergün, 2020; Zhou et al. 2023)</w:t>
      </w:r>
      <w:r>
        <w:rPr>
          <w:rFonts w:ascii="Times New Roman" w:hAnsi="Times New Roman" w:cs="Times New Roman"/>
          <w:color w:val="FF0000"/>
          <w:sz w:val="24"/>
          <w:lang w:val="en-GB"/>
        </w:rPr>
        <w:t>.</w:t>
      </w:r>
      <w:r>
        <w:rPr>
          <w:rFonts w:hint="eastAsia" w:ascii="Times New Roman" w:hAnsi="Times New Roman" w:cs="Times New Roman"/>
          <w:color w:val="FF0000"/>
          <w:sz w:val="24"/>
          <w:lang w:val="en-GB"/>
        </w:rPr>
        <w:t xml:space="preserve"> </w:t>
      </w:r>
      <w:r>
        <w:rPr>
          <w:rFonts w:ascii="Times New Roman" w:hAnsi="Times New Roman" w:cs="Times New Roman"/>
          <w:color w:val="000000" w:themeColor="text1"/>
          <w:sz w:val="24"/>
          <w14:textFill>
            <w14:solidFill>
              <w14:schemeClr w14:val="tx1"/>
            </w14:solidFill>
          </w14:textFill>
        </w:rPr>
        <w:t xml:space="preserve">From a pedagogical perspective, further investigation is required to understand how to foster more positive attitudes toward spoken English learning. Chi (2024) emphasised that despite efforts to examine the influence of speaking anxiety and motivation on English learning attitudes, the specific context of non-English majors remains underexplored. Addressing this gap, modern English pedagogy aims to support learners in sustaining positive attitudes toward spoken English. </w:t>
      </w:r>
    </w:p>
    <w:p w14:paraId="35DBF8C6">
      <w:pPr>
        <w:pStyle w:val="19"/>
        <w:rPr>
          <w:rFonts w:ascii="Times New Roman" w:hAnsi="Times New Roman"/>
          <w:color w:val="FF0000"/>
          <w:sz w:val="24"/>
          <w:szCs w:val="24"/>
        </w:rPr>
      </w:pPr>
      <w:r>
        <w:rPr>
          <w:rFonts w:hint="eastAsia" w:ascii="Times New Roman" w:hAnsi="Times New Roman"/>
          <w:color w:val="FF0000"/>
          <w:sz w:val="24"/>
          <w:szCs w:val="24"/>
        </w:rPr>
        <w:t>This study, therefore, aims to examine the underlying mechanisms through which English-speaking anxiety and motivation influence the learning attitudes of undergraduate students from non-English majors. Specifically, it seeks to investigate the levels of speaking anxiety and the patterns of learning motivation and attitude among these students. Furthermore, the study explores the direct impact of speaking anxiety on learning attitudes, while also determining whether motivation serves as a mediating variable in the relationship between speaking anxiety and learning attitude. Through this investigation, the research intends to contribute a deeper understanding of how affective and motivational factors jointly shape students</w:t>
      </w:r>
      <w:r>
        <w:rPr>
          <w:rFonts w:ascii="宋体" w:hAnsi="宋体"/>
          <w:color w:val="FF0000"/>
          <w:sz w:val="24"/>
          <w:szCs w:val="24"/>
        </w:rPr>
        <w:t>’</w:t>
      </w:r>
      <w:r>
        <w:rPr>
          <w:rFonts w:hint="eastAsia" w:ascii="Times New Roman" w:hAnsi="Times New Roman"/>
          <w:color w:val="FF0000"/>
          <w:sz w:val="24"/>
          <w:szCs w:val="24"/>
        </w:rPr>
        <w:t>engagement and perception toward English language learning in the context of Chinese higher education.</w:t>
      </w:r>
    </w:p>
    <w:p w14:paraId="6C5527C0">
      <w:pPr>
        <w:ind w:firstLine="283"/>
        <w:rPr>
          <w:rFonts w:ascii="Times New Roman" w:hAnsi="Times New Roman" w:cs="Times New Roman"/>
          <w:color w:val="000000" w:themeColor="text1"/>
          <w:sz w:val="24"/>
          <w:lang w:val="en-GB"/>
          <w14:textFill>
            <w14:solidFill>
              <w14:schemeClr w14:val="tx1"/>
            </w14:solidFill>
          </w14:textFill>
        </w:rPr>
      </w:pPr>
    </w:p>
    <w:p w14:paraId="0951F081">
      <w:pPr>
        <w:keepNext/>
        <w:keepLines/>
        <w:numPr>
          <w:ilvl w:val="0"/>
          <w:numId w:val="1"/>
        </w:numPr>
        <w:spacing w:after="240"/>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LITERATURE REVIEW</w:t>
      </w:r>
    </w:p>
    <w:p w14:paraId="2E1C2C93">
      <w:pPr>
        <w:spacing w:before="156" w:beforeLines="50" w:after="156" w:afterLines="50"/>
        <w:rPr>
          <w:rFonts w:ascii="Times New Roman Bold" w:hAnsi="Times New Roman Bold" w:cs="Times New Roman Bold"/>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2.1 The Relationship between Speaking Anxiety and Learning Attitude</w:t>
      </w:r>
    </w:p>
    <w:p w14:paraId="12432A04">
      <w:pPr>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How anxiety affects learners is the most frequently investigated topic in the literature. Speaking anxiety can be defined as the nervousness or fear experienced by learners when using a second language, often driven by concerns about making errors or facing judgment (Pahargyan, 2021). Anxiety is one of the most important factors affecting learners' performance in second language classrooms (Ahmetovic et al., 2020). Learners' emotional tension when learning a foreign language can affect their level of achievement in language skills (Resnik &amp; Dewaele, 2020).</w:t>
      </w:r>
    </w:p>
    <w:p w14:paraId="6C6E973D">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Nakatani (2006) developed a comprehensive taxonomy of the Oral Communication Strategy Inventory (OCSI) for EFL learners, encompassing Social Affective Strategies, Fluency-Oriented Strategies, Negotiation for Meaning while Speaking, Accuracy-Oriented Strategies, Message Reduction and Alteration Strategies, Nonverbal Strategies while Speaking, Message Abandonment Strategies, and the Attempt to Think in English. This detailed classification provides a structured framework for analysing how EFL learners employ various strategies to enhance their oral communication skills, addressing both the linguistic and psychological aspects of language use. Understanding these strategies is crucial, as learners’ use of specific oral communication approaches can be influenced by various psychological factors, such as learning attitude and anxiety. The relationship between these factors, however, remains a subject of ongoing debate.</w:t>
      </w:r>
    </w:p>
    <w:p w14:paraId="3E4C9914">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relationship between learning attitude and learning anxiety is a subject of ongoing debate. Dewaele and Proietti Ergün (2020), in their study of students in Türkiye, found no significant correlation between classroom anxiety levels and students' attitudes and motivations. In contrast, Le and</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Le (2022) observed different results in their research involving 69 Vietnamese students. Their findings indicated that anxiety, curiosity, and awareness of the importance of English for prospects significantly influence students' attitudes toward English learning. Furthermore, Karagöl and Başbay (2018) identified a weak negative correlation between student anxiety and their attitudes towards English and English</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speaking skills. These conflicting findings highlight the complexity of the relationship between speaking anxiety and learning attitudes. It suggests that the influence of anxiety on learning attitudes may vary depending on contextual and cultural factors. Therefore, further research is needed to explore the specific dynamics of speaking anxiety and learning attitudes among non-English major learners. Based on this, this study proposes the following hypothesis:</w:t>
      </w:r>
    </w:p>
    <w:p w14:paraId="14C3A4F3">
      <w:pPr>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Hypothesis 1: There is a positive relationship between learning anxiety and learning attitude.</w:t>
      </w:r>
    </w:p>
    <w:p w14:paraId="75346C6F">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2.2 The Relationship between Learning Motivation and Learning Attitudes</w:t>
      </w:r>
    </w:p>
    <w:p w14:paraId="52506B26">
      <w:pPr>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 xml:space="preserve">Datnow (2020) describes attitude as the culmination of personal experiences and encounters that influence an individual’s intention to engage in specific behaviours. The significance of learning attitude is evident in its considerable influence on educational outcomes (Ismaili, 2021; Sinaga &amp; Pustika, 2021; Tus, 2020). The decision to adopt Abidin et al.'s (2012) survey questionnaire stems from its well-established framework for categorising dimensions of learning attitudes among EFL students. Their measurement scale, "EFL Students' Attitudes towards Learning English Language," meticulously delineates three distinct types of attitude: Affective Attitude, Behavioural Attitude, and Cognitive Attitude. A positive learning attitude has been shown to enhance learning efficiency, boost motivation, and increase students' resilience when faced with challenges (Ferrer et al., 2022). Conversely, a negative learning attitude can impede academic progress, diminish self-confidence, and reduce learners' investment in their studies (Thi &amp; Duong, 2024). Consequently, fostering and sustaining a positive attitude toward learning is essential for achieving effective language acquisition. </w:t>
      </w:r>
    </w:p>
    <w:p w14:paraId="4942C9A1">
      <w:pPr>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In recent years, the relationship between learning motivation and learning attitudes has been widely discussed and verified. When learners’ positive attitudes are undermined, they are more likely to become frustrated and unmotivated, which reduces overall learning outcomes. (Wang &amp; Zhan, 2020). Especially in language learning situations, a negative attitude towards learning leads to learners' reduced interest in classroom activities and weakened willingness to participate (Liu et al., 2021). However, learning motivation has been found to improve learning attitudes to a certain extent (Baaqeel, 2020). Positive intrinsic motivation can enhance students' enthusiasm for learning, promote them to maintain a positive learning attitude, and maintain effort and confidence even in the face of difficulties (Ramzan et al., 2023). Based on these research controversies, the relationship between learning motivation and learning anxiety needs to be further verified. Therefore, this study proposes the following hypothesis:</w:t>
      </w:r>
    </w:p>
    <w:p w14:paraId="15CA36C8">
      <w:pPr>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Hypothesis 2: There is a positive relationship between learning motivation and learning anxiety.</w:t>
      </w:r>
    </w:p>
    <w:p w14:paraId="5B7FA0E0">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 xml:space="preserve">2.3 The Mediating </w:t>
      </w:r>
      <w:r>
        <w:rPr>
          <w:rFonts w:hint="eastAsia" w:ascii="Times New Roman Bold" w:hAnsi="Times New Roman Bold" w:cs="Times New Roman Bold"/>
          <w:b/>
          <w:bCs/>
          <w:color w:val="000000" w:themeColor="text1"/>
          <w:sz w:val="24"/>
          <w14:textFill>
            <w14:solidFill>
              <w14:schemeClr w14:val="tx1"/>
            </w14:solidFill>
          </w14:textFill>
        </w:rPr>
        <w:t>Role</w:t>
      </w:r>
      <w:r>
        <w:rPr>
          <w:rFonts w:ascii="Times New Roman Bold" w:hAnsi="Times New Roman Bold" w:cs="Times New Roman Bold"/>
          <w:b/>
          <w:bCs/>
          <w:color w:val="000000" w:themeColor="text1"/>
          <w:sz w:val="24"/>
          <w14:textFill>
            <w14:solidFill>
              <w14:schemeClr w14:val="tx1"/>
            </w14:solidFill>
          </w14:textFill>
        </w:rPr>
        <w:t xml:space="preserve"> of Motivation</w:t>
      </w:r>
    </w:p>
    <w:p w14:paraId="45CB75F0">
      <w:pPr>
        <w:autoSpaceDE w:val="0"/>
        <w:autoSpaceDN w:val="0"/>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Lai (2011) conceptualises motivation as the underlying reasons driving behaviour, characterised by a sense of willingness and intentional decision-making. This study's categorisation of learning motivation is informed by Aydin et al.'s (2014) "Academic Motivation Scale for Learning Biology," which classifies motivation into four distinct types: Intrinsic Motivation, Amotivation, External Motivation related to Career, and External Motivation related to Social factors. Motivation in the context of English learning is of critical importance, as it significantly influences the selection of learning strategies and the sustained development of language proficiency (Hussain et al., 2020). According to Yu et al. (2021), high levels of motivation can enhance learners' perseverance and adaptability when facing challenges, driving greater engagement in diverse learning activities and leading to improved academic outcomes. Conversely, low motivation is associated with burnout and a deceleration of learning progress (Rehman et al., 2020). Hence, fostering robust motivation is fundamental for achieving successful English language acquisition.</w:t>
      </w:r>
    </w:p>
    <w:p w14:paraId="3802589F">
      <w:pPr>
        <w:autoSpaceDE w:val="0"/>
        <w:autoSpaceDN w:val="0"/>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 xml:space="preserve">Learners' motivation does not operate in isolation but interacts with other psychological factors, such as attitudes and anxiety, influencing language learning outcomes. The interplay between these elements is crucial for a comprehensive understanding of how motivation affects second language acquisition. The relationship between motivation and attitude is crucial in second language acquisition, as highlighted by Idris et al. (2021), who emphasised its importance across various learning contexts. Baaqeel (2020) found that both anxiety and motivation positively influence learner attitudes, suggesting an interconnection between these factors. Additionally, Rochmawati et al. (2021) identified attitude as a key predictor of educational motivation. </w:t>
      </w:r>
    </w:p>
    <w:p w14:paraId="2864BCCF">
      <w:pPr>
        <w:autoSpaceDE w:val="0"/>
        <w:autoSpaceDN w:val="0"/>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The mediating role of learning motivation has been extensively supported by prior studies. For instance, Hidayatullah and Csíkos (2024) demonstrated that beliefs indirectly influence learning achievement through motivation. Similarly, Pan (2020) identified that learning motivation mediates the relationship between attitudes toward technology-based self-directed learning. Vega Chica and Valle Lituma (2024) further confirmed that learning motivation mediates the link between knowledge acquisition and transfer among business and entrepreneurship students in higher education. Previous research has predominantly focused on the role of anxiety as a mediating variable in the relationship between academic achievement and motivation (Özer, 2020; Saadé et al., 2013; Süren &amp; Kandemir, 2020), with comparatively less emphasis on the mediating role of motivation. Furthermore, while these studies provide valuable insights, they have not thoroughly explored the relationship between learning motivation and other key variables, such as learning anxiety and learning attitude. This gap is particularly evident in the context of Chinese non-English major undergraduates, where research remains limited, highlighting the need for further investigation into these dynamics. Consequently, further exploration of the mediating role of learning attitude is essential. Based on this gap, the following research hypotheses are proposed:</w:t>
      </w:r>
    </w:p>
    <w:p w14:paraId="5F02A717">
      <w:pPr>
        <w:autoSpaceDE w:val="0"/>
        <w:autoSpaceDN w:val="0"/>
        <w:rPr>
          <w:rFonts w:ascii="Times New Roman" w:hAnsi="Times New Roman" w:eastAsia="黑体" w:cs="Times New Roman"/>
          <w:bCs/>
          <w:color w:val="000000" w:themeColor="text1"/>
          <w:kern w:val="0"/>
          <w:sz w:val="24"/>
          <w:lang w:bidi="en-US"/>
          <w14:textFill>
            <w14:solidFill>
              <w14:schemeClr w14:val="tx1"/>
            </w14:solidFill>
          </w14:textFill>
        </w:rPr>
      </w:pPr>
      <w:r>
        <w:rPr>
          <w:rFonts w:ascii="Times New Roman" w:hAnsi="Times New Roman" w:eastAsia="黑体" w:cs="Times New Roman"/>
          <w:bCs/>
          <w:color w:val="000000" w:themeColor="text1"/>
          <w:kern w:val="0"/>
          <w:sz w:val="24"/>
          <w:lang w:bidi="en-US"/>
          <w14:textFill>
            <w14:solidFill>
              <w14:schemeClr w14:val="tx1"/>
            </w14:solidFill>
          </w14:textFill>
        </w:rPr>
        <w:t>Hypothesis 3: Learning motivation mediates the relationship between learning anxiety and learning attitude.</w:t>
      </w:r>
    </w:p>
    <w:p w14:paraId="1B904D7E">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2.4 Affective Filter Hypothesis</w:t>
      </w:r>
    </w:p>
    <w:p w14:paraId="78693AEA">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Affective Filter Hypothesis posits that emotional factors such as anxiety, motivation, and self-confidence critically influence second language acquisition (Rahman et al., 2019). This theoretical framework conceptualises the "affective filter" as a psychological barrier that can either facilitate or impede the intake and processing of linguistic input (Sibomana, 2014). Specifically, when learners experience heightened anxiety, the affective filter becomes elevated, inhibiting the assimilation and internalisation of language, thus diminishing the efficiency of language acquisition </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Cisneros,</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2024). Conversely, when the affective filter is lowered through positive emotions and reduced anxiety, learners are more receptive to comprehensible input, significantly enhancing their language acquisition capabilities (</w:t>
      </w:r>
      <w:r>
        <w:rPr>
          <w:rFonts w:hint="eastAsia" w:ascii="Times New Roman" w:hAnsi="Times New Roman" w:cs="Times New Roman"/>
          <w:color w:val="000000" w:themeColor="text1"/>
          <w:sz w:val="24"/>
          <w14:textFill>
            <w14:solidFill>
              <w14:schemeClr w14:val="tx1"/>
            </w14:solidFill>
          </w14:textFill>
        </w:rPr>
        <w:t xml:space="preserve">Bao </w:t>
      </w:r>
      <w:r>
        <w:rPr>
          <w:rFonts w:ascii="Times New Roman" w:hAnsi="Times New Roman" w:cs="Times New Roman"/>
          <w:color w:val="000000" w:themeColor="text1"/>
          <w:sz w:val="24"/>
          <w14:textFill>
            <w14:solidFill>
              <w14:schemeClr w14:val="tx1"/>
            </w14:solidFill>
          </w14:textFill>
        </w:rPr>
        <w:t>&amp;</w:t>
      </w:r>
      <w:r>
        <w:rPr>
          <w:rFonts w:hint="eastAsia" w:ascii="Times New Roman" w:hAnsi="Times New Roman" w:cs="Times New Roman"/>
          <w:color w:val="000000" w:themeColor="text1"/>
          <w:sz w:val="24"/>
          <w14:textFill>
            <w14:solidFill>
              <w14:schemeClr w14:val="tx1"/>
            </w14:solidFill>
          </w14:textFill>
        </w:rPr>
        <w:t xml:space="preserve"> Liu</w:t>
      </w:r>
      <w:r>
        <w:rPr>
          <w:rFonts w:ascii="Times New Roman" w:hAnsi="Times New Roman" w:cs="Times New Roman"/>
          <w:color w:val="000000" w:themeColor="text1"/>
          <w:sz w:val="24"/>
          <w14:textFill>
            <w14:solidFill>
              <w14:schemeClr w14:val="tx1"/>
            </w14:solidFill>
          </w14:textFill>
        </w:rPr>
        <w:t>, 202</w:t>
      </w:r>
      <w:r>
        <w:rPr>
          <w:rFonts w:hint="eastAsia" w:ascii="Times New Roman" w:hAnsi="Times New Roman" w:cs="Times New Roman"/>
          <w:color w:val="000000" w:themeColor="text1"/>
          <w:sz w:val="24"/>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w:t>
      </w:r>
    </w:p>
    <w:p w14:paraId="54ACEF9A">
      <w:pPr>
        <w:spacing w:after="2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This hypothesis is particularly pertinent for examining the interplay between speaking anxiety and learning attitudes in non-English major undergraduate students. Elevated speaking anxiety is a critical emotional factor that increases the affective filter, potentially resulting in lower engagement and suboptimal language learning outcomes (Pabro-Maquidato, 2021). The present study explores the extent to which speaking anxiety influences learning attitudes and assesses whether motivation can serve as a mediating variable to mitigate this influence. By investigating how motivation may reduce the affective filter and foster more positive learning attitudes, this research seeks to inform strategies aimed at alleviating anxiety and optimising language learning environments. Such strategies may include creating supportive classroom climates and promoting collaborative activities, aligning with sociocultural perspectives to facilitate more effective language learning.</w:t>
      </w:r>
    </w:p>
    <w:p w14:paraId="43A21EF8">
      <w:pPr>
        <w:keepNext/>
        <w:keepLines/>
        <w:numPr>
          <w:ilvl w:val="0"/>
          <w:numId w:val="1"/>
        </w:numPr>
        <w:spacing w:after="240"/>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METHODS</w:t>
      </w:r>
    </w:p>
    <w:p w14:paraId="5CABF6FD">
      <w:pPr>
        <w:spacing w:after="2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Utilising the Affective Filter Hypothesis as a theoretical framework, this study focused on examining the influence of anxiety and motivation on the learning attitudes of non-English major undergraduates. The hypothesis posits that a reduced affective filter, marked by lower anxiety levels and increased motivation, facilitates the processing and internalisation of linguistic input (Cisneros,</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2024). To explore the influence of speaking anxiety on learning attitudes and assess whether motivation serves as a mediating factor, a quantitative research approach was adopted, employing a survey design. Structured questionnaires were used to collect objective and precise data on the emotional states of learners and their effects on language learning. The use of numerical data enables a detailed analysis of the interrelationships between speaking anxiety, motivation, and learning attitudes, providing valuable insights into the phenomena under investigation.</w:t>
      </w:r>
    </w:p>
    <w:p w14:paraId="360B1169">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3.1 Participants</w:t>
      </w:r>
    </w:p>
    <w:p w14:paraId="3886511D">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participants for this study have been drawn from a cohort of non-English major undergraduate students enrolled at a prestigious university in China. This cohort consists of freshmen and sophomores for whom English is not a mandatory component of their academic curriculum. Despite the non-compulsory nature of English instruction, these participants exhibit homogeneous educational backgrounds and share comparable experiences in English language acquisition. </w:t>
      </w:r>
    </w:p>
    <w:p w14:paraId="180C9932">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3.2 Instruments</w:t>
      </w:r>
    </w:p>
    <w:p w14:paraId="035FFFA6">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research instruments employed in this study comprise a survey questionnaire designed to assess various dimensions of speaking anxiety, learning motivation, and learning attitudes. The construction of the survey questionnaire drew upon established literature in the field. Specifically, items related to speaking anxiety were derived from studies conducted by Aydin (2008), Aydin (2013), and Horwitz et al. (1986). Learning attitude items were adapted from the research of Abidin et al. (2012), while learning motivation items were sourced from studies by Aydin et al. (2014), Schreglmann (2018), Lim (2012), and Selvarajah et al. (2010).</w:t>
      </w:r>
    </w:p>
    <w:p w14:paraId="0FCDCF92">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questionnaire designed to investigate the factors influencing learning attitudes among undergraduates majoring in non-English disciplines comprised 101 items. It included two categories of questions: multiple-choice items gathering demographic information and questions measuring the relevant variables on a 5-point Likert scale. The measurement of speaking anxiety utilised a classification framework adapted from Latif (2016), while learning motivation was assessed using a classification developed by Al-Khasawneh and Al-Omari (2015). The measurement of learning attitudes was based on the classification provided by Sofiani et al. (2017). </w:t>
      </w:r>
    </w:p>
    <w:p w14:paraId="265289C7">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3.3 Data Collection</w:t>
      </w:r>
    </w:p>
    <w:p w14:paraId="576BE719">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Before the official distribution of the questionnaire, a pilot test was conducted in this study. Sixty non-English major undergraduates were invited to complete the questionnaire to assess its reliability and validity, as well as to ensure the clarity and accuracy of the question formulations. The feedback and findings from the pilot test were utilised to revise and refine the questionnaire, enhancing its scientific rigour and practical applicability. The results of the pilot test are presented in Table 1:</w:t>
      </w:r>
    </w:p>
    <w:p w14:paraId="18572363">
      <w:pPr>
        <w:autoSpaceDE w:val="0"/>
        <w:autoSpaceDN w:val="0"/>
        <w:rPr>
          <w:rFonts w:ascii="Times New Roman" w:hAnsi="Times New Roman" w:eastAsia="黑体" w:cs="Times New Roman"/>
          <w:color w:val="000000" w:themeColor="text1"/>
          <w:kern w:val="0"/>
          <w:sz w:val="24"/>
          <w:lang w:bidi="en-US"/>
          <w14:textFill>
            <w14:solidFill>
              <w14:schemeClr w14:val="tx1"/>
            </w14:solidFill>
          </w14:textFill>
        </w:rPr>
      </w:pPr>
    </w:p>
    <w:p w14:paraId="4CD25B23">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Table 1:</w:t>
      </w:r>
      <w:r>
        <w:rPr>
          <w:rFonts w:hint="eastAsia" w:ascii="Times New Roman" w:hAnsi="Times New Roman" w:eastAsia="黑体" w:cs="Times New Roman"/>
          <w:b/>
          <w:bCs/>
          <w:color w:val="000000" w:themeColor="text1"/>
          <w:kern w:val="0"/>
          <w:sz w:val="24"/>
          <w:lang w:bidi="en-US"/>
          <w14:textFill>
            <w14:solidFill>
              <w14:schemeClr w14:val="tx1"/>
            </w14:solidFill>
          </w14:textFill>
        </w:rPr>
        <w:t xml:space="preserve"> </w:t>
      </w:r>
      <w:r>
        <w:rPr>
          <w:rFonts w:ascii="Times New Roman" w:hAnsi="Times New Roman" w:eastAsia="黑体" w:cs="Times New Roman"/>
          <w:b/>
          <w:bCs/>
          <w:color w:val="000000" w:themeColor="text1"/>
          <w:kern w:val="0"/>
          <w:sz w:val="24"/>
          <w:lang w:bidi="en-US"/>
          <w14:textFill>
            <w14:solidFill>
              <w14:schemeClr w14:val="tx1"/>
            </w14:solidFill>
          </w14:textFill>
        </w:rPr>
        <w:t>Cronbach's Alpha of variables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6"/>
        <w:gridCol w:w="1523"/>
        <w:gridCol w:w="1754"/>
        <w:gridCol w:w="1570"/>
        <w:gridCol w:w="2043"/>
      </w:tblGrid>
      <w:tr w14:paraId="1F5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0" w:type="auto"/>
            <w:tcBorders>
              <w:top w:val="single" w:color="auto" w:sz="4" w:space="0"/>
              <w:left w:val="nil"/>
              <w:bottom w:val="single" w:color="auto" w:sz="4" w:space="0"/>
              <w:right w:val="nil"/>
            </w:tcBorders>
            <w:vAlign w:val="center"/>
          </w:tcPr>
          <w:p w14:paraId="7E09E0CD">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p>
        </w:tc>
        <w:tc>
          <w:tcPr>
            <w:tcW w:w="0" w:type="auto"/>
            <w:tcBorders>
              <w:top w:val="single" w:color="auto" w:sz="4" w:space="0"/>
              <w:left w:val="nil"/>
              <w:bottom w:val="single" w:color="auto" w:sz="4" w:space="0"/>
              <w:right w:val="nil"/>
            </w:tcBorders>
            <w:vAlign w:val="center"/>
          </w:tcPr>
          <w:p w14:paraId="57DD762D">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Scale Mean if Item Deleted</w:t>
            </w:r>
          </w:p>
        </w:tc>
        <w:tc>
          <w:tcPr>
            <w:tcW w:w="0" w:type="auto"/>
            <w:tcBorders>
              <w:top w:val="single" w:color="auto" w:sz="4" w:space="0"/>
              <w:left w:val="nil"/>
              <w:bottom w:val="single" w:color="auto" w:sz="4" w:space="0"/>
              <w:right w:val="nil"/>
            </w:tcBorders>
            <w:vAlign w:val="center"/>
          </w:tcPr>
          <w:p w14:paraId="33971A97">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Scale Variance if Item Deleted</w:t>
            </w:r>
          </w:p>
        </w:tc>
        <w:tc>
          <w:tcPr>
            <w:tcW w:w="0" w:type="auto"/>
            <w:tcBorders>
              <w:top w:val="single" w:color="auto" w:sz="4" w:space="0"/>
              <w:left w:val="nil"/>
              <w:bottom w:val="single" w:color="auto" w:sz="4" w:space="0"/>
              <w:right w:val="nil"/>
            </w:tcBorders>
            <w:vAlign w:val="center"/>
          </w:tcPr>
          <w:p w14:paraId="786A6B2F">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Corrected item-Total</w:t>
            </w:r>
          </w:p>
          <w:p w14:paraId="54072288">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Correlation</w:t>
            </w:r>
          </w:p>
        </w:tc>
        <w:tc>
          <w:tcPr>
            <w:tcW w:w="0" w:type="auto"/>
            <w:tcBorders>
              <w:top w:val="single" w:color="auto" w:sz="4" w:space="0"/>
              <w:left w:val="nil"/>
              <w:bottom w:val="single" w:color="auto" w:sz="4" w:space="0"/>
              <w:right w:val="nil"/>
            </w:tcBorders>
            <w:vAlign w:val="center"/>
          </w:tcPr>
          <w:p w14:paraId="37928829">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bidi="en-US"/>
                <w14:textFill>
                  <w14:solidFill>
                    <w14:schemeClr w14:val="tx1"/>
                  </w14:solidFill>
                </w14:textFill>
              </w:rPr>
              <w:t>Cronbach's Alpha if Item Deleted</w:t>
            </w:r>
          </w:p>
        </w:tc>
      </w:tr>
      <w:tr w14:paraId="7E7A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0" w:type="auto"/>
            <w:tcBorders>
              <w:top w:val="single" w:color="auto" w:sz="4" w:space="0"/>
              <w:left w:val="nil"/>
              <w:bottom w:val="nil"/>
              <w:right w:val="nil"/>
            </w:tcBorders>
            <w:vAlign w:val="center"/>
          </w:tcPr>
          <w:p w14:paraId="5737A911">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ascii="Times New Roman" w:hAnsi="Times New Roman" w:eastAsia="黑体" w:cs="Times New Roman"/>
                <w:color w:val="000000" w:themeColor="text1"/>
                <w:kern w:val="0"/>
                <w:sz w:val="24"/>
                <w:lang w:bidi="en-US"/>
                <w14:textFill>
                  <w14:solidFill>
                    <w14:schemeClr w14:val="tx1"/>
                  </w14:solidFill>
                </w14:textFill>
              </w:rPr>
              <w:t>Speaking Anxiety</w:t>
            </w:r>
          </w:p>
        </w:tc>
        <w:tc>
          <w:tcPr>
            <w:tcW w:w="0" w:type="auto"/>
            <w:tcBorders>
              <w:top w:val="single" w:color="auto" w:sz="4" w:space="0"/>
              <w:left w:val="nil"/>
              <w:bottom w:val="nil"/>
              <w:right w:val="nil"/>
            </w:tcBorders>
            <w:vAlign w:val="center"/>
          </w:tcPr>
          <w:p w14:paraId="6FF1AFC8">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7.7370</w:t>
            </w:r>
          </w:p>
        </w:tc>
        <w:tc>
          <w:tcPr>
            <w:tcW w:w="0" w:type="auto"/>
            <w:tcBorders>
              <w:top w:val="single" w:color="auto" w:sz="4" w:space="0"/>
              <w:left w:val="nil"/>
              <w:bottom w:val="nil"/>
              <w:right w:val="nil"/>
            </w:tcBorders>
            <w:vAlign w:val="center"/>
          </w:tcPr>
          <w:p w14:paraId="0CAE819D">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1.034</w:t>
            </w:r>
          </w:p>
        </w:tc>
        <w:tc>
          <w:tcPr>
            <w:tcW w:w="0" w:type="auto"/>
            <w:tcBorders>
              <w:top w:val="single" w:color="auto" w:sz="4" w:space="0"/>
              <w:left w:val="nil"/>
              <w:bottom w:val="nil"/>
              <w:right w:val="nil"/>
            </w:tcBorders>
            <w:vAlign w:val="center"/>
          </w:tcPr>
          <w:p w14:paraId="5F06444E">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0.753</w:t>
            </w:r>
          </w:p>
        </w:tc>
        <w:tc>
          <w:tcPr>
            <w:tcW w:w="0" w:type="auto"/>
            <w:tcBorders>
              <w:top w:val="single" w:color="auto" w:sz="4" w:space="0"/>
              <w:left w:val="nil"/>
              <w:bottom w:val="nil"/>
              <w:right w:val="nil"/>
            </w:tcBorders>
            <w:vAlign w:val="center"/>
          </w:tcPr>
          <w:p w14:paraId="3EFDF5DB">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0.755</w:t>
            </w:r>
          </w:p>
        </w:tc>
      </w:tr>
      <w:tr w14:paraId="1D1E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0" w:type="auto"/>
            <w:tcBorders>
              <w:top w:val="nil"/>
              <w:left w:val="nil"/>
              <w:bottom w:val="nil"/>
              <w:right w:val="nil"/>
            </w:tcBorders>
            <w:vAlign w:val="center"/>
          </w:tcPr>
          <w:p w14:paraId="35CB3A04">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ascii="Times New Roman" w:hAnsi="Times New Roman" w:eastAsia="黑体" w:cs="Times New Roman"/>
                <w:color w:val="000000" w:themeColor="text1"/>
                <w:kern w:val="0"/>
                <w:sz w:val="24"/>
                <w:lang w:bidi="en-US"/>
                <w14:textFill>
                  <w14:solidFill>
                    <w14:schemeClr w14:val="tx1"/>
                  </w14:solidFill>
                </w14:textFill>
              </w:rPr>
              <w:t>Learning Attitude</w:t>
            </w:r>
          </w:p>
        </w:tc>
        <w:tc>
          <w:tcPr>
            <w:tcW w:w="0" w:type="auto"/>
            <w:tcBorders>
              <w:top w:val="nil"/>
              <w:left w:val="nil"/>
              <w:bottom w:val="nil"/>
              <w:right w:val="nil"/>
            </w:tcBorders>
            <w:vAlign w:val="center"/>
          </w:tcPr>
          <w:p w14:paraId="7576729F">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7.7107</w:t>
            </w:r>
          </w:p>
        </w:tc>
        <w:tc>
          <w:tcPr>
            <w:tcW w:w="0" w:type="auto"/>
            <w:tcBorders>
              <w:top w:val="nil"/>
              <w:left w:val="nil"/>
              <w:bottom w:val="nil"/>
              <w:right w:val="nil"/>
            </w:tcBorders>
            <w:vAlign w:val="center"/>
          </w:tcPr>
          <w:p w14:paraId="5EBF1601">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1.024</w:t>
            </w:r>
          </w:p>
        </w:tc>
        <w:tc>
          <w:tcPr>
            <w:tcW w:w="0" w:type="auto"/>
            <w:tcBorders>
              <w:top w:val="nil"/>
              <w:left w:val="nil"/>
              <w:bottom w:val="nil"/>
              <w:right w:val="nil"/>
            </w:tcBorders>
            <w:vAlign w:val="center"/>
          </w:tcPr>
          <w:p w14:paraId="7C476142">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0.746</w:t>
            </w:r>
          </w:p>
        </w:tc>
        <w:tc>
          <w:tcPr>
            <w:tcW w:w="0" w:type="auto"/>
            <w:tcBorders>
              <w:top w:val="nil"/>
              <w:left w:val="nil"/>
              <w:bottom w:val="nil"/>
              <w:right w:val="nil"/>
            </w:tcBorders>
            <w:vAlign w:val="center"/>
          </w:tcPr>
          <w:p w14:paraId="382C912C">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0.759</w:t>
            </w:r>
          </w:p>
        </w:tc>
      </w:tr>
      <w:tr w14:paraId="7C34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0" w:type="auto"/>
            <w:tcBorders>
              <w:top w:val="nil"/>
              <w:left w:val="nil"/>
              <w:bottom w:val="single" w:color="auto" w:sz="4" w:space="0"/>
              <w:right w:val="nil"/>
            </w:tcBorders>
            <w:vAlign w:val="center"/>
          </w:tcPr>
          <w:p w14:paraId="7847AEF9">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ascii="Times New Roman" w:hAnsi="Times New Roman" w:eastAsia="黑体" w:cs="Times New Roman"/>
                <w:color w:val="000000" w:themeColor="text1"/>
                <w:kern w:val="0"/>
                <w:sz w:val="24"/>
                <w:lang w:bidi="en-US"/>
                <w14:textFill>
                  <w14:solidFill>
                    <w14:schemeClr w14:val="tx1"/>
                  </w14:solidFill>
                </w14:textFill>
              </w:rPr>
              <w:t>Learning Motivation</w:t>
            </w:r>
          </w:p>
        </w:tc>
        <w:tc>
          <w:tcPr>
            <w:tcW w:w="0" w:type="auto"/>
            <w:tcBorders>
              <w:top w:val="nil"/>
              <w:left w:val="nil"/>
              <w:bottom w:val="single" w:color="auto" w:sz="4" w:space="0"/>
              <w:right w:val="nil"/>
            </w:tcBorders>
            <w:vAlign w:val="center"/>
          </w:tcPr>
          <w:p w14:paraId="6964E29C">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7.7352</w:t>
            </w:r>
          </w:p>
        </w:tc>
        <w:tc>
          <w:tcPr>
            <w:tcW w:w="0" w:type="auto"/>
            <w:tcBorders>
              <w:top w:val="nil"/>
              <w:left w:val="nil"/>
              <w:bottom w:val="single" w:color="auto" w:sz="4" w:space="0"/>
              <w:right w:val="nil"/>
            </w:tcBorders>
            <w:vAlign w:val="center"/>
          </w:tcPr>
          <w:p w14:paraId="4937CCAC">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0.936</w:t>
            </w:r>
          </w:p>
        </w:tc>
        <w:tc>
          <w:tcPr>
            <w:tcW w:w="0" w:type="auto"/>
            <w:tcBorders>
              <w:top w:val="nil"/>
              <w:left w:val="nil"/>
              <w:bottom w:val="single" w:color="auto" w:sz="4" w:space="0"/>
              <w:right w:val="nil"/>
            </w:tcBorders>
            <w:vAlign w:val="center"/>
          </w:tcPr>
          <w:p w14:paraId="211A879D">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0.661</w:t>
            </w:r>
          </w:p>
        </w:tc>
        <w:tc>
          <w:tcPr>
            <w:tcW w:w="0" w:type="auto"/>
            <w:tcBorders>
              <w:top w:val="nil"/>
              <w:left w:val="nil"/>
              <w:bottom w:val="single" w:color="auto" w:sz="4" w:space="0"/>
              <w:right w:val="nil"/>
            </w:tcBorders>
            <w:vAlign w:val="center"/>
          </w:tcPr>
          <w:p w14:paraId="637B283A">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0.851</w:t>
            </w:r>
          </w:p>
        </w:tc>
      </w:tr>
    </w:tbl>
    <w:p w14:paraId="6A1CFDFE">
      <w:pPr>
        <w:widowControl/>
        <w:ind w:firstLine="283"/>
        <w:rPr>
          <w:rFonts w:ascii="Times New Roman" w:hAnsi="Times New Roman" w:eastAsia="TimesNewRomanPS-BoldMT" w:cs="Times New Roman"/>
          <w:b/>
          <w:bCs/>
          <w:color w:val="000000" w:themeColor="text1"/>
          <w:kern w:val="0"/>
          <w:sz w:val="24"/>
          <w:lang w:bidi="ar"/>
          <w14:textFill>
            <w14:solidFill>
              <w14:schemeClr w14:val="tx1"/>
            </w14:solidFill>
          </w14:textFill>
        </w:rPr>
      </w:pPr>
    </w:p>
    <w:p w14:paraId="2252B1F7">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language use questionnaire demonstrated excellent overall reliability, with a Cronbach's Alpha value exceeding 0.</w:t>
      </w:r>
      <w:r>
        <w:rPr>
          <w:rFonts w:hint="eastAsia" w:ascii="Times New Roman" w:hAnsi="Times New Roman" w:cs="Times New Roman"/>
          <w:color w:val="000000" w:themeColor="text1"/>
          <w:sz w:val="24"/>
          <w14:textFill>
            <w14:solidFill>
              <w14:schemeClr w14:val="tx1"/>
            </w14:solidFill>
          </w14:textFill>
        </w:rPr>
        <w:t>7</w:t>
      </w:r>
      <w:r>
        <w:rPr>
          <w:rFonts w:ascii="Times New Roman" w:hAnsi="Times New Roman" w:cs="Times New Roman"/>
          <w:color w:val="000000" w:themeColor="text1"/>
          <w:sz w:val="24"/>
          <w14:textFill>
            <w14:solidFill>
              <w14:schemeClr w14:val="tx1"/>
            </w14:solidFill>
          </w14:textFill>
        </w:rPr>
        <w:t>, highlighting the high homogeneity across the scale. None of the items significantly impacted the overall reliability, reflecting strong alignment between each item and the overarching construct being assessed. These results confirm the robust reliability of the scales in evaluating the complex relationships among speaking anxiety, learning motivation, and learning attitudes among Chinese undergraduate students majoring in non-English fields.</w:t>
      </w:r>
    </w:p>
    <w:p w14:paraId="57D5AC31">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Data collection was approved by three universities, and participants provided informed consent by signing a voluntary participation form. They received detailed instructions on completing the questionnaire, which required approximately 45 minutes to finish. The final sample consisted of 198 undergraduate students, comprising 49.5% male (98 participants) and 51.5% female (100 participants).</w:t>
      </w:r>
    </w:p>
    <w:p w14:paraId="7A109563">
      <w:pPr>
        <w:keepNext/>
        <w:keepLines/>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3.4 Data Analysis</w:t>
      </w:r>
    </w:p>
    <w:p w14:paraId="6931D367">
      <w:pPr>
        <w:spacing w:after="2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Aligned with the research objectives, a quantitative data analysis approach was employed, utilising questionnaires administered to non-English major undergraduate students. Descriptive statistics, including mean and standard deviation, as well as Pearson correlation analysis, were conducted to examine the relationships among speaking anxiety, motivation, and learning attitude. Previous studies established three levels to categorise the mean scores for these variables: high, medium, and low. Specifically, a mean score ranging from 1.00 to 2.50 indicates </w:t>
      </w:r>
      <w:r>
        <w:rPr>
          <w:rFonts w:hint="eastAsia" w:ascii="Times New Roman" w:hAnsi="Times New Roman" w:cs="Times New Roman"/>
          <w:color w:val="000000" w:themeColor="text1"/>
          <w:sz w:val="24"/>
          <w14:textFill>
            <w14:solidFill>
              <w14:schemeClr w14:val="tx1"/>
            </w14:solidFill>
          </w14:textFill>
        </w:rPr>
        <w:t>low</w:t>
      </w:r>
      <w:r>
        <w:rPr>
          <w:rFonts w:ascii="Times New Roman" w:hAnsi="Times New Roman" w:cs="Times New Roman"/>
          <w:color w:val="000000" w:themeColor="text1"/>
          <w:sz w:val="24"/>
          <w14:textFill>
            <w14:solidFill>
              <w14:schemeClr w14:val="tx1"/>
            </w14:solidFill>
          </w14:textFill>
        </w:rPr>
        <w:t xml:space="preserve"> speaking anxiety, 2.51 to 3.50 represents moderate speaking anxiety, and 3.51 to 5.00 reflects </w:t>
      </w:r>
      <w:r>
        <w:rPr>
          <w:rFonts w:hint="eastAsia" w:ascii="Times New Roman" w:hAnsi="Times New Roman" w:cs="Times New Roman"/>
          <w:color w:val="000000" w:themeColor="text1"/>
          <w:sz w:val="24"/>
          <w14:textFill>
            <w14:solidFill>
              <w14:schemeClr w14:val="tx1"/>
            </w14:solidFill>
          </w14:textFill>
        </w:rPr>
        <w:t>high</w:t>
      </w:r>
      <w:r>
        <w:rPr>
          <w:rFonts w:ascii="Times New Roman" w:hAnsi="Times New Roman" w:cs="Times New Roman"/>
          <w:color w:val="000000" w:themeColor="text1"/>
          <w:sz w:val="24"/>
          <w14:textFill>
            <w14:solidFill>
              <w14:schemeClr w14:val="tx1"/>
            </w14:solidFill>
          </w14:textFill>
        </w:rPr>
        <w:t xml:space="preserve"> speaking anxiety (Latif, 2016). For motivation, a mean score between 1.00 and 2.49 denotes a low level, 2.50 to 3.49 indicates a moderate level, and 3.50 to 5.00 represents a high level (Al-Khasawneh &amp; Al-Omari, 2015). Similarly, a mean score from 1.00 to 2.49 signifies a low level of learning attitude, 2.50 to 3.49 indicates a medium level, and 3.50 to 5.00 reflects a high level (Sofiani et al., 2017).</w:t>
      </w:r>
    </w:p>
    <w:p w14:paraId="74B991FF">
      <w:pPr>
        <w:numPr>
          <w:ilvl w:val="0"/>
          <w:numId w:val="1"/>
        </w:numPr>
        <w:spacing w:after="240"/>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RESULTS</w:t>
      </w:r>
    </w:p>
    <w:p w14:paraId="4E1CA97F">
      <w:pPr>
        <w:spacing w:before="156" w:beforeLines="50" w:after="24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 xml:space="preserve">4.1 Speaking Anxiety Status of Non-English Major Undergraduate Students </w:t>
      </w:r>
    </w:p>
    <w:p w14:paraId="0239BB2C">
      <w:pPr>
        <w:spacing w:before="156" w:beforeLines="50" w:after="240"/>
        <w:rPr>
          <w:rFonts w:ascii="Times New Roman Bold" w:hAnsi="Times New Roman Bold" w:cs="Times New Roman Bold"/>
          <w:b/>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According to the data presented in Table 2, non-English major undergraduates exhibit moderate levels of anxiety across various dimensions in oral English learning, with mean scores ranging from 3.52 to 3.59. Notably, "test anxiety" registers the highest mean score at 3.59, while "negative evaluation anxiety" records the lowest at 3.52. The standard deviations, spanning from 0.96 to 1.02, indicate individual variability in anxiety levels, with "negative evaluation anxiety" displaying the greatest variance (1.02). These findings offer valuable insights into the characteristics of students' oral anxiety, thereby assisting educators and researchers in formulating targeted instructional strategies and interventions.</w:t>
      </w:r>
    </w:p>
    <w:p w14:paraId="1A2F4DE6">
      <w:pPr>
        <w:autoSpaceDE w:val="0"/>
        <w:autoSpaceDN w:val="0"/>
        <w:jc w:val="center"/>
        <w:rPr>
          <w:rFonts w:ascii="Times New Roman" w:hAnsi="Times New Roman" w:eastAsia="黑体" w:cs="Times New Roman"/>
          <w:b/>
          <w:bCs/>
          <w:i/>
          <w:iCs/>
          <w:color w:val="000000" w:themeColor="text1"/>
          <w:kern w:val="0"/>
          <w:sz w:val="24"/>
          <w:lang w:val="en-GB" w:bidi="en-US"/>
          <w14:textFill>
            <w14:solidFill>
              <w14:schemeClr w14:val="tx1"/>
            </w14:solidFill>
          </w14:textFill>
        </w:rPr>
      </w:pP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 xml:space="preserve">Table </w:t>
      </w:r>
      <w:bookmarkStart w:id="0" w:name="_Toc30743"/>
      <w:r>
        <w:rPr>
          <w:rFonts w:hint="eastAsia" w:ascii="Times New Roman" w:hAnsi="Times New Roman" w:eastAsia="黑体" w:cs="Times New Roman"/>
          <w:b/>
          <w:bCs/>
          <w:color w:val="000000" w:themeColor="text1"/>
          <w:kern w:val="0"/>
          <w:sz w:val="24"/>
          <w:lang w:bidi="en-US"/>
          <w14:textFill>
            <w14:solidFill>
              <w14:schemeClr w14:val="tx1"/>
            </w14:solidFill>
          </w14:textFill>
        </w:rPr>
        <w:t>2</w:t>
      </w:r>
      <w:r>
        <w:rPr>
          <w:rFonts w:ascii="Times New Roman" w:hAnsi="Times New Roman" w:eastAsia="黑体" w:cs="Times New Roman"/>
          <w:b/>
          <w:bCs/>
          <w:color w:val="000000" w:themeColor="text1"/>
          <w:kern w:val="0"/>
          <w:sz w:val="24"/>
          <w:lang w:bidi="en-US"/>
          <w14:textFill>
            <w14:solidFill>
              <w14:schemeClr w14:val="tx1"/>
            </w14:solidFill>
          </w14:textFill>
        </w:rPr>
        <w:t>:</w:t>
      </w:r>
      <w:r>
        <w:rPr>
          <w:rFonts w:hint="eastAsia" w:ascii="Times New Roman" w:hAnsi="Times New Roman" w:eastAsia="黑体" w:cs="Times New Roman"/>
          <w:b/>
          <w:bCs/>
          <w:color w:val="000000" w:themeColor="text1"/>
          <w:kern w:val="0"/>
          <w:sz w:val="24"/>
          <w:lang w:bidi="en-US"/>
          <w14:textFill>
            <w14:solidFill>
              <w14:schemeClr w14:val="tx1"/>
            </w14:solidFill>
          </w14:textFill>
        </w:rPr>
        <w:t xml:space="preserve"> </w:t>
      </w:r>
      <w:r>
        <w:rPr>
          <w:rFonts w:ascii="Times New Roman" w:hAnsi="Times New Roman" w:eastAsia="黑体" w:cs="Times New Roman"/>
          <w:b/>
          <w:bCs/>
          <w:color w:val="000000" w:themeColor="text1"/>
          <w:kern w:val="0"/>
          <w:sz w:val="24"/>
          <w:lang w:val="en-GB" w:bidi="en-US"/>
          <w14:textFill>
            <w14:solidFill>
              <w14:schemeClr w14:val="tx1"/>
            </w14:solidFill>
          </w14:textFill>
        </w:rPr>
        <w:t>Summary of Speaking Anxiety</w:t>
      </w:r>
      <w:bookmarkEnd w:id="0"/>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90"/>
        <w:gridCol w:w="990"/>
        <w:gridCol w:w="2424"/>
      </w:tblGrid>
      <w:tr w14:paraId="3E81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Borders>
              <w:top w:val="single" w:color="auto" w:sz="4" w:space="0"/>
              <w:bottom w:val="single" w:color="auto" w:sz="4" w:space="0"/>
            </w:tcBorders>
            <w:noWrap/>
          </w:tcPr>
          <w:p w14:paraId="0C79BD47">
            <w:pPr>
              <w:autoSpaceDE w:val="0"/>
              <w:autoSpaceDN w:val="0"/>
              <w:jc w:val="center"/>
              <w:rPr>
                <w:rFonts w:ascii="Times New Roman" w:hAnsi="Times New Roman" w:eastAsia="黑体" w:cs="Times New Roman"/>
                <w:b/>
                <w:bCs/>
                <w:color w:val="000000" w:themeColor="text1"/>
                <w:kern w:val="0"/>
                <w:sz w:val="24"/>
                <w:lang w:val="en-GB" w:eastAsia="en-US"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Speaking Anxiety</w:t>
            </w:r>
          </w:p>
        </w:tc>
        <w:tc>
          <w:tcPr>
            <w:tcW w:w="596" w:type="pct"/>
            <w:tcBorders>
              <w:top w:val="single" w:color="auto" w:sz="4" w:space="0"/>
              <w:bottom w:val="single" w:color="auto" w:sz="4" w:space="0"/>
            </w:tcBorders>
          </w:tcPr>
          <w:p w14:paraId="0D1E786A">
            <w:pPr>
              <w:autoSpaceDE w:val="0"/>
              <w:autoSpaceDN w:val="0"/>
              <w:jc w:val="center"/>
              <w:rPr>
                <w:rFonts w:ascii="Times New Roman" w:hAnsi="Times New Roman" w:eastAsia="黑体" w:cs="Times New Roman"/>
                <w:b/>
                <w:bCs/>
                <w:color w:val="000000" w:themeColor="text1"/>
                <w:kern w:val="0"/>
                <w:sz w:val="24"/>
                <w:lang w:val="en-GB" w:eastAsia="en-US"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Mean</w:t>
            </w:r>
          </w:p>
        </w:tc>
        <w:tc>
          <w:tcPr>
            <w:tcW w:w="1459" w:type="pct"/>
            <w:tcBorders>
              <w:top w:val="single" w:color="auto" w:sz="4" w:space="0"/>
              <w:bottom w:val="single" w:color="auto" w:sz="4" w:space="0"/>
            </w:tcBorders>
          </w:tcPr>
          <w:p w14:paraId="038DB0A1">
            <w:pPr>
              <w:autoSpaceDE w:val="0"/>
              <w:autoSpaceDN w:val="0"/>
              <w:jc w:val="center"/>
              <w:rPr>
                <w:rFonts w:ascii="Times New Roman" w:hAnsi="Times New Roman" w:eastAsia="黑体" w:cs="Times New Roman"/>
                <w:b/>
                <w:bCs/>
                <w:color w:val="000000" w:themeColor="text1"/>
                <w:kern w:val="0"/>
                <w:sz w:val="24"/>
                <w:lang w:val="en-GB" w:eastAsia="en-US"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Std. Deviation</w:t>
            </w:r>
          </w:p>
        </w:tc>
      </w:tr>
      <w:tr w14:paraId="675C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Borders>
              <w:top w:val="single" w:color="auto" w:sz="4" w:space="0"/>
            </w:tcBorders>
          </w:tcPr>
          <w:p w14:paraId="6989655D">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Interaction Anxiety</w:t>
            </w:r>
          </w:p>
        </w:tc>
        <w:tc>
          <w:tcPr>
            <w:tcW w:w="596" w:type="pct"/>
            <w:tcBorders>
              <w:top w:val="single" w:color="auto" w:sz="4" w:space="0"/>
            </w:tcBorders>
          </w:tcPr>
          <w:p w14:paraId="47984378">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3.55</w:t>
            </w:r>
          </w:p>
        </w:tc>
        <w:tc>
          <w:tcPr>
            <w:tcW w:w="1459" w:type="pct"/>
            <w:tcBorders>
              <w:top w:val="single" w:color="auto" w:sz="4" w:space="0"/>
            </w:tcBorders>
          </w:tcPr>
          <w:p w14:paraId="2FCBC8A5">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0.98</w:t>
            </w:r>
          </w:p>
        </w:tc>
      </w:tr>
      <w:tr w14:paraId="385A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Pr>
          <w:p w14:paraId="421D4BB4">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Audience Anxiety</w:t>
            </w:r>
          </w:p>
        </w:tc>
        <w:tc>
          <w:tcPr>
            <w:tcW w:w="596" w:type="pct"/>
          </w:tcPr>
          <w:p w14:paraId="54FA97BA">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3.56</w:t>
            </w:r>
          </w:p>
        </w:tc>
        <w:tc>
          <w:tcPr>
            <w:tcW w:w="1459" w:type="pct"/>
          </w:tcPr>
          <w:p w14:paraId="3AEEF665">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0.99</w:t>
            </w:r>
          </w:p>
        </w:tc>
      </w:tr>
      <w:tr w14:paraId="65B2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Pr>
          <w:p w14:paraId="5C688F56">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Confidence Anxiety</w:t>
            </w:r>
          </w:p>
        </w:tc>
        <w:tc>
          <w:tcPr>
            <w:tcW w:w="596" w:type="pct"/>
          </w:tcPr>
          <w:p w14:paraId="1C8C4D2E">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3.56</w:t>
            </w:r>
          </w:p>
        </w:tc>
        <w:tc>
          <w:tcPr>
            <w:tcW w:w="1459" w:type="pct"/>
          </w:tcPr>
          <w:p w14:paraId="64CCB8E9">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0.96</w:t>
            </w:r>
          </w:p>
        </w:tc>
      </w:tr>
      <w:tr w14:paraId="16AD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Pr>
          <w:p w14:paraId="09421B8D">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Language Proficiency Anxiety</w:t>
            </w:r>
          </w:p>
        </w:tc>
        <w:tc>
          <w:tcPr>
            <w:tcW w:w="596" w:type="pct"/>
          </w:tcPr>
          <w:p w14:paraId="6F03B07D">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3.58</w:t>
            </w:r>
          </w:p>
        </w:tc>
        <w:tc>
          <w:tcPr>
            <w:tcW w:w="1459" w:type="pct"/>
          </w:tcPr>
          <w:p w14:paraId="44DBFF5B">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0.98</w:t>
            </w:r>
          </w:p>
        </w:tc>
      </w:tr>
      <w:tr w14:paraId="2A46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Pr>
          <w:p w14:paraId="69B213C4">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Negative evaluation Anxiety</w:t>
            </w:r>
          </w:p>
        </w:tc>
        <w:tc>
          <w:tcPr>
            <w:tcW w:w="596" w:type="pct"/>
          </w:tcPr>
          <w:p w14:paraId="3F3C7A0E">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3.52</w:t>
            </w:r>
          </w:p>
        </w:tc>
        <w:tc>
          <w:tcPr>
            <w:tcW w:w="1459" w:type="pct"/>
          </w:tcPr>
          <w:p w14:paraId="3947DAEB">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1.02</w:t>
            </w:r>
          </w:p>
        </w:tc>
      </w:tr>
      <w:tr w14:paraId="02E8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2944" w:type="pct"/>
            <w:tcBorders>
              <w:bottom w:val="single" w:color="auto" w:sz="4" w:space="0"/>
            </w:tcBorders>
          </w:tcPr>
          <w:p w14:paraId="5B40FCC5">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Test Anxiety</w:t>
            </w:r>
          </w:p>
        </w:tc>
        <w:tc>
          <w:tcPr>
            <w:tcW w:w="596" w:type="pct"/>
            <w:tcBorders>
              <w:bottom w:val="single" w:color="auto" w:sz="4" w:space="0"/>
            </w:tcBorders>
          </w:tcPr>
          <w:p w14:paraId="33160757">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3.59</w:t>
            </w:r>
          </w:p>
        </w:tc>
        <w:tc>
          <w:tcPr>
            <w:tcW w:w="1459" w:type="pct"/>
            <w:tcBorders>
              <w:bottom w:val="single" w:color="auto" w:sz="4" w:space="0"/>
            </w:tcBorders>
          </w:tcPr>
          <w:p w14:paraId="21905784">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0.98</w:t>
            </w:r>
          </w:p>
        </w:tc>
      </w:tr>
    </w:tbl>
    <w:p w14:paraId="289739B0">
      <w:pPr>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 xml:space="preserve">4.2 Motivation Status of Non-English Major Undergraduate Students </w:t>
      </w:r>
    </w:p>
    <w:p w14:paraId="0C1414AD">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data in Table 3 indicate that non-English major undergraduates exhibit moderate levels of motivation across various dimensions in English language learning, with mean scores ranging from 3.55 to 3.57. Specifically, both "Extrinsic Motivation - Career" and "Extrinsic Motivation - Social" have the highest mean scores of 3.57, while "Amotivation" has the lowest mean score of 3.55. The standard deviations, which range from 0.95 to 1.00, suggest some individual differences in students' motivation levels across these dimensions. Notably, "Extrinsic Motivation - Social" has the smallest standard deviation (0.95), indicating a relatively consistent motivation level among students in this area. These findings provide valuable insights into the motivational characteristics of students, which can inform the development of targeted instructional strategies and interventions to enhance learning outcomes.</w:t>
      </w:r>
    </w:p>
    <w:p w14:paraId="59171C5C">
      <w:pPr>
        <w:rPr>
          <w:rFonts w:ascii="Times New Roman" w:hAnsi="Times New Roman" w:cs="Times New Roman"/>
          <w:color w:val="000000" w:themeColor="text1"/>
          <w:sz w:val="24"/>
          <w:lang w:val="en-GB" w:eastAsia="en-US"/>
          <w14:textFill>
            <w14:solidFill>
              <w14:schemeClr w14:val="tx1"/>
            </w14:solidFill>
          </w14:textFill>
        </w:rPr>
      </w:pPr>
    </w:p>
    <w:p w14:paraId="6CD01C01">
      <w:pPr>
        <w:autoSpaceDE w:val="0"/>
        <w:autoSpaceDN w:val="0"/>
        <w:jc w:val="center"/>
        <w:rPr>
          <w:rFonts w:ascii="Times New Roman" w:hAnsi="Times New Roman" w:eastAsia="黑体" w:cs="Times New Roman"/>
          <w:b/>
          <w:bCs/>
          <w:color w:val="000000" w:themeColor="text1"/>
          <w:kern w:val="0"/>
          <w:sz w:val="24"/>
          <w:lang w:eastAsia="en-US" w:bidi="en-US"/>
          <w14:textFill>
            <w14:solidFill>
              <w14:schemeClr w14:val="tx1"/>
            </w14:solidFill>
          </w14:textFill>
        </w:rPr>
      </w:pP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 xml:space="preserve">Table </w:t>
      </w:r>
      <w:bookmarkStart w:id="1" w:name="_Toc11492"/>
      <w:r>
        <w:rPr>
          <w:rFonts w:hint="eastAsia" w:ascii="Times New Roman" w:hAnsi="Times New Roman" w:eastAsia="黑体" w:cs="Times New Roman"/>
          <w:b/>
          <w:bCs/>
          <w:color w:val="000000" w:themeColor="text1"/>
          <w:kern w:val="0"/>
          <w:sz w:val="24"/>
          <w:lang w:bidi="en-US"/>
          <w14:textFill>
            <w14:solidFill>
              <w14:schemeClr w14:val="tx1"/>
            </w14:solidFill>
          </w14:textFill>
        </w:rPr>
        <w:t>3</w:t>
      </w:r>
      <w:r>
        <w:rPr>
          <w:rFonts w:ascii="Times New Roman" w:hAnsi="Times New Roman" w:eastAsia="黑体" w:cs="Times New Roman"/>
          <w:b/>
          <w:bCs/>
          <w:color w:val="000000" w:themeColor="text1"/>
          <w:kern w:val="0"/>
          <w:sz w:val="24"/>
          <w:lang w:bidi="en-US"/>
          <w14:textFill>
            <w14:solidFill>
              <w14:schemeClr w14:val="tx1"/>
            </w14:solidFill>
          </w14:textFill>
        </w:rPr>
        <w:t xml:space="preserve">: </w:t>
      </w: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 xml:space="preserve">Summary of </w:t>
      </w:r>
      <w:r>
        <w:rPr>
          <w:rFonts w:hint="eastAsia" w:ascii="Times New Roman" w:hAnsi="Times New Roman" w:eastAsia="黑体" w:cs="Times New Roman"/>
          <w:b/>
          <w:bCs/>
          <w:color w:val="000000" w:themeColor="text1"/>
          <w:kern w:val="0"/>
          <w:sz w:val="24"/>
          <w:lang w:bidi="en-US"/>
          <w14:textFill>
            <w14:solidFill>
              <w14:schemeClr w14:val="tx1"/>
            </w14:solidFill>
          </w14:textFill>
        </w:rPr>
        <w:t>U</w:t>
      </w: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 xml:space="preserve">ndergraduates’ </w:t>
      </w:r>
      <w:r>
        <w:rPr>
          <w:rFonts w:hint="eastAsia" w:ascii="Times New Roman" w:hAnsi="Times New Roman" w:eastAsia="黑体" w:cs="Times New Roman"/>
          <w:b/>
          <w:bCs/>
          <w:color w:val="000000" w:themeColor="text1"/>
          <w:kern w:val="0"/>
          <w:sz w:val="24"/>
          <w:lang w:bidi="en-US"/>
          <w14:textFill>
            <w14:solidFill>
              <w14:schemeClr w14:val="tx1"/>
            </w14:solidFill>
          </w14:textFill>
        </w:rPr>
        <w:t>M</w:t>
      </w: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otivation</w:t>
      </w:r>
      <w:bookmarkEnd w:id="1"/>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965"/>
        <w:gridCol w:w="2419"/>
      </w:tblGrid>
      <w:tr w14:paraId="185D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61" w:type="pct"/>
            <w:tcBorders>
              <w:top w:val="single" w:color="auto" w:sz="4" w:space="0"/>
              <w:bottom w:val="single" w:color="auto" w:sz="4" w:space="0"/>
            </w:tcBorders>
          </w:tcPr>
          <w:p w14:paraId="1B52F67A">
            <w:pPr>
              <w:autoSpaceDE w:val="0"/>
              <w:autoSpaceDN w:val="0"/>
              <w:jc w:val="center"/>
              <w:rPr>
                <w:rFonts w:ascii="Times New Roman" w:hAnsi="Times New Roman" w:eastAsia="黑体" w:cs="Times New Roman"/>
                <w:b/>
                <w:bCs/>
                <w:color w:val="000000" w:themeColor="text1"/>
                <w:kern w:val="0"/>
                <w:sz w:val="24"/>
                <w:lang w:val="en-GB"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Learning motivation</w:t>
            </w:r>
          </w:p>
        </w:tc>
        <w:tc>
          <w:tcPr>
            <w:tcW w:w="581" w:type="pct"/>
            <w:tcBorders>
              <w:top w:val="single" w:color="auto" w:sz="4" w:space="0"/>
              <w:bottom w:val="single" w:color="auto" w:sz="4" w:space="0"/>
            </w:tcBorders>
          </w:tcPr>
          <w:p w14:paraId="192E8C24">
            <w:pPr>
              <w:autoSpaceDE w:val="0"/>
              <w:autoSpaceDN w:val="0"/>
              <w:jc w:val="center"/>
              <w:rPr>
                <w:rFonts w:ascii="Times New Roman" w:hAnsi="Times New Roman" w:eastAsia="黑体" w:cs="Times New Roman"/>
                <w:b/>
                <w:bCs/>
                <w:color w:val="000000" w:themeColor="text1"/>
                <w:kern w:val="0"/>
                <w:sz w:val="24"/>
                <w:lang w:val="en-GB"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Mean</w:t>
            </w:r>
          </w:p>
        </w:tc>
        <w:tc>
          <w:tcPr>
            <w:tcW w:w="1456" w:type="pct"/>
            <w:tcBorders>
              <w:top w:val="single" w:color="auto" w:sz="4" w:space="0"/>
              <w:bottom w:val="single" w:color="auto" w:sz="4" w:space="0"/>
            </w:tcBorders>
          </w:tcPr>
          <w:p w14:paraId="2905A20F">
            <w:pPr>
              <w:autoSpaceDE w:val="0"/>
              <w:autoSpaceDN w:val="0"/>
              <w:jc w:val="center"/>
              <w:rPr>
                <w:rFonts w:ascii="Times New Roman" w:hAnsi="Times New Roman" w:eastAsia="黑体" w:cs="Times New Roman"/>
                <w:b/>
                <w:bCs/>
                <w:color w:val="000000" w:themeColor="text1"/>
                <w:kern w:val="0"/>
                <w:sz w:val="24"/>
                <w:lang w:val="en-GB" w:bidi="en-US"/>
                <w14:textFill>
                  <w14:solidFill>
                    <w14:schemeClr w14:val="tx1"/>
                  </w14:solidFill>
                </w14:textFill>
              </w:rPr>
            </w:pPr>
            <w:r>
              <w:rPr>
                <w:rFonts w:ascii="Times New Roman" w:hAnsi="Times New Roman" w:eastAsia="黑体" w:cs="Times New Roman"/>
                <w:b/>
                <w:bCs/>
                <w:color w:val="000000" w:themeColor="text1"/>
                <w:kern w:val="0"/>
                <w:sz w:val="24"/>
                <w:lang w:val="en-GB" w:bidi="en-US"/>
                <w14:textFill>
                  <w14:solidFill>
                    <w14:schemeClr w14:val="tx1"/>
                  </w14:solidFill>
                </w14:textFill>
              </w:rPr>
              <w:t>Std. Deviation</w:t>
            </w:r>
          </w:p>
        </w:tc>
      </w:tr>
      <w:tr w14:paraId="5213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61" w:type="pct"/>
            <w:tcBorders>
              <w:top w:val="single" w:color="auto" w:sz="4" w:space="0"/>
            </w:tcBorders>
          </w:tcPr>
          <w:p w14:paraId="59F71BE9">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Intrinsic</w:t>
            </w:r>
            <w:r>
              <w:rPr>
                <w:rFonts w:ascii="Times New Roman" w:hAnsi="Times New Roman" w:eastAsia="黑体" w:cs="Times New Roman"/>
                <w:color w:val="000000" w:themeColor="text1"/>
                <w:kern w:val="0"/>
                <w:sz w:val="24"/>
                <w:lang w:bidi="en-US"/>
                <w14:textFill>
                  <w14:solidFill>
                    <w14:schemeClr w14:val="tx1"/>
                  </w14:solidFill>
                </w14:textFill>
              </w:rPr>
              <w:t xml:space="preserve"> </w:t>
            </w:r>
            <w:r>
              <w:rPr>
                <w:rFonts w:ascii="Times New Roman" w:hAnsi="Times New Roman" w:eastAsia="黑体" w:cs="Times New Roman"/>
                <w:color w:val="000000" w:themeColor="text1"/>
                <w:kern w:val="0"/>
                <w:sz w:val="24"/>
                <w:lang w:val="en-GB" w:bidi="en-US"/>
                <w14:textFill>
                  <w14:solidFill>
                    <w14:schemeClr w14:val="tx1"/>
                  </w14:solidFill>
                </w14:textFill>
              </w:rPr>
              <w:t>Motivation</w:t>
            </w:r>
          </w:p>
        </w:tc>
        <w:tc>
          <w:tcPr>
            <w:tcW w:w="581" w:type="pct"/>
            <w:tcBorders>
              <w:top w:val="single" w:color="auto" w:sz="4" w:space="0"/>
            </w:tcBorders>
          </w:tcPr>
          <w:p w14:paraId="7FC81299">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3.56</w:t>
            </w:r>
          </w:p>
        </w:tc>
        <w:tc>
          <w:tcPr>
            <w:tcW w:w="1456" w:type="pct"/>
            <w:tcBorders>
              <w:top w:val="single" w:color="auto" w:sz="4" w:space="0"/>
            </w:tcBorders>
          </w:tcPr>
          <w:p w14:paraId="1AE8289F">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1.00</w:t>
            </w:r>
          </w:p>
        </w:tc>
      </w:tr>
      <w:tr w14:paraId="335B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61" w:type="pct"/>
          </w:tcPr>
          <w:p w14:paraId="319ACDFB">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Amotivation</w:t>
            </w:r>
          </w:p>
        </w:tc>
        <w:tc>
          <w:tcPr>
            <w:tcW w:w="581" w:type="pct"/>
          </w:tcPr>
          <w:p w14:paraId="45B263E9">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3.55</w:t>
            </w:r>
          </w:p>
        </w:tc>
        <w:tc>
          <w:tcPr>
            <w:tcW w:w="1456" w:type="pct"/>
          </w:tcPr>
          <w:p w14:paraId="49C475A5">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0.99</w:t>
            </w:r>
          </w:p>
        </w:tc>
      </w:tr>
      <w:tr w14:paraId="54A7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61" w:type="pct"/>
          </w:tcPr>
          <w:p w14:paraId="3040D03A">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Extrinsic Motivation - Career</w:t>
            </w:r>
          </w:p>
        </w:tc>
        <w:tc>
          <w:tcPr>
            <w:tcW w:w="581" w:type="pct"/>
          </w:tcPr>
          <w:p w14:paraId="25AD9D35">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3.57</w:t>
            </w:r>
          </w:p>
        </w:tc>
        <w:tc>
          <w:tcPr>
            <w:tcW w:w="1456" w:type="pct"/>
          </w:tcPr>
          <w:p w14:paraId="0915C784">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0.98</w:t>
            </w:r>
          </w:p>
        </w:tc>
      </w:tr>
      <w:tr w14:paraId="7F87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61" w:type="pct"/>
            <w:tcBorders>
              <w:bottom w:val="single" w:color="auto" w:sz="4" w:space="0"/>
            </w:tcBorders>
          </w:tcPr>
          <w:p w14:paraId="4C57E171">
            <w:pPr>
              <w:autoSpaceDE w:val="0"/>
              <w:autoSpaceDN w:val="0"/>
              <w:jc w:val="center"/>
              <w:rPr>
                <w:rFonts w:ascii="Times New Roman" w:hAnsi="Times New Roman" w:eastAsia="黑体" w:cs="Times New Roman"/>
                <w:color w:val="000000" w:themeColor="text1"/>
                <w:kern w:val="0"/>
                <w:sz w:val="24"/>
                <w:lang w:val="en-GB"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Extrinsic Motivation - Social</w:t>
            </w:r>
          </w:p>
        </w:tc>
        <w:tc>
          <w:tcPr>
            <w:tcW w:w="581" w:type="pct"/>
            <w:tcBorders>
              <w:bottom w:val="single" w:color="auto" w:sz="4" w:space="0"/>
            </w:tcBorders>
          </w:tcPr>
          <w:p w14:paraId="173B5C8D">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3.57</w:t>
            </w:r>
          </w:p>
        </w:tc>
        <w:tc>
          <w:tcPr>
            <w:tcW w:w="1456" w:type="pct"/>
            <w:tcBorders>
              <w:bottom w:val="single" w:color="auto" w:sz="4" w:space="0"/>
            </w:tcBorders>
          </w:tcPr>
          <w:p w14:paraId="34A0E07F">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0.95</w:t>
            </w:r>
          </w:p>
        </w:tc>
      </w:tr>
    </w:tbl>
    <w:p w14:paraId="34163914">
      <w:pPr>
        <w:ind w:firstLine="283"/>
        <w:rPr>
          <w:rFonts w:ascii="Times New Roman" w:hAnsi="Times New Roman" w:cs="Times New Roman"/>
          <w:b/>
          <w:bCs/>
          <w:color w:val="000000" w:themeColor="text1"/>
          <w:sz w:val="24"/>
          <w14:textFill>
            <w14:solidFill>
              <w14:schemeClr w14:val="tx1"/>
            </w14:solidFill>
          </w14:textFill>
        </w:rPr>
      </w:pPr>
    </w:p>
    <w:p w14:paraId="1E7F3F5B">
      <w:pPr>
        <w:keepNext/>
        <w:keepLines/>
        <w:spacing w:before="156" w:beforeLines="50" w:after="156" w:afterLines="5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 xml:space="preserve">4.3 Learning Attitude Status of Non-English Major Undergraduate Students </w:t>
      </w:r>
    </w:p>
    <w:p w14:paraId="2E2DB4FC">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Table 4 presents the mean scores and standard deviations for undergraduates' attitudes toward English learning across three dimensions: cognitive, behavioural, and affective (emotional). The affective dimension has the highest mean score (M = 3.61, SD = 0.96), indicating that students experience a relatively higher level of emotional engagement in their English learning. Both the cognitive and behavioural dimensions have identical mean scores (M = 3.58), with standard deviations of 0.91 and 0.94, respectively, suggesting moderate levels of agreement and slight variability among students in these areas. These findings suggest that while students exhibit comparable cognitive and behavioural attitudes toward English learning, their emotional engagement is slightly more pronounced. Understanding these nuances can assist educators in tailoring instructional strategies to foster a more holistic and emotionally supportive learning environment.</w:t>
      </w:r>
    </w:p>
    <w:p w14:paraId="031B4C9E">
      <w:pPr>
        <w:ind w:firstLine="283"/>
        <w:rPr>
          <w:rFonts w:ascii="Times New Roman" w:hAnsi="Times New Roman" w:cs="Times New Roman"/>
          <w:b/>
          <w:bCs/>
          <w:color w:val="000000" w:themeColor="text1"/>
          <w:sz w:val="20"/>
          <w:szCs w:val="20"/>
          <w14:textFill>
            <w14:solidFill>
              <w14:schemeClr w14:val="tx1"/>
            </w14:solidFill>
          </w14:textFill>
        </w:rPr>
      </w:pPr>
    </w:p>
    <w:p w14:paraId="6A4C4C18">
      <w:pPr>
        <w:autoSpaceDE w:val="0"/>
        <w:autoSpaceDN w:val="0"/>
        <w:jc w:val="center"/>
        <w:rPr>
          <w:rFonts w:ascii="Times New Roman" w:hAnsi="Times New Roman" w:eastAsia="黑体" w:cs="Times New Roman"/>
          <w:b/>
          <w:bCs/>
          <w:color w:val="000000" w:themeColor="text1"/>
          <w:kern w:val="0"/>
          <w:sz w:val="24"/>
          <w:lang w:bidi="en-US"/>
          <w14:textFill>
            <w14:solidFill>
              <w14:schemeClr w14:val="tx1"/>
            </w14:solidFill>
          </w14:textFill>
        </w:rPr>
      </w:pPr>
      <w:r>
        <w:rPr>
          <w:rFonts w:ascii="Times New Roman" w:hAnsi="Times New Roman" w:eastAsia="黑体" w:cs="Times New Roman"/>
          <w:b/>
          <w:bCs/>
          <w:color w:val="000000" w:themeColor="text1"/>
          <w:kern w:val="0"/>
          <w:sz w:val="24"/>
          <w:lang w:val="en-GB" w:eastAsia="en-US" w:bidi="en-US"/>
          <w14:textFill>
            <w14:solidFill>
              <w14:schemeClr w14:val="tx1"/>
            </w14:solidFill>
          </w14:textFill>
        </w:rPr>
        <w:t xml:space="preserve">Table </w:t>
      </w:r>
      <w:bookmarkStart w:id="2" w:name="_Toc18735"/>
      <w:r>
        <w:rPr>
          <w:rFonts w:hint="eastAsia" w:ascii="Times New Roman" w:hAnsi="Times New Roman" w:eastAsia="黑体" w:cs="Times New Roman"/>
          <w:b/>
          <w:bCs/>
          <w:color w:val="000000" w:themeColor="text1"/>
          <w:kern w:val="0"/>
          <w:sz w:val="24"/>
          <w:lang w:bidi="en-US"/>
          <w14:textFill>
            <w14:solidFill>
              <w14:schemeClr w14:val="tx1"/>
            </w14:solidFill>
          </w14:textFill>
        </w:rPr>
        <w:t>4</w:t>
      </w:r>
      <w:r>
        <w:rPr>
          <w:rFonts w:ascii="Times New Roman" w:hAnsi="Times New Roman" w:eastAsia="黑体" w:cs="Times New Roman"/>
          <w:b/>
          <w:bCs/>
          <w:color w:val="000000" w:themeColor="text1"/>
          <w:kern w:val="0"/>
          <w:sz w:val="24"/>
          <w:lang w:bidi="en-US"/>
          <w14:textFill>
            <w14:solidFill>
              <w14:schemeClr w14:val="tx1"/>
            </w14:solidFill>
          </w14:textFill>
        </w:rPr>
        <w:t>:</w:t>
      </w:r>
      <w:r>
        <w:rPr>
          <w:rFonts w:hint="eastAsia" w:ascii="Times New Roman" w:hAnsi="Times New Roman" w:eastAsia="黑体" w:cs="Times New Roman"/>
          <w:b/>
          <w:bCs/>
          <w:color w:val="000000" w:themeColor="text1"/>
          <w:kern w:val="0"/>
          <w:sz w:val="24"/>
          <w:lang w:bidi="en-US"/>
          <w14:textFill>
            <w14:solidFill>
              <w14:schemeClr w14:val="tx1"/>
            </w14:solidFill>
          </w14:textFill>
        </w:rPr>
        <w:t xml:space="preserve"> </w:t>
      </w:r>
      <w:r>
        <w:rPr>
          <w:rFonts w:ascii="Times New Roman" w:hAnsi="Times New Roman" w:eastAsia="黑体" w:cs="Times New Roman"/>
          <w:b/>
          <w:bCs/>
          <w:color w:val="000000" w:themeColor="text1"/>
          <w:kern w:val="0"/>
          <w:sz w:val="24"/>
          <w:lang w:val="en-GB" w:bidi="en-US"/>
          <w14:textFill>
            <w14:solidFill>
              <w14:schemeClr w14:val="tx1"/>
            </w14:solidFill>
          </w14:textFill>
        </w:rPr>
        <w:t xml:space="preserve">Summary of </w:t>
      </w:r>
      <w:r>
        <w:rPr>
          <w:rFonts w:hint="eastAsia" w:ascii="Times New Roman" w:hAnsi="Times New Roman" w:eastAsia="黑体" w:cs="Times New Roman"/>
          <w:b/>
          <w:bCs/>
          <w:color w:val="000000" w:themeColor="text1"/>
          <w:kern w:val="0"/>
          <w:sz w:val="24"/>
          <w:lang w:bidi="en-US"/>
          <w14:textFill>
            <w14:solidFill>
              <w14:schemeClr w14:val="tx1"/>
            </w14:solidFill>
          </w14:textFill>
        </w:rPr>
        <w:t>A</w:t>
      </w:r>
      <w:r>
        <w:rPr>
          <w:rFonts w:ascii="Times New Roman" w:hAnsi="Times New Roman" w:eastAsia="黑体" w:cs="Times New Roman"/>
          <w:b/>
          <w:bCs/>
          <w:color w:val="000000" w:themeColor="text1"/>
          <w:kern w:val="0"/>
          <w:sz w:val="24"/>
          <w:lang w:val="en-GB" w:bidi="en-US"/>
          <w14:textFill>
            <w14:solidFill>
              <w14:schemeClr w14:val="tx1"/>
            </w14:solidFill>
          </w14:textFill>
        </w:rPr>
        <w:t xml:space="preserve">ttitude towards English </w:t>
      </w:r>
      <w:r>
        <w:rPr>
          <w:rFonts w:hint="eastAsia" w:ascii="Times New Roman" w:hAnsi="Times New Roman" w:eastAsia="黑体" w:cs="Times New Roman"/>
          <w:b/>
          <w:bCs/>
          <w:color w:val="000000" w:themeColor="text1"/>
          <w:kern w:val="0"/>
          <w:sz w:val="24"/>
          <w:lang w:bidi="en-US"/>
          <w14:textFill>
            <w14:solidFill>
              <w14:schemeClr w14:val="tx1"/>
            </w14:solidFill>
          </w14:textFill>
        </w:rPr>
        <w:t>L</w:t>
      </w:r>
      <w:r>
        <w:rPr>
          <w:rFonts w:ascii="Times New Roman" w:hAnsi="Times New Roman" w:eastAsia="黑体" w:cs="Times New Roman"/>
          <w:b/>
          <w:bCs/>
          <w:color w:val="000000" w:themeColor="text1"/>
          <w:kern w:val="0"/>
          <w:sz w:val="24"/>
          <w:lang w:val="en-GB" w:bidi="en-US"/>
          <w14:textFill>
            <w14:solidFill>
              <w14:schemeClr w14:val="tx1"/>
            </w14:solidFill>
          </w14:textFill>
        </w:rPr>
        <w:t>earning</w:t>
      </w:r>
      <w:bookmarkEnd w:id="2"/>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977"/>
        <w:gridCol w:w="1600"/>
        <w:gridCol w:w="2726"/>
      </w:tblGrid>
      <w:tr w14:paraId="671B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395" w:type="pct"/>
            <w:tcBorders>
              <w:top w:val="single" w:color="auto" w:sz="4" w:space="0"/>
              <w:bottom w:val="single" w:color="auto" w:sz="4" w:space="0"/>
            </w:tcBorders>
          </w:tcPr>
          <w:p w14:paraId="420E398A">
            <w:pPr>
              <w:autoSpaceDE w:val="0"/>
              <w:autoSpaceDN w:val="0"/>
              <w:jc w:val="center"/>
              <w:rPr>
                <w:rFonts w:ascii="Times New Roman" w:hAnsi="Times New Roman" w:eastAsia="黑体" w:cs="Times New Roman"/>
                <w:b/>
                <w:bCs/>
                <w:color w:val="000000" w:themeColor="text1"/>
                <w:kern w:val="0"/>
                <w:sz w:val="24"/>
                <w:lang w:eastAsia="en-US" w:bidi="en-US"/>
                <w14:textFill>
                  <w14:solidFill>
                    <w14:schemeClr w14:val="tx1"/>
                  </w14:solidFill>
                </w14:textFill>
              </w:rPr>
            </w:pPr>
            <w:r>
              <w:rPr>
                <w:rFonts w:ascii="Times New Roman" w:hAnsi="Times New Roman" w:eastAsia="黑体" w:cs="Times New Roman"/>
                <w:b/>
                <w:bCs/>
                <w:color w:val="000000" w:themeColor="text1"/>
                <w:kern w:val="0"/>
                <w:sz w:val="24"/>
                <w:lang w:eastAsia="en-US" w:bidi="en-US"/>
                <w14:textFill>
                  <w14:solidFill>
                    <w14:schemeClr w14:val="tx1"/>
                  </w14:solidFill>
                </w14:textFill>
              </w:rPr>
              <w:t>Learning Attitude</w:t>
            </w:r>
          </w:p>
        </w:tc>
        <w:tc>
          <w:tcPr>
            <w:tcW w:w="963" w:type="pct"/>
            <w:tcBorders>
              <w:top w:val="single" w:color="auto" w:sz="4" w:space="0"/>
              <w:bottom w:val="single" w:color="auto" w:sz="4" w:space="0"/>
            </w:tcBorders>
          </w:tcPr>
          <w:p w14:paraId="352D50BB">
            <w:pPr>
              <w:autoSpaceDE w:val="0"/>
              <w:autoSpaceDN w:val="0"/>
              <w:jc w:val="center"/>
              <w:rPr>
                <w:rFonts w:ascii="Times New Roman" w:hAnsi="Times New Roman" w:eastAsia="黑体" w:cs="Times New Roman"/>
                <w:b/>
                <w:bCs/>
                <w:color w:val="000000" w:themeColor="text1"/>
                <w:kern w:val="0"/>
                <w:sz w:val="24"/>
                <w:lang w:eastAsia="en-US" w:bidi="en-US"/>
                <w14:textFill>
                  <w14:solidFill>
                    <w14:schemeClr w14:val="tx1"/>
                  </w14:solidFill>
                </w14:textFill>
              </w:rPr>
            </w:pPr>
            <w:r>
              <w:rPr>
                <w:rFonts w:ascii="Times New Roman" w:hAnsi="Times New Roman" w:eastAsia="黑体" w:cs="Times New Roman"/>
                <w:b/>
                <w:bCs/>
                <w:color w:val="000000" w:themeColor="text1"/>
                <w:kern w:val="0"/>
                <w:sz w:val="24"/>
                <w:lang w:eastAsia="en-US" w:bidi="en-US"/>
                <w14:textFill>
                  <w14:solidFill>
                    <w14:schemeClr w14:val="tx1"/>
                  </w14:solidFill>
                </w14:textFill>
              </w:rPr>
              <w:t>Mean</w:t>
            </w:r>
          </w:p>
        </w:tc>
        <w:tc>
          <w:tcPr>
            <w:tcW w:w="1641" w:type="pct"/>
            <w:tcBorders>
              <w:top w:val="single" w:color="auto" w:sz="4" w:space="0"/>
              <w:bottom w:val="single" w:color="auto" w:sz="4" w:space="0"/>
            </w:tcBorders>
          </w:tcPr>
          <w:p w14:paraId="13A597B8">
            <w:pPr>
              <w:autoSpaceDE w:val="0"/>
              <w:autoSpaceDN w:val="0"/>
              <w:jc w:val="center"/>
              <w:rPr>
                <w:rFonts w:ascii="Times New Roman" w:hAnsi="Times New Roman" w:eastAsia="黑体" w:cs="Times New Roman"/>
                <w:b/>
                <w:bCs/>
                <w:color w:val="000000" w:themeColor="text1"/>
                <w:kern w:val="0"/>
                <w:sz w:val="24"/>
                <w:lang w:eastAsia="en-US" w:bidi="en-US"/>
                <w14:textFill>
                  <w14:solidFill>
                    <w14:schemeClr w14:val="tx1"/>
                  </w14:solidFill>
                </w14:textFill>
              </w:rPr>
            </w:pPr>
            <w:r>
              <w:rPr>
                <w:rFonts w:ascii="Times New Roman" w:hAnsi="Times New Roman" w:eastAsia="黑体" w:cs="Times New Roman"/>
                <w:b/>
                <w:bCs/>
                <w:color w:val="000000" w:themeColor="text1"/>
                <w:kern w:val="0"/>
                <w:sz w:val="24"/>
                <w:lang w:eastAsia="en-US" w:bidi="en-US"/>
                <w14:textFill>
                  <w14:solidFill>
                    <w14:schemeClr w14:val="tx1"/>
                  </w14:solidFill>
                </w14:textFill>
              </w:rPr>
              <w:t>Std. Deviation</w:t>
            </w:r>
          </w:p>
        </w:tc>
      </w:tr>
      <w:tr w14:paraId="4F26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395" w:type="pct"/>
            <w:tcBorders>
              <w:top w:val="single" w:color="auto" w:sz="4" w:space="0"/>
            </w:tcBorders>
          </w:tcPr>
          <w:p w14:paraId="74980461">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Cognitive</w:t>
            </w:r>
          </w:p>
        </w:tc>
        <w:tc>
          <w:tcPr>
            <w:tcW w:w="963" w:type="pct"/>
            <w:tcBorders>
              <w:top w:val="single" w:color="auto" w:sz="4" w:space="0"/>
            </w:tcBorders>
          </w:tcPr>
          <w:p w14:paraId="0421B0D7">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3.58</w:t>
            </w:r>
          </w:p>
        </w:tc>
        <w:tc>
          <w:tcPr>
            <w:tcW w:w="1641" w:type="pct"/>
            <w:tcBorders>
              <w:top w:val="single" w:color="auto" w:sz="4" w:space="0"/>
            </w:tcBorders>
          </w:tcPr>
          <w:p w14:paraId="4C7495B3">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0.91</w:t>
            </w:r>
          </w:p>
        </w:tc>
      </w:tr>
      <w:tr w14:paraId="2D0B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395" w:type="pct"/>
          </w:tcPr>
          <w:p w14:paraId="3058B060">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Behavioral</w:t>
            </w:r>
          </w:p>
        </w:tc>
        <w:tc>
          <w:tcPr>
            <w:tcW w:w="963" w:type="pct"/>
          </w:tcPr>
          <w:p w14:paraId="2AF08621">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3.58</w:t>
            </w:r>
          </w:p>
        </w:tc>
        <w:tc>
          <w:tcPr>
            <w:tcW w:w="1641" w:type="pct"/>
          </w:tcPr>
          <w:p w14:paraId="474D62DE">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0.94</w:t>
            </w:r>
          </w:p>
        </w:tc>
      </w:tr>
      <w:tr w14:paraId="3DB6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395" w:type="pct"/>
            <w:tcBorders>
              <w:bottom w:val="single" w:color="auto" w:sz="4" w:space="0"/>
            </w:tcBorders>
          </w:tcPr>
          <w:p w14:paraId="1BF1A9FA">
            <w:pPr>
              <w:autoSpaceDE w:val="0"/>
              <w:autoSpaceDN w:val="0"/>
              <w:jc w:val="center"/>
              <w:rPr>
                <w:rFonts w:ascii="Times New Roman" w:hAnsi="Times New Roman" w:eastAsia="黑体" w:cs="Times New Roman"/>
                <w:color w:val="000000" w:themeColor="text1"/>
                <w:kern w:val="0"/>
                <w:sz w:val="24"/>
                <w:lang w:val="en-GB" w:eastAsia="en-US" w:bidi="en-US"/>
                <w14:textFill>
                  <w14:solidFill>
                    <w14:schemeClr w14:val="tx1"/>
                  </w14:solidFill>
                </w14:textFill>
              </w:rPr>
            </w:pPr>
            <w:r>
              <w:rPr>
                <w:rFonts w:ascii="Times New Roman" w:hAnsi="Times New Roman" w:eastAsia="黑体" w:cs="Times New Roman"/>
                <w:color w:val="000000" w:themeColor="text1"/>
                <w:kern w:val="0"/>
                <w:sz w:val="24"/>
                <w:lang w:val="en-GB" w:bidi="en-US"/>
                <w14:textFill>
                  <w14:solidFill>
                    <w14:schemeClr w14:val="tx1"/>
                  </w14:solidFill>
                </w14:textFill>
              </w:rPr>
              <w:t>Affective (Emotional)</w:t>
            </w:r>
          </w:p>
        </w:tc>
        <w:tc>
          <w:tcPr>
            <w:tcW w:w="963" w:type="pct"/>
            <w:tcBorders>
              <w:bottom w:val="single" w:color="auto" w:sz="4" w:space="0"/>
            </w:tcBorders>
          </w:tcPr>
          <w:p w14:paraId="30D9A263">
            <w:pPr>
              <w:autoSpaceDE w:val="0"/>
              <w:autoSpaceDN w:val="0"/>
              <w:jc w:val="center"/>
              <w:rPr>
                <w:rFonts w:ascii="Times New Roman" w:hAnsi="Times New Roman" w:eastAsia="黑体" w:cs="Times New Roman"/>
                <w:color w:val="000000" w:themeColor="text1"/>
                <w:kern w:val="0"/>
                <w:sz w:val="24"/>
                <w:lang w:eastAsia="en-US"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3.61</w:t>
            </w:r>
          </w:p>
        </w:tc>
        <w:tc>
          <w:tcPr>
            <w:tcW w:w="1641" w:type="pct"/>
            <w:tcBorders>
              <w:bottom w:val="single" w:color="auto" w:sz="4" w:space="0"/>
            </w:tcBorders>
          </w:tcPr>
          <w:p w14:paraId="3F7E68C1">
            <w:pPr>
              <w:autoSpaceDE w:val="0"/>
              <w:autoSpaceDN w:val="0"/>
              <w:jc w:val="center"/>
              <w:rPr>
                <w:rFonts w:ascii="Times New Roman" w:hAnsi="Times New Roman" w:eastAsia="黑体" w:cs="Times New Roman"/>
                <w:color w:val="000000" w:themeColor="text1"/>
                <w:kern w:val="0"/>
                <w:sz w:val="24"/>
                <w:lang w:bidi="en-US"/>
                <w14:textFill>
                  <w14:solidFill>
                    <w14:schemeClr w14:val="tx1"/>
                  </w14:solidFill>
                </w14:textFill>
              </w:rPr>
            </w:pPr>
            <w:r>
              <w:rPr>
                <w:rFonts w:hint="eastAsia" w:ascii="Times New Roman" w:hAnsi="Times New Roman" w:eastAsia="黑体" w:cs="Times New Roman"/>
                <w:color w:val="000000" w:themeColor="text1"/>
                <w:kern w:val="0"/>
                <w:sz w:val="24"/>
                <w:lang w:bidi="en-US"/>
                <w14:textFill>
                  <w14:solidFill>
                    <w14:schemeClr w14:val="tx1"/>
                  </w14:solidFill>
                </w14:textFill>
              </w:rPr>
              <w:t>0.96</w:t>
            </w:r>
          </w:p>
        </w:tc>
      </w:tr>
    </w:tbl>
    <w:p w14:paraId="4C75E956">
      <w:pPr>
        <w:keepNext/>
        <w:keepLines/>
        <w:spacing w:before="240" w:after="24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4.4 The Relationship between Learning Motivation and Learning Attitude</w:t>
      </w:r>
    </w:p>
    <w:p w14:paraId="65D21AD2">
      <w:pPr>
        <w:rPr>
          <w:rFonts w:ascii="Times New Roman Bold" w:hAnsi="Times New Roman Bold" w:cs="Times New Roman Bold"/>
          <w:b/>
          <w:bCs/>
          <w:color w:val="000000" w:themeColor="text1"/>
          <w:sz w:val="24"/>
          <w:lang w:val="en-GB" w:eastAsia="en-US"/>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 xml:space="preserve">4.4.1 </w:t>
      </w:r>
      <w:r>
        <w:rPr>
          <w:rFonts w:ascii="Times New Roman Bold" w:hAnsi="Times New Roman Bold" w:cs="Times New Roman Bold"/>
          <w:b/>
          <w:bCs/>
          <w:color w:val="000000" w:themeColor="text1"/>
          <w:sz w:val="24"/>
          <w:lang w:val="en-GB" w:eastAsia="en-US"/>
          <w14:textFill>
            <w14:solidFill>
              <w14:schemeClr w14:val="tx1"/>
            </w14:solidFill>
          </w14:textFill>
        </w:rPr>
        <w:t xml:space="preserve">Pearson </w:t>
      </w:r>
      <w:r>
        <w:rPr>
          <w:rFonts w:ascii="Times New Roman Bold" w:hAnsi="Times New Roman Bold" w:cs="Times New Roman Bold"/>
          <w:b/>
          <w:bCs/>
          <w:color w:val="000000" w:themeColor="text1"/>
          <w:sz w:val="24"/>
          <w14:textFill>
            <w14:solidFill>
              <w14:schemeClr w14:val="tx1"/>
            </w14:solidFill>
          </w14:textFill>
        </w:rPr>
        <w:t>C</w:t>
      </w:r>
      <w:r>
        <w:rPr>
          <w:rFonts w:ascii="Times New Roman Bold" w:hAnsi="Times New Roman Bold" w:cs="Times New Roman Bold"/>
          <w:b/>
          <w:bCs/>
          <w:color w:val="000000" w:themeColor="text1"/>
          <w:sz w:val="24"/>
          <w:lang w:val="en-GB" w:eastAsia="en-US"/>
          <w14:textFill>
            <w14:solidFill>
              <w14:schemeClr w14:val="tx1"/>
            </w14:solidFill>
          </w14:textFill>
        </w:rPr>
        <w:t xml:space="preserve">orrelation </w:t>
      </w:r>
      <w:r>
        <w:rPr>
          <w:rFonts w:ascii="Times New Roman Bold" w:hAnsi="Times New Roman Bold" w:cs="Times New Roman Bold"/>
          <w:b/>
          <w:bCs/>
          <w:color w:val="000000" w:themeColor="text1"/>
          <w:sz w:val="24"/>
          <w14:textFill>
            <w14:solidFill>
              <w14:schemeClr w14:val="tx1"/>
            </w14:solidFill>
          </w14:textFill>
        </w:rPr>
        <w:t>C</w:t>
      </w:r>
      <w:r>
        <w:rPr>
          <w:rFonts w:ascii="Times New Roman Bold" w:hAnsi="Times New Roman Bold" w:cs="Times New Roman Bold"/>
          <w:b/>
          <w:bCs/>
          <w:color w:val="000000" w:themeColor="text1"/>
          <w:sz w:val="24"/>
          <w:lang w:val="en-GB" w:eastAsia="en-US"/>
          <w14:textFill>
            <w14:solidFill>
              <w14:schemeClr w14:val="tx1"/>
            </w14:solidFill>
          </w14:textFill>
        </w:rPr>
        <w:t xml:space="preserve">oefficient </w:t>
      </w:r>
      <w:r>
        <w:rPr>
          <w:rFonts w:ascii="Times New Roman Bold" w:hAnsi="Times New Roman Bold" w:cs="Times New Roman Bold"/>
          <w:b/>
          <w:bCs/>
          <w:color w:val="000000" w:themeColor="text1"/>
          <w:sz w:val="24"/>
          <w14:textFill>
            <w14:solidFill>
              <w14:schemeClr w14:val="tx1"/>
            </w14:solidFill>
          </w14:textFill>
        </w:rPr>
        <w:t>R</w:t>
      </w:r>
      <w:r>
        <w:rPr>
          <w:rFonts w:ascii="Times New Roman Bold" w:hAnsi="Times New Roman Bold" w:cs="Times New Roman Bold"/>
          <w:b/>
          <w:bCs/>
          <w:color w:val="000000" w:themeColor="text1"/>
          <w:sz w:val="24"/>
          <w:lang w:val="en-GB" w:eastAsia="en-US"/>
          <w14:textFill>
            <w14:solidFill>
              <w14:schemeClr w14:val="tx1"/>
            </w14:solidFill>
          </w14:textFill>
        </w:rPr>
        <w:t>esults</w:t>
      </w:r>
    </w:p>
    <w:p w14:paraId="08651D37">
      <w:pPr>
        <w:rPr>
          <w:rFonts w:ascii="Times New Roman" w:hAnsi="Times New Roman" w:cs="Times New Roman"/>
          <w:color w:val="000000" w:themeColor="text1"/>
          <w:sz w:val="24"/>
          <w:lang w:val="en-GB" w:eastAsia="en-US"/>
          <w14:textFill>
            <w14:solidFill>
              <w14:schemeClr w14:val="tx1"/>
            </w14:solidFill>
          </w14:textFill>
        </w:rPr>
      </w:pPr>
      <w:r>
        <w:rPr>
          <w:rFonts w:ascii="Times New Roman" w:hAnsi="Times New Roman" w:cs="Times New Roman"/>
          <w:sz w:val="24"/>
          <w:lang w:val="en-GB" w:eastAsia="en-US"/>
        </w:rPr>
        <w:t>Liang et al. (20</w:t>
      </w:r>
      <w:r>
        <w:rPr>
          <w:rFonts w:hint="eastAsia" w:ascii="Times New Roman" w:hAnsi="Times New Roman" w:cs="Times New Roman"/>
          <w:sz w:val="24"/>
        </w:rPr>
        <w:t>19</w:t>
      </w:r>
      <w:r>
        <w:rPr>
          <w:rFonts w:ascii="Times New Roman" w:hAnsi="Times New Roman" w:cs="Times New Roman"/>
          <w:sz w:val="24"/>
          <w:lang w:val="en-GB" w:eastAsia="en-US"/>
        </w:rPr>
        <w:t xml:space="preserve">) classified </w:t>
      </w:r>
      <w:r>
        <w:rPr>
          <w:rFonts w:ascii="Times New Roman" w:hAnsi="Times New Roman" w:cs="Times New Roman"/>
          <w:color w:val="000000" w:themeColor="text1"/>
          <w:sz w:val="24"/>
          <w:lang w:val="en-GB" w:eastAsia="en-US"/>
          <w14:textFill>
            <w14:solidFill>
              <w14:schemeClr w14:val="tx1"/>
            </w14:solidFill>
          </w14:textFill>
        </w:rPr>
        <w:t xml:space="preserve">correlation strengths based on absolute Pearson correlation coefficients (r) as follows: </w:t>
      </w:r>
      <w:r>
        <w:rPr>
          <w:rFonts w:ascii="Times New Roman" w:hAnsi="Times New Roman" w:cs="Times New Roman"/>
          <w:color w:val="FF0000"/>
          <w:sz w:val="24"/>
          <w:lang w:val="en-GB" w:eastAsia="en-US"/>
        </w:rPr>
        <w:t>very strong (0.80–1.00), strong (0.60–0.79), moderate (0.40–0.59), weak (0.20–0.39), and very weak (0.00–0.19).</w:t>
      </w:r>
      <w:r>
        <w:rPr>
          <w:rFonts w:hint="eastAsia" w:ascii="Times New Roman" w:hAnsi="Times New Roman" w:cs="Times New Roman"/>
          <w:color w:val="FF0000"/>
          <w:sz w:val="24"/>
        </w:rPr>
        <w:t xml:space="preserve"> </w:t>
      </w:r>
      <w:r>
        <w:rPr>
          <w:rFonts w:ascii="Times New Roman" w:hAnsi="Times New Roman" w:cs="Times New Roman"/>
          <w:color w:val="000000" w:themeColor="text1"/>
          <w:sz w:val="24"/>
          <w:lang w:val="en-GB" w:eastAsia="en-US"/>
          <w14:textFill>
            <w14:solidFill>
              <w14:schemeClr w14:val="tx1"/>
            </w14:solidFill>
          </w14:textFill>
        </w:rPr>
        <w:t xml:space="preserve">Table </w:t>
      </w:r>
      <w:r>
        <w:rPr>
          <w:rFonts w:hint="eastAsia" w:ascii="Times New Roman" w:hAnsi="Times New Roman" w:cs="Times New Roman"/>
          <w:color w:val="000000" w:themeColor="text1"/>
          <w:sz w:val="24"/>
          <w14:textFill>
            <w14:solidFill>
              <w14:schemeClr w14:val="tx1"/>
            </w14:solidFill>
          </w14:textFill>
        </w:rPr>
        <w:t>5</w:t>
      </w:r>
      <w:r>
        <w:rPr>
          <w:rFonts w:ascii="Times New Roman" w:hAnsi="Times New Roman" w:cs="Times New Roman"/>
          <w:color w:val="000000" w:themeColor="text1"/>
          <w:sz w:val="24"/>
          <w:lang w:val="en-GB" w:eastAsia="en-US"/>
          <w14:textFill>
            <w14:solidFill>
              <w14:schemeClr w14:val="tx1"/>
            </w14:solidFill>
          </w14:textFill>
        </w:rPr>
        <w:t xml:space="preserve"> presents the Pearson correlation coefficients between speaking attitude, learning motivation, and learning anxiety. The analysis revealed a moderate, statistically significant positive correlation between learning motivation and learning attitude, r = 0.522, p &lt; 0.01. In contrast, the correlation between speaking anxiety and learning attitude was weak but still statistically significant, r = 0.332, p &lt; 0.01. These findings indicate that more positive speaking attitudes are associated with higher learning motivation and increased learning anxiety among the participants. Both correlations are highly significant at the 0.01 level, suggesting robust relationships between these variables in the context of English language learning among undergraduates.</w:t>
      </w:r>
    </w:p>
    <w:p w14:paraId="23800F61">
      <w:pPr>
        <w:ind w:firstLine="283"/>
        <w:rPr>
          <w:rFonts w:ascii="Times New Roman" w:hAnsi="Times New Roman" w:cs="Times New Roman"/>
          <w:color w:val="000000" w:themeColor="text1"/>
          <w:sz w:val="24"/>
          <w:lang w:val="en-GB" w:eastAsia="en-US"/>
          <w14:textFill>
            <w14:solidFill>
              <w14:schemeClr w14:val="tx1"/>
            </w14:solidFill>
          </w14:textFill>
        </w:rPr>
      </w:pPr>
    </w:p>
    <w:p w14:paraId="2D707828">
      <w:pPr>
        <w:autoSpaceDE w:val="0"/>
        <w:autoSpaceDN w:val="0"/>
        <w:jc w:val="center"/>
        <w:rPr>
          <w:rFonts w:ascii="Times New Roman" w:hAnsi="Times New Roman" w:eastAsia="黑体" w:cs="Times New Roman"/>
          <w:b/>
          <w:bCs/>
          <w:color w:val="FF0000"/>
          <w:kern w:val="0"/>
          <w:sz w:val="24"/>
          <w:lang w:val="en-GB" w:bidi="en-US"/>
        </w:rPr>
      </w:pPr>
      <w:r>
        <w:rPr>
          <w:rFonts w:ascii="Times New Roman" w:hAnsi="Times New Roman" w:eastAsia="黑体" w:cs="Times New Roman"/>
          <w:b/>
          <w:bCs/>
          <w:color w:val="FF0000"/>
          <w:kern w:val="0"/>
          <w:sz w:val="24"/>
          <w:lang w:val="en-GB" w:eastAsia="en-US" w:bidi="en-US"/>
        </w:rPr>
        <w:t xml:space="preserve">Table </w:t>
      </w:r>
      <w:r>
        <w:rPr>
          <w:rFonts w:ascii="Times New Roman" w:hAnsi="Times New Roman" w:eastAsia="黑体" w:cs="Times New Roman"/>
          <w:b/>
          <w:bCs/>
          <w:color w:val="FF0000"/>
          <w:kern w:val="0"/>
          <w:sz w:val="24"/>
          <w:lang w:bidi="en-US"/>
        </w:rPr>
        <w:t xml:space="preserve">5 </w:t>
      </w:r>
      <w:r>
        <w:rPr>
          <w:rFonts w:ascii="Times New Roman" w:hAnsi="Times New Roman" w:eastAsia="黑体" w:cs="Times New Roman"/>
          <w:b/>
          <w:bCs/>
          <w:color w:val="FF0000"/>
          <w:kern w:val="0"/>
          <w:sz w:val="24"/>
          <w:lang w:val="en-GB" w:bidi="en-US"/>
        </w:rPr>
        <w:t xml:space="preserve">Pearson </w:t>
      </w:r>
      <w:r>
        <w:rPr>
          <w:rFonts w:ascii="Times New Roman" w:hAnsi="Times New Roman" w:eastAsia="黑体" w:cs="Times New Roman"/>
          <w:b/>
          <w:bCs/>
          <w:color w:val="FF0000"/>
          <w:kern w:val="0"/>
          <w:sz w:val="24"/>
          <w:lang w:bidi="en-US"/>
        </w:rPr>
        <w:t>C</w:t>
      </w:r>
      <w:r>
        <w:rPr>
          <w:rFonts w:ascii="Times New Roman" w:hAnsi="Times New Roman" w:eastAsia="黑体" w:cs="Times New Roman"/>
          <w:b/>
          <w:bCs/>
          <w:color w:val="FF0000"/>
          <w:kern w:val="0"/>
          <w:sz w:val="24"/>
          <w:lang w:val="en-GB" w:bidi="en-US"/>
        </w:rPr>
        <w:t xml:space="preserve">orrelation </w:t>
      </w:r>
      <w:r>
        <w:rPr>
          <w:rFonts w:ascii="Times New Roman" w:hAnsi="Times New Roman" w:eastAsia="黑体" w:cs="Times New Roman"/>
          <w:b/>
          <w:bCs/>
          <w:color w:val="FF0000"/>
          <w:kern w:val="0"/>
          <w:sz w:val="24"/>
          <w:lang w:bidi="en-US"/>
        </w:rPr>
        <w:t>C</w:t>
      </w:r>
      <w:r>
        <w:rPr>
          <w:rFonts w:ascii="Times New Roman" w:hAnsi="Times New Roman" w:eastAsia="黑体" w:cs="Times New Roman"/>
          <w:b/>
          <w:bCs/>
          <w:color w:val="FF0000"/>
          <w:kern w:val="0"/>
          <w:sz w:val="24"/>
          <w:lang w:val="en-GB" w:bidi="en-US"/>
        </w:rPr>
        <w:t xml:space="preserve">oefficients </w:t>
      </w:r>
      <w:r>
        <w:rPr>
          <w:rFonts w:ascii="Times New Roman" w:hAnsi="Times New Roman" w:eastAsia="黑体" w:cs="Times New Roman"/>
          <w:b/>
          <w:bCs/>
          <w:color w:val="FF0000"/>
          <w:kern w:val="0"/>
          <w:sz w:val="24"/>
          <w:lang w:bidi="en-US"/>
        </w:rPr>
        <w:t xml:space="preserve">between </w:t>
      </w:r>
      <w:r>
        <w:rPr>
          <w:rFonts w:ascii="Times New Roman" w:hAnsi="Times New Roman" w:eastAsia="黑体" w:cs="Times New Roman"/>
          <w:b/>
          <w:bCs/>
          <w:color w:val="FF0000"/>
          <w:kern w:val="0"/>
          <w:sz w:val="24"/>
          <w:lang w:val="en-GB" w:bidi="en-US"/>
        </w:rPr>
        <w:t>SA,</w:t>
      </w:r>
      <w:r>
        <w:rPr>
          <w:rFonts w:ascii="Times New Roman" w:hAnsi="Times New Roman" w:eastAsia="黑体" w:cs="Times New Roman"/>
          <w:b/>
          <w:bCs/>
          <w:color w:val="FF0000"/>
          <w:kern w:val="0"/>
          <w:sz w:val="24"/>
          <w:lang w:bidi="en-US"/>
        </w:rPr>
        <w:t xml:space="preserve"> </w:t>
      </w:r>
      <w:r>
        <w:rPr>
          <w:rFonts w:ascii="Times New Roman" w:hAnsi="Times New Roman" w:eastAsia="黑体" w:cs="Times New Roman"/>
          <w:b/>
          <w:bCs/>
          <w:color w:val="FF0000"/>
          <w:kern w:val="0"/>
          <w:sz w:val="24"/>
          <w:lang w:val="en-GB" w:bidi="en-US"/>
        </w:rPr>
        <w:t>LM and LA</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2272"/>
        <w:gridCol w:w="2177"/>
        <w:gridCol w:w="1972"/>
      </w:tblGrid>
      <w:tr w14:paraId="64E2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31" w:type="pct"/>
            <w:tcBorders>
              <w:top w:val="single" w:color="auto" w:sz="4" w:space="0"/>
              <w:left w:val="nil"/>
              <w:bottom w:val="single" w:color="auto" w:sz="4" w:space="0"/>
              <w:right w:val="nil"/>
            </w:tcBorders>
            <w:shd w:val="clear" w:color="auto" w:fill="auto"/>
          </w:tcPr>
          <w:p w14:paraId="098B2794">
            <w:pPr>
              <w:widowControl/>
              <w:jc w:val="center"/>
              <w:textAlignment w:val="center"/>
              <w:rPr>
                <w:rFonts w:ascii="Times New Roman" w:hAnsi="Times New Roman" w:eastAsia="宋体" w:cs="Times New Roman"/>
                <w:b/>
                <w:color w:val="FF0000"/>
                <w:sz w:val="24"/>
              </w:rPr>
            </w:pPr>
            <w:r>
              <w:rPr>
                <w:rFonts w:ascii="Times New Roman" w:hAnsi="Times New Roman" w:eastAsia="宋体" w:cs="Times New Roman"/>
                <w:b/>
                <w:color w:val="FF0000"/>
                <w:kern w:val="0"/>
                <w:sz w:val="24"/>
                <w:lang w:bidi="ar"/>
              </w:rPr>
              <w:t>Variables</w:t>
            </w:r>
          </w:p>
        </w:tc>
        <w:tc>
          <w:tcPr>
            <w:tcW w:w="1333" w:type="pct"/>
            <w:tcBorders>
              <w:top w:val="single" w:color="auto" w:sz="4" w:space="0"/>
              <w:left w:val="nil"/>
              <w:bottom w:val="single" w:color="auto" w:sz="4" w:space="0"/>
              <w:right w:val="nil"/>
            </w:tcBorders>
            <w:shd w:val="clear" w:color="auto" w:fill="auto"/>
          </w:tcPr>
          <w:p w14:paraId="24107DE5">
            <w:pPr>
              <w:widowControl/>
              <w:jc w:val="center"/>
              <w:textAlignment w:val="center"/>
              <w:rPr>
                <w:rFonts w:ascii="Times New Roman" w:hAnsi="Times New Roman" w:eastAsia="宋体" w:cs="Times New Roman"/>
                <w:b/>
                <w:color w:val="FF0000"/>
                <w:sz w:val="24"/>
              </w:rPr>
            </w:pPr>
            <w:r>
              <w:rPr>
                <w:rFonts w:ascii="Times New Roman" w:hAnsi="Times New Roman" w:eastAsia="宋体" w:cs="Times New Roman"/>
                <w:b/>
                <w:color w:val="FF0000"/>
                <w:kern w:val="0"/>
                <w:sz w:val="24"/>
                <w:lang w:bidi="ar"/>
              </w:rPr>
              <w:t>Learning Motivation</w:t>
            </w:r>
          </w:p>
        </w:tc>
        <w:tc>
          <w:tcPr>
            <w:tcW w:w="1277" w:type="pct"/>
            <w:tcBorders>
              <w:top w:val="single" w:color="auto" w:sz="4" w:space="0"/>
              <w:left w:val="nil"/>
              <w:bottom w:val="single" w:color="auto" w:sz="4" w:space="0"/>
              <w:right w:val="nil"/>
            </w:tcBorders>
            <w:shd w:val="clear" w:color="auto" w:fill="auto"/>
          </w:tcPr>
          <w:p w14:paraId="6E3D6957">
            <w:pPr>
              <w:widowControl/>
              <w:jc w:val="center"/>
              <w:textAlignment w:val="center"/>
              <w:rPr>
                <w:rFonts w:ascii="Times New Roman" w:hAnsi="Times New Roman" w:eastAsia="宋体" w:cs="Times New Roman"/>
                <w:b/>
                <w:color w:val="FF0000"/>
                <w:sz w:val="24"/>
              </w:rPr>
            </w:pPr>
            <w:r>
              <w:rPr>
                <w:rFonts w:ascii="Times New Roman" w:hAnsi="Times New Roman" w:eastAsia="宋体" w:cs="Times New Roman"/>
                <w:b/>
                <w:color w:val="FF0000"/>
                <w:kern w:val="0"/>
                <w:sz w:val="24"/>
                <w:lang w:bidi="ar"/>
              </w:rPr>
              <w:t>Learning Attitude</w:t>
            </w:r>
          </w:p>
        </w:tc>
        <w:tc>
          <w:tcPr>
            <w:tcW w:w="1157" w:type="pct"/>
            <w:tcBorders>
              <w:top w:val="single" w:color="auto" w:sz="4" w:space="0"/>
              <w:left w:val="nil"/>
              <w:bottom w:val="single" w:color="auto" w:sz="4" w:space="0"/>
              <w:right w:val="nil"/>
            </w:tcBorders>
            <w:shd w:val="clear" w:color="auto" w:fill="auto"/>
          </w:tcPr>
          <w:p w14:paraId="06B66D7B">
            <w:pPr>
              <w:widowControl/>
              <w:jc w:val="center"/>
              <w:textAlignment w:val="center"/>
              <w:rPr>
                <w:rFonts w:ascii="Times New Roman" w:hAnsi="Times New Roman" w:eastAsia="宋体" w:cs="Times New Roman"/>
                <w:b/>
                <w:color w:val="FF0000"/>
                <w:sz w:val="24"/>
              </w:rPr>
            </w:pPr>
            <w:r>
              <w:rPr>
                <w:rFonts w:ascii="Times New Roman" w:hAnsi="Times New Roman" w:eastAsia="宋体" w:cs="Times New Roman"/>
                <w:b/>
                <w:color w:val="FF0000"/>
                <w:kern w:val="0"/>
                <w:sz w:val="24"/>
                <w:lang w:bidi="ar"/>
              </w:rPr>
              <w:t>Speaking Anxiety</w:t>
            </w:r>
          </w:p>
        </w:tc>
      </w:tr>
      <w:tr w14:paraId="09A4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31" w:type="pct"/>
            <w:tcBorders>
              <w:top w:val="single" w:color="auto" w:sz="4" w:space="0"/>
              <w:left w:val="nil"/>
              <w:bottom w:val="nil"/>
              <w:right w:val="nil"/>
            </w:tcBorders>
            <w:shd w:val="clear" w:color="auto" w:fill="auto"/>
          </w:tcPr>
          <w:p w14:paraId="7F2E13F2">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Learning Motivation</w:t>
            </w:r>
          </w:p>
        </w:tc>
        <w:tc>
          <w:tcPr>
            <w:tcW w:w="1333" w:type="pct"/>
            <w:tcBorders>
              <w:top w:val="single" w:color="auto" w:sz="4" w:space="0"/>
              <w:left w:val="nil"/>
              <w:bottom w:val="nil"/>
              <w:right w:val="nil"/>
            </w:tcBorders>
            <w:shd w:val="clear" w:color="auto" w:fill="auto"/>
          </w:tcPr>
          <w:p w14:paraId="1ABD49F7">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1</w:t>
            </w:r>
          </w:p>
        </w:tc>
        <w:tc>
          <w:tcPr>
            <w:tcW w:w="1277" w:type="pct"/>
            <w:tcBorders>
              <w:top w:val="single" w:color="auto" w:sz="4" w:space="0"/>
              <w:left w:val="nil"/>
              <w:bottom w:val="nil"/>
              <w:right w:val="nil"/>
            </w:tcBorders>
            <w:shd w:val="clear" w:color="auto" w:fill="auto"/>
          </w:tcPr>
          <w:p w14:paraId="7D68DA52">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0.522**</w:t>
            </w:r>
          </w:p>
        </w:tc>
        <w:tc>
          <w:tcPr>
            <w:tcW w:w="1157" w:type="pct"/>
            <w:tcBorders>
              <w:top w:val="single" w:color="auto" w:sz="4" w:space="0"/>
              <w:left w:val="nil"/>
              <w:bottom w:val="nil"/>
              <w:right w:val="nil"/>
            </w:tcBorders>
            <w:shd w:val="clear" w:color="auto" w:fill="auto"/>
          </w:tcPr>
          <w:p w14:paraId="4009B866">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0.376**</w:t>
            </w:r>
          </w:p>
        </w:tc>
      </w:tr>
      <w:tr w14:paraId="188B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31" w:type="pct"/>
            <w:tcBorders>
              <w:top w:val="nil"/>
              <w:left w:val="nil"/>
              <w:bottom w:val="nil"/>
              <w:right w:val="nil"/>
            </w:tcBorders>
            <w:shd w:val="clear" w:color="auto" w:fill="auto"/>
          </w:tcPr>
          <w:p w14:paraId="1917A8B3">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Learning Attitude</w:t>
            </w:r>
          </w:p>
        </w:tc>
        <w:tc>
          <w:tcPr>
            <w:tcW w:w="1333" w:type="pct"/>
            <w:tcBorders>
              <w:top w:val="nil"/>
              <w:left w:val="nil"/>
              <w:bottom w:val="nil"/>
              <w:right w:val="nil"/>
            </w:tcBorders>
            <w:shd w:val="clear" w:color="auto" w:fill="auto"/>
          </w:tcPr>
          <w:p w14:paraId="4C1C09C0">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0.522**</w:t>
            </w:r>
          </w:p>
        </w:tc>
        <w:tc>
          <w:tcPr>
            <w:tcW w:w="1277" w:type="pct"/>
            <w:tcBorders>
              <w:top w:val="nil"/>
              <w:left w:val="nil"/>
              <w:bottom w:val="nil"/>
              <w:right w:val="nil"/>
            </w:tcBorders>
            <w:shd w:val="clear" w:color="auto" w:fill="auto"/>
          </w:tcPr>
          <w:p w14:paraId="01BB20E7">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1</w:t>
            </w:r>
          </w:p>
        </w:tc>
        <w:tc>
          <w:tcPr>
            <w:tcW w:w="1157" w:type="pct"/>
            <w:tcBorders>
              <w:top w:val="nil"/>
              <w:left w:val="nil"/>
              <w:bottom w:val="nil"/>
              <w:right w:val="nil"/>
            </w:tcBorders>
            <w:shd w:val="clear" w:color="auto" w:fill="auto"/>
          </w:tcPr>
          <w:p w14:paraId="18C8B52A">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0.332**</w:t>
            </w:r>
          </w:p>
        </w:tc>
      </w:tr>
      <w:tr w14:paraId="4EB5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1" w:type="pct"/>
            <w:tcBorders>
              <w:top w:val="nil"/>
              <w:left w:val="nil"/>
              <w:bottom w:val="single" w:color="auto" w:sz="4" w:space="0"/>
              <w:right w:val="nil"/>
            </w:tcBorders>
            <w:shd w:val="clear" w:color="auto" w:fill="auto"/>
          </w:tcPr>
          <w:p w14:paraId="5DE537D8">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Speaking Anxiety</w:t>
            </w:r>
          </w:p>
        </w:tc>
        <w:tc>
          <w:tcPr>
            <w:tcW w:w="1333" w:type="pct"/>
            <w:tcBorders>
              <w:top w:val="nil"/>
              <w:left w:val="nil"/>
              <w:bottom w:val="single" w:color="auto" w:sz="4" w:space="0"/>
              <w:right w:val="nil"/>
            </w:tcBorders>
            <w:shd w:val="clear" w:color="auto" w:fill="auto"/>
          </w:tcPr>
          <w:p w14:paraId="4FBC761E">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0.376**</w:t>
            </w:r>
          </w:p>
        </w:tc>
        <w:tc>
          <w:tcPr>
            <w:tcW w:w="1277" w:type="pct"/>
            <w:tcBorders>
              <w:top w:val="nil"/>
              <w:left w:val="nil"/>
              <w:bottom w:val="single" w:color="auto" w:sz="4" w:space="0"/>
              <w:right w:val="nil"/>
            </w:tcBorders>
            <w:shd w:val="clear" w:color="auto" w:fill="auto"/>
          </w:tcPr>
          <w:p w14:paraId="3BC28CF4">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0.332**</w:t>
            </w:r>
          </w:p>
        </w:tc>
        <w:tc>
          <w:tcPr>
            <w:tcW w:w="1157" w:type="pct"/>
            <w:tcBorders>
              <w:top w:val="nil"/>
              <w:left w:val="nil"/>
              <w:bottom w:val="single" w:color="auto" w:sz="4" w:space="0"/>
              <w:right w:val="nil"/>
            </w:tcBorders>
            <w:shd w:val="clear" w:color="auto" w:fill="auto"/>
          </w:tcPr>
          <w:p w14:paraId="5C44B467">
            <w:pPr>
              <w:widowControl/>
              <w:jc w:val="center"/>
              <w:textAlignment w:val="center"/>
              <w:rPr>
                <w:rFonts w:ascii="Times New Roman" w:hAnsi="Times New Roman" w:eastAsia="宋体" w:cs="Times New Roman"/>
                <w:color w:val="FF0000"/>
                <w:sz w:val="24"/>
              </w:rPr>
            </w:pPr>
            <w:r>
              <w:rPr>
                <w:rFonts w:ascii="Times New Roman" w:hAnsi="Times New Roman" w:eastAsia="宋体" w:cs="Times New Roman"/>
                <w:color w:val="FF0000"/>
                <w:kern w:val="0"/>
                <w:sz w:val="24"/>
                <w:lang w:bidi="ar"/>
              </w:rPr>
              <w:t>1</w:t>
            </w:r>
          </w:p>
        </w:tc>
      </w:tr>
    </w:tbl>
    <w:p w14:paraId="1419B997">
      <w:pPr>
        <w:jc w:val="left"/>
        <w:rPr>
          <w:rFonts w:ascii="Times New Roman" w:hAnsi="Times New Roman" w:cs="Times New Roman"/>
          <w:color w:val="FF0000"/>
          <w:sz w:val="24"/>
          <w:lang w:eastAsia="en-US"/>
        </w:rPr>
      </w:pPr>
      <w:r>
        <w:rPr>
          <w:rFonts w:ascii="Times New Roman" w:hAnsi="Times New Roman" w:cs="Times New Roman"/>
          <w:color w:val="FF0000"/>
          <w:sz w:val="24"/>
        </w:rPr>
        <w:t>Notes.</w:t>
      </w:r>
      <w:r>
        <w:rPr>
          <w:rFonts w:ascii="Times New Roman" w:hAnsi="Times New Roman" w:cs="Times New Roman"/>
          <w:color w:val="FF0000"/>
          <w:sz w:val="24"/>
          <w:lang w:eastAsia="en-US"/>
        </w:rPr>
        <w:t>**. Correlation is significant at the 0.01 level (2-tailed).</w:t>
      </w:r>
    </w:p>
    <w:p w14:paraId="525B5B50">
      <w:pPr>
        <w:jc w:val="left"/>
        <w:rPr>
          <w:rFonts w:ascii="Times New Roman" w:hAnsi="Times New Roman" w:cs="Times New Roman"/>
          <w:color w:val="000000" w:themeColor="text1"/>
          <w:sz w:val="24"/>
          <w:lang w:eastAsia="en-US"/>
          <w14:textFill>
            <w14:solidFill>
              <w14:schemeClr w14:val="tx1"/>
            </w14:solidFill>
          </w14:textFill>
        </w:rPr>
      </w:pPr>
    </w:p>
    <w:p w14:paraId="6F63A294">
      <w:pPr>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4.1.2 Direct Effect of Speaking Anxiety and Learning Motivation on Learning Attitude</w:t>
      </w:r>
    </w:p>
    <w:p w14:paraId="7785CD7B">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Table </w:t>
      </w:r>
      <w:r>
        <w:rPr>
          <w:rFonts w:hint="eastAsia" w:ascii="Times New Roman" w:hAnsi="Times New Roman" w:cs="Times New Roman"/>
          <w:color w:val="000000" w:themeColor="text1"/>
          <w:sz w:val="24"/>
          <w14:textFill>
            <w14:solidFill>
              <w14:schemeClr w14:val="tx1"/>
            </w14:solidFill>
          </w14:textFill>
        </w:rPr>
        <w:t>6</w:t>
      </w:r>
      <w:r>
        <w:rPr>
          <w:rFonts w:ascii="Times New Roman" w:hAnsi="Times New Roman" w:cs="Times New Roman"/>
          <w:color w:val="000000" w:themeColor="text1"/>
          <w:sz w:val="24"/>
          <w14:textFill>
            <w14:solidFill>
              <w14:schemeClr w14:val="tx1"/>
            </w14:solidFill>
          </w14:textFill>
        </w:rPr>
        <w:t xml:space="preserve"> presents the path coefficients and corresponding statistical values, illustrating the relationships between the variables. The regression analysis indicates that both </w:t>
      </w:r>
      <w:r>
        <w:rPr>
          <w:rFonts w:hint="eastAsia" w:ascii="Times New Roman" w:hAnsi="Times New Roman" w:cs="Times New Roman"/>
          <w:color w:val="000000" w:themeColor="text1"/>
          <w:sz w:val="24"/>
          <w14:textFill>
            <w14:solidFill>
              <w14:schemeClr w14:val="tx1"/>
            </w14:solidFill>
          </w14:textFill>
        </w:rPr>
        <w:t>s</w:t>
      </w:r>
      <w:r>
        <w:rPr>
          <w:rFonts w:ascii="Times New Roman" w:hAnsi="Times New Roman" w:cs="Times New Roman"/>
          <w:color w:val="000000" w:themeColor="text1"/>
          <w:sz w:val="24"/>
          <w14:textFill>
            <w14:solidFill>
              <w14:schemeClr w14:val="tx1"/>
            </w14:solidFill>
          </w14:textFill>
        </w:rPr>
        <w:t xml:space="preserve">peaking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 xml:space="preserve">nxiety and </w:t>
      </w:r>
      <w:r>
        <w:rPr>
          <w:rFonts w:hint="eastAsia" w:ascii="Times New Roman" w:hAnsi="Times New Roman" w:cs="Times New Roman"/>
          <w:color w:val="000000" w:themeColor="text1"/>
          <w:sz w:val="24"/>
          <w14:textFill>
            <w14:solidFill>
              <w14:schemeClr w14:val="tx1"/>
            </w14:solidFill>
          </w14:textFill>
        </w:rPr>
        <w:t>l</w:t>
      </w:r>
      <w:r>
        <w:rPr>
          <w:rFonts w:ascii="Times New Roman" w:hAnsi="Times New Roman" w:cs="Times New Roman"/>
          <w:color w:val="000000" w:themeColor="text1"/>
          <w:sz w:val="24"/>
          <w14:textFill>
            <w14:solidFill>
              <w14:schemeClr w14:val="tx1"/>
            </w14:solidFill>
          </w14:textFill>
        </w:rPr>
        <w:t xml:space="preserve">earning </w:t>
      </w:r>
      <w:r>
        <w:rPr>
          <w:rFonts w:hint="eastAsia" w:ascii="Times New Roman" w:hAnsi="Times New Roman" w:cs="Times New Roman"/>
          <w:color w:val="000000" w:themeColor="text1"/>
          <w:sz w:val="24"/>
          <w14:textFill>
            <w14:solidFill>
              <w14:schemeClr w14:val="tx1"/>
            </w14:solidFill>
          </w14:textFill>
        </w:rPr>
        <w:t>m</w:t>
      </w:r>
      <w:r>
        <w:rPr>
          <w:rFonts w:ascii="Times New Roman" w:hAnsi="Times New Roman" w:cs="Times New Roman"/>
          <w:color w:val="000000" w:themeColor="text1"/>
          <w:sz w:val="24"/>
          <w14:textFill>
            <w14:solidFill>
              <w14:schemeClr w14:val="tx1"/>
            </w14:solidFill>
          </w14:textFill>
        </w:rPr>
        <w:t xml:space="preserve">otivation significantly predict </w:t>
      </w:r>
      <w:r>
        <w:rPr>
          <w:rFonts w:hint="eastAsia" w:ascii="Times New Roman" w:hAnsi="Times New Roman" w:cs="Times New Roman"/>
          <w:color w:val="000000" w:themeColor="text1"/>
          <w:sz w:val="24"/>
          <w14:textFill>
            <w14:solidFill>
              <w14:schemeClr w14:val="tx1"/>
            </w14:solidFill>
          </w14:textFill>
        </w:rPr>
        <w:t>l</w:t>
      </w:r>
      <w:r>
        <w:rPr>
          <w:rFonts w:ascii="Times New Roman" w:hAnsi="Times New Roman" w:cs="Times New Roman"/>
          <w:color w:val="000000" w:themeColor="text1"/>
          <w:sz w:val="24"/>
          <w14:textFill>
            <w14:solidFill>
              <w14:schemeClr w14:val="tx1"/>
            </w14:solidFill>
          </w14:textFill>
        </w:rPr>
        <w:t xml:space="preserve">earning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ttitude.</w:t>
      </w:r>
      <w:r>
        <w:rPr>
          <w:rFonts w:hint="eastAsia" w:ascii="Times New Roman" w:hAnsi="Times New Roman" w:cs="Times New Roman"/>
          <w:color w:val="000000" w:themeColor="text1"/>
          <w:sz w:val="24"/>
          <w14:textFill>
            <w14:solidFill>
              <w14:schemeClr w14:val="tx1"/>
            </w14:solidFill>
          </w14:textFill>
        </w:rPr>
        <w:t xml:space="preserve"> S</w:t>
      </w:r>
      <w:r>
        <w:rPr>
          <w:rFonts w:ascii="Times New Roman" w:hAnsi="Times New Roman" w:cs="Times New Roman"/>
          <w:color w:val="000000" w:themeColor="text1"/>
          <w:sz w:val="24"/>
          <w14:textFill>
            <w14:solidFill>
              <w14:schemeClr w14:val="tx1"/>
            </w14:solidFill>
          </w14:textFill>
        </w:rPr>
        <w:t>peaking anxiety exhibits a positive but comparatively weaker effect on learning attitude (</w:t>
      </w:r>
      <w:r>
        <w:rPr>
          <w:rFonts w:hint="eastAsia" w:ascii="Times New Roman" w:hAnsi="Times New Roman" w:cs="Times New Roman"/>
          <w:color w:val="FF0000"/>
          <w:sz w:val="24"/>
        </w:rPr>
        <w:t>B</w:t>
      </w:r>
      <w:r>
        <w:rPr>
          <w:rFonts w:ascii="Times New Roman" w:hAnsi="Times New Roman" w:cs="Times New Roman"/>
          <w:color w:val="FF0000"/>
          <w:sz w:val="24"/>
        </w:rPr>
        <w:t xml:space="preserve"> </w:t>
      </w:r>
      <w:r>
        <w:rPr>
          <w:rFonts w:ascii="Times New Roman" w:hAnsi="Times New Roman" w:cs="Times New Roman"/>
          <w:color w:val="000000" w:themeColor="text1"/>
          <w:sz w:val="24"/>
          <w14:textFill>
            <w14:solidFill>
              <w14:schemeClr w14:val="tx1"/>
            </w14:solidFill>
          </w14:textFill>
        </w:rPr>
        <w:t>= 0.347, t = 4.932, p &lt; .001), accounting for 11.0% of the variance (</w:t>
      </w:r>
      <w:r>
        <w:rPr>
          <w:rFonts w:ascii="Times New Roman" w:hAnsi="Times New Roman" w:cs="Times New Roman"/>
          <w:i/>
          <w:iCs/>
          <w:color w:val="FF0000"/>
          <w:sz w:val="24"/>
        </w:rPr>
        <w:t>R</w:t>
      </w:r>
      <w:r>
        <w:rPr>
          <w:rFonts w:hint="eastAsia" w:ascii="Times New Roman" w:hAnsi="Times New Roman" w:cs="Times New Roman"/>
          <w:i/>
          <w:iCs/>
          <w:color w:val="FF0000"/>
          <w:sz w:val="24"/>
        </w:rPr>
        <w:t>²</w:t>
      </w:r>
      <w:r>
        <w:rPr>
          <w:rFonts w:ascii="Times New Roman" w:hAnsi="Times New Roman" w:cs="Times New Roman"/>
          <w:color w:val="FF0000"/>
          <w:sz w:val="24"/>
        </w:rPr>
        <w:t xml:space="preserve"> </w:t>
      </w:r>
      <w:r>
        <w:rPr>
          <w:rFonts w:ascii="Times New Roman" w:hAnsi="Times New Roman" w:cs="Times New Roman"/>
          <w:color w:val="000000" w:themeColor="text1"/>
          <w:sz w:val="24"/>
          <w14:textFill>
            <w14:solidFill>
              <w14:schemeClr w14:val="tx1"/>
            </w14:solidFill>
          </w14:textFill>
        </w:rPr>
        <w:t>= 0.110). The model is statistically significant (F = 24.327, p = .000), suggesting that higher levels of speaking anxiety are associated with more pronounced learning attitudes, albeit to a limited extent. Conversely, learning motivation exerts a stronger positive influence on</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learning attitude (</w:t>
      </w:r>
      <w:r>
        <w:rPr>
          <w:rFonts w:hint="eastAsia" w:ascii="Times New Roman" w:hAnsi="Times New Roman" w:cs="Times New Roman"/>
          <w:color w:val="FF0000"/>
          <w:sz w:val="24"/>
        </w:rPr>
        <w:t>B</w:t>
      </w:r>
      <w:r>
        <w:rPr>
          <w:rFonts w:ascii="Times New Roman" w:hAnsi="Times New Roman" w:cs="Times New Roman"/>
          <w:color w:val="000000" w:themeColor="text1"/>
          <w:sz w:val="24"/>
          <w14:textFill>
            <w14:solidFill>
              <w14:schemeClr w14:val="tx1"/>
            </w14:solidFill>
          </w14:textFill>
        </w:rPr>
        <w:t xml:space="preserve"> = 0.503, t = 8.570, p &lt; .001), explaining 27.3% of the variance (</w:t>
      </w:r>
      <w:r>
        <w:rPr>
          <w:rFonts w:ascii="Times New Roman" w:hAnsi="Times New Roman" w:cs="Times New Roman"/>
          <w:i/>
          <w:iCs/>
          <w:color w:val="FF0000"/>
          <w:sz w:val="24"/>
        </w:rPr>
        <w:t>R</w:t>
      </w:r>
      <w:r>
        <w:rPr>
          <w:rFonts w:hint="eastAsia" w:ascii="Times New Roman" w:hAnsi="Times New Roman" w:cs="Times New Roman"/>
          <w:i/>
          <w:iCs/>
          <w:color w:val="FF0000"/>
          <w:sz w:val="24"/>
        </w:rPr>
        <w:t>²</w:t>
      </w:r>
      <w:r>
        <w:rPr>
          <w:rFonts w:ascii="Times New Roman" w:hAnsi="Times New Roman" w:cs="Times New Roman"/>
          <w:color w:val="FF0000"/>
          <w:sz w:val="24"/>
        </w:rPr>
        <w:t xml:space="preserve"> </w:t>
      </w:r>
      <w:r>
        <w:rPr>
          <w:rFonts w:ascii="Times New Roman" w:hAnsi="Times New Roman" w:cs="Times New Roman"/>
          <w:color w:val="000000" w:themeColor="text1"/>
          <w:sz w:val="24"/>
          <w14:textFill>
            <w14:solidFill>
              <w14:schemeClr w14:val="tx1"/>
            </w14:solidFill>
          </w14:textFill>
        </w:rPr>
        <w:t xml:space="preserve">= 0.273). This model is also statistically significant (F = 73.450, p = .000), indicating that learning motivation plays a more substantial role in shaping students’ attitudes toward English learning. </w:t>
      </w:r>
    </w:p>
    <w:p w14:paraId="05E4F4AC">
      <w:pPr>
        <w:rPr>
          <w:rFonts w:ascii="Times New Roman" w:hAnsi="Times New Roman" w:cs="Times New Roman"/>
          <w:b/>
          <w:bCs/>
          <w:color w:val="000000" w:themeColor="text1"/>
          <w:sz w:val="24"/>
          <w14:textFill>
            <w14:solidFill>
              <w14:schemeClr w14:val="tx1"/>
            </w14:solidFill>
          </w14:textFill>
        </w:rPr>
      </w:pPr>
    </w:p>
    <w:p w14:paraId="2E900CFA">
      <w:pPr>
        <w:jc w:val="center"/>
        <w:rPr>
          <w:rFonts w:ascii="Times New Roman" w:hAnsi="Times New Roman" w:cs="Times New Roman"/>
          <w:b/>
          <w:bCs/>
          <w:color w:val="FF0000"/>
          <w:sz w:val="24"/>
        </w:rPr>
      </w:pPr>
      <w:r>
        <w:rPr>
          <w:rFonts w:ascii="Times New Roman" w:hAnsi="Times New Roman" w:cs="Times New Roman"/>
          <w:b/>
          <w:bCs/>
          <w:color w:val="FF0000"/>
          <w:sz w:val="24"/>
          <w:lang w:val="en-GB" w:eastAsia="en-US"/>
        </w:rPr>
        <w:t xml:space="preserve">Table </w:t>
      </w:r>
      <w:r>
        <w:rPr>
          <w:rFonts w:ascii="Times New Roman" w:hAnsi="Times New Roman" w:cs="Times New Roman"/>
          <w:b/>
          <w:bCs/>
          <w:color w:val="FF0000"/>
          <w:sz w:val="24"/>
        </w:rPr>
        <w:t>6 Regression Analysis of SA, LM and LA</w:t>
      </w:r>
    </w:p>
    <w:tbl>
      <w:tblPr>
        <w:tblStyle w:val="7"/>
        <w:tblW w:w="4997"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2"/>
        <w:gridCol w:w="1241"/>
        <w:gridCol w:w="931"/>
        <w:gridCol w:w="931"/>
        <w:gridCol w:w="917"/>
        <w:gridCol w:w="788"/>
        <w:gridCol w:w="788"/>
        <w:gridCol w:w="1289"/>
      </w:tblGrid>
      <w:tr w14:paraId="7D5345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 w:type="pct"/>
            <w:tcBorders>
              <w:bottom w:val="single" w:color="auto" w:sz="4" w:space="0"/>
            </w:tcBorders>
          </w:tcPr>
          <w:p w14:paraId="0E100A9A">
            <w:pPr>
              <w:jc w:val="center"/>
              <w:rPr>
                <w:rFonts w:ascii="Times New Roman" w:hAnsi="Times New Roman" w:cs="Times New Roman"/>
                <w:b/>
                <w:bCs/>
                <w:color w:val="FF0000"/>
                <w:sz w:val="24"/>
              </w:rPr>
            </w:pPr>
            <w:r>
              <w:rPr>
                <w:rFonts w:ascii="Times New Roman" w:hAnsi="Times New Roman" w:cs="Times New Roman"/>
                <w:b/>
                <w:bCs/>
                <w:color w:val="FF0000"/>
                <w:sz w:val="24"/>
              </w:rPr>
              <w:t>Path</w:t>
            </w:r>
          </w:p>
        </w:tc>
        <w:tc>
          <w:tcPr>
            <w:tcW w:w="728" w:type="pct"/>
            <w:tcBorders>
              <w:bottom w:val="single" w:color="auto" w:sz="4" w:space="0"/>
            </w:tcBorders>
          </w:tcPr>
          <w:p w14:paraId="2ADE7396">
            <w:pPr>
              <w:jc w:val="center"/>
              <w:rPr>
                <w:rFonts w:ascii="Times New Roman" w:hAnsi="Times New Roman" w:cs="Times New Roman"/>
                <w:b/>
                <w:bCs/>
                <w:color w:val="FF0000"/>
                <w:sz w:val="24"/>
              </w:rPr>
            </w:pPr>
            <w:r>
              <w:rPr>
                <w:rFonts w:ascii="Times New Roman" w:hAnsi="Times New Roman" w:cs="Times New Roman"/>
                <w:b/>
                <w:bCs/>
                <w:color w:val="FF0000"/>
                <w:sz w:val="24"/>
              </w:rPr>
              <w:t>B</w:t>
            </w:r>
          </w:p>
        </w:tc>
        <w:tc>
          <w:tcPr>
            <w:tcW w:w="546" w:type="pct"/>
            <w:tcBorders>
              <w:bottom w:val="single" w:color="auto" w:sz="4" w:space="0"/>
            </w:tcBorders>
          </w:tcPr>
          <w:p w14:paraId="038D223A">
            <w:pPr>
              <w:jc w:val="center"/>
              <w:rPr>
                <w:rFonts w:ascii="Times New Roman" w:hAnsi="Times New Roman" w:cs="Times New Roman"/>
                <w:b/>
                <w:bCs/>
                <w:color w:val="FF0000"/>
                <w:sz w:val="24"/>
              </w:rPr>
            </w:pPr>
            <w:r>
              <w:rPr>
                <w:rFonts w:ascii="Times New Roman" w:hAnsi="Times New Roman" w:cs="Times New Roman"/>
                <w:b/>
                <w:bCs/>
                <w:color w:val="FF0000"/>
                <w:sz w:val="24"/>
              </w:rPr>
              <w:t>SE B</w:t>
            </w:r>
          </w:p>
        </w:tc>
        <w:tc>
          <w:tcPr>
            <w:tcW w:w="546" w:type="pct"/>
            <w:tcBorders>
              <w:bottom w:val="single" w:color="auto" w:sz="4" w:space="0"/>
            </w:tcBorders>
          </w:tcPr>
          <w:p w14:paraId="0228A859">
            <w:pPr>
              <w:jc w:val="center"/>
              <w:rPr>
                <w:rFonts w:ascii="Times New Roman" w:hAnsi="Times New Roman" w:cs="Times New Roman"/>
                <w:b/>
                <w:bCs/>
                <w:color w:val="FF0000"/>
                <w:sz w:val="24"/>
              </w:rPr>
            </w:pPr>
            <w:r>
              <w:rPr>
                <w:rFonts w:ascii="Times New Roman" w:hAnsi="Times New Roman" w:cs="Times New Roman"/>
                <w:b/>
                <w:bCs/>
                <w:color w:val="FF0000"/>
                <w:sz w:val="24"/>
              </w:rPr>
              <w:t>β</w:t>
            </w:r>
          </w:p>
        </w:tc>
        <w:tc>
          <w:tcPr>
            <w:tcW w:w="538" w:type="pct"/>
            <w:tcBorders>
              <w:bottom w:val="single" w:color="auto" w:sz="4" w:space="0"/>
            </w:tcBorders>
          </w:tcPr>
          <w:p w14:paraId="74A4891E">
            <w:pPr>
              <w:jc w:val="center"/>
              <w:rPr>
                <w:rFonts w:ascii="Times New Roman" w:hAnsi="Times New Roman" w:cs="Times New Roman"/>
                <w:b/>
                <w:bCs/>
                <w:color w:val="FF0000"/>
                <w:sz w:val="24"/>
              </w:rPr>
            </w:pPr>
            <w:r>
              <w:rPr>
                <w:rFonts w:ascii="Times New Roman" w:hAnsi="Times New Roman" w:cs="Times New Roman"/>
                <w:b/>
                <w:bCs/>
                <w:color w:val="FF0000"/>
                <w:sz w:val="24"/>
              </w:rPr>
              <w:t>t</w:t>
            </w:r>
          </w:p>
        </w:tc>
        <w:tc>
          <w:tcPr>
            <w:tcW w:w="462" w:type="pct"/>
            <w:tcBorders>
              <w:bottom w:val="single" w:color="auto" w:sz="4" w:space="0"/>
            </w:tcBorders>
          </w:tcPr>
          <w:p w14:paraId="3884D5C0">
            <w:pPr>
              <w:jc w:val="center"/>
              <w:rPr>
                <w:rFonts w:ascii="Times New Roman" w:hAnsi="Times New Roman" w:cs="Times New Roman"/>
                <w:b/>
                <w:bCs/>
                <w:color w:val="FF0000"/>
                <w:sz w:val="24"/>
              </w:rPr>
            </w:pPr>
            <w:r>
              <w:rPr>
                <w:rFonts w:ascii="Times New Roman" w:hAnsi="Times New Roman" w:cs="Times New Roman"/>
                <w:b/>
                <w:bCs/>
                <w:color w:val="FF0000"/>
                <w:sz w:val="24"/>
              </w:rPr>
              <w:t>p</w:t>
            </w:r>
          </w:p>
        </w:tc>
        <w:tc>
          <w:tcPr>
            <w:tcW w:w="462" w:type="pct"/>
            <w:tcBorders>
              <w:bottom w:val="single" w:color="auto" w:sz="4" w:space="0"/>
            </w:tcBorders>
          </w:tcPr>
          <w:p w14:paraId="4F946ABA">
            <w:pPr>
              <w:jc w:val="center"/>
              <w:rPr>
                <w:rFonts w:ascii="Times New Roman" w:hAnsi="Times New Roman" w:cs="Times New Roman"/>
                <w:b/>
                <w:bCs/>
                <w:color w:val="FF0000"/>
                <w:sz w:val="24"/>
              </w:rPr>
            </w:pPr>
            <w:r>
              <w:rPr>
                <w:rFonts w:ascii="Times New Roman" w:hAnsi="Times New Roman" w:cs="Times New Roman"/>
                <w:b/>
                <w:bCs/>
                <w:color w:val="FF0000"/>
                <w:sz w:val="24"/>
              </w:rPr>
              <w:t>R²</w:t>
            </w:r>
          </w:p>
        </w:tc>
        <w:tc>
          <w:tcPr>
            <w:tcW w:w="756" w:type="pct"/>
            <w:tcBorders>
              <w:bottom w:val="single" w:color="auto" w:sz="4" w:space="0"/>
            </w:tcBorders>
          </w:tcPr>
          <w:p w14:paraId="1ACB9ACB">
            <w:pPr>
              <w:jc w:val="center"/>
              <w:rPr>
                <w:rFonts w:ascii="Times New Roman" w:hAnsi="Times New Roman" w:cs="Times New Roman"/>
                <w:b/>
                <w:bCs/>
                <w:color w:val="FF0000"/>
                <w:sz w:val="24"/>
              </w:rPr>
            </w:pPr>
            <w:r>
              <w:rPr>
                <w:rFonts w:ascii="Times New Roman" w:hAnsi="Times New Roman" w:cs="Times New Roman"/>
                <w:b/>
                <w:bCs/>
                <w:color w:val="FF0000"/>
                <w:sz w:val="24"/>
              </w:rPr>
              <w:t>F</w:t>
            </w:r>
          </w:p>
        </w:tc>
      </w:tr>
      <w:tr w14:paraId="16822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 w:type="pct"/>
          </w:tcPr>
          <w:p w14:paraId="31A7EDB1">
            <w:pPr>
              <w:jc w:val="center"/>
              <w:rPr>
                <w:rFonts w:ascii="Times New Roman" w:hAnsi="Times New Roman" w:eastAsia="宋体" w:cs="Times New Roman"/>
                <w:color w:val="FF0000"/>
                <w:sz w:val="24"/>
              </w:rPr>
            </w:pPr>
            <w:r>
              <w:rPr>
                <w:rFonts w:ascii="Times New Roman" w:hAnsi="Times New Roman" w:eastAsia="宋体" w:cs="Times New Roman"/>
                <w:b/>
                <w:bCs/>
                <w:color w:val="FF0000"/>
                <w:sz w:val="24"/>
              </w:rPr>
              <w:t>SA → LA</w:t>
            </w:r>
          </w:p>
        </w:tc>
        <w:tc>
          <w:tcPr>
            <w:tcW w:w="728" w:type="pct"/>
          </w:tcPr>
          <w:p w14:paraId="073124FC">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0.347</w:t>
            </w:r>
          </w:p>
        </w:tc>
        <w:tc>
          <w:tcPr>
            <w:tcW w:w="546" w:type="pct"/>
          </w:tcPr>
          <w:p w14:paraId="078D3682">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0.07</w:t>
            </w:r>
          </w:p>
        </w:tc>
        <w:tc>
          <w:tcPr>
            <w:tcW w:w="546" w:type="pct"/>
          </w:tcPr>
          <w:p w14:paraId="23133CAC">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0.332</w:t>
            </w:r>
          </w:p>
        </w:tc>
        <w:tc>
          <w:tcPr>
            <w:tcW w:w="538" w:type="pct"/>
          </w:tcPr>
          <w:p w14:paraId="2E727B59">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4.932</w:t>
            </w:r>
          </w:p>
        </w:tc>
        <w:tc>
          <w:tcPr>
            <w:tcW w:w="462" w:type="pct"/>
          </w:tcPr>
          <w:p w14:paraId="3F2376E1">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0.000</w:t>
            </w:r>
          </w:p>
        </w:tc>
        <w:tc>
          <w:tcPr>
            <w:tcW w:w="462" w:type="pct"/>
          </w:tcPr>
          <w:p w14:paraId="67B975FE">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0.110</w:t>
            </w:r>
          </w:p>
        </w:tc>
        <w:tc>
          <w:tcPr>
            <w:tcW w:w="756" w:type="pct"/>
          </w:tcPr>
          <w:p w14:paraId="7B13BCD3">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24.327</w:t>
            </w:r>
          </w:p>
        </w:tc>
      </w:tr>
      <w:tr w14:paraId="0F723A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8" w:type="pct"/>
          </w:tcPr>
          <w:p w14:paraId="60AA70FF">
            <w:pPr>
              <w:jc w:val="center"/>
              <w:rPr>
                <w:rFonts w:ascii="Times New Roman" w:hAnsi="Times New Roman" w:eastAsia="宋体" w:cs="Times New Roman"/>
                <w:color w:val="FF0000"/>
                <w:sz w:val="24"/>
              </w:rPr>
            </w:pPr>
            <w:r>
              <w:rPr>
                <w:rFonts w:ascii="Times New Roman" w:hAnsi="Times New Roman" w:eastAsia="宋体" w:cs="Times New Roman"/>
                <w:b/>
                <w:bCs/>
                <w:color w:val="FF0000"/>
                <w:sz w:val="24"/>
              </w:rPr>
              <w:t>LM → LA</w:t>
            </w:r>
          </w:p>
        </w:tc>
        <w:tc>
          <w:tcPr>
            <w:tcW w:w="728" w:type="pct"/>
          </w:tcPr>
          <w:p w14:paraId="4304C0E2">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0.503</w:t>
            </w:r>
          </w:p>
        </w:tc>
        <w:tc>
          <w:tcPr>
            <w:tcW w:w="546" w:type="pct"/>
          </w:tcPr>
          <w:p w14:paraId="156A827C">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0.059</w:t>
            </w:r>
          </w:p>
        </w:tc>
        <w:tc>
          <w:tcPr>
            <w:tcW w:w="546" w:type="pct"/>
          </w:tcPr>
          <w:p w14:paraId="7D6DD162">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0.522</w:t>
            </w:r>
          </w:p>
        </w:tc>
        <w:tc>
          <w:tcPr>
            <w:tcW w:w="538" w:type="pct"/>
          </w:tcPr>
          <w:p w14:paraId="61340383">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8.57</w:t>
            </w:r>
          </w:p>
        </w:tc>
        <w:tc>
          <w:tcPr>
            <w:tcW w:w="462" w:type="pct"/>
          </w:tcPr>
          <w:p w14:paraId="48639B86">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0.000</w:t>
            </w:r>
          </w:p>
        </w:tc>
        <w:tc>
          <w:tcPr>
            <w:tcW w:w="462" w:type="pct"/>
          </w:tcPr>
          <w:p w14:paraId="68429CD7">
            <w:pPr>
              <w:jc w:val="center"/>
              <w:rPr>
                <w:rFonts w:ascii="Times New Roman" w:hAnsi="Times New Roman" w:cs="Times New Roman"/>
                <w:color w:val="FF0000"/>
                <w:sz w:val="24"/>
              </w:rPr>
            </w:pPr>
            <w:r>
              <w:rPr>
                <w:rFonts w:ascii="Times New Roman" w:hAnsi="Times New Roman" w:cs="Times New Roman"/>
                <w:color w:val="FF0000"/>
                <w:sz w:val="24"/>
              </w:rPr>
              <w:t>0.273</w:t>
            </w:r>
          </w:p>
        </w:tc>
        <w:tc>
          <w:tcPr>
            <w:tcW w:w="756" w:type="pct"/>
          </w:tcPr>
          <w:p w14:paraId="0A86BE68">
            <w:pPr>
              <w:jc w:val="center"/>
              <w:rPr>
                <w:rFonts w:ascii="Times New Roman" w:hAnsi="Times New Roman" w:cs="Times New Roman"/>
                <w:color w:val="FF0000"/>
                <w:sz w:val="24"/>
              </w:rPr>
            </w:pPr>
            <w:r>
              <w:rPr>
                <w:rFonts w:ascii="Times New Roman" w:hAnsi="Times New Roman" w:cs="Times New Roman"/>
                <w:color w:val="FF0000"/>
                <w:sz w:val="24"/>
              </w:rPr>
              <w:t>73.450</w:t>
            </w:r>
          </w:p>
        </w:tc>
      </w:tr>
    </w:tbl>
    <w:p w14:paraId="4AC5A28F">
      <w:pPr>
        <w:jc w:val="left"/>
        <w:rPr>
          <w:rFonts w:ascii="Times New Roman" w:hAnsi="Times New Roman" w:cs="Times New Roman"/>
          <w:color w:val="FF0000"/>
          <w:sz w:val="24"/>
        </w:rPr>
      </w:pPr>
      <w:r>
        <w:rPr>
          <w:rFonts w:ascii="Times New Roman" w:hAnsi="Times New Roman" w:cs="Times New Roman"/>
          <w:color w:val="FF0000"/>
          <w:sz w:val="24"/>
        </w:rPr>
        <w:t>Note. B = Unstandardized Coefficient; SE B = Standard Error of B; β= Standardized Coefficient; p &lt; .001.</w:t>
      </w:r>
    </w:p>
    <w:p w14:paraId="69FBB876">
      <w:pPr>
        <w:rPr>
          <w:rFonts w:ascii="Times New Roman" w:hAnsi="Times New Roman" w:cs="Times New Roman"/>
          <w:color w:val="0000FF"/>
          <w:sz w:val="24"/>
        </w:rPr>
      </w:pPr>
    </w:p>
    <w:p w14:paraId="523B2FFA">
      <w:pPr>
        <w:spacing w:after="240"/>
        <w:rPr>
          <w:rFonts w:ascii="Times New Roman Bold" w:hAnsi="Times New Roman Bold" w:cs="Times New Roman Bold"/>
          <w:b/>
          <w:bCs/>
          <w:color w:val="000000" w:themeColor="text1"/>
          <w:sz w:val="24"/>
          <w14:textFill>
            <w14:solidFill>
              <w14:schemeClr w14:val="tx1"/>
            </w14:solidFill>
          </w14:textFill>
        </w:rPr>
      </w:pPr>
      <w:r>
        <w:rPr>
          <w:rFonts w:ascii="Times New Roman Bold" w:hAnsi="Times New Roman Bold" w:cs="Times New Roman Bold"/>
          <w:b/>
          <w:bCs/>
          <w:color w:val="000000" w:themeColor="text1"/>
          <w:sz w:val="24"/>
          <w14:textFill>
            <w14:solidFill>
              <w14:schemeClr w14:val="tx1"/>
            </w14:solidFill>
          </w14:textFill>
        </w:rPr>
        <w:t>4.1.3 The Mediating Role of Learning Motivation</w:t>
      </w:r>
    </w:p>
    <w:p w14:paraId="5A79FBCE">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findings underscore the significant roles of </w:t>
      </w:r>
      <w:r>
        <w:rPr>
          <w:rFonts w:hint="eastAsia" w:ascii="Times New Roman" w:hAnsi="Times New Roman" w:cs="Times New Roman"/>
          <w:color w:val="000000" w:themeColor="text1"/>
          <w:sz w:val="24"/>
          <w14:textFill>
            <w14:solidFill>
              <w14:schemeClr w14:val="tx1"/>
            </w14:solidFill>
          </w14:textFill>
        </w:rPr>
        <w:t>s</w:t>
      </w:r>
      <w:r>
        <w:rPr>
          <w:rFonts w:ascii="Times New Roman" w:hAnsi="Times New Roman" w:cs="Times New Roman"/>
          <w:color w:val="000000" w:themeColor="text1"/>
          <w:sz w:val="24"/>
          <w14:textFill>
            <w14:solidFill>
              <w14:schemeClr w14:val="tx1"/>
            </w14:solidFill>
          </w14:textFill>
        </w:rPr>
        <w:t xml:space="preserve">peaking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 xml:space="preserve">nxiety and </w:t>
      </w:r>
      <w:r>
        <w:rPr>
          <w:rFonts w:hint="eastAsia" w:ascii="Times New Roman" w:hAnsi="Times New Roman" w:cs="Times New Roman"/>
          <w:color w:val="000000" w:themeColor="text1"/>
          <w:sz w:val="24"/>
          <w14:textFill>
            <w14:solidFill>
              <w14:schemeClr w14:val="tx1"/>
            </w14:solidFill>
          </w14:textFill>
        </w:rPr>
        <w:t>l</w:t>
      </w:r>
      <w:r>
        <w:rPr>
          <w:rFonts w:ascii="Times New Roman" w:hAnsi="Times New Roman" w:cs="Times New Roman"/>
          <w:color w:val="000000" w:themeColor="text1"/>
          <w:sz w:val="24"/>
          <w14:textFill>
            <w14:solidFill>
              <w14:schemeClr w14:val="tx1"/>
            </w14:solidFill>
          </w14:textFill>
        </w:rPr>
        <w:t xml:space="preserve">earning </w:t>
      </w:r>
      <w:r>
        <w:rPr>
          <w:rFonts w:hint="eastAsia" w:ascii="Times New Roman" w:hAnsi="Times New Roman" w:cs="Times New Roman"/>
          <w:color w:val="000000" w:themeColor="text1"/>
          <w:sz w:val="24"/>
          <w14:textFill>
            <w14:solidFill>
              <w14:schemeClr w14:val="tx1"/>
            </w14:solidFill>
          </w14:textFill>
        </w:rPr>
        <w:t>m</w:t>
      </w:r>
      <w:r>
        <w:rPr>
          <w:rFonts w:ascii="Times New Roman" w:hAnsi="Times New Roman" w:cs="Times New Roman"/>
          <w:color w:val="000000" w:themeColor="text1"/>
          <w:sz w:val="24"/>
          <w14:textFill>
            <w14:solidFill>
              <w14:schemeClr w14:val="tx1"/>
            </w14:solidFill>
          </w14:textFill>
        </w:rPr>
        <w:t xml:space="preserve">otivation in shaping </w:t>
      </w:r>
      <w:r>
        <w:rPr>
          <w:rFonts w:hint="eastAsia" w:ascii="Times New Roman" w:hAnsi="Times New Roman" w:cs="Times New Roman"/>
          <w:color w:val="000000" w:themeColor="text1"/>
          <w:sz w:val="24"/>
          <w14:textFill>
            <w14:solidFill>
              <w14:schemeClr w14:val="tx1"/>
            </w14:solidFill>
          </w14:textFill>
        </w:rPr>
        <w:t>l</w:t>
      </w:r>
      <w:r>
        <w:rPr>
          <w:rFonts w:ascii="Times New Roman" w:hAnsi="Times New Roman" w:cs="Times New Roman"/>
          <w:color w:val="000000" w:themeColor="text1"/>
          <w:sz w:val="24"/>
          <w14:textFill>
            <w14:solidFill>
              <w14:schemeClr w14:val="tx1"/>
            </w14:solidFill>
          </w14:textFill>
        </w:rPr>
        <w:t xml:space="preserve">earning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 xml:space="preserve">ttitude, while also suggesting that learning motivation serves as a crucial mediator in the relationship between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and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Regression analysis revealed that the direct effect of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on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was substantial, with a regression coefficient of 0.</w:t>
      </w:r>
      <w:r>
        <w:rPr>
          <w:rFonts w:hint="eastAsia" w:ascii="Times New Roman" w:hAnsi="Times New Roman" w:cs="Times New Roman"/>
          <w:color w:val="000000" w:themeColor="text1"/>
          <w:sz w:val="24"/>
          <w14:textFill>
            <w14:solidFill>
              <w14:schemeClr w14:val="tx1"/>
            </w14:solidFill>
          </w14:textFill>
        </w:rPr>
        <w:t>165</w:t>
      </w:r>
      <w:r>
        <w:rPr>
          <w:rFonts w:ascii="Times New Roman" w:hAnsi="Times New Roman" w:cs="Times New Roman"/>
          <w:color w:val="000000" w:themeColor="text1"/>
          <w:sz w:val="24"/>
          <w14:textFill>
            <w14:solidFill>
              <w14:schemeClr w14:val="tx1"/>
            </w14:solidFill>
          </w14:textFill>
        </w:rPr>
        <w:t xml:space="preserve"> (t = </w:t>
      </w:r>
      <w:r>
        <w:rPr>
          <w:rFonts w:hint="eastAsia" w:ascii="Times New Roman" w:hAnsi="Times New Roman" w:cs="Times New Roman"/>
          <w:color w:val="000000" w:themeColor="text1"/>
          <w:sz w:val="24"/>
          <w14:textFill>
            <w14:solidFill>
              <w14:schemeClr w14:val="tx1"/>
            </w14:solidFill>
          </w14:textFill>
        </w:rPr>
        <w:t>2.435</w:t>
      </w:r>
      <w:r>
        <w:rPr>
          <w:rFonts w:ascii="Times New Roman" w:hAnsi="Times New Roman" w:cs="Times New Roman"/>
          <w:color w:val="000000" w:themeColor="text1"/>
          <w:sz w:val="24"/>
          <w14:textFill>
            <w14:solidFill>
              <w14:schemeClr w14:val="tx1"/>
            </w14:solidFill>
          </w14:textFill>
        </w:rPr>
        <w:t>, p</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 0.0</w:t>
      </w:r>
      <w:r>
        <w:rPr>
          <w:rFonts w:hint="eastAsia" w:ascii="Times New Roman" w:hAnsi="Times New Roman" w:cs="Times New Roman"/>
          <w:color w:val="000000" w:themeColor="text1"/>
          <w:sz w:val="24"/>
          <w14:textFill>
            <w14:solidFill>
              <w14:schemeClr w14:val="tx1"/>
            </w14:solidFill>
          </w14:textFill>
        </w:rPr>
        <w:t>16</w:t>
      </w:r>
      <w:r>
        <w:rPr>
          <w:rFonts w:ascii="Times New Roman" w:hAnsi="Times New Roman" w:cs="Times New Roman"/>
          <w:color w:val="000000" w:themeColor="text1"/>
          <w:sz w:val="24"/>
          <w14:textFill>
            <w14:solidFill>
              <w14:schemeClr w14:val="tx1"/>
            </w14:solidFill>
          </w14:textFill>
        </w:rPr>
        <w:t xml:space="preserve">), and the direct effect of learning motivation on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was similarly significant, with a regression coefficient of 0.44</w:t>
      </w:r>
      <w:r>
        <w:rPr>
          <w:rFonts w:hint="eastAsia" w:ascii="Times New Roman" w:hAnsi="Times New Roman" w:cs="Times New Roman"/>
          <w:color w:val="000000" w:themeColor="text1"/>
          <w:sz w:val="24"/>
          <w14:textFill>
            <w14:solidFill>
              <w14:schemeClr w14:val="tx1"/>
            </w14:solidFill>
          </w14:textFill>
        </w:rPr>
        <w:t>6</w:t>
      </w:r>
      <w:r>
        <w:rPr>
          <w:rFonts w:ascii="Times New Roman" w:hAnsi="Times New Roman" w:cs="Times New Roman"/>
          <w:color w:val="000000" w:themeColor="text1"/>
          <w:sz w:val="24"/>
          <w14:textFill>
            <w14:solidFill>
              <w14:schemeClr w14:val="tx1"/>
            </w14:solidFill>
          </w14:textFill>
        </w:rPr>
        <w:t xml:space="preserve"> (t = </w:t>
      </w:r>
      <w:r>
        <w:rPr>
          <w:rFonts w:hint="eastAsia" w:ascii="Times New Roman" w:hAnsi="Times New Roman" w:cs="Times New Roman"/>
          <w:color w:val="000000" w:themeColor="text1"/>
          <w:sz w:val="24"/>
          <w14:textFill>
            <w14:solidFill>
              <w14:schemeClr w14:val="tx1"/>
            </w14:solidFill>
          </w14:textFill>
        </w:rPr>
        <w:t>7.122</w:t>
      </w:r>
      <w:r>
        <w:rPr>
          <w:rFonts w:ascii="Times New Roman" w:hAnsi="Times New Roman" w:cs="Times New Roman"/>
          <w:color w:val="000000" w:themeColor="text1"/>
          <w:sz w:val="24"/>
          <w14:textFill>
            <w14:solidFill>
              <w14:schemeClr w14:val="tx1"/>
            </w14:solidFill>
          </w14:textFill>
        </w:rPr>
        <w:t xml:space="preserve">, p &lt; 0.001). The model explains approximately 29.4% of the variance in LA (R² = 0.294), with the overall model being statistically significant (F = 40.613, p &lt; 0.001). Drawing on mediation theory, the results suggest that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not only exerts a direct influence on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but also indirectly affects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by enhancing learning motivation. Bootstrap analysis further confirmed the robustness of these effects, with 95% confidence intervals of [0.</w:t>
      </w:r>
      <w:r>
        <w:rPr>
          <w:rFonts w:hint="eastAsia" w:ascii="Times New Roman" w:hAnsi="Times New Roman" w:cs="Times New Roman"/>
          <w:color w:val="000000" w:themeColor="text1"/>
          <w:sz w:val="24"/>
          <w14:textFill>
            <w14:solidFill>
              <w14:schemeClr w14:val="tx1"/>
            </w14:solidFill>
          </w14:textFill>
        </w:rPr>
        <w:t>011</w:t>
      </w:r>
      <w:r>
        <w:rPr>
          <w:rFonts w:ascii="Times New Roman" w:hAnsi="Times New Roman" w:cs="Times New Roman"/>
          <w:color w:val="000000" w:themeColor="text1"/>
          <w:sz w:val="24"/>
          <w14:textFill>
            <w14:solidFill>
              <w14:schemeClr w14:val="tx1"/>
            </w14:solidFill>
          </w14:textFill>
        </w:rPr>
        <w:t>, 0.</w:t>
      </w:r>
      <w:r>
        <w:rPr>
          <w:rFonts w:hint="eastAsia" w:ascii="Times New Roman" w:hAnsi="Times New Roman" w:cs="Times New Roman"/>
          <w:color w:val="000000" w:themeColor="text1"/>
          <w:sz w:val="24"/>
          <w14:textFill>
            <w14:solidFill>
              <w14:schemeClr w14:val="tx1"/>
            </w14:solidFill>
          </w14:textFill>
        </w:rPr>
        <w:t>334</w:t>
      </w:r>
      <w:r>
        <w:rPr>
          <w:rFonts w:ascii="Times New Roman" w:hAnsi="Times New Roman" w:cs="Times New Roman"/>
          <w:color w:val="000000" w:themeColor="text1"/>
          <w:sz w:val="24"/>
          <w14:textFill>
            <w14:solidFill>
              <w14:schemeClr w14:val="tx1"/>
            </w14:solidFill>
          </w14:textFill>
        </w:rPr>
        <w:t xml:space="preserve">] for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and [0.273, 0.</w:t>
      </w:r>
      <w:r>
        <w:rPr>
          <w:rFonts w:hint="eastAsia" w:ascii="Times New Roman" w:hAnsi="Times New Roman" w:cs="Times New Roman"/>
          <w:color w:val="000000" w:themeColor="text1"/>
          <w:sz w:val="24"/>
          <w14:textFill>
            <w14:solidFill>
              <w14:schemeClr w14:val="tx1"/>
            </w14:solidFill>
          </w14:textFill>
        </w:rPr>
        <w:t>601</w:t>
      </w:r>
      <w:r>
        <w:rPr>
          <w:rFonts w:ascii="Times New Roman" w:hAnsi="Times New Roman" w:cs="Times New Roman"/>
          <w:color w:val="000000" w:themeColor="text1"/>
          <w:sz w:val="24"/>
          <w14:textFill>
            <w14:solidFill>
              <w14:schemeClr w14:val="tx1"/>
            </w14:solidFill>
          </w14:textFill>
        </w:rPr>
        <w:t xml:space="preserve">] for </w:t>
      </w:r>
      <w:r>
        <w:rPr>
          <w:rFonts w:hint="eastAsia" w:ascii="Times New Roman" w:hAnsi="Times New Roman" w:cs="Times New Roman"/>
          <w:color w:val="000000" w:themeColor="text1"/>
          <w:sz w:val="24"/>
          <w14:textFill>
            <w14:solidFill>
              <w14:schemeClr w14:val="tx1"/>
            </w14:solidFill>
          </w14:textFill>
        </w:rPr>
        <w:t>learning motivation</w:t>
      </w:r>
      <w:r>
        <w:rPr>
          <w:rFonts w:ascii="Times New Roman" w:hAnsi="Times New Roman" w:cs="Times New Roman"/>
          <w:color w:val="000000" w:themeColor="text1"/>
          <w:sz w:val="24"/>
          <w14:textFill>
            <w14:solidFill>
              <w14:schemeClr w14:val="tx1"/>
            </w14:solidFill>
          </w14:textFill>
        </w:rPr>
        <w:t xml:space="preserve">, both of which exclude zero. This provides strong evidence for the partial mediating role of </w:t>
      </w:r>
      <w:r>
        <w:rPr>
          <w:rFonts w:hint="eastAsia" w:ascii="Times New Roman" w:hAnsi="Times New Roman" w:cs="Times New Roman"/>
          <w:color w:val="000000" w:themeColor="text1"/>
          <w:sz w:val="24"/>
          <w14:textFill>
            <w14:solidFill>
              <w14:schemeClr w14:val="tx1"/>
            </w14:solidFill>
          </w14:textFill>
        </w:rPr>
        <w:t>learning motivation</w:t>
      </w:r>
      <w:r>
        <w:rPr>
          <w:rFonts w:ascii="Times New Roman" w:hAnsi="Times New Roman" w:cs="Times New Roman"/>
          <w:color w:val="000000" w:themeColor="text1"/>
          <w:sz w:val="24"/>
          <w14:textFill>
            <w14:solidFill>
              <w14:schemeClr w14:val="tx1"/>
            </w14:solidFill>
          </w14:textFill>
        </w:rPr>
        <w:t xml:space="preserve"> in the relationship between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and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indicating that </w:t>
      </w:r>
      <w:r>
        <w:rPr>
          <w:rFonts w:hint="eastAsia" w:ascii="Times New Roman" w:hAnsi="Times New Roman" w:cs="Times New Roman"/>
          <w:color w:val="000000" w:themeColor="text1"/>
          <w:sz w:val="24"/>
          <w14:textFill>
            <w14:solidFill>
              <w14:schemeClr w14:val="tx1"/>
            </w14:solidFill>
          </w14:textFill>
        </w:rPr>
        <w:t>speaking anxiety</w:t>
      </w:r>
      <w:r>
        <w:rPr>
          <w:rFonts w:ascii="Times New Roman" w:hAnsi="Times New Roman" w:cs="Times New Roman"/>
          <w:color w:val="000000" w:themeColor="text1"/>
          <w:sz w:val="24"/>
          <w14:textFill>
            <w14:solidFill>
              <w14:schemeClr w14:val="tx1"/>
            </w14:solidFill>
          </w14:textFill>
        </w:rPr>
        <w:t xml:space="preserve"> impacts </w:t>
      </w:r>
      <w:r>
        <w:rPr>
          <w:rFonts w:hint="eastAsia" w:ascii="Times New Roman" w:hAnsi="Times New Roman" w:cs="Times New Roman"/>
          <w:color w:val="000000" w:themeColor="text1"/>
          <w:sz w:val="24"/>
          <w14:textFill>
            <w14:solidFill>
              <w14:schemeClr w14:val="tx1"/>
            </w14:solidFill>
          </w14:textFill>
        </w:rPr>
        <w:t>learning attitude</w:t>
      </w:r>
      <w:r>
        <w:rPr>
          <w:rFonts w:ascii="Times New Roman" w:hAnsi="Times New Roman" w:cs="Times New Roman"/>
          <w:color w:val="000000" w:themeColor="text1"/>
          <w:sz w:val="24"/>
          <w14:textFill>
            <w14:solidFill>
              <w14:schemeClr w14:val="tx1"/>
            </w14:solidFill>
          </w14:textFill>
        </w:rPr>
        <w:t xml:space="preserve"> both directly and indirectly through the enhancement of </w:t>
      </w:r>
      <w:r>
        <w:rPr>
          <w:rFonts w:hint="eastAsia" w:ascii="Times New Roman" w:hAnsi="Times New Roman" w:cs="Times New Roman"/>
          <w:color w:val="000000" w:themeColor="text1"/>
          <w:sz w:val="24"/>
          <w14:textFill>
            <w14:solidFill>
              <w14:schemeClr w14:val="tx1"/>
            </w14:solidFill>
          </w14:textFill>
        </w:rPr>
        <w:t>learning motivation</w:t>
      </w:r>
      <w:r>
        <w:rPr>
          <w:rFonts w:ascii="Times New Roman" w:hAnsi="Times New Roman" w:cs="Times New Roman"/>
          <w:color w:val="000000" w:themeColor="text1"/>
          <w:sz w:val="24"/>
          <w14:textFill>
            <w14:solidFill>
              <w14:schemeClr w14:val="tx1"/>
            </w14:solidFill>
          </w14:textFill>
        </w:rPr>
        <w:t xml:space="preserve">. These findings highlight the importance of addressing both language anxiety and learning motivation in educational contexts. </w:t>
      </w:r>
    </w:p>
    <w:p w14:paraId="56E55098">
      <w:pPr>
        <w:rPr>
          <w:rFonts w:ascii="Times New Roman" w:hAnsi="Times New Roman" w:cs="Times New Roman"/>
          <w:b/>
          <w:bCs/>
          <w:color w:val="000000" w:themeColor="text1"/>
          <w:sz w:val="24"/>
          <w14:textFill>
            <w14:solidFill>
              <w14:schemeClr w14:val="tx1"/>
            </w14:solidFill>
          </w14:textFill>
        </w:rPr>
      </w:pPr>
    </w:p>
    <w:p w14:paraId="0954B080">
      <w:pPr>
        <w:autoSpaceDE w:val="0"/>
        <w:autoSpaceDN w:val="0"/>
        <w:jc w:val="center"/>
        <w:rPr>
          <w:rFonts w:ascii="Times New Roman" w:hAnsi="Times New Roman" w:eastAsia="黑体" w:cs="Times New Roman"/>
          <w:b/>
          <w:bCs/>
          <w:color w:val="FF0000"/>
          <w:kern w:val="0"/>
          <w:sz w:val="24"/>
          <w:lang w:bidi="en-US"/>
        </w:rPr>
      </w:pPr>
      <w:r>
        <w:rPr>
          <w:rFonts w:ascii="Times New Roman" w:hAnsi="Times New Roman" w:eastAsia="黑体" w:cs="Times New Roman"/>
          <w:b/>
          <w:bCs/>
          <w:color w:val="FF0000"/>
          <w:kern w:val="0"/>
          <w:sz w:val="24"/>
          <w:lang w:val="en-GB" w:eastAsia="en-US" w:bidi="en-US"/>
        </w:rPr>
        <w:t xml:space="preserve">Table </w:t>
      </w:r>
      <w:r>
        <w:rPr>
          <w:rFonts w:ascii="Times New Roman" w:hAnsi="Times New Roman" w:eastAsia="黑体" w:cs="Times New Roman"/>
          <w:b/>
          <w:bCs/>
          <w:color w:val="FF0000"/>
          <w:kern w:val="0"/>
          <w:sz w:val="24"/>
          <w:lang w:bidi="en-US"/>
        </w:rPr>
        <w:t>7 Bootstrap for Coefficients</w:t>
      </w:r>
    </w:p>
    <w:tbl>
      <w:tblPr>
        <w:tblStyle w:val="6"/>
        <w:tblW w:w="0" w:type="auto"/>
        <w:jc w:val="center"/>
        <w:tblLayout w:type="autofit"/>
        <w:tblCellMar>
          <w:top w:w="0" w:type="dxa"/>
          <w:left w:w="57" w:type="dxa"/>
          <w:bottom w:w="0" w:type="dxa"/>
          <w:right w:w="57" w:type="dxa"/>
        </w:tblCellMar>
      </w:tblPr>
      <w:tblGrid>
        <w:gridCol w:w="768"/>
        <w:gridCol w:w="654"/>
        <w:gridCol w:w="654"/>
        <w:gridCol w:w="654"/>
        <w:gridCol w:w="654"/>
        <w:gridCol w:w="735"/>
        <w:gridCol w:w="654"/>
        <w:gridCol w:w="774"/>
        <w:gridCol w:w="735"/>
        <w:gridCol w:w="1075"/>
        <w:gridCol w:w="1063"/>
      </w:tblGrid>
      <w:tr w14:paraId="6970C1E7">
        <w:tblPrEx>
          <w:tblCellMar>
            <w:top w:w="0" w:type="dxa"/>
            <w:left w:w="57" w:type="dxa"/>
            <w:bottom w:w="0" w:type="dxa"/>
            <w:right w:w="57" w:type="dxa"/>
          </w:tblCellMar>
        </w:tblPrEx>
        <w:trPr>
          <w:trHeight w:val="909" w:hRule="atLeast"/>
          <w:jc w:val="center"/>
        </w:trPr>
        <w:tc>
          <w:tcPr>
            <w:tcW w:w="0" w:type="auto"/>
            <w:tcBorders>
              <w:top w:val="single" w:color="auto" w:sz="4" w:space="0"/>
              <w:bottom w:val="single" w:color="auto" w:sz="4" w:space="0"/>
            </w:tcBorders>
            <w:shd w:val="clear" w:color="auto" w:fill="auto"/>
            <w:vAlign w:val="center"/>
          </w:tcPr>
          <w:p w14:paraId="5B80885D">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Model</w:t>
            </w:r>
          </w:p>
        </w:tc>
        <w:tc>
          <w:tcPr>
            <w:tcW w:w="0" w:type="auto"/>
            <w:tcBorders>
              <w:top w:val="single" w:color="auto" w:sz="4" w:space="0"/>
              <w:bottom w:val="single" w:color="auto" w:sz="4" w:space="0"/>
            </w:tcBorders>
            <w:shd w:val="clear" w:color="auto" w:fill="auto"/>
            <w:vAlign w:val="center"/>
          </w:tcPr>
          <w:p w14:paraId="2405C93F">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B</w:t>
            </w:r>
          </w:p>
        </w:tc>
        <w:tc>
          <w:tcPr>
            <w:tcW w:w="0" w:type="auto"/>
            <w:tcBorders>
              <w:top w:val="single" w:color="auto" w:sz="4" w:space="0"/>
              <w:bottom w:val="single" w:color="auto" w:sz="4" w:space="0"/>
            </w:tcBorders>
            <w:shd w:val="clear" w:color="auto" w:fill="auto"/>
            <w:vAlign w:val="center"/>
          </w:tcPr>
          <w:p w14:paraId="5A1FF3D1">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SE B</w:t>
            </w:r>
          </w:p>
        </w:tc>
        <w:tc>
          <w:tcPr>
            <w:tcW w:w="0" w:type="auto"/>
            <w:tcBorders>
              <w:top w:val="single" w:color="auto" w:sz="4" w:space="0"/>
              <w:bottom w:val="single" w:color="auto" w:sz="4" w:space="0"/>
            </w:tcBorders>
            <w:shd w:val="clear" w:color="auto" w:fill="auto"/>
            <w:vAlign w:val="center"/>
          </w:tcPr>
          <w:p w14:paraId="34D56711">
            <w:pPr>
              <w:jc w:val="center"/>
              <w:rPr>
                <w:rFonts w:ascii="Times New Roman" w:hAnsi="Times New Roman" w:cs="Times New Roman"/>
                <w:b/>
                <w:bCs/>
                <w:color w:val="FF0000"/>
                <w:sz w:val="24"/>
              </w:rPr>
            </w:pPr>
            <w:r>
              <w:rPr>
                <w:rFonts w:ascii="Times New Roman" w:hAnsi="Times New Roman" w:cs="Times New Roman"/>
                <w:b/>
                <w:bCs/>
                <w:color w:val="FF0000"/>
                <w:sz w:val="24"/>
              </w:rPr>
              <w:t>β</w:t>
            </w:r>
          </w:p>
        </w:tc>
        <w:tc>
          <w:tcPr>
            <w:tcW w:w="0" w:type="auto"/>
            <w:tcBorders>
              <w:top w:val="single" w:color="auto" w:sz="4" w:space="0"/>
              <w:bottom w:val="single" w:color="auto" w:sz="4" w:space="0"/>
            </w:tcBorders>
            <w:shd w:val="clear" w:color="auto" w:fill="auto"/>
            <w:vAlign w:val="center"/>
          </w:tcPr>
          <w:p w14:paraId="3B55C89A">
            <w:pPr>
              <w:jc w:val="center"/>
              <w:rPr>
                <w:rFonts w:ascii="Times New Roman" w:hAnsi="Times New Roman" w:eastAsia="宋体" w:cs="Times New Roman"/>
                <w:b/>
                <w:bCs/>
                <w:color w:val="FF0000"/>
                <w:sz w:val="24"/>
              </w:rPr>
            </w:pPr>
            <w:r>
              <w:rPr>
                <w:rFonts w:ascii="Times New Roman" w:hAnsi="Times New Roman" w:cs="Times New Roman"/>
                <w:b/>
                <w:bCs/>
                <w:color w:val="FF0000"/>
                <w:sz w:val="24"/>
              </w:rPr>
              <w:t>t</w:t>
            </w:r>
          </w:p>
        </w:tc>
        <w:tc>
          <w:tcPr>
            <w:tcW w:w="0" w:type="auto"/>
            <w:tcBorders>
              <w:top w:val="single" w:color="auto" w:sz="4" w:space="0"/>
              <w:bottom w:val="single" w:color="auto" w:sz="4" w:space="0"/>
            </w:tcBorders>
            <w:shd w:val="clear" w:color="auto" w:fill="auto"/>
            <w:vAlign w:val="center"/>
          </w:tcPr>
          <w:p w14:paraId="1F48129E">
            <w:pPr>
              <w:jc w:val="center"/>
              <w:rPr>
                <w:rFonts w:ascii="Times New Roman" w:hAnsi="Times New Roman" w:eastAsia="宋体" w:cs="Times New Roman"/>
                <w:b/>
                <w:bCs/>
                <w:color w:val="FF0000"/>
                <w:sz w:val="24"/>
              </w:rPr>
            </w:pPr>
            <w:r>
              <w:rPr>
                <w:rFonts w:ascii="Times New Roman" w:hAnsi="Times New Roman" w:cs="Times New Roman"/>
                <w:b/>
                <w:bCs/>
                <w:color w:val="FF0000"/>
                <w:sz w:val="24"/>
              </w:rPr>
              <w:t>p</w:t>
            </w:r>
          </w:p>
        </w:tc>
        <w:tc>
          <w:tcPr>
            <w:tcW w:w="0" w:type="auto"/>
            <w:tcBorders>
              <w:top w:val="single" w:color="auto" w:sz="4" w:space="0"/>
              <w:bottom w:val="single" w:color="auto" w:sz="4" w:space="0"/>
            </w:tcBorders>
            <w:shd w:val="clear" w:color="auto" w:fill="auto"/>
            <w:vAlign w:val="center"/>
          </w:tcPr>
          <w:p w14:paraId="73F1EC6B">
            <w:pPr>
              <w:jc w:val="center"/>
              <w:rPr>
                <w:rFonts w:ascii="Times New Roman" w:hAnsi="Times New Roman" w:cs="Times New Roman"/>
                <w:b/>
                <w:bCs/>
                <w:color w:val="FF0000"/>
                <w:sz w:val="24"/>
              </w:rPr>
            </w:pPr>
            <w:r>
              <w:rPr>
                <w:rFonts w:ascii="Times New Roman" w:hAnsi="Times New Roman" w:cs="Times New Roman"/>
                <w:b/>
                <w:bCs/>
                <w:color w:val="FF0000"/>
                <w:sz w:val="24"/>
              </w:rPr>
              <w:t>R²</w:t>
            </w:r>
          </w:p>
        </w:tc>
        <w:tc>
          <w:tcPr>
            <w:tcW w:w="0" w:type="auto"/>
            <w:tcBorders>
              <w:top w:val="single" w:color="auto" w:sz="4" w:space="0"/>
              <w:bottom w:val="single" w:color="auto" w:sz="4" w:space="0"/>
            </w:tcBorders>
            <w:shd w:val="clear" w:color="auto" w:fill="auto"/>
            <w:vAlign w:val="center"/>
          </w:tcPr>
          <w:p w14:paraId="4280C30A">
            <w:pPr>
              <w:jc w:val="center"/>
              <w:rPr>
                <w:rFonts w:ascii="Times New Roman" w:hAnsi="Times New Roman" w:cs="Times New Roman"/>
                <w:b/>
                <w:bCs/>
                <w:color w:val="FF0000"/>
                <w:sz w:val="24"/>
              </w:rPr>
            </w:pPr>
            <w:r>
              <w:rPr>
                <w:rFonts w:ascii="Times New Roman" w:hAnsi="Times New Roman" w:cs="Times New Roman"/>
                <w:b/>
                <w:bCs/>
                <w:color w:val="FF0000"/>
                <w:sz w:val="24"/>
              </w:rPr>
              <w:t>F</w:t>
            </w:r>
          </w:p>
        </w:tc>
        <w:tc>
          <w:tcPr>
            <w:tcW w:w="0" w:type="auto"/>
            <w:tcBorders>
              <w:top w:val="single" w:color="auto" w:sz="4" w:space="0"/>
              <w:bottom w:val="single" w:color="auto" w:sz="4" w:space="0"/>
            </w:tcBorders>
            <w:shd w:val="clear" w:color="auto" w:fill="auto"/>
            <w:vAlign w:val="center"/>
          </w:tcPr>
          <w:p w14:paraId="492D500F">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Sig.</w:t>
            </w:r>
          </w:p>
        </w:tc>
        <w:tc>
          <w:tcPr>
            <w:tcW w:w="0" w:type="auto"/>
            <w:tcBorders>
              <w:top w:val="single" w:color="auto" w:sz="4" w:space="0"/>
              <w:bottom w:val="single" w:color="auto" w:sz="4" w:space="0"/>
            </w:tcBorders>
            <w:shd w:val="clear" w:color="auto" w:fill="auto"/>
            <w:vAlign w:val="center"/>
          </w:tcPr>
          <w:p w14:paraId="53065747">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95% CI Lower</w:t>
            </w:r>
          </w:p>
        </w:tc>
        <w:tc>
          <w:tcPr>
            <w:tcW w:w="0" w:type="auto"/>
            <w:tcBorders>
              <w:top w:val="single" w:color="auto" w:sz="4" w:space="0"/>
              <w:bottom w:val="single" w:color="auto" w:sz="4" w:space="0"/>
            </w:tcBorders>
            <w:shd w:val="clear" w:color="auto" w:fill="auto"/>
            <w:vAlign w:val="center"/>
          </w:tcPr>
          <w:p w14:paraId="211D74A5">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95% CI Upper</w:t>
            </w:r>
          </w:p>
        </w:tc>
      </w:tr>
      <w:tr w14:paraId="1CDBD03C">
        <w:tblPrEx>
          <w:tblCellMar>
            <w:top w:w="0" w:type="dxa"/>
            <w:left w:w="57" w:type="dxa"/>
            <w:bottom w:w="0" w:type="dxa"/>
            <w:right w:w="57" w:type="dxa"/>
          </w:tblCellMar>
        </w:tblPrEx>
        <w:trPr>
          <w:trHeight w:val="397" w:hRule="atLeast"/>
          <w:jc w:val="center"/>
        </w:trPr>
        <w:tc>
          <w:tcPr>
            <w:tcW w:w="0" w:type="auto"/>
            <w:tcBorders>
              <w:top w:val="single" w:color="auto" w:sz="4" w:space="0"/>
            </w:tcBorders>
            <w:shd w:val="clear" w:color="auto" w:fill="auto"/>
            <w:vAlign w:val="center"/>
          </w:tcPr>
          <w:p w14:paraId="63FF68D2">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SA</w:t>
            </w:r>
          </w:p>
        </w:tc>
        <w:tc>
          <w:tcPr>
            <w:tcW w:w="0" w:type="auto"/>
            <w:tcBorders>
              <w:top w:val="single" w:color="auto" w:sz="4" w:space="0"/>
            </w:tcBorders>
            <w:shd w:val="clear" w:color="auto" w:fill="auto"/>
            <w:vAlign w:val="center"/>
          </w:tcPr>
          <w:p w14:paraId="6ABBF737">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0.165</w:t>
            </w:r>
          </w:p>
        </w:tc>
        <w:tc>
          <w:tcPr>
            <w:tcW w:w="0" w:type="auto"/>
            <w:tcBorders>
              <w:top w:val="single" w:color="auto" w:sz="4" w:space="0"/>
            </w:tcBorders>
            <w:shd w:val="clear" w:color="auto" w:fill="auto"/>
            <w:vAlign w:val="center"/>
          </w:tcPr>
          <w:p w14:paraId="1CE5B4D6">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0.081</w:t>
            </w:r>
          </w:p>
        </w:tc>
        <w:tc>
          <w:tcPr>
            <w:tcW w:w="0" w:type="auto"/>
            <w:tcBorders>
              <w:top w:val="single" w:color="auto" w:sz="4" w:space="0"/>
            </w:tcBorders>
            <w:shd w:val="clear" w:color="auto" w:fill="auto"/>
            <w:vAlign w:val="center"/>
          </w:tcPr>
          <w:p w14:paraId="0F379614">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0.158</w:t>
            </w:r>
          </w:p>
        </w:tc>
        <w:tc>
          <w:tcPr>
            <w:tcW w:w="0" w:type="auto"/>
            <w:tcBorders>
              <w:top w:val="single" w:color="auto" w:sz="4" w:space="0"/>
            </w:tcBorders>
            <w:shd w:val="clear" w:color="auto" w:fill="auto"/>
            <w:vAlign w:val="center"/>
          </w:tcPr>
          <w:p w14:paraId="5DE866CF">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2.435</w:t>
            </w:r>
          </w:p>
        </w:tc>
        <w:tc>
          <w:tcPr>
            <w:tcW w:w="0" w:type="auto"/>
            <w:tcBorders>
              <w:top w:val="single" w:color="auto" w:sz="4" w:space="0"/>
            </w:tcBorders>
            <w:shd w:val="clear" w:color="auto" w:fill="auto"/>
            <w:vAlign w:val="center"/>
          </w:tcPr>
          <w:p w14:paraId="7CDE57F3">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0.016</w:t>
            </w:r>
          </w:p>
        </w:tc>
        <w:tc>
          <w:tcPr>
            <w:tcW w:w="0" w:type="auto"/>
            <w:vMerge w:val="restart"/>
            <w:tcBorders>
              <w:top w:val="single" w:color="auto" w:sz="4" w:space="0"/>
            </w:tcBorders>
            <w:shd w:val="clear" w:color="auto" w:fill="auto"/>
            <w:vAlign w:val="center"/>
          </w:tcPr>
          <w:p w14:paraId="074F3398">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0.294</w:t>
            </w:r>
          </w:p>
        </w:tc>
        <w:tc>
          <w:tcPr>
            <w:tcW w:w="0" w:type="auto"/>
            <w:vMerge w:val="restart"/>
            <w:tcBorders>
              <w:top w:val="single" w:color="auto" w:sz="4" w:space="0"/>
            </w:tcBorders>
            <w:shd w:val="clear" w:color="auto" w:fill="auto"/>
            <w:vAlign w:val="center"/>
          </w:tcPr>
          <w:p w14:paraId="247360E4">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40.613</w:t>
            </w:r>
          </w:p>
        </w:tc>
        <w:tc>
          <w:tcPr>
            <w:tcW w:w="0" w:type="auto"/>
            <w:tcBorders>
              <w:top w:val="single" w:color="auto" w:sz="4" w:space="0"/>
            </w:tcBorders>
            <w:shd w:val="clear" w:color="auto" w:fill="auto"/>
            <w:vAlign w:val="center"/>
          </w:tcPr>
          <w:p w14:paraId="65B07333">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0.051</w:t>
            </w:r>
          </w:p>
        </w:tc>
        <w:tc>
          <w:tcPr>
            <w:tcW w:w="0" w:type="auto"/>
            <w:tcBorders>
              <w:top w:val="single" w:color="auto" w:sz="4" w:space="0"/>
            </w:tcBorders>
            <w:shd w:val="clear" w:color="auto" w:fill="auto"/>
            <w:vAlign w:val="center"/>
          </w:tcPr>
          <w:p w14:paraId="07A81641">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0.011</w:t>
            </w:r>
          </w:p>
        </w:tc>
        <w:tc>
          <w:tcPr>
            <w:tcW w:w="0" w:type="auto"/>
            <w:tcBorders>
              <w:top w:val="single" w:color="auto" w:sz="4" w:space="0"/>
            </w:tcBorders>
            <w:shd w:val="clear" w:color="auto" w:fill="auto"/>
            <w:vAlign w:val="center"/>
          </w:tcPr>
          <w:p w14:paraId="7AF0BFF7">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0.334</w:t>
            </w:r>
          </w:p>
        </w:tc>
      </w:tr>
      <w:tr w14:paraId="604D8CC0">
        <w:tblPrEx>
          <w:tblCellMar>
            <w:top w:w="0" w:type="dxa"/>
            <w:left w:w="57" w:type="dxa"/>
            <w:bottom w:w="0" w:type="dxa"/>
            <w:right w:w="57" w:type="dxa"/>
          </w:tblCellMar>
        </w:tblPrEx>
        <w:trPr>
          <w:trHeight w:val="375" w:hRule="atLeast"/>
          <w:jc w:val="center"/>
        </w:trPr>
        <w:tc>
          <w:tcPr>
            <w:tcW w:w="0" w:type="auto"/>
            <w:tcBorders>
              <w:bottom w:val="single" w:color="auto" w:sz="4" w:space="0"/>
            </w:tcBorders>
            <w:shd w:val="clear" w:color="auto" w:fill="auto"/>
            <w:vAlign w:val="center"/>
          </w:tcPr>
          <w:p w14:paraId="36A24C44">
            <w:pPr>
              <w:jc w:val="center"/>
              <w:rPr>
                <w:rFonts w:ascii="Times New Roman" w:hAnsi="Times New Roman" w:eastAsia="宋体" w:cs="Times New Roman"/>
                <w:b/>
                <w:bCs/>
                <w:color w:val="FF0000"/>
                <w:sz w:val="24"/>
              </w:rPr>
            </w:pPr>
            <w:r>
              <w:rPr>
                <w:rFonts w:ascii="Times New Roman" w:hAnsi="Times New Roman" w:eastAsia="宋体" w:cs="Times New Roman"/>
                <w:b/>
                <w:bCs/>
                <w:color w:val="FF0000"/>
                <w:sz w:val="24"/>
              </w:rPr>
              <w:t>LM</w:t>
            </w:r>
          </w:p>
        </w:tc>
        <w:tc>
          <w:tcPr>
            <w:tcW w:w="0" w:type="auto"/>
            <w:tcBorders>
              <w:bottom w:val="single" w:color="auto" w:sz="4" w:space="0"/>
            </w:tcBorders>
            <w:shd w:val="clear" w:color="auto" w:fill="auto"/>
            <w:vAlign w:val="center"/>
          </w:tcPr>
          <w:p w14:paraId="1CBCFD40">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0.446</w:t>
            </w:r>
          </w:p>
        </w:tc>
        <w:tc>
          <w:tcPr>
            <w:tcW w:w="0" w:type="auto"/>
            <w:tcBorders>
              <w:bottom w:val="single" w:color="auto" w:sz="4" w:space="0"/>
            </w:tcBorders>
            <w:shd w:val="clear" w:color="auto" w:fill="auto"/>
            <w:vAlign w:val="center"/>
          </w:tcPr>
          <w:p w14:paraId="12AFAA4B">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0.087</w:t>
            </w:r>
          </w:p>
        </w:tc>
        <w:tc>
          <w:tcPr>
            <w:tcW w:w="0" w:type="auto"/>
            <w:tcBorders>
              <w:bottom w:val="single" w:color="auto" w:sz="4" w:space="0"/>
            </w:tcBorders>
            <w:shd w:val="clear" w:color="auto" w:fill="auto"/>
            <w:vAlign w:val="center"/>
          </w:tcPr>
          <w:p w14:paraId="2B777BAF">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0.463</w:t>
            </w:r>
          </w:p>
        </w:tc>
        <w:tc>
          <w:tcPr>
            <w:tcW w:w="0" w:type="auto"/>
            <w:tcBorders>
              <w:bottom w:val="single" w:color="auto" w:sz="4" w:space="0"/>
            </w:tcBorders>
            <w:shd w:val="clear" w:color="auto" w:fill="auto"/>
            <w:vAlign w:val="center"/>
          </w:tcPr>
          <w:p w14:paraId="6B14DBD8">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7.122</w:t>
            </w:r>
          </w:p>
        </w:tc>
        <w:tc>
          <w:tcPr>
            <w:tcW w:w="0" w:type="auto"/>
            <w:tcBorders>
              <w:bottom w:val="single" w:color="auto" w:sz="4" w:space="0"/>
            </w:tcBorders>
            <w:shd w:val="clear" w:color="auto" w:fill="auto"/>
            <w:vAlign w:val="center"/>
          </w:tcPr>
          <w:p w14:paraId="0CE691CB">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＜0.001</w:t>
            </w:r>
          </w:p>
        </w:tc>
        <w:tc>
          <w:tcPr>
            <w:tcW w:w="0" w:type="auto"/>
            <w:vMerge w:val="continue"/>
            <w:tcBorders>
              <w:bottom w:val="single" w:color="auto" w:sz="4" w:space="0"/>
            </w:tcBorders>
            <w:shd w:val="clear" w:color="auto" w:fill="auto"/>
            <w:vAlign w:val="center"/>
          </w:tcPr>
          <w:p w14:paraId="6E29A33C">
            <w:pPr>
              <w:jc w:val="center"/>
              <w:rPr>
                <w:rFonts w:ascii="Times New Roman" w:hAnsi="Times New Roman" w:eastAsia="宋体" w:cs="Times New Roman"/>
                <w:color w:val="FF0000"/>
                <w:sz w:val="24"/>
              </w:rPr>
            </w:pPr>
          </w:p>
        </w:tc>
        <w:tc>
          <w:tcPr>
            <w:tcW w:w="0" w:type="auto"/>
            <w:vMerge w:val="continue"/>
            <w:tcBorders>
              <w:bottom w:val="single" w:color="auto" w:sz="4" w:space="0"/>
            </w:tcBorders>
            <w:shd w:val="clear" w:color="auto" w:fill="auto"/>
            <w:vAlign w:val="center"/>
          </w:tcPr>
          <w:p w14:paraId="2B949B70">
            <w:pPr>
              <w:jc w:val="center"/>
              <w:rPr>
                <w:rFonts w:ascii="Times New Roman" w:hAnsi="Times New Roman" w:eastAsia="宋体" w:cs="Times New Roman"/>
                <w:color w:val="FF0000"/>
                <w:sz w:val="24"/>
              </w:rPr>
            </w:pPr>
          </w:p>
        </w:tc>
        <w:tc>
          <w:tcPr>
            <w:tcW w:w="0" w:type="auto"/>
            <w:tcBorders>
              <w:bottom w:val="single" w:color="auto" w:sz="4" w:space="0"/>
            </w:tcBorders>
            <w:shd w:val="clear" w:color="auto" w:fill="auto"/>
            <w:vAlign w:val="center"/>
          </w:tcPr>
          <w:p w14:paraId="4A8D3A83">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＜0.001</w:t>
            </w:r>
          </w:p>
        </w:tc>
        <w:tc>
          <w:tcPr>
            <w:tcW w:w="0" w:type="auto"/>
            <w:tcBorders>
              <w:bottom w:val="single" w:color="auto" w:sz="4" w:space="0"/>
            </w:tcBorders>
            <w:shd w:val="clear" w:color="auto" w:fill="auto"/>
            <w:vAlign w:val="center"/>
          </w:tcPr>
          <w:p w14:paraId="1421259C">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0.273</w:t>
            </w:r>
          </w:p>
        </w:tc>
        <w:tc>
          <w:tcPr>
            <w:tcW w:w="0" w:type="auto"/>
            <w:tcBorders>
              <w:bottom w:val="single" w:color="auto" w:sz="4" w:space="0"/>
            </w:tcBorders>
            <w:shd w:val="clear" w:color="auto" w:fill="auto"/>
            <w:vAlign w:val="center"/>
          </w:tcPr>
          <w:p w14:paraId="382B882E">
            <w:pPr>
              <w:jc w:val="center"/>
              <w:rPr>
                <w:rFonts w:ascii="Times New Roman" w:hAnsi="Times New Roman" w:eastAsia="宋体" w:cs="Times New Roman"/>
                <w:color w:val="FF0000"/>
                <w:sz w:val="24"/>
              </w:rPr>
            </w:pPr>
            <w:r>
              <w:rPr>
                <w:rFonts w:ascii="Times New Roman" w:hAnsi="Times New Roman" w:eastAsia="宋体" w:cs="Times New Roman"/>
                <w:color w:val="FF0000"/>
                <w:sz w:val="24"/>
              </w:rPr>
              <w:t>0.601</w:t>
            </w:r>
          </w:p>
        </w:tc>
      </w:tr>
    </w:tbl>
    <w:p w14:paraId="08EFA705">
      <w:pPr>
        <w:rPr>
          <w:rFonts w:ascii="Times New Roman" w:hAnsi="Times New Roman" w:cs="Times New Roman"/>
          <w:color w:val="FF0000"/>
          <w:sz w:val="24"/>
        </w:rPr>
      </w:pPr>
      <w:r>
        <w:rPr>
          <w:rFonts w:ascii="Times New Roman" w:hAnsi="Times New Roman" w:cs="Times New Roman"/>
          <w:color w:val="FF0000"/>
          <w:sz w:val="24"/>
        </w:rPr>
        <w:t>Note. B = Unstandardized Coefficient; SE B = Standard Error of B; β= Standardized Coefficient; p &lt; .001.</w:t>
      </w:r>
    </w:p>
    <w:p w14:paraId="3A5C68E3">
      <w:pPr>
        <w:rPr>
          <w:rFonts w:ascii="Times New Roman" w:hAnsi="Times New Roman" w:cs="Times New Roman"/>
          <w:color w:val="0000FF"/>
          <w:sz w:val="24"/>
        </w:rPr>
      </w:pPr>
    </w:p>
    <w:p w14:paraId="07976FE4">
      <w:pPr>
        <w:numPr>
          <w:ilvl w:val="0"/>
          <w:numId w:val="1"/>
        </w:numP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Discussion</w:t>
      </w:r>
    </w:p>
    <w:p w14:paraId="1C86E1DC">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study examined the influence of speaking anxiety on learners’ attitudes and explored the moderating effect of learning motivation on the relationship between speaking anxiety and learning attitudes. The results revealed that learners experienced significant levels of anxiety related to speaking English, a phenomenon well-documented in previous research (Damayanti &amp; Listyani, 2020; Dana &amp; Aminatun, 2022; Erdiana et al., 2020). Despite this, the study also found that non-English major undergraduates exhibited relatively high levels of motivation to learn, a finding consistent with prior studies (Pranawengtias, 2022; Suwartono, 2021). Moreover, the results indicated that learners demonstrated positive learning attitudes toward English, encompassing cognitive, behavioural, and emotional dimensions, which aligns with the findings of other researchers (Ahmed et al., 2021; Morganna et al., 2020; Yuan, 2020).</w:t>
      </w:r>
    </w:p>
    <w:p w14:paraId="564451BE">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This study identified multiple factors contributing to language anxiety, including interaction anxiety driven by the fear of making mistakes during communication, nervousness when addressing an audience, confidence anxiety stemming from a lack of belief in one’s language abilities, and ability anxiety related to uncertainties about one’s language proficiency. Additionally, anxiety is significantly heightened by the fear of negative evaluation and the stress experienced in testing situations. Collectively, these factors impair learners' language performance and diminish their confidence, thereby hindering their overall learning experience. The persistent nature of speaking anxiety presents a substantial challenge in language education, as it disrupts learners' self-perception of their abilities, often causing them to underestimate their performance (Zhou et al., 2023). This cycle of negative self-assessment can further intensify anxiety, creating a feedback loop that inhibits language learning and confidence development. Prior research has demonstrated that elevated language anxiety not only affects learners' psychological well-being but also reduces their fluency and accuracy, consequently limiting their effectiveness in real communication contexts (Dana &amp; Aminatun, 2022).</w:t>
      </w:r>
    </w:p>
    <w:p w14:paraId="302B6114">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This study explored various dimensions of learning motivation among undergraduates, encompassing intrinsic motivation, extrinsic motivation related to career and social factors, as well as amotivation. Intrinsic motivation, characterised by a genuine interest in learning and personal fulfilment, was found to be a significant driving factor (Shahid &amp; Paul, 2021). In parallel, extrinsic motivation, particularly motivations associated with career aspirations and social influences, also played a crucial role in shaping students' engagement with language learning. Conversely, the presence of amotivation, which reflects a lack of purpose or drive to engage in learning activities, indicated that some students experienced challenges in maintaining consistent motivation. The interplay between these motivational factors influences students' overall learning experiences. High levels of intrinsic and extrinsic motivation are linked to more active participation and commitment, which can enhance language acquisition and performance (Parsazadeh et al., 2021). However, the presence of amotivation underscores the need for targeted strategies to address motivational deficits. Understanding the complexity of learning motivation is critical, as it can directly influence learners' attitudes (Baaqeel, 2020), persistence (Nagle, 2021), and the effectiveness of their language learning efforts (Seven, 2020). Future research should examine interventions that can strengthen intrinsic and extrinsic motivation while mitigating the effects of amotivation to optimise educational outcomes.</w:t>
      </w:r>
    </w:p>
    <w:p w14:paraId="14A7111E">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This study examined various aspects of learners' attitudes toward English learning, focusing on cognitive, behavioural, and affective (emotional) dimensions. The cognitive dimension, which reflects learners' beliefs and perceptions about the importance of English, demonstrated a high level of positive engagement, suggesting that many students recognise the value of learning English for their academic and personal development. The behavioural dimension, indicating the actions students take to engage with language learning, also showed a generally proactive and committed approach. Similarly, the affective dimension</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revealed that students maintained a positive emotional connection, albeit slightly lower compared to the cognitive and behavioural components.</w:t>
      </w:r>
    </w:p>
    <w:p w14:paraId="1BC9D9CE">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These findings highlight the multifaceted nature of learning attitudes, where cognitive beliefs, active participation, and emotional reactions collectively shape the overall learning experience. A strong cognitive and behavioural attitude can facilitate better learning outcomes by motivating consistent practice and engagement (Wei et al.,</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2023). However, sustaining a positive emotional attitude is equally crucial, as it influences students' enjoyment and willingness to persevere through challenges (Laguador &amp; Dotong, 2020). Addressing all three dimensions holistically is essential for fostering a supportive and effective language learning environment. Future research could investigate strategies that enhance emotional well-being and engagement to further strengthen learners' attitudes toward English learning.</w:t>
      </w:r>
    </w:p>
    <w:p w14:paraId="375B37EC">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results of this study indicate a positive correlation between speaking anxiety and learning attitudes. It is noteworthy that a correlation exists between heightened speaking anxiety and positive learning attitudes and motivations, suggesting that anxiety may exert a motivational influence on students' learning attitudes (Bárkányi, 2021). This association may be ascribed to the motivating effect of anxiety, compelling students to exert greater effort in surmounting challenges and attaining learning objectives (Majali, 2020). The relationship between speaking anxiety and learning attitudes is complex and continues to generate scholarly debate. While some studies, such as Dewaele and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Proietti Ergün</w:t>
      </w:r>
      <w:r>
        <w:rPr>
          <w:rFonts w:ascii="Times New Roman" w:hAnsi="Times New Roman" w:cs="Times New Roman"/>
          <w:color w:val="000000" w:themeColor="text1"/>
          <w:sz w:val="24"/>
          <w14:textFill>
            <w14:solidFill>
              <w14:schemeClr w14:val="tx1"/>
            </w14:solidFill>
          </w14:textFill>
        </w:rPr>
        <w:t xml:space="preserve"> (2020), found no significant correlation between classroom anxiety and students' attitudes or motivations, others, like Le and</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Le (2022), reported that anxiety, curiosity, and awareness of English's importance for prospects positively influence learning attitudes. Additionally, Karagöl and Başbay (2018) identified a weak negative correlation between student anxiety and their attitudes toward English and speaking skills. These conflicting findings suggest that the influence of speaking anxiety on learning attitudes may vary depending on contextual and cultural factors. This study revealed a positive correlation between oral anxiety and learning attitudes, contrasting with some research indicating no specific connection (Dewaele &amp;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Proietti Ergün,</w:t>
      </w:r>
      <w:r>
        <w:rPr>
          <w:rFonts w:ascii="Times New Roman" w:hAnsi="Times New Roman" w:cs="Times New Roman"/>
          <w:color w:val="000000" w:themeColor="text1"/>
          <w:sz w:val="24"/>
          <w14:textFill>
            <w14:solidFill>
              <w14:schemeClr w14:val="tx1"/>
            </w14:solidFill>
          </w14:textFill>
        </w:rPr>
        <w:t xml:space="preserve"> 2020; Dewaele et al., 2022). </w:t>
      </w:r>
    </w:p>
    <w:p w14:paraId="5657F496">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These varying findings highlight the complexity of the relationship between speaking anxiety and learning attitudes, suggesting that the influence of anxiety on students’ attitudes may not be universal. The presence of cultural and contextual factors plays an important role in shaping how anxiety influences students' learning experiences. This could involve creating a supportive classroom environment that reduces the pressure of speaking, providing opportunities for students to build confidence through low-stakes practice. By recognising the diverse ways anxiety affects learning attitudes, educators can tailor their strategies to not only alleviate anxiety but also promote a constructive and engaging learning experience that encourages positive attitudes towards language acquisition.</w:t>
      </w:r>
    </w:p>
    <w:p w14:paraId="6EFAC9BC">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results of this study showed that learning motivation partially mediated the relationship between learning anxiety and learning attitude. This partial mediation suggests that while speaking anxiety has a direct influence on learners’ attitudes toward English learning, the presence of motivation can alleviate some of the negative effects of anxiety (Luo et al., 2020). Specifically, high levels of intrinsic and extrinsic motivation may help students reframe their anxiety more constructively, encouraging them to remain engaged and maintain a positive outlook on their language learning journey.</w:t>
      </w:r>
    </w:p>
    <w:p w14:paraId="4225EB64">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However, the mediation was only partial, indicating that motivation alone is not sufficient to entirely counterbalance the adverse effects of learning anxiety. Other factors, such as self-efficacy and peer support, may also play a role in shaping learning attitudes. These findings highlight the complexity of the interplay between anxiety, motivation, and attitude, emphasising the need for multifaceted interventions that address both emotional and motivational components. Educators and researchers should consider developing strategies that not only enhance motivation but also directly reduce anxiety, creating a more supportive and effective learning environment for students.</w:t>
      </w:r>
    </w:p>
    <w:p w14:paraId="479E9A4F">
      <w:pPr>
        <w:numPr>
          <w:ilvl w:val="0"/>
          <w:numId w:val="1"/>
        </w:numPr>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C</w:t>
      </w:r>
      <w:r>
        <w:rPr>
          <w:rFonts w:ascii="Times New Roman" w:hAnsi="Times New Roman" w:cs="Times New Roman"/>
          <w:b/>
          <w:bCs/>
          <w:color w:val="000000" w:themeColor="text1"/>
          <w:sz w:val="24"/>
          <w14:textFill>
            <w14:solidFill>
              <w14:schemeClr w14:val="tx1"/>
            </w14:solidFill>
          </w14:textFill>
        </w:rPr>
        <w:t>onclusion</w:t>
      </w:r>
    </w:p>
    <w:p w14:paraId="02840213">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Therefore, in conclusion, the findings revealed that speaking anxiety significantly influenced learners' attitudes toward English learning, with higher levels of anxiety leading to a positive learning attitude. Additionally, learning motivation was found to partially mediate this relationship, suggesting that motivation could mitigate some of the adverse effects of anxiety on learners' attitudes. The study also indicated that learners exhibited high levels of intrinsic motivation, with many students motivated by personal interest and academic goals. Furthermore, extrinsic motivation, particularly career-related factors, played an important role in shaping students' engagement with English learning.</w:t>
      </w:r>
    </w:p>
    <w:p w14:paraId="395BC501">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Similar to other studies, this research had several limitations. First, the study focused primarily on the relationship between speaking anxiety, motivation, and attitudes, but future research should also consider other factors that may influence these variables, such as self-efficacy and peer support. Second, the current study's sample consisted solely of undergraduates, so it would be valuable for future research to include students at different academic levels, such as high school or graduate students, to provide a broader perspective on these relationships. Third, while the study examined learning motivation and speaking anxiety, it did not explore their Influence on specific language skills such as writing, reading, or listening. Future research could extend this investigation to cover all aspects of language learning. Finally, the study used a limited set of questionnaires to measure the variables, and future studies could benefit from using a more comprehensive approach to ensure a more nuanced understanding of the complex relationships between these factors.</w:t>
      </w:r>
    </w:p>
    <w:p w14:paraId="53626173">
      <w:pPr>
        <w:ind w:firstLine="283"/>
        <w:jc w:val="left"/>
        <w:rPr>
          <w:rFonts w:ascii="Times New Roman" w:hAnsi="Times New Roman" w:cs="Times New Roman"/>
          <w:color w:val="000000" w:themeColor="text1"/>
          <w:sz w:val="24"/>
          <w14:textFill>
            <w14:solidFill>
              <w14:schemeClr w14:val="tx1"/>
            </w14:solidFill>
          </w14:textFill>
        </w:rPr>
      </w:pPr>
    </w:p>
    <w:p w14:paraId="4D877BE2">
      <w:pPr>
        <w:rPr>
          <w:highlight w:val="yellow"/>
        </w:rPr>
      </w:pPr>
      <w:r>
        <w:rPr>
          <w:highlight w:val="yellow"/>
        </w:rPr>
        <w:t>Disclaimer (Artificial intelligence)</w:t>
      </w:r>
    </w:p>
    <w:p w14:paraId="1B814879">
      <w:pPr>
        <w:rPr>
          <w:highlight w:val="yellow"/>
        </w:rPr>
      </w:pPr>
      <w:r>
        <w:rPr>
          <w:highlight w:val="yellow"/>
        </w:rPr>
        <w:t xml:space="preserve">Option 1: </w:t>
      </w:r>
    </w:p>
    <w:p w14:paraId="6853EF79">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5B3C406">
      <w:r>
        <w:t xml:space="preserve">Option 2: </w:t>
      </w:r>
    </w:p>
    <w:p w14:paraId="0817DC0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3785B9">
      <w:r>
        <w:t>Details of the AI usage are given below:</w:t>
      </w:r>
    </w:p>
    <w:p w14:paraId="1D496D08">
      <w:r>
        <w:t>1.</w:t>
      </w:r>
    </w:p>
    <w:p w14:paraId="11FC8143">
      <w:r>
        <w:t>2.</w:t>
      </w:r>
    </w:p>
    <w:p w14:paraId="1A6A5FF7">
      <w:r>
        <w:t>3.</w:t>
      </w:r>
    </w:p>
    <w:p w14:paraId="61C248CE">
      <w:pPr>
        <w:ind w:firstLine="283"/>
        <w:jc w:val="left"/>
        <w:rPr>
          <w:rFonts w:ascii="Times New Roman" w:hAnsi="Times New Roman" w:cs="Times New Roman"/>
          <w:color w:val="000000" w:themeColor="text1"/>
          <w:sz w:val="24"/>
          <w14:textFill>
            <w14:solidFill>
              <w14:schemeClr w14:val="tx1"/>
            </w14:solidFill>
          </w14:textFill>
        </w:rPr>
      </w:pPr>
    </w:p>
    <w:p w14:paraId="3D7B7A30">
      <w:pPr>
        <w:ind w:firstLine="283"/>
        <w:jc w:val="left"/>
        <w:rPr>
          <w:rFonts w:ascii="Times New Roman" w:hAnsi="Times New Roman" w:cs="Times New Roman"/>
          <w:color w:val="000000" w:themeColor="text1"/>
          <w:sz w:val="24"/>
          <w14:textFill>
            <w14:solidFill>
              <w14:schemeClr w14:val="tx1"/>
            </w14:solidFill>
          </w14:textFill>
        </w:rPr>
      </w:pPr>
    </w:p>
    <w:p w14:paraId="580FA516">
      <w:pPr>
        <w:widowControl/>
        <w:jc w:val="left"/>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br w:type="page"/>
      </w:r>
    </w:p>
    <w:p w14:paraId="649FFD23">
      <w:pPr>
        <w:keepNext/>
        <w:keepLines/>
        <w:spacing w:before="240" w:after="240"/>
        <w:jc w:val="left"/>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References</w:t>
      </w:r>
    </w:p>
    <w:p w14:paraId="281FD1F6">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Abdullaev, Z. K. (2021). Second language learning.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Mental Enlightenment Scientific-Methodological Journal</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(06), 1-11. </w:t>
      </w:r>
      <w:r>
        <w:fldChar w:fldCharType="begin"/>
      </w:r>
      <w:r>
        <w:instrText xml:space="preserve"> HYPERLINK "https://uzjournals.edu.uz/tziuj/vol2021/iss06/1" </w:instrText>
      </w:r>
      <w:r>
        <w:fldChar w:fldCharType="separate"/>
      </w:r>
      <w:r>
        <w:rPr>
          <w:rStyle w:val="10"/>
          <w:rFonts w:ascii="Times New Roman Regular" w:hAnsi="Times New Roman Regular" w:eastAsia="宋体" w:cs="Times New Roman Regular"/>
          <w:kern w:val="0"/>
          <w:sz w:val="24"/>
          <w:shd w:val="clear" w:color="auto" w:fill="FFFFFF"/>
          <w:lang w:bidi="ar"/>
        </w:rPr>
        <w:t>https://uzjournals.edu.uz/tziuj/vol2021/iss06/1</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44392DB7">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Abidin, M. J. Z., Pour-Mohammadi, M., &amp; Alzwari, H. (2012). EFL students' attitudes towards learning English language: The case of Libyan secondary school students.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Asian social science</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1. </w:t>
      </w:r>
      <w:r>
        <w:fldChar w:fldCharType="begin"/>
      </w:r>
      <w:r>
        <w:instrText xml:space="preserve"> HYPERLINK "http://dx.doi.org/10.5539/ass.v8n2p119" </w:instrText>
      </w:r>
      <w:r>
        <w:fldChar w:fldCharType="separate"/>
      </w:r>
      <w:r>
        <w:rPr>
          <w:rStyle w:val="10"/>
          <w:rFonts w:ascii="Times New Roman Regular" w:hAnsi="Times New Roman Regular" w:eastAsia="宋体" w:cs="Times New Roman Regular"/>
          <w:kern w:val="0"/>
          <w:sz w:val="24"/>
          <w:shd w:val="clear" w:color="auto" w:fill="FFFFFF"/>
          <w:lang w:bidi="ar"/>
        </w:rPr>
        <w:t>http://dx.doi.org/10.5539/ass.v8n2p119</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3C134CB">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Ahmed, S. A., Othman, B. J., Gardi, B., Sabir, B. Y., Ismael, N. B., Hamza, P. A., ... &amp; Anwar, G. (2021). Students’ attitudes towards learning English in the Kurdistan region of Iraq.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International Journal of English Literature and Social Sciences</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6</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(3), 072-087. Doi:10.22161/ijels</w:t>
      </w:r>
    </w:p>
    <w:p w14:paraId="0F74E04A">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Ahmetovic, E., Becirovic, S., &amp; Dubravac, V. (2020). Motivation, Anxiety and Students' Performance. </w:t>
      </w:r>
      <w:r>
        <w:rPr>
          <w:rFonts w:ascii="Times New Roman Regular" w:hAnsi="Times New Roman Regular" w:cs="Times New Roman Regular"/>
          <w:i/>
          <w:iCs/>
          <w:color w:val="000000" w:themeColor="text1"/>
          <w:sz w:val="24"/>
          <w14:textFill>
            <w14:solidFill>
              <w14:schemeClr w14:val="tx1"/>
            </w14:solidFill>
          </w14:textFill>
        </w:rPr>
        <w:t>European Journal of Contemporary Education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9</w:t>
      </w:r>
      <w:r>
        <w:rPr>
          <w:rFonts w:ascii="Times New Roman Regular" w:hAnsi="Times New Roman Regular" w:cs="Times New Roman Regular"/>
          <w:color w:val="000000" w:themeColor="text1"/>
          <w:sz w:val="24"/>
          <w14:textFill>
            <w14:solidFill>
              <w14:schemeClr w14:val="tx1"/>
            </w14:solidFill>
          </w14:textFill>
        </w:rPr>
        <w:t xml:space="preserve">(2), 271-289. Doi: 10.13187/ejced.2020.2.271 </w:t>
      </w:r>
    </w:p>
    <w:p w14:paraId="648A6D79">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Al-Khasawneh, F. M., &amp; Al-Omari, M. A. (2015). Motivations towards learning English: The case of Jordanian gifted students. </w:t>
      </w:r>
      <w:r>
        <w:rPr>
          <w:rFonts w:ascii="Times New Roman Regular" w:hAnsi="Times New Roman Regular" w:cs="Times New Roman Regular"/>
          <w:i/>
          <w:iCs/>
          <w:color w:val="000000" w:themeColor="text1"/>
          <w:sz w:val="24"/>
          <w14:textFill>
            <w14:solidFill>
              <w14:schemeClr w14:val="tx1"/>
            </w14:solidFill>
          </w14:textFill>
        </w:rPr>
        <w:t>International Journal of Education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7</w:t>
      </w:r>
      <w:r>
        <w:rPr>
          <w:rFonts w:ascii="Times New Roman Regular" w:hAnsi="Times New Roman Regular" w:cs="Times New Roman Regular"/>
          <w:color w:val="000000" w:themeColor="text1"/>
          <w:sz w:val="24"/>
          <w14:textFill>
            <w14:solidFill>
              <w14:schemeClr w14:val="tx1"/>
            </w14:solidFill>
          </w14:textFill>
        </w:rPr>
        <w:t xml:space="preserve">(2), 306-321. </w:t>
      </w:r>
      <w:r>
        <w:fldChar w:fldCharType="begin"/>
      </w:r>
      <w:r>
        <w:instrText xml:space="preserve"> HYPERLINK "http://dx.doi.org/10.5296/ije.v7i2.7699" </w:instrText>
      </w:r>
      <w:r>
        <w:fldChar w:fldCharType="separate"/>
      </w:r>
      <w:r>
        <w:rPr>
          <w:rStyle w:val="10"/>
          <w:rFonts w:ascii="Times New Roman Regular" w:hAnsi="Times New Roman Regular" w:cs="Times New Roman Regular"/>
          <w:sz w:val="24"/>
        </w:rPr>
        <w:t>http://dx.doi.org/10.5296/ije.v7i2.7699</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73F9F2D5">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Astalini, A., Darmaji, M. I., Kuswanto, R. P., Anggraini, L., &amp; Putra, I. (2020). Attitude and self-confidence of students in learning natural sciences: Rural and urban junior high school.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Universal Journal of Educational Research</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(6), 2569-2577. Doi: 10.13189/ujer.2020.080640</w:t>
      </w:r>
    </w:p>
    <w:p w14:paraId="329A51E8">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Aydin, S. (2008). An Investigation on the Language Anxiety and Fear of Negative Evaluation among Turkish EFL Learners.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Online Submission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t>
      </w:r>
    </w:p>
    <w:p w14:paraId="5023109E">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Aydin, S. (2013). Factors affecting the level of test anxiety among EFL learners at elementary schools.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Online Submission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(1), 63-81.</w:t>
      </w:r>
    </w:p>
    <w:p w14:paraId="42EF19BF">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Aydın, S., Yerdelen, S., Yalmancı, S. G., &amp; Göksu, V. (2014). Academic Motivation Scale for Learning Biology: A Scale Development Study.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Education &amp; Science/Egitim Ve Bilim</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39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(176). doi: 10.15390/EB.2014.3678</w:t>
      </w:r>
    </w:p>
    <w:p w14:paraId="1D593CDC">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Baaqeel, N. A. (2020). Improving Student Motivation and Attitudes in Learning English as a Second Language; Literature as Pleasurable Reading: Applying Garner's Theory of Multiple Intelligences and Krashen's Filter Hypothesis.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Arab World English Journal</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w:t>
      </w:r>
      <w:r>
        <w:fldChar w:fldCharType="begin"/>
      </w:r>
      <w:r>
        <w:instrText xml:space="preserve"> HYPERLINK "http://dx.doi.org/10.24093/awejtls/vol4no1.4" </w:instrText>
      </w:r>
      <w:r>
        <w:fldChar w:fldCharType="separate"/>
      </w:r>
      <w:r>
        <w:rPr>
          <w:rStyle w:val="10"/>
          <w:rFonts w:ascii="Times New Roman Regular" w:hAnsi="Times New Roman Regular" w:eastAsia="宋体" w:cs="Times New Roman Regular"/>
          <w:kern w:val="0"/>
          <w:sz w:val="24"/>
          <w:shd w:val="clear" w:color="auto" w:fill="FFFFFF"/>
          <w:lang w:bidi="ar"/>
        </w:rPr>
        <w:t>http://dx.doi.org/10.24093/awejtls/vol4no1.4</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56130E35">
      <w:pPr>
        <w:widowControl/>
        <w:ind w:left="360" w:hanging="360" w:hangingChars="150"/>
        <w:jc w:val="left"/>
        <w:rPr>
          <w:rFonts w:ascii="Times New Roman Regular" w:hAnsi="Times New Roman Regular" w:eastAsia="宋体" w:cs="Times New Roman Regular"/>
          <w:kern w:val="0"/>
          <w:sz w:val="24"/>
          <w:shd w:val="clear" w:color="auto" w:fill="FFFFFF"/>
          <w:lang w:bidi="ar"/>
        </w:rPr>
      </w:pPr>
      <w:r>
        <w:rPr>
          <w:rFonts w:ascii="Times New Roman Regular" w:hAnsi="Times New Roman Regular" w:eastAsia="宋体" w:cs="Times New Roman Regular"/>
          <w:kern w:val="0"/>
          <w:sz w:val="24"/>
          <w:shd w:val="clear" w:color="auto" w:fill="FFFFFF"/>
          <w:lang w:bidi="ar"/>
        </w:rPr>
        <w:t>Bao, Y., &amp; Liu, S. (2021). The influence of affective factors in second language acquisition on foreign language teaching. </w:t>
      </w:r>
      <w:r>
        <w:rPr>
          <w:rFonts w:ascii="Times New Roman Regular" w:hAnsi="Times New Roman Regular" w:eastAsia="宋体" w:cs="Times New Roman Regular"/>
          <w:i/>
          <w:iCs/>
          <w:kern w:val="0"/>
          <w:sz w:val="24"/>
          <w:shd w:val="clear" w:color="auto" w:fill="FFFFFF"/>
          <w:lang w:bidi="ar"/>
        </w:rPr>
        <w:t>Open Journal of Social Sciences</w:t>
      </w:r>
      <w:r>
        <w:rPr>
          <w:rFonts w:ascii="Times New Roman Regular" w:hAnsi="Times New Roman Regular" w:eastAsia="宋体" w:cs="Times New Roman Regular"/>
          <w:kern w:val="0"/>
          <w:sz w:val="24"/>
          <w:shd w:val="clear" w:color="auto" w:fill="FFFFFF"/>
          <w:lang w:bidi="ar"/>
        </w:rPr>
        <w:t>, </w:t>
      </w:r>
      <w:r>
        <w:rPr>
          <w:rFonts w:ascii="Times New Roman Regular" w:hAnsi="Times New Roman Regular" w:eastAsia="宋体" w:cs="Times New Roman Regular"/>
          <w:i/>
          <w:iCs/>
          <w:kern w:val="0"/>
          <w:sz w:val="24"/>
          <w:shd w:val="clear" w:color="auto" w:fill="FFFFFF"/>
          <w:lang w:bidi="ar"/>
        </w:rPr>
        <w:t>9</w:t>
      </w:r>
      <w:r>
        <w:rPr>
          <w:rFonts w:ascii="Times New Roman Regular" w:hAnsi="Times New Roman Regular" w:eastAsia="宋体" w:cs="Times New Roman Regular"/>
          <w:kern w:val="0"/>
          <w:sz w:val="24"/>
          <w:shd w:val="clear" w:color="auto" w:fill="FFFFFF"/>
          <w:lang w:bidi="ar"/>
        </w:rPr>
        <w:t xml:space="preserve">(3), 463-470. </w:t>
      </w:r>
      <w:r>
        <w:fldChar w:fldCharType="begin"/>
      </w:r>
      <w:r>
        <w:instrText xml:space="preserve"> HYPERLINK "https://doi.org/10.4236/jss.2021.93030"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https://doi.org/10.4236/jss.2021.93030</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kern w:val="0"/>
          <w:sz w:val="24"/>
          <w:shd w:val="clear" w:color="auto" w:fill="FFFFFF"/>
          <w:lang w:bidi="ar"/>
        </w:rPr>
        <w:t xml:space="preserve"> </w:t>
      </w:r>
    </w:p>
    <w:p w14:paraId="546D33C1">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Bárkányi, Z. (2021). Motivation, self-efficacy beliefs, and speaking anxiety in language MOOCs.</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 xml:space="preserve"> ReCALL, 33</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143-160. </w:t>
      </w:r>
      <w:r>
        <w:fldChar w:fldCharType="begin"/>
      </w:r>
      <w:r>
        <w:instrText xml:space="preserve"> HYPERLINK "https://doi.org/10.1017/S0958344021000033"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https://doi.org/10.1017/S0958344021000033</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1559817C">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Chi, N. P. (2024). A study on university non-english major students’speaking anxiety.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European Journal of Foreign Language Teaching</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w:t>
      </w:r>
      <w:r>
        <w:fldChar w:fldCharType="begin"/>
      </w:r>
      <w:r>
        <w:instrText xml:space="preserve"> HYPERLINK "http://dx.doi.org/10.46827/ejfl.v8i2.5449" </w:instrText>
      </w:r>
      <w:r>
        <w:fldChar w:fldCharType="separate"/>
      </w:r>
      <w:r>
        <w:rPr>
          <w:rStyle w:val="10"/>
          <w:rFonts w:ascii="Times New Roman Regular" w:hAnsi="Times New Roman Regular" w:eastAsia="宋体" w:cs="Times New Roman Regular"/>
          <w:kern w:val="0"/>
          <w:sz w:val="24"/>
          <w:shd w:val="clear" w:color="auto" w:fill="FFFFFF"/>
          <w:lang w:bidi="ar"/>
        </w:rPr>
        <w:t>http://dx.doi.org/10.46827/ejfl.v8i2.5449</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2EDDABD9">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Cisneros, L. F. (2024). Addressing Emotional Aspects in the Second Language Learning Processes.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HOW</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31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167-185. </w:t>
      </w:r>
      <w:r>
        <w:fldChar w:fldCharType="begin"/>
      </w:r>
      <w:r>
        <w:instrText xml:space="preserve"> HYPERLINK "https://doi.org/10.19183/how.31.1.704"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https://doi.org/10.19183/how.31.1.704</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0A9ED14E">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Damayanti, M. E., &amp; Listyani, L. (2020). An analysis of students’speaking anxiety in academic speaking class.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Eltr Journal</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152-170. </w:t>
      </w:r>
      <w:r>
        <w:fldChar w:fldCharType="begin"/>
      </w:r>
      <w:r>
        <w:instrText xml:space="preserve"> HYPERLINK "https://doi.org/10.37147/eltr.v4i2.70"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https://doi.org/10.37147/eltr.v4i2.70</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1D6E5368">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 xml:space="preserve">Dana, M. Y., &amp; Aminatun, D. The correlation between speaking class anxiety and students’english proficiency. </w:t>
      </w:r>
      <w:r>
        <w:fldChar w:fldCharType="begin"/>
      </w:r>
      <w:r>
        <w:instrText xml:space="preserve"> HYPERLINK "http://jim.teknokrat.ac.id/index.php/english-language-teaching/index" </w:instrText>
      </w:r>
      <w:r>
        <w:fldChar w:fldCharType="separate"/>
      </w:r>
      <w:r>
        <w:rPr>
          <w:rStyle w:val="10"/>
          <w:rFonts w:ascii="Times New Roman Regular" w:hAnsi="Times New Roman Regular" w:cs="Times New Roman Regular"/>
          <w:sz w:val="24"/>
        </w:rPr>
        <w:t>http://jim.teknokrat.ac.id/index.php/english-language-teaching/index</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421C3D54">
      <w:pPr>
        <w:widowControl/>
        <w:ind w:left="360" w:hanging="360" w:hangingChars="150"/>
        <w:jc w:val="left"/>
        <w:rPr>
          <w:rFonts w:ascii="Times New Roman Regular" w:hAnsi="Times New Roman Regular" w:eastAsia="宋体" w:cs="Times New Roman Regular"/>
          <w:color w:val="000000" w:themeColor="text1"/>
          <w:kern w:val="0"/>
          <w:sz w:val="24"/>
          <w:lang w:bidi="ar"/>
          <w14:textFill>
            <w14:solidFill>
              <w14:schemeClr w14:val="tx1"/>
            </w14:solidFill>
          </w14:textFill>
        </w:rPr>
      </w:pPr>
      <w:r>
        <w:rPr>
          <w:rFonts w:ascii="Times New Roman Regular" w:hAnsi="Times New Roman Regular" w:eastAsia="宋体" w:cs="Times New Roman Regular"/>
          <w:color w:val="000000" w:themeColor="text1"/>
          <w:kern w:val="0"/>
          <w:sz w:val="24"/>
          <w:lang w:bidi="ar"/>
          <w14:textFill>
            <w14:solidFill>
              <w14:schemeClr w14:val="tx1"/>
            </w14:solidFill>
          </w14:textFill>
        </w:rPr>
        <w:t>Datnow, A</w:t>
      </w:r>
      <w:r>
        <w:rPr>
          <w:rFonts w:hint="eastAsia" w:ascii="Times New Roman Regular" w:hAnsi="Times New Roman Regular" w:eastAsia="宋体" w:cs="Times New Roman Regular"/>
          <w:color w:val="000000" w:themeColor="text1"/>
          <w:kern w:val="0"/>
          <w:sz w:val="24"/>
          <w:lang w:bidi="ar"/>
          <w14:textFill>
            <w14:solidFill>
              <w14:schemeClr w14:val="tx1"/>
            </w14:solidFill>
          </w14:textFill>
        </w:rPr>
        <w:t>.</w:t>
      </w:r>
      <w:r>
        <w:rPr>
          <w:rFonts w:ascii="Times New Roman Regular" w:hAnsi="Times New Roman Regular" w:eastAsia="宋体" w:cs="Times New Roman Regular"/>
          <w:color w:val="000000" w:themeColor="text1"/>
          <w:kern w:val="0"/>
          <w:sz w:val="24"/>
          <w:lang w:bidi="ar"/>
          <w14:textFill>
            <w14:solidFill>
              <w14:schemeClr w14:val="tx1"/>
            </w14:solidFill>
          </w14:textFill>
        </w:rPr>
        <w:t xml:space="preserve"> (2020). The role of teachers in educational reform: A 20-year perspective. </w:t>
      </w:r>
      <w:r>
        <w:rPr>
          <w:rFonts w:ascii="Times New Roman Regular" w:hAnsi="Times New Roman Regular" w:eastAsia="TimesNewRomanPS-ItalicMT" w:cs="Times New Roman Regular"/>
          <w:i/>
          <w:iCs/>
          <w:color w:val="000000" w:themeColor="text1"/>
          <w:kern w:val="0"/>
          <w:sz w:val="24"/>
          <w:lang w:bidi="ar"/>
          <w14:textFill>
            <w14:solidFill>
              <w14:schemeClr w14:val="tx1"/>
            </w14:solidFill>
          </w14:textFill>
        </w:rPr>
        <w:t>Journal of Educational Change, 21</w:t>
      </w:r>
      <w:r>
        <w:rPr>
          <w:rFonts w:ascii="Times New Roman Regular" w:hAnsi="Times New Roman Regular" w:eastAsia="TimesNewRomanPS-ItalicMT" w:cs="Times New Roman Regular"/>
          <w:color w:val="000000" w:themeColor="text1"/>
          <w:kern w:val="0"/>
          <w:sz w:val="24"/>
          <w:lang w:bidi="ar"/>
          <w14:textFill>
            <w14:solidFill>
              <w14:schemeClr w14:val="tx1"/>
            </w14:solidFill>
          </w14:textFill>
        </w:rPr>
        <w:t>(1)</w:t>
      </w:r>
      <w:r>
        <w:rPr>
          <w:rFonts w:ascii="Times New Roman Regular" w:hAnsi="Times New Roman Regular" w:eastAsia="TimesNewRomanPS-ItalicMT" w:cs="Times New Roman Regular"/>
          <w:i/>
          <w:iCs/>
          <w:color w:val="000000" w:themeColor="text1"/>
          <w:kern w:val="0"/>
          <w:sz w:val="24"/>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lang w:bidi="ar"/>
          <w14:textFill>
            <w14:solidFill>
              <w14:schemeClr w14:val="tx1"/>
            </w14:solidFill>
          </w14:textFill>
        </w:rPr>
        <w:t xml:space="preserve">109–113. </w:t>
      </w:r>
      <w:r>
        <w:fldChar w:fldCharType="begin"/>
      </w:r>
      <w:r>
        <w:instrText xml:space="preserve"> HYPERLINK "https://doi.org/10.1007/s10833-020-09372-5" </w:instrText>
      </w:r>
      <w:r>
        <w:fldChar w:fldCharType="separate"/>
      </w:r>
      <w:r>
        <w:rPr>
          <w:rStyle w:val="10"/>
          <w:rFonts w:ascii="Times New Roman Regular" w:hAnsi="Times New Roman Regular" w:eastAsia="宋体" w:cs="Times New Roman Regular"/>
          <w:kern w:val="0"/>
          <w:sz w:val="24"/>
          <w:lang w:bidi="ar"/>
        </w:rPr>
        <w:t>https://doi.org/10.1007/s10833-020-09372-5</w:t>
      </w:r>
      <w:r>
        <w:rPr>
          <w:rStyle w:val="10"/>
          <w:rFonts w:ascii="Times New Roman Regular" w:hAnsi="Times New Roman Regular" w:eastAsia="宋体" w:cs="Times New Roman Regular"/>
          <w:kern w:val="0"/>
          <w:sz w:val="24"/>
          <w:lang w:bidi="ar"/>
        </w:rPr>
        <w:fldChar w:fldCharType="end"/>
      </w:r>
      <w:r>
        <w:rPr>
          <w:rFonts w:ascii="Times New Roman Regular" w:hAnsi="Times New Roman Regular" w:eastAsia="宋体" w:cs="Times New Roman Regular"/>
          <w:color w:val="000000" w:themeColor="text1"/>
          <w:kern w:val="0"/>
          <w:sz w:val="24"/>
          <w:lang w:bidi="ar"/>
          <w14:textFill>
            <w14:solidFill>
              <w14:schemeClr w14:val="tx1"/>
            </w14:solidFill>
          </w14:textFill>
        </w:rPr>
        <w:t xml:space="preserve"> </w:t>
      </w:r>
    </w:p>
    <w:p w14:paraId="2A75F67E">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Dewaele, J. M., Saito, K., &amp; Halimi, F. (2022). How teacher behaviour shapes foreign language learners’ enjoyment, anxiety and attitudes/motivation: A mixed modelling longitudinal investigation.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Language Teaching Research</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13621688221089601. </w:t>
      </w:r>
      <w:r>
        <w:fldChar w:fldCharType="begin"/>
      </w:r>
      <w:r>
        <w:instrText xml:space="preserve"> HYPERLINK "https://doi.org/10.1177/13621688221089601"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https://doi.org/10.1177/13621688221089601</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47744E80">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Dewaele, J. M., &amp; Proietti Ergün, A. L. (2020). How different are the relations between enjoyment, anxiety, attitudes/motivation and course marks in pupils’ Italian and English as foreign languages?.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the European Second Language Association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45-57. </w:t>
      </w:r>
      <w:r>
        <w:fldChar w:fldCharType="begin"/>
      </w:r>
      <w:r>
        <w:instrText xml:space="preserve"> HYPERLINK "https://doi.org/10.22599/jesla.65"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https://doi.org/10.22599/jesla.65</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24B7D0D2">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Erdiana, N., Daud, B., Sari, D. F., &amp; Dwitami, S. K. (2020). A study of anxiety experienced by EFL students in speaking performance. </w:t>
      </w:r>
      <w:r>
        <w:rPr>
          <w:rFonts w:ascii="Times New Roman Regular" w:hAnsi="Times New Roman Regular" w:cs="Times New Roman Regular"/>
          <w:i/>
          <w:iCs/>
          <w:color w:val="000000" w:themeColor="text1"/>
          <w:sz w:val="24"/>
          <w14:textFill>
            <w14:solidFill>
              <w14:schemeClr w14:val="tx1"/>
            </w14:solidFill>
          </w14:textFill>
        </w:rPr>
        <w:t>Studies in English Language and Education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7</w:t>
      </w:r>
      <w:r>
        <w:rPr>
          <w:rFonts w:ascii="Times New Roman Regular" w:hAnsi="Times New Roman Regular" w:cs="Times New Roman Regular"/>
          <w:color w:val="000000" w:themeColor="text1"/>
          <w:sz w:val="24"/>
          <w14:textFill>
            <w14:solidFill>
              <w14:schemeClr w14:val="tx1"/>
            </w14:solidFill>
          </w14:textFill>
        </w:rPr>
        <w:t>(2), 334-346.</w:t>
      </w:r>
    </w:p>
    <w:p w14:paraId="1115A4F4">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Fang, F., &amp; Tang, X. (2021). The relationship between Chinese English major students' learning anxiety and enjoyment in an English language classroom: a positive psychology perspective. </w:t>
      </w:r>
      <w:r>
        <w:rPr>
          <w:rFonts w:ascii="Times New Roman Regular" w:hAnsi="Times New Roman Regular" w:cs="Times New Roman Regular"/>
          <w:i/>
          <w:iCs/>
          <w:color w:val="000000" w:themeColor="text1"/>
          <w:sz w:val="24"/>
          <w14:textFill>
            <w14:solidFill>
              <w14:schemeClr w14:val="tx1"/>
            </w14:solidFill>
          </w14:textFill>
        </w:rPr>
        <w:t>Frontiers in Psychology</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12</w:t>
      </w:r>
      <w:r>
        <w:rPr>
          <w:rFonts w:ascii="Times New Roman Regular" w:hAnsi="Times New Roman Regular" w:cs="Times New Roman Regular"/>
          <w:color w:val="000000" w:themeColor="text1"/>
          <w:sz w:val="24"/>
          <w14:textFill>
            <w14:solidFill>
              <w14:schemeClr w14:val="tx1"/>
            </w14:solidFill>
          </w14:textFill>
        </w:rPr>
        <w:t xml:space="preserve">, 705244. </w:t>
      </w:r>
      <w:r>
        <w:fldChar w:fldCharType="begin"/>
      </w:r>
      <w:r>
        <w:instrText xml:space="preserve"> HYPERLINK "https://doi.org/10.3389/fpsyg.2021.705244" </w:instrText>
      </w:r>
      <w:r>
        <w:fldChar w:fldCharType="separate"/>
      </w:r>
      <w:r>
        <w:rPr>
          <w:rStyle w:val="10"/>
          <w:rFonts w:ascii="Times New Roman Regular" w:hAnsi="Times New Roman Regular" w:cs="Times New Roman Regular"/>
          <w:sz w:val="24"/>
        </w:rPr>
        <w:t>https://doi.org/10.3389/fpsyg.2021.705244</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33ABD819">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Ferrer, J., Ringer, A., Saville, K., A Parris, M., &amp; Kashi, K. (2022). Students’ motivation and engagement in higher education: The importance of attitude to online learning. </w:t>
      </w:r>
      <w:r>
        <w:rPr>
          <w:rFonts w:ascii="Times New Roman Regular" w:hAnsi="Times New Roman Regular" w:cs="Times New Roman Regular"/>
          <w:i/>
          <w:iCs/>
          <w:color w:val="000000" w:themeColor="text1"/>
          <w:sz w:val="24"/>
          <w14:textFill>
            <w14:solidFill>
              <w14:schemeClr w14:val="tx1"/>
            </w14:solidFill>
          </w14:textFill>
        </w:rPr>
        <w:t>Higher Education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83</w:t>
      </w:r>
      <w:r>
        <w:rPr>
          <w:rFonts w:ascii="Times New Roman Regular" w:hAnsi="Times New Roman Regular" w:cs="Times New Roman Regular"/>
          <w:color w:val="000000" w:themeColor="text1"/>
          <w:sz w:val="24"/>
          <w14:textFill>
            <w14:solidFill>
              <w14:schemeClr w14:val="tx1"/>
            </w14:solidFill>
          </w14:textFill>
        </w:rPr>
        <w:t xml:space="preserve">(2), 317-338. </w:t>
      </w:r>
      <w:r>
        <w:fldChar w:fldCharType="begin"/>
      </w:r>
      <w:r>
        <w:instrText xml:space="preserve"> HYPERLINK "https://doi.org/10.1007/s10734-020-00657-5" </w:instrText>
      </w:r>
      <w:r>
        <w:fldChar w:fldCharType="separate"/>
      </w:r>
      <w:r>
        <w:rPr>
          <w:rStyle w:val="10"/>
          <w:rFonts w:ascii="Times New Roman Regular" w:hAnsi="Times New Roman Regular" w:cs="Times New Roman Regular"/>
          <w:sz w:val="24"/>
        </w:rPr>
        <w:t>https://doi.org/10.1007/s10734-020-00657-5</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642D3502">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Getie, A. S. (2020). Factors affecting the attitudes of students towards learning English as a foreign language. </w:t>
      </w:r>
      <w:r>
        <w:rPr>
          <w:rFonts w:ascii="Times New Roman Regular" w:hAnsi="Times New Roman Regular" w:cs="Times New Roman Regular"/>
          <w:i/>
          <w:iCs/>
          <w:color w:val="000000" w:themeColor="text1"/>
          <w:sz w:val="24"/>
          <w14:textFill>
            <w14:solidFill>
              <w14:schemeClr w14:val="tx1"/>
            </w14:solidFill>
          </w14:textFill>
        </w:rPr>
        <w:t>Cogent Education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7</w:t>
      </w:r>
      <w:r>
        <w:rPr>
          <w:rFonts w:ascii="Times New Roman Regular" w:hAnsi="Times New Roman Regular" w:cs="Times New Roman Regular"/>
          <w:color w:val="000000" w:themeColor="text1"/>
          <w:sz w:val="24"/>
          <w14:textFill>
            <w14:solidFill>
              <w14:schemeClr w14:val="tx1"/>
            </w14:solidFill>
          </w14:textFill>
        </w:rPr>
        <w:t xml:space="preserve">(1), 1738184. </w:t>
      </w:r>
      <w:r>
        <w:fldChar w:fldCharType="begin"/>
      </w:r>
      <w:r>
        <w:instrText xml:space="preserve"> HYPERLINK "https://doi.org/10.1080/2331186X.2020.1738184" </w:instrText>
      </w:r>
      <w:r>
        <w:fldChar w:fldCharType="separate"/>
      </w:r>
      <w:r>
        <w:rPr>
          <w:rStyle w:val="10"/>
          <w:rFonts w:ascii="Times New Roman Regular" w:hAnsi="Times New Roman Regular" w:cs="Times New Roman Regular"/>
          <w:sz w:val="24"/>
        </w:rPr>
        <w:t>https://doi.org/10.1080/2331186X.2020.1738184</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3148049A">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Hidayatullah, A., &amp; Csíkos, C. (2024). The role of students’ beliefs, parents' educational level, and the mediating role of attitude and motivation in students’ mathematics achievement.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The Asia-Pacific Education Researcher</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33</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253-262. </w:t>
      </w:r>
      <w:r>
        <w:fldChar w:fldCharType="begin"/>
      </w:r>
      <w:r>
        <w:instrText xml:space="preserve"> HYPERLINK "https://doi.org/10.1007/s40299-023-00724-2"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https://doi.org/10.1007/s40299-023-00724-2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2F14179">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Horwitz, E. K., Horwitz, M. B., &amp; Cope, J. (1986). Foreign language classroom anxiety. </w:t>
      </w:r>
      <w:r>
        <w:rPr>
          <w:rFonts w:ascii="Times New Roman Regular" w:hAnsi="Times New Roman Regular" w:cs="Times New Roman Regular"/>
          <w:i/>
          <w:iCs/>
          <w:color w:val="000000" w:themeColor="text1"/>
          <w:sz w:val="24"/>
          <w14:textFill>
            <w14:solidFill>
              <w14:schemeClr w14:val="tx1"/>
            </w14:solidFill>
          </w14:textFill>
        </w:rPr>
        <w:t>The Modern language journal</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70</w:t>
      </w:r>
      <w:r>
        <w:rPr>
          <w:rFonts w:ascii="Times New Roman Regular" w:hAnsi="Times New Roman Regular" w:cs="Times New Roman Regular"/>
          <w:color w:val="000000" w:themeColor="text1"/>
          <w:sz w:val="24"/>
          <w14:textFill>
            <w14:solidFill>
              <w14:schemeClr w14:val="tx1"/>
            </w14:solidFill>
          </w14:textFill>
        </w:rPr>
        <w:t xml:space="preserve">(2), 125-132. </w:t>
      </w:r>
      <w:r>
        <w:fldChar w:fldCharType="begin"/>
      </w:r>
      <w:r>
        <w:instrText xml:space="preserve"> HYPERLINK "https://doi.org/10.2307/327317" </w:instrText>
      </w:r>
      <w:r>
        <w:fldChar w:fldCharType="separate"/>
      </w:r>
      <w:r>
        <w:rPr>
          <w:rStyle w:val="10"/>
          <w:rFonts w:ascii="Times New Roman Regular" w:hAnsi="Times New Roman Regular" w:cs="Times New Roman Regular"/>
          <w:sz w:val="24"/>
        </w:rPr>
        <w:t>https://doi.org/10.2307/327317</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58403E3A">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Hussain, M. S., Salam, A., &amp; Farid, A. (2020). Students' motivation in English language learning (ELL): An exploratory study of motivation-al factors for EFL and ESL adult learners.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International Journal of Applied Linguistics and English Literature</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(4), 15-28. </w:t>
      </w:r>
      <w:r>
        <w:fldChar w:fldCharType="begin"/>
      </w:r>
      <w:r>
        <w:instrText xml:space="preserve"> HYPERLINK "https://doi.org/10.7575/aiac.ijalel.v.9n.4p.15"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https://doi.org/10.7575/aiac.ijalel.v.9n.4p.15</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010AECB3">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Idris, M. O., Yusuf, M., Hanif, M. H. M., Adekunle, S. M., &amp; Kayode, B. K. (2021). An appraisal of the attitudes and achievement motivation of arab postgraduate students towards the learning of the English language in selected Malaysian public universities. </w:t>
      </w:r>
      <w:r>
        <w:rPr>
          <w:rFonts w:ascii="Times New Roman Regular" w:hAnsi="Times New Roman Regular" w:cs="Times New Roman Regular"/>
          <w:i/>
          <w:iCs/>
          <w:color w:val="000000" w:themeColor="text1"/>
          <w:sz w:val="24"/>
          <w14:textFill>
            <w14:solidFill>
              <w14:schemeClr w14:val="tx1"/>
            </w14:solidFill>
          </w14:textFill>
        </w:rPr>
        <w:t>Asian Journal of Assessment in Teaching and Learning</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11</w:t>
      </w:r>
      <w:r>
        <w:rPr>
          <w:rFonts w:ascii="Times New Roman Regular" w:hAnsi="Times New Roman Regular" w:cs="Times New Roman Regular"/>
          <w:color w:val="000000" w:themeColor="text1"/>
          <w:sz w:val="24"/>
          <w14:textFill>
            <w14:solidFill>
              <w14:schemeClr w14:val="tx1"/>
            </w14:solidFill>
          </w14:textFill>
        </w:rPr>
        <w:t xml:space="preserve">(1), 34-46. </w:t>
      </w:r>
      <w:r>
        <w:fldChar w:fldCharType="begin"/>
      </w:r>
      <w:r>
        <w:instrText xml:space="preserve"> HYPERLINK "https://doi.org/10.37134/ajatel.vol11.1.4.2021" </w:instrText>
      </w:r>
      <w:r>
        <w:fldChar w:fldCharType="separate"/>
      </w:r>
      <w:r>
        <w:rPr>
          <w:rStyle w:val="10"/>
          <w:rFonts w:ascii="Times New Roman Regular" w:hAnsi="Times New Roman Regular" w:cs="Times New Roman Regular"/>
          <w:sz w:val="24"/>
        </w:rPr>
        <w:t>https://doi.org/10.37134/ajatel.vol11.1.4.2021</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3681305A">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Ismaili, Y. (2021). Evaluation of students’ attitude toward distance learning during the pandemic (Covid-19): a case study of ELTE university.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On the horizon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29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17-30. </w:t>
      </w:r>
      <w:r>
        <w:fldChar w:fldCharType="begin"/>
      </w:r>
      <w:r>
        <w:instrText xml:space="preserve"> HYPERLINK "https://doi.org/10.1108/OTH-09-2020-0032"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https://doi.org/10.1108/OTH-09-2020-0032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4227C23">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Jie, Z., &amp; Sunze, Y. (2023). Investigating pedagogical challenges of mobile technology to English teaching.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Interactive Learning Environments</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31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(5), 2767-2779. </w:t>
      </w:r>
      <w:r>
        <w:fldChar w:fldCharType="begin"/>
      </w:r>
      <w:r>
        <w:instrText xml:space="preserve"> HYPERLINK "https://doi.org/10.1080/10494820.2021.1903933"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https://doi.org/10.1080/10494820.2021.1903933</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28C9C170">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Karagöl, İ., &amp; Başbay, Ar. (2018). The relationship among attitude, anxiety and English speaking performance.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Theoretical Educational Science,</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11(4), 809-821. </w:t>
      </w:r>
      <w:r>
        <w:fldChar w:fldCharType="begin"/>
      </w:r>
      <w:r>
        <w:instrText xml:space="preserve"> HYPERLINK "https://doi.org/10.30831/akukeg.394769"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https://doi.org/10.30831/akukeg.394769</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B37379B">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Laguador, J. M., &amp; Dotong, C. I. European Journal of Educational Research.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European Journal of Educational Research</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(3), 1127-1140. </w:t>
      </w:r>
      <w:r>
        <w:fldChar w:fldCharType="begin"/>
      </w:r>
      <w:r>
        <w:instrText xml:space="preserve"> HYPERLINK "http://www.eu-jer.com/" </w:instrText>
      </w:r>
      <w:r>
        <w:fldChar w:fldCharType="separate"/>
      </w:r>
      <w:r>
        <w:rPr>
          <w:rStyle w:val="10"/>
          <w:rFonts w:ascii="Times New Roman Regular" w:hAnsi="Times New Roman Regular" w:eastAsia="宋体" w:cs="Times New Roman Regular"/>
          <w:kern w:val="0"/>
          <w:sz w:val="24"/>
          <w:shd w:val="clear" w:color="auto" w:fill="FFFFFF"/>
          <w:lang w:bidi="ar"/>
        </w:rPr>
        <w:t>http://www.eu-jer.com/</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32764887">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Lai, E. R. (2011). Motivation: A literature review. </w:t>
      </w:r>
      <w:r>
        <w:rPr>
          <w:rFonts w:ascii="Times New Roman Regular" w:hAnsi="Times New Roman Regular" w:cs="Times New Roman Regular"/>
          <w:i/>
          <w:iCs/>
          <w:color w:val="000000" w:themeColor="text1"/>
          <w:sz w:val="24"/>
          <w14:textFill>
            <w14:solidFill>
              <w14:schemeClr w14:val="tx1"/>
            </w14:solidFill>
          </w14:textFill>
        </w:rPr>
        <w:t>Person Research’s Report</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6</w:t>
      </w:r>
      <w:r>
        <w:rPr>
          <w:rFonts w:ascii="Times New Roman Regular" w:hAnsi="Times New Roman Regular" w:cs="Times New Roman Regular"/>
          <w:color w:val="000000" w:themeColor="text1"/>
          <w:sz w:val="24"/>
          <w14:textFill>
            <w14:solidFill>
              <w14:schemeClr w14:val="tx1"/>
            </w14:solidFill>
          </w14:textFill>
        </w:rPr>
        <w:t>, 40-41.</w:t>
      </w:r>
    </w:p>
    <w:p w14:paraId="0A526999">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Latif, H. A. (2016). The influence of foreign language learners’anxiety to speaking fluency.</w:t>
      </w:r>
    </w:p>
    <w:p w14:paraId="68CAD9FE">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Le, X. M., &amp; Le, T. T. (2022). Factors affecting students’ attitudes towards learning English as a foreign language in a tertiary institution of Vietnam.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International Journal of TESOL &amp; Education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168-185. </w:t>
      </w:r>
      <w:r>
        <w:fldChar w:fldCharType="begin"/>
      </w:r>
      <w:r>
        <w:instrText xml:space="preserve"> HYPERLINK "https://doi.org/10.54855/ijte.22229"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https://doi.org/10.54855/ijte.22229</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4C4C50A4">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Liang, Y., Abbott, D., Howard, N., Lim, K., Ward, R., &amp; Elgendi, M. (2019). How effective is pulse arrival time for evaluating blood pressure? Challenges and recommendations from a study using the MIMIC database.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clinical medicine</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(3), 337. </w:t>
      </w:r>
      <w:r>
        <w:fldChar w:fldCharType="begin"/>
      </w:r>
      <w:r>
        <w:instrText xml:space="preserve"> HYPERLINK "https://doi.org/10.3390/jcm8030337"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https://doi.org/10.3390/jcm8030337</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4AD38196">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Lim, S. (2012). EFL motivational orientation and proficiency: A survey of Cambodian university students in Phnom Penh.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Philippine ESL Journal, 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52-82.</w:t>
      </w:r>
    </w:p>
    <w:p w14:paraId="2B0161E3">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Liu, F., Vadivel, B., Rezvani, E., &amp; Namaziandost, E. (2021). Using games to promote English as a foreign language learners’ willingness to communicate: Potential effects and teachers’ attitude in focus. </w:t>
      </w:r>
      <w:r>
        <w:rPr>
          <w:rFonts w:ascii="Times New Roman Regular" w:hAnsi="Times New Roman Regular" w:cs="Times New Roman Regular"/>
          <w:i/>
          <w:iCs/>
          <w:color w:val="000000" w:themeColor="text1"/>
          <w:sz w:val="24"/>
          <w14:textFill>
            <w14:solidFill>
              <w14:schemeClr w14:val="tx1"/>
            </w14:solidFill>
          </w14:textFill>
        </w:rPr>
        <w:t>Frontiers in psychology</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12</w:t>
      </w:r>
      <w:r>
        <w:rPr>
          <w:rFonts w:ascii="Times New Roman Regular" w:hAnsi="Times New Roman Regular" w:cs="Times New Roman Regular"/>
          <w:color w:val="000000" w:themeColor="text1"/>
          <w:sz w:val="24"/>
          <w14:textFill>
            <w14:solidFill>
              <w14:schemeClr w14:val="tx1"/>
            </w14:solidFill>
          </w14:textFill>
        </w:rPr>
        <w:t xml:space="preserve">, 762447. </w:t>
      </w:r>
      <w:r>
        <w:fldChar w:fldCharType="begin"/>
      </w:r>
      <w:r>
        <w:instrText xml:space="preserve"> HYPERLINK "https://doi.org/10.3389/fpsyg.2021.762447" </w:instrText>
      </w:r>
      <w:r>
        <w:fldChar w:fldCharType="separate"/>
      </w:r>
      <w:r>
        <w:rPr>
          <w:rStyle w:val="10"/>
          <w:rFonts w:ascii="Times New Roman Regular" w:hAnsi="Times New Roman Regular" w:cs="Times New Roman Regular"/>
          <w:sz w:val="24"/>
        </w:rPr>
        <w:t>https://doi.org/10.3389/fpsyg.2021.762447</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1DD0A6E1">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Luo, Z., Subramaniam, G., &amp; O’STEEN, B. I. L. L. Y. (2020). Will anxiety boost motivation? The relationship between anxiety and motivation in foreign language learning.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Malaysian Journal of ELT Research</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17</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(1).</w:t>
      </w:r>
    </w:p>
    <w:p w14:paraId="37B03552">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Majali, S. A. (2020). Positive Anxiety and its Role in Motivation and Achievements among University Students. </w:t>
      </w:r>
      <w:r>
        <w:rPr>
          <w:rFonts w:ascii="Times New Roman Regular" w:hAnsi="Times New Roman Regular" w:cs="Times New Roman Regular"/>
          <w:i/>
          <w:iCs/>
          <w:color w:val="000000" w:themeColor="text1"/>
          <w:sz w:val="24"/>
          <w14:textFill>
            <w14:solidFill>
              <w14:schemeClr w14:val="tx1"/>
            </w14:solidFill>
          </w14:textFill>
        </w:rPr>
        <w:t>International Journal of Instruction</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13</w:t>
      </w:r>
      <w:r>
        <w:rPr>
          <w:rFonts w:ascii="Times New Roman Regular" w:hAnsi="Times New Roman Regular" w:cs="Times New Roman Regular"/>
          <w:color w:val="000000" w:themeColor="text1"/>
          <w:sz w:val="24"/>
          <w14:textFill>
            <w14:solidFill>
              <w14:schemeClr w14:val="tx1"/>
            </w14:solidFill>
          </w14:textFill>
        </w:rPr>
        <w:t xml:space="preserve">(4), 975-986. </w:t>
      </w:r>
      <w:r>
        <w:fldChar w:fldCharType="begin"/>
      </w:r>
      <w:r>
        <w:instrText xml:space="preserve"> HYPERLINK "https://doi.org/10.29333/iji.2020.13459a" </w:instrText>
      </w:r>
      <w:r>
        <w:fldChar w:fldCharType="separate"/>
      </w:r>
      <w:r>
        <w:rPr>
          <w:rStyle w:val="10"/>
          <w:rFonts w:ascii="Times New Roman Regular" w:hAnsi="Times New Roman Regular" w:cs="Times New Roman Regular"/>
          <w:sz w:val="24"/>
        </w:rPr>
        <w:t>https://doi.org/10.29333/iji.2020.13459a</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0AB5010D">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Morganna, R., Sumardi, S., &amp; Tarjana, S. S. (2020). Tertiary English students’ attitude towards intercultural language learning.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Indonesian Journal of Applied Linguistics</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(3), 657-665. </w:t>
      </w:r>
      <w:r>
        <w:fldChar w:fldCharType="begin"/>
      </w:r>
      <w:r>
        <w:instrText xml:space="preserve"> HYPERLINK "https://doi.org/10.17509/ijal.v9i3.23216"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https://doi.org/10.17509/ijal.v9i3.23216</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31F197DF">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 xml:space="preserve">Nagle, N. (2021). Using Expectancy Value Theory to understand motivation, persistence, and achievement in university‐level foreign language learning. </w:t>
      </w:r>
      <w:r>
        <w:rPr>
          <w:rFonts w:ascii="Times New Roman Regular" w:hAnsi="Times New Roman Regular" w:cs="Times New Roman Regular"/>
          <w:i/>
          <w:iCs/>
          <w:color w:val="000000" w:themeColor="text1"/>
          <w:sz w:val="24"/>
          <w14:textFill>
            <w14:solidFill>
              <w14:schemeClr w14:val="tx1"/>
            </w14:solidFill>
          </w14:textFill>
        </w:rPr>
        <w:t>Foreign Language Annals, 54</w:t>
      </w:r>
      <w:r>
        <w:rPr>
          <w:rFonts w:ascii="Times New Roman Regular" w:hAnsi="Times New Roman Regular" w:cs="Times New Roman Regular"/>
          <w:color w:val="000000" w:themeColor="text1"/>
          <w:sz w:val="24"/>
          <w14:textFill>
            <w14:solidFill>
              <w14:schemeClr w14:val="tx1"/>
            </w14:solidFill>
          </w14:textFill>
        </w:rPr>
        <w:t xml:space="preserve">(4): 1238-1256. </w:t>
      </w:r>
      <w:r>
        <w:fldChar w:fldCharType="begin"/>
      </w:r>
      <w:r>
        <w:instrText xml:space="preserve"> HYPERLINK "https://doi.org/10.1111/flan.12569" </w:instrText>
      </w:r>
      <w:r>
        <w:fldChar w:fldCharType="separate"/>
      </w:r>
      <w:r>
        <w:rPr>
          <w:rStyle w:val="10"/>
          <w:rFonts w:ascii="Times New Roman Regular" w:hAnsi="Times New Roman Regular" w:cs="Times New Roman Regular"/>
          <w:sz w:val="24"/>
        </w:rPr>
        <w:t>https://doi.org/10.1111/flan.12569</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18F8C25C">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Nakatani, Y. (2006). Developing an oral communication strategy inventory.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The modern language journal</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90</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151-168. </w:t>
      </w:r>
      <w:r>
        <w:fldChar w:fldCharType="begin"/>
      </w:r>
      <w:r>
        <w:instrText xml:space="preserve"> HYPERLINK "https://doi.org/10.1111/j.1540-4781.2006.00390.x"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https://doi.org/10.1111/j.1540-4781.2006.00390.x</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B0A080C">
      <w:pPr>
        <w:widowControl/>
        <w:ind w:left="360" w:hanging="360" w:hangingChars="150"/>
        <w:jc w:val="left"/>
        <w:rP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Özer, S. (2020). The predictiveness of students’ attitude and motivation on their achievement in ESP classes: The mediating role of anxiety.</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Italic" w:hAnsi="Times New Roman Italic" w:eastAsia="宋体" w:cs="Times New Roman Italic"/>
          <w:i/>
          <w:iCs/>
          <w:color w:val="000000" w:themeColor="text1"/>
          <w:kern w:val="0"/>
          <w:sz w:val="24"/>
          <w:shd w:val="clear" w:color="auto" w:fill="FFFFFF"/>
          <w:lang w:bidi="ar"/>
          <w14:textFill>
            <w14:solidFill>
              <w14:schemeClr w14:val="tx1"/>
            </w14:solidFill>
          </w14:textFill>
        </w:rPr>
        <w:t>International Journal of Curriculum and Instruction</w:t>
      </w:r>
      <w:r>
        <w:rPr>
          <w:rFonts w:hint="eastAsia" w:ascii="Times New Roman Italic" w:hAnsi="Times New Roman Italic" w:eastAsia="宋体" w:cs="Times New Roman Italic"/>
          <w:i/>
          <w:iCs/>
          <w:color w:val="000000" w:themeColor="text1"/>
          <w:kern w:val="0"/>
          <w:sz w:val="24"/>
          <w:shd w:val="clear" w:color="auto" w:fill="FFFFFF"/>
          <w:lang w:bidi="ar"/>
          <w14:textFill>
            <w14:solidFill>
              <w14:schemeClr w14:val="tx1"/>
            </w14:solidFill>
          </w14:textFill>
        </w:rPr>
        <w:t>,</w:t>
      </w:r>
      <w:r>
        <w:rPr>
          <w:rFonts w:ascii="Times New Roman Italic" w:hAnsi="Times New Roman Italic" w:eastAsia="宋体" w:cs="Times New Roman Italic"/>
          <w:i/>
          <w:iCs/>
          <w:color w:val="000000" w:themeColor="text1"/>
          <w:kern w:val="0"/>
          <w:sz w:val="24"/>
          <w:shd w:val="clear" w:color="auto" w:fill="FFFFFF"/>
          <w:lang w:bidi="ar"/>
          <w14:textFill>
            <w14:solidFill>
              <w14:schemeClr w14:val="tx1"/>
            </w14:solidFill>
          </w14:textFill>
        </w:rPr>
        <w:t xml:space="preserve"> 12</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25-41.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fldChar w:fldCharType="begin"/>
      </w:r>
      <w:r>
        <w:instrText xml:space="preserve"> HYPERLINK "http://hdl.handle.net/20.500.11787/1542" </w:instrText>
      </w:r>
      <w:r>
        <w:fldChar w:fldCharType="separate"/>
      </w:r>
      <w:r>
        <w:rPr>
          <w:rStyle w:val="10"/>
          <w:rFonts w:ascii="Times New Roman Regular" w:hAnsi="Times New Roman Regular" w:eastAsia="宋体" w:cs="Times New Roman Regular"/>
          <w:kern w:val="0"/>
          <w:sz w:val="24"/>
          <w:shd w:val="clear" w:color="auto" w:fill="FFFFFF"/>
          <w:lang w:bidi="ar"/>
        </w:rPr>
        <w:t>http://hdl.handle.net/20.500.11787/1542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33C8E8E">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Pabro-Maquidato, I. M. (2021). The experience of English speaking anxiety and coping strategies: A transcendental phenomenological study.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International Journal of TESOL &amp; Education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45-64. </w:t>
      </w:r>
      <w:r>
        <w:fldChar w:fldCharType="begin"/>
      </w:r>
      <w:r>
        <w:instrText xml:space="preserve"> HYPERLINK "https://i-jte.org/index.php/journal/article/view/32" </w:instrText>
      </w:r>
      <w:r>
        <w:fldChar w:fldCharType="separate"/>
      </w:r>
      <w:r>
        <w:rPr>
          <w:rStyle w:val="10"/>
          <w:rFonts w:ascii="Times New Roman Regular" w:hAnsi="Times New Roman Regular" w:eastAsia="宋体" w:cs="Times New Roman Regular"/>
          <w:kern w:val="0"/>
          <w:sz w:val="24"/>
          <w:shd w:val="clear" w:color="auto" w:fill="FFFFFF"/>
          <w:lang w:bidi="ar"/>
        </w:rPr>
        <w:t>https://i-jte.org/index.php/journal/article/view/32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18B70C62">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Pahargyan, T. (2021). Students’</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Anxiety </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i</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n Speaking English During Distance Learning.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UC Journal: ELT, Linguistics and Literature Journal</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(1), 1-13.</w:t>
      </w:r>
    </w:p>
    <w:p w14:paraId="5C312506">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Pan, X. (2020). Technology acceptance, technological self-efficacy, and attitude toward technology-based self-directed learning: learning motivation as a mediator.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Frontiers in Psychology</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11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564294. </w:t>
      </w:r>
      <w:r>
        <w:fldChar w:fldCharType="begin"/>
      </w:r>
      <w:r>
        <w:instrText xml:space="preserve"> HYPERLINK "https://doi.org/10.3389/fpsyg.2020.564294"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https://doi.org/10.3389/fpsyg.2020.564294</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70A3295A">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Parsazadeh, N., Cheng, P. Y., Wu, T. T., &amp; Huang, Y. M. (2021). Integrating computational thinking concept into digital storytelling to improve learners’ motivation and performance. </w:t>
      </w:r>
      <w:r>
        <w:rPr>
          <w:rFonts w:ascii="Times New Roman Regular" w:hAnsi="Times New Roman Regular" w:cs="Times New Roman Regular"/>
          <w:i/>
          <w:iCs/>
          <w:color w:val="000000" w:themeColor="text1"/>
          <w:sz w:val="24"/>
          <w14:textFill>
            <w14:solidFill>
              <w14:schemeClr w14:val="tx1"/>
            </w14:solidFill>
          </w14:textFill>
        </w:rPr>
        <w:t>Journal of Educational Computing Research</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59</w:t>
      </w:r>
      <w:r>
        <w:rPr>
          <w:rFonts w:ascii="Times New Roman Regular" w:hAnsi="Times New Roman Regular" w:cs="Times New Roman Regular"/>
          <w:color w:val="000000" w:themeColor="text1"/>
          <w:sz w:val="24"/>
          <w14:textFill>
            <w14:solidFill>
              <w14:schemeClr w14:val="tx1"/>
            </w14:solidFill>
          </w14:textFill>
        </w:rPr>
        <w:t xml:space="preserve">(3), 470-495. </w:t>
      </w:r>
      <w:r>
        <w:fldChar w:fldCharType="begin"/>
      </w:r>
      <w:r>
        <w:instrText xml:space="preserve"> HYPERLINK "https://doi.org/10.1177/0735633120967315" </w:instrText>
      </w:r>
      <w:r>
        <w:fldChar w:fldCharType="separate"/>
      </w:r>
      <w:r>
        <w:rPr>
          <w:rStyle w:val="10"/>
          <w:rFonts w:ascii="Times New Roman Regular" w:hAnsi="Times New Roman Regular" w:cs="Times New Roman Regular"/>
          <w:sz w:val="24"/>
        </w:rPr>
        <w:t>https://doi.org/10.1177/0735633120967315</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2C585F9E">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Pranawengtias, W. (2022). Undergraduate Students'</w:t>
      </w:r>
      <w:r>
        <w:rPr>
          <w:rFonts w:hint="eastAsia" w:ascii="Times New Roman Regular" w:hAnsi="Times New Roman Regular" w:cs="Times New Roman Regular"/>
          <w:color w:val="000000" w:themeColor="text1"/>
          <w:sz w:val="24"/>
          <w14:textFill>
            <w14:solidFill>
              <w14:schemeClr w14:val="tx1"/>
            </w14:solidFill>
          </w14:textFill>
        </w:rPr>
        <w:t xml:space="preserve"> </w:t>
      </w:r>
      <w:r>
        <w:rPr>
          <w:rFonts w:ascii="Times New Roman Regular" w:hAnsi="Times New Roman Regular" w:cs="Times New Roman Regular"/>
          <w:color w:val="000000" w:themeColor="text1"/>
          <w:sz w:val="24"/>
          <w14:textFill>
            <w14:solidFill>
              <w14:schemeClr w14:val="tx1"/>
            </w14:solidFill>
          </w14:textFill>
        </w:rPr>
        <w:t xml:space="preserve">Motivation </w:t>
      </w:r>
      <w:r>
        <w:rPr>
          <w:rFonts w:hint="eastAsia" w:ascii="Times New Roman Regular" w:hAnsi="Times New Roman Regular" w:cs="Times New Roman Regular"/>
          <w:color w:val="000000" w:themeColor="text1"/>
          <w:sz w:val="24"/>
          <w14:textFill>
            <w14:solidFill>
              <w14:schemeClr w14:val="tx1"/>
            </w14:solidFill>
          </w14:textFill>
        </w:rPr>
        <w:t>o</w:t>
      </w:r>
      <w:r>
        <w:rPr>
          <w:rFonts w:ascii="Times New Roman Regular" w:hAnsi="Times New Roman Regular" w:cs="Times New Roman Regular"/>
          <w:color w:val="000000" w:themeColor="text1"/>
          <w:sz w:val="24"/>
          <w14:textFill>
            <w14:solidFill>
              <w14:schemeClr w14:val="tx1"/>
            </w14:solidFill>
          </w14:textFill>
        </w:rPr>
        <w:t xml:space="preserve">n English Language Learning </w:t>
      </w:r>
      <w:r>
        <w:rPr>
          <w:rFonts w:hint="eastAsia" w:ascii="Times New Roman Regular" w:hAnsi="Times New Roman Regular" w:cs="Times New Roman Regular"/>
          <w:color w:val="000000" w:themeColor="text1"/>
          <w:sz w:val="24"/>
          <w14:textFill>
            <w14:solidFill>
              <w14:schemeClr w14:val="tx1"/>
            </w14:solidFill>
          </w14:textFill>
        </w:rPr>
        <w:t>a</w:t>
      </w:r>
      <w:r>
        <w:rPr>
          <w:rFonts w:ascii="Times New Roman Regular" w:hAnsi="Times New Roman Regular" w:cs="Times New Roman Regular"/>
          <w:color w:val="000000" w:themeColor="text1"/>
          <w:sz w:val="24"/>
          <w14:textFill>
            <w14:solidFill>
              <w14:schemeClr w14:val="tx1"/>
            </w14:solidFill>
          </w14:textFill>
        </w:rPr>
        <w:t xml:space="preserve">t Universitas Teknokrat Indonesia. </w:t>
      </w:r>
      <w:r>
        <w:rPr>
          <w:rFonts w:ascii="Times New Roman Regular" w:hAnsi="Times New Roman Regular" w:cs="Times New Roman Regular"/>
          <w:i/>
          <w:iCs/>
          <w:color w:val="000000" w:themeColor="text1"/>
          <w:sz w:val="24"/>
          <w14:textFill>
            <w14:solidFill>
              <w14:schemeClr w14:val="tx1"/>
            </w14:solidFill>
          </w14:textFill>
        </w:rPr>
        <w:t>Journal of English Language Teaching and Learning, 3</w:t>
      </w:r>
      <w:r>
        <w:rPr>
          <w:rFonts w:ascii="Times New Roman Regular" w:hAnsi="Times New Roman Regular" w:cs="Times New Roman Regular"/>
          <w:color w:val="000000" w:themeColor="text1"/>
          <w:sz w:val="24"/>
          <w14:textFill>
            <w14:solidFill>
              <w14:schemeClr w14:val="tx1"/>
            </w14:solidFill>
          </w14:textFill>
        </w:rPr>
        <w:t xml:space="preserve">(2), 27-32. </w:t>
      </w:r>
      <w:r>
        <w:fldChar w:fldCharType="begin"/>
      </w:r>
      <w:r>
        <w:instrText xml:space="preserve"> HYPERLINK "http://jim.teknokrat.ac.id/index.php/english-language-teaching/index" </w:instrText>
      </w:r>
      <w:r>
        <w:fldChar w:fldCharType="separate"/>
      </w:r>
      <w:r>
        <w:rPr>
          <w:rStyle w:val="10"/>
          <w:rFonts w:ascii="Times New Roman Regular" w:hAnsi="Times New Roman Regular" w:cs="Times New Roman Regular"/>
          <w:sz w:val="24"/>
        </w:rPr>
        <w:t>http://jim.teknokrat.ac.id/index.php/english-language-teaching/index</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75C1B4F0">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Prasetya, R. E. (2021). The design of Moodle-based English language learning environments (Case study of Indonesian higher education). </w:t>
      </w:r>
      <w:r>
        <w:rPr>
          <w:rFonts w:ascii="Times New Roman Regular" w:hAnsi="Times New Roman Regular" w:cs="Times New Roman Regular"/>
          <w:i/>
          <w:iCs/>
          <w:color w:val="000000" w:themeColor="text1"/>
          <w:sz w:val="24"/>
          <w14:textFill>
            <w14:solidFill>
              <w14:schemeClr w14:val="tx1"/>
            </w14:solidFill>
          </w14:textFill>
        </w:rPr>
        <w:t>ELT Worldwide</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8</w:t>
      </w:r>
      <w:r>
        <w:rPr>
          <w:rFonts w:ascii="Times New Roman Regular" w:hAnsi="Times New Roman Regular" w:cs="Times New Roman Regular"/>
          <w:color w:val="000000" w:themeColor="text1"/>
          <w:sz w:val="24"/>
          <w14:textFill>
            <w14:solidFill>
              <w14:schemeClr w14:val="tx1"/>
            </w14:solidFill>
          </w14:textFill>
        </w:rPr>
        <w:t>(2), 222-239.</w:t>
      </w:r>
    </w:p>
    <w:p w14:paraId="1BA7214C">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Rahman, B., Hamid, S., &amp; Gul, A. (2019). The impact of stress on the performance of university students in the light of Krashen’s affective filter theory. </w:t>
      </w:r>
      <w:r>
        <w:rPr>
          <w:rFonts w:ascii="Times New Roman Regular" w:hAnsi="Times New Roman Regular" w:cs="Times New Roman Regular"/>
          <w:i/>
          <w:iCs/>
          <w:color w:val="000000" w:themeColor="text1"/>
          <w:sz w:val="24"/>
          <w14:textFill>
            <w14:solidFill>
              <w14:schemeClr w14:val="tx1"/>
            </w14:solidFill>
          </w14:textFill>
        </w:rPr>
        <w:t>Liberal Arts and Social Sciences International Journal (LASSIJ)</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3</w:t>
      </w:r>
      <w:r>
        <w:rPr>
          <w:rFonts w:ascii="Times New Roman Regular" w:hAnsi="Times New Roman Regular" w:cs="Times New Roman Regular"/>
          <w:color w:val="000000" w:themeColor="text1"/>
          <w:sz w:val="24"/>
          <w14:textFill>
            <w14:solidFill>
              <w14:schemeClr w14:val="tx1"/>
            </w14:solidFill>
          </w14:textFill>
        </w:rPr>
        <w:t xml:space="preserve">(2), 59-64. </w:t>
      </w:r>
      <w:r>
        <w:fldChar w:fldCharType="begin"/>
      </w:r>
      <w:r>
        <w:instrText xml:space="preserve"> HYPERLINK "https://doi.org/10.47264/idea.lassij/3.2.7" </w:instrText>
      </w:r>
      <w:r>
        <w:fldChar w:fldCharType="separate"/>
      </w:r>
      <w:r>
        <w:rPr>
          <w:rStyle w:val="10"/>
          <w:rFonts w:ascii="Times New Roman Regular" w:hAnsi="Times New Roman Regular" w:cs="Times New Roman Regular"/>
          <w:sz w:val="24"/>
        </w:rPr>
        <w:t>https://doi.org/10.47264/idea.lassij/3.2.7</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47DF6108">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Ramzan, M., Javaid, Z. K., Kareem, A., &amp; Mobeen, S. (2023). Amplifying classroom enjoyment and cultivating positive learning attitudes among ESL learners.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Pakistan Journal of Humanities and Social Sciences</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11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(2), 2236-2246. </w:t>
      </w:r>
      <w:r>
        <w:fldChar w:fldCharType="begin"/>
      </w:r>
      <w:r>
        <w:instrText xml:space="preserve"> HYPERLINK "https://doi.org/10.52131/pjhss.2023.1102.0522"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https://doi.org/10.52131/pjhss.2023.1102.0522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2FAF4E52">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Rehman, A. U., Bhuttah, T. M., &amp; You, X. (2020). Linking burnout to psychological well-being: The mediating role of social support and learning motivation.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Psychology Research and Behavior Management</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545-554. </w:t>
      </w:r>
      <w:r>
        <w:fldChar w:fldCharType="begin"/>
      </w:r>
      <w:r>
        <w:instrText xml:space="preserve"> HYPERLINK "https://doi.org/10.2147/PRBM.S250961"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https://doi.org/10.2147/PRBM.S250961</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7F8BB6B5">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Resnik, P., &amp; Dewaele, J. M. (2020). Trait emotional intelligence, positive and negative emotions in first and foreign language classes: A mixed-methods approach. </w:t>
      </w:r>
      <w:r>
        <w:rPr>
          <w:rFonts w:ascii="Times New Roman Regular" w:hAnsi="Times New Roman Regular" w:cs="Times New Roman Regular"/>
          <w:i/>
          <w:iCs/>
          <w:color w:val="000000" w:themeColor="text1"/>
          <w:sz w:val="24"/>
          <w14:textFill>
            <w14:solidFill>
              <w14:schemeClr w14:val="tx1"/>
            </w14:solidFill>
          </w14:textFill>
        </w:rPr>
        <w:t>System</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94</w:t>
      </w:r>
      <w:r>
        <w:rPr>
          <w:rFonts w:ascii="Times New Roman Regular" w:hAnsi="Times New Roman Regular" w:cs="Times New Roman Regular"/>
          <w:color w:val="000000" w:themeColor="text1"/>
          <w:sz w:val="24"/>
          <w14:textFill>
            <w14:solidFill>
              <w14:schemeClr w14:val="tx1"/>
            </w14:solidFill>
          </w14:textFill>
        </w:rPr>
        <w:t xml:space="preserve">, 102324. </w:t>
      </w:r>
      <w:r>
        <w:fldChar w:fldCharType="begin"/>
      </w:r>
      <w:r>
        <w:instrText xml:space="preserve"> HYPERLINK "https://doi.org/10.1016/j.system.2020.102324" </w:instrText>
      </w:r>
      <w:r>
        <w:fldChar w:fldCharType="separate"/>
      </w:r>
      <w:r>
        <w:rPr>
          <w:rStyle w:val="10"/>
          <w:rFonts w:ascii="Times New Roman Regular" w:hAnsi="Times New Roman Regular" w:cs="Times New Roman Regular"/>
          <w:sz w:val="24"/>
        </w:rPr>
        <w:t>https://doi.org/10.1016/j.system.2020.102324</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468BE4AC">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Rochmawati, L., Sukma, M. M., &amp; Sonhaji, I. (2021). Online learning motivation for Aviation English: Attitude, readiness, and demographic factors. </w:t>
      </w:r>
      <w:r>
        <w:rPr>
          <w:rFonts w:ascii="Times New Roman Regular" w:hAnsi="Times New Roman Regular" w:cs="Times New Roman Regular"/>
          <w:i/>
          <w:iCs/>
          <w:color w:val="000000" w:themeColor="text1"/>
          <w:sz w:val="24"/>
          <w14:textFill>
            <w14:solidFill>
              <w14:schemeClr w14:val="tx1"/>
            </w14:solidFill>
          </w14:textFill>
        </w:rPr>
        <w:t>JEES (Journal of English Educators Society)</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6</w:t>
      </w:r>
      <w:r>
        <w:rPr>
          <w:rFonts w:ascii="Times New Roman Regular" w:hAnsi="Times New Roman Regular" w:cs="Times New Roman Regular"/>
          <w:color w:val="000000" w:themeColor="text1"/>
          <w:sz w:val="24"/>
          <w14:textFill>
            <w14:solidFill>
              <w14:schemeClr w14:val="tx1"/>
            </w14:solidFill>
          </w14:textFill>
        </w:rPr>
        <w:t xml:space="preserve">(1), 1-8. </w:t>
      </w:r>
      <w:r>
        <w:fldChar w:fldCharType="begin"/>
      </w:r>
      <w:r>
        <w:instrText xml:space="preserve"> HYPERLINK "https://doi.org/10.21070/jees.v6i1.792" </w:instrText>
      </w:r>
      <w:r>
        <w:fldChar w:fldCharType="separate"/>
      </w:r>
      <w:r>
        <w:rPr>
          <w:rStyle w:val="10"/>
          <w:rFonts w:ascii="Times New Roman Regular" w:hAnsi="Times New Roman Regular" w:cs="Times New Roman Regular"/>
          <w:sz w:val="24"/>
        </w:rPr>
        <w:t>https://doi.org/10.21070/jees.v6i1.792</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7F9F8020">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Saadé, R., Kira, D., &amp; Nebebe, F. (2013, July). The challenge of motivation in e-Learning: role of anxiety. In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Proceedings of the Informing Science and Information Technology Education Conference</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(pp. 301-308). Informing Science Institute.</w:t>
      </w:r>
    </w:p>
    <w:p w14:paraId="13057CA1">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Schmidtke, D., Yamada, S., &amp; Moro, A. L. (2025). Bridging to academic success: the impact of reading gains in an English bridging program on GPAs.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Reading and Writing</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38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195-224. </w:t>
      </w:r>
      <w:r>
        <w:fldChar w:fldCharType="begin"/>
      </w:r>
      <w:r>
        <w:instrText xml:space="preserve"> HYPERLINK "https://doi.org/10.1007/s11145-024-10514-x"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https://doi.org/10.1007/s11145-024-10514-x</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155459A1">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Schreglmann, S. (2018). Developing Academic Motivation Scale for Learning Information Technology </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AMSLIT): A Study of Validity and Reliability.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Education and Learning, 7,</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145-153. </w:t>
      </w:r>
    </w:p>
    <w:p w14:paraId="469CA455">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Selvarajah, C., Chelliah, J., Meyer, D., Pio, E., &amp; Anurit, P. (2010). The impact of social motivation on cooperative learning and assessment preferences.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Management &amp; Organization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16</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(1), 113-126. </w:t>
      </w:r>
      <w:r>
        <w:fldChar w:fldCharType="begin"/>
      </w:r>
      <w:r>
        <w:instrText xml:space="preserve"> HYPERLINK "https://doi.org/10.5172/jmo.16.1.113"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https://doi.org/10.5172/jmo.16.1.113</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0C9D45BF">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 xml:space="preserve">Seven, M.A. (2020). Motivation in Language Learning and Teaching. </w:t>
      </w:r>
      <w:r>
        <w:rPr>
          <w:rFonts w:ascii="Times New Roman Regular" w:hAnsi="Times New Roman Regular" w:cs="Times New Roman Regular"/>
          <w:i/>
          <w:iCs/>
          <w:color w:val="000000" w:themeColor="text1"/>
          <w:sz w:val="24"/>
          <w14:textFill>
            <w14:solidFill>
              <w14:schemeClr w14:val="tx1"/>
            </w14:solidFill>
          </w14:textFill>
        </w:rPr>
        <w:t>African Educational Research Journal, 8</w:t>
      </w:r>
      <w:r>
        <w:rPr>
          <w:rFonts w:ascii="Times New Roman Regular" w:hAnsi="Times New Roman Regular" w:cs="Times New Roman Regular"/>
          <w:color w:val="000000" w:themeColor="text1"/>
          <w:sz w:val="24"/>
          <w14:textFill>
            <w14:solidFill>
              <w14:schemeClr w14:val="tx1"/>
            </w14:solidFill>
          </w14:textFill>
        </w:rPr>
        <w:t>, 62-71.</w:t>
      </w:r>
    </w:p>
    <w:p w14:paraId="23314659">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Shahid, S.,</w:t>
      </w:r>
      <w:r>
        <w:rPr>
          <w:rFonts w:hint="eastAsia" w:ascii="Times New Roman Regular" w:hAnsi="Times New Roman Regular" w:cs="Times New Roman Regular"/>
          <w:color w:val="000000" w:themeColor="text1"/>
          <w:sz w:val="24"/>
          <w14:textFill>
            <w14:solidFill>
              <w14:schemeClr w14:val="tx1"/>
            </w14:solidFill>
          </w14:textFill>
        </w:rPr>
        <w:t xml:space="preserve"> </w:t>
      </w:r>
      <w:r>
        <w:rPr>
          <w:rFonts w:ascii="Times New Roman Regular" w:hAnsi="Times New Roman Regular" w:cs="Times New Roman Regular"/>
          <w:color w:val="000000" w:themeColor="text1"/>
          <w:sz w:val="24"/>
          <w14:textFill>
            <w14:solidFill>
              <w14:schemeClr w14:val="tx1"/>
            </w14:solidFill>
          </w14:textFill>
        </w:rPr>
        <w:t xml:space="preserve">&amp; Paul, J. (2021). Intrinsic motivation of luxury consumers in an emerging market. </w:t>
      </w:r>
      <w:r>
        <w:rPr>
          <w:rFonts w:ascii="Times New Roman Regular" w:hAnsi="Times New Roman Regular" w:cs="Times New Roman Regular"/>
          <w:i/>
          <w:iCs/>
          <w:color w:val="000000" w:themeColor="text1"/>
          <w:sz w:val="24"/>
          <w14:textFill>
            <w14:solidFill>
              <w14:schemeClr w14:val="tx1"/>
            </w14:solidFill>
          </w14:textFill>
        </w:rPr>
        <w:t>Journal of Retailing and Consumer Services, 61</w:t>
      </w:r>
      <w:r>
        <w:rPr>
          <w:rFonts w:ascii="Times New Roman Regular" w:hAnsi="Times New Roman Regular" w:cs="Times New Roman Regular"/>
          <w:color w:val="000000" w:themeColor="text1"/>
          <w:sz w:val="24"/>
          <w14:textFill>
            <w14:solidFill>
              <w14:schemeClr w14:val="tx1"/>
            </w14:solidFill>
          </w14:textFill>
        </w:rPr>
        <w:t>, 1</w:t>
      </w:r>
      <w:r>
        <w:rPr>
          <w:rFonts w:hint="eastAsia" w:ascii="Times New Roman Regular" w:hAnsi="Times New Roman Regular" w:cs="Times New Roman Regular"/>
          <w:color w:val="000000" w:themeColor="text1"/>
          <w:sz w:val="24"/>
          <w14:textFill>
            <w14:solidFill>
              <w14:schemeClr w14:val="tx1"/>
            </w14:solidFill>
          </w14:textFill>
        </w:rPr>
        <w:t>-1</w:t>
      </w:r>
      <w:r>
        <w:rPr>
          <w:rFonts w:ascii="Times New Roman Regular" w:hAnsi="Times New Roman Regular" w:cs="Times New Roman Regular"/>
          <w:color w:val="000000" w:themeColor="text1"/>
          <w:sz w:val="24"/>
          <w14:textFill>
            <w14:solidFill>
              <w14:schemeClr w14:val="tx1"/>
            </w14:solidFill>
          </w14:textFill>
        </w:rPr>
        <w:t xml:space="preserve">1. </w:t>
      </w:r>
      <w:r>
        <w:fldChar w:fldCharType="begin"/>
      </w:r>
      <w:r>
        <w:instrText xml:space="preserve"> HYPERLINK "https://doi.org/10.1016/j.jretconser.2021.102531" </w:instrText>
      </w:r>
      <w:r>
        <w:fldChar w:fldCharType="separate"/>
      </w:r>
      <w:r>
        <w:rPr>
          <w:rStyle w:val="10"/>
          <w:rFonts w:ascii="Times New Roman Regular" w:hAnsi="Times New Roman Regular" w:cs="Times New Roman Regular"/>
          <w:sz w:val="24"/>
        </w:rPr>
        <w:t>https://doi.org/10.1016/j.jretconser.2021.102531</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163FD5D5">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Sibomana, E. (2014). The acquisition of English as a second language in Rwanda: challenges and promises.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Rwandan Journal of Education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(2), 19-30.</w:t>
      </w:r>
    </w:p>
    <w:p w14:paraId="497A1D6D">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Sinaga, R. R. F., &amp; Pustika, R. (2021). Exploring STUDENTS’ATTITUDE towards English online learning using moodle during COVID-19 pandemic at smk yadika bandarlampung. </w:t>
      </w:r>
      <w:r>
        <w:rPr>
          <w:rFonts w:ascii="Times New Roman Regular" w:hAnsi="Times New Roman Regular" w:cs="Times New Roman Regular"/>
          <w:i/>
          <w:iCs/>
          <w:color w:val="000000" w:themeColor="text1"/>
          <w:sz w:val="24"/>
          <w14:textFill>
            <w14:solidFill>
              <w14:schemeClr w14:val="tx1"/>
            </w14:solidFill>
          </w14:textFill>
        </w:rPr>
        <w:t>Journal of English Language Teaching and Learning</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2</w:t>
      </w:r>
      <w:r>
        <w:rPr>
          <w:rFonts w:ascii="Times New Roman Regular" w:hAnsi="Times New Roman Regular" w:cs="Times New Roman Regular"/>
          <w:color w:val="000000" w:themeColor="text1"/>
          <w:sz w:val="24"/>
          <w14:textFill>
            <w14:solidFill>
              <w14:schemeClr w14:val="tx1"/>
            </w14:solidFill>
          </w14:textFill>
        </w:rPr>
        <w:t>(1), 8-15.</w:t>
      </w:r>
    </w:p>
    <w:p w14:paraId="66A0A752">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Sofiani, D., Maulida, A. S., Fadhillah, N., &amp; Sihite, D. Y. (2017, September). Gender differences in students’ attitude towards science. In </w:t>
      </w:r>
      <w:r>
        <w:rPr>
          <w:rFonts w:ascii="Times New Roman Regular" w:hAnsi="Times New Roman Regular" w:cs="Times New Roman Regular"/>
          <w:i/>
          <w:iCs/>
          <w:color w:val="000000" w:themeColor="text1"/>
          <w:sz w:val="24"/>
          <w14:textFill>
            <w14:solidFill>
              <w14:schemeClr w14:val="tx1"/>
            </w14:solidFill>
          </w14:textFill>
        </w:rPr>
        <w:t>Journal of Physics: Conference Series</w:t>
      </w:r>
      <w:r>
        <w:rPr>
          <w:rFonts w:ascii="Times New Roman Regular" w:hAnsi="Times New Roman Regular" w:cs="Times New Roman Regular"/>
          <w:color w:val="000000" w:themeColor="text1"/>
          <w:sz w:val="24"/>
          <w14:textFill>
            <w14:solidFill>
              <w14:schemeClr w14:val="tx1"/>
            </w14:solidFill>
          </w14:textFill>
        </w:rPr>
        <w:t xml:space="preserve"> (Vol. 895, No. 1, p. 012168). IOP Publishing. doi: 10.1088/1742-6596/895/1/012168 </w:t>
      </w:r>
    </w:p>
    <w:p w14:paraId="47543585">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Sohrabi, S.,</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&amp; Ahmadi Safe, M. (2020). Group dynamic assessment and EFL learners’ oral production, motivation, and classroom anxiety.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English Teaching &amp; Learning</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44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(4), 353-376. </w:t>
      </w:r>
      <w:r>
        <w:fldChar w:fldCharType="begin"/>
      </w:r>
      <w:r>
        <w:instrText xml:space="preserve"> HYPERLINK "https://doi.org/10.1007/s42321-020-00054-2"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https://doi.org/10.1007/s42321-020-00054-2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1F29A7E2">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Süren, N.,</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&amp; Kandemir, M.A. (2020). The effects of mathematics anxiety and motivation on students’ mathematics achievement.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International Journal of Education in Mathematics, Science and Technology</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8</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(3), 190-218. </w:t>
      </w:r>
      <w:r>
        <w:fldChar w:fldCharType="begin"/>
      </w:r>
      <w:r>
        <w:instrText xml:space="preserve"> HYPERLINK "https://doi.org/10.46328/IJEMST.V8I3.926"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https://doi.org/10.46328/IJEMST.V8I3.926</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56480745">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Suwartono, S. (2021). Globalization and University Students’ Motivation towards Learning English in Indonesia.</w:t>
      </w:r>
      <w:r>
        <w:rPr>
          <w:rFonts w:ascii="Times New Roman Italic" w:hAnsi="Times New Roman Italic" w:cs="Times New Roman Italic"/>
          <w:i/>
          <w:iCs/>
          <w:color w:val="000000" w:themeColor="text1"/>
          <w:sz w:val="24"/>
          <w14:textFill>
            <w14:solidFill>
              <w14:schemeClr w14:val="tx1"/>
            </w14:solidFill>
          </w14:textFill>
        </w:rPr>
        <w:t xml:space="preserve"> The Pandemic: A Leap of Faith</w:t>
      </w:r>
      <w:r>
        <w:rPr>
          <w:rFonts w:ascii="Times New Roman Regular" w:hAnsi="Times New Roman Regular" w:cs="Times New Roman Regular"/>
          <w:color w:val="000000" w:themeColor="text1"/>
          <w:sz w:val="24"/>
          <w14:textFill>
            <w14:solidFill>
              <w14:schemeClr w14:val="tx1"/>
            </w14:solidFill>
          </w14:textFill>
        </w:rPr>
        <w:t xml:space="preserve">, </w:t>
      </w:r>
      <w:r>
        <w:rPr>
          <w:rFonts w:hint="eastAsia" w:ascii="Times New Roman Regular" w:hAnsi="Times New Roman Regular" w:cs="Times New Roman Regular"/>
          <w:color w:val="000000" w:themeColor="text1"/>
          <w:sz w:val="24"/>
          <w14:textFill>
            <w14:solidFill>
              <w14:schemeClr w14:val="tx1"/>
            </w14:solidFill>
          </w14:textFill>
        </w:rPr>
        <w:t>586-593.</w:t>
      </w:r>
    </w:p>
    <w:p w14:paraId="3F11A8D1">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Takino, M. (2020). Power in international business communication and linguistic competence: Analyzing the experiences of nonnative business people who use English as a business lingua franca (BELF).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International Journal of Business Communication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57</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(4), 517-544. </w:t>
      </w:r>
      <w:r>
        <w:fldChar w:fldCharType="begin"/>
      </w:r>
      <w:r>
        <w:instrText xml:space="preserve"> HYPERLINK "https://doi.org/10.1177/2329488417714222"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https://doi.org/10.1177/2329488417714222</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050CBEF">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Thi, T. D. P., &amp; Duong, N. T. (2024). Investigating learning burnout and academic performance among management students: a longitudinal study in English courses. </w:t>
      </w:r>
      <w:r>
        <w:rPr>
          <w:rFonts w:ascii="Times New Roman Regular" w:hAnsi="Times New Roman Regular" w:cs="Times New Roman Regular"/>
          <w:i/>
          <w:iCs/>
          <w:color w:val="000000" w:themeColor="text1"/>
          <w:sz w:val="24"/>
          <w14:textFill>
            <w14:solidFill>
              <w14:schemeClr w14:val="tx1"/>
            </w14:solidFill>
          </w14:textFill>
        </w:rPr>
        <w:t>BMC psychology</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12</w:t>
      </w:r>
      <w:r>
        <w:rPr>
          <w:rFonts w:ascii="Times New Roman Regular" w:hAnsi="Times New Roman Regular" w:cs="Times New Roman Regular"/>
          <w:color w:val="000000" w:themeColor="text1"/>
          <w:sz w:val="24"/>
          <w14:textFill>
            <w14:solidFill>
              <w14:schemeClr w14:val="tx1"/>
            </w14:solidFill>
          </w14:textFill>
        </w:rPr>
        <w:t xml:space="preserve">, 219. </w:t>
      </w:r>
      <w:r>
        <w:fldChar w:fldCharType="begin"/>
      </w:r>
      <w:r>
        <w:instrText xml:space="preserve"> HYPERLINK "https://doi.org/10.1186/s40359-024-01725-6" </w:instrText>
      </w:r>
      <w:r>
        <w:fldChar w:fldCharType="separate"/>
      </w:r>
      <w:r>
        <w:rPr>
          <w:rStyle w:val="10"/>
          <w:rFonts w:ascii="Times New Roman Regular" w:hAnsi="Times New Roman Regular" w:cs="Times New Roman Regular"/>
          <w:sz w:val="24"/>
        </w:rPr>
        <w:t>https://doi.org/10.1186/s40359-024-01725-6</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6786A474">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Tus, J. (2020). The influence of study attitudes and study habits on the academic performance of the students.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International Journal of all research writings</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(4), 11-32.</w:t>
      </w:r>
    </w:p>
    <w:p w14:paraId="40EB3A4C">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Vega Chica, M. L., &amp; Valle Lituma, L. Á. (2024). A mediation analysis of the motivation for learning in the process of knowledge acquisition and transfer.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The Learning Organization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31</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(4), 547-564. </w:t>
      </w:r>
      <w:r>
        <w:fldChar w:fldCharType="begin"/>
      </w:r>
      <w:r>
        <w:instrText xml:space="preserve"> HYPERLINK "https://doi.org/10.1108/TLO-02-2022-0027"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https://doi.org/10.1108/TLO-02-2022-0027</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6A15220C">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Wang, W.,</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&amp; Zhan, J. (2020). The relationship between English language learner characteristics and online self-regulation: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A structural equation modeling approach. Sustainability, 12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(7), 3009. </w:t>
      </w:r>
      <w:r>
        <w:fldChar w:fldCharType="begin"/>
      </w:r>
      <w:r>
        <w:instrText xml:space="preserve"> HYPERLINK "https://doi.org/10.3390/su12073009"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https://doi.org/10.3390/su12073009</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09F5A40F">
      <w:pPr>
        <w:widowControl/>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Wang, Y.,</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&amp; Li, J. (2024). Changing discourses of Chinese language maintenance in Australia: unpacking language ideologies of first-generation Chinese immigrant parents from People’s Republic of China.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Frontiers in Psychology</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lang w:bidi="ar"/>
          <w14:textFill>
            <w14:solidFill>
              <w14:schemeClr w14:val="tx1"/>
            </w14:solidFill>
          </w14:textFill>
        </w:rPr>
        <w:t>14</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1259398. </w:t>
      </w:r>
      <w:r>
        <w:fldChar w:fldCharType="begin"/>
      </w:r>
      <w:r>
        <w:instrText xml:space="preserve"> HYPERLINK "https://doi.org/10.3389/fpsyg.2023.1259398"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https://doi.org/10.3389/fpsyg.2023.1259398</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4E9AE718">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Wei, J. (2023)</w:t>
      </w:r>
      <w:r>
        <w:rPr>
          <w:rFonts w:hint="eastAsia"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Research on Mechanical Engineering English Teaching and Application Strategies.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Casting, 72</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(5), 626-626.</w:t>
      </w:r>
    </w:p>
    <w:p w14:paraId="28C01E4A">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Wei, X., Saab, N., &amp; Admiraal, W. (2023). Do learners share the same perceived learning outcomes in MOOCs? Identifying the role of motivation, perceived learning support, learning engagement, and self-regulated learning strategies.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The Internet and Higher Education</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56</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100880. </w:t>
      </w:r>
      <w:r>
        <w:fldChar w:fldCharType="begin"/>
      </w:r>
      <w:r>
        <w:instrText xml:space="preserve"> HYPERLINK "https://doi.org/10.1016/j.iheduc.2022.100880"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https://doi.org/10.1016/j.iheduc.2022.100880</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5C200973">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Yousefabadi, M. M., Ghasemnezhad, T., &amp; Akbarie, Y. (2022). The effect of anxiety, motivation and self-confidence in language learners’ reading proficiency. </w:t>
      </w:r>
      <w:r>
        <w:rPr>
          <w:rFonts w:ascii="Times New Roman Regular" w:hAnsi="Times New Roman Regular" w:cs="Times New Roman Regular"/>
          <w:i/>
          <w:iCs/>
          <w:color w:val="000000" w:themeColor="text1"/>
          <w:sz w:val="24"/>
          <w14:textFill>
            <w14:solidFill>
              <w14:schemeClr w14:val="tx1"/>
            </w14:solidFill>
          </w14:textFill>
        </w:rPr>
        <w:t>NeuroQuantology</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20</w:t>
      </w:r>
      <w:r>
        <w:rPr>
          <w:rFonts w:ascii="Times New Roman Regular" w:hAnsi="Times New Roman Regular" w:cs="Times New Roman Regular"/>
          <w:color w:val="000000" w:themeColor="text1"/>
          <w:sz w:val="24"/>
          <w14:textFill>
            <w14:solidFill>
              <w14:schemeClr w14:val="tx1"/>
            </w14:solidFill>
          </w14:textFill>
        </w:rPr>
        <w:t xml:space="preserve">(16), 4966-4976. doi: 10.48047/NQ.2022.20.16.NQ880504 </w:t>
      </w:r>
    </w:p>
    <w:p w14:paraId="3673C5CD">
      <w:pPr>
        <w:widowControl/>
        <w:ind w:left="360" w:hanging="360" w:hangingChars="150"/>
        <w:jc w:val="left"/>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pP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Yu, Z., Gao, M., &amp; Wang, L. (2021). The effect of educational games on learning outcomes, student motivation, engagement and satisfaction.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Journal of Educational Computing Research</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w:t>
      </w:r>
      <w:r>
        <w:rPr>
          <w:rFonts w:ascii="Times New Roman Regular" w:hAnsi="Times New Roman Regular" w:eastAsia="宋体" w:cs="Times New Roman Regular"/>
          <w:i/>
          <w:iCs/>
          <w:color w:val="000000" w:themeColor="text1"/>
          <w:kern w:val="0"/>
          <w:sz w:val="24"/>
          <w:shd w:val="clear" w:color="auto" w:fill="FFFFFF"/>
          <w:lang w:bidi="ar"/>
          <w14:textFill>
            <w14:solidFill>
              <w14:schemeClr w14:val="tx1"/>
            </w14:solidFill>
          </w14:textFill>
        </w:rPr>
        <w:t>59</w:t>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(3), 522-546. </w:t>
      </w:r>
      <w:r>
        <w:fldChar w:fldCharType="begin"/>
      </w:r>
      <w:r>
        <w:instrText xml:space="preserve"> HYPERLINK "https://doi.org/10.1177/0735633120969214" </w:instrText>
      </w:r>
      <w:r>
        <w:fldChar w:fldCharType="separate"/>
      </w:r>
      <w:r>
        <w:rPr>
          <w:rStyle w:val="10"/>
          <w:rFonts w:ascii="Times New Roman Regular" w:hAnsi="Times New Roman Regular" w:eastAsia="宋体" w:cs="Times New Roman Regular"/>
          <w:kern w:val="0"/>
          <w:sz w:val="24"/>
          <w:shd w:val="clear" w:color="auto" w:fill="FFFFFF"/>
          <w:lang w:bidi="ar"/>
        </w:rPr>
        <w:t>https://doi.org/10.1177/0735633120969214</w:t>
      </w:r>
      <w:r>
        <w:rPr>
          <w:rStyle w:val="10"/>
          <w:rFonts w:ascii="Times New Roman Regular" w:hAnsi="Times New Roman Regular" w:eastAsia="宋体" w:cs="Times New Roman Regular"/>
          <w:kern w:val="0"/>
          <w:sz w:val="24"/>
          <w:shd w:val="clear" w:color="auto" w:fill="FFFFFF"/>
          <w:lang w:bidi="ar"/>
        </w:rPr>
        <w:fldChar w:fldCharType="end"/>
      </w:r>
      <w:r>
        <w:rPr>
          <w:rFonts w:ascii="Times New Roman Regular" w:hAnsi="Times New Roman Regular" w:eastAsia="宋体" w:cs="Times New Roman Regular"/>
          <w:color w:val="000000" w:themeColor="text1"/>
          <w:kern w:val="0"/>
          <w:sz w:val="24"/>
          <w:shd w:val="clear" w:color="auto" w:fill="FFFFFF"/>
          <w:lang w:bidi="ar"/>
          <w14:textFill>
            <w14:solidFill>
              <w14:schemeClr w14:val="tx1"/>
            </w14:solidFill>
          </w14:textFill>
        </w:rPr>
        <w:t xml:space="preserve"> </w:t>
      </w:r>
    </w:p>
    <w:p w14:paraId="2D3DC63A">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 xml:space="preserve">Yuan, C. (2020). The Influence of Affective Factors and Cognitive Engagement on Students' English Proficiency. </w:t>
      </w:r>
      <w:r>
        <w:rPr>
          <w:rFonts w:ascii="Times New Roman Regular" w:hAnsi="Times New Roman Regular" w:cs="Times New Roman Regular"/>
          <w:i/>
          <w:iCs/>
          <w:color w:val="000000" w:themeColor="text1"/>
          <w:sz w:val="24"/>
          <w14:textFill>
            <w14:solidFill>
              <w14:schemeClr w14:val="tx1"/>
            </w14:solidFill>
          </w14:textFill>
        </w:rPr>
        <w:t>Journal of Language Teaching &amp; Research, 11</w:t>
      </w:r>
      <w:r>
        <w:rPr>
          <w:rFonts w:ascii="Times New Roman Regular" w:hAnsi="Times New Roman Regular" w:cs="Times New Roman Regular"/>
          <w:color w:val="000000" w:themeColor="text1"/>
          <w:sz w:val="24"/>
          <w14:textFill>
            <w14:solidFill>
              <w14:schemeClr w14:val="tx1"/>
            </w14:solidFill>
          </w14:textFill>
        </w:rPr>
        <w:t>(4),</w:t>
      </w:r>
      <w:r>
        <w:rPr>
          <w:rFonts w:hint="eastAsia" w:ascii="Times New Roman Regular" w:hAnsi="Times New Roman Regular" w:cs="Times New Roman Regular"/>
          <w:color w:val="000000" w:themeColor="text1"/>
          <w:sz w:val="24"/>
          <w14:textFill>
            <w14:solidFill>
              <w14:schemeClr w14:val="tx1"/>
            </w14:solidFill>
          </w14:textFill>
        </w:rPr>
        <w:t xml:space="preserve"> 645-651.</w:t>
      </w:r>
      <w:r>
        <w:rPr>
          <w:rFonts w:ascii="Times New Roman Regular" w:hAnsi="Times New Roman Regular" w:cs="Times New Roman Regular"/>
          <w:color w:val="000000" w:themeColor="text1"/>
          <w:sz w:val="24"/>
          <w14:textFill>
            <w14:solidFill>
              <w14:schemeClr w14:val="tx1"/>
            </w14:solidFill>
          </w14:textFill>
        </w:rPr>
        <w:t xml:space="preserve"> doi: 10.17507/jltr.1104.16</w:t>
      </w:r>
    </w:p>
    <w:p w14:paraId="1C47047D">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Zhou, L., Xi, Y., &amp; Lochtman, K. (2023). The relationship between second language competence and willingness to communicate: the moderating effect of foreign language anxiety. </w:t>
      </w:r>
      <w:r>
        <w:rPr>
          <w:rFonts w:ascii="Times New Roman Regular" w:hAnsi="Times New Roman Regular" w:cs="Times New Roman Regular"/>
          <w:i/>
          <w:iCs/>
          <w:color w:val="000000" w:themeColor="text1"/>
          <w:sz w:val="24"/>
          <w14:textFill>
            <w14:solidFill>
              <w14:schemeClr w14:val="tx1"/>
            </w14:solidFill>
          </w14:textFill>
        </w:rPr>
        <w:t>Journal of Multilingual and Multicultural Development</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44</w:t>
      </w:r>
      <w:r>
        <w:rPr>
          <w:rFonts w:ascii="Times New Roman Regular" w:hAnsi="Times New Roman Regular" w:cs="Times New Roman Regular"/>
          <w:color w:val="000000" w:themeColor="text1"/>
          <w:sz w:val="24"/>
          <w14:textFill>
            <w14:solidFill>
              <w14:schemeClr w14:val="tx1"/>
            </w14:solidFill>
          </w14:textFill>
        </w:rPr>
        <w:t xml:space="preserve">(2), 129-143. </w:t>
      </w:r>
      <w:r>
        <w:fldChar w:fldCharType="begin"/>
      </w:r>
      <w:r>
        <w:instrText xml:space="preserve"> HYPERLINK "https://doi.org/10.1080/01434632.2020.1801697" </w:instrText>
      </w:r>
      <w:r>
        <w:fldChar w:fldCharType="separate"/>
      </w:r>
      <w:r>
        <w:rPr>
          <w:rStyle w:val="10"/>
          <w:rFonts w:ascii="Times New Roman Regular" w:hAnsi="Times New Roman Regular" w:cs="Times New Roman Regular"/>
          <w:sz w:val="24"/>
        </w:rPr>
        <w:t>https://doi.org/10.1080/01434632.2020.1801697</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281C48BA">
      <w:pPr>
        <w:ind w:left="360" w:hanging="360" w:hangingChars="150"/>
        <w:jc w:val="left"/>
        <w:rPr>
          <w:rFonts w:ascii="Times New Roman Regular" w:hAnsi="Times New Roman Regular" w:cs="Times New Roman Regular"/>
          <w:color w:val="000000" w:themeColor="text1"/>
          <w:sz w:val="24"/>
          <w14:textFill>
            <w14:solidFill>
              <w14:schemeClr w14:val="tx1"/>
            </w14:solidFill>
          </w14:textFill>
        </w:rPr>
      </w:pPr>
      <w:r>
        <w:rPr>
          <w:rFonts w:ascii="Times New Roman Regular" w:hAnsi="Times New Roman Regular" w:cs="Times New Roman Regular"/>
          <w:color w:val="000000" w:themeColor="text1"/>
          <w:sz w:val="24"/>
          <w14:textFill>
            <w14:solidFill>
              <w14:schemeClr w14:val="tx1"/>
            </w14:solidFill>
          </w14:textFill>
        </w:rPr>
        <w:t>Zulfikar, T., Dahliana, S., &amp; Sari, R. A. (2019). An Exploration of English Students' Attitude towards English Learning. </w:t>
      </w:r>
      <w:r>
        <w:rPr>
          <w:rFonts w:ascii="Times New Roman Regular" w:hAnsi="Times New Roman Regular" w:cs="Times New Roman Regular"/>
          <w:i/>
          <w:iCs/>
          <w:color w:val="000000" w:themeColor="text1"/>
          <w:sz w:val="24"/>
          <w14:textFill>
            <w14:solidFill>
              <w14:schemeClr w14:val="tx1"/>
            </w14:solidFill>
          </w14:textFill>
        </w:rPr>
        <w:t>English Language Teaching Educational Journal</w:t>
      </w:r>
      <w:r>
        <w:rPr>
          <w:rFonts w:ascii="Times New Roman Regular" w:hAnsi="Times New Roman Regular" w:cs="Times New Roman Regular"/>
          <w:color w:val="000000" w:themeColor="text1"/>
          <w:sz w:val="24"/>
          <w14:textFill>
            <w14:solidFill>
              <w14:schemeClr w14:val="tx1"/>
            </w14:solidFill>
          </w14:textFill>
        </w:rPr>
        <w:t>, </w:t>
      </w:r>
      <w:r>
        <w:rPr>
          <w:rFonts w:ascii="Times New Roman Regular" w:hAnsi="Times New Roman Regular" w:cs="Times New Roman Regular"/>
          <w:i/>
          <w:iCs/>
          <w:color w:val="000000" w:themeColor="text1"/>
          <w:sz w:val="24"/>
          <w14:textFill>
            <w14:solidFill>
              <w14:schemeClr w14:val="tx1"/>
            </w14:solidFill>
          </w14:textFill>
        </w:rPr>
        <w:t>2</w:t>
      </w:r>
      <w:r>
        <w:rPr>
          <w:rFonts w:ascii="Times New Roman Regular" w:hAnsi="Times New Roman Regular" w:cs="Times New Roman Regular"/>
          <w:color w:val="000000" w:themeColor="text1"/>
          <w:sz w:val="24"/>
          <w14:textFill>
            <w14:solidFill>
              <w14:schemeClr w14:val="tx1"/>
            </w14:solidFill>
          </w14:textFill>
        </w:rPr>
        <w:t xml:space="preserve">(1), 1-12. </w:t>
      </w:r>
      <w:r>
        <w:fldChar w:fldCharType="begin"/>
      </w:r>
      <w:r>
        <w:instrText xml:space="preserve"> HYPERLINK "http://dx.doi.org/10.12928/eltej.v2i1.947" </w:instrText>
      </w:r>
      <w:r>
        <w:fldChar w:fldCharType="separate"/>
      </w:r>
      <w:r>
        <w:rPr>
          <w:rStyle w:val="10"/>
          <w:rFonts w:ascii="Times New Roman Regular" w:hAnsi="Times New Roman Regular" w:cs="Times New Roman Regular"/>
          <w:sz w:val="24"/>
        </w:rPr>
        <w:t>http://dx.doi.org/10.12928/eltej.v2i1.947</w:t>
      </w:r>
      <w:r>
        <w:rPr>
          <w:rStyle w:val="10"/>
          <w:rFonts w:ascii="Times New Roman Regular" w:hAnsi="Times New Roman Regular" w:cs="Times New Roman Regular"/>
          <w:sz w:val="24"/>
        </w:rPr>
        <w:fldChar w:fldCharType="end"/>
      </w:r>
      <w:r>
        <w:rPr>
          <w:rFonts w:ascii="Times New Roman Regular" w:hAnsi="Times New Roman Regular" w:cs="Times New Roman Regular"/>
          <w:color w:val="000000" w:themeColor="text1"/>
          <w:sz w:val="24"/>
          <w14:textFill>
            <w14:solidFill>
              <w14:schemeClr w14:val="tx1"/>
            </w14:solidFill>
          </w14:textFill>
        </w:rPr>
        <w:t xml:space="preserve"> </w:t>
      </w:r>
    </w:p>
    <w:p w14:paraId="3C49E59A">
      <w:pPr>
        <w:jc w:val="left"/>
        <w:rPr>
          <w:rFonts w:ascii="Times New Roman" w:hAnsi="Times New Roman" w:cs="Times New Roman"/>
          <w:b/>
          <w:bCs/>
          <w:sz w:val="24"/>
        </w:rPr>
      </w:pPr>
      <w:bookmarkStart w:id="3" w:name="OLE_LINK1"/>
      <w:r>
        <w:rPr>
          <w:rFonts w:hint="eastAsia" w:ascii="Times New Roman" w:hAnsi="Times New Roman" w:cs="Times New Roman"/>
          <w:b/>
          <w:bCs/>
          <w:sz w:val="24"/>
        </w:rPr>
        <w:t>Disclosure Statement</w:t>
      </w:r>
    </w:p>
    <w:p w14:paraId="4E6C3634">
      <w:pPr>
        <w:jc w:val="left"/>
        <w:rPr>
          <w:rFonts w:ascii="Times New Roman" w:hAnsi="Times New Roman" w:cs="Times New Roman"/>
          <w:sz w:val="24"/>
        </w:rPr>
      </w:pPr>
      <w:r>
        <w:rPr>
          <w:rFonts w:hint="eastAsia" w:ascii="Times New Roman" w:hAnsi="Times New Roman" w:cs="Times New Roman"/>
          <w:sz w:val="24"/>
        </w:rPr>
        <w:t>No potential conflict of interest was reported by the author(s).</w:t>
      </w:r>
      <w:bookmarkEnd w:id="3"/>
    </w:p>
    <w:p w14:paraId="3E5BAE38">
      <w:pPr>
        <w:jc w:val="left"/>
        <w:rPr>
          <w:rFonts w:ascii="Times New Roman" w:hAnsi="Times New Roman" w:cs="Times New Roman"/>
          <w:color w:val="000000" w:themeColor="text1"/>
          <w:sz w:val="24"/>
          <w14:textFill>
            <w14:solidFill>
              <w14:schemeClr w14:val="tx1"/>
            </w14:solidFill>
          </w14:textFill>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s New Roman Bold">
    <w:altName w:val="Times New Roman"/>
    <w:panose1 w:val="02020803070505020304"/>
    <w:charset w:val="00"/>
    <w:family w:val="roman"/>
    <w:pitch w:val="default"/>
    <w:sig w:usb0="00000000" w:usb1="00000000" w:usb2="00000001" w:usb3="00000000" w:csb0="400001BF" w:csb1="DFF70000"/>
  </w:font>
  <w:font w:name="TimesNewRomanPS-BoldMT">
    <w:altName w:val="Segoe Print"/>
    <w:panose1 w:val="00000000000000000000"/>
    <w:charset w:val="00"/>
    <w:family w:val="auto"/>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 w:name="Times New Roman Regular">
    <w:altName w:val="Times New Roman"/>
    <w:panose1 w:val="00000000000000000000"/>
    <w:charset w:val="00"/>
    <w:family w:val="auto"/>
    <w:pitch w:val="default"/>
    <w:sig w:usb0="00000000" w:usb1="00000000" w:usb2="00000001" w:usb3="00000000" w:csb0="400001BF" w:csb1="DFF70000"/>
  </w:font>
  <w:font w:name="TimesNewRomanPS-ItalicMT">
    <w:altName w:val="Segoe Print"/>
    <w:panose1 w:val="00000000000000000000"/>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661E">
    <w:pPr>
      <w:pStyle w:val="5"/>
    </w:pPr>
    <w:r>
      <w:pict>
        <v:shape id="PowerPlusWaterMarkObject279278220" o:spid="_x0000_s1027"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6C7E">
    <w:pPr>
      <w:pStyle w:val="5"/>
    </w:pPr>
    <w:r>
      <w:pict>
        <v:shape id="PowerPlusWaterMarkObject279278219" o:spid="_x0000_s1026"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CB3">
    <w:pPr>
      <w:pStyle w:val="5"/>
    </w:pPr>
    <w:r>
      <w:pict>
        <v:shape id="PowerPlusWaterMarkObject279278218" o:spid="_x0000_s1025"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EA073"/>
    <w:multiLevelType w:val="singleLevel"/>
    <w:tmpl w:val="B7EEA073"/>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jY2VjYmM5ZDZlZDEyZGFiOTE5ZjQwYWUzN2FlNTMifQ=="/>
  </w:docVars>
  <w:rsids>
    <w:rsidRoot w:val="EE7F8F3B"/>
    <w:rsid w:val="00026D4E"/>
    <w:rsid w:val="00051D47"/>
    <w:rsid w:val="000D0678"/>
    <w:rsid w:val="000F4539"/>
    <w:rsid w:val="00122F79"/>
    <w:rsid w:val="0013415C"/>
    <w:rsid w:val="001741C9"/>
    <w:rsid w:val="0018304A"/>
    <w:rsid w:val="00267CF7"/>
    <w:rsid w:val="0027307A"/>
    <w:rsid w:val="002E710C"/>
    <w:rsid w:val="003340EC"/>
    <w:rsid w:val="00420037"/>
    <w:rsid w:val="00437476"/>
    <w:rsid w:val="00460227"/>
    <w:rsid w:val="004A2CF6"/>
    <w:rsid w:val="004D2F5A"/>
    <w:rsid w:val="00502C1F"/>
    <w:rsid w:val="00581699"/>
    <w:rsid w:val="00622ADC"/>
    <w:rsid w:val="006310F0"/>
    <w:rsid w:val="00664380"/>
    <w:rsid w:val="00696914"/>
    <w:rsid w:val="006C288B"/>
    <w:rsid w:val="006E1B5D"/>
    <w:rsid w:val="007114BD"/>
    <w:rsid w:val="00716C96"/>
    <w:rsid w:val="00741BA0"/>
    <w:rsid w:val="00786111"/>
    <w:rsid w:val="0084786E"/>
    <w:rsid w:val="008627AA"/>
    <w:rsid w:val="00977067"/>
    <w:rsid w:val="009A43E9"/>
    <w:rsid w:val="009C0604"/>
    <w:rsid w:val="00A07D77"/>
    <w:rsid w:val="00A52771"/>
    <w:rsid w:val="00AC365E"/>
    <w:rsid w:val="00AF5A80"/>
    <w:rsid w:val="00B34020"/>
    <w:rsid w:val="00B34ABA"/>
    <w:rsid w:val="00B41CD9"/>
    <w:rsid w:val="00B50503"/>
    <w:rsid w:val="00BD3D7E"/>
    <w:rsid w:val="00C57DA4"/>
    <w:rsid w:val="00C93E6B"/>
    <w:rsid w:val="00CC654B"/>
    <w:rsid w:val="00CF06AC"/>
    <w:rsid w:val="00D37AFE"/>
    <w:rsid w:val="00D43069"/>
    <w:rsid w:val="00D831BE"/>
    <w:rsid w:val="00D91515"/>
    <w:rsid w:val="00E66981"/>
    <w:rsid w:val="00E77459"/>
    <w:rsid w:val="00EB5EBF"/>
    <w:rsid w:val="00F5579F"/>
    <w:rsid w:val="017168B2"/>
    <w:rsid w:val="084E1401"/>
    <w:rsid w:val="1BFFCF08"/>
    <w:rsid w:val="1C662D65"/>
    <w:rsid w:val="247F2E95"/>
    <w:rsid w:val="28DB489F"/>
    <w:rsid w:val="2BBD43D2"/>
    <w:rsid w:val="2FC5554D"/>
    <w:rsid w:val="312F6D42"/>
    <w:rsid w:val="31CFB33B"/>
    <w:rsid w:val="34617A87"/>
    <w:rsid w:val="36F45887"/>
    <w:rsid w:val="3F8C0C38"/>
    <w:rsid w:val="40A16E8B"/>
    <w:rsid w:val="46AC2F08"/>
    <w:rsid w:val="47BE5AF0"/>
    <w:rsid w:val="4A5765C1"/>
    <w:rsid w:val="4B8D7117"/>
    <w:rsid w:val="506D1858"/>
    <w:rsid w:val="51844B18"/>
    <w:rsid w:val="57DFCF66"/>
    <w:rsid w:val="5B53E094"/>
    <w:rsid w:val="5D2A2895"/>
    <w:rsid w:val="5FD3E860"/>
    <w:rsid w:val="6C2216A6"/>
    <w:rsid w:val="6EEF9BFA"/>
    <w:rsid w:val="767EBD1E"/>
    <w:rsid w:val="77F9E0F9"/>
    <w:rsid w:val="7C226B17"/>
    <w:rsid w:val="7DEE2784"/>
    <w:rsid w:val="7FDA54D7"/>
    <w:rsid w:val="7FEDCDBD"/>
    <w:rsid w:val="7FF394CE"/>
    <w:rsid w:val="8FEF50A9"/>
    <w:rsid w:val="B8FF828B"/>
    <w:rsid w:val="BFE91085"/>
    <w:rsid w:val="DB9DEDC3"/>
    <w:rsid w:val="EE7F8F3B"/>
    <w:rsid w:val="FBF6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2">
    <w:name w:val="heading 2"/>
    <w:basedOn w:val="1"/>
    <w:next w:val="1"/>
    <w:link w:val="18"/>
    <w:semiHidden/>
    <w:unhideWhenUsed/>
    <w:qFormat/>
    <w:uiPriority w:val="0"/>
    <w:pPr>
      <w:keepNext/>
      <w:keepLines/>
      <w:spacing w:before="40"/>
      <w:outlineLvl w:val="1"/>
    </w:pPr>
    <w:rPr>
      <w:rFonts w:asciiTheme="majorHAnsi" w:hAnsiTheme="majorHAnsi" w:eastAsiaTheme="majorEastAsia" w:cstheme="majorBidi"/>
      <w:color w:val="2E54A1" w:themeColor="accent1" w:themeShade="BF"/>
      <w:sz w:val="26"/>
      <w:szCs w:val="2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rPr>
      <w:sz w:val="20"/>
      <w:szCs w:val="20"/>
    </w:rPr>
  </w:style>
  <w:style w:type="paragraph" w:styleId="4">
    <w:name w:val="footer"/>
    <w:basedOn w:val="1"/>
    <w:link w:val="15"/>
    <w:qFormat/>
    <w:uiPriority w:val="0"/>
    <w:pPr>
      <w:tabs>
        <w:tab w:val="center" w:pos="4680"/>
        <w:tab w:val="right" w:pos="9360"/>
      </w:tabs>
    </w:pPr>
  </w:style>
  <w:style w:type="paragraph" w:styleId="5">
    <w:name w:val="header"/>
    <w:basedOn w:val="1"/>
    <w:link w:val="14"/>
    <w:qFormat/>
    <w:uiPriority w:val="0"/>
    <w:pPr>
      <w:tabs>
        <w:tab w:val="center" w:pos="4680"/>
        <w:tab w:val="right" w:pos="9360"/>
      </w:tabs>
    </w:p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FollowedHyperlink"/>
    <w:basedOn w:val="8"/>
    <w:qFormat/>
    <w:uiPriority w:val="0"/>
    <w:rPr>
      <w:color w:val="7E1FAD"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customStyle="1" w:styleId="11">
    <w:name w:val="font11"/>
    <w:basedOn w:val="8"/>
    <w:qFormat/>
    <w:uiPriority w:val="0"/>
    <w:rPr>
      <w:rFonts w:hint="eastAsia" w:ascii="宋体" w:hAnsi="宋体" w:eastAsia="宋体" w:cs="宋体"/>
      <w:color w:val="264A60"/>
      <w:sz w:val="13"/>
      <w:szCs w:val="13"/>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Unresolved Mention1"/>
    <w:basedOn w:val="8"/>
    <w:semiHidden/>
    <w:unhideWhenUsed/>
    <w:qFormat/>
    <w:uiPriority w:val="99"/>
    <w:rPr>
      <w:color w:val="605E5C"/>
      <w:shd w:val="clear" w:color="auto" w:fill="E1DFDD"/>
    </w:rPr>
  </w:style>
  <w:style w:type="character" w:customStyle="1" w:styleId="14">
    <w:name w:val="Header Char"/>
    <w:basedOn w:val="8"/>
    <w:link w:val="5"/>
    <w:qFormat/>
    <w:uiPriority w:val="0"/>
    <w:rPr>
      <w:rFonts w:asciiTheme="minorHAnsi" w:hAnsiTheme="minorHAnsi" w:eastAsiaTheme="minorEastAsia" w:cstheme="minorBidi"/>
      <w:kern w:val="2"/>
      <w:sz w:val="28"/>
      <w:szCs w:val="24"/>
      <w:lang w:val="en-US" w:eastAsia="zh-CN"/>
    </w:rPr>
  </w:style>
  <w:style w:type="character" w:customStyle="1" w:styleId="15">
    <w:name w:val="Footer Char"/>
    <w:basedOn w:val="8"/>
    <w:link w:val="4"/>
    <w:qFormat/>
    <w:uiPriority w:val="0"/>
    <w:rPr>
      <w:rFonts w:asciiTheme="minorHAnsi" w:hAnsiTheme="minorHAnsi" w:eastAsiaTheme="minorEastAsia" w:cstheme="minorBidi"/>
      <w:kern w:val="2"/>
      <w:sz w:val="28"/>
      <w:szCs w:val="24"/>
      <w:lang w:val="en-US" w:eastAsia="zh-CN"/>
    </w:rPr>
  </w:style>
  <w:style w:type="character" w:customStyle="1" w:styleId="16">
    <w:name w:val="Comment Text Char"/>
    <w:basedOn w:val="8"/>
    <w:link w:val="3"/>
    <w:qFormat/>
    <w:uiPriority w:val="0"/>
    <w:rPr>
      <w:rFonts w:asciiTheme="minorHAnsi" w:hAnsiTheme="minorHAnsi" w:eastAsiaTheme="minorEastAsia" w:cstheme="minorBidi"/>
      <w:kern w:val="2"/>
      <w:lang w:val="en-US" w:eastAsia="zh-CN"/>
    </w:rPr>
  </w:style>
  <w:style w:type="paragraph" w:styleId="17">
    <w:name w:val="List Paragraph"/>
    <w:basedOn w:val="1"/>
    <w:unhideWhenUsed/>
    <w:qFormat/>
    <w:uiPriority w:val="99"/>
    <w:pPr>
      <w:ind w:left="720"/>
      <w:contextualSpacing/>
    </w:pPr>
  </w:style>
  <w:style w:type="character" w:customStyle="1" w:styleId="18">
    <w:name w:val="Heading 2 Char"/>
    <w:basedOn w:val="8"/>
    <w:link w:val="2"/>
    <w:semiHidden/>
    <w:qFormat/>
    <w:uiPriority w:val="0"/>
    <w:rPr>
      <w:rFonts w:asciiTheme="majorHAnsi" w:hAnsiTheme="majorHAnsi" w:eastAsiaTheme="majorEastAsia" w:cstheme="majorBidi"/>
      <w:color w:val="2E54A1" w:themeColor="accent1" w:themeShade="BF"/>
      <w:kern w:val="2"/>
      <w:sz w:val="26"/>
      <w:szCs w:val="26"/>
      <w:lang w:val="en-US" w:eastAsia="zh-CN"/>
    </w:rPr>
  </w:style>
  <w:style w:type="paragraph" w:customStyle="1" w:styleId="19">
    <w:name w:val="正文1"/>
    <w:uiPriority w:val="0"/>
    <w:pPr>
      <w:widowControl w:val="0"/>
      <w:jc w:val="both"/>
    </w:pPr>
    <w:rPr>
      <w:rFonts w:ascii="Calibri" w:hAnsi="Calibri" w:eastAsia="宋体" w:cs="Times New Roman"/>
      <w:kern w:val="2"/>
      <w:sz w:val="28"/>
      <w:szCs w:val="2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6266</Words>
  <Characters>40187</Characters>
  <Lines>1036</Lines>
  <Paragraphs>374</Paragraphs>
  <TotalTime>28</TotalTime>
  <ScaleCrop>false</ScaleCrop>
  <LinksUpToDate>false</LinksUpToDate>
  <CharactersWithSpaces>46231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2025-05-09T05:02:00Z</dcterms:created>
  <dc:creator>%E8%8B%8F%E5%B0%8F%E6%BB%A1</dc:creator>
  <cp:lastModifiedBy>杨梦瑶别吃了</cp:lastModifiedBy>
  <dcterms:modified xsi:type="dcterms:W3CDTF">2025-05-09T06:03:24Z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B7607B58651F4A90BEA9D6741333D204_13</vt:lpwstr>
  </property>
  <property fmtid="{D5CDD505-2E9C-101B-9397-08002B2CF9AE}" pid="4" name="KSOTemplateDocerSaveRecord">
    <vt:lpwstr>eyJoZGlkIjoiMDI4NTRlMzY4YzU1M2Y1Mjk2MjlmZmM5MDFjZTFkNzQiLCJ1c2VySWQiOiI4NjUyMjE5NjAifQ==</vt:lpwstr>
  </property>
  <property fmtid="{D5CDD505-2E9C-101B-9397-08002B2CF9AE}" pid="5" name="GrammarlyDocumentId">
    <vt:lpwstr>8c933a33-2cdd-42fa-a6bf-e13b0c16ba6d</vt:lpwstr>
  </property>
</Properties>
</file>