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9A27" w14:textId="77777777" w:rsidR="00CE061A" w:rsidRDefault="00E2685B">
      <w:pPr>
        <w:pStyle w:val="Heading3"/>
        <w:keepNext w:val="0"/>
        <w:keepLines w:val="0"/>
        <w:spacing w:before="0" w:after="0" w:line="360" w:lineRule="auto"/>
        <w:jc w:val="both"/>
        <w:rPr>
          <w:rFonts w:ascii="Times New Roman" w:eastAsia="Times New Roman" w:hAnsi="Times New Roman" w:cs="Times New Roman"/>
          <w:b/>
          <w:color w:val="000000"/>
          <w:sz w:val="24"/>
          <w:szCs w:val="24"/>
        </w:rPr>
      </w:pPr>
      <w:bookmarkStart w:id="0" w:name="_heading=h.gjdgxs" w:colFirst="0" w:colLast="0"/>
      <w:bookmarkStart w:id="1" w:name="_GoBack"/>
      <w:bookmarkEnd w:id="0"/>
      <w:bookmarkEnd w:id="1"/>
      <w:r>
        <w:rPr>
          <w:rFonts w:ascii="Times New Roman" w:eastAsia="Times New Roman" w:hAnsi="Times New Roman" w:cs="Times New Roman"/>
          <w:b/>
          <w:color w:val="000000"/>
          <w:sz w:val="24"/>
          <w:szCs w:val="24"/>
        </w:rPr>
        <w:t>Policy Interventions for Climate Change: Assessing Global Strategies to Reduce Carbon Footprint</w:t>
      </w:r>
    </w:p>
    <w:p w14:paraId="77BA1296" w14:textId="77777777" w:rsidR="00032663" w:rsidRPr="00032663" w:rsidRDefault="00032663" w:rsidP="00032663"/>
    <w:p w14:paraId="4FC99878" w14:textId="77777777" w:rsidR="00CE061A" w:rsidRDefault="00CE061A">
      <w:pPr>
        <w:spacing w:line="360" w:lineRule="auto"/>
        <w:jc w:val="both"/>
        <w:rPr>
          <w:rFonts w:ascii="Times New Roman" w:eastAsia="Times New Roman" w:hAnsi="Times New Roman" w:cs="Times New Roman"/>
          <w:b/>
          <w:sz w:val="24"/>
          <w:szCs w:val="24"/>
        </w:rPr>
      </w:pPr>
    </w:p>
    <w:p w14:paraId="03EB0652" w14:textId="7DAF5B95"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Climate change is still a critical issue in the world, and some trends should be combat with international efforts in the regions and some sectors. The purpose of this research is to evaluate the efficiency of policy measures in </w:t>
      </w:r>
      <w:r w:rsidR="00BE371C">
        <w:rPr>
          <w:rFonts w:ascii="Times New Roman" w:eastAsia="Times New Roman" w:hAnsi="Times New Roman" w:cs="Times New Roman"/>
          <w:sz w:val="24"/>
          <w:szCs w:val="24"/>
        </w:rPr>
        <w:t>fostering energy</w:t>
      </w:r>
      <w:r>
        <w:rPr>
          <w:rFonts w:ascii="Times New Roman" w:eastAsia="Times New Roman" w:hAnsi="Times New Roman" w:cs="Times New Roman"/>
          <w:sz w:val="24"/>
          <w:szCs w:val="24"/>
        </w:rPr>
        <w:t xml:space="preserve"> efficiency</w:t>
      </w:r>
      <w:r>
        <w:rPr>
          <w:rFonts w:ascii="Times New Roman" w:eastAsia="Times New Roman" w:hAnsi="Times New Roman" w:cs="Times New Roman"/>
          <w:sz w:val="24"/>
          <w:szCs w:val="24"/>
        </w:rPr>
        <w:t xml:space="preserve"> (EE) and reducing deforestation from 2000 to 2020 for Europe, California, Brazil, China, India, Indonesia, and others. The work focuses on assessing savings from EE and demand, and reductions in deforestation. The changes on EE on facilities were as perce</w:t>
      </w:r>
      <w:r>
        <w:rPr>
          <w:rFonts w:ascii="Times New Roman" w:eastAsia="Times New Roman" w:hAnsi="Times New Roman" w:cs="Times New Roman"/>
          <w:sz w:val="24"/>
          <w:szCs w:val="24"/>
        </w:rPr>
        <w:t xml:space="preserve">nt changes while on the other hand deforestation was compared on the number of </w:t>
      </w:r>
      <w:r w:rsidR="00BE371C">
        <w:rPr>
          <w:rFonts w:ascii="Times New Roman" w:eastAsia="Times New Roman" w:hAnsi="Times New Roman" w:cs="Times New Roman"/>
          <w:sz w:val="24"/>
          <w:szCs w:val="24"/>
        </w:rPr>
        <w:t>hectares</w:t>
      </w:r>
      <w:r>
        <w:rPr>
          <w:rFonts w:ascii="Times New Roman" w:eastAsia="Times New Roman" w:hAnsi="Times New Roman" w:cs="Times New Roman"/>
          <w:sz w:val="24"/>
          <w:szCs w:val="24"/>
        </w:rPr>
        <w:t xml:space="preserve"> of forest covers. These two areas with policy interference captured here as European union and California depicted sharp improvements in EE and had reduced the figure o</w:t>
      </w:r>
      <w:r>
        <w:rPr>
          <w:rFonts w:ascii="Times New Roman" w:eastAsia="Times New Roman" w:hAnsi="Times New Roman" w:cs="Times New Roman"/>
          <w:sz w:val="24"/>
          <w:szCs w:val="24"/>
        </w:rPr>
        <w:t xml:space="preserve">f energy consumption per GDP by 28 and 29 respectively. Where an implementation of a control on deforestation was done in Brazil, deforestation was reduced by 37.5%. China and India had no policy </w:t>
      </w:r>
      <w:r w:rsidR="00BE371C">
        <w:rPr>
          <w:rFonts w:ascii="Times New Roman" w:eastAsia="Times New Roman" w:hAnsi="Times New Roman" w:cs="Times New Roman"/>
          <w:sz w:val="24"/>
          <w:szCs w:val="24"/>
        </w:rPr>
        <w:t>change,</w:t>
      </w:r>
      <w:r>
        <w:rPr>
          <w:rFonts w:ascii="Times New Roman" w:eastAsia="Times New Roman" w:hAnsi="Times New Roman" w:cs="Times New Roman"/>
          <w:sz w:val="24"/>
          <w:szCs w:val="24"/>
        </w:rPr>
        <w:t xml:space="preserve"> and they witnessed a magnitude of 10% increase in th</w:t>
      </w:r>
      <w:r>
        <w:rPr>
          <w:rFonts w:ascii="Times New Roman" w:eastAsia="Times New Roman" w:hAnsi="Times New Roman" w:cs="Times New Roman"/>
          <w:sz w:val="24"/>
          <w:szCs w:val="24"/>
        </w:rPr>
        <w:t xml:space="preserve">e efficiency of energy use and 5% increase in deforestation. It was observed that proactive policy areas recorded substantial positive changes while the lack of such measures incurred small gains. The study indicates the need to integrate climate policies </w:t>
      </w:r>
      <w:r>
        <w:rPr>
          <w:rFonts w:ascii="Times New Roman" w:eastAsia="Times New Roman" w:hAnsi="Times New Roman" w:cs="Times New Roman"/>
          <w:sz w:val="24"/>
          <w:szCs w:val="24"/>
        </w:rPr>
        <w:t>to achieve climate sensitive development.</w:t>
      </w:r>
    </w:p>
    <w:p w14:paraId="6A5E1948" w14:textId="77777777" w:rsidR="00CE061A" w:rsidRDefault="00CE061A">
      <w:pPr>
        <w:spacing w:line="360" w:lineRule="auto"/>
        <w:jc w:val="both"/>
        <w:rPr>
          <w:rFonts w:ascii="Times New Roman" w:eastAsia="Times New Roman" w:hAnsi="Times New Roman" w:cs="Times New Roman"/>
          <w:sz w:val="24"/>
          <w:szCs w:val="24"/>
        </w:rPr>
      </w:pPr>
    </w:p>
    <w:p w14:paraId="36FCC06A"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Global warming, Energy Conservation, Forest Conservation, Government </w:t>
      </w:r>
      <w:proofErr w:type="spellStart"/>
      <w:r>
        <w:rPr>
          <w:rFonts w:ascii="Times New Roman" w:eastAsia="Times New Roman" w:hAnsi="Times New Roman" w:cs="Times New Roman"/>
          <w:sz w:val="24"/>
          <w:szCs w:val="24"/>
        </w:rPr>
        <w:t>intervection</w:t>
      </w:r>
      <w:proofErr w:type="spellEnd"/>
      <w:r>
        <w:rPr>
          <w:rFonts w:ascii="Times New Roman" w:eastAsia="Times New Roman" w:hAnsi="Times New Roman" w:cs="Times New Roman"/>
          <w:sz w:val="24"/>
          <w:szCs w:val="24"/>
        </w:rPr>
        <w:t>, Emission, Green future.</w:t>
      </w:r>
    </w:p>
    <w:p w14:paraId="196E7382" w14:textId="77777777" w:rsidR="00CE061A" w:rsidRDefault="00CE061A">
      <w:pPr>
        <w:spacing w:line="360" w:lineRule="auto"/>
        <w:jc w:val="both"/>
        <w:rPr>
          <w:rFonts w:ascii="Times New Roman" w:eastAsia="Times New Roman" w:hAnsi="Times New Roman" w:cs="Times New Roman"/>
          <w:b/>
          <w:sz w:val="24"/>
          <w:szCs w:val="24"/>
        </w:rPr>
      </w:pPr>
    </w:p>
    <w:p w14:paraId="3D520344"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0E5414A8"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Climate change continues to be a significant global concern, and various tendenci</w:t>
      </w:r>
      <w:r>
        <w:rPr>
          <w:rFonts w:ascii="Times New Roman" w:eastAsia="Times New Roman" w:hAnsi="Times New Roman" w:cs="Times New Roman"/>
          <w:sz w:val="24"/>
          <w:szCs w:val="24"/>
        </w:rPr>
        <w:t xml:space="preserve">es need collective measures to address in regions and sectors. Some of the major measures in the context of combating climate change concern the rational use of energy and the limitation of deforestation (McClintic &amp; </w:t>
      </w:r>
      <w:proofErr w:type="spellStart"/>
      <w:r>
        <w:rPr>
          <w:rFonts w:ascii="Times New Roman" w:eastAsia="Times New Roman" w:hAnsi="Times New Roman" w:cs="Times New Roman"/>
          <w:sz w:val="24"/>
          <w:szCs w:val="24"/>
        </w:rPr>
        <w:t>Stashevsky</w:t>
      </w:r>
      <w:proofErr w:type="spellEnd"/>
      <w:r>
        <w:rPr>
          <w:rFonts w:ascii="Times New Roman" w:eastAsia="Times New Roman" w:hAnsi="Times New Roman" w:cs="Times New Roman"/>
          <w:sz w:val="24"/>
          <w:szCs w:val="24"/>
        </w:rPr>
        <w:t xml:space="preserve">, 2023). These interventions </w:t>
      </w:r>
      <w:r>
        <w:rPr>
          <w:rFonts w:ascii="Times New Roman" w:eastAsia="Times New Roman" w:hAnsi="Times New Roman" w:cs="Times New Roman"/>
          <w:sz w:val="24"/>
          <w:szCs w:val="24"/>
        </w:rPr>
        <w:t xml:space="preserve">are important because they regulate the amount of carbon emission, consequent to energy use and afforestation which are leading causes of world heating (Meier, </w:t>
      </w:r>
      <w:proofErr w:type="spellStart"/>
      <w:r>
        <w:rPr>
          <w:rFonts w:ascii="Times New Roman" w:eastAsia="Times New Roman" w:hAnsi="Times New Roman" w:cs="Times New Roman"/>
          <w:sz w:val="24"/>
          <w:szCs w:val="24"/>
        </w:rPr>
        <w:t>Bustreo</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Gostin</w:t>
      </w:r>
      <w:proofErr w:type="spellEnd"/>
      <w:r>
        <w:rPr>
          <w:rFonts w:ascii="Times New Roman" w:eastAsia="Times New Roman" w:hAnsi="Times New Roman" w:cs="Times New Roman"/>
          <w:sz w:val="24"/>
          <w:szCs w:val="24"/>
        </w:rPr>
        <w:t>, 2022). They move to low-carbon economy depends on policies that aim at interv</w:t>
      </w:r>
      <w:r>
        <w:rPr>
          <w:rFonts w:ascii="Times New Roman" w:eastAsia="Times New Roman" w:hAnsi="Times New Roman" w:cs="Times New Roman"/>
          <w:sz w:val="24"/>
          <w:szCs w:val="24"/>
        </w:rPr>
        <w:t xml:space="preserve">ening in and ultimately enhancing the sustainability of these aspects. </w:t>
      </w:r>
      <w:r>
        <w:rPr>
          <w:rFonts w:ascii="Times New Roman" w:eastAsia="Times New Roman" w:hAnsi="Times New Roman" w:cs="Times New Roman"/>
          <w:sz w:val="24"/>
          <w:szCs w:val="24"/>
        </w:rPr>
        <w:lastRenderedPageBreak/>
        <w:t xml:space="preserve">The principles and standards adopted in EE state requirements also play an important role in reducing greenhouse gas emissions (Milner et al., 2020). Energy conservation is the process </w:t>
      </w:r>
      <w:r>
        <w:rPr>
          <w:rFonts w:ascii="Times New Roman" w:eastAsia="Times New Roman" w:hAnsi="Times New Roman" w:cs="Times New Roman"/>
          <w:sz w:val="24"/>
          <w:szCs w:val="24"/>
        </w:rPr>
        <w:t xml:space="preserve">of using minimum energy in order to achieve the same level of service provision (Ming, de Richter, Shen, &amp; </w:t>
      </w:r>
      <w:proofErr w:type="spellStart"/>
      <w:r>
        <w:rPr>
          <w:rFonts w:ascii="Times New Roman" w:eastAsia="Times New Roman" w:hAnsi="Times New Roman" w:cs="Times New Roman"/>
          <w:sz w:val="24"/>
          <w:szCs w:val="24"/>
        </w:rPr>
        <w:t>Caillol</w:t>
      </w:r>
      <w:proofErr w:type="spellEnd"/>
      <w:r>
        <w:rPr>
          <w:rFonts w:ascii="Times New Roman" w:eastAsia="Times New Roman" w:hAnsi="Times New Roman" w:cs="Times New Roman"/>
          <w:sz w:val="24"/>
          <w:szCs w:val="24"/>
        </w:rPr>
        <w:t>, 2016).</w:t>
      </w:r>
    </w:p>
    <w:p w14:paraId="4AA93969"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past 20 years, there has been an interest in many regions using policy instruments like cap-and-trade arrangements, incentiv</w:t>
      </w:r>
      <w:r>
        <w:rPr>
          <w:rFonts w:ascii="Times New Roman" w:eastAsia="Times New Roman" w:hAnsi="Times New Roman" w:cs="Times New Roman"/>
          <w:sz w:val="24"/>
          <w:szCs w:val="24"/>
        </w:rPr>
        <w:t>es to renewable power, and power performance standards to reduce energy demand (Zhao et al., 2022). Deforestation is a major component of climate change and has negative impacts on both the loss of biological diversity, as well as the emission of stored ca</w:t>
      </w:r>
      <w:r>
        <w:rPr>
          <w:rFonts w:ascii="Times New Roman" w:eastAsia="Times New Roman" w:hAnsi="Times New Roman" w:cs="Times New Roman"/>
          <w:sz w:val="24"/>
          <w:szCs w:val="24"/>
        </w:rPr>
        <w:t>rbon. The roles of forests include carrying out functions of sequestering a large amount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from the atmosphere (Mitchell et al., 2018). But </w:t>
      </w:r>
      <w:proofErr w:type="gramStart"/>
      <w:r>
        <w:rPr>
          <w:rFonts w:ascii="Times New Roman" w:eastAsia="Times New Roman" w:hAnsi="Times New Roman" w:cs="Times New Roman"/>
          <w:sz w:val="24"/>
          <w:szCs w:val="24"/>
        </w:rPr>
        <w:t>there</w:t>
      </w:r>
      <w:proofErr w:type="gramEnd"/>
      <w:r>
        <w:rPr>
          <w:rFonts w:ascii="Times New Roman" w:eastAsia="Times New Roman" w:hAnsi="Times New Roman" w:cs="Times New Roman"/>
          <w:sz w:val="24"/>
          <w:szCs w:val="24"/>
        </w:rPr>
        <w:t xml:space="preserve"> sources, like agriculture, logging, and changes in urbanization, have caused deforestation and land-use c</w:t>
      </w:r>
      <w:r>
        <w:rPr>
          <w:rFonts w:ascii="Times New Roman" w:eastAsia="Times New Roman" w:hAnsi="Times New Roman" w:cs="Times New Roman"/>
          <w:sz w:val="24"/>
          <w:szCs w:val="24"/>
        </w:rPr>
        <w:t>hange and resulted in the loss of forest cover around the world. These policies have been implemented at different capacities in different regions with the efficiency ranging from a good standard to the worst. EE policies and deforestation control policies</w:t>
      </w:r>
      <w:r>
        <w:rPr>
          <w:rFonts w:ascii="Times New Roman" w:eastAsia="Times New Roman" w:hAnsi="Times New Roman" w:cs="Times New Roman"/>
          <w:sz w:val="24"/>
          <w:szCs w:val="24"/>
        </w:rPr>
        <w:t xml:space="preserve"> have been adopted internationally, knowledge of the way these policies influence energy use and deforestation is minimal (Mousavi et al., 2020 &amp; (</w:t>
      </w:r>
      <w:proofErr w:type="spellStart"/>
      <w:r>
        <w:rPr>
          <w:rFonts w:ascii="Times New Roman" w:eastAsia="Times New Roman" w:hAnsi="Times New Roman" w:cs="Times New Roman"/>
          <w:sz w:val="24"/>
          <w:szCs w:val="24"/>
        </w:rPr>
        <w:t>Nikendei</w:t>
      </w:r>
      <w:proofErr w:type="spellEnd"/>
      <w:r>
        <w:rPr>
          <w:rFonts w:ascii="Times New Roman" w:eastAsia="Times New Roman" w:hAnsi="Times New Roman" w:cs="Times New Roman"/>
          <w:sz w:val="24"/>
          <w:szCs w:val="24"/>
        </w:rPr>
        <w:t xml:space="preserve"> et al., 2020</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Knowledge of such effects is especially important to improve and improve the design </w:t>
      </w:r>
      <w:r>
        <w:rPr>
          <w:rFonts w:ascii="Times New Roman" w:eastAsia="Times New Roman" w:hAnsi="Times New Roman" w:cs="Times New Roman"/>
          <w:sz w:val="24"/>
          <w:szCs w:val="24"/>
        </w:rPr>
        <w:t>of future climate and environmental legislation (</w:t>
      </w:r>
      <w:proofErr w:type="spellStart"/>
      <w:r>
        <w:rPr>
          <w:rFonts w:ascii="Times New Roman" w:eastAsia="Times New Roman" w:hAnsi="Times New Roman" w:cs="Times New Roman"/>
          <w:sz w:val="24"/>
          <w:szCs w:val="24"/>
        </w:rPr>
        <w:t>Punton</w:t>
      </w:r>
      <w:proofErr w:type="spellEnd"/>
      <w:r>
        <w:rPr>
          <w:rFonts w:ascii="Times New Roman" w:eastAsia="Times New Roman" w:hAnsi="Times New Roman" w:cs="Times New Roman"/>
          <w:sz w:val="24"/>
          <w:szCs w:val="24"/>
        </w:rPr>
        <w:t xml:space="preserve"> et al., 2017).</w:t>
      </w:r>
    </w:p>
    <w:p w14:paraId="590C5CD1"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lot of research published on EE policies and measures to control deforestation at global, country, and continental levels. Findings of studies which has made analysis on ener</w:t>
      </w:r>
      <w:r>
        <w:rPr>
          <w:rFonts w:ascii="Times New Roman" w:eastAsia="Times New Roman" w:hAnsi="Times New Roman" w:cs="Times New Roman"/>
          <w:sz w:val="24"/>
          <w:szCs w:val="24"/>
        </w:rPr>
        <w:t>gy intensity level find that European Union (EU) and California has reduced its energy intensity in respect of kWh per GDP in the wake of implementing EE programs (Resnik, 2022). The EUs cap-and-trade scheme aimed at cutting down the emissions of greenhous</w:t>
      </w:r>
      <w:r>
        <w:rPr>
          <w:rFonts w:ascii="Times New Roman" w:eastAsia="Times New Roman" w:hAnsi="Times New Roman" w:cs="Times New Roman"/>
          <w:sz w:val="24"/>
          <w:szCs w:val="24"/>
        </w:rPr>
        <w:t>e gases (GHG) by setting a maximum level of emission permits and rationing them has been attributed by some to encouraging EE as well as continuous economic expansion (Rhodes, 2019). California is another state that has set policies and regulation of emiss</w:t>
      </w:r>
      <w:r>
        <w:rPr>
          <w:rFonts w:ascii="Times New Roman" w:eastAsia="Times New Roman" w:hAnsi="Times New Roman" w:cs="Times New Roman"/>
          <w:sz w:val="24"/>
          <w:szCs w:val="24"/>
        </w:rPr>
        <w:t>ion cap trade and renewable energy standards in energy policies and these have cutting down energy usage while creating energy conservation systems from natural resources (</w:t>
      </w:r>
      <w:proofErr w:type="spellStart"/>
      <w:r>
        <w:rPr>
          <w:rFonts w:ascii="Times New Roman" w:eastAsia="Times New Roman" w:hAnsi="Times New Roman" w:cs="Times New Roman"/>
          <w:sz w:val="24"/>
          <w:szCs w:val="24"/>
        </w:rPr>
        <w:t>Rigkos</w:t>
      </w:r>
      <w:proofErr w:type="spellEnd"/>
      <w:r>
        <w:rPr>
          <w:rFonts w:ascii="Times New Roman" w:eastAsia="Times New Roman" w:hAnsi="Times New Roman" w:cs="Times New Roman"/>
          <w:sz w:val="24"/>
          <w:szCs w:val="24"/>
        </w:rPr>
        <w:t xml:space="preserve"> et al., 2024). </w:t>
      </w:r>
    </w:p>
    <w:p w14:paraId="4A51987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studies on deforestation control policies have stressed t</w:t>
      </w:r>
      <w:r>
        <w:rPr>
          <w:rFonts w:ascii="Times New Roman" w:eastAsia="Times New Roman" w:hAnsi="Times New Roman" w:cs="Times New Roman"/>
          <w:sz w:val="24"/>
          <w:szCs w:val="24"/>
        </w:rPr>
        <w:t xml:space="preserve">he roles of governance, regulation and compliance in curbing forest conversion. Brazil has </w:t>
      </w:r>
      <w:proofErr w:type="gramStart"/>
      <w:r>
        <w:rPr>
          <w:rFonts w:ascii="Times New Roman" w:eastAsia="Times New Roman" w:hAnsi="Times New Roman" w:cs="Times New Roman"/>
          <w:sz w:val="24"/>
          <w:szCs w:val="24"/>
        </w:rPr>
        <w:t>receive</w:t>
      </w:r>
      <w:proofErr w:type="gramEnd"/>
      <w:r>
        <w:rPr>
          <w:rFonts w:ascii="Times New Roman" w:eastAsia="Times New Roman" w:hAnsi="Times New Roman" w:cs="Times New Roman"/>
          <w:sz w:val="24"/>
          <w:szCs w:val="24"/>
        </w:rPr>
        <w:t xml:space="preserve"> a lot of research attention in the area of deforestation control because of their efforts to reduce deforestation of the Amazon rainforest (Guiot &amp; Cramer, 2</w:t>
      </w:r>
      <w:r>
        <w:rPr>
          <w:rFonts w:ascii="Times New Roman" w:eastAsia="Times New Roman" w:hAnsi="Times New Roman" w:cs="Times New Roman"/>
          <w:sz w:val="24"/>
          <w:szCs w:val="24"/>
        </w:rPr>
        <w:t xml:space="preserve">016). Promoted by the Forest Code and other measures to reduce deforestation, </w:t>
      </w:r>
      <w:r>
        <w:rPr>
          <w:rFonts w:ascii="Times New Roman" w:eastAsia="Times New Roman" w:hAnsi="Times New Roman" w:cs="Times New Roman"/>
          <w:sz w:val="24"/>
          <w:szCs w:val="24"/>
        </w:rPr>
        <w:lastRenderedPageBreak/>
        <w:t xml:space="preserve">monitoring and law enforcement, the rates of deforestation have gradually declined in the years (Rogelj et al., 2017). </w:t>
      </w:r>
    </w:p>
    <w:p w14:paraId="3751EAB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countries that have experienced less successful attemp</w:t>
      </w:r>
      <w:r>
        <w:rPr>
          <w:rFonts w:ascii="Times New Roman" w:eastAsia="Times New Roman" w:hAnsi="Times New Roman" w:cs="Times New Roman"/>
          <w:sz w:val="24"/>
          <w:szCs w:val="24"/>
        </w:rPr>
        <w:t>ts at halting deforestation, such as Indonesia, the Democratic Republic of Congo and India, which have weak or at best half-hearted policies against it, can verify this (</w:t>
      </w:r>
      <w:proofErr w:type="spellStart"/>
      <w:r>
        <w:rPr>
          <w:rFonts w:ascii="Times New Roman" w:eastAsia="Times New Roman" w:hAnsi="Times New Roman" w:cs="Times New Roman"/>
          <w:sz w:val="24"/>
          <w:szCs w:val="24"/>
        </w:rPr>
        <w:t>Rossati</w:t>
      </w:r>
      <w:proofErr w:type="spellEnd"/>
      <w:r>
        <w:rPr>
          <w:rFonts w:ascii="Times New Roman" w:eastAsia="Times New Roman" w:hAnsi="Times New Roman" w:cs="Times New Roman"/>
          <w:sz w:val="24"/>
          <w:szCs w:val="24"/>
        </w:rPr>
        <w:t xml:space="preserve">, 2017). </w:t>
      </w:r>
    </w:p>
    <w:p w14:paraId="5CA622C7"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relative effectiveness of these policy interventions with regards</w:t>
      </w:r>
      <w:r>
        <w:rPr>
          <w:rFonts w:ascii="Times New Roman" w:eastAsia="Times New Roman" w:hAnsi="Times New Roman" w:cs="Times New Roman"/>
          <w:sz w:val="24"/>
          <w:szCs w:val="24"/>
        </w:rPr>
        <w:t xml:space="preserve"> to energy use and levels of deforestation requires evaluation for enhancing global policies aimed at minimizing carbon footprint. While other policies have been put in place in areas like the European Union, California and Brazil, China, India and Indones</w:t>
      </w:r>
      <w:r>
        <w:rPr>
          <w:rFonts w:ascii="Times New Roman" w:eastAsia="Times New Roman" w:hAnsi="Times New Roman" w:cs="Times New Roman"/>
          <w:sz w:val="24"/>
          <w:szCs w:val="24"/>
        </w:rPr>
        <w:t>ia have elicited little improvement thus making one wonder what exactly makes these policies to succeed or fail (Schurer et al., 2017). Some of these areas have achieved great results in reducing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emissions intensity and stopping deforestation, other su</w:t>
      </w:r>
      <w:r>
        <w:rPr>
          <w:rFonts w:ascii="Times New Roman" w:eastAsia="Times New Roman" w:hAnsi="Times New Roman" w:cs="Times New Roman"/>
          <w:sz w:val="24"/>
          <w:szCs w:val="24"/>
        </w:rPr>
        <w:t>ch areas have failed. The relative comparison of regional areas with policy interventions and the areas of the same regional groups but without such policies is critical to evaluate how effective these measures are for the environmental objectives (</w:t>
      </w:r>
      <w:proofErr w:type="spellStart"/>
      <w:r>
        <w:rPr>
          <w:rFonts w:ascii="Times New Roman" w:eastAsia="Times New Roman" w:hAnsi="Times New Roman" w:cs="Times New Roman"/>
          <w:sz w:val="24"/>
          <w:szCs w:val="24"/>
        </w:rPr>
        <w:t>Şevgin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Öztürk</w:t>
      </w:r>
      <w:proofErr w:type="spellEnd"/>
      <w:r>
        <w:rPr>
          <w:rFonts w:ascii="Times New Roman" w:eastAsia="Times New Roman" w:hAnsi="Times New Roman" w:cs="Times New Roman"/>
          <w:sz w:val="24"/>
          <w:szCs w:val="24"/>
        </w:rPr>
        <w:t xml:space="preserve">, 2024). </w:t>
      </w:r>
    </w:p>
    <w:p w14:paraId="6C91244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aims at addressing this gap by offering a synoptic analysis of climate and environmental policy effects on EE and deforestation in the period between the year 2000 and 2020. The purpose of this study is to evaluate the overa</w:t>
      </w:r>
      <w:r>
        <w:rPr>
          <w:rFonts w:ascii="Times New Roman" w:eastAsia="Times New Roman" w:hAnsi="Times New Roman" w:cs="Times New Roman"/>
          <w:sz w:val="24"/>
          <w:szCs w:val="24"/>
        </w:rPr>
        <w:t>ll effect of climate and environmental policies with regard to EE and level of deforestation during the years 2000-2020 in the various regions of the world. The study seeks to measure the extent to which EE has increased in the policies including cap-and-t</w:t>
      </w:r>
      <w:r>
        <w:rPr>
          <w:rFonts w:ascii="Times New Roman" w:eastAsia="Times New Roman" w:hAnsi="Times New Roman" w:cs="Times New Roman"/>
          <w:sz w:val="24"/>
          <w:szCs w:val="24"/>
        </w:rPr>
        <w:t>rade programs and deforestation control measures implemented in the region compared to the regions without the measures. The impacts of these policies shall be assessed with a regard to energy intensity in kilowatt hours per gross domestic product, as well</w:t>
      </w:r>
      <w:r>
        <w:rPr>
          <w:rFonts w:ascii="Times New Roman" w:eastAsia="Times New Roman" w:hAnsi="Times New Roman" w:cs="Times New Roman"/>
          <w:sz w:val="24"/>
          <w:szCs w:val="24"/>
        </w:rPr>
        <w:t xml:space="preserve"> as deforestation rates in hectares per year in the European Union, California, Brazil, China, India, Indonesia, Democratic Republic of Congo and the Amazon basin and will compare areas with such policies and areas without them, in order to show how policy</w:t>
      </w:r>
      <w:r>
        <w:rPr>
          <w:rFonts w:ascii="Times New Roman" w:eastAsia="Times New Roman" w:hAnsi="Times New Roman" w:cs="Times New Roman"/>
          <w:sz w:val="24"/>
          <w:szCs w:val="24"/>
        </w:rPr>
        <w:t xml:space="preserve"> measures affect policy outcomes so that other Climate and environmental policies can learn from.</w:t>
      </w:r>
    </w:p>
    <w:p w14:paraId="1728A40A" w14:textId="77777777" w:rsidR="00CE061A" w:rsidRDefault="00CE061A">
      <w:pPr>
        <w:spacing w:line="360" w:lineRule="auto"/>
        <w:jc w:val="both"/>
        <w:rPr>
          <w:rFonts w:ascii="Times New Roman" w:eastAsia="Times New Roman" w:hAnsi="Times New Roman" w:cs="Times New Roman"/>
          <w:sz w:val="24"/>
          <w:szCs w:val="24"/>
        </w:rPr>
      </w:pPr>
    </w:p>
    <w:p w14:paraId="0D29BF9F" w14:textId="77777777" w:rsidR="00CE061A" w:rsidRDefault="00E2685B">
      <w:pPr>
        <w:pStyle w:val="Heading3"/>
        <w:keepNext w:val="0"/>
        <w:keepLines w:val="0"/>
        <w:spacing w:before="0" w:after="0" w:line="360" w:lineRule="auto"/>
        <w:jc w:val="both"/>
        <w:rPr>
          <w:rFonts w:ascii="Times New Roman" w:eastAsia="Times New Roman" w:hAnsi="Times New Roman" w:cs="Times New Roman"/>
          <w:b/>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t>Materials and Methods</w:t>
      </w:r>
    </w:p>
    <w:p w14:paraId="15A8DBC7"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Design</w:t>
      </w:r>
    </w:p>
    <w:p w14:paraId="0A0430CC"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compare and evaluate the existing international and sectoral climate change policies the study applied a historical research design of twenty years from the year 2000 to 2020. Mainly the </w:t>
      </w:r>
      <w:r>
        <w:rPr>
          <w:rFonts w:ascii="Times New Roman" w:eastAsia="Times New Roman" w:hAnsi="Times New Roman" w:cs="Times New Roman"/>
          <w:sz w:val="24"/>
          <w:szCs w:val="24"/>
        </w:rPr>
        <w:lastRenderedPageBreak/>
        <w:t xml:space="preserve">research relied on data gathered from areas that are in different </w:t>
      </w:r>
      <w:r>
        <w:rPr>
          <w:rFonts w:ascii="Times New Roman" w:eastAsia="Times New Roman" w:hAnsi="Times New Roman" w:cs="Times New Roman"/>
          <w:sz w:val="24"/>
          <w:szCs w:val="24"/>
        </w:rPr>
        <w:t xml:space="preserve">levels of climate policy intercession. EU and Californian countries which implemented cap-and-trade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were contrasted with Brazil which recently started actively addressing deforestation control. These interventions were compared in the study base</w:t>
      </w:r>
      <w:r>
        <w:rPr>
          <w:rFonts w:ascii="Times New Roman" w:eastAsia="Times New Roman" w:hAnsi="Times New Roman" w:cs="Times New Roman"/>
          <w:sz w:val="24"/>
          <w:szCs w:val="24"/>
        </w:rPr>
        <w:t xml:space="preserve">d on their effectiveness in addressing emissions reduction, EE, and deforestation rates. </w:t>
      </w:r>
    </w:p>
    <w:p w14:paraId="5DD0AADE"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Qualitative Component</w:t>
      </w:r>
    </w:p>
    <w:p w14:paraId="2937FFA9"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qualitative part of the research was based on the assessment of climate policies, mostly the cap-and-trade policies and deforestation contro</w:t>
      </w:r>
      <w:r>
        <w:rPr>
          <w:rFonts w:ascii="Times New Roman" w:eastAsia="Times New Roman" w:hAnsi="Times New Roman" w:cs="Times New Roman"/>
          <w:sz w:val="24"/>
          <w:szCs w:val="24"/>
        </w:rPr>
        <w:t>l policies like the Amazon preservation policies in Brazil. The study also involved a stakeholder interview where 20 key industry players and 20 client employees who are activists on climate change were engaged. These interviews were held across 5 key regi</w:t>
      </w:r>
      <w:r>
        <w:rPr>
          <w:rFonts w:ascii="Times New Roman" w:eastAsia="Times New Roman" w:hAnsi="Times New Roman" w:cs="Times New Roman"/>
          <w:sz w:val="24"/>
          <w:szCs w:val="24"/>
        </w:rPr>
        <w:t xml:space="preserve">ons, EU, USA, mainland China, Brazil and India. </w:t>
      </w:r>
    </w:p>
    <w:p w14:paraId="6457B748"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Quantitative Component</w:t>
      </w:r>
    </w:p>
    <w:p w14:paraId="141F2A8A"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quantitative aspect of the comparative analysis involved specific parameters including CO₂ emission per capita, EE increase, expressed as energy consumption per Gross Domestic Prod</w:t>
      </w:r>
      <w:r>
        <w:rPr>
          <w:rFonts w:ascii="Times New Roman" w:eastAsia="Times New Roman" w:hAnsi="Times New Roman" w:cs="Times New Roman"/>
          <w:sz w:val="24"/>
          <w:szCs w:val="24"/>
        </w:rPr>
        <w:t>uct (GDP), and the extent of deforestation in terms of hectares of forested land lost per year. The purpose of this analysis was to assess the effects that policy-stimulated endeavors have on emission decrease, energy conservation, and halting of deforesta</w:t>
      </w:r>
      <w:r>
        <w:rPr>
          <w:rFonts w:ascii="Times New Roman" w:eastAsia="Times New Roman" w:hAnsi="Times New Roman" w:cs="Times New Roman"/>
          <w:sz w:val="24"/>
          <w:szCs w:val="24"/>
        </w:rPr>
        <w:t>tion. They sought to get information that would help to understand the impact of these interventions on climate change.</w:t>
      </w:r>
    </w:p>
    <w:p w14:paraId="0AAF9A65"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Analysis</w:t>
      </w:r>
    </w:p>
    <w:p w14:paraId="0DC2D941"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analysis consisted of several statistical methods to assess the impact of climate </w:t>
      </w:r>
      <w:proofErr w:type="gramStart"/>
      <w:r>
        <w:rPr>
          <w:rFonts w:ascii="Times New Roman" w:eastAsia="Times New Roman" w:hAnsi="Times New Roman" w:cs="Times New Roman"/>
          <w:sz w:val="24"/>
          <w:szCs w:val="24"/>
        </w:rPr>
        <w:t>policies..</w:t>
      </w:r>
      <w:proofErr w:type="gramEnd"/>
      <w:r>
        <w:rPr>
          <w:rFonts w:ascii="Times New Roman" w:eastAsia="Times New Roman" w:hAnsi="Times New Roman" w:cs="Times New Roman"/>
          <w:sz w:val="24"/>
          <w:szCs w:val="24"/>
        </w:rPr>
        <w:t xml:space="preserve"> Econometric model analysis, specifically the Pearson correlation test, was conducted to determine associations of policy intervention with the major indicators. The study found out how climate policies influenced emission reductions, EE improvement, and d</w:t>
      </w:r>
      <w:r>
        <w:rPr>
          <w:rFonts w:ascii="Times New Roman" w:eastAsia="Times New Roman" w:hAnsi="Times New Roman" w:cs="Times New Roman"/>
          <w:sz w:val="24"/>
          <w:szCs w:val="24"/>
        </w:rPr>
        <w:t>eforestation. Emphasized was the use of model-based predictions from time series analysis to estimate emissions and EE in the future to several policy strategies. These methods offered sound insights into the impacts of climate interventions beyond their i</w:t>
      </w:r>
      <w:r>
        <w:rPr>
          <w:rFonts w:ascii="Times New Roman" w:eastAsia="Times New Roman" w:hAnsi="Times New Roman" w:cs="Times New Roman"/>
          <w:sz w:val="24"/>
          <w:szCs w:val="24"/>
        </w:rPr>
        <w:t>mplementation.</w:t>
      </w:r>
    </w:p>
    <w:p w14:paraId="07154DCF" w14:textId="77777777" w:rsidR="00CE061A" w:rsidRDefault="00CE061A">
      <w:pPr>
        <w:spacing w:line="360" w:lineRule="auto"/>
        <w:jc w:val="both"/>
        <w:rPr>
          <w:rFonts w:ascii="Times New Roman" w:eastAsia="Times New Roman" w:hAnsi="Times New Roman" w:cs="Times New Roman"/>
          <w:sz w:val="24"/>
          <w:szCs w:val="24"/>
        </w:rPr>
      </w:pPr>
    </w:p>
    <w:p w14:paraId="5756C4B5"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4524C0B9" w14:textId="77777777" w:rsidR="00BE371C"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Energy Efficiency Improvements (2000-2020)</w:t>
      </w:r>
    </w:p>
    <w:p w14:paraId="36C52AAC" w14:textId="2C0489BC"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Table 1 illustrates the changes in EE from the year 2000 to the year 2020 by region. The nations </w:t>
      </w:r>
      <w:r>
        <w:rPr>
          <w:rFonts w:ascii="Times New Roman" w:eastAsia="Times New Roman" w:hAnsi="Times New Roman" w:cs="Times New Roman"/>
          <w:sz w:val="24"/>
          <w:szCs w:val="24"/>
        </w:rPr>
        <w:lastRenderedPageBreak/>
        <w:t>within Europe and California having implemented cap-and-trade policies recorded over 30% up</w:t>
      </w:r>
      <w:r>
        <w:rPr>
          <w:rFonts w:ascii="Times New Roman" w:eastAsia="Times New Roman" w:hAnsi="Times New Roman" w:cs="Times New Roman"/>
          <w:sz w:val="24"/>
          <w:szCs w:val="24"/>
        </w:rPr>
        <w:t xml:space="preserve"> to 28% EE (fig 1. a) increase and, energy saturation of 0.25 to 0.18 kWh/GDP (fig 1. c) and 0.24 to 0.17 kWh/ GDP (fig 1. b) of energy respectively. Brazil, with deforestation control measures, could improve by 12%. The energy consumption level was pulled</w:t>
      </w:r>
      <w:r>
        <w:rPr>
          <w:rFonts w:ascii="Times New Roman" w:eastAsia="Times New Roman" w:hAnsi="Times New Roman" w:cs="Times New Roman"/>
          <w:sz w:val="24"/>
          <w:szCs w:val="24"/>
        </w:rPr>
        <w:t xml:space="preserve"> back from 0.28 to 0.25 kWh/GDP. The two regions without policy interferences, namely China and India, realized only 10 % and 5% improvement respectively with little shift in energy use (fig 1. d).</w:t>
      </w:r>
    </w:p>
    <w:p w14:paraId="4502D6EF" w14:textId="77777777" w:rsidR="00CE061A" w:rsidRDefault="00CE061A">
      <w:pPr>
        <w:spacing w:line="360" w:lineRule="auto"/>
        <w:jc w:val="both"/>
        <w:rPr>
          <w:rFonts w:ascii="Times New Roman" w:eastAsia="Times New Roman" w:hAnsi="Times New Roman" w:cs="Times New Roman"/>
          <w:sz w:val="24"/>
          <w:szCs w:val="24"/>
        </w:rPr>
      </w:pPr>
    </w:p>
    <w:p w14:paraId="18FC6F7C" w14:textId="2792638E"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BE371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Energy Efficiency Improvements (2000-2020)</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3"/>
        <w:gridCol w:w="1701"/>
        <w:gridCol w:w="1559"/>
        <w:gridCol w:w="1701"/>
        <w:gridCol w:w="1647"/>
        <w:gridCol w:w="1339"/>
      </w:tblGrid>
      <w:tr w:rsidR="00CE061A" w14:paraId="0883B15B" w14:textId="77777777" w:rsidTr="00BE371C">
        <w:trPr>
          <w:trHeight w:val="1485"/>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4DA7AA"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Regio</w:t>
            </w:r>
            <w:r w:rsidRPr="00BE371C">
              <w:rPr>
                <w:rFonts w:ascii="Times New Roman" w:eastAsia="Times New Roman" w:hAnsi="Times New Roman" w:cs="Times New Roman"/>
                <w:b/>
                <w:bCs/>
                <w:sz w:val="24"/>
                <w:szCs w:val="24"/>
              </w:rPr>
              <w:t>n</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25E066"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Policy Intervention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1E995F"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Energy Efficiency Improvement (Percentage)</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EEB611"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Pre-Intervention Energy Consumption (kWh/GDP)</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CB7ADF"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Post-Intervention Energy Consumption (kWh/GDP)</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35AEE7"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 Change in Energy Efficiency</w:t>
            </w:r>
          </w:p>
        </w:tc>
      </w:tr>
      <w:tr w:rsidR="00CE061A" w14:paraId="354CB8A1" w14:textId="77777777" w:rsidTr="00BE371C">
        <w:trPr>
          <w:trHeight w:val="770"/>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37B6F1"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European Union</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720EF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Cap-and-trade Program</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B43A1F"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2699CC"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E6D51D"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0.18</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8AA79A"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CE061A" w14:paraId="0EE4D137" w14:textId="77777777" w:rsidTr="00BE371C">
        <w:trPr>
          <w:trHeight w:val="770"/>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53D1BA"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California</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A1B339"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Cap-and-trade Program</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6565B5"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FB759E"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DC1654"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514584"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CE061A" w14:paraId="14507BFF" w14:textId="77777777" w:rsidTr="00BE371C">
        <w:trPr>
          <w:trHeight w:val="770"/>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3AF2FC"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Brazil</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889CBE"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Deforestation Control</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F1EDC7"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3BD37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2B8253"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336FB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E061A" w14:paraId="7B698B31" w14:textId="77777777" w:rsidTr="00BE371C">
        <w:trPr>
          <w:trHeight w:val="767"/>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B19CEE"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China</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DE589D"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FA4625"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61BB6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5E4C1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0.31</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99A55C"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E061A" w14:paraId="3C4A0369" w14:textId="77777777" w:rsidTr="00BE371C">
        <w:trPr>
          <w:trHeight w:val="750"/>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0DCFAA"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India</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E45FC8"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3B704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4DECA4"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7C1B8F"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3A0E79"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14:paraId="7E71A99C" w14:textId="77777777" w:rsidR="00CE061A" w:rsidRDefault="00CE061A">
      <w:pPr>
        <w:spacing w:line="360" w:lineRule="auto"/>
        <w:jc w:val="both"/>
        <w:rPr>
          <w:rFonts w:ascii="Times New Roman" w:eastAsia="Times New Roman" w:hAnsi="Times New Roman" w:cs="Times New Roman"/>
          <w:b/>
          <w:sz w:val="24"/>
          <w:szCs w:val="24"/>
        </w:rPr>
      </w:pPr>
    </w:p>
    <w:p w14:paraId="6984B709" w14:textId="77777777" w:rsidR="00CE061A" w:rsidRDefault="00CE061A">
      <w:pPr>
        <w:spacing w:line="360" w:lineRule="auto"/>
        <w:jc w:val="both"/>
        <w:rPr>
          <w:rFonts w:ascii="Times New Roman" w:eastAsia="Times New Roman" w:hAnsi="Times New Roman" w:cs="Times New Roman"/>
          <w:b/>
          <w:sz w:val="24"/>
          <w:szCs w:val="24"/>
        </w:rPr>
      </w:pPr>
    </w:p>
    <w:p w14:paraId="236ECDBB" w14:textId="77777777" w:rsidR="00CE061A" w:rsidRDefault="00E2685B">
      <w:pPr>
        <w:numPr>
          <w:ilvl w:val="0"/>
          <w:numId w:val="3"/>
        </w:num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Energy Efficiency Improvement (Percentage)</w:t>
      </w:r>
    </w:p>
    <w:p w14:paraId="6CD74344"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74ABD672" wp14:editId="7F4EDB41">
            <wp:extent cx="3348038" cy="2057453"/>
            <wp:effectExtent l="0" t="0" r="0" b="0"/>
            <wp:docPr id="10"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8"/>
                    <a:srcRect/>
                    <a:stretch>
                      <a:fillRect/>
                    </a:stretch>
                  </pic:blipFill>
                  <pic:spPr>
                    <a:xfrm>
                      <a:off x="0" y="0"/>
                      <a:ext cx="3348038" cy="2057453"/>
                    </a:xfrm>
                    <a:prstGeom prst="rect">
                      <a:avLst/>
                    </a:prstGeom>
                    <a:ln/>
                  </pic:spPr>
                </pic:pic>
              </a:graphicData>
            </a:graphic>
          </wp:inline>
        </w:drawing>
      </w:r>
    </w:p>
    <w:p w14:paraId="193C7AB9" w14:textId="77777777" w:rsidR="00CE061A" w:rsidRDefault="00E2685B">
      <w:pPr>
        <w:numPr>
          <w:ilvl w:val="0"/>
          <w:numId w:val="3"/>
        </w:num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Pre-Intervention Energy Consumption (kWh/GDP)</w:t>
      </w:r>
    </w:p>
    <w:p w14:paraId="403CB7CA" w14:textId="77777777" w:rsidR="00CE061A" w:rsidRDefault="00CE061A">
      <w:pPr>
        <w:spacing w:line="360" w:lineRule="auto"/>
        <w:jc w:val="center"/>
        <w:rPr>
          <w:rFonts w:ascii="Times New Roman" w:eastAsia="Times New Roman" w:hAnsi="Times New Roman" w:cs="Times New Roman"/>
          <w:b/>
          <w:sz w:val="24"/>
          <w:szCs w:val="24"/>
        </w:rPr>
      </w:pPr>
    </w:p>
    <w:p w14:paraId="74639D24"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0F3E58F5" wp14:editId="65E76AB8">
            <wp:extent cx="3490913" cy="2150799"/>
            <wp:effectExtent l="0" t="0" r="0" b="0"/>
            <wp:docPr id="12"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9"/>
                    <a:srcRect/>
                    <a:stretch>
                      <a:fillRect/>
                    </a:stretch>
                  </pic:blipFill>
                  <pic:spPr>
                    <a:xfrm>
                      <a:off x="0" y="0"/>
                      <a:ext cx="3490913" cy="2150799"/>
                    </a:xfrm>
                    <a:prstGeom prst="rect">
                      <a:avLst/>
                    </a:prstGeom>
                    <a:ln/>
                  </pic:spPr>
                </pic:pic>
              </a:graphicData>
            </a:graphic>
          </wp:inline>
        </w:drawing>
      </w:r>
    </w:p>
    <w:p w14:paraId="2C906956" w14:textId="77777777" w:rsidR="00CE061A" w:rsidRDefault="00E2685B">
      <w:pPr>
        <w:numPr>
          <w:ilvl w:val="0"/>
          <w:numId w:val="3"/>
        </w:num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Post-Intervention Energy Consumption (kWh/GDP)</w:t>
      </w:r>
    </w:p>
    <w:p w14:paraId="3B25DA70"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79F60C20" wp14:editId="6F3C2E6B">
            <wp:extent cx="3548063" cy="2182732"/>
            <wp:effectExtent l="0" t="0" r="0" b="0"/>
            <wp:docPr id="11" name="image7.png" descr="Chart"/>
            <wp:cNvGraphicFramePr/>
            <a:graphic xmlns:a="http://schemas.openxmlformats.org/drawingml/2006/main">
              <a:graphicData uri="http://schemas.openxmlformats.org/drawingml/2006/picture">
                <pic:pic xmlns:pic="http://schemas.openxmlformats.org/drawingml/2006/picture">
                  <pic:nvPicPr>
                    <pic:cNvPr id="0" name="image7.png" descr="Chart"/>
                    <pic:cNvPicPr preferRelativeResize="0"/>
                  </pic:nvPicPr>
                  <pic:blipFill>
                    <a:blip r:embed="rId10"/>
                    <a:srcRect/>
                    <a:stretch>
                      <a:fillRect/>
                    </a:stretch>
                  </pic:blipFill>
                  <pic:spPr>
                    <a:xfrm>
                      <a:off x="0" y="0"/>
                      <a:ext cx="3548063" cy="2182732"/>
                    </a:xfrm>
                    <a:prstGeom prst="rect">
                      <a:avLst/>
                    </a:prstGeom>
                    <a:ln/>
                  </pic:spPr>
                </pic:pic>
              </a:graphicData>
            </a:graphic>
          </wp:inline>
        </w:drawing>
      </w:r>
    </w:p>
    <w:p w14:paraId="3639DE7E" w14:textId="77777777" w:rsidR="00CE061A" w:rsidRDefault="00CE061A">
      <w:pPr>
        <w:spacing w:line="360" w:lineRule="auto"/>
        <w:jc w:val="center"/>
        <w:rPr>
          <w:rFonts w:ascii="Times New Roman" w:eastAsia="Times New Roman" w:hAnsi="Times New Roman" w:cs="Times New Roman"/>
          <w:b/>
          <w:sz w:val="24"/>
          <w:szCs w:val="24"/>
        </w:rPr>
      </w:pPr>
    </w:p>
    <w:p w14:paraId="65195F83" w14:textId="77777777" w:rsidR="00CE061A" w:rsidRDefault="00E2685B">
      <w:pPr>
        <w:numPr>
          <w:ilvl w:val="0"/>
          <w:numId w:val="3"/>
        </w:num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Change in Energy Efficiency</w:t>
      </w:r>
    </w:p>
    <w:p w14:paraId="19721955"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72CDB661" wp14:editId="58DA9CA6">
            <wp:extent cx="4710113" cy="2901588"/>
            <wp:effectExtent l="0" t="0" r="0" b="0"/>
            <wp:docPr id="14" name="image6.png" descr="Chart"/>
            <wp:cNvGraphicFramePr/>
            <a:graphic xmlns:a="http://schemas.openxmlformats.org/drawingml/2006/main">
              <a:graphicData uri="http://schemas.openxmlformats.org/drawingml/2006/picture">
                <pic:pic xmlns:pic="http://schemas.openxmlformats.org/drawingml/2006/picture">
                  <pic:nvPicPr>
                    <pic:cNvPr id="0" name="image6.png" descr="Chart"/>
                    <pic:cNvPicPr preferRelativeResize="0"/>
                  </pic:nvPicPr>
                  <pic:blipFill>
                    <a:blip r:embed="rId11"/>
                    <a:srcRect/>
                    <a:stretch>
                      <a:fillRect/>
                    </a:stretch>
                  </pic:blipFill>
                  <pic:spPr>
                    <a:xfrm>
                      <a:off x="0" y="0"/>
                      <a:ext cx="4710113" cy="2901588"/>
                    </a:xfrm>
                    <a:prstGeom prst="rect">
                      <a:avLst/>
                    </a:prstGeom>
                    <a:ln/>
                  </pic:spPr>
                </pic:pic>
              </a:graphicData>
            </a:graphic>
          </wp:inline>
        </w:drawing>
      </w:r>
    </w:p>
    <w:p w14:paraId="49428534" w14:textId="77777777" w:rsidR="00CE061A" w:rsidRDefault="00CE061A">
      <w:pPr>
        <w:spacing w:line="360" w:lineRule="auto"/>
        <w:jc w:val="center"/>
        <w:rPr>
          <w:rFonts w:ascii="Times New Roman" w:eastAsia="Times New Roman" w:hAnsi="Times New Roman" w:cs="Times New Roman"/>
          <w:b/>
          <w:sz w:val="24"/>
          <w:szCs w:val="24"/>
        </w:rPr>
      </w:pPr>
    </w:p>
    <w:p w14:paraId="17FD05FE" w14:textId="77777777" w:rsidR="00CE061A" w:rsidRDefault="00CE061A">
      <w:pPr>
        <w:spacing w:line="360" w:lineRule="auto"/>
        <w:jc w:val="center"/>
        <w:rPr>
          <w:rFonts w:ascii="Times New Roman" w:eastAsia="Times New Roman" w:hAnsi="Times New Roman" w:cs="Times New Roman"/>
          <w:b/>
          <w:sz w:val="24"/>
          <w:szCs w:val="24"/>
        </w:rPr>
      </w:pPr>
    </w:p>
    <w:p w14:paraId="60DB9C8A"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(a</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b),(c),(d): Energy Efficiency Improvements (2000-2020)</w:t>
      </w:r>
    </w:p>
    <w:p w14:paraId="64114DF8" w14:textId="77777777" w:rsidR="00CE061A" w:rsidRDefault="00CE061A">
      <w:pPr>
        <w:spacing w:line="360" w:lineRule="auto"/>
        <w:jc w:val="both"/>
        <w:rPr>
          <w:rFonts w:ascii="Times New Roman" w:eastAsia="Times New Roman" w:hAnsi="Times New Roman" w:cs="Times New Roman"/>
          <w:b/>
          <w:sz w:val="24"/>
          <w:szCs w:val="24"/>
        </w:rPr>
      </w:pPr>
    </w:p>
    <w:p w14:paraId="06E91C42"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Deforestation Rates Before and After Intervention (2000-2020)</w:t>
      </w:r>
    </w:p>
    <w:p w14:paraId="37EDB87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indicates that the forest </w:t>
      </w:r>
      <w:r>
        <w:rPr>
          <w:rFonts w:ascii="Times New Roman" w:eastAsia="Times New Roman" w:hAnsi="Times New Roman" w:cs="Times New Roman"/>
          <w:sz w:val="24"/>
          <w:szCs w:val="24"/>
        </w:rPr>
        <w:t>conversion before and after intervention from 2000-2020. Brazil which adopted deforestation control measures to protect its forest recorded a fair progress of cutting deforestation by +37.5% following a drastic reduction of the number of hectares deforeste</w:t>
      </w:r>
      <w:r>
        <w:rPr>
          <w:rFonts w:ascii="Times New Roman" w:eastAsia="Times New Roman" w:hAnsi="Times New Roman" w:cs="Times New Roman"/>
          <w:sz w:val="24"/>
          <w:szCs w:val="24"/>
        </w:rPr>
        <w:t>d from (fig 2.a) 800,000 to 500,000 hectares (fig 2.b). The remaining areas that are not under policy intervention experienced an upsurge in deforestation rates. Indonesia’s rate increased to +8.33%, from 600,000 to 650,000 hectares and the Democratic Repu</w:t>
      </w:r>
      <w:r>
        <w:rPr>
          <w:rFonts w:ascii="Times New Roman" w:eastAsia="Times New Roman" w:hAnsi="Times New Roman" w:cs="Times New Roman"/>
          <w:sz w:val="24"/>
          <w:szCs w:val="24"/>
        </w:rPr>
        <w:t>blic of Congo, India, and the Amazon basin increased by +5%, +</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xml:space="preserve">, and +16.67% respectively. </w:t>
      </w:r>
    </w:p>
    <w:p w14:paraId="35C97DD3" w14:textId="77777777" w:rsidR="00CE061A" w:rsidRDefault="00CE061A">
      <w:pPr>
        <w:spacing w:line="360" w:lineRule="auto"/>
        <w:jc w:val="both"/>
        <w:rPr>
          <w:rFonts w:ascii="Times New Roman" w:eastAsia="Times New Roman" w:hAnsi="Times New Roman" w:cs="Times New Roman"/>
          <w:sz w:val="24"/>
          <w:szCs w:val="24"/>
        </w:rPr>
      </w:pPr>
    </w:p>
    <w:p w14:paraId="0DECD907"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Deforestation Rates Before and After Intervention (2000-2020)</w:t>
      </w: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6"/>
        <w:gridCol w:w="1581"/>
        <w:gridCol w:w="2230"/>
        <w:gridCol w:w="2244"/>
        <w:gridCol w:w="1739"/>
      </w:tblGrid>
      <w:tr w:rsidR="00CE061A" w14:paraId="39789C19" w14:textId="77777777">
        <w:trPr>
          <w:trHeight w:val="1040"/>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4E9F0F"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Region</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38E129"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Policy Intervention</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22AC25"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Pre-Intervention Deforestation Rate (Hectares/year)</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3307DF"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Post-Inter</w:t>
            </w:r>
            <w:r w:rsidRPr="00BE371C">
              <w:rPr>
                <w:rFonts w:ascii="Times New Roman" w:eastAsia="Times New Roman" w:hAnsi="Times New Roman" w:cs="Times New Roman"/>
                <w:b/>
                <w:bCs/>
                <w:sz w:val="24"/>
                <w:szCs w:val="24"/>
              </w:rPr>
              <w:t>vention Deforestation Rate (Hectares/year)</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C1B63B"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 Change in Deforestation</w:t>
            </w:r>
          </w:p>
        </w:tc>
      </w:tr>
      <w:tr w:rsidR="00CE061A" w14:paraId="764FE67A" w14:textId="77777777">
        <w:trPr>
          <w:trHeight w:val="770"/>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093A6E"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lastRenderedPageBreak/>
              <w:t>Brazil</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13758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Deforestation Control</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8FFD7B"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800,000</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FC17E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500,000</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2D9F95"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r>
      <w:tr w:rsidR="00CE061A" w14:paraId="32364B0B" w14:textId="77777777">
        <w:trPr>
          <w:trHeight w:val="930"/>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49BDDE"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Indonesia</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05EEE7"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AAD423"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600,000</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98E961"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650,000</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3DFD97"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w:t>
            </w:r>
          </w:p>
        </w:tc>
      </w:tr>
      <w:tr w:rsidR="00CE061A" w14:paraId="39F271E3" w14:textId="77777777">
        <w:trPr>
          <w:trHeight w:val="892"/>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E9BFE2"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Democratic Republic of Congo</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73279B"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C32B5F"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400,000</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63889E"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420,000</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7CFC93"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E061A" w14:paraId="457E9CE0" w14:textId="77777777">
        <w:trPr>
          <w:trHeight w:val="1080"/>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07ED2E"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India</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22BDC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D73A63"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200,000</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E7993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ECD39B"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E061A" w14:paraId="3340F08F" w14:textId="77777777">
        <w:trPr>
          <w:trHeight w:val="1040"/>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5526BA"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Amazon</w:t>
            </w:r>
            <w:r w:rsidRPr="00BE371C">
              <w:rPr>
                <w:rFonts w:ascii="Times New Roman" w:eastAsia="Times New Roman" w:hAnsi="Times New Roman" w:cs="Times New Roman"/>
                <w:b/>
                <w:bCs/>
                <w:sz w:val="24"/>
                <w:szCs w:val="24"/>
              </w:rPr>
              <w:t xml:space="preserve"> Basin (Peru, Colombia)</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BB6FE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C0016E"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0381A5"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350,000</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9188FB"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+16.67%</w:t>
            </w:r>
          </w:p>
        </w:tc>
      </w:tr>
    </w:tbl>
    <w:p w14:paraId="5D595C96" w14:textId="77777777" w:rsidR="00CE061A" w:rsidRDefault="00CE061A">
      <w:pPr>
        <w:spacing w:line="360" w:lineRule="auto"/>
        <w:jc w:val="both"/>
        <w:rPr>
          <w:rFonts w:ascii="Times New Roman" w:eastAsia="Times New Roman" w:hAnsi="Times New Roman" w:cs="Times New Roman"/>
          <w:b/>
          <w:sz w:val="24"/>
          <w:szCs w:val="24"/>
        </w:rPr>
      </w:pPr>
    </w:p>
    <w:p w14:paraId="4841E100" w14:textId="77777777" w:rsidR="00CE061A" w:rsidRDefault="00E2685B">
      <w:pPr>
        <w:numPr>
          <w:ilvl w:val="0"/>
          <w:numId w:val="2"/>
        </w:num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Pre-Intervention Deforestation Rate (Hectares/year)</w:t>
      </w:r>
    </w:p>
    <w:p w14:paraId="2261962B"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5B87E6B" wp14:editId="21D6C137">
            <wp:extent cx="3471758" cy="2135832"/>
            <wp:effectExtent l="0" t="0" r="0" b="0"/>
            <wp:docPr id="13"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12"/>
                    <a:srcRect/>
                    <a:stretch>
                      <a:fillRect/>
                    </a:stretch>
                  </pic:blipFill>
                  <pic:spPr>
                    <a:xfrm>
                      <a:off x="0" y="0"/>
                      <a:ext cx="3471758" cy="2135832"/>
                    </a:xfrm>
                    <a:prstGeom prst="rect">
                      <a:avLst/>
                    </a:prstGeom>
                    <a:ln/>
                  </pic:spPr>
                </pic:pic>
              </a:graphicData>
            </a:graphic>
          </wp:inline>
        </w:drawing>
      </w:r>
    </w:p>
    <w:p w14:paraId="14CAA8F2" w14:textId="77777777" w:rsidR="00CE061A" w:rsidRDefault="00E2685B">
      <w:pPr>
        <w:numPr>
          <w:ilvl w:val="0"/>
          <w:numId w:val="2"/>
        </w:num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Post-Intervention Deforestation Rate (Hectares/year)</w:t>
      </w:r>
    </w:p>
    <w:p w14:paraId="3DBFFDAB"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46BF1580" wp14:editId="2BA8A405">
            <wp:extent cx="3673403" cy="2268327"/>
            <wp:effectExtent l="0" t="0" r="0" b="0"/>
            <wp:docPr id="9" name="image5.png" descr="Chart"/>
            <wp:cNvGraphicFramePr/>
            <a:graphic xmlns:a="http://schemas.openxmlformats.org/drawingml/2006/main">
              <a:graphicData uri="http://schemas.openxmlformats.org/drawingml/2006/picture">
                <pic:pic xmlns:pic="http://schemas.openxmlformats.org/drawingml/2006/picture">
                  <pic:nvPicPr>
                    <pic:cNvPr id="0" name="image5.png" descr="Chart"/>
                    <pic:cNvPicPr preferRelativeResize="0"/>
                  </pic:nvPicPr>
                  <pic:blipFill>
                    <a:blip r:embed="rId13"/>
                    <a:srcRect/>
                    <a:stretch>
                      <a:fillRect/>
                    </a:stretch>
                  </pic:blipFill>
                  <pic:spPr>
                    <a:xfrm>
                      <a:off x="0" y="0"/>
                      <a:ext cx="3673403" cy="2268327"/>
                    </a:xfrm>
                    <a:prstGeom prst="rect">
                      <a:avLst/>
                    </a:prstGeom>
                    <a:ln/>
                  </pic:spPr>
                </pic:pic>
              </a:graphicData>
            </a:graphic>
          </wp:inline>
        </w:drawing>
      </w:r>
    </w:p>
    <w:p w14:paraId="097353FA" w14:textId="77777777" w:rsidR="00CE061A" w:rsidRDefault="00E2685B">
      <w:pPr>
        <w:numPr>
          <w:ilvl w:val="0"/>
          <w:numId w:val="2"/>
        </w:num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Change in Deforestation</w:t>
      </w:r>
    </w:p>
    <w:p w14:paraId="286962E8"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7FA92975" wp14:editId="17A85EF3">
            <wp:extent cx="3928951" cy="2424113"/>
            <wp:effectExtent l="0" t="0" r="0" b="0"/>
            <wp:docPr id="8"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14"/>
                    <a:srcRect/>
                    <a:stretch>
                      <a:fillRect/>
                    </a:stretch>
                  </pic:blipFill>
                  <pic:spPr>
                    <a:xfrm>
                      <a:off x="0" y="0"/>
                      <a:ext cx="3928951" cy="2424113"/>
                    </a:xfrm>
                    <a:prstGeom prst="rect">
                      <a:avLst/>
                    </a:prstGeom>
                    <a:ln/>
                  </pic:spPr>
                </pic:pic>
              </a:graphicData>
            </a:graphic>
          </wp:inline>
        </w:drawing>
      </w:r>
      <w:r>
        <w:rPr>
          <w:rFonts w:ascii="Times New Roman" w:eastAsia="Times New Roman" w:hAnsi="Times New Roman" w:cs="Times New Roman"/>
          <w:b/>
          <w:sz w:val="24"/>
          <w:szCs w:val="24"/>
        </w:rPr>
        <w:t xml:space="preserve"> </w:t>
      </w:r>
    </w:p>
    <w:p w14:paraId="6E0423E3"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2: Deforestation Rates Before and After Intervention </w:t>
      </w:r>
      <w:r>
        <w:rPr>
          <w:rFonts w:ascii="Times New Roman" w:eastAsia="Times New Roman" w:hAnsi="Times New Roman" w:cs="Times New Roman"/>
          <w:b/>
          <w:sz w:val="24"/>
          <w:szCs w:val="24"/>
        </w:rPr>
        <w:t>(2000-2020)</w:t>
      </w:r>
    </w:p>
    <w:p w14:paraId="2FE1B1DA" w14:textId="77777777" w:rsidR="00CE061A" w:rsidRDefault="00CE061A">
      <w:pPr>
        <w:spacing w:line="360" w:lineRule="auto"/>
        <w:jc w:val="both"/>
        <w:rPr>
          <w:rFonts w:ascii="Times New Roman" w:eastAsia="Times New Roman" w:hAnsi="Times New Roman" w:cs="Times New Roman"/>
          <w:b/>
          <w:sz w:val="24"/>
          <w:szCs w:val="24"/>
        </w:rPr>
      </w:pPr>
    </w:p>
    <w:p w14:paraId="0070D1BD"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032AF57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aimed at assessing the effects of several climate and environmental policies on efficiency of energy and deforestation from 2000 to 2020 in the different regions. They intended to evaluate how much more improved the EE</w:t>
      </w:r>
      <w:r>
        <w:rPr>
          <w:rFonts w:ascii="Times New Roman" w:eastAsia="Times New Roman" w:hAnsi="Times New Roman" w:cs="Times New Roman"/>
          <w:sz w:val="24"/>
          <w:szCs w:val="24"/>
        </w:rPr>
        <w:t xml:space="preserve"> is in the areas that contain such policy as cap-and-trade programs and measures against deforestation than those that contain none. The study aimed at analyzing the impact of these polices in the areas of energy usage in terms of kWh/GDP, and deforestatio</w:t>
      </w:r>
      <w:r>
        <w:rPr>
          <w:rFonts w:ascii="Times New Roman" w:eastAsia="Times New Roman" w:hAnsi="Times New Roman" w:cs="Times New Roman"/>
          <w:sz w:val="24"/>
          <w:szCs w:val="24"/>
        </w:rPr>
        <w:t xml:space="preserve">n in terms of hectares per year focusing on the European Union, California, Brazil, China, India, Indonesia, DR Congo and the Amazon basin. </w:t>
      </w:r>
    </w:p>
    <w:p w14:paraId="2217736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the study suggest that policy changes have a direct influence on EE as well as forest cover. Those a</w:t>
      </w:r>
      <w:r>
        <w:rPr>
          <w:rFonts w:ascii="Times New Roman" w:eastAsia="Times New Roman" w:hAnsi="Times New Roman" w:cs="Times New Roman"/>
          <w:sz w:val="24"/>
          <w:szCs w:val="24"/>
        </w:rPr>
        <w:t xml:space="preserve">reas that </w:t>
      </w:r>
      <w:proofErr w:type="spellStart"/>
      <w:r>
        <w:rPr>
          <w:rFonts w:ascii="Times New Roman" w:eastAsia="Times New Roman" w:hAnsi="Times New Roman" w:cs="Times New Roman"/>
          <w:sz w:val="24"/>
          <w:szCs w:val="24"/>
        </w:rPr>
        <w:t>havealready</w:t>
      </w:r>
      <w:proofErr w:type="spellEnd"/>
      <w:r>
        <w:rPr>
          <w:rFonts w:ascii="Times New Roman" w:eastAsia="Times New Roman" w:hAnsi="Times New Roman" w:cs="Times New Roman"/>
          <w:sz w:val="24"/>
          <w:szCs w:val="24"/>
        </w:rPr>
        <w:t xml:space="preserve"> developed climate and environmental policies, including the </w:t>
      </w:r>
      <w:r>
        <w:rPr>
          <w:rFonts w:ascii="Times New Roman" w:eastAsia="Times New Roman" w:hAnsi="Times New Roman" w:cs="Times New Roman"/>
          <w:sz w:val="24"/>
          <w:szCs w:val="24"/>
        </w:rPr>
        <w:lastRenderedPageBreak/>
        <w:t>European Union and the state of California, generally improved the level of EE, with lowered energy intensity per unit of GDP.  The EU achieved 30 percent and California 28 p</w:t>
      </w:r>
      <w:r>
        <w:rPr>
          <w:rFonts w:ascii="Times New Roman" w:eastAsia="Times New Roman" w:hAnsi="Times New Roman" w:cs="Times New Roman"/>
          <w:sz w:val="24"/>
          <w:szCs w:val="24"/>
        </w:rPr>
        <w:t>ercent improvement of EE, and reduction of energy saturation of 0.25 kWh/GDP to 0.18 kWh/GDP for the EU and from 0.24 kWh/GDP to 0.17 kWh/GDP for California. Brazil deforestation control measures in similar proportions led to a deforestation control measur</w:t>
      </w:r>
      <w:r>
        <w:rPr>
          <w:rFonts w:ascii="Times New Roman" w:eastAsia="Times New Roman" w:hAnsi="Times New Roman" w:cs="Times New Roman"/>
          <w:sz w:val="24"/>
          <w:szCs w:val="24"/>
        </w:rPr>
        <w:t>es marked by a decreased rate of deforestation, from 800,000 hectares annually to 500,000 hectares. This reduction indicates that, efforts toward the protection of the forests can help influence the reduction of the levels of deforestation provided the reg</w:t>
      </w:r>
      <w:r>
        <w:rPr>
          <w:rFonts w:ascii="Times New Roman" w:eastAsia="Times New Roman" w:hAnsi="Times New Roman" w:cs="Times New Roman"/>
          <w:sz w:val="24"/>
          <w:szCs w:val="24"/>
        </w:rPr>
        <w:t xml:space="preserve">ulations are backed up by robust enforcement structures. Observing the effectiveness of Brazil’s </w:t>
      </w:r>
      <w:proofErr w:type="gramStart"/>
      <w:r>
        <w:rPr>
          <w:rFonts w:ascii="Times New Roman" w:eastAsia="Times New Roman" w:hAnsi="Times New Roman" w:cs="Times New Roman"/>
          <w:sz w:val="24"/>
          <w:szCs w:val="24"/>
        </w:rPr>
        <w:t>policies</w:t>
      </w:r>
      <w:proofErr w:type="gramEnd"/>
      <w:r>
        <w:rPr>
          <w:rFonts w:ascii="Times New Roman" w:eastAsia="Times New Roman" w:hAnsi="Times New Roman" w:cs="Times New Roman"/>
          <w:sz w:val="24"/>
          <w:szCs w:val="24"/>
        </w:rPr>
        <w:t xml:space="preserve"> it is possible to see that the countries without such measures suffered further deforestation, Indonesia, Democratic Republic of Congo, India and the </w:t>
      </w:r>
      <w:r>
        <w:rPr>
          <w:rFonts w:ascii="Times New Roman" w:eastAsia="Times New Roman" w:hAnsi="Times New Roman" w:cs="Times New Roman"/>
          <w:sz w:val="24"/>
          <w:szCs w:val="24"/>
        </w:rPr>
        <w:t>Amazon basin alike had +5—25% deforestation rates.</w:t>
      </w:r>
    </w:p>
    <w:p w14:paraId="78B2287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has shown that countries or regions that implement cap-and-trade programs and deforestation control measures tend to see substantial improvements in EE and reductions in deforestation (Campbell-Le</w:t>
      </w:r>
      <w:r>
        <w:rPr>
          <w:rFonts w:ascii="Times New Roman" w:eastAsia="Times New Roman" w:hAnsi="Times New Roman" w:cs="Times New Roman"/>
          <w:sz w:val="24"/>
          <w:szCs w:val="24"/>
        </w:rPr>
        <w:t>ndrum et al., 2023). Studies on deforestation control in Brazil, have similarly demonstrated the effectiveness of policies in curbing deforestation rates, particularly through the enforcement of laws and the adoption of sustainable land-use practices (</w:t>
      </w:r>
      <w:proofErr w:type="spellStart"/>
      <w:r>
        <w:rPr>
          <w:rFonts w:ascii="Times New Roman" w:eastAsia="Times New Roman" w:hAnsi="Times New Roman" w:cs="Times New Roman"/>
          <w:sz w:val="24"/>
          <w:szCs w:val="24"/>
        </w:rPr>
        <w:t>Shiv</w:t>
      </w:r>
      <w:r>
        <w:rPr>
          <w:rFonts w:ascii="Times New Roman" w:eastAsia="Times New Roman" w:hAnsi="Times New Roman" w:cs="Times New Roman"/>
          <w:sz w:val="24"/>
          <w:szCs w:val="24"/>
        </w:rPr>
        <w:t>anna</w:t>
      </w:r>
      <w:proofErr w:type="spellEnd"/>
      <w:r>
        <w:rPr>
          <w:rFonts w:ascii="Times New Roman" w:eastAsia="Times New Roman" w:hAnsi="Times New Roman" w:cs="Times New Roman"/>
          <w:sz w:val="24"/>
          <w:szCs w:val="24"/>
        </w:rPr>
        <w:t>, 2022). The results in this study align with these prior findings, reinforcing the idea that proactive environmental policies are critical in achieving both EE improvements and reductions in deforestation. The study also highlights some variations bet</w:t>
      </w:r>
      <w:r>
        <w:rPr>
          <w:rFonts w:ascii="Times New Roman" w:eastAsia="Times New Roman" w:hAnsi="Times New Roman" w:cs="Times New Roman"/>
          <w:sz w:val="24"/>
          <w:szCs w:val="24"/>
        </w:rPr>
        <w:t>ween regions, particularly in the context of India and China, which did not implement policy interventions (Tennison et al., 2021). The results in China and India suggest that while some improvement in EE is possible, a lack of comprehensive policy framewo</w:t>
      </w:r>
      <w:r>
        <w:rPr>
          <w:rFonts w:ascii="Times New Roman" w:eastAsia="Times New Roman" w:hAnsi="Times New Roman" w:cs="Times New Roman"/>
          <w:sz w:val="24"/>
          <w:szCs w:val="24"/>
        </w:rPr>
        <w:t>rks can hinder substantial progress in both EE and deforestation control.</w:t>
      </w:r>
    </w:p>
    <w:p w14:paraId="65C72EB7"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of this study have important implication for policymakers and other stakeholders in the environment. The evidence provides compelling evidence that the current emission </w:t>
      </w:r>
      <w:r>
        <w:rPr>
          <w:rFonts w:ascii="Times New Roman" w:eastAsia="Times New Roman" w:hAnsi="Times New Roman" w:cs="Times New Roman"/>
          <w:sz w:val="24"/>
          <w:szCs w:val="24"/>
        </w:rPr>
        <w:t>reduction policies including cap-and-trade as well as policies regulating deforestation are critically important for bringing about effective improvements to efficiency in energy and effectiveness in the preservation of forests. The findings also underscor</w:t>
      </w:r>
      <w:r>
        <w:rPr>
          <w:rFonts w:ascii="Times New Roman" w:eastAsia="Times New Roman" w:hAnsi="Times New Roman" w:cs="Times New Roman"/>
          <w:sz w:val="24"/>
          <w:szCs w:val="24"/>
        </w:rPr>
        <w:t xml:space="preserve">e the need for the policy coherence across different sectors in regard to climate and environment (Watts et al., 2018). Although efficiency gains can be made using policy such as cap-and-trade, to deal with land use issues especially in the forests. </w:t>
      </w:r>
    </w:p>
    <w:p w14:paraId="2557FDAC"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Future research should concern itself with examining the long-run impacts of these policy interventions on other related environmental and economic effects. The study also remains relatively silent on the Medium and Long-term impacts of the measures that c</w:t>
      </w:r>
      <w:r>
        <w:rPr>
          <w:rFonts w:ascii="Times New Roman" w:eastAsia="Times New Roman" w:hAnsi="Times New Roman" w:cs="Times New Roman"/>
          <w:sz w:val="24"/>
          <w:szCs w:val="24"/>
        </w:rPr>
        <w:t>ould lead to the changes in the benchmarks explored in this study, or come up with a clearer definition of sustainability as it applies to these changes (Rocque et al., 2021). Future studies can establish the combinational effects of energy policies and la</w:t>
      </w:r>
      <w:r>
        <w:rPr>
          <w:rFonts w:ascii="Times New Roman" w:eastAsia="Times New Roman" w:hAnsi="Times New Roman" w:cs="Times New Roman"/>
          <w:sz w:val="24"/>
          <w:szCs w:val="24"/>
        </w:rPr>
        <w:t>nd use policies, mainly in the areas that boast significant forest cover. One of the thrusts for further research can be the expansion of realized policy management forms to districts that have not yet adopted such policies (Xu et al., 2015). China and Ind</w:t>
      </w:r>
      <w:r>
        <w:rPr>
          <w:rFonts w:ascii="Times New Roman" w:eastAsia="Times New Roman" w:hAnsi="Times New Roman" w:cs="Times New Roman"/>
          <w:sz w:val="24"/>
          <w:szCs w:val="24"/>
        </w:rPr>
        <w:t>ia have demonstrated some progress toward greater efficiency in energy consumption, those two nations could both stand to receive more extensive climate measures. Studies could include the failure of implementing policies in these areas and the ways of eli</w:t>
      </w:r>
      <w:r>
        <w:rPr>
          <w:rFonts w:ascii="Times New Roman" w:eastAsia="Times New Roman" w:hAnsi="Times New Roman" w:cs="Times New Roman"/>
          <w:sz w:val="24"/>
          <w:szCs w:val="24"/>
        </w:rPr>
        <w:t>minating such failures (Zhao et al., 2022).</w:t>
      </w:r>
    </w:p>
    <w:p w14:paraId="3BAB652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limitation of this study is the use of regional averages which might obscure large differences across countries or sub-regions. Deforestation rates are stated at the country level, while they might be more or l</w:t>
      </w:r>
      <w:r>
        <w:rPr>
          <w:rFonts w:ascii="Times New Roman" w:eastAsia="Times New Roman" w:hAnsi="Times New Roman" w:cs="Times New Roman"/>
          <w:sz w:val="24"/>
          <w:szCs w:val="24"/>
        </w:rPr>
        <w:t>ess at state or subnational levels as in the case of Brazil. Likewise, EE improvements in the country like China and India or any country may differ between the urban as well as rural population or between different economic sectors depending upon the amen</w:t>
      </w:r>
      <w:r>
        <w:rPr>
          <w:rFonts w:ascii="Times New Roman" w:eastAsia="Times New Roman" w:hAnsi="Times New Roman" w:cs="Times New Roman"/>
          <w:sz w:val="24"/>
          <w:szCs w:val="24"/>
        </w:rPr>
        <w:t>ities available. One of the main limitations is the choice of performance indicators related to EE and deforestation as distinct categories. Research in the future may want to focus on a more comprehensive approach that looks at the relationship between en</w:t>
      </w:r>
      <w:r>
        <w:rPr>
          <w:rFonts w:ascii="Times New Roman" w:eastAsia="Times New Roman" w:hAnsi="Times New Roman" w:cs="Times New Roman"/>
          <w:sz w:val="24"/>
          <w:szCs w:val="24"/>
        </w:rPr>
        <w:t xml:space="preserve">ergy issues and forest issues and how policies that solve one, can solve the other as well. </w:t>
      </w:r>
    </w:p>
    <w:p w14:paraId="3953A54A" w14:textId="77777777" w:rsidR="00CE061A" w:rsidRDefault="00CE061A">
      <w:pPr>
        <w:spacing w:line="360" w:lineRule="auto"/>
        <w:jc w:val="both"/>
        <w:rPr>
          <w:rFonts w:ascii="Times New Roman" w:eastAsia="Times New Roman" w:hAnsi="Times New Roman" w:cs="Times New Roman"/>
          <w:sz w:val="24"/>
          <w:szCs w:val="24"/>
        </w:rPr>
      </w:pPr>
    </w:p>
    <w:p w14:paraId="58F8DCDA"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5E3D7049"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examination of EE changes and deforestation trends between 2000-2020 stresses the effects of policies on the given indicators. As can be seen coun</w:t>
      </w:r>
      <w:r>
        <w:rPr>
          <w:rFonts w:ascii="Times New Roman" w:eastAsia="Times New Roman" w:hAnsi="Times New Roman" w:cs="Times New Roman"/>
          <w:sz w:val="24"/>
          <w:szCs w:val="24"/>
        </w:rPr>
        <w:t>tries/regions that had implemented preventive actions including the European Union and California have registered significant EE improvement. These regions posted 30% and 28% increases as well as lower scores for energy intensity or energy used per unit GD</w:t>
      </w:r>
      <w:r>
        <w:rPr>
          <w:rFonts w:ascii="Times New Roman" w:eastAsia="Times New Roman" w:hAnsi="Times New Roman" w:cs="Times New Roman"/>
          <w:sz w:val="24"/>
          <w:szCs w:val="24"/>
        </w:rPr>
        <w:t>P (kWh/GDP). Countries that don’t have any specific energy climate policies such as China and India registered a comparatively smaller increase of 10% and 5% respectively further proving the notion that climate change policies are the backbone to ambitious</w:t>
      </w:r>
      <w:r>
        <w:rPr>
          <w:rFonts w:ascii="Times New Roman" w:eastAsia="Times New Roman" w:hAnsi="Times New Roman" w:cs="Times New Roman"/>
          <w:sz w:val="24"/>
          <w:szCs w:val="24"/>
        </w:rPr>
        <w:t xml:space="preserve"> EE measures. In measures to control deforestation, Brazil also recorded encouraging </w:t>
      </w:r>
      <w:r>
        <w:rPr>
          <w:rFonts w:ascii="Times New Roman" w:eastAsia="Times New Roman" w:hAnsi="Times New Roman" w:cs="Times New Roman"/>
          <w:sz w:val="24"/>
          <w:szCs w:val="24"/>
        </w:rPr>
        <w:lastRenderedPageBreak/>
        <w:t>outcomes, it was able to reduced Brazilian deforestation by 37.5 percent, from 800,000 to 500,000 hectares yearly. Indonesia, the Democratic Republic of Congo, India and r</w:t>
      </w:r>
      <w:r>
        <w:rPr>
          <w:rFonts w:ascii="Times New Roman" w:eastAsia="Times New Roman" w:hAnsi="Times New Roman" w:cs="Times New Roman"/>
          <w:sz w:val="24"/>
          <w:szCs w:val="24"/>
        </w:rPr>
        <w:t xml:space="preserve">egions withing the Amazon Basins that were not subject to similar measures saw a rise in deforestation rates as well. The deforestation rate of Indonesia went up by 8.33%, and India’s by 25%, meaning that whilst some countries may boast the policy systems </w:t>
      </w:r>
      <w:r>
        <w:rPr>
          <w:rFonts w:ascii="Times New Roman" w:eastAsia="Times New Roman" w:hAnsi="Times New Roman" w:cs="Times New Roman"/>
          <w:sz w:val="24"/>
          <w:szCs w:val="24"/>
        </w:rPr>
        <w:t>that can fulfil commitments, others lack the same kinds of restrictions. This study points out the need for policy interjections on EE and environmental conservation. Climate and forest protection legislation can cut energy demand and halt deforestation if</w:t>
      </w:r>
      <w:r>
        <w:rPr>
          <w:rFonts w:ascii="Times New Roman" w:eastAsia="Times New Roman" w:hAnsi="Times New Roman" w:cs="Times New Roman"/>
          <w:sz w:val="24"/>
          <w:szCs w:val="24"/>
        </w:rPr>
        <w:t xml:space="preserve"> implemented, thereby holding important lessons for other parts of the world that wish to fight climate change and environmental decline. The findings also point out that the global society should pay attention to the policies that contribute to society’s </w:t>
      </w:r>
      <w:r>
        <w:rPr>
          <w:rFonts w:ascii="Times New Roman" w:eastAsia="Times New Roman" w:hAnsi="Times New Roman" w:cs="Times New Roman"/>
          <w:sz w:val="24"/>
          <w:szCs w:val="24"/>
        </w:rPr>
        <w:t>ultimate goals of sustainability.</w:t>
      </w:r>
    </w:p>
    <w:p w14:paraId="7609793B" w14:textId="77777777" w:rsidR="00CE061A" w:rsidRDefault="00CE061A">
      <w:pPr>
        <w:spacing w:line="360" w:lineRule="auto"/>
        <w:jc w:val="both"/>
        <w:rPr>
          <w:rFonts w:ascii="Times New Roman" w:eastAsia="Times New Roman" w:hAnsi="Times New Roman" w:cs="Times New Roman"/>
          <w:sz w:val="24"/>
          <w:szCs w:val="24"/>
        </w:rPr>
      </w:pPr>
    </w:p>
    <w:p w14:paraId="647CCF08"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231F56D3" w14:textId="77777777" w:rsidR="00CE061A" w:rsidRDefault="00E2685B">
      <w:pPr>
        <w:numPr>
          <w:ilvl w:val="0"/>
          <w:numId w:val="1"/>
        </w:numPr>
        <w:spacing w:before="240" w:line="360" w:lineRule="auto"/>
      </w:pPr>
      <w:r>
        <w:rPr>
          <w:rFonts w:ascii="Times New Roman" w:eastAsia="Times New Roman" w:hAnsi="Times New Roman" w:cs="Times New Roman"/>
          <w:color w:val="212121"/>
          <w:sz w:val="24"/>
          <w:szCs w:val="24"/>
          <w:highlight w:val="white"/>
        </w:rPr>
        <w:t xml:space="preserve">Campbell-Lendrum, D., Neville, T., Schweizer, C., &amp; Neira, M. (2023). Climate change and health: three grand challenges. </w:t>
      </w:r>
      <w:r>
        <w:rPr>
          <w:rFonts w:ascii="Times New Roman" w:eastAsia="Times New Roman" w:hAnsi="Times New Roman" w:cs="Times New Roman"/>
          <w:i/>
          <w:color w:val="212121"/>
          <w:sz w:val="24"/>
          <w:szCs w:val="24"/>
          <w:highlight w:val="white"/>
        </w:rPr>
        <w:t>Nature medicine, 29</w:t>
      </w:r>
      <w:r>
        <w:rPr>
          <w:rFonts w:ascii="Times New Roman" w:eastAsia="Times New Roman" w:hAnsi="Times New Roman" w:cs="Times New Roman"/>
          <w:color w:val="212121"/>
          <w:sz w:val="24"/>
          <w:szCs w:val="24"/>
          <w:highlight w:val="white"/>
        </w:rPr>
        <w:t>(7), 1631–1638.</w:t>
      </w:r>
      <w:hyperlink r:id="rId15">
        <w:r w:rsidR="00CE061A">
          <w:rPr>
            <w:rFonts w:ascii="Times New Roman" w:eastAsia="Times New Roman" w:hAnsi="Times New Roman" w:cs="Times New Roman"/>
            <w:color w:val="212121"/>
            <w:sz w:val="24"/>
            <w:szCs w:val="24"/>
            <w:highlight w:val="white"/>
          </w:rPr>
          <w:t xml:space="preserve"> </w:t>
        </w:r>
      </w:hyperlink>
      <w:hyperlink r:id="rId16">
        <w:r w:rsidR="00CE061A">
          <w:rPr>
            <w:rFonts w:ascii="Times New Roman" w:eastAsia="Times New Roman" w:hAnsi="Times New Roman" w:cs="Times New Roman"/>
            <w:color w:val="1155CC"/>
            <w:sz w:val="24"/>
            <w:szCs w:val="24"/>
            <w:highlight w:val="white"/>
            <w:u w:val="single"/>
          </w:rPr>
          <w:t>https://doi.org/10.1038/s41591-023-02438-w</w:t>
        </w:r>
      </w:hyperlink>
    </w:p>
    <w:p w14:paraId="0452AC3B"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Guiot, J., &amp; Cramer, W. (2016). Climate change: The 2015 Paris Agreement thresholds and Mediterranean basin ecosystems. </w:t>
      </w:r>
      <w:r>
        <w:rPr>
          <w:rFonts w:ascii="Times New Roman" w:eastAsia="Times New Roman" w:hAnsi="Times New Roman" w:cs="Times New Roman"/>
          <w:i/>
          <w:color w:val="212121"/>
          <w:sz w:val="24"/>
          <w:szCs w:val="24"/>
          <w:highlight w:val="white"/>
        </w:rPr>
        <w:t xml:space="preserve">Science (New York, </w:t>
      </w:r>
      <w:r>
        <w:rPr>
          <w:rFonts w:ascii="Times New Roman" w:eastAsia="Times New Roman" w:hAnsi="Times New Roman" w:cs="Times New Roman"/>
          <w:i/>
          <w:color w:val="212121"/>
          <w:sz w:val="24"/>
          <w:szCs w:val="24"/>
          <w:highlight w:val="white"/>
        </w:rPr>
        <w:t>N.Y.), 354</w:t>
      </w:r>
      <w:r>
        <w:rPr>
          <w:rFonts w:ascii="Times New Roman" w:eastAsia="Times New Roman" w:hAnsi="Times New Roman" w:cs="Times New Roman"/>
          <w:color w:val="212121"/>
          <w:sz w:val="24"/>
          <w:szCs w:val="24"/>
          <w:highlight w:val="white"/>
        </w:rPr>
        <w:t>(6311), 465–468.</w:t>
      </w:r>
      <w:hyperlink r:id="rId17">
        <w:r w:rsidR="00CE061A">
          <w:rPr>
            <w:rFonts w:ascii="Times New Roman" w:eastAsia="Times New Roman" w:hAnsi="Times New Roman" w:cs="Times New Roman"/>
            <w:color w:val="212121"/>
            <w:sz w:val="24"/>
            <w:szCs w:val="24"/>
            <w:highlight w:val="white"/>
          </w:rPr>
          <w:t xml:space="preserve"> </w:t>
        </w:r>
      </w:hyperlink>
      <w:hyperlink r:id="rId18">
        <w:r w:rsidR="00CE061A">
          <w:rPr>
            <w:rFonts w:ascii="Times New Roman" w:eastAsia="Times New Roman" w:hAnsi="Times New Roman" w:cs="Times New Roman"/>
            <w:color w:val="1155CC"/>
            <w:sz w:val="24"/>
            <w:szCs w:val="24"/>
            <w:highlight w:val="white"/>
            <w:u w:val="single"/>
          </w:rPr>
          <w:t>https://doi.org/10.1126/science.aah5015</w:t>
        </w:r>
      </w:hyperlink>
    </w:p>
    <w:p w14:paraId="72A60329"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Meier, B. M., </w:t>
      </w:r>
      <w:proofErr w:type="spellStart"/>
      <w:r>
        <w:rPr>
          <w:rFonts w:ascii="Times New Roman" w:eastAsia="Times New Roman" w:hAnsi="Times New Roman" w:cs="Times New Roman"/>
          <w:color w:val="212121"/>
          <w:sz w:val="24"/>
          <w:szCs w:val="24"/>
          <w:highlight w:val="white"/>
        </w:rPr>
        <w:t>Bustreo</w:t>
      </w:r>
      <w:proofErr w:type="spellEnd"/>
      <w:r>
        <w:rPr>
          <w:rFonts w:ascii="Times New Roman" w:eastAsia="Times New Roman" w:hAnsi="Times New Roman" w:cs="Times New Roman"/>
          <w:color w:val="212121"/>
          <w:sz w:val="24"/>
          <w:szCs w:val="24"/>
          <w:highlight w:val="white"/>
        </w:rPr>
        <w:t>, F., &amp; Gostin, L. O. (2022). Climate Change, Publ</w:t>
      </w:r>
      <w:r>
        <w:rPr>
          <w:rFonts w:ascii="Times New Roman" w:eastAsia="Times New Roman" w:hAnsi="Times New Roman" w:cs="Times New Roman"/>
          <w:color w:val="212121"/>
          <w:sz w:val="24"/>
          <w:szCs w:val="24"/>
          <w:highlight w:val="white"/>
        </w:rPr>
        <w:t xml:space="preserve">ic Health and Human Rights. </w:t>
      </w:r>
      <w:r>
        <w:rPr>
          <w:rFonts w:ascii="Times New Roman" w:eastAsia="Times New Roman" w:hAnsi="Times New Roman" w:cs="Times New Roman"/>
          <w:i/>
          <w:color w:val="212121"/>
          <w:sz w:val="24"/>
          <w:szCs w:val="24"/>
          <w:highlight w:val="white"/>
        </w:rPr>
        <w:t>International journal of environmental research and public health, 19</w:t>
      </w:r>
      <w:r>
        <w:rPr>
          <w:rFonts w:ascii="Times New Roman" w:eastAsia="Times New Roman" w:hAnsi="Times New Roman" w:cs="Times New Roman"/>
          <w:color w:val="212121"/>
          <w:sz w:val="24"/>
          <w:szCs w:val="24"/>
          <w:highlight w:val="white"/>
        </w:rPr>
        <w:t>(21), 13744.</w:t>
      </w:r>
      <w:hyperlink r:id="rId19">
        <w:r w:rsidR="00CE061A">
          <w:rPr>
            <w:rFonts w:ascii="Times New Roman" w:eastAsia="Times New Roman" w:hAnsi="Times New Roman" w:cs="Times New Roman"/>
            <w:color w:val="212121"/>
            <w:sz w:val="24"/>
            <w:szCs w:val="24"/>
            <w:highlight w:val="white"/>
          </w:rPr>
          <w:t xml:space="preserve"> </w:t>
        </w:r>
      </w:hyperlink>
      <w:hyperlink r:id="rId20">
        <w:r w:rsidR="00CE061A">
          <w:rPr>
            <w:rFonts w:ascii="Times New Roman" w:eastAsia="Times New Roman" w:hAnsi="Times New Roman" w:cs="Times New Roman"/>
            <w:color w:val="1155CC"/>
            <w:sz w:val="24"/>
            <w:szCs w:val="24"/>
            <w:highlight w:val="white"/>
            <w:u w:val="single"/>
          </w:rPr>
          <w:t>https://doi.org/10.3390/ijerph192113744</w:t>
        </w:r>
      </w:hyperlink>
    </w:p>
    <w:p w14:paraId="65D430C8"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Milner, J., Hamilton, I., Woodcock, J., Williams, M., Davies, M., Wilkinson, P., &amp; Haines, A. (2020). Health benefits of policies to reduce carbon emissions. </w:t>
      </w:r>
      <w:r>
        <w:rPr>
          <w:rFonts w:ascii="Times New Roman" w:eastAsia="Times New Roman" w:hAnsi="Times New Roman" w:cs="Times New Roman"/>
          <w:i/>
          <w:color w:val="212121"/>
          <w:sz w:val="24"/>
          <w:szCs w:val="24"/>
          <w:highlight w:val="white"/>
        </w:rPr>
        <w:t>BMJ (Clinical research ed.), 368</w:t>
      </w:r>
      <w:r>
        <w:rPr>
          <w:rFonts w:ascii="Times New Roman" w:eastAsia="Times New Roman" w:hAnsi="Times New Roman" w:cs="Times New Roman"/>
          <w:color w:val="212121"/>
          <w:sz w:val="24"/>
          <w:szCs w:val="24"/>
          <w:highlight w:val="white"/>
        </w:rPr>
        <w:t>, l6758.</w:t>
      </w:r>
      <w:hyperlink r:id="rId21">
        <w:r w:rsidR="00CE061A">
          <w:rPr>
            <w:rFonts w:ascii="Times New Roman" w:eastAsia="Times New Roman" w:hAnsi="Times New Roman" w:cs="Times New Roman"/>
            <w:color w:val="212121"/>
            <w:sz w:val="24"/>
            <w:szCs w:val="24"/>
            <w:highlight w:val="white"/>
          </w:rPr>
          <w:t xml:space="preserve"> </w:t>
        </w:r>
      </w:hyperlink>
      <w:hyperlink r:id="rId22">
        <w:r w:rsidR="00CE061A">
          <w:rPr>
            <w:rFonts w:ascii="Times New Roman" w:eastAsia="Times New Roman" w:hAnsi="Times New Roman" w:cs="Times New Roman"/>
            <w:color w:val="1155CC"/>
            <w:sz w:val="24"/>
            <w:szCs w:val="24"/>
            <w:highlight w:val="white"/>
            <w:u w:val="single"/>
          </w:rPr>
          <w:t>https://doi.org/10.1136/bmj.l6758</w:t>
        </w:r>
      </w:hyperlink>
    </w:p>
    <w:p w14:paraId="18605049"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Ming, T., de Richter, R., Shen, S., &amp; </w:t>
      </w:r>
      <w:proofErr w:type="spellStart"/>
      <w:r>
        <w:rPr>
          <w:rFonts w:ascii="Times New Roman" w:eastAsia="Times New Roman" w:hAnsi="Times New Roman" w:cs="Times New Roman"/>
          <w:color w:val="212121"/>
          <w:sz w:val="24"/>
          <w:szCs w:val="24"/>
          <w:highlight w:val="white"/>
        </w:rPr>
        <w:t>Caillol</w:t>
      </w:r>
      <w:proofErr w:type="spellEnd"/>
      <w:r>
        <w:rPr>
          <w:rFonts w:ascii="Times New Roman" w:eastAsia="Times New Roman" w:hAnsi="Times New Roman" w:cs="Times New Roman"/>
          <w:color w:val="212121"/>
          <w:sz w:val="24"/>
          <w:szCs w:val="24"/>
          <w:highlight w:val="white"/>
        </w:rPr>
        <w:t>, S. (2016). Fighting global warming by greenhouse gas removal: destroying atmospheric nitrous oxide thanks to syner</w:t>
      </w:r>
      <w:r>
        <w:rPr>
          <w:rFonts w:ascii="Times New Roman" w:eastAsia="Times New Roman" w:hAnsi="Times New Roman" w:cs="Times New Roman"/>
          <w:color w:val="212121"/>
          <w:sz w:val="24"/>
          <w:szCs w:val="24"/>
          <w:highlight w:val="white"/>
        </w:rPr>
        <w:t xml:space="preserve">gies between two breakthrough technologies. </w:t>
      </w:r>
      <w:r>
        <w:rPr>
          <w:rFonts w:ascii="Times New Roman" w:eastAsia="Times New Roman" w:hAnsi="Times New Roman" w:cs="Times New Roman"/>
          <w:i/>
          <w:color w:val="212121"/>
          <w:sz w:val="24"/>
          <w:szCs w:val="24"/>
          <w:highlight w:val="white"/>
        </w:rPr>
        <w:t>Environmental science and pollution research international, 23</w:t>
      </w:r>
      <w:r>
        <w:rPr>
          <w:rFonts w:ascii="Times New Roman" w:eastAsia="Times New Roman" w:hAnsi="Times New Roman" w:cs="Times New Roman"/>
          <w:color w:val="212121"/>
          <w:sz w:val="24"/>
          <w:szCs w:val="24"/>
          <w:highlight w:val="white"/>
        </w:rPr>
        <w:t>(7), 6119–6138.</w:t>
      </w:r>
      <w:hyperlink r:id="rId23">
        <w:r w:rsidR="00CE061A">
          <w:rPr>
            <w:rFonts w:ascii="Times New Roman" w:eastAsia="Times New Roman" w:hAnsi="Times New Roman" w:cs="Times New Roman"/>
            <w:color w:val="212121"/>
            <w:sz w:val="24"/>
            <w:szCs w:val="24"/>
            <w:highlight w:val="white"/>
          </w:rPr>
          <w:t xml:space="preserve"> </w:t>
        </w:r>
      </w:hyperlink>
      <w:hyperlink r:id="rId24">
        <w:r w:rsidR="00CE061A">
          <w:rPr>
            <w:rFonts w:ascii="Times New Roman" w:eastAsia="Times New Roman" w:hAnsi="Times New Roman" w:cs="Times New Roman"/>
            <w:color w:val="1155CC"/>
            <w:sz w:val="24"/>
            <w:szCs w:val="24"/>
            <w:highlight w:val="white"/>
            <w:u w:val="single"/>
          </w:rPr>
          <w:t>https://doi.org/10.1007/s11356-016-6103-9</w:t>
        </w:r>
      </w:hyperlink>
    </w:p>
    <w:p w14:paraId="41F4BC03"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Mitchell, D., Allen, M. R., Hall, J. W., Muller, B., Rajamani, L., &amp; Le Quéré, C. (2018). The myriad challenges of the Paris Agreement. </w:t>
      </w:r>
      <w:r>
        <w:rPr>
          <w:rFonts w:ascii="Times New Roman" w:eastAsia="Times New Roman" w:hAnsi="Times New Roman" w:cs="Times New Roman"/>
          <w:i/>
          <w:color w:val="212121"/>
          <w:sz w:val="24"/>
          <w:szCs w:val="24"/>
          <w:highlight w:val="white"/>
        </w:rPr>
        <w:t xml:space="preserve">Philosophical transactions. Series A, </w:t>
      </w:r>
      <w:r>
        <w:rPr>
          <w:rFonts w:ascii="Times New Roman" w:eastAsia="Times New Roman" w:hAnsi="Times New Roman" w:cs="Times New Roman"/>
          <w:i/>
          <w:color w:val="212121"/>
          <w:sz w:val="24"/>
          <w:szCs w:val="24"/>
          <w:highlight w:val="white"/>
        </w:rPr>
        <w:lastRenderedPageBreak/>
        <w:t>Mathematical, physical, and engineering sciences, 37</w:t>
      </w:r>
      <w:r>
        <w:rPr>
          <w:rFonts w:ascii="Times New Roman" w:eastAsia="Times New Roman" w:hAnsi="Times New Roman" w:cs="Times New Roman"/>
          <w:i/>
          <w:color w:val="212121"/>
          <w:sz w:val="24"/>
          <w:szCs w:val="24"/>
          <w:highlight w:val="white"/>
        </w:rPr>
        <w:t>6</w:t>
      </w:r>
      <w:r>
        <w:rPr>
          <w:rFonts w:ascii="Times New Roman" w:eastAsia="Times New Roman" w:hAnsi="Times New Roman" w:cs="Times New Roman"/>
          <w:color w:val="212121"/>
          <w:sz w:val="24"/>
          <w:szCs w:val="24"/>
          <w:highlight w:val="white"/>
        </w:rPr>
        <w:t>(2119), 20180066.</w:t>
      </w:r>
      <w:hyperlink r:id="rId25">
        <w:r w:rsidR="00CE061A">
          <w:rPr>
            <w:rFonts w:ascii="Times New Roman" w:eastAsia="Times New Roman" w:hAnsi="Times New Roman" w:cs="Times New Roman"/>
            <w:color w:val="212121"/>
            <w:sz w:val="24"/>
            <w:szCs w:val="24"/>
            <w:highlight w:val="white"/>
          </w:rPr>
          <w:t xml:space="preserve"> </w:t>
        </w:r>
      </w:hyperlink>
      <w:hyperlink r:id="rId26">
        <w:r w:rsidR="00CE061A">
          <w:rPr>
            <w:rFonts w:ascii="Times New Roman" w:eastAsia="Times New Roman" w:hAnsi="Times New Roman" w:cs="Times New Roman"/>
            <w:color w:val="1155CC"/>
            <w:sz w:val="24"/>
            <w:szCs w:val="24"/>
            <w:highlight w:val="white"/>
            <w:u w:val="single"/>
          </w:rPr>
          <w:t>https://doi.org/10.1098/rsta.2018.0066</w:t>
        </w:r>
      </w:hyperlink>
    </w:p>
    <w:p w14:paraId="64DDA178"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Mousavi, A., Ardalan, A., </w:t>
      </w:r>
      <w:proofErr w:type="spellStart"/>
      <w:r>
        <w:rPr>
          <w:rFonts w:ascii="Times New Roman" w:eastAsia="Times New Roman" w:hAnsi="Times New Roman" w:cs="Times New Roman"/>
          <w:color w:val="212121"/>
          <w:sz w:val="24"/>
          <w:szCs w:val="24"/>
          <w:highlight w:val="white"/>
        </w:rPr>
        <w:t>Takian</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Ostadtaghizadeh</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Naddafi</w:t>
      </w:r>
      <w:proofErr w:type="spellEnd"/>
      <w:r>
        <w:rPr>
          <w:rFonts w:ascii="Times New Roman" w:eastAsia="Times New Roman" w:hAnsi="Times New Roman" w:cs="Times New Roman"/>
          <w:color w:val="212121"/>
          <w:sz w:val="24"/>
          <w:szCs w:val="24"/>
          <w:highlight w:val="white"/>
        </w:rPr>
        <w:t xml:space="preserve">, K., &amp; Bavani, </w:t>
      </w:r>
      <w:r>
        <w:rPr>
          <w:rFonts w:ascii="Times New Roman" w:eastAsia="Times New Roman" w:hAnsi="Times New Roman" w:cs="Times New Roman"/>
          <w:color w:val="212121"/>
          <w:sz w:val="24"/>
          <w:szCs w:val="24"/>
          <w:highlight w:val="white"/>
        </w:rPr>
        <w:t xml:space="preserve">A. M. (2020). Health system plan for implementation of Paris agreement on climate change (COP 21): a qualitative study in Iran. </w:t>
      </w:r>
      <w:r>
        <w:rPr>
          <w:rFonts w:ascii="Times New Roman" w:eastAsia="Times New Roman" w:hAnsi="Times New Roman" w:cs="Times New Roman"/>
          <w:i/>
          <w:color w:val="212121"/>
          <w:sz w:val="24"/>
          <w:szCs w:val="24"/>
          <w:highlight w:val="white"/>
        </w:rPr>
        <w:t>BMC Public Health, 20</w:t>
      </w:r>
      <w:r>
        <w:rPr>
          <w:rFonts w:ascii="Times New Roman" w:eastAsia="Times New Roman" w:hAnsi="Times New Roman" w:cs="Times New Roman"/>
          <w:color w:val="212121"/>
          <w:sz w:val="24"/>
          <w:szCs w:val="24"/>
          <w:highlight w:val="white"/>
        </w:rPr>
        <w:t>(1), 1388.</w:t>
      </w:r>
      <w:hyperlink r:id="rId27">
        <w:r w:rsidR="00CE061A">
          <w:rPr>
            <w:rFonts w:ascii="Times New Roman" w:eastAsia="Times New Roman" w:hAnsi="Times New Roman" w:cs="Times New Roman"/>
            <w:color w:val="212121"/>
            <w:sz w:val="24"/>
            <w:szCs w:val="24"/>
            <w:highlight w:val="white"/>
          </w:rPr>
          <w:t xml:space="preserve"> </w:t>
        </w:r>
      </w:hyperlink>
      <w:hyperlink r:id="rId28">
        <w:r w:rsidR="00CE061A">
          <w:rPr>
            <w:rFonts w:ascii="Times New Roman" w:eastAsia="Times New Roman" w:hAnsi="Times New Roman" w:cs="Times New Roman"/>
            <w:color w:val="1155CC"/>
            <w:sz w:val="24"/>
            <w:szCs w:val="24"/>
            <w:highlight w:val="white"/>
            <w:u w:val="single"/>
          </w:rPr>
          <w:t>https://doi.org/10.1186/s12889-020-09503-w</w:t>
        </w:r>
      </w:hyperlink>
    </w:p>
    <w:p w14:paraId="25886564" w14:textId="77777777" w:rsidR="00CE061A" w:rsidRDefault="00E2685B">
      <w:pPr>
        <w:numPr>
          <w:ilvl w:val="0"/>
          <w:numId w:val="1"/>
        </w:numPr>
        <w:spacing w:line="360" w:lineRule="auto"/>
      </w:pPr>
      <w:proofErr w:type="spellStart"/>
      <w:r>
        <w:rPr>
          <w:rFonts w:ascii="Times New Roman" w:eastAsia="Times New Roman" w:hAnsi="Times New Roman" w:cs="Times New Roman"/>
          <w:color w:val="212121"/>
          <w:sz w:val="24"/>
          <w:szCs w:val="24"/>
          <w:highlight w:val="white"/>
        </w:rPr>
        <w:t>Nikendei</w:t>
      </w:r>
      <w:proofErr w:type="spellEnd"/>
      <w:r>
        <w:rPr>
          <w:rFonts w:ascii="Times New Roman" w:eastAsia="Times New Roman" w:hAnsi="Times New Roman" w:cs="Times New Roman"/>
          <w:color w:val="212121"/>
          <w:sz w:val="24"/>
          <w:szCs w:val="24"/>
          <w:highlight w:val="white"/>
        </w:rPr>
        <w:t xml:space="preserve">, C., Bugaj, T. J., </w:t>
      </w:r>
      <w:proofErr w:type="spellStart"/>
      <w:r>
        <w:rPr>
          <w:rFonts w:ascii="Times New Roman" w:eastAsia="Times New Roman" w:hAnsi="Times New Roman" w:cs="Times New Roman"/>
          <w:color w:val="212121"/>
          <w:sz w:val="24"/>
          <w:szCs w:val="24"/>
          <w:highlight w:val="white"/>
        </w:rPr>
        <w:t>Nikendei</w:t>
      </w:r>
      <w:proofErr w:type="spellEnd"/>
      <w:r>
        <w:rPr>
          <w:rFonts w:ascii="Times New Roman" w:eastAsia="Times New Roman" w:hAnsi="Times New Roman" w:cs="Times New Roman"/>
          <w:color w:val="212121"/>
          <w:sz w:val="24"/>
          <w:szCs w:val="24"/>
          <w:highlight w:val="white"/>
        </w:rPr>
        <w:t xml:space="preserve">, F., Kühl, S. J., &amp; Kühl, M. (2020). </w:t>
      </w:r>
      <w:proofErr w:type="spellStart"/>
      <w:r>
        <w:rPr>
          <w:rFonts w:ascii="Times New Roman" w:eastAsia="Times New Roman" w:hAnsi="Times New Roman" w:cs="Times New Roman"/>
          <w:color w:val="212121"/>
          <w:sz w:val="24"/>
          <w:szCs w:val="24"/>
          <w:highlight w:val="white"/>
        </w:rPr>
        <w:t>Klimawandel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Ursachen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Folgen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Lösungsansätze</w:t>
      </w:r>
      <w:proofErr w:type="spellEnd"/>
      <w:r>
        <w:rPr>
          <w:rFonts w:ascii="Times New Roman" w:eastAsia="Times New Roman" w:hAnsi="Times New Roman" w:cs="Times New Roman"/>
          <w:color w:val="212121"/>
          <w:sz w:val="24"/>
          <w:szCs w:val="24"/>
          <w:highlight w:val="white"/>
        </w:rPr>
        <w:t xml:space="preserve"> und </w:t>
      </w:r>
      <w:proofErr w:type="spellStart"/>
      <w:r>
        <w:rPr>
          <w:rFonts w:ascii="Times New Roman" w:eastAsia="Times New Roman" w:hAnsi="Times New Roman" w:cs="Times New Roman"/>
          <w:color w:val="212121"/>
          <w:sz w:val="24"/>
          <w:szCs w:val="24"/>
          <w:highlight w:val="white"/>
        </w:rPr>
        <w:t>Implikationen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für</w:t>
      </w:r>
      <w:proofErr w:type="spellEnd"/>
      <w:r>
        <w:rPr>
          <w:rFonts w:ascii="Times New Roman" w:eastAsia="Times New Roman" w:hAnsi="Times New Roman" w:cs="Times New Roman"/>
          <w:color w:val="212121"/>
          <w:sz w:val="24"/>
          <w:szCs w:val="24"/>
          <w:highlight w:val="white"/>
        </w:rPr>
        <w:t xml:space="preserve"> das </w:t>
      </w:r>
      <w:proofErr w:type="spellStart"/>
      <w:r>
        <w:rPr>
          <w:rFonts w:ascii="Times New Roman" w:eastAsia="Times New Roman" w:hAnsi="Times New Roman" w:cs="Times New Roman"/>
          <w:color w:val="212121"/>
          <w:sz w:val="24"/>
          <w:szCs w:val="24"/>
          <w:highlight w:val="white"/>
        </w:rPr>
        <w:t>Gesundh</w:t>
      </w:r>
      <w:r>
        <w:rPr>
          <w:rFonts w:ascii="Times New Roman" w:eastAsia="Times New Roman" w:hAnsi="Times New Roman" w:cs="Times New Roman"/>
          <w:color w:val="212121"/>
          <w:sz w:val="24"/>
          <w:szCs w:val="24"/>
          <w:highlight w:val="white"/>
        </w:rPr>
        <w:t>eitswesen</w:t>
      </w:r>
      <w:proofErr w:type="spellEnd"/>
      <w:r>
        <w:rPr>
          <w:rFonts w:ascii="Times New Roman" w:eastAsia="Times New Roman" w:hAnsi="Times New Roman" w:cs="Times New Roman"/>
          <w:color w:val="212121"/>
          <w:sz w:val="24"/>
          <w:szCs w:val="24"/>
          <w:highlight w:val="white"/>
        </w:rPr>
        <w:t xml:space="preserve"> [Climate change: Causes, consequences, solutions and public health care implications]. </w:t>
      </w:r>
      <w:proofErr w:type="spellStart"/>
      <w:r>
        <w:rPr>
          <w:rFonts w:ascii="Times New Roman" w:eastAsia="Times New Roman" w:hAnsi="Times New Roman" w:cs="Times New Roman"/>
          <w:i/>
          <w:color w:val="212121"/>
          <w:sz w:val="24"/>
          <w:szCs w:val="24"/>
          <w:highlight w:val="white"/>
        </w:rPr>
        <w:t>Zeitschrift</w:t>
      </w:r>
      <w:proofErr w:type="spellEnd"/>
      <w:r>
        <w:rPr>
          <w:rFonts w:ascii="Times New Roman" w:eastAsia="Times New Roman" w:hAnsi="Times New Roman" w:cs="Times New Roman"/>
          <w:i/>
          <w:color w:val="212121"/>
          <w:sz w:val="24"/>
          <w:szCs w:val="24"/>
          <w:highlight w:val="white"/>
        </w:rPr>
        <w:t xml:space="preserve"> fur </w:t>
      </w:r>
      <w:proofErr w:type="spellStart"/>
      <w:r>
        <w:rPr>
          <w:rFonts w:ascii="Times New Roman" w:eastAsia="Times New Roman" w:hAnsi="Times New Roman" w:cs="Times New Roman"/>
          <w:i/>
          <w:color w:val="212121"/>
          <w:sz w:val="24"/>
          <w:szCs w:val="24"/>
          <w:highlight w:val="white"/>
        </w:rPr>
        <w:t>Evidenz</w:t>
      </w:r>
      <w:proofErr w:type="spellEnd"/>
      <w:r>
        <w:rPr>
          <w:rFonts w:ascii="Times New Roman" w:eastAsia="Times New Roman" w:hAnsi="Times New Roman" w:cs="Times New Roman"/>
          <w:i/>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Fortbildung</w:t>
      </w:r>
      <w:proofErr w:type="spellEnd"/>
      <w:r>
        <w:rPr>
          <w:rFonts w:ascii="Times New Roman" w:eastAsia="Times New Roman" w:hAnsi="Times New Roman" w:cs="Times New Roman"/>
          <w:i/>
          <w:color w:val="212121"/>
          <w:sz w:val="24"/>
          <w:szCs w:val="24"/>
          <w:highlight w:val="white"/>
        </w:rPr>
        <w:t xml:space="preserve"> und </w:t>
      </w:r>
      <w:proofErr w:type="spellStart"/>
      <w:r>
        <w:rPr>
          <w:rFonts w:ascii="Times New Roman" w:eastAsia="Times New Roman" w:hAnsi="Times New Roman" w:cs="Times New Roman"/>
          <w:i/>
          <w:color w:val="212121"/>
          <w:sz w:val="24"/>
          <w:szCs w:val="24"/>
          <w:highlight w:val="white"/>
        </w:rPr>
        <w:t>Qualitat</w:t>
      </w:r>
      <w:proofErr w:type="spellEnd"/>
      <w:r>
        <w:rPr>
          <w:rFonts w:ascii="Times New Roman" w:eastAsia="Times New Roman" w:hAnsi="Times New Roman" w:cs="Times New Roman"/>
          <w:i/>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im</w:t>
      </w:r>
      <w:proofErr w:type="spellEnd"/>
      <w:r>
        <w:rPr>
          <w:rFonts w:ascii="Times New Roman" w:eastAsia="Times New Roman" w:hAnsi="Times New Roman" w:cs="Times New Roman"/>
          <w:i/>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Gesundheitswesen</w:t>
      </w:r>
      <w:proofErr w:type="spellEnd"/>
      <w:r>
        <w:rPr>
          <w:rFonts w:ascii="Times New Roman" w:eastAsia="Times New Roman" w:hAnsi="Times New Roman" w:cs="Times New Roman"/>
          <w:i/>
          <w:color w:val="212121"/>
          <w:sz w:val="24"/>
          <w:szCs w:val="24"/>
          <w:highlight w:val="white"/>
        </w:rPr>
        <w:t>, 156-157</w:t>
      </w:r>
      <w:r>
        <w:rPr>
          <w:rFonts w:ascii="Times New Roman" w:eastAsia="Times New Roman" w:hAnsi="Times New Roman" w:cs="Times New Roman"/>
          <w:color w:val="212121"/>
          <w:sz w:val="24"/>
          <w:szCs w:val="24"/>
          <w:highlight w:val="white"/>
        </w:rPr>
        <w:t>, 59–67.</w:t>
      </w:r>
      <w:hyperlink r:id="rId29">
        <w:r w:rsidR="00CE061A">
          <w:rPr>
            <w:rFonts w:ascii="Times New Roman" w:eastAsia="Times New Roman" w:hAnsi="Times New Roman" w:cs="Times New Roman"/>
            <w:color w:val="212121"/>
            <w:sz w:val="24"/>
            <w:szCs w:val="24"/>
            <w:highlight w:val="white"/>
          </w:rPr>
          <w:t xml:space="preserve"> </w:t>
        </w:r>
      </w:hyperlink>
      <w:hyperlink r:id="rId30">
        <w:r w:rsidR="00CE061A">
          <w:rPr>
            <w:rFonts w:ascii="Times New Roman" w:eastAsia="Times New Roman" w:hAnsi="Times New Roman" w:cs="Times New Roman"/>
            <w:color w:val="1155CC"/>
            <w:sz w:val="24"/>
            <w:szCs w:val="24"/>
            <w:highlight w:val="white"/>
            <w:u w:val="single"/>
          </w:rPr>
          <w:t>https://doi.org/10.1016/j.zefq.2020.07.008</w:t>
        </w:r>
      </w:hyperlink>
    </w:p>
    <w:p w14:paraId="7CA67D46" w14:textId="77777777" w:rsidR="00CE061A" w:rsidRDefault="00E2685B">
      <w:pPr>
        <w:numPr>
          <w:ilvl w:val="0"/>
          <w:numId w:val="1"/>
        </w:numPr>
        <w:spacing w:line="360" w:lineRule="auto"/>
      </w:pPr>
      <w:proofErr w:type="spellStart"/>
      <w:r>
        <w:rPr>
          <w:rFonts w:ascii="Times New Roman" w:eastAsia="Times New Roman" w:hAnsi="Times New Roman" w:cs="Times New Roman"/>
          <w:color w:val="212121"/>
          <w:sz w:val="24"/>
          <w:szCs w:val="24"/>
          <w:highlight w:val="white"/>
        </w:rPr>
        <w:t>Punton</w:t>
      </w:r>
      <w:proofErr w:type="spellEnd"/>
      <w:r>
        <w:rPr>
          <w:rFonts w:ascii="Times New Roman" w:eastAsia="Times New Roman" w:hAnsi="Times New Roman" w:cs="Times New Roman"/>
          <w:color w:val="212121"/>
          <w:sz w:val="24"/>
          <w:szCs w:val="24"/>
          <w:highlight w:val="white"/>
        </w:rPr>
        <w:t xml:space="preserve">, A., Crossley, E. J., Matthews, N. R., &amp; Walpole, S. C. (2017). Protecting Health from Climate Change Requires Concerted Action and Radical Approaches: A </w:t>
      </w:r>
      <w:r>
        <w:rPr>
          <w:rFonts w:ascii="Times New Roman" w:eastAsia="Times New Roman" w:hAnsi="Times New Roman" w:cs="Times New Roman"/>
          <w:color w:val="212121"/>
          <w:sz w:val="24"/>
          <w:szCs w:val="24"/>
          <w:highlight w:val="white"/>
        </w:rPr>
        <w:t xml:space="preserve">Discussion of Recent Progress in International Climate Negotiations. </w:t>
      </w:r>
      <w:r>
        <w:rPr>
          <w:rFonts w:ascii="Times New Roman" w:eastAsia="Times New Roman" w:hAnsi="Times New Roman" w:cs="Times New Roman"/>
          <w:i/>
          <w:color w:val="212121"/>
          <w:sz w:val="24"/>
          <w:szCs w:val="24"/>
          <w:highlight w:val="white"/>
        </w:rPr>
        <w:t>The international journal of occupational and environmental medicine, 8</w:t>
      </w:r>
      <w:r>
        <w:rPr>
          <w:rFonts w:ascii="Times New Roman" w:eastAsia="Times New Roman" w:hAnsi="Times New Roman" w:cs="Times New Roman"/>
          <w:color w:val="212121"/>
          <w:sz w:val="24"/>
          <w:szCs w:val="24"/>
          <w:highlight w:val="white"/>
        </w:rPr>
        <w:t>(1), 1–6.</w:t>
      </w:r>
      <w:hyperlink r:id="rId31">
        <w:r w:rsidR="00CE061A">
          <w:rPr>
            <w:rFonts w:ascii="Times New Roman" w:eastAsia="Times New Roman" w:hAnsi="Times New Roman" w:cs="Times New Roman"/>
            <w:color w:val="212121"/>
            <w:sz w:val="24"/>
            <w:szCs w:val="24"/>
            <w:highlight w:val="white"/>
          </w:rPr>
          <w:t xml:space="preserve"> </w:t>
        </w:r>
      </w:hyperlink>
      <w:hyperlink r:id="rId32">
        <w:r w:rsidR="00CE061A">
          <w:rPr>
            <w:rFonts w:ascii="Times New Roman" w:eastAsia="Times New Roman" w:hAnsi="Times New Roman" w:cs="Times New Roman"/>
            <w:color w:val="1155CC"/>
            <w:sz w:val="24"/>
            <w:szCs w:val="24"/>
            <w:highlight w:val="white"/>
            <w:u w:val="single"/>
          </w:rPr>
          <w:t>https://doi.org/10.15171/ijoem.2017.985</w:t>
        </w:r>
      </w:hyperlink>
    </w:p>
    <w:p w14:paraId="1A20DF5E"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Resnik, D. B. (2022). Environmental justice and climate change policies. </w:t>
      </w:r>
      <w:r>
        <w:rPr>
          <w:rFonts w:ascii="Times New Roman" w:eastAsia="Times New Roman" w:hAnsi="Times New Roman" w:cs="Times New Roman"/>
          <w:i/>
          <w:color w:val="212121"/>
          <w:sz w:val="24"/>
          <w:szCs w:val="24"/>
          <w:highlight w:val="white"/>
        </w:rPr>
        <w:t>Bioethics, 36</w:t>
      </w:r>
      <w:r>
        <w:rPr>
          <w:rFonts w:ascii="Times New Roman" w:eastAsia="Times New Roman" w:hAnsi="Times New Roman" w:cs="Times New Roman"/>
          <w:color w:val="212121"/>
          <w:sz w:val="24"/>
          <w:szCs w:val="24"/>
          <w:highlight w:val="white"/>
        </w:rPr>
        <w:t>(7), 735–741.</w:t>
      </w:r>
      <w:hyperlink r:id="rId33">
        <w:r w:rsidR="00CE061A">
          <w:rPr>
            <w:rFonts w:ascii="Times New Roman" w:eastAsia="Times New Roman" w:hAnsi="Times New Roman" w:cs="Times New Roman"/>
            <w:color w:val="212121"/>
            <w:sz w:val="24"/>
            <w:szCs w:val="24"/>
            <w:highlight w:val="white"/>
          </w:rPr>
          <w:t xml:space="preserve"> </w:t>
        </w:r>
      </w:hyperlink>
      <w:hyperlink r:id="rId34">
        <w:r w:rsidR="00CE061A">
          <w:rPr>
            <w:rFonts w:ascii="Times New Roman" w:eastAsia="Times New Roman" w:hAnsi="Times New Roman" w:cs="Times New Roman"/>
            <w:color w:val="1155CC"/>
            <w:sz w:val="24"/>
            <w:szCs w:val="24"/>
            <w:highlight w:val="white"/>
            <w:u w:val="single"/>
          </w:rPr>
          <w:t>https://doi.org/10.1111/bioe.13042</w:t>
        </w:r>
      </w:hyperlink>
    </w:p>
    <w:p w14:paraId="7A25D311"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Rhodes, C. J. (2019). Only 12 years left to readjust for the 1.5-degree climate change option - Says International Panel on Climate Change report: Current commentary. </w:t>
      </w:r>
      <w:r>
        <w:rPr>
          <w:rFonts w:ascii="Times New Roman" w:eastAsia="Times New Roman" w:hAnsi="Times New Roman" w:cs="Times New Roman"/>
          <w:i/>
          <w:color w:val="212121"/>
          <w:sz w:val="24"/>
          <w:szCs w:val="24"/>
          <w:highlight w:val="white"/>
        </w:rPr>
        <w:t>Science Progress, 102</w:t>
      </w:r>
      <w:r>
        <w:rPr>
          <w:rFonts w:ascii="Times New Roman" w:eastAsia="Times New Roman" w:hAnsi="Times New Roman" w:cs="Times New Roman"/>
          <w:color w:val="212121"/>
          <w:sz w:val="24"/>
          <w:szCs w:val="24"/>
          <w:highlight w:val="white"/>
        </w:rPr>
        <w:t>(1), 73–87.</w:t>
      </w:r>
      <w:hyperlink r:id="rId35">
        <w:r w:rsidR="00CE061A">
          <w:rPr>
            <w:rFonts w:ascii="Times New Roman" w:eastAsia="Times New Roman" w:hAnsi="Times New Roman" w:cs="Times New Roman"/>
            <w:color w:val="212121"/>
            <w:sz w:val="24"/>
            <w:szCs w:val="24"/>
            <w:highlight w:val="white"/>
          </w:rPr>
          <w:t xml:space="preserve"> </w:t>
        </w:r>
      </w:hyperlink>
      <w:hyperlink r:id="rId36">
        <w:r w:rsidR="00CE061A">
          <w:rPr>
            <w:rFonts w:ascii="Times New Roman" w:eastAsia="Times New Roman" w:hAnsi="Times New Roman" w:cs="Times New Roman"/>
            <w:color w:val="1155CC"/>
            <w:sz w:val="24"/>
            <w:szCs w:val="24"/>
            <w:highlight w:val="white"/>
            <w:u w:val="single"/>
          </w:rPr>
          <w:t>https://doi.org/10.1177/0036850418823397</w:t>
        </w:r>
      </w:hyperlink>
    </w:p>
    <w:p w14:paraId="181F1CAD" w14:textId="77777777" w:rsidR="00CE061A" w:rsidRDefault="00E2685B">
      <w:pPr>
        <w:numPr>
          <w:ilvl w:val="0"/>
          <w:numId w:val="1"/>
        </w:numPr>
        <w:spacing w:line="360" w:lineRule="auto"/>
      </w:pPr>
      <w:proofErr w:type="spellStart"/>
      <w:r>
        <w:rPr>
          <w:rFonts w:ascii="Times New Roman" w:eastAsia="Times New Roman" w:hAnsi="Times New Roman" w:cs="Times New Roman"/>
          <w:color w:val="212121"/>
          <w:sz w:val="24"/>
          <w:szCs w:val="24"/>
          <w:highlight w:val="white"/>
        </w:rPr>
        <w:t>Rigkos</w:t>
      </w:r>
      <w:proofErr w:type="spellEnd"/>
      <w:r>
        <w:rPr>
          <w:rFonts w:ascii="Times New Roman" w:eastAsia="Times New Roman" w:hAnsi="Times New Roman" w:cs="Times New Roman"/>
          <w:color w:val="212121"/>
          <w:sz w:val="24"/>
          <w:szCs w:val="24"/>
          <w:highlight w:val="white"/>
        </w:rPr>
        <w:t xml:space="preserve">, K., Filis, G., Antonopoulou, I., de Oliveira Maciel, A., </w:t>
      </w:r>
      <w:proofErr w:type="spellStart"/>
      <w:r>
        <w:rPr>
          <w:rFonts w:ascii="Times New Roman" w:eastAsia="Times New Roman" w:hAnsi="Times New Roman" w:cs="Times New Roman"/>
          <w:color w:val="212121"/>
          <w:sz w:val="24"/>
          <w:szCs w:val="24"/>
          <w:highlight w:val="white"/>
        </w:rPr>
        <w:t>Saridis</w:t>
      </w:r>
      <w:proofErr w:type="spellEnd"/>
      <w:r>
        <w:rPr>
          <w:rFonts w:ascii="Times New Roman" w:eastAsia="Times New Roman" w:hAnsi="Times New Roman" w:cs="Times New Roman"/>
          <w:color w:val="212121"/>
          <w:sz w:val="24"/>
          <w:szCs w:val="24"/>
          <w:highlight w:val="white"/>
        </w:rPr>
        <w:t xml:space="preserve">, P., </w:t>
      </w:r>
      <w:proofErr w:type="spellStart"/>
      <w:r>
        <w:rPr>
          <w:rFonts w:ascii="Times New Roman" w:eastAsia="Times New Roman" w:hAnsi="Times New Roman" w:cs="Times New Roman"/>
          <w:color w:val="212121"/>
          <w:sz w:val="24"/>
          <w:szCs w:val="24"/>
          <w:highlight w:val="white"/>
        </w:rPr>
        <w:t>Zarafeta</w:t>
      </w:r>
      <w:proofErr w:type="spellEnd"/>
      <w:r>
        <w:rPr>
          <w:rFonts w:ascii="Times New Roman" w:eastAsia="Times New Roman" w:hAnsi="Times New Roman" w:cs="Times New Roman"/>
          <w:color w:val="212121"/>
          <w:sz w:val="24"/>
          <w:szCs w:val="24"/>
          <w:highlight w:val="white"/>
        </w:rPr>
        <w:t xml:space="preserve">, D., &amp; </w:t>
      </w:r>
      <w:proofErr w:type="spellStart"/>
      <w:r>
        <w:rPr>
          <w:rFonts w:ascii="Times New Roman" w:eastAsia="Times New Roman" w:hAnsi="Times New Roman" w:cs="Times New Roman"/>
          <w:color w:val="212121"/>
          <w:sz w:val="24"/>
          <w:szCs w:val="24"/>
          <w:highlight w:val="white"/>
        </w:rPr>
        <w:t>Skretas</w:t>
      </w:r>
      <w:proofErr w:type="spellEnd"/>
      <w:r>
        <w:rPr>
          <w:rFonts w:ascii="Times New Roman" w:eastAsia="Times New Roman" w:hAnsi="Times New Roman" w:cs="Times New Roman"/>
          <w:color w:val="212121"/>
          <w:sz w:val="24"/>
          <w:szCs w:val="24"/>
          <w:highlight w:val="white"/>
        </w:rPr>
        <w:t>, G. (2024)</w:t>
      </w:r>
      <w:r>
        <w:rPr>
          <w:rFonts w:ascii="Times New Roman" w:eastAsia="Times New Roman" w:hAnsi="Times New Roman" w:cs="Times New Roman"/>
          <w:color w:val="212121"/>
          <w:sz w:val="24"/>
          <w:szCs w:val="24"/>
          <w:highlight w:val="white"/>
        </w:rPr>
        <w:t xml:space="preserve">. Biomimetic CO2 Capture Unlocked through Enzyme Mining: Discovery of a Highly Thermo- and Alkali-Stable Carbonic Anhydrase. </w:t>
      </w:r>
      <w:r>
        <w:rPr>
          <w:rFonts w:ascii="Times New Roman" w:eastAsia="Times New Roman" w:hAnsi="Times New Roman" w:cs="Times New Roman"/>
          <w:i/>
          <w:color w:val="212121"/>
          <w:sz w:val="24"/>
          <w:szCs w:val="24"/>
          <w:highlight w:val="white"/>
        </w:rPr>
        <w:t>Environmental science &amp; technology, 58</w:t>
      </w:r>
      <w:r>
        <w:rPr>
          <w:rFonts w:ascii="Times New Roman" w:eastAsia="Times New Roman" w:hAnsi="Times New Roman" w:cs="Times New Roman"/>
          <w:color w:val="212121"/>
          <w:sz w:val="24"/>
          <w:szCs w:val="24"/>
          <w:highlight w:val="white"/>
        </w:rPr>
        <w:t>(40), 17732–17742.</w:t>
      </w:r>
      <w:hyperlink r:id="rId37">
        <w:r w:rsidR="00CE061A">
          <w:rPr>
            <w:rFonts w:ascii="Times New Roman" w:eastAsia="Times New Roman" w:hAnsi="Times New Roman" w:cs="Times New Roman"/>
            <w:color w:val="212121"/>
            <w:sz w:val="24"/>
            <w:szCs w:val="24"/>
            <w:highlight w:val="white"/>
          </w:rPr>
          <w:t xml:space="preserve"> </w:t>
        </w:r>
      </w:hyperlink>
      <w:hyperlink r:id="rId38">
        <w:r w:rsidR="00CE061A">
          <w:rPr>
            <w:rFonts w:ascii="Times New Roman" w:eastAsia="Times New Roman" w:hAnsi="Times New Roman" w:cs="Times New Roman"/>
            <w:color w:val="1155CC"/>
            <w:sz w:val="24"/>
            <w:szCs w:val="24"/>
            <w:highlight w:val="white"/>
            <w:u w:val="single"/>
          </w:rPr>
          <w:t>https://doi.org/10.1021/acs.est.4c04291</w:t>
        </w:r>
      </w:hyperlink>
    </w:p>
    <w:p w14:paraId="7C9BE918"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Rocque, R. J., Beaudoin, C., </w:t>
      </w:r>
      <w:proofErr w:type="spellStart"/>
      <w:r>
        <w:rPr>
          <w:rFonts w:ascii="Times New Roman" w:eastAsia="Times New Roman" w:hAnsi="Times New Roman" w:cs="Times New Roman"/>
          <w:color w:val="212121"/>
          <w:sz w:val="24"/>
          <w:szCs w:val="24"/>
          <w:highlight w:val="white"/>
        </w:rPr>
        <w:t>Ndjaboue</w:t>
      </w:r>
      <w:proofErr w:type="spellEnd"/>
      <w:r>
        <w:rPr>
          <w:rFonts w:ascii="Times New Roman" w:eastAsia="Times New Roman" w:hAnsi="Times New Roman" w:cs="Times New Roman"/>
          <w:color w:val="212121"/>
          <w:sz w:val="24"/>
          <w:szCs w:val="24"/>
          <w:highlight w:val="white"/>
        </w:rPr>
        <w:t xml:space="preserve">, R., Cameron, L., Poirier-Bergeron, L., Poulin-Rheault, R. A., Fallon, C., </w:t>
      </w:r>
      <w:proofErr w:type="spellStart"/>
      <w:r>
        <w:rPr>
          <w:rFonts w:ascii="Times New Roman" w:eastAsia="Times New Roman" w:hAnsi="Times New Roman" w:cs="Times New Roman"/>
          <w:color w:val="212121"/>
          <w:sz w:val="24"/>
          <w:szCs w:val="24"/>
          <w:highlight w:val="white"/>
        </w:rPr>
        <w:t>Tricco</w:t>
      </w:r>
      <w:proofErr w:type="spellEnd"/>
      <w:r>
        <w:rPr>
          <w:rFonts w:ascii="Times New Roman" w:eastAsia="Times New Roman" w:hAnsi="Times New Roman" w:cs="Times New Roman"/>
          <w:color w:val="212121"/>
          <w:sz w:val="24"/>
          <w:szCs w:val="24"/>
          <w:highlight w:val="white"/>
        </w:rPr>
        <w:t>, A. C., &amp; Witteman, H. O. (2021). Healt</w:t>
      </w:r>
      <w:r>
        <w:rPr>
          <w:rFonts w:ascii="Times New Roman" w:eastAsia="Times New Roman" w:hAnsi="Times New Roman" w:cs="Times New Roman"/>
          <w:color w:val="212121"/>
          <w:sz w:val="24"/>
          <w:szCs w:val="24"/>
          <w:highlight w:val="white"/>
        </w:rPr>
        <w:t xml:space="preserve">h effects of climate change: an overview of systematic reviews. </w:t>
      </w:r>
      <w:r>
        <w:rPr>
          <w:rFonts w:ascii="Times New Roman" w:eastAsia="Times New Roman" w:hAnsi="Times New Roman" w:cs="Times New Roman"/>
          <w:i/>
          <w:color w:val="212121"/>
          <w:sz w:val="24"/>
          <w:szCs w:val="24"/>
          <w:highlight w:val="white"/>
        </w:rPr>
        <w:t>BMJ open, 11</w:t>
      </w:r>
      <w:r>
        <w:rPr>
          <w:rFonts w:ascii="Times New Roman" w:eastAsia="Times New Roman" w:hAnsi="Times New Roman" w:cs="Times New Roman"/>
          <w:color w:val="212121"/>
          <w:sz w:val="24"/>
          <w:szCs w:val="24"/>
          <w:highlight w:val="white"/>
        </w:rPr>
        <w:t>(6), e046333.</w:t>
      </w:r>
      <w:hyperlink r:id="rId39">
        <w:r w:rsidR="00CE061A">
          <w:rPr>
            <w:rFonts w:ascii="Times New Roman" w:eastAsia="Times New Roman" w:hAnsi="Times New Roman" w:cs="Times New Roman"/>
            <w:color w:val="212121"/>
            <w:sz w:val="24"/>
            <w:szCs w:val="24"/>
            <w:highlight w:val="white"/>
          </w:rPr>
          <w:t xml:space="preserve"> </w:t>
        </w:r>
      </w:hyperlink>
      <w:hyperlink r:id="rId40">
        <w:r w:rsidR="00CE061A">
          <w:rPr>
            <w:rFonts w:ascii="Times New Roman" w:eastAsia="Times New Roman" w:hAnsi="Times New Roman" w:cs="Times New Roman"/>
            <w:color w:val="1155CC"/>
            <w:sz w:val="24"/>
            <w:szCs w:val="24"/>
            <w:highlight w:val="white"/>
            <w:u w:val="single"/>
          </w:rPr>
          <w:t>https://doi.org/10.1136/bmjopen-2020-046333</w:t>
        </w:r>
      </w:hyperlink>
    </w:p>
    <w:p w14:paraId="044A2C2B"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Schurer, A. P., Mann, M. E., Hawkins, E., Tett, S. F. B., &amp; </w:t>
      </w:r>
      <w:proofErr w:type="spellStart"/>
      <w:r>
        <w:rPr>
          <w:rFonts w:ascii="Times New Roman" w:eastAsia="Times New Roman" w:hAnsi="Times New Roman" w:cs="Times New Roman"/>
          <w:color w:val="212121"/>
          <w:sz w:val="24"/>
          <w:szCs w:val="24"/>
          <w:highlight w:val="white"/>
        </w:rPr>
        <w:t>Hegerl</w:t>
      </w:r>
      <w:proofErr w:type="spellEnd"/>
      <w:r>
        <w:rPr>
          <w:rFonts w:ascii="Times New Roman" w:eastAsia="Times New Roman" w:hAnsi="Times New Roman" w:cs="Times New Roman"/>
          <w:color w:val="212121"/>
          <w:sz w:val="24"/>
          <w:szCs w:val="24"/>
          <w:highlight w:val="white"/>
        </w:rPr>
        <w:t xml:space="preserve">, G. C. (2017). Importance of the Pre-Industrial Baseline in Determining the Likelihood of Exceeding </w:t>
      </w:r>
      <w:r>
        <w:rPr>
          <w:rFonts w:ascii="Times New Roman" w:eastAsia="Times New Roman" w:hAnsi="Times New Roman" w:cs="Times New Roman"/>
          <w:color w:val="212121"/>
          <w:sz w:val="24"/>
          <w:szCs w:val="24"/>
          <w:highlight w:val="white"/>
        </w:rPr>
        <w:lastRenderedPageBreak/>
        <w:t xml:space="preserve">the Paris Limits. </w:t>
      </w:r>
      <w:r>
        <w:rPr>
          <w:rFonts w:ascii="Times New Roman" w:eastAsia="Times New Roman" w:hAnsi="Times New Roman" w:cs="Times New Roman"/>
          <w:i/>
          <w:color w:val="212121"/>
          <w:sz w:val="24"/>
          <w:szCs w:val="24"/>
          <w:highlight w:val="white"/>
        </w:rPr>
        <w:t>Nature Climate Change, 7</w:t>
      </w:r>
      <w:r>
        <w:rPr>
          <w:rFonts w:ascii="Times New Roman" w:eastAsia="Times New Roman" w:hAnsi="Times New Roman" w:cs="Times New Roman"/>
          <w:color w:val="212121"/>
          <w:sz w:val="24"/>
          <w:szCs w:val="24"/>
          <w:highlight w:val="white"/>
        </w:rPr>
        <w:t>(8), 563–567.</w:t>
      </w:r>
      <w:hyperlink r:id="rId41">
        <w:r w:rsidR="00CE061A">
          <w:rPr>
            <w:rFonts w:ascii="Times New Roman" w:eastAsia="Times New Roman" w:hAnsi="Times New Roman" w:cs="Times New Roman"/>
            <w:color w:val="212121"/>
            <w:sz w:val="24"/>
            <w:szCs w:val="24"/>
            <w:highlight w:val="white"/>
          </w:rPr>
          <w:t xml:space="preserve"> </w:t>
        </w:r>
      </w:hyperlink>
      <w:hyperlink r:id="rId42">
        <w:r w:rsidR="00CE061A">
          <w:rPr>
            <w:rFonts w:ascii="Times New Roman" w:eastAsia="Times New Roman" w:hAnsi="Times New Roman" w:cs="Times New Roman"/>
            <w:color w:val="1155CC"/>
            <w:sz w:val="24"/>
            <w:szCs w:val="24"/>
            <w:highlight w:val="white"/>
            <w:u w:val="single"/>
          </w:rPr>
          <w:t>https://doi.org/10.1038/nclimate3345</w:t>
        </w:r>
      </w:hyperlink>
    </w:p>
    <w:p w14:paraId="2C8D170F" w14:textId="77777777" w:rsidR="00CE061A" w:rsidRDefault="00E2685B">
      <w:pPr>
        <w:numPr>
          <w:ilvl w:val="0"/>
          <w:numId w:val="1"/>
        </w:numPr>
        <w:spacing w:line="360" w:lineRule="auto"/>
      </w:pPr>
      <w:proofErr w:type="spellStart"/>
      <w:r>
        <w:rPr>
          <w:rFonts w:ascii="Times New Roman" w:eastAsia="Times New Roman" w:hAnsi="Times New Roman" w:cs="Times New Roman"/>
          <w:color w:val="212121"/>
          <w:sz w:val="24"/>
          <w:szCs w:val="24"/>
          <w:highlight w:val="white"/>
        </w:rPr>
        <w:t>Şevgin</w:t>
      </w:r>
      <w:proofErr w:type="spellEnd"/>
      <w:r>
        <w:rPr>
          <w:rFonts w:ascii="Times New Roman" w:eastAsia="Times New Roman" w:hAnsi="Times New Roman" w:cs="Times New Roman"/>
          <w:color w:val="212121"/>
          <w:sz w:val="24"/>
          <w:szCs w:val="24"/>
          <w:highlight w:val="white"/>
        </w:rPr>
        <w:t>, F., &amp; Öztürk, A. (2024). Variation of temperature increase rate in the Northern Hemisphere according to latitude, longitude, and</w:t>
      </w:r>
      <w:r>
        <w:rPr>
          <w:rFonts w:ascii="Times New Roman" w:eastAsia="Times New Roman" w:hAnsi="Times New Roman" w:cs="Times New Roman"/>
          <w:color w:val="212121"/>
          <w:sz w:val="24"/>
          <w:szCs w:val="24"/>
          <w:highlight w:val="white"/>
        </w:rPr>
        <w:t xml:space="preserve"> altitude: the Turkey example. </w:t>
      </w:r>
      <w:r>
        <w:rPr>
          <w:rFonts w:ascii="Times New Roman" w:eastAsia="Times New Roman" w:hAnsi="Times New Roman" w:cs="Times New Roman"/>
          <w:i/>
          <w:color w:val="212121"/>
          <w:sz w:val="24"/>
          <w:szCs w:val="24"/>
          <w:highlight w:val="white"/>
        </w:rPr>
        <w:t>Scientific reports, 14</w:t>
      </w:r>
      <w:r>
        <w:rPr>
          <w:rFonts w:ascii="Times New Roman" w:eastAsia="Times New Roman" w:hAnsi="Times New Roman" w:cs="Times New Roman"/>
          <w:color w:val="212121"/>
          <w:sz w:val="24"/>
          <w:szCs w:val="24"/>
          <w:highlight w:val="white"/>
        </w:rPr>
        <w:t>(1), 18207.</w:t>
      </w:r>
      <w:hyperlink r:id="rId43">
        <w:r w:rsidR="00CE061A">
          <w:rPr>
            <w:rFonts w:ascii="Times New Roman" w:eastAsia="Times New Roman" w:hAnsi="Times New Roman" w:cs="Times New Roman"/>
            <w:color w:val="212121"/>
            <w:sz w:val="24"/>
            <w:szCs w:val="24"/>
            <w:highlight w:val="white"/>
          </w:rPr>
          <w:t xml:space="preserve"> </w:t>
        </w:r>
      </w:hyperlink>
      <w:hyperlink r:id="rId44">
        <w:r w:rsidR="00CE061A">
          <w:rPr>
            <w:rFonts w:ascii="Times New Roman" w:eastAsia="Times New Roman" w:hAnsi="Times New Roman" w:cs="Times New Roman"/>
            <w:color w:val="1155CC"/>
            <w:sz w:val="24"/>
            <w:szCs w:val="24"/>
            <w:highlight w:val="white"/>
            <w:u w:val="single"/>
          </w:rPr>
          <w:t>https://doi.org/10.1038/s41598-024-68164-6</w:t>
        </w:r>
      </w:hyperlink>
    </w:p>
    <w:p w14:paraId="3BBA5F16" w14:textId="77777777" w:rsidR="00CE061A" w:rsidRDefault="00E2685B">
      <w:pPr>
        <w:numPr>
          <w:ilvl w:val="0"/>
          <w:numId w:val="1"/>
        </w:numPr>
        <w:spacing w:line="360" w:lineRule="auto"/>
      </w:pPr>
      <w:proofErr w:type="spellStart"/>
      <w:r>
        <w:rPr>
          <w:rFonts w:ascii="Times New Roman" w:eastAsia="Times New Roman" w:hAnsi="Times New Roman" w:cs="Times New Roman"/>
          <w:color w:val="212121"/>
          <w:sz w:val="24"/>
          <w:szCs w:val="24"/>
          <w:highlight w:val="white"/>
        </w:rPr>
        <w:t>Shivanna</w:t>
      </w:r>
      <w:proofErr w:type="spellEnd"/>
      <w:r>
        <w:rPr>
          <w:rFonts w:ascii="Times New Roman" w:eastAsia="Times New Roman" w:hAnsi="Times New Roman" w:cs="Times New Roman"/>
          <w:color w:val="212121"/>
          <w:sz w:val="24"/>
          <w:szCs w:val="24"/>
          <w:highlight w:val="white"/>
        </w:rPr>
        <w:t xml:space="preserve">, K. R. (2022). </w:t>
      </w:r>
      <w:r>
        <w:rPr>
          <w:rFonts w:ascii="Times New Roman" w:eastAsia="Times New Roman" w:hAnsi="Times New Roman" w:cs="Times New Roman"/>
          <w:color w:val="212121"/>
          <w:sz w:val="24"/>
          <w:szCs w:val="24"/>
          <w:highlight w:val="white"/>
        </w:rPr>
        <w:t xml:space="preserve">Climate change and its impact on biodiversity and human welfare. </w:t>
      </w:r>
      <w:r>
        <w:rPr>
          <w:rFonts w:ascii="Times New Roman" w:eastAsia="Times New Roman" w:hAnsi="Times New Roman" w:cs="Times New Roman"/>
          <w:i/>
          <w:color w:val="212121"/>
          <w:sz w:val="24"/>
          <w:szCs w:val="24"/>
          <w:highlight w:val="white"/>
        </w:rPr>
        <w:t>Proceedings of the Indian National Science Academy. Part A, Physical Sciences, 88</w:t>
      </w:r>
      <w:r>
        <w:rPr>
          <w:rFonts w:ascii="Times New Roman" w:eastAsia="Times New Roman" w:hAnsi="Times New Roman" w:cs="Times New Roman"/>
          <w:color w:val="212121"/>
          <w:sz w:val="24"/>
          <w:szCs w:val="24"/>
          <w:highlight w:val="white"/>
        </w:rPr>
        <w:t>(2), 160–171.</w:t>
      </w:r>
      <w:hyperlink r:id="rId45">
        <w:r w:rsidR="00CE061A">
          <w:rPr>
            <w:rFonts w:ascii="Times New Roman" w:eastAsia="Times New Roman" w:hAnsi="Times New Roman" w:cs="Times New Roman"/>
            <w:color w:val="212121"/>
            <w:sz w:val="24"/>
            <w:szCs w:val="24"/>
            <w:highlight w:val="white"/>
          </w:rPr>
          <w:t xml:space="preserve"> </w:t>
        </w:r>
      </w:hyperlink>
      <w:hyperlink r:id="rId46">
        <w:r w:rsidR="00CE061A">
          <w:rPr>
            <w:rFonts w:ascii="Times New Roman" w:eastAsia="Times New Roman" w:hAnsi="Times New Roman" w:cs="Times New Roman"/>
            <w:color w:val="1155CC"/>
            <w:sz w:val="24"/>
            <w:szCs w:val="24"/>
            <w:highlight w:val="white"/>
            <w:u w:val="single"/>
          </w:rPr>
          <w:t>https://doi.org/10.1007/s43538-022-00073-6</w:t>
        </w:r>
      </w:hyperlink>
    </w:p>
    <w:p w14:paraId="77DE9127"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Tennison, I., </w:t>
      </w:r>
      <w:proofErr w:type="spellStart"/>
      <w:r>
        <w:rPr>
          <w:rFonts w:ascii="Times New Roman" w:eastAsia="Times New Roman" w:hAnsi="Times New Roman" w:cs="Times New Roman"/>
          <w:color w:val="212121"/>
          <w:sz w:val="24"/>
          <w:szCs w:val="24"/>
          <w:highlight w:val="white"/>
        </w:rPr>
        <w:t>Roschnik</w:t>
      </w:r>
      <w:proofErr w:type="spellEnd"/>
      <w:r>
        <w:rPr>
          <w:rFonts w:ascii="Times New Roman" w:eastAsia="Times New Roman" w:hAnsi="Times New Roman" w:cs="Times New Roman"/>
          <w:color w:val="212121"/>
          <w:sz w:val="24"/>
          <w:szCs w:val="24"/>
          <w:highlight w:val="white"/>
        </w:rPr>
        <w:t xml:space="preserve">, S., Ashby, B., Boyd, R., Hamilton, I., </w:t>
      </w:r>
      <w:proofErr w:type="spellStart"/>
      <w:r>
        <w:rPr>
          <w:rFonts w:ascii="Times New Roman" w:eastAsia="Times New Roman" w:hAnsi="Times New Roman" w:cs="Times New Roman"/>
          <w:color w:val="212121"/>
          <w:sz w:val="24"/>
          <w:szCs w:val="24"/>
          <w:highlight w:val="white"/>
        </w:rPr>
        <w:t>Oreszczyn</w:t>
      </w:r>
      <w:proofErr w:type="spellEnd"/>
      <w:r>
        <w:rPr>
          <w:rFonts w:ascii="Times New Roman" w:eastAsia="Times New Roman" w:hAnsi="Times New Roman" w:cs="Times New Roman"/>
          <w:color w:val="212121"/>
          <w:sz w:val="24"/>
          <w:szCs w:val="24"/>
          <w:highlight w:val="white"/>
        </w:rPr>
        <w:t xml:space="preserve">, T., Owen, A., Romanello, M., </w:t>
      </w:r>
      <w:proofErr w:type="spellStart"/>
      <w:r>
        <w:rPr>
          <w:rFonts w:ascii="Times New Roman" w:eastAsia="Times New Roman" w:hAnsi="Times New Roman" w:cs="Times New Roman"/>
          <w:color w:val="212121"/>
          <w:sz w:val="24"/>
          <w:szCs w:val="24"/>
          <w:highlight w:val="white"/>
        </w:rPr>
        <w:t>Ruyssevelt</w:t>
      </w:r>
      <w:proofErr w:type="spellEnd"/>
      <w:r>
        <w:rPr>
          <w:rFonts w:ascii="Times New Roman" w:eastAsia="Times New Roman" w:hAnsi="Times New Roman" w:cs="Times New Roman"/>
          <w:color w:val="212121"/>
          <w:sz w:val="24"/>
          <w:szCs w:val="24"/>
          <w:highlight w:val="white"/>
        </w:rPr>
        <w:t>, P., Sherman, J. D., Smith, A. Z. P., Steele, K., Watts, N., &amp; Eckelman</w:t>
      </w:r>
      <w:r>
        <w:rPr>
          <w:rFonts w:ascii="Times New Roman" w:eastAsia="Times New Roman" w:hAnsi="Times New Roman" w:cs="Times New Roman"/>
          <w:color w:val="212121"/>
          <w:sz w:val="24"/>
          <w:szCs w:val="24"/>
          <w:highlight w:val="white"/>
        </w:rPr>
        <w:t xml:space="preserve">, M. J. (2021). Health care's response to climate change: a carbon footprint assessment of the NHS in England. </w:t>
      </w:r>
      <w:r>
        <w:rPr>
          <w:rFonts w:ascii="Times New Roman" w:eastAsia="Times New Roman" w:hAnsi="Times New Roman" w:cs="Times New Roman"/>
          <w:i/>
          <w:color w:val="212121"/>
          <w:sz w:val="24"/>
          <w:szCs w:val="24"/>
          <w:highlight w:val="white"/>
        </w:rPr>
        <w:t>The Lancet. Planetary health, 5</w:t>
      </w:r>
      <w:r>
        <w:rPr>
          <w:rFonts w:ascii="Times New Roman" w:eastAsia="Times New Roman" w:hAnsi="Times New Roman" w:cs="Times New Roman"/>
          <w:color w:val="212121"/>
          <w:sz w:val="24"/>
          <w:szCs w:val="24"/>
          <w:highlight w:val="white"/>
        </w:rPr>
        <w:t>(2), e84–e92.</w:t>
      </w:r>
      <w:hyperlink r:id="rId47">
        <w:r w:rsidR="00CE061A">
          <w:rPr>
            <w:rFonts w:ascii="Times New Roman" w:eastAsia="Times New Roman" w:hAnsi="Times New Roman" w:cs="Times New Roman"/>
            <w:color w:val="212121"/>
            <w:sz w:val="24"/>
            <w:szCs w:val="24"/>
            <w:highlight w:val="white"/>
          </w:rPr>
          <w:t xml:space="preserve"> </w:t>
        </w:r>
      </w:hyperlink>
      <w:hyperlink r:id="rId48">
        <w:r w:rsidR="00CE061A">
          <w:rPr>
            <w:rFonts w:ascii="Times New Roman" w:eastAsia="Times New Roman" w:hAnsi="Times New Roman" w:cs="Times New Roman"/>
            <w:color w:val="1155CC"/>
            <w:sz w:val="24"/>
            <w:szCs w:val="24"/>
            <w:highlight w:val="white"/>
            <w:u w:val="single"/>
          </w:rPr>
          <w:t>https://doi.org/10.1016/S2542-5196(20)30271-0</w:t>
        </w:r>
      </w:hyperlink>
    </w:p>
    <w:p w14:paraId="30736DEB" w14:textId="77777777" w:rsidR="00CE061A" w:rsidRDefault="00E2685B">
      <w:pPr>
        <w:numPr>
          <w:ilvl w:val="0"/>
          <w:numId w:val="1"/>
        </w:num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Rocque, R. J., Beaudoin, C., </w:t>
      </w:r>
      <w:proofErr w:type="spellStart"/>
      <w:r>
        <w:rPr>
          <w:rFonts w:ascii="Times New Roman" w:eastAsia="Times New Roman" w:hAnsi="Times New Roman" w:cs="Times New Roman"/>
          <w:color w:val="212121"/>
          <w:sz w:val="24"/>
          <w:szCs w:val="24"/>
          <w:highlight w:val="white"/>
        </w:rPr>
        <w:t>Ndjaboue</w:t>
      </w:r>
      <w:proofErr w:type="spellEnd"/>
      <w:r>
        <w:rPr>
          <w:rFonts w:ascii="Times New Roman" w:eastAsia="Times New Roman" w:hAnsi="Times New Roman" w:cs="Times New Roman"/>
          <w:color w:val="212121"/>
          <w:sz w:val="24"/>
          <w:szCs w:val="24"/>
          <w:highlight w:val="white"/>
        </w:rPr>
        <w:t xml:space="preserve">, R., Cameron, L., Poirier-Bergeron, L., Poulin-Rheault, R. A., Fallon, C., </w:t>
      </w:r>
      <w:proofErr w:type="spellStart"/>
      <w:r>
        <w:rPr>
          <w:rFonts w:ascii="Times New Roman" w:eastAsia="Times New Roman" w:hAnsi="Times New Roman" w:cs="Times New Roman"/>
          <w:color w:val="212121"/>
          <w:sz w:val="24"/>
          <w:szCs w:val="24"/>
          <w:highlight w:val="white"/>
        </w:rPr>
        <w:t>Tricco</w:t>
      </w:r>
      <w:proofErr w:type="spellEnd"/>
      <w:r>
        <w:rPr>
          <w:rFonts w:ascii="Times New Roman" w:eastAsia="Times New Roman" w:hAnsi="Times New Roman" w:cs="Times New Roman"/>
          <w:color w:val="212121"/>
          <w:sz w:val="24"/>
          <w:szCs w:val="24"/>
          <w:highlight w:val="white"/>
        </w:rPr>
        <w:t xml:space="preserve">, A. C., &amp; Witteman, H. O. (2021). Health effects of climate </w:t>
      </w:r>
      <w:r>
        <w:rPr>
          <w:rFonts w:ascii="Times New Roman" w:eastAsia="Times New Roman" w:hAnsi="Times New Roman" w:cs="Times New Roman"/>
          <w:color w:val="212121"/>
          <w:sz w:val="24"/>
          <w:szCs w:val="24"/>
          <w:highlight w:val="white"/>
        </w:rPr>
        <w:t>change: an overview of systematic reviews. BMJ open, 11(6), e046333. https://doi.org/10.1136/bmjopen-2020-04633</w:t>
      </w:r>
    </w:p>
    <w:p w14:paraId="574CA7A9"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Watts, N., Amann, M., Arnell, N., </w:t>
      </w:r>
      <w:proofErr w:type="spellStart"/>
      <w:r>
        <w:rPr>
          <w:rFonts w:ascii="Times New Roman" w:eastAsia="Times New Roman" w:hAnsi="Times New Roman" w:cs="Times New Roman"/>
          <w:color w:val="212121"/>
          <w:sz w:val="24"/>
          <w:szCs w:val="24"/>
          <w:highlight w:val="white"/>
        </w:rPr>
        <w:t>Ayeb</w:t>
      </w:r>
      <w:proofErr w:type="spellEnd"/>
      <w:r>
        <w:rPr>
          <w:rFonts w:ascii="Times New Roman" w:eastAsia="Times New Roman" w:hAnsi="Times New Roman" w:cs="Times New Roman"/>
          <w:color w:val="212121"/>
          <w:sz w:val="24"/>
          <w:szCs w:val="24"/>
          <w:highlight w:val="white"/>
        </w:rPr>
        <w:t xml:space="preserve">-Karlsson, S., </w:t>
      </w:r>
      <w:proofErr w:type="spellStart"/>
      <w:r>
        <w:rPr>
          <w:rFonts w:ascii="Times New Roman" w:eastAsia="Times New Roman" w:hAnsi="Times New Roman" w:cs="Times New Roman"/>
          <w:color w:val="212121"/>
          <w:sz w:val="24"/>
          <w:szCs w:val="24"/>
          <w:highlight w:val="white"/>
        </w:rPr>
        <w:t>Belesova</w:t>
      </w:r>
      <w:proofErr w:type="spellEnd"/>
      <w:r>
        <w:rPr>
          <w:rFonts w:ascii="Times New Roman" w:eastAsia="Times New Roman" w:hAnsi="Times New Roman" w:cs="Times New Roman"/>
          <w:color w:val="212121"/>
          <w:sz w:val="24"/>
          <w:szCs w:val="24"/>
          <w:highlight w:val="white"/>
        </w:rPr>
        <w:t xml:space="preserve">, K., Berry, H., Bouley, T., Boykoff, M., </w:t>
      </w:r>
      <w:proofErr w:type="spellStart"/>
      <w:r>
        <w:rPr>
          <w:rFonts w:ascii="Times New Roman" w:eastAsia="Times New Roman" w:hAnsi="Times New Roman" w:cs="Times New Roman"/>
          <w:color w:val="212121"/>
          <w:sz w:val="24"/>
          <w:szCs w:val="24"/>
          <w:highlight w:val="white"/>
        </w:rPr>
        <w:t>Byass</w:t>
      </w:r>
      <w:proofErr w:type="spellEnd"/>
      <w:r>
        <w:rPr>
          <w:rFonts w:ascii="Times New Roman" w:eastAsia="Times New Roman" w:hAnsi="Times New Roman" w:cs="Times New Roman"/>
          <w:color w:val="212121"/>
          <w:sz w:val="24"/>
          <w:szCs w:val="24"/>
          <w:highlight w:val="white"/>
        </w:rPr>
        <w:t xml:space="preserve">, P., Cai, W., Campbell-Lendrum, D., Chambers, J., Daly, M., </w:t>
      </w:r>
      <w:proofErr w:type="spellStart"/>
      <w:r>
        <w:rPr>
          <w:rFonts w:ascii="Times New Roman" w:eastAsia="Times New Roman" w:hAnsi="Times New Roman" w:cs="Times New Roman"/>
          <w:color w:val="212121"/>
          <w:sz w:val="24"/>
          <w:szCs w:val="24"/>
          <w:highlight w:val="white"/>
        </w:rPr>
        <w:t>Dasandi</w:t>
      </w:r>
      <w:proofErr w:type="spellEnd"/>
      <w:r>
        <w:rPr>
          <w:rFonts w:ascii="Times New Roman" w:eastAsia="Times New Roman" w:hAnsi="Times New Roman" w:cs="Times New Roman"/>
          <w:color w:val="212121"/>
          <w:sz w:val="24"/>
          <w:szCs w:val="24"/>
          <w:highlight w:val="white"/>
        </w:rPr>
        <w:t xml:space="preserve">, N., Davies, M., </w:t>
      </w:r>
      <w:proofErr w:type="spellStart"/>
      <w:r>
        <w:rPr>
          <w:rFonts w:ascii="Times New Roman" w:eastAsia="Times New Roman" w:hAnsi="Times New Roman" w:cs="Times New Roman"/>
          <w:color w:val="212121"/>
          <w:sz w:val="24"/>
          <w:szCs w:val="24"/>
          <w:highlight w:val="white"/>
        </w:rPr>
        <w:t>Depoux</w:t>
      </w:r>
      <w:proofErr w:type="spellEnd"/>
      <w:r>
        <w:rPr>
          <w:rFonts w:ascii="Times New Roman" w:eastAsia="Times New Roman" w:hAnsi="Times New Roman" w:cs="Times New Roman"/>
          <w:color w:val="212121"/>
          <w:sz w:val="24"/>
          <w:szCs w:val="24"/>
          <w:highlight w:val="white"/>
        </w:rPr>
        <w:t>, A., Dominguez-Salas, P., Drummond, P., Ebi, K. L., Ekins, P., … Costello, A. (2018). The 2018 report of the Lancet Countdown on Health and climate change: shaping</w:t>
      </w:r>
      <w:r>
        <w:rPr>
          <w:rFonts w:ascii="Times New Roman" w:eastAsia="Times New Roman" w:hAnsi="Times New Roman" w:cs="Times New Roman"/>
          <w:color w:val="212121"/>
          <w:sz w:val="24"/>
          <w:szCs w:val="24"/>
          <w:highlight w:val="white"/>
        </w:rPr>
        <w:t xml:space="preserve"> the health of nations for centuries to come. </w:t>
      </w:r>
      <w:r>
        <w:rPr>
          <w:rFonts w:ascii="Times New Roman" w:eastAsia="Times New Roman" w:hAnsi="Times New Roman" w:cs="Times New Roman"/>
          <w:i/>
          <w:color w:val="212121"/>
          <w:sz w:val="24"/>
          <w:szCs w:val="24"/>
          <w:highlight w:val="white"/>
        </w:rPr>
        <w:t>Lancet (London, England), 392</w:t>
      </w:r>
      <w:r>
        <w:rPr>
          <w:rFonts w:ascii="Times New Roman" w:eastAsia="Times New Roman" w:hAnsi="Times New Roman" w:cs="Times New Roman"/>
          <w:color w:val="212121"/>
          <w:sz w:val="24"/>
          <w:szCs w:val="24"/>
          <w:highlight w:val="white"/>
        </w:rPr>
        <w:t>(10163), 2479–2514.</w:t>
      </w:r>
      <w:hyperlink r:id="rId49">
        <w:r w:rsidR="00CE061A">
          <w:rPr>
            <w:rFonts w:ascii="Times New Roman" w:eastAsia="Times New Roman" w:hAnsi="Times New Roman" w:cs="Times New Roman"/>
            <w:color w:val="212121"/>
            <w:sz w:val="24"/>
            <w:szCs w:val="24"/>
            <w:highlight w:val="white"/>
          </w:rPr>
          <w:t xml:space="preserve"> </w:t>
        </w:r>
      </w:hyperlink>
      <w:hyperlink r:id="rId50">
        <w:r w:rsidR="00CE061A">
          <w:rPr>
            <w:rFonts w:ascii="Times New Roman" w:eastAsia="Times New Roman" w:hAnsi="Times New Roman" w:cs="Times New Roman"/>
            <w:color w:val="1155CC"/>
            <w:sz w:val="24"/>
            <w:szCs w:val="24"/>
            <w:highlight w:val="white"/>
            <w:u w:val="single"/>
          </w:rPr>
          <w:t>https://doi.org/10.1016/S0140-6736(18)32594-7</w:t>
        </w:r>
      </w:hyperlink>
    </w:p>
    <w:p w14:paraId="32C8EFB0"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Xu, Z., Sun, D. W., Zeng, X. A., Liu, D., &amp; Pu, H. (2015). Research developments in methods to reduce the carbon footprint of the food system: a review. </w:t>
      </w:r>
      <w:r>
        <w:rPr>
          <w:rFonts w:ascii="Times New Roman" w:eastAsia="Times New Roman" w:hAnsi="Times New Roman" w:cs="Times New Roman"/>
          <w:i/>
          <w:color w:val="212121"/>
          <w:sz w:val="24"/>
          <w:szCs w:val="24"/>
          <w:highlight w:val="white"/>
        </w:rPr>
        <w:t>Critical reviews in food science and nutrition, 55</w:t>
      </w:r>
      <w:r>
        <w:rPr>
          <w:rFonts w:ascii="Times New Roman" w:eastAsia="Times New Roman" w:hAnsi="Times New Roman" w:cs="Times New Roman"/>
          <w:color w:val="212121"/>
          <w:sz w:val="24"/>
          <w:szCs w:val="24"/>
          <w:highlight w:val="white"/>
        </w:rPr>
        <w:t>(9), 1270–1286. https://doi.org/10.108</w:t>
      </w:r>
      <w:r>
        <w:rPr>
          <w:rFonts w:ascii="Times New Roman" w:eastAsia="Times New Roman" w:hAnsi="Times New Roman" w:cs="Times New Roman"/>
          <w:color w:val="212121"/>
          <w:sz w:val="24"/>
          <w:szCs w:val="24"/>
          <w:highlight w:val="white"/>
        </w:rPr>
        <w:t>0/10408398.2013.821593</w:t>
      </w:r>
    </w:p>
    <w:p w14:paraId="19E80245" w14:textId="0AB01717" w:rsidR="00CE061A" w:rsidRPr="00BE371C" w:rsidRDefault="00E2685B" w:rsidP="00BE371C">
      <w:pPr>
        <w:numPr>
          <w:ilvl w:val="0"/>
          <w:numId w:val="1"/>
        </w:numPr>
        <w:spacing w:after="240" w:line="360" w:lineRule="auto"/>
      </w:pPr>
      <w:r>
        <w:rPr>
          <w:rFonts w:ascii="Times New Roman" w:eastAsia="Times New Roman" w:hAnsi="Times New Roman" w:cs="Times New Roman"/>
          <w:color w:val="212121"/>
          <w:sz w:val="24"/>
          <w:szCs w:val="24"/>
          <w:highlight w:val="white"/>
        </w:rPr>
        <w:t xml:space="preserve">Zhao, Q., Yu, P., Mahendran, R., Huang, W., Gao, Y., Yang, Z., Ye, T., Wen, B., Wu, Y., Li, S., &amp; Guo, Y. (2022). Global climate change and human health: Pathways and possible solutions. </w:t>
      </w:r>
      <w:r>
        <w:rPr>
          <w:rFonts w:ascii="Times New Roman" w:eastAsia="Times New Roman" w:hAnsi="Times New Roman" w:cs="Times New Roman"/>
          <w:i/>
          <w:color w:val="212121"/>
          <w:sz w:val="24"/>
          <w:szCs w:val="24"/>
          <w:highlight w:val="white"/>
        </w:rPr>
        <w:t>Eco-Environment &amp; Health, 1</w:t>
      </w:r>
      <w:r>
        <w:rPr>
          <w:rFonts w:ascii="Times New Roman" w:eastAsia="Times New Roman" w:hAnsi="Times New Roman" w:cs="Times New Roman"/>
          <w:color w:val="212121"/>
          <w:sz w:val="24"/>
          <w:szCs w:val="24"/>
          <w:highlight w:val="white"/>
        </w:rPr>
        <w:t>(2), 53–62.</w:t>
      </w:r>
      <w:hyperlink r:id="rId51">
        <w:r w:rsidR="00CE061A">
          <w:rPr>
            <w:rFonts w:ascii="Times New Roman" w:eastAsia="Times New Roman" w:hAnsi="Times New Roman" w:cs="Times New Roman"/>
            <w:color w:val="212121"/>
            <w:sz w:val="24"/>
            <w:szCs w:val="24"/>
            <w:highlight w:val="white"/>
          </w:rPr>
          <w:t xml:space="preserve"> </w:t>
        </w:r>
      </w:hyperlink>
      <w:hyperlink r:id="rId52">
        <w:r w:rsidR="00CE061A">
          <w:rPr>
            <w:rFonts w:ascii="Times New Roman" w:eastAsia="Times New Roman" w:hAnsi="Times New Roman" w:cs="Times New Roman"/>
            <w:color w:val="1155CC"/>
            <w:sz w:val="24"/>
            <w:szCs w:val="24"/>
            <w:highlight w:val="white"/>
            <w:u w:val="single"/>
          </w:rPr>
          <w:t>https://doi.org/10.1016/j.eehl.2022.04.004</w:t>
        </w:r>
      </w:hyperlink>
    </w:p>
    <w:sectPr w:rsidR="00CE061A" w:rsidRPr="00BE371C">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8760" w14:textId="77777777" w:rsidR="00E2685B" w:rsidRDefault="00E2685B" w:rsidP="00F75AAB">
      <w:pPr>
        <w:spacing w:line="240" w:lineRule="auto"/>
      </w:pPr>
      <w:r>
        <w:separator/>
      </w:r>
    </w:p>
  </w:endnote>
  <w:endnote w:type="continuationSeparator" w:id="0">
    <w:p w14:paraId="2DE3C8C8" w14:textId="77777777" w:rsidR="00E2685B" w:rsidRDefault="00E2685B" w:rsidP="00F75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A034" w14:textId="77777777" w:rsidR="00F75AAB" w:rsidRDefault="00F75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22FED" w14:textId="77777777" w:rsidR="00F75AAB" w:rsidRDefault="00F75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DA1F1" w14:textId="77777777" w:rsidR="00F75AAB" w:rsidRDefault="00F7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118EE" w14:textId="77777777" w:rsidR="00E2685B" w:rsidRDefault="00E2685B" w:rsidP="00F75AAB">
      <w:pPr>
        <w:spacing w:line="240" w:lineRule="auto"/>
      </w:pPr>
      <w:r>
        <w:separator/>
      </w:r>
    </w:p>
  </w:footnote>
  <w:footnote w:type="continuationSeparator" w:id="0">
    <w:p w14:paraId="290A2DDB" w14:textId="77777777" w:rsidR="00E2685B" w:rsidRDefault="00E2685B" w:rsidP="00F75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8077" w14:textId="5BDDDC1C" w:rsidR="00F75AAB" w:rsidRDefault="00F75AAB">
    <w:pPr>
      <w:pStyle w:val="Header"/>
    </w:pPr>
    <w:r>
      <w:rPr>
        <w:noProof/>
      </w:rPr>
      <w:pict w14:anchorId="7E4C9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61679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7A21" w14:textId="6B6A265A" w:rsidR="00F75AAB" w:rsidRDefault="00F75AAB">
    <w:pPr>
      <w:pStyle w:val="Header"/>
    </w:pPr>
    <w:r>
      <w:rPr>
        <w:noProof/>
      </w:rPr>
      <w:pict w14:anchorId="39F0F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61679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36B8" w14:textId="3DE7B3B4" w:rsidR="00F75AAB" w:rsidRDefault="00F75AAB">
    <w:pPr>
      <w:pStyle w:val="Header"/>
    </w:pPr>
    <w:r>
      <w:rPr>
        <w:noProof/>
      </w:rPr>
      <w:pict w14:anchorId="11A33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61679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E7C91"/>
    <w:multiLevelType w:val="multilevel"/>
    <w:tmpl w:val="59769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6E5B5C"/>
    <w:multiLevelType w:val="hybridMultilevel"/>
    <w:tmpl w:val="2AD22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0F7843"/>
    <w:multiLevelType w:val="multilevel"/>
    <w:tmpl w:val="D472A7AA"/>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DD84D5A"/>
    <w:multiLevelType w:val="multilevel"/>
    <w:tmpl w:val="5B5A15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61A"/>
    <w:rsid w:val="0002706A"/>
    <w:rsid w:val="00032663"/>
    <w:rsid w:val="00040127"/>
    <w:rsid w:val="00244F43"/>
    <w:rsid w:val="003432AC"/>
    <w:rsid w:val="003A5D0E"/>
    <w:rsid w:val="0078409E"/>
    <w:rsid w:val="00966AB0"/>
    <w:rsid w:val="00AB6E9A"/>
    <w:rsid w:val="00BE371C"/>
    <w:rsid w:val="00C913B8"/>
    <w:rsid w:val="00CC5E83"/>
    <w:rsid w:val="00CE061A"/>
    <w:rsid w:val="00E2685B"/>
    <w:rsid w:val="00E26A28"/>
    <w:rsid w:val="00F75A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A21031"/>
  <w15:docId w15:val="{4341614A-FD4E-7F4B-BCEF-A0E26341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8409E"/>
    <w:pPr>
      <w:ind w:left="720"/>
      <w:contextualSpacing/>
    </w:pPr>
  </w:style>
  <w:style w:type="character" w:styleId="Hyperlink">
    <w:name w:val="Hyperlink"/>
    <w:basedOn w:val="DefaultParagraphFont"/>
    <w:uiPriority w:val="99"/>
    <w:unhideWhenUsed/>
    <w:rsid w:val="003432AC"/>
    <w:rPr>
      <w:color w:val="0000FF" w:themeColor="hyperlink"/>
      <w:u w:val="single"/>
    </w:rPr>
  </w:style>
  <w:style w:type="character" w:styleId="UnresolvedMention">
    <w:name w:val="Unresolved Mention"/>
    <w:basedOn w:val="DefaultParagraphFont"/>
    <w:uiPriority w:val="99"/>
    <w:semiHidden/>
    <w:unhideWhenUsed/>
    <w:rsid w:val="003432AC"/>
    <w:rPr>
      <w:color w:val="605E5C"/>
      <w:shd w:val="clear" w:color="auto" w:fill="E1DFDD"/>
    </w:rPr>
  </w:style>
  <w:style w:type="paragraph" w:styleId="Header">
    <w:name w:val="header"/>
    <w:basedOn w:val="Normal"/>
    <w:link w:val="HeaderChar"/>
    <w:uiPriority w:val="99"/>
    <w:unhideWhenUsed/>
    <w:rsid w:val="00F75AAB"/>
    <w:pPr>
      <w:tabs>
        <w:tab w:val="center" w:pos="4680"/>
        <w:tab w:val="right" w:pos="9360"/>
      </w:tabs>
      <w:spacing w:line="240" w:lineRule="auto"/>
    </w:pPr>
  </w:style>
  <w:style w:type="character" w:customStyle="1" w:styleId="HeaderChar">
    <w:name w:val="Header Char"/>
    <w:basedOn w:val="DefaultParagraphFont"/>
    <w:link w:val="Header"/>
    <w:uiPriority w:val="99"/>
    <w:rsid w:val="00F75AAB"/>
  </w:style>
  <w:style w:type="paragraph" w:styleId="Footer">
    <w:name w:val="footer"/>
    <w:basedOn w:val="Normal"/>
    <w:link w:val="FooterChar"/>
    <w:uiPriority w:val="99"/>
    <w:unhideWhenUsed/>
    <w:rsid w:val="00F75AAB"/>
    <w:pPr>
      <w:tabs>
        <w:tab w:val="center" w:pos="4680"/>
        <w:tab w:val="right" w:pos="9360"/>
      </w:tabs>
      <w:spacing w:line="240" w:lineRule="auto"/>
    </w:pPr>
  </w:style>
  <w:style w:type="character" w:customStyle="1" w:styleId="FooterChar">
    <w:name w:val="Footer Char"/>
    <w:basedOn w:val="DefaultParagraphFont"/>
    <w:link w:val="Footer"/>
    <w:uiPriority w:val="99"/>
    <w:rsid w:val="00F7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1126/science.aah5015" TargetMode="External"/><Relationship Id="rId26" Type="http://schemas.openxmlformats.org/officeDocument/2006/relationships/hyperlink" Target="https://doi.org/10.1098/rsta.2018.0066" TargetMode="External"/><Relationship Id="rId39" Type="http://schemas.openxmlformats.org/officeDocument/2006/relationships/hyperlink" Target="https://doi.org/10.1136/bmjopen-2020-046333" TargetMode="External"/><Relationship Id="rId21" Type="http://schemas.openxmlformats.org/officeDocument/2006/relationships/hyperlink" Target="https://doi.org/10.1136/bmj.l6758" TargetMode="External"/><Relationship Id="rId34" Type="http://schemas.openxmlformats.org/officeDocument/2006/relationships/hyperlink" Target="https://doi.org/10.1111/bioe.13042" TargetMode="External"/><Relationship Id="rId42" Type="http://schemas.openxmlformats.org/officeDocument/2006/relationships/hyperlink" Target="https://doi.org/10.1038/nclimate3345" TargetMode="External"/><Relationship Id="rId47" Type="http://schemas.openxmlformats.org/officeDocument/2006/relationships/hyperlink" Target="https://doi.org/10.1016/S2542-5196(20)30271-0" TargetMode="External"/><Relationship Id="rId50" Type="http://schemas.openxmlformats.org/officeDocument/2006/relationships/hyperlink" Target="https://doi.org/10.1016/S0140-6736(18)32594-7"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8/s41591-023-02438-w" TargetMode="External"/><Relationship Id="rId29" Type="http://schemas.openxmlformats.org/officeDocument/2006/relationships/hyperlink" Target="https://doi.org/10.1016/j.zefq.2020.07.008" TargetMode="External"/><Relationship Id="rId11" Type="http://schemas.openxmlformats.org/officeDocument/2006/relationships/image" Target="media/image4.png"/><Relationship Id="rId24" Type="http://schemas.openxmlformats.org/officeDocument/2006/relationships/hyperlink" Target="https://doi.org/10.1007/s11356-016-6103-9" TargetMode="External"/><Relationship Id="rId32" Type="http://schemas.openxmlformats.org/officeDocument/2006/relationships/hyperlink" Target="https://doi.org/10.15171/ijoem.2017.985" TargetMode="External"/><Relationship Id="rId37" Type="http://schemas.openxmlformats.org/officeDocument/2006/relationships/hyperlink" Target="https://doi.org/10.1021/acs.est.4c04291" TargetMode="External"/><Relationship Id="rId40" Type="http://schemas.openxmlformats.org/officeDocument/2006/relationships/hyperlink" Target="https://doi.org/10.1136/bmjopen-2020-046333" TargetMode="External"/><Relationship Id="rId45" Type="http://schemas.openxmlformats.org/officeDocument/2006/relationships/hyperlink" Target="https://doi.org/10.1007/s43538-022-00073-6"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doi.org/10.3390/ijerph19211374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136/bmj.l6758" TargetMode="External"/><Relationship Id="rId27" Type="http://schemas.openxmlformats.org/officeDocument/2006/relationships/hyperlink" Target="https://doi.org/10.1186/s12889-020-09503-w" TargetMode="External"/><Relationship Id="rId30" Type="http://schemas.openxmlformats.org/officeDocument/2006/relationships/hyperlink" Target="https://doi.org/10.1016/j.zefq.2020.07.008" TargetMode="External"/><Relationship Id="rId35" Type="http://schemas.openxmlformats.org/officeDocument/2006/relationships/hyperlink" Target="https://doi.org/10.1177/0036850418823397" TargetMode="External"/><Relationship Id="rId43" Type="http://schemas.openxmlformats.org/officeDocument/2006/relationships/hyperlink" Target="https://doi.org/10.1038/s41598-024-68164-6" TargetMode="External"/><Relationship Id="rId48" Type="http://schemas.openxmlformats.org/officeDocument/2006/relationships/hyperlink" Target="https://doi.org/10.1016/S2542-5196(20)30271-0"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doi.org/10.1016/j.eehl.2022.04.004"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1126/science.aah5015" TargetMode="External"/><Relationship Id="rId25" Type="http://schemas.openxmlformats.org/officeDocument/2006/relationships/hyperlink" Target="https://doi.org/10.1098/rsta.2018.0066" TargetMode="External"/><Relationship Id="rId33" Type="http://schemas.openxmlformats.org/officeDocument/2006/relationships/hyperlink" Target="https://doi.org/10.1111/bioe.13042" TargetMode="External"/><Relationship Id="rId38" Type="http://schemas.openxmlformats.org/officeDocument/2006/relationships/hyperlink" Target="https://doi.org/10.1021/acs.est.4c04291" TargetMode="External"/><Relationship Id="rId46" Type="http://schemas.openxmlformats.org/officeDocument/2006/relationships/hyperlink" Target="https://doi.org/10.1007/s43538-022-00073-6" TargetMode="External"/><Relationship Id="rId59" Type="http://schemas.openxmlformats.org/officeDocument/2006/relationships/fontTable" Target="fontTable.xml"/><Relationship Id="rId20" Type="http://schemas.openxmlformats.org/officeDocument/2006/relationships/hyperlink" Target="https://doi.org/10.3390/ijerph192113744" TargetMode="External"/><Relationship Id="rId41" Type="http://schemas.openxmlformats.org/officeDocument/2006/relationships/hyperlink" Target="https://doi.org/10.1038/nclimate3345"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38/s41591-023-02438-w" TargetMode="External"/><Relationship Id="rId23" Type="http://schemas.openxmlformats.org/officeDocument/2006/relationships/hyperlink" Target="https://doi.org/10.1007/s11356-016-6103-9" TargetMode="External"/><Relationship Id="rId28" Type="http://schemas.openxmlformats.org/officeDocument/2006/relationships/hyperlink" Target="https://doi.org/10.1186/s12889-020-09503-w" TargetMode="External"/><Relationship Id="rId36" Type="http://schemas.openxmlformats.org/officeDocument/2006/relationships/hyperlink" Target="https://doi.org/10.1177/0036850418823397" TargetMode="External"/><Relationship Id="rId49" Type="http://schemas.openxmlformats.org/officeDocument/2006/relationships/hyperlink" Target="https://doi.org/10.1016/S0140-6736(18)32594-7" TargetMode="External"/><Relationship Id="rId57"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hyperlink" Target="https://doi.org/10.15171/ijoem.2017.985" TargetMode="External"/><Relationship Id="rId44" Type="http://schemas.openxmlformats.org/officeDocument/2006/relationships/hyperlink" Target="https://doi.org/10.1038/s41598-024-68164-6" TargetMode="External"/><Relationship Id="rId52" Type="http://schemas.openxmlformats.org/officeDocument/2006/relationships/hyperlink" Target="https://doi.org/10.1016/j.eehl.2022.04.004"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KhWKeoybe3vjte9UK7dLP3I/ww==">CgMxLjAyCGguZ2pkZ3hzMgloLjMwajB6bGw4AHIhMTM2dUV1VGduc0NfMkNuN01zZ05oWWVLRzF6R0c3cS1T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4167</Words>
  <Characters>23754</Characters>
  <Application>Microsoft Office Word</Application>
  <DocSecurity>0</DocSecurity>
  <Lines>197</Lines>
  <Paragraphs>55</Paragraphs>
  <ScaleCrop>false</ScaleCrop>
  <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12</cp:revision>
  <cp:lastPrinted>2025-04-30T07:33:00Z</cp:lastPrinted>
  <dcterms:created xsi:type="dcterms:W3CDTF">2025-04-03T10:44:00Z</dcterms:created>
  <dcterms:modified xsi:type="dcterms:W3CDTF">2025-05-14T10:56:00Z</dcterms:modified>
</cp:coreProperties>
</file>