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D3C62" w14:textId="77777777" w:rsidR="0005104D" w:rsidRDefault="00867FD8">
      <w:pPr>
        <w:pStyle w:val="Heading3"/>
        <w:keepNext w:val="0"/>
        <w:keepLines w:val="0"/>
        <w:spacing w:before="0" w:after="0" w:line="360" w:lineRule="auto"/>
        <w:jc w:val="both"/>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Evaluating the Impact of Environmental Policies on Carbon Footprint Reduction: A Global Approach to Climate Change Mitigation</w:t>
      </w:r>
    </w:p>
    <w:p w14:paraId="36575237" w14:textId="77777777" w:rsidR="008D3EBC" w:rsidRDefault="008D3EBC">
      <w:pPr>
        <w:spacing w:line="360" w:lineRule="auto"/>
        <w:jc w:val="both"/>
        <w:rPr>
          <w:rFonts w:ascii="Times New Roman" w:eastAsia="Times New Roman" w:hAnsi="Times New Roman" w:cs="Times New Roman"/>
          <w:sz w:val="24"/>
          <w:szCs w:val="24"/>
        </w:rPr>
      </w:pPr>
    </w:p>
    <w:p w14:paraId="672AB695" w14:textId="77777777" w:rsidR="0005104D" w:rsidRDefault="00867FD8">
      <w:pPr>
        <w:pStyle w:val="Heading4"/>
        <w:keepNext w:val="0"/>
        <w:keepLines w:val="0"/>
        <w:spacing w:before="0" w:after="0" w:line="360" w:lineRule="auto"/>
        <w:jc w:val="both"/>
        <w:rPr>
          <w:rFonts w:ascii="Times New Roman" w:eastAsia="Times New Roman" w:hAnsi="Times New Roman" w:cs="Times New Roman"/>
          <w:b/>
          <w:color w:val="000000"/>
        </w:rPr>
      </w:pPr>
      <w:bookmarkStart w:id="1" w:name="_heading=h.30j0zll" w:colFirst="0" w:colLast="0"/>
      <w:bookmarkEnd w:id="1"/>
      <w:r>
        <w:rPr>
          <w:rFonts w:ascii="Times New Roman" w:eastAsia="Times New Roman" w:hAnsi="Times New Roman" w:cs="Times New Roman"/>
          <w:b/>
          <w:color w:val="000000"/>
        </w:rPr>
        <w:t>ABSTRACT</w:t>
      </w:r>
    </w:p>
    <w:p w14:paraId="6CAB6212" w14:textId="77777777" w:rsidR="0005104D" w:rsidRDefault="00867FD8">
      <w:pPr>
        <w:pStyle w:val="Heading4"/>
        <w:keepNext w:val="0"/>
        <w:keepLines w:val="0"/>
        <w:spacing w:before="0"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current global average carbon emission has called for the formulation and implementation of efficient policies to reduce CO</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xml:space="preserve"> emissions. This study assessed the performance of the four interventions of carbon price, renewable electricity, deforestation, and energy intensity in 6 regions from 2000-2020. The aim was to assess their effectiveness concerning the reduction of carbon</w:t>
      </w:r>
      <w:r>
        <w:rPr>
          <w:rFonts w:ascii="Times New Roman" w:eastAsia="Times New Roman" w:hAnsi="Times New Roman" w:cs="Times New Roman"/>
          <w:color w:val="000000"/>
        </w:rPr>
        <w:t xml:space="preserve"> emissions (CE) and determine trends and potentialities for further climate change management. Data from six regions, Germany, Brazil, Chin</w:t>
      </w:r>
      <w:bookmarkStart w:id="2" w:name="_GoBack"/>
      <w:bookmarkEnd w:id="2"/>
      <w:r>
        <w:rPr>
          <w:rFonts w:ascii="Times New Roman" w:eastAsia="Times New Roman" w:hAnsi="Times New Roman" w:cs="Times New Roman"/>
          <w:color w:val="000000"/>
        </w:rPr>
        <w:t>a, South Africa, the United States, and the European Union (EU</w:t>
      </w:r>
      <w:proofErr w:type="gramStart"/>
      <w:r>
        <w:rPr>
          <w:rFonts w:ascii="Times New Roman" w:eastAsia="Times New Roman" w:hAnsi="Times New Roman" w:cs="Times New Roman"/>
          <w:color w:val="000000"/>
        </w:rPr>
        <w:t>),  were</w:t>
      </w:r>
      <w:proofErr w:type="gramEnd"/>
      <w:r>
        <w:rPr>
          <w:rFonts w:ascii="Times New Roman" w:eastAsia="Times New Roman" w:hAnsi="Times New Roman" w:cs="Times New Roman"/>
          <w:color w:val="000000"/>
        </w:rPr>
        <w:t xml:space="preserve"> used to measure the CO₂ emission reduction con</w:t>
      </w:r>
      <w:r>
        <w:rPr>
          <w:rFonts w:ascii="Times New Roman" w:eastAsia="Times New Roman" w:hAnsi="Times New Roman" w:cs="Times New Roman"/>
          <w:color w:val="000000"/>
        </w:rPr>
        <w:t>tribution of each policy. Germany achieved 28 % by an uptake in Renewable Energy (RE), which was 30 %, and carbon pricing policy, which was 25 %. Brazil’s reduction was in the range of 12%, with deforestation policies accounting for 18%, while China, reduc</w:t>
      </w:r>
      <w:r>
        <w:rPr>
          <w:rFonts w:ascii="Times New Roman" w:eastAsia="Times New Roman" w:hAnsi="Times New Roman" w:cs="Times New Roman"/>
          <w:color w:val="000000"/>
        </w:rPr>
        <w:t>ed emissions in the range of 14% mainly through RE, which accounted for 18%. South Africa realized a 10 % reduction driven, by a balanced input from each of the 4 measures. The United States achieved an efficiency improvement of 18% mainly due to the carbo</w:t>
      </w:r>
      <w:r>
        <w:rPr>
          <w:rFonts w:ascii="Times New Roman" w:eastAsia="Times New Roman" w:hAnsi="Times New Roman" w:cs="Times New Roman"/>
          <w:color w:val="000000"/>
        </w:rPr>
        <w:t xml:space="preserve">n price and RE sources. These main findings give useful information about the global effectiveness of the main policies aimed at decreasing CO </w:t>
      </w:r>
      <w:proofErr w:type="gramStart"/>
      <w:r>
        <w:rPr>
          <w:rFonts w:ascii="Times New Roman" w:eastAsia="Times New Roman" w:hAnsi="Times New Roman" w:cs="Times New Roman"/>
          <w:color w:val="000000"/>
        </w:rPr>
        <w:t>_{</w:t>
      </w:r>
      <w:proofErr w:type="gramEnd"/>
      <w:r>
        <w:rPr>
          <w:rFonts w:ascii="Times New Roman" w:eastAsia="Times New Roman" w:hAnsi="Times New Roman" w:cs="Times New Roman"/>
          <w:color w:val="000000"/>
        </w:rPr>
        <w:t>2} emissions and may serve as a reference for creating further climate change policies.</w:t>
      </w:r>
    </w:p>
    <w:p w14:paraId="05DE349E" w14:textId="77777777" w:rsidR="0005104D" w:rsidRDefault="0005104D">
      <w:pPr>
        <w:pStyle w:val="Heading4"/>
        <w:keepNext w:val="0"/>
        <w:keepLines w:val="0"/>
        <w:spacing w:before="0" w:after="0" w:line="360" w:lineRule="auto"/>
        <w:jc w:val="both"/>
        <w:rPr>
          <w:rFonts w:ascii="Times New Roman" w:eastAsia="Times New Roman" w:hAnsi="Times New Roman" w:cs="Times New Roman"/>
          <w:b/>
          <w:color w:val="000000"/>
        </w:rPr>
      </w:pPr>
    </w:p>
    <w:p w14:paraId="3895506A" w14:textId="77777777" w:rsidR="0005104D" w:rsidRDefault="00867FD8">
      <w:pPr>
        <w:pStyle w:val="Heading4"/>
        <w:keepNext w:val="0"/>
        <w:keepLines w:val="0"/>
        <w:spacing w:before="0" w:after="0" w:line="360" w:lineRule="auto"/>
        <w:jc w:val="both"/>
        <w:rPr>
          <w:rFonts w:ascii="Times New Roman" w:eastAsia="Times New Roman" w:hAnsi="Times New Roman" w:cs="Times New Roman"/>
          <w:color w:val="000000"/>
        </w:rPr>
      </w:pPr>
      <w:bookmarkStart w:id="3" w:name="_heading=h.1fob9te" w:colFirst="0" w:colLast="0"/>
      <w:bookmarkEnd w:id="3"/>
      <w:r>
        <w:rPr>
          <w:rFonts w:ascii="Times New Roman" w:eastAsia="Times New Roman" w:hAnsi="Times New Roman" w:cs="Times New Roman"/>
          <w:b/>
          <w:color w:val="000000"/>
        </w:rPr>
        <w:t xml:space="preserve">Keywords: </w:t>
      </w:r>
      <w:r>
        <w:rPr>
          <w:rFonts w:ascii="Times New Roman" w:eastAsia="Times New Roman" w:hAnsi="Times New Roman" w:cs="Times New Roman"/>
          <w:color w:val="000000"/>
        </w:rPr>
        <w:t>Carbonizing,</w:t>
      </w:r>
      <w:r>
        <w:rPr>
          <w:rFonts w:ascii="Times New Roman" w:eastAsia="Times New Roman" w:hAnsi="Times New Roman" w:cs="Times New Roman"/>
          <w:color w:val="000000"/>
        </w:rPr>
        <w:t xml:space="preserve"> Renewables, Policies on deforestation, Energy efficiency, Carbon Footprint</w:t>
      </w:r>
    </w:p>
    <w:p w14:paraId="533AC321" w14:textId="77777777" w:rsidR="0005104D" w:rsidRDefault="00867FD8">
      <w:pPr>
        <w:pStyle w:val="Heading4"/>
        <w:keepNext w:val="0"/>
        <w:keepLines w:val="0"/>
        <w:spacing w:before="0" w:after="0" w:line="360" w:lineRule="auto"/>
        <w:jc w:val="both"/>
        <w:rPr>
          <w:rFonts w:ascii="Times New Roman" w:eastAsia="Times New Roman" w:hAnsi="Times New Roman" w:cs="Times New Roman"/>
          <w:b/>
          <w:color w:val="000000"/>
        </w:rPr>
      </w:pPr>
      <w:bookmarkStart w:id="4" w:name="_heading=h.3znysh7" w:colFirst="0" w:colLast="0"/>
      <w:bookmarkEnd w:id="4"/>
      <w:r>
        <w:rPr>
          <w:rFonts w:ascii="Times New Roman" w:eastAsia="Times New Roman" w:hAnsi="Times New Roman" w:cs="Times New Roman"/>
          <w:b/>
          <w:color w:val="000000"/>
        </w:rPr>
        <w:br/>
        <w:t xml:space="preserve">INTRODUCTION </w:t>
      </w:r>
    </w:p>
    <w:p w14:paraId="105CB3EA" w14:textId="77777777" w:rsidR="0005104D" w:rsidRDefault="00867FD8">
      <w:pPr>
        <w:pStyle w:val="Heading4"/>
        <w:keepNext w:val="0"/>
        <w:keepLines w:val="0"/>
        <w:spacing w:before="0"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Global warming (GW) continues to be one of the world’s biggest social issues in the 21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century due to emissions of greenhouse gasses (GHGs) and consequently a rise</w:t>
      </w:r>
      <w:r>
        <w:rPr>
          <w:rFonts w:ascii="Times New Roman" w:eastAsia="Times New Roman" w:hAnsi="Times New Roman" w:cs="Times New Roman"/>
          <w:color w:val="000000"/>
        </w:rPr>
        <w:t xml:space="preserve"> in global temperatures. Greenhouse emissions such as SO</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xml:space="preserve"> from the burning of fossil fuels, CO</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xml:space="preserve"> emissions from deforestation, and industrial processes (Abbass et al., 2022). Integrating the Intergovernmental Panel on Climate Change (IPCC) with the Life Cyc</w:t>
      </w:r>
      <w:r>
        <w:rPr>
          <w:rFonts w:ascii="Times New Roman" w:eastAsia="Times New Roman" w:hAnsi="Times New Roman" w:cs="Times New Roman"/>
          <w:color w:val="000000"/>
        </w:rPr>
        <w:t>le Assessment (LCA) can indicate that CO</w:t>
      </w:r>
      <w:r>
        <w:rPr>
          <w:rFonts w:ascii="Times New Roman" w:eastAsia="Times New Roman" w:hAnsi="Times New Roman" w:cs="Times New Roman"/>
          <w:color w:val="000000"/>
          <w:vertAlign w:val="subscript"/>
        </w:rPr>
        <w:t xml:space="preserve">2 </w:t>
      </w:r>
      <w:r>
        <w:rPr>
          <w:rFonts w:ascii="Times New Roman" w:eastAsia="Times New Roman" w:hAnsi="Times New Roman" w:cs="Times New Roman"/>
          <w:color w:val="000000"/>
        </w:rPr>
        <w:t xml:space="preserve">emissions are the biggest input to GW and require urgent intervention. There is a plethora of environmental policies as part of efforts to promote environmentally sustainable development of </w:t>
      </w:r>
      <w:r>
        <w:rPr>
          <w:rFonts w:ascii="Times New Roman" w:eastAsia="Times New Roman" w:hAnsi="Times New Roman" w:cs="Times New Roman"/>
          <w:color w:val="000000"/>
        </w:rPr>
        <w:lastRenderedPageBreak/>
        <w:t xml:space="preserve">nations consistent with </w:t>
      </w:r>
      <w:r>
        <w:rPr>
          <w:rFonts w:ascii="Times New Roman" w:eastAsia="Times New Roman" w:hAnsi="Times New Roman" w:cs="Times New Roman"/>
          <w:color w:val="000000"/>
        </w:rPr>
        <w:t>the carbon footprint reduction and attainment of sustainable development goals (SDGs) (Fernandez-Guzman et al., 2023). The most common are carbon price instruments, RE, changes in deforestation rates and energy policies, and energy efficiency. Carbon Prici</w:t>
      </w:r>
      <w:r>
        <w:rPr>
          <w:rFonts w:ascii="Times New Roman" w:eastAsia="Times New Roman" w:hAnsi="Times New Roman" w:cs="Times New Roman"/>
          <w:color w:val="000000"/>
        </w:rPr>
        <w:t>ng (CP) as both carbon taxes and cap-and-trade systems in particular aims to encourage companies and consumers to lower their emissions by providing them with a price of carbon (Fehrer et al., 2023). The policies targeting deforestation are meant to mainta</w:t>
      </w:r>
      <w:r>
        <w:rPr>
          <w:rFonts w:ascii="Times New Roman" w:eastAsia="Times New Roman" w:hAnsi="Times New Roman" w:cs="Times New Roman"/>
          <w:color w:val="000000"/>
        </w:rPr>
        <w:t>in, as they support the employment of sound forest conservation techniques, these are very important in keeping the amount of carbon in the atmosphere low, while those in energy conservation seek to minimize energy usage in different sectors of the economy</w:t>
      </w:r>
      <w:r>
        <w:rPr>
          <w:rFonts w:ascii="Times New Roman" w:eastAsia="Times New Roman" w:hAnsi="Times New Roman" w:cs="Times New Roman"/>
          <w:color w:val="000000"/>
        </w:rPr>
        <w:t xml:space="preserve"> such as industries and transport as well as households (Gilmore &amp; </w:t>
      </w:r>
      <w:proofErr w:type="spellStart"/>
      <w:r>
        <w:rPr>
          <w:rFonts w:ascii="Times New Roman" w:eastAsia="Times New Roman" w:hAnsi="Times New Roman" w:cs="Times New Roman"/>
          <w:color w:val="000000"/>
        </w:rPr>
        <w:t>Buhaug</w:t>
      </w:r>
      <w:proofErr w:type="spellEnd"/>
      <w:r>
        <w:rPr>
          <w:rFonts w:ascii="Times New Roman" w:eastAsia="Times New Roman" w:hAnsi="Times New Roman" w:cs="Times New Roman"/>
          <w:color w:val="000000"/>
        </w:rPr>
        <w:t>, 2021&amp; Salvador Costa et al., 2022).</w:t>
      </w:r>
    </w:p>
    <w:p w14:paraId="4F6ED333" w14:textId="77777777" w:rsidR="0005104D" w:rsidRDefault="00867FD8">
      <w:pPr>
        <w:pStyle w:val="Heading4"/>
        <w:keepNext w:val="0"/>
        <w:keepLines w:val="0"/>
        <w:spacing w:before="0" w:after="0" w:line="360" w:lineRule="auto"/>
        <w:jc w:val="both"/>
        <w:rPr>
          <w:rFonts w:ascii="Times New Roman" w:eastAsia="Times New Roman" w:hAnsi="Times New Roman" w:cs="Times New Roman"/>
          <w:color w:val="000000"/>
        </w:rPr>
      </w:pPr>
      <w:bookmarkStart w:id="5" w:name="_heading=h.2et92p0" w:colFirst="0" w:colLast="0"/>
      <w:bookmarkEnd w:id="5"/>
      <w:r>
        <w:rPr>
          <w:rFonts w:ascii="Times New Roman" w:eastAsia="Times New Roman" w:hAnsi="Times New Roman" w:cs="Times New Roman"/>
          <w:color w:val="000000"/>
        </w:rPr>
        <w:t>RE policies have also been largely examined, with International RE Agency (IRENA) data showing that the utilization of RE might decrease global e</w:t>
      </w:r>
      <w:r>
        <w:rPr>
          <w:rFonts w:ascii="Times New Roman" w:eastAsia="Times New Roman" w:hAnsi="Times New Roman" w:cs="Times New Roman"/>
          <w:color w:val="000000"/>
        </w:rPr>
        <w:t>missions to as low as 30% of today’s level by 2050. Anti-forestation policies too have proved the same virtues with strict enforcement procedures, for deforestation (Liu et al., 2020). Energy efficiency measures are defined as low-carbon solutions with max</w:t>
      </w:r>
      <w:r>
        <w:rPr>
          <w:rFonts w:ascii="Times New Roman" w:eastAsia="Times New Roman" w:hAnsi="Times New Roman" w:cs="Times New Roman"/>
          <w:color w:val="000000"/>
        </w:rPr>
        <w:t xml:space="preserve">imum potential to lower energy demand and emissions. The analysis of such approaches and priorities combined with dispersed policy implementation and effectiveness calls for systematic, cross-national research (Lineman et al., 2015). </w:t>
      </w:r>
    </w:p>
    <w:p w14:paraId="69A93865" w14:textId="77777777" w:rsidR="0005104D" w:rsidRDefault="00867FD8">
      <w:pPr>
        <w:pStyle w:val="Heading4"/>
        <w:keepNext w:val="0"/>
        <w:keepLines w:val="0"/>
        <w:spacing w:before="0" w:after="0" w:line="360" w:lineRule="auto"/>
        <w:jc w:val="both"/>
        <w:rPr>
          <w:rFonts w:ascii="Times New Roman" w:eastAsia="Times New Roman" w:hAnsi="Times New Roman" w:cs="Times New Roman"/>
          <w:color w:val="000000"/>
        </w:rPr>
      </w:pPr>
      <w:bookmarkStart w:id="6" w:name="_heading=h.tyjcwt" w:colFirst="0" w:colLast="0"/>
      <w:bookmarkEnd w:id="6"/>
      <w:r>
        <w:rPr>
          <w:rFonts w:ascii="Times New Roman" w:eastAsia="Times New Roman" w:hAnsi="Times New Roman" w:cs="Times New Roman"/>
          <w:color w:val="000000"/>
        </w:rPr>
        <w:t>Despite the significa</w:t>
      </w:r>
      <w:r>
        <w:rPr>
          <w:rFonts w:ascii="Times New Roman" w:eastAsia="Times New Roman" w:hAnsi="Times New Roman" w:cs="Times New Roman"/>
          <w:color w:val="000000"/>
        </w:rPr>
        <w:t>nt achievement in the evaluation of environmental policies, there are limitations in measuring efficiency in analogous policies across dissimilar geopolitical and socio-economic environments (Feigin et al., 2023). The contingency of policy outcomes by fact</w:t>
      </w:r>
      <w:r>
        <w:rPr>
          <w:rFonts w:ascii="Times New Roman" w:eastAsia="Times New Roman" w:hAnsi="Times New Roman" w:cs="Times New Roman"/>
          <w:color w:val="000000"/>
        </w:rPr>
        <w:t>ors such as economic development, technology, and governance structures, make it a challenge to define common practices and develop a perfect strategy for emission reduction. Prior studies specifically concentrate on each policy as a silo and fail to consi</w:t>
      </w:r>
      <w:r>
        <w:rPr>
          <w:rFonts w:ascii="Times New Roman" w:eastAsia="Times New Roman" w:hAnsi="Times New Roman" w:cs="Times New Roman"/>
          <w:color w:val="000000"/>
        </w:rPr>
        <w:t>der the synergistic effects of these multiple strategies on the ability to address CE (Booth, 2022). This disconnected notion hinders the capacity of policymakers to provide holistic and area-responsive solutions (Chan et al., 2018). High levels of RE adop</w:t>
      </w:r>
      <w:r>
        <w:rPr>
          <w:rFonts w:ascii="Times New Roman" w:eastAsia="Times New Roman" w:hAnsi="Times New Roman" w:cs="Times New Roman"/>
          <w:color w:val="000000"/>
        </w:rPr>
        <w:t xml:space="preserve">tion in regions that are endowed with these resources might result in higher reductions in emissions compared to what deforestation policies deliver, but such relationships have not been well investigated (Tomson, 2015). </w:t>
      </w:r>
    </w:p>
    <w:p w14:paraId="1BE577F9" w14:textId="77777777" w:rsidR="0005104D" w:rsidRDefault="00867FD8">
      <w:pPr>
        <w:pStyle w:val="Heading4"/>
        <w:keepNext w:val="0"/>
        <w:keepLines w:val="0"/>
        <w:spacing w:before="0"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The study seeks to investigate the</w:t>
      </w:r>
      <w:r>
        <w:rPr>
          <w:rFonts w:ascii="Times New Roman" w:eastAsia="Times New Roman" w:hAnsi="Times New Roman" w:cs="Times New Roman"/>
          <w:color w:val="000000"/>
        </w:rPr>
        <w:t xml:space="preserve"> implemented CP mechanisms that have an impact on the level of CO2 emissions in Germany, Brazil, China, South Africa, the United States of America, and the European Union, and examine the similarities and differences between these countries. This paper </w:t>
      </w:r>
      <w:r>
        <w:rPr>
          <w:rFonts w:ascii="Times New Roman" w:eastAsia="Times New Roman" w:hAnsi="Times New Roman" w:cs="Times New Roman"/>
          <w:color w:val="000000"/>
        </w:rPr>
        <w:lastRenderedPageBreak/>
        <w:t>aim</w:t>
      </w:r>
      <w:r>
        <w:rPr>
          <w:rFonts w:ascii="Times New Roman" w:eastAsia="Times New Roman" w:hAnsi="Times New Roman" w:cs="Times New Roman"/>
          <w:color w:val="000000"/>
        </w:rPr>
        <w:t>s to compare the results of emission reductions of varying CP strategies in an attempt to identify key economic, regulatory, and context factors that determine their effectiveness. The research will analyze the contribution of RE in achieving regional clim</w:t>
      </w:r>
      <w:r>
        <w:rPr>
          <w:rFonts w:ascii="Times New Roman" w:eastAsia="Times New Roman" w:hAnsi="Times New Roman" w:cs="Times New Roman"/>
          <w:color w:val="000000"/>
        </w:rPr>
        <w:t>ate change mitigation targets. It will assess the level to which the exploitation of RE sources bearing in mind technical changes, policies that exist, and resource availability has supported the realization of the reduction in emission objectives in the i</w:t>
      </w:r>
      <w:r>
        <w:rPr>
          <w:rFonts w:ascii="Times New Roman" w:eastAsia="Times New Roman" w:hAnsi="Times New Roman" w:cs="Times New Roman"/>
          <w:color w:val="000000"/>
        </w:rPr>
        <w:t xml:space="preserve">ndividual zones. </w:t>
      </w:r>
    </w:p>
    <w:p w14:paraId="4D3859E8" w14:textId="77777777" w:rsidR="0005104D" w:rsidRDefault="0005104D">
      <w:pPr>
        <w:pStyle w:val="Heading4"/>
        <w:keepNext w:val="0"/>
        <w:keepLines w:val="0"/>
        <w:spacing w:before="0" w:after="0" w:line="360" w:lineRule="auto"/>
        <w:jc w:val="both"/>
        <w:rPr>
          <w:rFonts w:ascii="Times New Roman" w:eastAsia="Times New Roman" w:hAnsi="Times New Roman" w:cs="Times New Roman"/>
          <w:b/>
          <w:color w:val="000000"/>
        </w:rPr>
      </w:pPr>
      <w:bookmarkStart w:id="7" w:name="_heading=h.3dy6vkm" w:colFirst="0" w:colLast="0"/>
      <w:bookmarkEnd w:id="7"/>
    </w:p>
    <w:p w14:paraId="05DDF9F1" w14:textId="77777777" w:rsidR="0005104D" w:rsidRDefault="00867FD8">
      <w:pPr>
        <w:pStyle w:val="Heading4"/>
        <w:keepNext w:val="0"/>
        <w:keepLines w:val="0"/>
        <w:spacing w:before="0" w:after="0" w:line="360" w:lineRule="auto"/>
        <w:jc w:val="both"/>
        <w:rPr>
          <w:rFonts w:ascii="Times New Roman" w:eastAsia="Times New Roman" w:hAnsi="Times New Roman" w:cs="Times New Roman"/>
          <w:b/>
          <w:color w:val="000000"/>
        </w:rPr>
      </w:pPr>
      <w:bookmarkStart w:id="8" w:name="_heading=h.1t3h5sf" w:colFirst="0" w:colLast="0"/>
      <w:bookmarkEnd w:id="8"/>
      <w:r>
        <w:rPr>
          <w:rFonts w:ascii="Times New Roman" w:eastAsia="Times New Roman" w:hAnsi="Times New Roman" w:cs="Times New Roman"/>
          <w:b/>
          <w:color w:val="000000"/>
        </w:rPr>
        <w:t xml:space="preserve">METHODOLOGY </w:t>
      </w:r>
    </w:p>
    <w:p w14:paraId="2FCA522B"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 Design</w:t>
      </w:r>
    </w:p>
    <w:p w14:paraId="7FBEF743"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cross-sectional sample of developed and developing countries, Germany, which belongs to the European Union, Brazil from South America, China, and South Africa for the qualitative component. While conducting</w:t>
      </w:r>
      <w:r>
        <w:rPr>
          <w:rFonts w:ascii="Times New Roman" w:eastAsia="Times New Roman" w:hAnsi="Times New Roman" w:cs="Times New Roman"/>
          <w:sz w:val="24"/>
          <w:szCs w:val="24"/>
        </w:rPr>
        <w:t xml:space="preserve"> the quantitative analysis included information from the United States, China, India, Brazil, the European Union, and Australia. Targeting data from the year 2000 to the year 2020 to capture the impacts of policy implementation on carbon emission reduction</w:t>
      </w:r>
      <w:r>
        <w:rPr>
          <w:rFonts w:ascii="Times New Roman" w:eastAsia="Times New Roman" w:hAnsi="Times New Roman" w:cs="Times New Roman"/>
          <w:sz w:val="24"/>
          <w:szCs w:val="24"/>
        </w:rPr>
        <w:t>s. The CO₂ emissions per capita have been used in this study to measure the carbon footprint and expressed in metric tons per head of population. Country-wide emissions data is followed by sector-wise emissions data that is analyzed with a focus on energy,</w:t>
      </w:r>
      <w:r>
        <w:rPr>
          <w:rFonts w:ascii="Times New Roman" w:eastAsia="Times New Roman" w:hAnsi="Times New Roman" w:cs="Times New Roman"/>
          <w:sz w:val="24"/>
          <w:szCs w:val="24"/>
        </w:rPr>
        <w:t xml:space="preserve"> transportation, agriculture, and industrial sectors. </w:t>
      </w:r>
    </w:p>
    <w:p w14:paraId="5C20B5A8"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Qualitative and Quantitative Components</w:t>
      </w:r>
    </w:p>
    <w:p w14:paraId="6DE5D2A8"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inherent part of this research was the qualitative analysis of four countries as case studies: The countries are Germany, Brazil, China, and South Africa. Th</w:t>
      </w:r>
      <w:r>
        <w:rPr>
          <w:rFonts w:ascii="Times New Roman" w:eastAsia="Times New Roman" w:hAnsi="Times New Roman" w:cs="Times New Roman"/>
          <w:sz w:val="24"/>
          <w:szCs w:val="24"/>
        </w:rPr>
        <w:t>ese case studies assisted in the examination of some of the elements of the political and contextual realities about issues of implementing environmentalism. Details shown below were obtained from interviews conducted with policymakers and environmental sc</w:t>
      </w:r>
      <w:r>
        <w:rPr>
          <w:rFonts w:ascii="Times New Roman" w:eastAsia="Times New Roman" w:hAnsi="Times New Roman" w:cs="Times New Roman"/>
          <w:sz w:val="24"/>
          <w:szCs w:val="24"/>
        </w:rPr>
        <w:t>ientists. Sub-themes were socio-economic dynamics. The quantitative part included the statistical analysis of the numerical data of the policy targets from the 2000-2020 fiscal year using records of countries with various policy measures. The three main va</w:t>
      </w:r>
      <w:r>
        <w:rPr>
          <w:rFonts w:ascii="Times New Roman" w:eastAsia="Times New Roman" w:hAnsi="Times New Roman" w:cs="Times New Roman"/>
          <w:sz w:val="24"/>
          <w:szCs w:val="24"/>
        </w:rPr>
        <w:t>riables compared were carbon intensity, where one regime was divided by the other according to CO₂ emissions per unit of GDP, share of renewable energy sources; and percentage change in CO₂ emissions in one regime compared to the other.</w:t>
      </w:r>
    </w:p>
    <w:p w14:paraId="24CF7510"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Collection</w:t>
      </w:r>
    </w:p>
    <w:p w14:paraId="45CAAE38" w14:textId="77777777" w:rsidR="0005104D" w:rsidRDefault="00867FD8">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Sources of Data</w:t>
      </w:r>
    </w:p>
    <w:p w14:paraId="0B8A7828"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develop the data for this study, information was collected from several authoritative data sources to provide a high level of study validity. Many times, national and international reports such as the IPCC, and United Nations Framework C</w:t>
      </w:r>
      <w:r>
        <w:rPr>
          <w:rFonts w:ascii="Times New Roman" w:eastAsia="Times New Roman" w:hAnsi="Times New Roman" w:cs="Times New Roman"/>
          <w:sz w:val="24"/>
          <w:szCs w:val="24"/>
        </w:rPr>
        <w:t>onvention on Climate Change (UNFCCC) store useful information for climate policies. Country-specific information on emitted carbon and policies and implementations is also retrieved from the government as well as other global organizations such as WRI. Oth</w:t>
      </w:r>
      <w:r>
        <w:rPr>
          <w:rFonts w:ascii="Times New Roman" w:eastAsia="Times New Roman" w:hAnsi="Times New Roman" w:cs="Times New Roman"/>
          <w:sz w:val="24"/>
          <w:szCs w:val="24"/>
        </w:rPr>
        <w:t>er specific sector reports provide elaborative exposure of the efforts of that particular sector in minimizing the emissions in carbon. Due to this, the evaluation of environmental policies and meaningful effects on carbon footprint reduction can be conven</w:t>
      </w:r>
      <w:r>
        <w:rPr>
          <w:rFonts w:ascii="Times New Roman" w:eastAsia="Times New Roman" w:hAnsi="Times New Roman" w:cs="Times New Roman"/>
          <w:sz w:val="24"/>
          <w:szCs w:val="24"/>
        </w:rPr>
        <w:t>iently assessed on the global level.</w:t>
      </w:r>
    </w:p>
    <w:p w14:paraId="5A3059E4"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Environmental Policies Considered</w:t>
      </w:r>
    </w:p>
    <w:p w14:paraId="0BF564FC"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measures employed in the course of this research include CP which comprises the taxation of carbon and a system of capping and trading of GHGs. Based on the data obtained by apply</w:t>
      </w:r>
      <w:r>
        <w:rPr>
          <w:rFonts w:ascii="Times New Roman" w:eastAsia="Times New Roman" w:hAnsi="Times New Roman" w:cs="Times New Roman"/>
          <w:sz w:val="24"/>
          <w:szCs w:val="24"/>
        </w:rPr>
        <w:t xml:space="preserve">ing the identified mechanisms to the country, the effectiveness of such tools, as well as their ability to prevent overall carbon emission, was assessed. There are considered RE activities with an emphasis on the percentage rising share of renewable power </w:t>
      </w:r>
      <w:r>
        <w:rPr>
          <w:rFonts w:ascii="Times New Roman" w:eastAsia="Times New Roman" w:hAnsi="Times New Roman" w:cs="Times New Roman"/>
          <w:sz w:val="24"/>
          <w:szCs w:val="24"/>
        </w:rPr>
        <w:t>in total final power consumption, which acts as an important instrument in the minimization of the share of fossil fuels. Policies and measures of preventing deforestation and policies encouraging afforestation therefore increasing the capacity to store ca</w:t>
      </w:r>
      <w:r>
        <w:rPr>
          <w:rFonts w:ascii="Times New Roman" w:eastAsia="Times New Roman" w:hAnsi="Times New Roman" w:cs="Times New Roman"/>
          <w:sz w:val="24"/>
          <w:szCs w:val="24"/>
        </w:rPr>
        <w:t>rbon. The next important policy domain discussed in the study is energy efficiency standards that consider actions adopted to increase energy efficiency in industries, buildings, and urban structures to decrease the overall energy demand and emissions. The</w:t>
      </w:r>
      <w:r>
        <w:rPr>
          <w:rFonts w:ascii="Times New Roman" w:eastAsia="Times New Roman" w:hAnsi="Times New Roman" w:cs="Times New Roman"/>
          <w:sz w:val="24"/>
          <w:szCs w:val="24"/>
        </w:rPr>
        <w:t xml:space="preserve"> role of global initiatives and regional policies including the Paris Agreement, and the EU Green Deal among others is evaluated to determine the effectiveness of regional and global policy goals in shaping national policies. </w:t>
      </w:r>
    </w:p>
    <w:p w14:paraId="602FD343"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Data Analysis</w:t>
      </w:r>
      <w:r>
        <w:rPr>
          <w:rFonts w:ascii="Times New Roman" w:eastAsia="Times New Roman" w:hAnsi="Times New Roman" w:cs="Times New Roman"/>
          <w:sz w:val="24"/>
          <w:szCs w:val="24"/>
        </w:rPr>
        <w:br/>
        <w:t>Data analysis i</w:t>
      </w:r>
      <w:r>
        <w:rPr>
          <w:rFonts w:ascii="Times New Roman" w:eastAsia="Times New Roman" w:hAnsi="Times New Roman" w:cs="Times New Roman"/>
          <w:sz w:val="24"/>
          <w:szCs w:val="24"/>
        </w:rPr>
        <w:t xml:space="preserve">n this study was done quantitatively using both SPSS and NVivo software with a view of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ascertaining the extent of policy impacts. Statistical analysis of the data is carried out using a statistical package for social sciences (SPSS), particularly regres</w:t>
      </w:r>
      <w:r>
        <w:rPr>
          <w:rFonts w:ascii="Times New Roman" w:eastAsia="Times New Roman" w:hAnsi="Times New Roman" w:cs="Times New Roman"/>
          <w:sz w:val="24"/>
          <w:szCs w:val="24"/>
        </w:rPr>
        <w:t>sion models used to estimate the impact of environmental policies on carbon footprint. This proves useful for quantifying policy differences between various countries. For qualitative data analysis, NVivo is used where the specific coding is used for inter</w:t>
      </w:r>
      <w:r>
        <w:rPr>
          <w:rFonts w:ascii="Times New Roman" w:eastAsia="Times New Roman" w:hAnsi="Times New Roman" w:cs="Times New Roman"/>
          <w:sz w:val="24"/>
          <w:szCs w:val="24"/>
        </w:rPr>
        <w:t xml:space="preserve">views of policymakers and environmental experts using their transcripts. By using NVivo common themes for health policy implementation are </w:t>
      </w:r>
      <w:r>
        <w:rPr>
          <w:rFonts w:ascii="Times New Roman" w:eastAsia="Times New Roman" w:hAnsi="Times New Roman" w:cs="Times New Roman"/>
          <w:sz w:val="24"/>
          <w:szCs w:val="24"/>
        </w:rPr>
        <w:lastRenderedPageBreak/>
        <w:t xml:space="preserve">recognized about other policies pointing to a better understanding of the context in which policies more effectively </w:t>
      </w:r>
      <w:r>
        <w:rPr>
          <w:rFonts w:ascii="Times New Roman" w:eastAsia="Times New Roman" w:hAnsi="Times New Roman" w:cs="Times New Roman"/>
          <w:sz w:val="24"/>
          <w:szCs w:val="24"/>
        </w:rPr>
        <w:t>work aimed at the reduction of carbon emissions.</w:t>
      </w:r>
    </w:p>
    <w:p w14:paraId="25C8A8A1" w14:textId="77777777" w:rsidR="0005104D" w:rsidRDefault="0005104D">
      <w:pPr>
        <w:spacing w:line="360" w:lineRule="auto"/>
        <w:jc w:val="both"/>
        <w:rPr>
          <w:rFonts w:ascii="Times New Roman" w:eastAsia="Times New Roman" w:hAnsi="Times New Roman" w:cs="Times New Roman"/>
          <w:b/>
          <w:sz w:val="24"/>
          <w:szCs w:val="24"/>
        </w:rPr>
      </w:pPr>
    </w:p>
    <w:p w14:paraId="1DF9E28F"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w:t>
      </w:r>
      <w:r>
        <w:rPr>
          <w:rFonts w:ascii="Times New Roman" w:eastAsia="Times New Roman" w:hAnsi="Times New Roman" w:cs="Times New Roman"/>
          <w:b/>
          <w:sz w:val="24"/>
          <w:szCs w:val="24"/>
        </w:rPr>
        <w:br/>
        <w:t>Carbon Footprint Reduction by Policy Implementation (2000-2020)</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Table 1 illustrates that, between the years 2000 to 2020, different countries and regions adopted measures to lower carbon emission le</w:t>
      </w:r>
      <w:r>
        <w:rPr>
          <w:rFonts w:ascii="Times New Roman" w:eastAsia="Times New Roman" w:hAnsi="Times New Roman" w:cs="Times New Roman"/>
          <w:sz w:val="24"/>
          <w:szCs w:val="24"/>
        </w:rPr>
        <w:t>vels successfully. Germany found a way to cut CO</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xml:space="preserve">emissions by 28%, sharper by 25% through CP, 30% by green energy, 5% through anti-deforestation measures, and by 15% through energy efficiency policies. Brazil’s total emissions were reduced by 12%, mainly </w:t>
      </w:r>
      <w:r>
        <w:rPr>
          <w:rFonts w:ascii="Times New Roman" w:eastAsia="Times New Roman" w:hAnsi="Times New Roman" w:cs="Times New Roman"/>
          <w:sz w:val="24"/>
          <w:szCs w:val="24"/>
        </w:rPr>
        <w:t>18% affected by policies that caused deforestation. China cut emissions by 14%, while renewable power generated 18%. All 4 initiatives resulted in an achievement by South Africa of a 10% decrease. The United States managed to reduce the market share by 18%</w:t>
      </w:r>
      <w:r>
        <w:rPr>
          <w:rFonts w:ascii="Times New Roman" w:eastAsia="Times New Roman" w:hAnsi="Times New Roman" w:cs="Times New Roman"/>
          <w:sz w:val="24"/>
          <w:szCs w:val="24"/>
        </w:rPr>
        <w:t>, and this was purely through CP and RE. The European Union was leading the pack with a 35% cut due to determined RE switching and energy conservation measures.</w:t>
      </w:r>
    </w:p>
    <w:p w14:paraId="16755906"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Table 1: Summary of Carbon Footprint Reduction by Policy Implementation (2000-2020)</w:t>
      </w: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81"/>
        <w:gridCol w:w="1397"/>
        <w:gridCol w:w="1567"/>
        <w:gridCol w:w="1723"/>
        <w:gridCol w:w="1510"/>
        <w:gridCol w:w="1382"/>
      </w:tblGrid>
      <w:tr w:rsidR="0005104D" w14:paraId="5B9480F9" w14:textId="77777777">
        <w:trPr>
          <w:trHeight w:val="158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E50330"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Country/Re</w:t>
            </w:r>
            <w:r>
              <w:rPr>
                <w:rFonts w:ascii="Times New Roman" w:eastAsia="Times New Roman" w:hAnsi="Times New Roman" w:cs="Times New Roman"/>
                <w:sz w:val="24"/>
                <w:szCs w:val="24"/>
              </w:rPr>
              <w:t>gion</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B81145"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Carbon Pricing (%) Reduction</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7B4CD3"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Renewable Energy Adoption (%) Reduction</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3EFC71"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Deforestation Policy (%) Reduction</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6740F6"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Energy Efficiency Standards (%) Reduction</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33E2E7"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 Emission Reduction (%)</w:t>
            </w:r>
          </w:p>
        </w:tc>
      </w:tr>
      <w:tr w:rsidR="0005104D" w14:paraId="0550D91F"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24AE1D"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Germany</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3890AF"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13770C"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CAC95F"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9C1C54"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F77BAF"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05104D" w14:paraId="3C1C81CD"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A626FF"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Brazil</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32C8F9"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54C51C"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1A960B"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FAF9C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4D9365"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5104D" w14:paraId="0A1944DB"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AC75E8"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China</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34165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4A6911"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AD7A16"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31475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8B2BB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05104D" w14:paraId="7ED18816"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734793"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South Africa</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8D86DB"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7B38BB"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3C281C"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DBB3A1"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87122F"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5104D" w14:paraId="55EB72C3"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5EAD3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285FDE"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F27A4D"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4AADB8"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F74C33"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3330FE"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05104D" w14:paraId="31B2C07D"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9E91A9"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European Union</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46CCAD"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26B8E0"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8F53C7"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8DAA12"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C257E4"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bl>
    <w:p w14:paraId="318F3C26" w14:textId="77777777" w:rsidR="0005104D" w:rsidRDefault="0005104D">
      <w:pPr>
        <w:spacing w:line="360" w:lineRule="auto"/>
        <w:jc w:val="both"/>
        <w:rPr>
          <w:rFonts w:ascii="Times New Roman" w:eastAsia="Times New Roman" w:hAnsi="Times New Roman" w:cs="Times New Roman"/>
          <w:b/>
          <w:sz w:val="24"/>
          <w:szCs w:val="24"/>
        </w:rPr>
      </w:pPr>
    </w:p>
    <w:p w14:paraId="5F03553F"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Correlation between carbon pricing and CO</w:t>
      </w:r>
      <w:r>
        <w:rPr>
          <w:rFonts w:ascii="Times New Roman" w:eastAsia="Times New Roman" w:hAnsi="Times New Roman" w:cs="Times New Roman"/>
          <w:b/>
          <w:sz w:val="24"/>
          <w:szCs w:val="24"/>
          <w:vertAlign w:val="subscript"/>
        </w:rPr>
        <w:t>2</w:t>
      </w:r>
      <w:r>
        <w:rPr>
          <w:rFonts w:ascii="Times New Roman" w:eastAsia="Times New Roman" w:hAnsi="Times New Roman" w:cs="Times New Roman"/>
          <w:b/>
          <w:sz w:val="24"/>
          <w:szCs w:val="24"/>
        </w:rPr>
        <w:t xml:space="preserve"> emission reduction (2000-2020)</w:t>
      </w:r>
    </w:p>
    <w:p w14:paraId="1DEA2AC1" w14:textId="77777777" w:rsidR="0005104D" w:rsidRDefault="0005104D">
      <w:pPr>
        <w:spacing w:line="360" w:lineRule="auto"/>
        <w:jc w:val="both"/>
        <w:rPr>
          <w:rFonts w:ascii="Times New Roman" w:eastAsia="Times New Roman" w:hAnsi="Times New Roman" w:cs="Times New Roman"/>
          <w:b/>
          <w:sz w:val="24"/>
          <w:szCs w:val="24"/>
        </w:rPr>
      </w:pPr>
    </w:p>
    <w:p w14:paraId="3B76F1ED" w14:textId="77777777" w:rsidR="0005104D" w:rsidRDefault="00867FD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272A000E" wp14:editId="1150D209">
            <wp:extent cx="3829050" cy="274308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4639"/>
                    <a:stretch>
                      <a:fillRect/>
                    </a:stretch>
                  </pic:blipFill>
                  <pic:spPr>
                    <a:xfrm>
                      <a:off x="0" y="0"/>
                      <a:ext cx="3829050" cy="2743088"/>
                    </a:xfrm>
                    <a:prstGeom prst="rect">
                      <a:avLst/>
                    </a:prstGeom>
                    <a:ln/>
                  </pic:spPr>
                </pic:pic>
              </a:graphicData>
            </a:graphic>
          </wp:inline>
        </w:drawing>
      </w:r>
    </w:p>
    <w:p w14:paraId="5D2BD355" w14:textId="77777777" w:rsidR="0005104D" w:rsidRDefault="00867FD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1: </w:t>
      </w:r>
      <w:r>
        <w:rPr>
          <w:rFonts w:ascii="Times New Roman" w:eastAsia="Times New Roman" w:hAnsi="Times New Roman" w:cs="Times New Roman"/>
          <w:sz w:val="24"/>
          <w:szCs w:val="24"/>
        </w:rPr>
        <w:t>Correlation between carbon pricing and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emission reduction (2000-2020)</w:t>
      </w:r>
    </w:p>
    <w:p w14:paraId="75575398"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Figure 1 explains the correlation between the CP and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emission cut in 6 regions from 2000 through 2020. Germany showed the biggest cut by a quarter, due to its ambitious CP measures. Brazil and South Africa had lower dec</w:t>
      </w:r>
      <w:r>
        <w:rPr>
          <w:rFonts w:ascii="Times New Roman" w:eastAsia="Times New Roman" w:hAnsi="Times New Roman" w:cs="Times New Roman"/>
          <w:sz w:val="24"/>
          <w:szCs w:val="24"/>
        </w:rPr>
        <w:t>rease rates, they provided 10% reduced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emissions and 8% due to the policy constraints. Two intermediate effects were registered for the United States and China with a decrease of 20% and 15% respectively. The European Union emissions were at least at 3</w:t>
      </w:r>
      <w:r>
        <w:rPr>
          <w:rFonts w:ascii="Times New Roman" w:eastAsia="Times New Roman" w:hAnsi="Times New Roman" w:cs="Times New Roman"/>
          <w:sz w:val="24"/>
          <w:szCs w:val="24"/>
        </w:rPr>
        <w:t>5% proving that a single common carbon price was an excellent policy. These results stressed the heterogeneity of the CP impact on emissions reduction all over the world.</w:t>
      </w:r>
    </w:p>
    <w:p w14:paraId="322EE7C1"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Impact of Renewable Energy Adoption on Carbon Footprint Reduction (2000-2020)</w:t>
      </w:r>
    </w:p>
    <w:p w14:paraId="4C7DA26A" w14:textId="77777777" w:rsidR="0005104D" w:rsidRDefault="0005104D">
      <w:pPr>
        <w:spacing w:line="360" w:lineRule="auto"/>
        <w:jc w:val="both"/>
        <w:rPr>
          <w:rFonts w:ascii="Times New Roman" w:eastAsia="Times New Roman" w:hAnsi="Times New Roman" w:cs="Times New Roman"/>
          <w:b/>
          <w:sz w:val="24"/>
          <w:szCs w:val="24"/>
        </w:rPr>
      </w:pPr>
    </w:p>
    <w:p w14:paraId="0ACCAB68" w14:textId="77777777" w:rsidR="0005104D" w:rsidRDefault="00867FD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6496588B" wp14:editId="76CFABF4">
            <wp:extent cx="4338638" cy="260815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338638" cy="2608150"/>
                    </a:xfrm>
                    <a:prstGeom prst="rect">
                      <a:avLst/>
                    </a:prstGeom>
                    <a:ln/>
                  </pic:spPr>
                </pic:pic>
              </a:graphicData>
            </a:graphic>
          </wp:inline>
        </w:drawing>
      </w:r>
    </w:p>
    <w:p w14:paraId="68D861A9" w14:textId="77777777" w:rsidR="0005104D" w:rsidRDefault="00867FD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2: </w:t>
      </w:r>
      <w:r>
        <w:rPr>
          <w:rFonts w:ascii="Times New Roman" w:eastAsia="Times New Roman" w:hAnsi="Times New Roman" w:cs="Times New Roman"/>
          <w:sz w:val="24"/>
          <w:szCs w:val="24"/>
        </w:rPr>
        <w:t>Impact of Renewable Energy Adoption on Carbon Footprint Reduction (2000-2020)</w:t>
      </w:r>
    </w:p>
    <w:p w14:paraId="50278907" w14:textId="77777777" w:rsidR="0005104D" w:rsidRDefault="0005104D">
      <w:pPr>
        <w:spacing w:line="360" w:lineRule="auto"/>
        <w:jc w:val="both"/>
        <w:rPr>
          <w:rFonts w:ascii="Times New Roman" w:eastAsia="Times New Roman" w:hAnsi="Times New Roman" w:cs="Times New Roman"/>
          <w:sz w:val="24"/>
          <w:szCs w:val="24"/>
        </w:rPr>
      </w:pPr>
    </w:p>
    <w:p w14:paraId="17C0BC52"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2 demonstrates the changes in the percentage decrease in CO2 emissions in 6 regions alongside the impact of RE integration from 2000 to 2020. Seven of the ten r</w:t>
      </w:r>
      <w:r>
        <w:rPr>
          <w:rFonts w:ascii="Times New Roman" w:eastAsia="Times New Roman" w:hAnsi="Times New Roman" w:cs="Times New Roman"/>
          <w:sz w:val="24"/>
          <w:szCs w:val="24"/>
        </w:rPr>
        <w:t xml:space="preserve">egions achieved the greatest decreases, reaching 40% by 2024, thanks to the EU’s robust RE policies. The results are shown in the following table concerning the targeted reduction. The United States has reached the target of 25%, China 22%. Germany proved </w:t>
      </w:r>
      <w:r>
        <w:rPr>
          <w:rFonts w:ascii="Times New Roman" w:eastAsia="Times New Roman" w:hAnsi="Times New Roman" w:cs="Times New Roman"/>
          <w:sz w:val="24"/>
          <w:szCs w:val="24"/>
        </w:rPr>
        <w:t xml:space="preserve">to be constant and safe with the 30% reduction. Last year it decreased to 0.80 by 15% in Brazil, and 1.17 by 10% in South Africa. </w:t>
      </w:r>
    </w:p>
    <w:p w14:paraId="5805430B" w14:textId="77777777" w:rsidR="0005104D" w:rsidRDefault="0005104D">
      <w:pPr>
        <w:spacing w:line="360" w:lineRule="auto"/>
        <w:jc w:val="both"/>
        <w:rPr>
          <w:rFonts w:ascii="Times New Roman" w:eastAsia="Times New Roman" w:hAnsi="Times New Roman" w:cs="Times New Roman"/>
          <w:sz w:val="24"/>
          <w:szCs w:val="24"/>
        </w:rPr>
      </w:pPr>
    </w:p>
    <w:p w14:paraId="5CE9F21C"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14:paraId="15F9F258"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research was to evaluate the efficiency of the policies undertaken from 2000 to 2020 aimed a</w:t>
      </w:r>
      <w:r>
        <w:rPr>
          <w:rFonts w:ascii="Times New Roman" w:eastAsia="Times New Roman" w:hAnsi="Times New Roman" w:cs="Times New Roman"/>
          <w:sz w:val="24"/>
          <w:szCs w:val="24"/>
        </w:rPr>
        <w:t>t decreasing carbon emissions in the countries and regions of interest. The analysis focused on carbon trading, RE, policies prohibiting deforestation, and enhancing energy efficiency standards. Through analyzing the claimed cuts of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emissions due to th</w:t>
      </w:r>
      <w:r>
        <w:rPr>
          <w:rFonts w:ascii="Times New Roman" w:eastAsia="Times New Roman" w:hAnsi="Times New Roman" w:cs="Times New Roman"/>
          <w:sz w:val="24"/>
          <w:szCs w:val="24"/>
        </w:rPr>
        <w:t>ese measures, the study sought to get patterns, assess policy effectiveness as well as find out some rationale for the policies to be established in future climate change mitigation efforts.</w:t>
      </w:r>
      <w:r>
        <w:rPr>
          <w:rFonts w:ascii="Times New Roman" w:eastAsia="Times New Roman" w:hAnsi="Times New Roman" w:cs="Times New Roman"/>
          <w:sz w:val="24"/>
          <w:szCs w:val="24"/>
        </w:rPr>
        <w:br/>
        <w:t>Germany reported high results as it only reduced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emission by </w:t>
      </w:r>
      <w:r>
        <w:rPr>
          <w:rFonts w:ascii="Times New Roman" w:eastAsia="Times New Roman" w:hAnsi="Times New Roman" w:cs="Times New Roman"/>
          <w:sz w:val="24"/>
          <w:szCs w:val="24"/>
        </w:rPr>
        <w:t xml:space="preserve">28%. The most successful measures included CP as well as RE shared the largest reductions, with 25 and 30% respectively. With the EU 28% where the leading 35% reduction was observed owing to robust RE uptake (40%) as well as energy efficiency (20%). While </w:t>
      </w:r>
      <w:r>
        <w:rPr>
          <w:rFonts w:ascii="Times New Roman" w:eastAsia="Times New Roman" w:hAnsi="Times New Roman" w:cs="Times New Roman"/>
          <w:sz w:val="24"/>
          <w:szCs w:val="24"/>
        </w:rPr>
        <w:t xml:space="preserve">Brazil has recorded a 12% decrease, it is reduced mainly to policy on deforestation, making up 18% of the number. China and the United States </w:t>
      </w:r>
      <w:r>
        <w:rPr>
          <w:rFonts w:ascii="Times New Roman" w:eastAsia="Times New Roman" w:hAnsi="Times New Roman" w:cs="Times New Roman"/>
          <w:sz w:val="24"/>
          <w:szCs w:val="24"/>
        </w:rPr>
        <w:lastRenderedPageBreak/>
        <w:t>have managed only an intermediate reduction of emissions with China’s emissions reduced by 14% and the United Stat</w:t>
      </w:r>
      <w:r>
        <w:rPr>
          <w:rFonts w:ascii="Times New Roman" w:eastAsia="Times New Roman" w:hAnsi="Times New Roman" w:cs="Times New Roman"/>
          <w:sz w:val="24"/>
          <w:szCs w:val="24"/>
        </w:rPr>
        <w:t>es by 18% signaling the role that RE and CP in these regions. While South Africa only reduced CO emissions by 10%, it equally divided credit for this achievement between the four measures. The analysis of correlations also supports the heterogeneity of pol</w:t>
      </w:r>
      <w:r>
        <w:rPr>
          <w:rFonts w:ascii="Times New Roman" w:eastAsia="Times New Roman" w:hAnsi="Times New Roman" w:cs="Times New Roman"/>
          <w:sz w:val="24"/>
          <w:szCs w:val="24"/>
        </w:rPr>
        <w:t>icy impacts on growth. Figure 1 International and national carbon prices are positively correlated with the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cut and the EU and Germany are at the forefront. The policy variables restricted the effects in areas such as Brazil and South Africa due to cha</w:t>
      </w:r>
      <w:r>
        <w:rPr>
          <w:rFonts w:ascii="Times New Roman" w:eastAsia="Times New Roman" w:hAnsi="Times New Roman" w:cs="Times New Roman"/>
          <w:sz w:val="24"/>
          <w:szCs w:val="24"/>
        </w:rPr>
        <w:t>llenges in implementation. Figure 2, RE was identified as a significant enabler of emission cuts ‘on steroids’, with the EU acting as a benchmark, having slashed emissions by 40%. Other countries, the USA and China performed quite well as compared to the d</w:t>
      </w:r>
      <w:r>
        <w:rPr>
          <w:rFonts w:ascii="Times New Roman" w:eastAsia="Times New Roman" w:hAnsi="Times New Roman" w:cs="Times New Roman"/>
          <w:sz w:val="24"/>
          <w:szCs w:val="24"/>
        </w:rPr>
        <w:t>esires and expectations while the performance of Brazil and South Africa was much lower than expected potentially due to a lower status of utilization and development of RE.</w:t>
      </w:r>
    </w:p>
    <w:p w14:paraId="30D2C91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builds on prior work in the manner of incorporating a review of multipl</w:t>
      </w:r>
      <w:r>
        <w:rPr>
          <w:rFonts w:ascii="Times New Roman" w:eastAsia="Times New Roman" w:hAnsi="Times New Roman" w:cs="Times New Roman"/>
          <w:sz w:val="24"/>
          <w:szCs w:val="24"/>
        </w:rPr>
        <w:t>e policies across different geographical zones. As opposed to previous works that primarily emphasized isolation of policy outcomes, this work highlights the interaction between energy efficiency standards and deforestation policies (Cordero et al., 2020).</w:t>
      </w:r>
      <w:r>
        <w:rPr>
          <w:rFonts w:ascii="Times New Roman" w:eastAsia="Times New Roman" w:hAnsi="Times New Roman" w:cs="Times New Roman"/>
          <w:sz w:val="24"/>
          <w:szCs w:val="24"/>
        </w:rPr>
        <w:t xml:space="preserve"> The study results are different from earlier reports about the poor effectiveness of CP in developing countries. It is possible to appreciate the effectiveness of Sustainable Finance Legislation (SFL) for the creation of high-quality jobs in German and Eu</w:t>
      </w:r>
      <w:r>
        <w:rPr>
          <w:rFonts w:ascii="Times New Roman" w:eastAsia="Times New Roman" w:hAnsi="Times New Roman" w:cs="Times New Roman"/>
          <w:sz w:val="24"/>
          <w:szCs w:val="24"/>
        </w:rPr>
        <w:t xml:space="preserve">ropean Union countries, while also recognizing the barriers that limit the use of SFL in Brazil and South Africa, related to the economic and infrastructural systems of these countries (De Vita et al., 2024 &amp; Levy &amp; Patz, 2015). </w:t>
      </w:r>
    </w:p>
    <w:p w14:paraId="2179A797"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reinforce the indispe</w:t>
      </w:r>
      <w:r>
        <w:rPr>
          <w:rFonts w:ascii="Times New Roman" w:eastAsia="Times New Roman" w:hAnsi="Times New Roman" w:cs="Times New Roman"/>
          <w:sz w:val="24"/>
          <w:szCs w:val="24"/>
        </w:rPr>
        <w:t>nsable relationship between RE penetration and significant emission cuts. To correct the performance gap, policymakers must consider increasing spending on RE infrastructure, especially in Brazil and South Africa fully (Ebi et al., 2021 &amp; Lenzen et al., 20</w:t>
      </w:r>
      <w:r>
        <w:rPr>
          <w:rFonts w:ascii="Times New Roman" w:eastAsia="Times New Roman" w:hAnsi="Times New Roman" w:cs="Times New Roman"/>
          <w:sz w:val="24"/>
          <w:szCs w:val="24"/>
        </w:rPr>
        <w:t>20). It looks into the effectiveness of CP as a market-efficient solution for emissions reduction. Success is subject to proper legal frameworks’ adoption and international collaboration to undertake economic capabilities disparities (Esty &amp; Bell, 2018). T</w:t>
      </w:r>
      <w:r>
        <w:rPr>
          <w:rFonts w:ascii="Times New Roman" w:eastAsia="Times New Roman" w:hAnsi="Times New Roman" w:cs="Times New Roman"/>
          <w:sz w:val="24"/>
          <w:szCs w:val="24"/>
        </w:rPr>
        <w:t>he study brings out the importance of having a synthesis of different approaches. Those areas applying RE use together with the concepts of energy efficiency standards like the EU scored even better results. This implies that greater integrated climate pol</w:t>
      </w:r>
      <w:r>
        <w:rPr>
          <w:rFonts w:ascii="Times New Roman" w:eastAsia="Times New Roman" w:hAnsi="Times New Roman" w:cs="Times New Roman"/>
          <w:sz w:val="24"/>
          <w:szCs w:val="24"/>
        </w:rPr>
        <w:t>icy processes specific to regional jurisdictions can enhance the foreseeable effect of climate policies (</w:t>
      </w:r>
      <w:proofErr w:type="spellStart"/>
      <w:r>
        <w:rPr>
          <w:rFonts w:ascii="Times New Roman" w:eastAsia="Times New Roman" w:hAnsi="Times New Roman" w:cs="Times New Roman"/>
          <w:sz w:val="24"/>
          <w:szCs w:val="24"/>
        </w:rPr>
        <w:t>Franchini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Mannucci</w:t>
      </w:r>
      <w:proofErr w:type="spellEnd"/>
      <w:r>
        <w:rPr>
          <w:rFonts w:ascii="Times New Roman" w:eastAsia="Times New Roman" w:hAnsi="Times New Roman" w:cs="Times New Roman"/>
          <w:sz w:val="24"/>
          <w:szCs w:val="24"/>
        </w:rPr>
        <w:t xml:space="preserve">, 2015 </w:t>
      </w:r>
      <w:proofErr w:type="gramStart"/>
      <w:r>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Leddin</w:t>
      </w:r>
      <w:proofErr w:type="spellEnd"/>
      <w:proofErr w:type="gramEnd"/>
      <w:r>
        <w:rPr>
          <w:rFonts w:ascii="Times New Roman" w:eastAsia="Times New Roman" w:hAnsi="Times New Roman" w:cs="Times New Roman"/>
          <w:sz w:val="24"/>
          <w:szCs w:val="24"/>
        </w:rPr>
        <w:t>, 2024). The results underscore the importance of channeling adaptation measures to specific problem areas, includi</w:t>
      </w:r>
      <w:r>
        <w:rPr>
          <w:rFonts w:ascii="Times New Roman" w:eastAsia="Times New Roman" w:hAnsi="Times New Roman" w:cs="Times New Roman"/>
          <w:sz w:val="24"/>
          <w:szCs w:val="24"/>
        </w:rPr>
        <w:t xml:space="preserve">ng </w:t>
      </w:r>
      <w:r>
        <w:rPr>
          <w:rFonts w:ascii="Times New Roman" w:eastAsia="Times New Roman" w:hAnsi="Times New Roman" w:cs="Times New Roman"/>
          <w:sz w:val="24"/>
          <w:szCs w:val="24"/>
        </w:rPr>
        <w:lastRenderedPageBreak/>
        <w:t>deforestation in Brazil, or infrastructural development in South Africa (Perugini et al., 2021).</w:t>
      </w:r>
      <w:r>
        <w:rPr>
          <w:rFonts w:ascii="Times New Roman" w:eastAsia="Times New Roman" w:hAnsi="Times New Roman" w:cs="Times New Roman"/>
          <w:sz w:val="24"/>
          <w:szCs w:val="24"/>
        </w:rPr>
        <w:br/>
        <w:t>More research should be conducted on long-term policy outcomes after 2020 because of the technology changes as well as the changing economic climate. It bec</w:t>
      </w:r>
      <w:r>
        <w:rPr>
          <w:rFonts w:ascii="Times New Roman" w:eastAsia="Times New Roman" w:hAnsi="Times New Roman" w:cs="Times New Roman"/>
          <w:sz w:val="24"/>
          <w:szCs w:val="24"/>
        </w:rPr>
        <w:t>omes necessary to study the potential of emerging technologies including the CCS to support the currently deployed techniques (Ghebreyesus &amp; Espinosa, 2018). Further work should also be devoted to the interaction between climate policies and relevant socio</w:t>
      </w:r>
      <w:r>
        <w:rPr>
          <w:rFonts w:ascii="Times New Roman" w:eastAsia="Times New Roman" w:hAnsi="Times New Roman" w:cs="Times New Roman"/>
          <w:sz w:val="24"/>
          <w:szCs w:val="24"/>
        </w:rPr>
        <w:t>-economic parameters like the level of inequality and energy availability (Kim et al., 2014). Enhancing the coverage by including new geographic regions would give a broader analysis of the climate mitigation activity globally for Southeast Asia and Sub-Sa</w:t>
      </w:r>
      <w:r>
        <w:rPr>
          <w:rFonts w:ascii="Times New Roman" w:eastAsia="Times New Roman" w:hAnsi="Times New Roman" w:cs="Times New Roman"/>
          <w:sz w:val="24"/>
          <w:szCs w:val="24"/>
        </w:rPr>
        <w:t>haran Africa (Graves et al., 2020 &amp; Landrigan et al., 2023). Future studies should investigate the behavioral and cultural antecedents of policy acceptance for two reasons, the former policy fundamentals may be contingent on the reception of the populace t</w:t>
      </w:r>
      <w:r>
        <w:rPr>
          <w:rFonts w:ascii="Times New Roman" w:eastAsia="Times New Roman" w:hAnsi="Times New Roman" w:cs="Times New Roman"/>
          <w:sz w:val="24"/>
          <w:szCs w:val="24"/>
        </w:rPr>
        <w:t>owards such policies as seen through the support of carbon price and other RE changes (Hamilton et al., 2021&amp; Kutlu, 2020).</w:t>
      </w:r>
    </w:p>
    <w:p w14:paraId="531F07B9"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concentrated on four policy changes, indicating that there might be other significant factors, including technological exe</w:t>
      </w:r>
      <w:r>
        <w:rPr>
          <w:rFonts w:ascii="Times New Roman" w:eastAsia="Times New Roman" w:hAnsi="Times New Roman" w:cs="Times New Roman"/>
          <w:sz w:val="24"/>
          <w:szCs w:val="24"/>
        </w:rPr>
        <w:t>cutives and global treaties. It also has the potential to confine the generalizability of the findings to rapidly evolving global environments such as the post-2020 landscape that includes occurrences such as the COVID-19 pandemic and more ambitious climat</w:t>
      </w:r>
      <w:r>
        <w:rPr>
          <w:rFonts w:ascii="Times New Roman" w:eastAsia="Times New Roman" w:hAnsi="Times New Roman" w:cs="Times New Roman"/>
          <w:sz w:val="24"/>
          <w:szCs w:val="24"/>
        </w:rPr>
        <w:t>e action under the Paris Accord. A drawback is that the study targets quantitative variables only on the implementation issue and fails to present qualitative data on socio-political factors within the policy environment. The study overlooks political oppo</w:t>
      </w:r>
      <w:r>
        <w:rPr>
          <w:rFonts w:ascii="Times New Roman" w:eastAsia="Times New Roman" w:hAnsi="Times New Roman" w:cs="Times New Roman"/>
          <w:sz w:val="24"/>
          <w:szCs w:val="24"/>
        </w:rPr>
        <w:t>sition or people’s rejection of CP in some areas due to its effectiveness. Closing these gaps would make the research stronger in the future, thus offering better support for the development of the global climate policy.</w:t>
      </w:r>
    </w:p>
    <w:p w14:paraId="68782310" w14:textId="77777777" w:rsidR="0005104D" w:rsidRDefault="0005104D">
      <w:pPr>
        <w:spacing w:line="360" w:lineRule="auto"/>
        <w:jc w:val="both"/>
        <w:rPr>
          <w:rFonts w:ascii="Times New Roman" w:eastAsia="Times New Roman" w:hAnsi="Times New Roman" w:cs="Times New Roman"/>
          <w:sz w:val="24"/>
          <w:szCs w:val="24"/>
        </w:rPr>
      </w:pPr>
    </w:p>
    <w:p w14:paraId="63E61B5D"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0DB4B6F9"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Targets for carbon foo</w:t>
      </w:r>
      <w:r>
        <w:rPr>
          <w:rFonts w:ascii="Times New Roman" w:eastAsia="Times New Roman" w:hAnsi="Times New Roman" w:cs="Times New Roman"/>
          <w:sz w:val="24"/>
          <w:szCs w:val="24"/>
        </w:rPr>
        <w:t>tprint reduction during the years 2000 to 2020 made by different countries and regions described in the content make the compare and contrast points for how much success has been made through different policies. Germany could be deemed as demonstrating a s</w:t>
      </w:r>
      <w:r>
        <w:rPr>
          <w:rFonts w:ascii="Times New Roman" w:eastAsia="Times New Roman" w:hAnsi="Times New Roman" w:cs="Times New Roman"/>
          <w:sz w:val="24"/>
          <w:szCs w:val="24"/>
        </w:rPr>
        <w:t xml:space="preserve">trong commitment, Germany lowered its CO₂ emissions by 28%, due to the CP (25%) and RE sources (the rest 30%). Such a success points to the appropriateness of policy combination which utilizes different policy tools. The European Union was the only leader </w:t>
      </w:r>
      <w:r>
        <w:rPr>
          <w:rFonts w:ascii="Times New Roman" w:eastAsia="Times New Roman" w:hAnsi="Times New Roman" w:cs="Times New Roman"/>
          <w:sz w:val="24"/>
          <w:szCs w:val="24"/>
        </w:rPr>
        <w:t xml:space="preserve">that achieved a phenomenal 35 % cut, it was evidence of the positive cooperation in RE projects and the implementation of strict </w:t>
      </w:r>
      <w:r>
        <w:rPr>
          <w:rFonts w:ascii="Times New Roman" w:eastAsia="Times New Roman" w:hAnsi="Times New Roman" w:cs="Times New Roman"/>
          <w:sz w:val="24"/>
          <w:szCs w:val="24"/>
        </w:rPr>
        <w:lastRenderedPageBreak/>
        <w:t>energy conservation policies. Brazil reduced its emissions by 12% due to its anti-deforestation policies, which shows that tack</w:t>
      </w:r>
      <w:r>
        <w:rPr>
          <w:rFonts w:ascii="Times New Roman" w:eastAsia="Times New Roman" w:hAnsi="Times New Roman" w:cs="Times New Roman"/>
          <w:sz w:val="24"/>
          <w:szCs w:val="24"/>
        </w:rPr>
        <w:t>ling land-use change is effective in cutting carbon emissions. Albeit at a higher level, South Africa attained a 10% cut, using the diversified approach that involved renewable power, carbon markets, and restrictions on deforestation. The intermediate decl</w:t>
      </w:r>
      <w:r>
        <w:rPr>
          <w:rFonts w:ascii="Times New Roman" w:eastAsia="Times New Roman" w:hAnsi="Times New Roman" w:cs="Times New Roman"/>
          <w:sz w:val="24"/>
          <w:szCs w:val="24"/>
        </w:rPr>
        <w:t>ine of 14% in China and 18% in the US has also been credited to RE and other schemes and measures such as CP while the bar is still low for betterment. The European Union has been extremely aggressive in the push for renewable power production and currentl</w:t>
      </w:r>
      <w:r>
        <w:rPr>
          <w:rFonts w:ascii="Times New Roman" w:eastAsia="Times New Roman" w:hAnsi="Times New Roman" w:cs="Times New Roman"/>
          <w:sz w:val="24"/>
          <w:szCs w:val="24"/>
        </w:rPr>
        <w:t>y has a target of reducing CO₂ emissions by 40 % by 2024. Due to the diverse nature of these steps, the overall accumulation of the information strengthens the understanding that the integration of CP, RE, deforestation policies, and energy efficiency meas</w:t>
      </w:r>
      <w:r>
        <w:rPr>
          <w:rFonts w:ascii="Times New Roman" w:eastAsia="Times New Roman" w:hAnsi="Times New Roman" w:cs="Times New Roman"/>
          <w:sz w:val="24"/>
          <w:szCs w:val="24"/>
        </w:rPr>
        <w:t>ures can act as a feasible approach to eliminating carbon footprints and fighting climate change successfully.</w:t>
      </w:r>
    </w:p>
    <w:p w14:paraId="68DC2F6B" w14:textId="77777777" w:rsidR="0005104D" w:rsidRDefault="0005104D">
      <w:pPr>
        <w:spacing w:line="360" w:lineRule="auto"/>
        <w:jc w:val="both"/>
        <w:rPr>
          <w:rFonts w:ascii="Times New Roman" w:eastAsia="Times New Roman" w:hAnsi="Times New Roman" w:cs="Times New Roman"/>
          <w:b/>
          <w:sz w:val="24"/>
          <w:szCs w:val="24"/>
        </w:rPr>
      </w:pPr>
    </w:p>
    <w:p w14:paraId="62140837"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358C18D9" w14:textId="77777777" w:rsidR="0005104D" w:rsidRDefault="0005104D">
      <w:pPr>
        <w:spacing w:line="360" w:lineRule="auto"/>
        <w:jc w:val="both"/>
        <w:rPr>
          <w:rFonts w:ascii="Times New Roman" w:eastAsia="Times New Roman" w:hAnsi="Times New Roman" w:cs="Times New Roman"/>
          <w:b/>
          <w:sz w:val="24"/>
          <w:szCs w:val="24"/>
        </w:rPr>
      </w:pPr>
    </w:p>
    <w:p w14:paraId="5AA201C4"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Abbass, K., Qasim, M. Z., Song, H., Murshed, M., Mahmood, H., &amp; Younis, I. (2022). A review of the global climate change impacts, a</w:t>
      </w:r>
      <w:r>
        <w:rPr>
          <w:rFonts w:ascii="Times New Roman" w:eastAsia="Times New Roman" w:hAnsi="Times New Roman" w:cs="Times New Roman"/>
          <w:sz w:val="24"/>
          <w:szCs w:val="24"/>
          <w:highlight w:val="white"/>
        </w:rPr>
        <w:t xml:space="preserve">daptation, and sustainable mitigation measures. </w:t>
      </w:r>
      <w:r>
        <w:rPr>
          <w:rFonts w:ascii="Times New Roman" w:eastAsia="Times New Roman" w:hAnsi="Times New Roman" w:cs="Times New Roman"/>
          <w:i/>
          <w:sz w:val="24"/>
          <w:szCs w:val="24"/>
          <w:highlight w:val="white"/>
        </w:rPr>
        <w:t>Environmental science and pollution research international, 29</w:t>
      </w:r>
      <w:r>
        <w:rPr>
          <w:rFonts w:ascii="Times New Roman" w:eastAsia="Times New Roman" w:hAnsi="Times New Roman" w:cs="Times New Roman"/>
          <w:sz w:val="24"/>
          <w:szCs w:val="24"/>
          <w:highlight w:val="white"/>
        </w:rPr>
        <w:t>(28), 42539–42559.</w:t>
      </w:r>
      <w:hyperlink r:id="rId10">
        <w:r w:rsidR="0005104D">
          <w:rPr>
            <w:rFonts w:ascii="Times New Roman" w:eastAsia="Times New Roman" w:hAnsi="Times New Roman" w:cs="Times New Roman"/>
            <w:sz w:val="24"/>
            <w:szCs w:val="24"/>
            <w:highlight w:val="white"/>
          </w:rPr>
          <w:t xml:space="preserve"> </w:t>
        </w:r>
      </w:hyperlink>
      <w:hyperlink r:id="rId11">
        <w:r w:rsidR="0005104D">
          <w:rPr>
            <w:rFonts w:ascii="Times New Roman" w:eastAsia="Times New Roman" w:hAnsi="Times New Roman" w:cs="Times New Roman"/>
            <w:color w:val="1155CC"/>
            <w:sz w:val="24"/>
            <w:szCs w:val="24"/>
            <w:highlight w:val="white"/>
            <w:u w:val="single"/>
          </w:rPr>
          <w:t>https://doi.org/10.1007/s11356-022-19718-6</w:t>
        </w:r>
      </w:hyperlink>
    </w:p>
    <w:p w14:paraId="142A9A3E"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Booth, A. (2022). Carbon footprint modeling of national health systems: Opportunities, challenges, and recommendations. </w:t>
      </w:r>
      <w:r>
        <w:rPr>
          <w:rFonts w:ascii="Times New Roman" w:eastAsia="Times New Roman" w:hAnsi="Times New Roman" w:cs="Times New Roman"/>
          <w:i/>
          <w:sz w:val="24"/>
          <w:szCs w:val="24"/>
          <w:highlight w:val="white"/>
        </w:rPr>
        <w:t>The International journal of health planning and management, 37</w:t>
      </w:r>
      <w:r>
        <w:rPr>
          <w:rFonts w:ascii="Times New Roman" w:eastAsia="Times New Roman" w:hAnsi="Times New Roman" w:cs="Times New Roman"/>
          <w:sz w:val="24"/>
          <w:szCs w:val="24"/>
          <w:highlight w:val="white"/>
        </w:rPr>
        <w:t>(4), 1885–1893.</w:t>
      </w:r>
      <w:hyperlink r:id="rId12">
        <w:r w:rsidR="0005104D">
          <w:rPr>
            <w:rFonts w:ascii="Times New Roman" w:eastAsia="Times New Roman" w:hAnsi="Times New Roman" w:cs="Times New Roman"/>
            <w:sz w:val="24"/>
            <w:szCs w:val="24"/>
            <w:highlight w:val="white"/>
          </w:rPr>
          <w:t xml:space="preserve"> </w:t>
        </w:r>
      </w:hyperlink>
      <w:hyperlink r:id="rId13">
        <w:r w:rsidR="0005104D">
          <w:rPr>
            <w:rFonts w:ascii="Times New Roman" w:eastAsia="Times New Roman" w:hAnsi="Times New Roman" w:cs="Times New Roman"/>
            <w:color w:val="1155CC"/>
            <w:sz w:val="24"/>
            <w:szCs w:val="24"/>
            <w:highlight w:val="white"/>
            <w:u w:val="single"/>
          </w:rPr>
          <w:t>https://doi.org/10.1002/hpm.3447</w:t>
        </w:r>
      </w:hyperlink>
    </w:p>
    <w:p w14:paraId="416BEE6D"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Chan, A. W., Hon, K. L., Leung, T. F., Ho, M. H., Rosa Duque, J. S., &amp; Lee, T. H. (2018). The effects of global warming on allergic d</w:t>
      </w:r>
      <w:r>
        <w:rPr>
          <w:rFonts w:ascii="Times New Roman" w:eastAsia="Times New Roman" w:hAnsi="Times New Roman" w:cs="Times New Roman"/>
          <w:sz w:val="24"/>
          <w:szCs w:val="24"/>
          <w:highlight w:val="white"/>
        </w:rPr>
        <w:t xml:space="preserve">iseases. </w:t>
      </w:r>
      <w:r>
        <w:rPr>
          <w:rFonts w:ascii="Times New Roman" w:eastAsia="Times New Roman" w:hAnsi="Times New Roman" w:cs="Times New Roman"/>
          <w:i/>
          <w:sz w:val="24"/>
          <w:szCs w:val="24"/>
          <w:highlight w:val="white"/>
        </w:rPr>
        <w:t xml:space="preserve">Hong Kong medical journal = </w:t>
      </w:r>
      <w:proofErr w:type="spellStart"/>
      <w:r>
        <w:rPr>
          <w:rFonts w:ascii="Times New Roman" w:eastAsia="Times New Roman" w:hAnsi="Times New Roman" w:cs="Times New Roman"/>
          <w:i/>
          <w:sz w:val="24"/>
          <w:szCs w:val="24"/>
          <w:highlight w:val="white"/>
        </w:rPr>
        <w:t>Xianggang</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yi</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xue</w:t>
      </w:r>
      <w:proofErr w:type="spellEnd"/>
      <w:r>
        <w:rPr>
          <w:rFonts w:ascii="Times New Roman" w:eastAsia="Times New Roman" w:hAnsi="Times New Roman" w:cs="Times New Roman"/>
          <w:i/>
          <w:sz w:val="24"/>
          <w:szCs w:val="24"/>
          <w:highlight w:val="white"/>
        </w:rPr>
        <w:t xml:space="preserve"> za </w:t>
      </w:r>
      <w:proofErr w:type="spellStart"/>
      <w:r>
        <w:rPr>
          <w:rFonts w:ascii="Times New Roman" w:eastAsia="Times New Roman" w:hAnsi="Times New Roman" w:cs="Times New Roman"/>
          <w:i/>
          <w:sz w:val="24"/>
          <w:szCs w:val="24"/>
          <w:highlight w:val="white"/>
        </w:rPr>
        <w:t>zhi</w:t>
      </w:r>
      <w:proofErr w:type="spellEnd"/>
      <w:r>
        <w:rPr>
          <w:rFonts w:ascii="Times New Roman" w:eastAsia="Times New Roman" w:hAnsi="Times New Roman" w:cs="Times New Roman"/>
          <w:i/>
          <w:sz w:val="24"/>
          <w:szCs w:val="24"/>
          <w:highlight w:val="white"/>
        </w:rPr>
        <w:t>, 24</w:t>
      </w:r>
      <w:r>
        <w:rPr>
          <w:rFonts w:ascii="Times New Roman" w:eastAsia="Times New Roman" w:hAnsi="Times New Roman" w:cs="Times New Roman"/>
          <w:sz w:val="24"/>
          <w:szCs w:val="24"/>
          <w:highlight w:val="white"/>
        </w:rPr>
        <w:t>(3), 277–284.</w:t>
      </w:r>
      <w:hyperlink r:id="rId14">
        <w:r w:rsidR="0005104D">
          <w:rPr>
            <w:rFonts w:ascii="Times New Roman" w:eastAsia="Times New Roman" w:hAnsi="Times New Roman" w:cs="Times New Roman"/>
            <w:sz w:val="24"/>
            <w:szCs w:val="24"/>
            <w:highlight w:val="white"/>
          </w:rPr>
          <w:t xml:space="preserve"> </w:t>
        </w:r>
      </w:hyperlink>
      <w:hyperlink r:id="rId15">
        <w:r w:rsidR="0005104D">
          <w:rPr>
            <w:rFonts w:ascii="Times New Roman" w:eastAsia="Times New Roman" w:hAnsi="Times New Roman" w:cs="Times New Roman"/>
            <w:color w:val="1155CC"/>
            <w:sz w:val="24"/>
            <w:szCs w:val="24"/>
            <w:highlight w:val="white"/>
            <w:u w:val="single"/>
          </w:rPr>
          <w:t>https://doi.org/10.12809/hkmj177046</w:t>
        </w:r>
      </w:hyperlink>
    </w:p>
    <w:p w14:paraId="64A6A463"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Cordero, E. C., Centeno, D., &amp; T</w:t>
      </w:r>
      <w:r>
        <w:rPr>
          <w:rFonts w:ascii="Times New Roman" w:eastAsia="Times New Roman" w:hAnsi="Times New Roman" w:cs="Times New Roman"/>
          <w:sz w:val="24"/>
          <w:szCs w:val="24"/>
          <w:highlight w:val="white"/>
        </w:rPr>
        <w:t xml:space="preserve">odd, A. M. (2020). The role of climate change education on individual lifetime carbon emissions. </w:t>
      </w:r>
      <w:proofErr w:type="spellStart"/>
      <w:r>
        <w:rPr>
          <w:rFonts w:ascii="Times New Roman" w:eastAsia="Times New Roman" w:hAnsi="Times New Roman" w:cs="Times New Roman"/>
          <w:i/>
          <w:sz w:val="24"/>
          <w:szCs w:val="24"/>
          <w:highlight w:val="white"/>
        </w:rPr>
        <w:t>PloS</w:t>
      </w:r>
      <w:proofErr w:type="spellEnd"/>
      <w:r>
        <w:rPr>
          <w:rFonts w:ascii="Times New Roman" w:eastAsia="Times New Roman" w:hAnsi="Times New Roman" w:cs="Times New Roman"/>
          <w:i/>
          <w:sz w:val="24"/>
          <w:szCs w:val="24"/>
          <w:highlight w:val="white"/>
        </w:rPr>
        <w:t xml:space="preserve"> one, 15</w:t>
      </w:r>
      <w:r>
        <w:rPr>
          <w:rFonts w:ascii="Times New Roman" w:eastAsia="Times New Roman" w:hAnsi="Times New Roman" w:cs="Times New Roman"/>
          <w:sz w:val="24"/>
          <w:szCs w:val="24"/>
          <w:highlight w:val="white"/>
        </w:rPr>
        <w:t>(2), e0206266.</w:t>
      </w:r>
      <w:hyperlink r:id="rId16">
        <w:r w:rsidR="0005104D">
          <w:rPr>
            <w:rFonts w:ascii="Times New Roman" w:eastAsia="Times New Roman" w:hAnsi="Times New Roman" w:cs="Times New Roman"/>
            <w:sz w:val="24"/>
            <w:szCs w:val="24"/>
            <w:highlight w:val="white"/>
          </w:rPr>
          <w:t xml:space="preserve"> </w:t>
        </w:r>
      </w:hyperlink>
      <w:hyperlink r:id="rId17">
        <w:r w:rsidR="0005104D">
          <w:rPr>
            <w:rFonts w:ascii="Times New Roman" w:eastAsia="Times New Roman" w:hAnsi="Times New Roman" w:cs="Times New Roman"/>
            <w:color w:val="1155CC"/>
            <w:sz w:val="24"/>
            <w:szCs w:val="24"/>
            <w:highlight w:val="white"/>
            <w:u w:val="single"/>
          </w:rPr>
          <w:t>https://doi.org/10.1371/journal.pone.0206266</w:t>
        </w:r>
      </w:hyperlink>
    </w:p>
    <w:p w14:paraId="67FD4D2B"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 Vita, A., </w:t>
      </w:r>
      <w:proofErr w:type="spellStart"/>
      <w:r>
        <w:rPr>
          <w:rFonts w:ascii="Times New Roman" w:eastAsia="Times New Roman" w:hAnsi="Times New Roman" w:cs="Times New Roman"/>
          <w:sz w:val="24"/>
          <w:szCs w:val="24"/>
          <w:highlight w:val="white"/>
        </w:rPr>
        <w:t>Belmusto</w:t>
      </w:r>
      <w:proofErr w:type="spellEnd"/>
      <w:r>
        <w:rPr>
          <w:rFonts w:ascii="Times New Roman" w:eastAsia="Times New Roman" w:hAnsi="Times New Roman" w:cs="Times New Roman"/>
          <w:sz w:val="24"/>
          <w:szCs w:val="24"/>
          <w:highlight w:val="white"/>
        </w:rPr>
        <w:t xml:space="preserve">, A., Di Perna, F., </w:t>
      </w:r>
      <w:proofErr w:type="spellStart"/>
      <w:r>
        <w:rPr>
          <w:rFonts w:ascii="Times New Roman" w:eastAsia="Times New Roman" w:hAnsi="Times New Roman" w:cs="Times New Roman"/>
          <w:sz w:val="24"/>
          <w:szCs w:val="24"/>
          <w:highlight w:val="white"/>
        </w:rPr>
        <w:t>Tremamunno</w:t>
      </w:r>
      <w:proofErr w:type="spellEnd"/>
      <w:r>
        <w:rPr>
          <w:rFonts w:ascii="Times New Roman" w:eastAsia="Times New Roman" w:hAnsi="Times New Roman" w:cs="Times New Roman"/>
          <w:sz w:val="24"/>
          <w:szCs w:val="24"/>
          <w:highlight w:val="white"/>
        </w:rPr>
        <w:t>, S., De Matteis, G., Franceschi, F., Covino, M., &amp; CLIMPS Group (2024). The Impact of Climate Change and Extreme Weather Conditions on Cardiovascular Health and Ac</w:t>
      </w:r>
      <w:r>
        <w:rPr>
          <w:rFonts w:ascii="Times New Roman" w:eastAsia="Times New Roman" w:hAnsi="Times New Roman" w:cs="Times New Roman"/>
          <w:sz w:val="24"/>
          <w:szCs w:val="24"/>
          <w:highlight w:val="white"/>
        </w:rPr>
        <w:t xml:space="preserve">ute Cardiovascular Diseases. </w:t>
      </w:r>
      <w:r>
        <w:rPr>
          <w:rFonts w:ascii="Times New Roman" w:eastAsia="Times New Roman" w:hAnsi="Times New Roman" w:cs="Times New Roman"/>
          <w:i/>
          <w:sz w:val="24"/>
          <w:szCs w:val="24"/>
          <w:highlight w:val="white"/>
        </w:rPr>
        <w:t>Journal of Clinical Medicine, 13</w:t>
      </w:r>
      <w:r>
        <w:rPr>
          <w:rFonts w:ascii="Times New Roman" w:eastAsia="Times New Roman" w:hAnsi="Times New Roman" w:cs="Times New Roman"/>
          <w:sz w:val="24"/>
          <w:szCs w:val="24"/>
          <w:highlight w:val="white"/>
        </w:rPr>
        <w:t>(3), 759.</w:t>
      </w:r>
      <w:hyperlink r:id="rId18">
        <w:r w:rsidR="0005104D">
          <w:rPr>
            <w:rFonts w:ascii="Times New Roman" w:eastAsia="Times New Roman" w:hAnsi="Times New Roman" w:cs="Times New Roman"/>
            <w:sz w:val="24"/>
            <w:szCs w:val="24"/>
            <w:highlight w:val="white"/>
          </w:rPr>
          <w:t xml:space="preserve"> </w:t>
        </w:r>
      </w:hyperlink>
      <w:hyperlink r:id="rId19">
        <w:r w:rsidR="0005104D">
          <w:rPr>
            <w:rFonts w:ascii="Times New Roman" w:eastAsia="Times New Roman" w:hAnsi="Times New Roman" w:cs="Times New Roman"/>
            <w:color w:val="1155CC"/>
            <w:sz w:val="24"/>
            <w:szCs w:val="24"/>
            <w:highlight w:val="white"/>
            <w:u w:val="single"/>
          </w:rPr>
          <w:t>https://doi.org/10.3390/jcm13030759</w:t>
        </w:r>
      </w:hyperlink>
    </w:p>
    <w:p w14:paraId="7B865757"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Ebi, K. L., Vanos, J., Baldwin, J. W., </w:t>
      </w:r>
      <w:r>
        <w:rPr>
          <w:rFonts w:ascii="Times New Roman" w:eastAsia="Times New Roman" w:hAnsi="Times New Roman" w:cs="Times New Roman"/>
          <w:sz w:val="24"/>
          <w:szCs w:val="24"/>
          <w:highlight w:val="white"/>
        </w:rPr>
        <w:t xml:space="preserve">Bell, J. E., </w:t>
      </w:r>
      <w:proofErr w:type="spellStart"/>
      <w:r>
        <w:rPr>
          <w:rFonts w:ascii="Times New Roman" w:eastAsia="Times New Roman" w:hAnsi="Times New Roman" w:cs="Times New Roman"/>
          <w:sz w:val="24"/>
          <w:szCs w:val="24"/>
          <w:highlight w:val="white"/>
        </w:rPr>
        <w:t>Hondula</w:t>
      </w:r>
      <w:proofErr w:type="spellEnd"/>
      <w:r>
        <w:rPr>
          <w:rFonts w:ascii="Times New Roman" w:eastAsia="Times New Roman" w:hAnsi="Times New Roman" w:cs="Times New Roman"/>
          <w:sz w:val="24"/>
          <w:szCs w:val="24"/>
          <w:highlight w:val="white"/>
        </w:rPr>
        <w:t xml:space="preserve">, D. M., Errett, N. A., Hayes, K., Reid, C. E., Saha, S., Spector, J., &amp; Berry, P. (2021). Extreme Weather and Climate Change: Population Health and Health System Implications. </w:t>
      </w:r>
      <w:r>
        <w:rPr>
          <w:rFonts w:ascii="Times New Roman" w:eastAsia="Times New Roman" w:hAnsi="Times New Roman" w:cs="Times New Roman"/>
          <w:i/>
          <w:sz w:val="24"/>
          <w:szCs w:val="24"/>
          <w:highlight w:val="white"/>
        </w:rPr>
        <w:t>Annual review of public health, 42</w:t>
      </w:r>
      <w:r>
        <w:rPr>
          <w:rFonts w:ascii="Times New Roman" w:eastAsia="Times New Roman" w:hAnsi="Times New Roman" w:cs="Times New Roman"/>
          <w:sz w:val="24"/>
          <w:szCs w:val="24"/>
          <w:highlight w:val="white"/>
        </w:rPr>
        <w:t>, 293–315.</w:t>
      </w:r>
      <w:hyperlink r:id="rId20">
        <w:r w:rsidR="0005104D">
          <w:rPr>
            <w:rFonts w:ascii="Times New Roman" w:eastAsia="Times New Roman" w:hAnsi="Times New Roman" w:cs="Times New Roman"/>
            <w:sz w:val="24"/>
            <w:szCs w:val="24"/>
            <w:highlight w:val="white"/>
          </w:rPr>
          <w:t xml:space="preserve"> </w:t>
        </w:r>
      </w:hyperlink>
      <w:hyperlink r:id="rId21">
        <w:r w:rsidR="0005104D">
          <w:rPr>
            <w:rFonts w:ascii="Times New Roman" w:eastAsia="Times New Roman" w:hAnsi="Times New Roman" w:cs="Times New Roman"/>
            <w:color w:val="1155CC"/>
            <w:sz w:val="24"/>
            <w:szCs w:val="24"/>
            <w:highlight w:val="white"/>
            <w:u w:val="single"/>
          </w:rPr>
          <w:t>https://doi.org/10.1146/annurev-publhealth-012420-105026</w:t>
        </w:r>
      </w:hyperlink>
    </w:p>
    <w:p w14:paraId="6BD193F2"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Esty, D. C., &amp; Bell, M. L. (2018). Business Leadership in Glo</w:t>
      </w:r>
      <w:r>
        <w:rPr>
          <w:rFonts w:ascii="Times New Roman" w:eastAsia="Times New Roman" w:hAnsi="Times New Roman" w:cs="Times New Roman"/>
          <w:sz w:val="24"/>
          <w:szCs w:val="24"/>
          <w:highlight w:val="white"/>
        </w:rPr>
        <w:t xml:space="preserve">bal Climate Change Responses. </w:t>
      </w:r>
      <w:r>
        <w:rPr>
          <w:rFonts w:ascii="Times New Roman" w:eastAsia="Times New Roman" w:hAnsi="Times New Roman" w:cs="Times New Roman"/>
          <w:i/>
          <w:sz w:val="24"/>
          <w:szCs w:val="24"/>
          <w:highlight w:val="white"/>
        </w:rPr>
        <w:t>American journal of public health, 108</w:t>
      </w:r>
      <w:r>
        <w:rPr>
          <w:rFonts w:ascii="Times New Roman" w:eastAsia="Times New Roman" w:hAnsi="Times New Roman" w:cs="Times New Roman"/>
          <w:sz w:val="24"/>
          <w:szCs w:val="24"/>
          <w:highlight w:val="white"/>
        </w:rPr>
        <w:t>(S2), S80–S84.</w:t>
      </w:r>
      <w:hyperlink r:id="rId22">
        <w:r w:rsidR="0005104D">
          <w:rPr>
            <w:rFonts w:ascii="Times New Roman" w:eastAsia="Times New Roman" w:hAnsi="Times New Roman" w:cs="Times New Roman"/>
            <w:sz w:val="24"/>
            <w:szCs w:val="24"/>
            <w:highlight w:val="white"/>
          </w:rPr>
          <w:t xml:space="preserve"> </w:t>
        </w:r>
      </w:hyperlink>
      <w:hyperlink r:id="rId23">
        <w:r w:rsidR="0005104D">
          <w:rPr>
            <w:rFonts w:ascii="Times New Roman" w:eastAsia="Times New Roman" w:hAnsi="Times New Roman" w:cs="Times New Roman"/>
            <w:color w:val="1155CC"/>
            <w:sz w:val="24"/>
            <w:szCs w:val="24"/>
            <w:highlight w:val="white"/>
            <w:u w:val="single"/>
          </w:rPr>
          <w:t>https://doi.org/10.2105/AJPH.2018.304336</w:t>
        </w:r>
      </w:hyperlink>
    </w:p>
    <w:p w14:paraId="6225A7F8"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Fehren</w:t>
      </w:r>
      <w:proofErr w:type="spellEnd"/>
      <w:r>
        <w:rPr>
          <w:rFonts w:ascii="Times New Roman" w:eastAsia="Times New Roman" w:hAnsi="Times New Roman" w:cs="Times New Roman"/>
          <w:sz w:val="24"/>
          <w:szCs w:val="24"/>
          <w:highlight w:val="white"/>
        </w:rPr>
        <w:t xml:space="preserve">, V., </w:t>
      </w:r>
      <w:proofErr w:type="spellStart"/>
      <w:r>
        <w:rPr>
          <w:rFonts w:ascii="Times New Roman" w:eastAsia="Times New Roman" w:hAnsi="Times New Roman" w:cs="Times New Roman"/>
          <w:sz w:val="24"/>
          <w:szCs w:val="24"/>
          <w:highlight w:val="white"/>
        </w:rPr>
        <w:t>Poß</w:t>
      </w:r>
      <w:proofErr w:type="spellEnd"/>
      <w:r>
        <w:rPr>
          <w:rFonts w:ascii="Times New Roman" w:eastAsia="Times New Roman" w:hAnsi="Times New Roman" w:cs="Times New Roman"/>
          <w:sz w:val="24"/>
          <w:szCs w:val="24"/>
          <w:highlight w:val="white"/>
        </w:rPr>
        <w:t xml:space="preserve">-Doering, R., Weis, A., Wensing, M., </w:t>
      </w:r>
      <w:proofErr w:type="spellStart"/>
      <w:r>
        <w:rPr>
          <w:rFonts w:ascii="Times New Roman" w:eastAsia="Times New Roman" w:hAnsi="Times New Roman" w:cs="Times New Roman"/>
          <w:sz w:val="24"/>
          <w:szCs w:val="24"/>
          <w:highlight w:val="white"/>
        </w:rPr>
        <w:t>Szecsenyi</w:t>
      </w:r>
      <w:proofErr w:type="spellEnd"/>
      <w:r>
        <w:rPr>
          <w:rFonts w:ascii="Times New Roman" w:eastAsia="Times New Roman" w:hAnsi="Times New Roman" w:cs="Times New Roman"/>
          <w:sz w:val="24"/>
          <w:szCs w:val="24"/>
          <w:highlight w:val="white"/>
        </w:rPr>
        <w:t xml:space="preserve">, J., &amp; Litke, N. (2023). Climate change mitigation: Qualitative analysis of environmental impact-reducing strategies in German primary care. </w:t>
      </w:r>
      <w:r>
        <w:rPr>
          <w:rFonts w:ascii="Times New Roman" w:eastAsia="Times New Roman" w:hAnsi="Times New Roman" w:cs="Times New Roman"/>
          <w:i/>
          <w:sz w:val="24"/>
          <w:szCs w:val="24"/>
          <w:highlight w:val="white"/>
        </w:rPr>
        <w:t>The European journal of general practice, 29</w:t>
      </w:r>
      <w:r>
        <w:rPr>
          <w:rFonts w:ascii="Times New Roman" w:eastAsia="Times New Roman" w:hAnsi="Times New Roman" w:cs="Times New Roman"/>
          <w:sz w:val="24"/>
          <w:szCs w:val="24"/>
          <w:highlight w:val="white"/>
        </w:rPr>
        <w:t>(1), 2232946.</w:t>
      </w:r>
      <w:hyperlink r:id="rId24">
        <w:r w:rsidR="0005104D">
          <w:rPr>
            <w:rFonts w:ascii="Times New Roman" w:eastAsia="Times New Roman" w:hAnsi="Times New Roman" w:cs="Times New Roman"/>
            <w:sz w:val="24"/>
            <w:szCs w:val="24"/>
            <w:highlight w:val="white"/>
          </w:rPr>
          <w:t xml:space="preserve"> </w:t>
        </w:r>
      </w:hyperlink>
      <w:hyperlink r:id="rId25">
        <w:r w:rsidR="0005104D">
          <w:rPr>
            <w:rFonts w:ascii="Times New Roman" w:eastAsia="Times New Roman" w:hAnsi="Times New Roman" w:cs="Times New Roman"/>
            <w:color w:val="1155CC"/>
            <w:sz w:val="24"/>
            <w:szCs w:val="24"/>
            <w:highlight w:val="white"/>
            <w:u w:val="single"/>
          </w:rPr>
          <w:t>https://doi.org/10.1080/13814788.2023.2232946</w:t>
        </w:r>
      </w:hyperlink>
    </w:p>
    <w:p w14:paraId="59A9B513"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Feigin, S. V., Wiebers, D. O., </w:t>
      </w:r>
      <w:proofErr w:type="spellStart"/>
      <w:r>
        <w:rPr>
          <w:rFonts w:ascii="Times New Roman" w:eastAsia="Times New Roman" w:hAnsi="Times New Roman" w:cs="Times New Roman"/>
          <w:sz w:val="24"/>
          <w:szCs w:val="24"/>
          <w:highlight w:val="white"/>
        </w:rPr>
        <w:t>Lueddeke</w:t>
      </w:r>
      <w:proofErr w:type="spellEnd"/>
      <w:r>
        <w:rPr>
          <w:rFonts w:ascii="Times New Roman" w:eastAsia="Times New Roman" w:hAnsi="Times New Roman" w:cs="Times New Roman"/>
          <w:sz w:val="24"/>
          <w:szCs w:val="24"/>
          <w:highlight w:val="white"/>
        </w:rPr>
        <w:t xml:space="preserve">, G., Morand, S., Lee, K., Knight, A., Brainin, </w:t>
      </w:r>
      <w:r>
        <w:rPr>
          <w:rFonts w:ascii="Times New Roman" w:eastAsia="Times New Roman" w:hAnsi="Times New Roman" w:cs="Times New Roman"/>
          <w:sz w:val="24"/>
          <w:szCs w:val="24"/>
          <w:highlight w:val="white"/>
        </w:rPr>
        <w:t xml:space="preserve">M., Feigin, V. L., </w:t>
      </w:r>
      <w:proofErr w:type="spellStart"/>
      <w:r>
        <w:rPr>
          <w:rFonts w:ascii="Times New Roman" w:eastAsia="Times New Roman" w:hAnsi="Times New Roman" w:cs="Times New Roman"/>
          <w:sz w:val="24"/>
          <w:szCs w:val="24"/>
          <w:highlight w:val="white"/>
        </w:rPr>
        <w:t>Whitfort</w:t>
      </w:r>
      <w:proofErr w:type="spellEnd"/>
      <w:r>
        <w:rPr>
          <w:rFonts w:ascii="Times New Roman" w:eastAsia="Times New Roman" w:hAnsi="Times New Roman" w:cs="Times New Roman"/>
          <w:sz w:val="24"/>
          <w:szCs w:val="24"/>
          <w:highlight w:val="white"/>
        </w:rPr>
        <w:t xml:space="preserve">, A., Marcum, J., Shackelford, T. K., Skerratt, L. F., &amp; Winkler, A. S. (2023). Proposed solutions to anthropogenic climate change: A systematic literature review and a new way forward. </w:t>
      </w:r>
      <w:proofErr w:type="spellStart"/>
      <w:r>
        <w:rPr>
          <w:rFonts w:ascii="Times New Roman" w:eastAsia="Times New Roman" w:hAnsi="Times New Roman" w:cs="Times New Roman"/>
          <w:i/>
          <w:sz w:val="24"/>
          <w:szCs w:val="24"/>
          <w:highlight w:val="white"/>
        </w:rPr>
        <w:t>Heliyon</w:t>
      </w:r>
      <w:proofErr w:type="spellEnd"/>
      <w:r>
        <w:rPr>
          <w:rFonts w:ascii="Times New Roman" w:eastAsia="Times New Roman" w:hAnsi="Times New Roman" w:cs="Times New Roman"/>
          <w:i/>
          <w:sz w:val="24"/>
          <w:szCs w:val="24"/>
          <w:highlight w:val="white"/>
        </w:rPr>
        <w:t>, 9</w:t>
      </w:r>
      <w:r>
        <w:rPr>
          <w:rFonts w:ascii="Times New Roman" w:eastAsia="Times New Roman" w:hAnsi="Times New Roman" w:cs="Times New Roman"/>
          <w:sz w:val="24"/>
          <w:szCs w:val="24"/>
          <w:highlight w:val="white"/>
        </w:rPr>
        <w:t>(10), e20544.</w:t>
      </w:r>
      <w:hyperlink r:id="rId26">
        <w:r w:rsidR="0005104D">
          <w:rPr>
            <w:rFonts w:ascii="Times New Roman" w:eastAsia="Times New Roman" w:hAnsi="Times New Roman" w:cs="Times New Roman"/>
            <w:sz w:val="24"/>
            <w:szCs w:val="24"/>
            <w:highlight w:val="white"/>
          </w:rPr>
          <w:t xml:space="preserve"> </w:t>
        </w:r>
      </w:hyperlink>
      <w:hyperlink r:id="rId27">
        <w:r w:rsidR="0005104D">
          <w:rPr>
            <w:rFonts w:ascii="Times New Roman" w:eastAsia="Times New Roman" w:hAnsi="Times New Roman" w:cs="Times New Roman"/>
            <w:color w:val="1155CC"/>
            <w:sz w:val="24"/>
            <w:szCs w:val="24"/>
            <w:highlight w:val="white"/>
            <w:u w:val="single"/>
          </w:rPr>
          <w:t>https://doi.org/10.1016/j.heliyon.2023.e20544</w:t>
        </w:r>
      </w:hyperlink>
    </w:p>
    <w:p w14:paraId="5E948DE4"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Gilmore, E. A., &amp; </w:t>
      </w:r>
      <w:proofErr w:type="spellStart"/>
      <w:r>
        <w:rPr>
          <w:rFonts w:ascii="Times New Roman" w:eastAsia="Times New Roman" w:hAnsi="Times New Roman" w:cs="Times New Roman"/>
          <w:sz w:val="24"/>
          <w:szCs w:val="24"/>
          <w:highlight w:val="white"/>
        </w:rPr>
        <w:t>Buhaug</w:t>
      </w:r>
      <w:proofErr w:type="spellEnd"/>
      <w:r>
        <w:rPr>
          <w:rFonts w:ascii="Times New Roman" w:eastAsia="Times New Roman" w:hAnsi="Times New Roman" w:cs="Times New Roman"/>
          <w:sz w:val="24"/>
          <w:szCs w:val="24"/>
          <w:highlight w:val="white"/>
        </w:rPr>
        <w:t xml:space="preserve">, H. (2021). Climate mitigation policies and the potential pathways to conflict: Outlining a research agenda. </w:t>
      </w:r>
      <w:r>
        <w:rPr>
          <w:rFonts w:ascii="Times New Roman" w:eastAsia="Times New Roman" w:hAnsi="Times New Roman" w:cs="Times New Roman"/>
          <w:i/>
          <w:sz w:val="24"/>
          <w:szCs w:val="24"/>
          <w:highlight w:val="white"/>
        </w:rPr>
        <w:t>Wiley interdisciplinary reviews. Climate change, 12</w:t>
      </w:r>
      <w:r>
        <w:rPr>
          <w:rFonts w:ascii="Times New Roman" w:eastAsia="Times New Roman" w:hAnsi="Times New Roman" w:cs="Times New Roman"/>
          <w:sz w:val="24"/>
          <w:szCs w:val="24"/>
          <w:highlight w:val="white"/>
        </w:rPr>
        <w:t>(5), e722.</w:t>
      </w:r>
      <w:hyperlink r:id="rId28">
        <w:r w:rsidR="0005104D">
          <w:rPr>
            <w:rFonts w:ascii="Times New Roman" w:eastAsia="Times New Roman" w:hAnsi="Times New Roman" w:cs="Times New Roman"/>
            <w:sz w:val="24"/>
            <w:szCs w:val="24"/>
            <w:highlight w:val="white"/>
          </w:rPr>
          <w:t xml:space="preserve"> </w:t>
        </w:r>
      </w:hyperlink>
      <w:hyperlink r:id="rId29">
        <w:r w:rsidR="0005104D">
          <w:rPr>
            <w:rFonts w:ascii="Times New Roman" w:eastAsia="Times New Roman" w:hAnsi="Times New Roman" w:cs="Times New Roman"/>
            <w:color w:val="1155CC"/>
            <w:sz w:val="24"/>
            <w:szCs w:val="24"/>
            <w:highlight w:val="white"/>
            <w:u w:val="single"/>
          </w:rPr>
          <w:t>https://doi.org/10.1002/wcc.722</w:t>
        </w:r>
      </w:hyperlink>
    </w:p>
    <w:p w14:paraId="04144491"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Graves, R. A., Haugo, R. D., Holz, A., Nielsen-Pincus, M., Jones, A., Kellogg, B., Macdonald, C., Popper, K., &amp; Schindel, M. (2020). Potential greenhouse gas reductions from Natural Climate Solutions in Ore</w:t>
      </w:r>
      <w:r>
        <w:rPr>
          <w:rFonts w:ascii="Times New Roman" w:eastAsia="Times New Roman" w:hAnsi="Times New Roman" w:cs="Times New Roman"/>
          <w:sz w:val="24"/>
          <w:szCs w:val="24"/>
          <w:highlight w:val="white"/>
        </w:rPr>
        <w:t xml:space="preserve">gon, USA. </w:t>
      </w:r>
      <w:proofErr w:type="spellStart"/>
      <w:r>
        <w:rPr>
          <w:rFonts w:ascii="Times New Roman" w:eastAsia="Times New Roman" w:hAnsi="Times New Roman" w:cs="Times New Roman"/>
          <w:i/>
          <w:sz w:val="24"/>
          <w:szCs w:val="24"/>
          <w:highlight w:val="white"/>
        </w:rPr>
        <w:t>PloS</w:t>
      </w:r>
      <w:proofErr w:type="spellEnd"/>
      <w:r>
        <w:rPr>
          <w:rFonts w:ascii="Times New Roman" w:eastAsia="Times New Roman" w:hAnsi="Times New Roman" w:cs="Times New Roman"/>
          <w:i/>
          <w:sz w:val="24"/>
          <w:szCs w:val="24"/>
          <w:highlight w:val="white"/>
        </w:rPr>
        <w:t xml:space="preserve"> one, 15</w:t>
      </w:r>
      <w:r>
        <w:rPr>
          <w:rFonts w:ascii="Times New Roman" w:eastAsia="Times New Roman" w:hAnsi="Times New Roman" w:cs="Times New Roman"/>
          <w:sz w:val="24"/>
          <w:szCs w:val="24"/>
          <w:highlight w:val="white"/>
        </w:rPr>
        <w:t>(4), e0230424.</w:t>
      </w:r>
      <w:hyperlink r:id="rId30">
        <w:r w:rsidR="0005104D">
          <w:rPr>
            <w:rFonts w:ascii="Times New Roman" w:eastAsia="Times New Roman" w:hAnsi="Times New Roman" w:cs="Times New Roman"/>
            <w:sz w:val="24"/>
            <w:szCs w:val="24"/>
            <w:highlight w:val="white"/>
          </w:rPr>
          <w:t xml:space="preserve"> </w:t>
        </w:r>
      </w:hyperlink>
      <w:hyperlink r:id="rId31">
        <w:r w:rsidR="0005104D">
          <w:rPr>
            <w:rFonts w:ascii="Times New Roman" w:eastAsia="Times New Roman" w:hAnsi="Times New Roman" w:cs="Times New Roman"/>
            <w:color w:val="1155CC"/>
            <w:sz w:val="24"/>
            <w:szCs w:val="24"/>
            <w:highlight w:val="white"/>
            <w:u w:val="single"/>
          </w:rPr>
          <w:t>https://doi.org/10.1371/journal.pone.0230424</w:t>
        </w:r>
      </w:hyperlink>
    </w:p>
    <w:p w14:paraId="18970EE6"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Hamilton, I., Kennard, H., </w:t>
      </w:r>
      <w:proofErr w:type="spellStart"/>
      <w:r>
        <w:rPr>
          <w:rFonts w:ascii="Times New Roman" w:eastAsia="Times New Roman" w:hAnsi="Times New Roman" w:cs="Times New Roman"/>
          <w:sz w:val="24"/>
          <w:szCs w:val="24"/>
          <w:highlight w:val="white"/>
        </w:rPr>
        <w:t>McGushin</w:t>
      </w:r>
      <w:proofErr w:type="spellEnd"/>
      <w:r>
        <w:rPr>
          <w:rFonts w:ascii="Times New Roman" w:eastAsia="Times New Roman" w:hAnsi="Times New Roman" w:cs="Times New Roman"/>
          <w:sz w:val="24"/>
          <w:szCs w:val="24"/>
          <w:highlight w:val="white"/>
        </w:rPr>
        <w:t>, A., Höglu</w:t>
      </w:r>
      <w:r>
        <w:rPr>
          <w:rFonts w:ascii="Times New Roman" w:eastAsia="Times New Roman" w:hAnsi="Times New Roman" w:cs="Times New Roman"/>
          <w:sz w:val="24"/>
          <w:szCs w:val="24"/>
          <w:highlight w:val="white"/>
        </w:rPr>
        <w:t xml:space="preserve">nd-Isaksson, L., Kiesewetter, G., Lott, M., Milner, J., Purohit, P., Rafaj, P., Sharma, R., Springmann, M., Woodcock, J., &amp; Watts, N. (2021). The public health implications of the Paris Agreement: a modeling study. </w:t>
      </w:r>
      <w:r>
        <w:rPr>
          <w:rFonts w:ascii="Times New Roman" w:eastAsia="Times New Roman" w:hAnsi="Times New Roman" w:cs="Times New Roman"/>
          <w:i/>
          <w:sz w:val="24"/>
          <w:szCs w:val="24"/>
          <w:highlight w:val="white"/>
        </w:rPr>
        <w:t>The Lancet. Planetary health, 5</w:t>
      </w:r>
      <w:r>
        <w:rPr>
          <w:rFonts w:ascii="Times New Roman" w:eastAsia="Times New Roman" w:hAnsi="Times New Roman" w:cs="Times New Roman"/>
          <w:sz w:val="24"/>
          <w:szCs w:val="24"/>
          <w:highlight w:val="white"/>
        </w:rPr>
        <w:t>(2), e74–e</w:t>
      </w:r>
      <w:r>
        <w:rPr>
          <w:rFonts w:ascii="Times New Roman" w:eastAsia="Times New Roman" w:hAnsi="Times New Roman" w:cs="Times New Roman"/>
          <w:sz w:val="24"/>
          <w:szCs w:val="24"/>
          <w:highlight w:val="white"/>
        </w:rPr>
        <w:t>83.</w:t>
      </w:r>
      <w:hyperlink r:id="rId32">
        <w:r w:rsidR="0005104D">
          <w:rPr>
            <w:rFonts w:ascii="Times New Roman" w:eastAsia="Times New Roman" w:hAnsi="Times New Roman" w:cs="Times New Roman"/>
            <w:sz w:val="24"/>
            <w:szCs w:val="24"/>
            <w:highlight w:val="white"/>
          </w:rPr>
          <w:t xml:space="preserve"> </w:t>
        </w:r>
      </w:hyperlink>
      <w:hyperlink r:id="rId33">
        <w:r w:rsidR="0005104D">
          <w:rPr>
            <w:rFonts w:ascii="Times New Roman" w:eastAsia="Times New Roman" w:hAnsi="Times New Roman" w:cs="Times New Roman"/>
            <w:color w:val="1155CC"/>
            <w:sz w:val="24"/>
            <w:szCs w:val="24"/>
            <w:highlight w:val="white"/>
            <w:u w:val="single"/>
          </w:rPr>
          <w:t>https://doi.org/10.1016/S2542-5196(20)30249-7</w:t>
        </w:r>
      </w:hyperlink>
    </w:p>
    <w:p w14:paraId="76234513"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Kim, K. H., Kabir, E., &amp; Ara Jahan, S. (2014). A review of the consequences of global climate change on human health. </w:t>
      </w:r>
      <w:r>
        <w:rPr>
          <w:rFonts w:ascii="Times New Roman" w:eastAsia="Times New Roman" w:hAnsi="Times New Roman" w:cs="Times New Roman"/>
          <w:i/>
          <w:sz w:val="24"/>
          <w:szCs w:val="24"/>
          <w:highlight w:val="white"/>
        </w:rPr>
        <w:t>Journal of environmental science and health. Part C, Environmental carcinogenesis &amp; ecotoxicology reviews, 32</w:t>
      </w:r>
      <w:r>
        <w:rPr>
          <w:rFonts w:ascii="Times New Roman" w:eastAsia="Times New Roman" w:hAnsi="Times New Roman" w:cs="Times New Roman"/>
          <w:sz w:val="24"/>
          <w:szCs w:val="24"/>
          <w:highlight w:val="white"/>
        </w:rPr>
        <w:t>(3), 299–318.</w:t>
      </w:r>
      <w:hyperlink r:id="rId34">
        <w:r w:rsidR="0005104D">
          <w:rPr>
            <w:rFonts w:ascii="Times New Roman" w:eastAsia="Times New Roman" w:hAnsi="Times New Roman" w:cs="Times New Roman"/>
            <w:sz w:val="24"/>
            <w:szCs w:val="24"/>
            <w:highlight w:val="white"/>
          </w:rPr>
          <w:t xml:space="preserve"> </w:t>
        </w:r>
      </w:hyperlink>
      <w:hyperlink r:id="rId35">
        <w:r w:rsidR="0005104D">
          <w:rPr>
            <w:rFonts w:ascii="Times New Roman" w:eastAsia="Times New Roman" w:hAnsi="Times New Roman" w:cs="Times New Roman"/>
            <w:color w:val="1155CC"/>
            <w:sz w:val="24"/>
            <w:szCs w:val="24"/>
            <w:highlight w:val="white"/>
            <w:u w:val="single"/>
          </w:rPr>
          <w:t>https://doi.org/10.1080/10590501.2014.941279</w:t>
        </w:r>
      </w:hyperlink>
    </w:p>
    <w:p w14:paraId="421DDA98"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Landrigan, P. J., Raps, H., Cropper, M., Bald, C., Brunner, M., Canonizado, E. M., Charles, D., Ch</w:t>
      </w:r>
      <w:r>
        <w:rPr>
          <w:rFonts w:ascii="Times New Roman" w:eastAsia="Times New Roman" w:hAnsi="Times New Roman" w:cs="Times New Roman"/>
          <w:sz w:val="24"/>
          <w:szCs w:val="24"/>
          <w:highlight w:val="white"/>
        </w:rPr>
        <w:t xml:space="preserve">iles, T. C., Donohue, M. J., Enck, J., Fenichel, P., Fleming, L. E., Ferrier-Pages, C., Fordham, R., </w:t>
      </w:r>
      <w:proofErr w:type="spellStart"/>
      <w:r>
        <w:rPr>
          <w:rFonts w:ascii="Times New Roman" w:eastAsia="Times New Roman" w:hAnsi="Times New Roman" w:cs="Times New Roman"/>
          <w:sz w:val="24"/>
          <w:szCs w:val="24"/>
          <w:highlight w:val="white"/>
        </w:rPr>
        <w:t>Gozt</w:t>
      </w:r>
      <w:proofErr w:type="spellEnd"/>
      <w:r>
        <w:rPr>
          <w:rFonts w:ascii="Times New Roman" w:eastAsia="Times New Roman" w:hAnsi="Times New Roman" w:cs="Times New Roman"/>
          <w:sz w:val="24"/>
          <w:szCs w:val="24"/>
          <w:highlight w:val="white"/>
        </w:rPr>
        <w:t>, A., Griffin, C., Hahn, M. E., Haryanto, B., Hixson, R., Ianelli, H., … Dunlop, S. (2023). The Minderoo-Monaco Commission on Plastics and Human Health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Annals of Global Health, 89</w:t>
      </w:r>
      <w:r>
        <w:rPr>
          <w:rFonts w:ascii="Times New Roman" w:eastAsia="Times New Roman" w:hAnsi="Times New Roman" w:cs="Times New Roman"/>
          <w:sz w:val="24"/>
          <w:szCs w:val="24"/>
          <w:highlight w:val="white"/>
        </w:rPr>
        <w:t>(1), 23.</w:t>
      </w:r>
      <w:hyperlink r:id="rId36">
        <w:r w:rsidR="0005104D">
          <w:rPr>
            <w:rFonts w:ascii="Times New Roman" w:eastAsia="Times New Roman" w:hAnsi="Times New Roman" w:cs="Times New Roman"/>
            <w:sz w:val="24"/>
            <w:szCs w:val="24"/>
            <w:highlight w:val="white"/>
          </w:rPr>
          <w:t xml:space="preserve"> </w:t>
        </w:r>
      </w:hyperlink>
      <w:hyperlink r:id="rId37">
        <w:r w:rsidR="0005104D">
          <w:rPr>
            <w:rFonts w:ascii="Times New Roman" w:eastAsia="Times New Roman" w:hAnsi="Times New Roman" w:cs="Times New Roman"/>
            <w:color w:val="1155CC"/>
            <w:sz w:val="24"/>
            <w:szCs w:val="24"/>
            <w:highlight w:val="white"/>
            <w:u w:val="single"/>
          </w:rPr>
          <w:t>https://doi.org/10.5334/aogh.4056</w:t>
        </w:r>
      </w:hyperlink>
    </w:p>
    <w:p w14:paraId="0E57DA41"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Leddin</w:t>
      </w:r>
      <w:proofErr w:type="spellEnd"/>
      <w:r>
        <w:rPr>
          <w:rFonts w:ascii="Times New Roman" w:eastAsia="Times New Roman" w:hAnsi="Times New Roman" w:cs="Times New Roman"/>
          <w:sz w:val="24"/>
          <w:szCs w:val="24"/>
          <w:highlight w:val="white"/>
        </w:rPr>
        <w:t>, D. (2024). The Impact of Climate Change, Pollution, and Biodiversity L</w:t>
      </w:r>
      <w:r>
        <w:rPr>
          <w:rFonts w:ascii="Times New Roman" w:eastAsia="Times New Roman" w:hAnsi="Times New Roman" w:cs="Times New Roman"/>
          <w:sz w:val="24"/>
          <w:szCs w:val="24"/>
          <w:highlight w:val="white"/>
        </w:rPr>
        <w:t xml:space="preserve">oss on Digestive Health and Disease. </w:t>
      </w:r>
      <w:r>
        <w:rPr>
          <w:rFonts w:ascii="Times New Roman" w:eastAsia="Times New Roman" w:hAnsi="Times New Roman" w:cs="Times New Roman"/>
          <w:i/>
          <w:sz w:val="24"/>
          <w:szCs w:val="24"/>
          <w:highlight w:val="white"/>
        </w:rPr>
        <w:t>Gastro hep advances, 3</w:t>
      </w:r>
      <w:r>
        <w:rPr>
          <w:rFonts w:ascii="Times New Roman" w:eastAsia="Times New Roman" w:hAnsi="Times New Roman" w:cs="Times New Roman"/>
          <w:sz w:val="24"/>
          <w:szCs w:val="24"/>
          <w:highlight w:val="white"/>
        </w:rPr>
        <w:t>(4), 519–534.</w:t>
      </w:r>
      <w:hyperlink r:id="rId38">
        <w:r w:rsidR="0005104D">
          <w:rPr>
            <w:rFonts w:ascii="Times New Roman" w:eastAsia="Times New Roman" w:hAnsi="Times New Roman" w:cs="Times New Roman"/>
            <w:sz w:val="24"/>
            <w:szCs w:val="24"/>
            <w:highlight w:val="white"/>
          </w:rPr>
          <w:t xml:space="preserve"> </w:t>
        </w:r>
      </w:hyperlink>
      <w:hyperlink r:id="rId39">
        <w:r w:rsidR="0005104D">
          <w:rPr>
            <w:rFonts w:ascii="Times New Roman" w:eastAsia="Times New Roman" w:hAnsi="Times New Roman" w:cs="Times New Roman"/>
            <w:color w:val="1155CC"/>
            <w:sz w:val="24"/>
            <w:szCs w:val="24"/>
            <w:highlight w:val="white"/>
            <w:u w:val="single"/>
          </w:rPr>
          <w:t>https://doi.org/10.1016/j.gastha.2024.01.018</w:t>
        </w:r>
      </w:hyperlink>
    </w:p>
    <w:p w14:paraId="5B5CABB4"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Levy, B. S</w:t>
      </w:r>
      <w:r>
        <w:rPr>
          <w:rFonts w:ascii="Times New Roman" w:eastAsia="Times New Roman" w:hAnsi="Times New Roman" w:cs="Times New Roman"/>
          <w:sz w:val="24"/>
          <w:szCs w:val="24"/>
          <w:highlight w:val="white"/>
        </w:rPr>
        <w:t xml:space="preserve">., &amp; Patz, J. A. (2015). Climate Change, Human Rights, and Social Justice. </w:t>
      </w:r>
      <w:r>
        <w:rPr>
          <w:rFonts w:ascii="Times New Roman" w:eastAsia="Times New Roman" w:hAnsi="Times New Roman" w:cs="Times New Roman"/>
          <w:i/>
          <w:sz w:val="24"/>
          <w:szCs w:val="24"/>
          <w:highlight w:val="white"/>
        </w:rPr>
        <w:t>Annals of Global Health, 81</w:t>
      </w:r>
      <w:r>
        <w:rPr>
          <w:rFonts w:ascii="Times New Roman" w:eastAsia="Times New Roman" w:hAnsi="Times New Roman" w:cs="Times New Roman"/>
          <w:sz w:val="24"/>
          <w:szCs w:val="24"/>
          <w:highlight w:val="white"/>
        </w:rPr>
        <w:t>(3), 310–322.</w:t>
      </w:r>
      <w:hyperlink r:id="rId40">
        <w:r w:rsidR="0005104D">
          <w:rPr>
            <w:rFonts w:ascii="Times New Roman" w:eastAsia="Times New Roman" w:hAnsi="Times New Roman" w:cs="Times New Roman"/>
            <w:sz w:val="24"/>
            <w:szCs w:val="24"/>
            <w:highlight w:val="white"/>
          </w:rPr>
          <w:t xml:space="preserve"> </w:t>
        </w:r>
      </w:hyperlink>
      <w:hyperlink r:id="rId41">
        <w:r w:rsidR="0005104D">
          <w:rPr>
            <w:rFonts w:ascii="Times New Roman" w:eastAsia="Times New Roman" w:hAnsi="Times New Roman" w:cs="Times New Roman"/>
            <w:color w:val="1155CC"/>
            <w:sz w:val="24"/>
            <w:szCs w:val="24"/>
            <w:highlight w:val="white"/>
            <w:u w:val="single"/>
          </w:rPr>
          <w:t>https://doi.org/10.1016/j.aogh.2015.08.008</w:t>
        </w:r>
      </w:hyperlink>
    </w:p>
    <w:p w14:paraId="0D340C29"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Lenzen, M., Malik, A., Li, M., Fry, J., Weisz, H., Pichler, P. P., Chaves, L. S. M., Capon, A., &amp; </w:t>
      </w:r>
      <w:proofErr w:type="spellStart"/>
      <w:r>
        <w:rPr>
          <w:rFonts w:ascii="Times New Roman" w:eastAsia="Times New Roman" w:hAnsi="Times New Roman" w:cs="Times New Roman"/>
          <w:sz w:val="24"/>
          <w:szCs w:val="24"/>
          <w:highlight w:val="white"/>
        </w:rPr>
        <w:t>Pencheon</w:t>
      </w:r>
      <w:proofErr w:type="spellEnd"/>
      <w:r>
        <w:rPr>
          <w:rFonts w:ascii="Times New Roman" w:eastAsia="Times New Roman" w:hAnsi="Times New Roman" w:cs="Times New Roman"/>
          <w:sz w:val="24"/>
          <w:szCs w:val="24"/>
          <w:highlight w:val="white"/>
        </w:rPr>
        <w:t xml:space="preserve">, D. (2020). The environmental footprint of health care: a global assessment. </w:t>
      </w:r>
      <w:r>
        <w:rPr>
          <w:rFonts w:ascii="Times New Roman" w:eastAsia="Times New Roman" w:hAnsi="Times New Roman" w:cs="Times New Roman"/>
          <w:i/>
          <w:sz w:val="24"/>
          <w:szCs w:val="24"/>
          <w:highlight w:val="white"/>
        </w:rPr>
        <w:t>The Lancet. Planetary health, 4</w:t>
      </w:r>
      <w:r>
        <w:rPr>
          <w:rFonts w:ascii="Times New Roman" w:eastAsia="Times New Roman" w:hAnsi="Times New Roman" w:cs="Times New Roman"/>
          <w:sz w:val="24"/>
          <w:szCs w:val="24"/>
          <w:highlight w:val="white"/>
        </w:rPr>
        <w:t>(7), e271–e279</w:t>
      </w:r>
      <w:r>
        <w:rPr>
          <w:rFonts w:ascii="Times New Roman" w:eastAsia="Times New Roman" w:hAnsi="Times New Roman" w:cs="Times New Roman"/>
          <w:sz w:val="24"/>
          <w:szCs w:val="24"/>
          <w:highlight w:val="white"/>
        </w:rPr>
        <w:t>.</w:t>
      </w:r>
      <w:hyperlink r:id="rId42">
        <w:r w:rsidR="0005104D">
          <w:rPr>
            <w:rFonts w:ascii="Times New Roman" w:eastAsia="Times New Roman" w:hAnsi="Times New Roman" w:cs="Times New Roman"/>
            <w:sz w:val="24"/>
            <w:szCs w:val="24"/>
            <w:highlight w:val="white"/>
          </w:rPr>
          <w:t xml:space="preserve"> </w:t>
        </w:r>
      </w:hyperlink>
      <w:hyperlink r:id="rId43">
        <w:r w:rsidR="0005104D">
          <w:rPr>
            <w:rFonts w:ascii="Times New Roman" w:eastAsia="Times New Roman" w:hAnsi="Times New Roman" w:cs="Times New Roman"/>
            <w:color w:val="1155CC"/>
            <w:sz w:val="24"/>
            <w:szCs w:val="24"/>
            <w:highlight w:val="white"/>
            <w:u w:val="single"/>
          </w:rPr>
          <w:t>https://doi.org/10.1016/S2542-5196(20)30121-2</w:t>
        </w:r>
      </w:hyperlink>
    </w:p>
    <w:p w14:paraId="20C3265C"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Lineman, M., Do, Y., Kim, J. Y., &amp; Joo, G. J. (2015). Talking about Climate Ch</w:t>
      </w:r>
      <w:r>
        <w:rPr>
          <w:rFonts w:ascii="Times New Roman" w:eastAsia="Times New Roman" w:hAnsi="Times New Roman" w:cs="Times New Roman"/>
          <w:sz w:val="24"/>
          <w:szCs w:val="24"/>
          <w:highlight w:val="white"/>
        </w:rPr>
        <w:t xml:space="preserve">ange and Global Warming. </w:t>
      </w:r>
      <w:proofErr w:type="spellStart"/>
      <w:r>
        <w:rPr>
          <w:rFonts w:ascii="Times New Roman" w:eastAsia="Times New Roman" w:hAnsi="Times New Roman" w:cs="Times New Roman"/>
          <w:i/>
          <w:sz w:val="24"/>
          <w:szCs w:val="24"/>
          <w:highlight w:val="white"/>
        </w:rPr>
        <w:t>PloS</w:t>
      </w:r>
      <w:proofErr w:type="spellEnd"/>
      <w:r>
        <w:rPr>
          <w:rFonts w:ascii="Times New Roman" w:eastAsia="Times New Roman" w:hAnsi="Times New Roman" w:cs="Times New Roman"/>
          <w:i/>
          <w:sz w:val="24"/>
          <w:szCs w:val="24"/>
          <w:highlight w:val="white"/>
        </w:rPr>
        <w:t xml:space="preserve"> one, 10</w:t>
      </w:r>
      <w:r>
        <w:rPr>
          <w:rFonts w:ascii="Times New Roman" w:eastAsia="Times New Roman" w:hAnsi="Times New Roman" w:cs="Times New Roman"/>
          <w:sz w:val="24"/>
          <w:szCs w:val="24"/>
          <w:highlight w:val="white"/>
        </w:rPr>
        <w:t>(9), e0138996.</w:t>
      </w:r>
      <w:hyperlink r:id="rId44">
        <w:r w:rsidR="0005104D">
          <w:rPr>
            <w:rFonts w:ascii="Times New Roman" w:eastAsia="Times New Roman" w:hAnsi="Times New Roman" w:cs="Times New Roman"/>
            <w:sz w:val="24"/>
            <w:szCs w:val="24"/>
            <w:highlight w:val="white"/>
          </w:rPr>
          <w:t xml:space="preserve"> </w:t>
        </w:r>
      </w:hyperlink>
      <w:hyperlink r:id="rId45">
        <w:r w:rsidR="0005104D">
          <w:rPr>
            <w:rFonts w:ascii="Times New Roman" w:eastAsia="Times New Roman" w:hAnsi="Times New Roman" w:cs="Times New Roman"/>
            <w:color w:val="1155CC"/>
            <w:sz w:val="24"/>
            <w:szCs w:val="24"/>
            <w:highlight w:val="white"/>
            <w:u w:val="single"/>
          </w:rPr>
          <w:t>https://doi.org/10.1371/journal.pone.0138996</w:t>
        </w:r>
      </w:hyperlink>
    </w:p>
    <w:p w14:paraId="79A36A5D"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Liu, L., Qu, J., </w:t>
      </w:r>
      <w:proofErr w:type="spellStart"/>
      <w:r>
        <w:rPr>
          <w:rFonts w:ascii="Times New Roman" w:eastAsia="Times New Roman" w:hAnsi="Times New Roman" w:cs="Times New Roman"/>
          <w:sz w:val="24"/>
          <w:szCs w:val="24"/>
          <w:highlight w:val="white"/>
        </w:rPr>
        <w:t>Maraseni</w:t>
      </w:r>
      <w:proofErr w:type="spellEnd"/>
      <w:r>
        <w:rPr>
          <w:rFonts w:ascii="Times New Roman" w:eastAsia="Times New Roman" w:hAnsi="Times New Roman" w:cs="Times New Roman"/>
          <w:sz w:val="24"/>
          <w:szCs w:val="24"/>
          <w:highlight w:val="white"/>
        </w:rPr>
        <w:t xml:space="preserve">, T. N., Niu, Y., Zeng, J., Zhang, L., &amp; Xu, L. (2020). Household CO2 Emissions: Current Status and Future Perspectives. </w:t>
      </w:r>
      <w:r>
        <w:rPr>
          <w:rFonts w:ascii="Times New Roman" w:eastAsia="Times New Roman" w:hAnsi="Times New Roman" w:cs="Times New Roman"/>
          <w:i/>
          <w:sz w:val="24"/>
          <w:szCs w:val="24"/>
          <w:highlight w:val="white"/>
        </w:rPr>
        <w:t>International journal of environmental research and public health, 17</w:t>
      </w:r>
      <w:r>
        <w:rPr>
          <w:rFonts w:ascii="Times New Roman" w:eastAsia="Times New Roman" w:hAnsi="Times New Roman" w:cs="Times New Roman"/>
          <w:sz w:val="24"/>
          <w:szCs w:val="24"/>
          <w:highlight w:val="white"/>
        </w:rPr>
        <w:t>(19), 7077.</w:t>
      </w:r>
      <w:hyperlink r:id="rId46">
        <w:r w:rsidR="0005104D">
          <w:rPr>
            <w:rFonts w:ascii="Times New Roman" w:eastAsia="Times New Roman" w:hAnsi="Times New Roman" w:cs="Times New Roman"/>
            <w:sz w:val="24"/>
            <w:szCs w:val="24"/>
            <w:highlight w:val="white"/>
          </w:rPr>
          <w:t xml:space="preserve"> </w:t>
        </w:r>
      </w:hyperlink>
      <w:hyperlink r:id="rId47">
        <w:r w:rsidR="0005104D">
          <w:rPr>
            <w:rFonts w:ascii="Times New Roman" w:eastAsia="Times New Roman" w:hAnsi="Times New Roman" w:cs="Times New Roman"/>
            <w:color w:val="1155CC"/>
            <w:sz w:val="24"/>
            <w:szCs w:val="24"/>
            <w:highlight w:val="white"/>
            <w:u w:val="single"/>
          </w:rPr>
          <w:t>https://doi.org/10.3390/ijerph17197077</w:t>
        </w:r>
      </w:hyperlink>
    </w:p>
    <w:p w14:paraId="0D3474EA"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Tomson, C. (2015). Reducing the carbon footprint of hospital-based care. </w:t>
      </w:r>
      <w:r>
        <w:rPr>
          <w:rFonts w:ascii="Times New Roman" w:eastAsia="Times New Roman" w:hAnsi="Times New Roman" w:cs="Times New Roman"/>
          <w:i/>
          <w:sz w:val="24"/>
          <w:szCs w:val="24"/>
          <w:highlight w:val="white"/>
        </w:rPr>
        <w:t>Future Hospital Journal, 2</w:t>
      </w:r>
      <w:r>
        <w:rPr>
          <w:rFonts w:ascii="Times New Roman" w:eastAsia="Times New Roman" w:hAnsi="Times New Roman" w:cs="Times New Roman"/>
          <w:sz w:val="24"/>
          <w:szCs w:val="24"/>
          <w:highlight w:val="white"/>
        </w:rPr>
        <w:t>(1), 57–62.</w:t>
      </w:r>
      <w:hyperlink r:id="rId48">
        <w:r w:rsidR="0005104D">
          <w:rPr>
            <w:rFonts w:ascii="Times New Roman" w:eastAsia="Times New Roman" w:hAnsi="Times New Roman" w:cs="Times New Roman"/>
            <w:sz w:val="24"/>
            <w:szCs w:val="24"/>
            <w:highlight w:val="white"/>
          </w:rPr>
          <w:t xml:space="preserve"> </w:t>
        </w:r>
      </w:hyperlink>
      <w:hyperlink r:id="rId49">
        <w:r w:rsidR="0005104D">
          <w:rPr>
            <w:rFonts w:ascii="Times New Roman" w:eastAsia="Times New Roman" w:hAnsi="Times New Roman" w:cs="Times New Roman"/>
            <w:color w:val="1155CC"/>
            <w:sz w:val="24"/>
            <w:szCs w:val="24"/>
            <w:highlight w:val="white"/>
            <w:u w:val="single"/>
          </w:rPr>
          <w:t>https://doi.org/10.7861/futurehosp.2-1-57</w:t>
        </w:r>
      </w:hyperlink>
    </w:p>
    <w:p w14:paraId="3075E38A"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Kutlu, L. (2020). Greenhouse Gas Emission Efficiencies of World Countries. </w:t>
      </w:r>
      <w:r>
        <w:rPr>
          <w:rFonts w:ascii="Times New Roman" w:eastAsia="Times New Roman" w:hAnsi="Times New Roman" w:cs="Times New Roman"/>
          <w:i/>
          <w:sz w:val="24"/>
          <w:szCs w:val="24"/>
          <w:highlight w:val="white"/>
        </w:rPr>
        <w:t>International journal of environmental research and public he</w:t>
      </w:r>
      <w:r>
        <w:rPr>
          <w:rFonts w:ascii="Times New Roman" w:eastAsia="Times New Roman" w:hAnsi="Times New Roman" w:cs="Times New Roman"/>
          <w:i/>
          <w:sz w:val="24"/>
          <w:szCs w:val="24"/>
          <w:highlight w:val="white"/>
        </w:rPr>
        <w:t>alth, 17</w:t>
      </w:r>
      <w:r>
        <w:rPr>
          <w:rFonts w:ascii="Times New Roman" w:eastAsia="Times New Roman" w:hAnsi="Times New Roman" w:cs="Times New Roman"/>
          <w:sz w:val="24"/>
          <w:szCs w:val="24"/>
          <w:highlight w:val="white"/>
        </w:rPr>
        <w:t>(23), 8771.</w:t>
      </w:r>
      <w:hyperlink r:id="rId50">
        <w:r w:rsidR="0005104D">
          <w:rPr>
            <w:rFonts w:ascii="Times New Roman" w:eastAsia="Times New Roman" w:hAnsi="Times New Roman" w:cs="Times New Roman"/>
            <w:sz w:val="24"/>
            <w:szCs w:val="24"/>
            <w:highlight w:val="white"/>
          </w:rPr>
          <w:t xml:space="preserve"> </w:t>
        </w:r>
      </w:hyperlink>
      <w:hyperlink r:id="rId51">
        <w:r w:rsidR="0005104D">
          <w:rPr>
            <w:rFonts w:ascii="Times New Roman" w:eastAsia="Times New Roman" w:hAnsi="Times New Roman" w:cs="Times New Roman"/>
            <w:color w:val="1155CC"/>
            <w:sz w:val="24"/>
            <w:szCs w:val="24"/>
            <w:highlight w:val="white"/>
            <w:u w:val="single"/>
          </w:rPr>
          <w:t>https://doi.org/10.3390/ijerph17238771</w:t>
        </w:r>
      </w:hyperlink>
    </w:p>
    <w:p w14:paraId="35A6F741"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Salvador Costa, M. J., Leitão, A., Silva, R., Monteiro, V., &amp; Melo, P. (2022). Cl</w:t>
      </w:r>
      <w:r>
        <w:rPr>
          <w:rFonts w:ascii="Times New Roman" w:eastAsia="Times New Roman" w:hAnsi="Times New Roman" w:cs="Times New Roman"/>
          <w:sz w:val="24"/>
          <w:szCs w:val="24"/>
          <w:highlight w:val="white"/>
        </w:rPr>
        <w:t xml:space="preserve">imate Change Prevention through Community Actions and Empowerment: A Scoping Review. </w:t>
      </w:r>
      <w:r>
        <w:rPr>
          <w:rFonts w:ascii="Times New Roman" w:eastAsia="Times New Roman" w:hAnsi="Times New Roman" w:cs="Times New Roman"/>
          <w:i/>
          <w:sz w:val="24"/>
          <w:szCs w:val="24"/>
          <w:highlight w:val="white"/>
        </w:rPr>
        <w:t>International journal of environmental research and public health, 19</w:t>
      </w:r>
      <w:r>
        <w:rPr>
          <w:rFonts w:ascii="Times New Roman" w:eastAsia="Times New Roman" w:hAnsi="Times New Roman" w:cs="Times New Roman"/>
          <w:sz w:val="24"/>
          <w:szCs w:val="24"/>
          <w:highlight w:val="white"/>
        </w:rPr>
        <w:t>(22), 14645.</w:t>
      </w:r>
      <w:hyperlink r:id="rId52">
        <w:r w:rsidR="0005104D">
          <w:rPr>
            <w:rFonts w:ascii="Times New Roman" w:eastAsia="Times New Roman" w:hAnsi="Times New Roman" w:cs="Times New Roman"/>
            <w:sz w:val="24"/>
            <w:szCs w:val="24"/>
            <w:highlight w:val="white"/>
          </w:rPr>
          <w:t xml:space="preserve"> </w:t>
        </w:r>
      </w:hyperlink>
      <w:hyperlink r:id="rId53">
        <w:r w:rsidR="0005104D">
          <w:rPr>
            <w:rFonts w:ascii="Times New Roman" w:eastAsia="Times New Roman" w:hAnsi="Times New Roman" w:cs="Times New Roman"/>
            <w:color w:val="1155CC"/>
            <w:sz w:val="24"/>
            <w:szCs w:val="24"/>
            <w:highlight w:val="white"/>
            <w:u w:val="single"/>
          </w:rPr>
          <w:t>https://doi.org/10.3390/ijerph192214645</w:t>
        </w:r>
      </w:hyperlink>
    </w:p>
    <w:p w14:paraId="61685573"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Perugini, L., Pellis, G., Grassi, G., Ciais, P., Dolman, H., House, J. I., Peters, G. P., Smith, P., Günther, D., &amp; </w:t>
      </w:r>
      <w:proofErr w:type="spellStart"/>
      <w:r>
        <w:rPr>
          <w:rFonts w:ascii="Times New Roman" w:eastAsia="Times New Roman" w:hAnsi="Times New Roman" w:cs="Times New Roman"/>
          <w:sz w:val="24"/>
          <w:szCs w:val="24"/>
          <w:highlight w:val="white"/>
        </w:rPr>
        <w:t>Peylin</w:t>
      </w:r>
      <w:proofErr w:type="spellEnd"/>
      <w:r>
        <w:rPr>
          <w:rFonts w:ascii="Times New Roman" w:eastAsia="Times New Roman" w:hAnsi="Times New Roman" w:cs="Times New Roman"/>
          <w:sz w:val="24"/>
          <w:szCs w:val="24"/>
          <w:highlight w:val="white"/>
        </w:rPr>
        <w:t xml:space="preserve">, P. (2021). Emerging reporting and verification needs under the </w:t>
      </w:r>
      <w:r>
        <w:rPr>
          <w:rFonts w:ascii="Times New Roman" w:eastAsia="Times New Roman" w:hAnsi="Times New Roman" w:cs="Times New Roman"/>
          <w:sz w:val="24"/>
          <w:szCs w:val="24"/>
          <w:highlight w:val="white"/>
        </w:rPr>
        <w:t xml:space="preserve">Paris Agreement: How can the research community effectively contribute? </w:t>
      </w:r>
      <w:r>
        <w:rPr>
          <w:rFonts w:ascii="Times New Roman" w:eastAsia="Times New Roman" w:hAnsi="Times New Roman" w:cs="Times New Roman"/>
          <w:i/>
          <w:sz w:val="24"/>
          <w:szCs w:val="24"/>
          <w:highlight w:val="white"/>
        </w:rPr>
        <w:t>Environmental science &amp; policy, 122</w:t>
      </w:r>
      <w:r>
        <w:rPr>
          <w:rFonts w:ascii="Times New Roman" w:eastAsia="Times New Roman" w:hAnsi="Times New Roman" w:cs="Times New Roman"/>
          <w:sz w:val="24"/>
          <w:szCs w:val="24"/>
          <w:highlight w:val="white"/>
        </w:rPr>
        <w:t>, 116–126.</w:t>
      </w:r>
      <w:hyperlink r:id="rId54">
        <w:r w:rsidR="0005104D">
          <w:rPr>
            <w:rFonts w:ascii="Times New Roman" w:eastAsia="Times New Roman" w:hAnsi="Times New Roman" w:cs="Times New Roman"/>
            <w:sz w:val="24"/>
            <w:szCs w:val="24"/>
            <w:highlight w:val="white"/>
          </w:rPr>
          <w:t xml:space="preserve"> </w:t>
        </w:r>
      </w:hyperlink>
      <w:hyperlink r:id="rId55">
        <w:r w:rsidR="0005104D">
          <w:rPr>
            <w:rFonts w:ascii="Times New Roman" w:eastAsia="Times New Roman" w:hAnsi="Times New Roman" w:cs="Times New Roman"/>
            <w:color w:val="1155CC"/>
            <w:sz w:val="24"/>
            <w:szCs w:val="24"/>
            <w:highlight w:val="white"/>
            <w:u w:val="single"/>
          </w:rPr>
          <w:t>https://doi.org/10.1016/j.envsci.2021.04.012</w:t>
        </w:r>
      </w:hyperlink>
    </w:p>
    <w:p w14:paraId="7AA2F8A3"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Ghebreyesus, T. A., &amp; Espinosa, P. (2018). Health, climate, and small island states. </w:t>
      </w:r>
      <w:r>
        <w:rPr>
          <w:rFonts w:ascii="Times New Roman" w:eastAsia="Times New Roman" w:hAnsi="Times New Roman" w:cs="Times New Roman"/>
          <w:i/>
          <w:sz w:val="24"/>
          <w:szCs w:val="24"/>
          <w:highlight w:val="white"/>
        </w:rPr>
        <w:t>Bulletin of the World Health Organization, 96</w:t>
      </w:r>
      <w:r>
        <w:rPr>
          <w:rFonts w:ascii="Times New Roman" w:eastAsia="Times New Roman" w:hAnsi="Times New Roman" w:cs="Times New Roman"/>
          <w:sz w:val="24"/>
          <w:szCs w:val="24"/>
          <w:highlight w:val="white"/>
        </w:rPr>
        <w:t>(2), 78–78A.</w:t>
      </w:r>
      <w:hyperlink r:id="rId56">
        <w:r w:rsidR="0005104D">
          <w:rPr>
            <w:rFonts w:ascii="Times New Roman" w:eastAsia="Times New Roman" w:hAnsi="Times New Roman" w:cs="Times New Roman"/>
            <w:sz w:val="24"/>
            <w:szCs w:val="24"/>
            <w:highlight w:val="white"/>
          </w:rPr>
          <w:t xml:space="preserve"> </w:t>
        </w:r>
      </w:hyperlink>
      <w:hyperlink r:id="rId57">
        <w:r w:rsidR="0005104D">
          <w:rPr>
            <w:rFonts w:ascii="Times New Roman" w:eastAsia="Times New Roman" w:hAnsi="Times New Roman" w:cs="Times New Roman"/>
            <w:color w:val="1155CC"/>
            <w:sz w:val="24"/>
            <w:szCs w:val="24"/>
            <w:highlight w:val="white"/>
            <w:u w:val="single"/>
          </w:rPr>
          <w:t>https://doi.org/10.2471/BLT.17.206474</w:t>
        </w:r>
      </w:hyperlink>
    </w:p>
    <w:p w14:paraId="59297994" w14:textId="77777777" w:rsidR="0005104D" w:rsidRDefault="0005104D">
      <w:pPr>
        <w:spacing w:line="360" w:lineRule="auto"/>
        <w:jc w:val="both"/>
        <w:rPr>
          <w:rFonts w:ascii="Times New Roman" w:eastAsia="Times New Roman" w:hAnsi="Times New Roman" w:cs="Times New Roman"/>
          <w:color w:val="1B1B1B"/>
          <w:sz w:val="24"/>
          <w:szCs w:val="24"/>
          <w:highlight w:val="white"/>
        </w:rPr>
      </w:pPr>
    </w:p>
    <w:sectPr w:rsidR="0005104D">
      <w:headerReference w:type="even" r:id="rId58"/>
      <w:headerReference w:type="default" r:id="rId59"/>
      <w:footerReference w:type="even" r:id="rId60"/>
      <w:footerReference w:type="default" r:id="rId61"/>
      <w:headerReference w:type="first" r:id="rId62"/>
      <w:footerReference w:type="first" r:id="rId6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6173F" w14:textId="77777777" w:rsidR="00867FD8" w:rsidRDefault="00867FD8" w:rsidP="008D3574">
      <w:pPr>
        <w:spacing w:line="240" w:lineRule="auto"/>
      </w:pPr>
      <w:r>
        <w:separator/>
      </w:r>
    </w:p>
  </w:endnote>
  <w:endnote w:type="continuationSeparator" w:id="0">
    <w:p w14:paraId="1D4E7F11" w14:textId="77777777" w:rsidR="00867FD8" w:rsidRDefault="00867FD8" w:rsidP="008D3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528F" w14:textId="77777777" w:rsidR="008D3574" w:rsidRDefault="008D3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1B922" w14:textId="77777777" w:rsidR="008D3574" w:rsidRDefault="008D3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7FF32" w14:textId="77777777" w:rsidR="008D3574" w:rsidRDefault="008D3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62172" w14:textId="77777777" w:rsidR="00867FD8" w:rsidRDefault="00867FD8" w:rsidP="008D3574">
      <w:pPr>
        <w:spacing w:line="240" w:lineRule="auto"/>
      </w:pPr>
      <w:r>
        <w:separator/>
      </w:r>
    </w:p>
  </w:footnote>
  <w:footnote w:type="continuationSeparator" w:id="0">
    <w:p w14:paraId="3925D431" w14:textId="77777777" w:rsidR="00867FD8" w:rsidRDefault="00867FD8" w:rsidP="008D35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8CA9" w14:textId="706E951D" w:rsidR="008D3574" w:rsidRDefault="008D3574">
    <w:pPr>
      <w:pStyle w:val="Header"/>
    </w:pPr>
    <w:r>
      <w:rPr>
        <w:noProof/>
      </w:rPr>
      <w:pict w14:anchorId="51136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40671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A5805" w14:textId="712204C7" w:rsidR="008D3574" w:rsidRDefault="008D3574">
    <w:pPr>
      <w:pStyle w:val="Header"/>
    </w:pPr>
    <w:r>
      <w:rPr>
        <w:noProof/>
      </w:rPr>
      <w:pict w14:anchorId="37B33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40672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153A4" w14:textId="29872DD1" w:rsidR="008D3574" w:rsidRDefault="008D3574">
    <w:pPr>
      <w:pStyle w:val="Header"/>
    </w:pPr>
    <w:r>
      <w:rPr>
        <w:noProof/>
      </w:rPr>
      <w:pict w14:anchorId="1FC37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40671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5C7D"/>
    <w:multiLevelType w:val="multilevel"/>
    <w:tmpl w:val="CAE68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04D"/>
    <w:rsid w:val="0002706A"/>
    <w:rsid w:val="0005104D"/>
    <w:rsid w:val="00244F43"/>
    <w:rsid w:val="006207F0"/>
    <w:rsid w:val="00867FD8"/>
    <w:rsid w:val="008D3574"/>
    <w:rsid w:val="008D3EBC"/>
    <w:rsid w:val="008E7ECC"/>
    <w:rsid w:val="00A97403"/>
    <w:rsid w:val="00CE55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6F0A5B"/>
  <w15:docId w15:val="{4341614A-FD4E-7F4B-BCEF-A0E26341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6E08BE"/>
    <w:rPr>
      <w:sz w:val="16"/>
      <w:szCs w:val="16"/>
    </w:rPr>
  </w:style>
  <w:style w:type="paragraph" w:styleId="CommentText">
    <w:name w:val="annotation text"/>
    <w:basedOn w:val="Normal"/>
    <w:link w:val="CommentTextChar"/>
    <w:uiPriority w:val="99"/>
    <w:unhideWhenUsed/>
    <w:rsid w:val="006E08BE"/>
    <w:pPr>
      <w:spacing w:line="240" w:lineRule="auto"/>
    </w:pPr>
    <w:rPr>
      <w:sz w:val="20"/>
      <w:szCs w:val="20"/>
    </w:rPr>
  </w:style>
  <w:style w:type="character" w:customStyle="1" w:styleId="CommentTextChar">
    <w:name w:val="Comment Text Char"/>
    <w:basedOn w:val="DefaultParagraphFont"/>
    <w:link w:val="CommentText"/>
    <w:uiPriority w:val="99"/>
    <w:rsid w:val="006E08BE"/>
    <w:rPr>
      <w:sz w:val="20"/>
      <w:szCs w:val="20"/>
    </w:rPr>
  </w:style>
  <w:style w:type="paragraph" w:styleId="CommentSubject">
    <w:name w:val="annotation subject"/>
    <w:basedOn w:val="CommentText"/>
    <w:next w:val="CommentText"/>
    <w:link w:val="CommentSubjectChar"/>
    <w:uiPriority w:val="99"/>
    <w:semiHidden/>
    <w:unhideWhenUsed/>
    <w:rsid w:val="006E08BE"/>
    <w:rPr>
      <w:b/>
      <w:bCs/>
    </w:rPr>
  </w:style>
  <w:style w:type="character" w:customStyle="1" w:styleId="CommentSubjectChar">
    <w:name w:val="Comment Subject Char"/>
    <w:basedOn w:val="CommentTextChar"/>
    <w:link w:val="CommentSubject"/>
    <w:uiPriority w:val="99"/>
    <w:semiHidden/>
    <w:rsid w:val="006E08BE"/>
    <w:rPr>
      <w:b/>
      <w:bCs/>
      <w:sz w:val="20"/>
      <w:szCs w:val="20"/>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97403"/>
    <w:rPr>
      <w:color w:val="0000FF" w:themeColor="hyperlink"/>
      <w:u w:val="single"/>
    </w:rPr>
  </w:style>
  <w:style w:type="character" w:styleId="UnresolvedMention">
    <w:name w:val="Unresolved Mention"/>
    <w:basedOn w:val="DefaultParagraphFont"/>
    <w:uiPriority w:val="99"/>
    <w:semiHidden/>
    <w:unhideWhenUsed/>
    <w:rsid w:val="00A97403"/>
    <w:rPr>
      <w:color w:val="605E5C"/>
      <w:shd w:val="clear" w:color="auto" w:fill="E1DFDD"/>
    </w:rPr>
  </w:style>
  <w:style w:type="paragraph" w:styleId="Header">
    <w:name w:val="header"/>
    <w:basedOn w:val="Normal"/>
    <w:link w:val="HeaderChar"/>
    <w:uiPriority w:val="99"/>
    <w:unhideWhenUsed/>
    <w:rsid w:val="008D3574"/>
    <w:pPr>
      <w:tabs>
        <w:tab w:val="center" w:pos="4680"/>
        <w:tab w:val="right" w:pos="9360"/>
      </w:tabs>
      <w:spacing w:line="240" w:lineRule="auto"/>
    </w:pPr>
  </w:style>
  <w:style w:type="character" w:customStyle="1" w:styleId="HeaderChar">
    <w:name w:val="Header Char"/>
    <w:basedOn w:val="DefaultParagraphFont"/>
    <w:link w:val="Header"/>
    <w:uiPriority w:val="99"/>
    <w:rsid w:val="008D3574"/>
  </w:style>
  <w:style w:type="paragraph" w:styleId="Footer">
    <w:name w:val="footer"/>
    <w:basedOn w:val="Normal"/>
    <w:link w:val="FooterChar"/>
    <w:uiPriority w:val="99"/>
    <w:unhideWhenUsed/>
    <w:rsid w:val="008D3574"/>
    <w:pPr>
      <w:tabs>
        <w:tab w:val="center" w:pos="4680"/>
        <w:tab w:val="right" w:pos="9360"/>
      </w:tabs>
      <w:spacing w:line="240" w:lineRule="auto"/>
    </w:pPr>
  </w:style>
  <w:style w:type="character" w:customStyle="1" w:styleId="FooterChar">
    <w:name w:val="Footer Char"/>
    <w:basedOn w:val="DefaultParagraphFont"/>
    <w:link w:val="Footer"/>
    <w:uiPriority w:val="99"/>
    <w:rsid w:val="008D3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doi.org/10.1016/j.heliyon.2023.e20544" TargetMode="External"/><Relationship Id="rId21" Type="http://schemas.openxmlformats.org/officeDocument/2006/relationships/hyperlink" Target="https://doi.org/10.1146/annurev-publhealth-012420-105026" TargetMode="External"/><Relationship Id="rId34" Type="http://schemas.openxmlformats.org/officeDocument/2006/relationships/hyperlink" Target="https://doi.org/10.1080/10590501.2014.941279" TargetMode="External"/><Relationship Id="rId42" Type="http://schemas.openxmlformats.org/officeDocument/2006/relationships/hyperlink" Target="https://doi.org/10.1016/S2542-5196(20)30121-2" TargetMode="External"/><Relationship Id="rId47" Type="http://schemas.openxmlformats.org/officeDocument/2006/relationships/hyperlink" Target="https://doi.org/10.3390/ijerph17197077" TargetMode="External"/><Relationship Id="rId50" Type="http://schemas.openxmlformats.org/officeDocument/2006/relationships/hyperlink" Target="https://doi.org/10.3390/ijerph17238771" TargetMode="External"/><Relationship Id="rId55" Type="http://schemas.openxmlformats.org/officeDocument/2006/relationships/hyperlink" Target="https://doi.org/10.1016/j.envsci.2021.04.012"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371/journal.pone.0206266" TargetMode="External"/><Relationship Id="rId29" Type="http://schemas.openxmlformats.org/officeDocument/2006/relationships/hyperlink" Target="https://doi.org/10.1002/wcc.722" TargetMode="External"/><Relationship Id="rId11" Type="http://schemas.openxmlformats.org/officeDocument/2006/relationships/hyperlink" Target="https://doi.org/10.1007/s11356-022-19718-6" TargetMode="External"/><Relationship Id="rId24" Type="http://schemas.openxmlformats.org/officeDocument/2006/relationships/hyperlink" Target="https://doi.org/10.1080/13814788.2023.2232946" TargetMode="External"/><Relationship Id="rId32" Type="http://schemas.openxmlformats.org/officeDocument/2006/relationships/hyperlink" Target="https://doi.org/10.1016/S2542-5196(20)30249-7" TargetMode="External"/><Relationship Id="rId37" Type="http://schemas.openxmlformats.org/officeDocument/2006/relationships/hyperlink" Target="https://doi.org/10.5334/aogh.4056" TargetMode="External"/><Relationship Id="rId40" Type="http://schemas.openxmlformats.org/officeDocument/2006/relationships/hyperlink" Target="https://doi.org/10.1016/j.aogh.2015.08.008" TargetMode="External"/><Relationship Id="rId45" Type="http://schemas.openxmlformats.org/officeDocument/2006/relationships/hyperlink" Target="https://doi.org/10.1371/journal.pone.0138996" TargetMode="External"/><Relationship Id="rId53" Type="http://schemas.openxmlformats.org/officeDocument/2006/relationships/hyperlink" Target="https://doi.org/10.3390/ijerph192214645"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doi.org/10.3390/jcm13030759" TargetMode="External"/><Relationship Id="rId14" Type="http://schemas.openxmlformats.org/officeDocument/2006/relationships/hyperlink" Target="https://doi.org/10.12809/hkmj177046" TargetMode="External"/><Relationship Id="rId22" Type="http://schemas.openxmlformats.org/officeDocument/2006/relationships/hyperlink" Target="https://doi.org/10.2105/AJPH.2018.304336" TargetMode="External"/><Relationship Id="rId27" Type="http://schemas.openxmlformats.org/officeDocument/2006/relationships/hyperlink" Target="https://doi.org/10.1016/j.heliyon.2023.e20544" TargetMode="External"/><Relationship Id="rId30" Type="http://schemas.openxmlformats.org/officeDocument/2006/relationships/hyperlink" Target="https://doi.org/10.1371/journal.pone.0230424" TargetMode="External"/><Relationship Id="rId35" Type="http://schemas.openxmlformats.org/officeDocument/2006/relationships/hyperlink" Target="https://doi.org/10.1080/10590501.2014.941279" TargetMode="External"/><Relationship Id="rId43" Type="http://schemas.openxmlformats.org/officeDocument/2006/relationships/hyperlink" Target="https://doi.org/10.1016/S2542-5196(20)30121-2" TargetMode="External"/><Relationship Id="rId48" Type="http://schemas.openxmlformats.org/officeDocument/2006/relationships/hyperlink" Target="https://doi.org/10.7861/futurehosp.2-1-57" TargetMode="External"/><Relationship Id="rId56" Type="http://schemas.openxmlformats.org/officeDocument/2006/relationships/hyperlink" Target="https://doi.org/10.2471/BLT.17.206474"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doi.org/10.3390/ijerph17238771" TargetMode="External"/><Relationship Id="rId3" Type="http://schemas.openxmlformats.org/officeDocument/2006/relationships/styles" Target="styles.xml"/><Relationship Id="rId12" Type="http://schemas.openxmlformats.org/officeDocument/2006/relationships/hyperlink" Target="https://doi.org/10.1002/hpm.3447" TargetMode="External"/><Relationship Id="rId17" Type="http://schemas.openxmlformats.org/officeDocument/2006/relationships/hyperlink" Target="https://doi.org/10.1371/journal.pone.0206266" TargetMode="External"/><Relationship Id="rId25" Type="http://schemas.openxmlformats.org/officeDocument/2006/relationships/hyperlink" Target="https://doi.org/10.1080/13814788.2023.2232946" TargetMode="External"/><Relationship Id="rId33" Type="http://schemas.openxmlformats.org/officeDocument/2006/relationships/hyperlink" Target="https://doi.org/10.1016/S2542-5196(20)30249-7" TargetMode="External"/><Relationship Id="rId38" Type="http://schemas.openxmlformats.org/officeDocument/2006/relationships/hyperlink" Target="https://doi.org/10.1016/j.gastha.2024.01.018" TargetMode="External"/><Relationship Id="rId46" Type="http://schemas.openxmlformats.org/officeDocument/2006/relationships/hyperlink" Target="https://doi.org/10.3390/ijerph17197077" TargetMode="External"/><Relationship Id="rId59" Type="http://schemas.openxmlformats.org/officeDocument/2006/relationships/header" Target="header2.xml"/><Relationship Id="rId20" Type="http://schemas.openxmlformats.org/officeDocument/2006/relationships/hyperlink" Target="https://doi.org/10.1146/annurev-publhealth-012420-105026" TargetMode="External"/><Relationship Id="rId41" Type="http://schemas.openxmlformats.org/officeDocument/2006/relationships/hyperlink" Target="https://doi.org/10.1016/j.aogh.2015.08.008" TargetMode="External"/><Relationship Id="rId54" Type="http://schemas.openxmlformats.org/officeDocument/2006/relationships/hyperlink" Target="https://doi.org/10.1016/j.envsci.2021.04.012"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2809/hkmj177046" TargetMode="External"/><Relationship Id="rId23" Type="http://schemas.openxmlformats.org/officeDocument/2006/relationships/hyperlink" Target="https://doi.org/10.2105/AJPH.2018.304336" TargetMode="External"/><Relationship Id="rId28" Type="http://schemas.openxmlformats.org/officeDocument/2006/relationships/hyperlink" Target="https://doi.org/10.1002/wcc.722" TargetMode="External"/><Relationship Id="rId36" Type="http://schemas.openxmlformats.org/officeDocument/2006/relationships/hyperlink" Target="https://doi.org/10.5334/aogh.4056" TargetMode="External"/><Relationship Id="rId49" Type="http://schemas.openxmlformats.org/officeDocument/2006/relationships/hyperlink" Target="https://doi.org/10.7861/futurehosp.2-1-57" TargetMode="External"/><Relationship Id="rId57" Type="http://schemas.openxmlformats.org/officeDocument/2006/relationships/hyperlink" Target="https://doi.org/10.2471/BLT.17.206474" TargetMode="External"/><Relationship Id="rId10" Type="http://schemas.openxmlformats.org/officeDocument/2006/relationships/hyperlink" Target="https://doi.org/10.1007/s11356-022-19718-6" TargetMode="External"/><Relationship Id="rId31" Type="http://schemas.openxmlformats.org/officeDocument/2006/relationships/hyperlink" Target="https://doi.org/10.1371/journal.pone.0230424" TargetMode="External"/><Relationship Id="rId44" Type="http://schemas.openxmlformats.org/officeDocument/2006/relationships/hyperlink" Target="https://doi.org/10.1371/journal.pone.0138996" TargetMode="External"/><Relationship Id="rId52" Type="http://schemas.openxmlformats.org/officeDocument/2006/relationships/hyperlink" Target="https://doi.org/10.3390/ijerph192214645"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doi.org/10.1002/hpm.3447" TargetMode="External"/><Relationship Id="rId18" Type="http://schemas.openxmlformats.org/officeDocument/2006/relationships/hyperlink" Target="https://doi.org/10.3390/jcm13030759" TargetMode="External"/><Relationship Id="rId39" Type="http://schemas.openxmlformats.org/officeDocument/2006/relationships/hyperlink" Target="https://doi.org/10.1016/j.gastha.2024.01.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pISbdvcaZlJeoSn+LaxwBmC28g==">CgMxLjAyCGguZ2pkZ3hzMgloLjMwajB6bGwyCWguMWZvYjl0ZTIJaC4zem55c2g3MgloLjJldDkycDAyCGgudHlqY3d0MgloLjNkeTZ2a20yCWguMXQzaDVzZjgAciExT2lrbVZqc2JXSHBRSlc1NU5uTDhUdnh1THRZOXIydng=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4492</Words>
  <Characters>25610</Characters>
  <Application>Microsoft Office Word</Application>
  <DocSecurity>0</DocSecurity>
  <Lines>213</Lines>
  <Paragraphs>60</Paragraphs>
  <ScaleCrop>false</ScaleCrop>
  <Company/>
  <LinksUpToDate>false</LinksUpToDate>
  <CharactersWithSpaces>30042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ijrdo publication</dc:creator>
  <cp:lastModifiedBy>SDI 1084</cp:lastModifiedBy>
  <cp:revision>8</cp:revision>
  <dcterms:created xsi:type="dcterms:W3CDTF">2025-01-04T07:56:00Z</dcterms:created>
  <dcterms:modified xsi:type="dcterms:W3CDTF">2025-05-14T10:53:00Z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567ae1469f85ebb56188f38e5fd638ce12b3b22775f800d956bc5f1f8fd170f9</vt:lpwstr>
  </property>
</Properties>
</file>