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0AA4E" w14:textId="528E0D49" w:rsidR="006D6235" w:rsidRPr="00C82BC0" w:rsidRDefault="00F16996" w:rsidP="0041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1761271"/>
      <w:r w:rsidRPr="00C82BC0">
        <w:rPr>
          <w:rFonts w:ascii="Times New Roman" w:hAnsi="Times New Roman" w:cs="Times New Roman"/>
          <w:b/>
          <w:sz w:val="24"/>
          <w:szCs w:val="24"/>
        </w:rPr>
        <w:t xml:space="preserve">UTILISATION OF </w:t>
      </w:r>
      <w:r w:rsidR="00415FC1" w:rsidRPr="00C82BC0">
        <w:rPr>
          <w:rFonts w:ascii="Times New Roman" w:hAnsi="Times New Roman" w:cs="Times New Roman"/>
          <w:b/>
          <w:sz w:val="24"/>
          <w:szCs w:val="24"/>
        </w:rPr>
        <w:t>OYSTER SHELLS</w:t>
      </w:r>
      <w:r w:rsidR="003F7C34" w:rsidRPr="00C82BC0">
        <w:rPr>
          <w:rFonts w:ascii="Times New Roman" w:hAnsi="Times New Roman" w:cs="Times New Roman"/>
          <w:b/>
          <w:sz w:val="24"/>
          <w:szCs w:val="24"/>
        </w:rPr>
        <w:t xml:space="preserve"> POWDER </w:t>
      </w:r>
      <w:r w:rsidR="00415FC1" w:rsidRPr="00C82BC0">
        <w:rPr>
          <w:rFonts w:ascii="Times New Roman" w:hAnsi="Times New Roman" w:cs="Times New Roman"/>
          <w:b/>
          <w:sz w:val="24"/>
          <w:szCs w:val="24"/>
        </w:rPr>
        <w:t xml:space="preserve">AS LOW-COST ADSORBENT </w:t>
      </w:r>
      <w:r w:rsidR="00756A58" w:rsidRPr="00C82BC0">
        <w:rPr>
          <w:rFonts w:ascii="Times New Roman" w:hAnsi="Times New Roman" w:cs="Times New Roman"/>
          <w:b/>
          <w:sz w:val="24"/>
          <w:szCs w:val="24"/>
        </w:rPr>
        <w:t xml:space="preserve">FOR THE </w:t>
      </w:r>
      <w:r w:rsidR="00CC7A54" w:rsidRPr="00C82BC0">
        <w:rPr>
          <w:rFonts w:ascii="Times New Roman" w:hAnsi="Times New Roman" w:cs="Times New Roman"/>
          <w:b/>
          <w:sz w:val="24"/>
          <w:szCs w:val="24"/>
        </w:rPr>
        <w:t>REMOVAL OF SELECTED POLLUTANTS FROM OILFIELD</w:t>
      </w:r>
      <w:r w:rsidR="00EA79C4" w:rsidRPr="00C82BC0">
        <w:rPr>
          <w:rFonts w:ascii="Times New Roman" w:hAnsi="Times New Roman" w:cs="Times New Roman"/>
          <w:b/>
          <w:sz w:val="24"/>
          <w:szCs w:val="24"/>
        </w:rPr>
        <w:t xml:space="preserve"> PRODUCED</w:t>
      </w:r>
      <w:r w:rsidR="006D6235" w:rsidRPr="00C82BC0">
        <w:rPr>
          <w:rFonts w:ascii="Times New Roman" w:hAnsi="Times New Roman" w:cs="Times New Roman"/>
          <w:b/>
          <w:sz w:val="24"/>
          <w:szCs w:val="24"/>
        </w:rPr>
        <w:t xml:space="preserve"> WATER   </w:t>
      </w:r>
    </w:p>
    <w:p w14:paraId="6F32388B" w14:textId="77777777" w:rsidR="00415FC1" w:rsidRPr="00C82BC0" w:rsidRDefault="00415FC1" w:rsidP="00415F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98B2A" w14:textId="77777777" w:rsidR="007E5269" w:rsidRPr="00C82BC0" w:rsidRDefault="007E5269" w:rsidP="007E526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bookmarkStart w:id="1" w:name="_GoBack"/>
      <w:bookmarkEnd w:id="1"/>
    </w:p>
    <w:p w14:paraId="2F1A2EA6" w14:textId="77777777" w:rsidR="007E5269" w:rsidRPr="00C82BC0" w:rsidRDefault="007E5269" w:rsidP="006D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774B0" w14:textId="77777777" w:rsidR="007E5269" w:rsidRPr="00C82BC0" w:rsidRDefault="007E5269" w:rsidP="006D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7F7647" w14:textId="77777777" w:rsidR="007E5269" w:rsidRPr="00C82BC0" w:rsidRDefault="007E5269" w:rsidP="006D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D4F9E3" w14:textId="77777777" w:rsidR="007E5269" w:rsidRPr="00C82BC0" w:rsidRDefault="007E5269" w:rsidP="006D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8CB6E" w14:textId="73E950FD" w:rsidR="006D6235" w:rsidRPr="00C82BC0" w:rsidRDefault="006D6235" w:rsidP="006D62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30910FA2" w14:textId="47A022C0" w:rsidR="006D6235" w:rsidRPr="00C82BC0" w:rsidRDefault="004C034E" w:rsidP="006D62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F43A8D" w:rsidRPr="00C82BC0">
        <w:rPr>
          <w:rFonts w:ascii="Times New Roman" w:hAnsi="Times New Roman" w:cs="Times New Roman"/>
          <w:i/>
          <w:iCs/>
          <w:sz w:val="24"/>
          <w:szCs w:val="24"/>
        </w:rPr>
        <w:t>utilization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of naturally occurring biowaste (oyster shells) from mariculture for the removal </w:t>
      </w:r>
      <w:r w:rsidR="00E10E91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of pollutants 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associated with 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>Produced water, a byproduct of oil and gas production,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was investigated in this study. Oyster shell primarily composed of over 96% calcium carbonate</w:t>
      </w:r>
      <w:r w:rsidR="00B55251" w:rsidRPr="00C82BC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3A7E12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was utilized for </w:t>
      </w:r>
      <w:r w:rsidR="00E10E91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3A7E12" w:rsidRPr="00C82BC0">
        <w:rPr>
          <w:rFonts w:ascii="Times New Roman" w:hAnsi="Times New Roman" w:cs="Times New Roman"/>
          <w:i/>
          <w:iCs/>
          <w:sz w:val="24"/>
          <w:szCs w:val="24"/>
        </w:rPr>
        <w:t>treatment of oilfield produced water</w:t>
      </w:r>
      <w:r w:rsidR="00E10E91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samples from an oilfield in Bayelsa State, Nigeria</w:t>
      </w:r>
      <w:r w:rsidR="003A7E12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828BE" w:rsidRPr="00C82BC0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473D5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study</w:t>
      </w:r>
      <w:r w:rsidR="0062729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evaluate</w:t>
      </w:r>
      <w:r w:rsidR="002828BE" w:rsidRPr="00C82BC0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62729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the removal efficiency of </w:t>
      </w:r>
      <w:r w:rsidR="00B55251" w:rsidRPr="00C82BC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473D5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ulverized </w:t>
      </w:r>
      <w:r w:rsidR="00B55251" w:rsidRPr="00C82BC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473D5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yster </w:t>
      </w:r>
      <w:r w:rsidR="00B55251" w:rsidRPr="00C82BC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473D5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hells </w:t>
      </w:r>
      <w:r w:rsidR="00F43A8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(POS) </w:t>
      </w:r>
      <w:r w:rsidR="00473D5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as low-cost adsorbent for the treatment of oilfield produced water samples for </w:t>
      </w:r>
      <w:r w:rsidR="00ED7FA9" w:rsidRPr="00C82BC0">
        <w:rPr>
          <w:rFonts w:ascii="Times New Roman" w:hAnsi="Times New Roman" w:cs="Times New Roman"/>
          <w:i/>
          <w:iCs/>
          <w:sz w:val="24"/>
          <w:szCs w:val="24"/>
        </w:rPr>
        <w:t>petroleum hydrocarbon and dissolved solids</w:t>
      </w:r>
      <w:r w:rsidR="0062729D" w:rsidRPr="00C82BC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729D" w:rsidRPr="00C82BC0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>roduced water samples</w:t>
      </w:r>
      <w:r w:rsidR="00ED7FA9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7E4A" w:rsidRPr="00C82BC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62729D" w:rsidRPr="00C82BC0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CD7E4A" w:rsidRPr="00C82BC0">
        <w:rPr>
          <w:rFonts w:ascii="Times New Roman" w:hAnsi="Times New Roman" w:cs="Times New Roman"/>
          <w:i/>
          <w:iCs/>
          <w:sz w:val="24"/>
          <w:szCs w:val="24"/>
        </w:rPr>
        <w:t>-ST1, A</w:t>
      </w:r>
      <w:r w:rsidR="0062729D" w:rsidRPr="00C82BC0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CD7E4A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-ST2, and C7T 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were allowed to pass through a column of pulverized oyster shells within a contact time of </w:t>
      </w:r>
      <w:r w:rsidR="00ED7FA9" w:rsidRPr="00C82BC0">
        <w:rPr>
          <w:rFonts w:ascii="Times New Roman" w:hAnsi="Times New Roman" w:cs="Times New Roman"/>
          <w:i/>
          <w:iCs/>
          <w:sz w:val="24"/>
          <w:szCs w:val="24"/>
        </w:rPr>
        <w:t>30, 60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and 90 minutes. </w:t>
      </w:r>
      <w:r w:rsidR="00CC2E63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Produced water samples AZ-ST1, AZ-ST2, and C7T were passed through column of POS, after contact time of 30, 60 &amp; 90 minutes, the </w:t>
      </w:r>
      <w:r w:rsidR="00ED7FA9" w:rsidRPr="00C82BC0">
        <w:rPr>
          <w:rFonts w:ascii="Times New Roman" w:hAnsi="Times New Roman" w:cs="Times New Roman"/>
          <w:i/>
          <w:iCs/>
          <w:sz w:val="24"/>
          <w:szCs w:val="24"/>
        </w:rPr>
        <w:t>filtrates were</w:t>
      </w:r>
      <w:r w:rsidR="00CC2E63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268C7" w:rsidRPr="00C82BC0">
        <w:rPr>
          <w:rFonts w:ascii="Times New Roman" w:hAnsi="Times New Roman" w:cs="Times New Roman"/>
          <w:i/>
          <w:iCs/>
          <w:sz w:val="24"/>
          <w:szCs w:val="24"/>
        </w:rPr>
        <w:t>analyzed</w:t>
      </w:r>
      <w:r w:rsidR="00ED7FA9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for </w:t>
      </w:r>
      <w:r w:rsidR="00CC2E63" w:rsidRPr="00C82BC0">
        <w:rPr>
          <w:rFonts w:ascii="Times New Roman" w:hAnsi="Times New Roman" w:cs="Times New Roman"/>
          <w:i/>
          <w:iCs/>
          <w:sz w:val="24"/>
          <w:szCs w:val="24"/>
        </w:rPr>
        <w:t>total petro</w:t>
      </w:r>
      <w:r w:rsidR="00A944B8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leum hydrocarbon 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A944B8" w:rsidRPr="00C82BC0">
        <w:rPr>
          <w:rFonts w:ascii="Times New Roman" w:hAnsi="Times New Roman" w:cs="Times New Roman"/>
          <w:i/>
          <w:iCs/>
          <w:sz w:val="24"/>
          <w:szCs w:val="24"/>
        </w:rPr>
        <w:t>dissolved solids</w:t>
      </w:r>
      <w:r w:rsidR="00ED7FA9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AE3E7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Consequently, the </w:t>
      </w:r>
      <w:r w:rsidR="002268C7" w:rsidRPr="00C82BC0">
        <w:rPr>
          <w:rFonts w:ascii="Times New Roman" w:hAnsi="Times New Roman" w:cs="Times New Roman"/>
          <w:i/>
          <w:iCs/>
          <w:sz w:val="24"/>
          <w:szCs w:val="24"/>
        </w:rPr>
        <w:t>POS removal</w:t>
      </w:r>
      <w:r w:rsidR="004C39B9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efficiency</w:t>
      </w:r>
      <w:r w:rsidR="002828B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C39B9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was computed to be </w:t>
      </w:r>
      <w:r w:rsidR="006D6235" w:rsidRPr="00C82BC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="004C39B9" w:rsidRPr="00C82BC0">
        <w:rPr>
          <w:rFonts w:ascii="Times New Roman" w:hAnsi="Times New Roman" w:cs="Times New Roman"/>
          <w:i/>
          <w:iCs/>
          <w:sz w:val="24"/>
          <w:szCs w:val="24"/>
        </w:rPr>
        <w:t>3.0%, 79.8% &amp; 88.1% for TPH</w:t>
      </w:r>
      <w:r w:rsidR="002828BE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and 77.2%, 79.1% &amp; 79.7% for </w:t>
      </w:r>
      <w:r w:rsidR="002268C7" w:rsidRPr="00C82BC0">
        <w:rPr>
          <w:rFonts w:ascii="Times New Roman" w:hAnsi="Times New Roman" w:cs="Times New Roman"/>
          <w:i/>
          <w:iCs/>
          <w:sz w:val="24"/>
          <w:szCs w:val="24"/>
        </w:rPr>
        <w:t>TDS</w:t>
      </w:r>
      <w:r w:rsidR="00AE3E7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samples AZ-ST1, AZ-ST2, and C7T </w:t>
      </w:r>
      <w:r w:rsidR="002828BE" w:rsidRPr="00C82BC0">
        <w:rPr>
          <w:rFonts w:ascii="Times New Roman" w:hAnsi="Times New Roman" w:cs="Times New Roman"/>
          <w:i/>
          <w:iCs/>
          <w:sz w:val="24"/>
          <w:szCs w:val="24"/>
        </w:rPr>
        <w:t>respectively.</w:t>
      </w:r>
      <w:r w:rsidR="00F43A8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E3E7D"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Therefore, </w:t>
      </w:r>
      <w:r w:rsidR="00F43A8D" w:rsidRPr="00C82BC0">
        <w:rPr>
          <w:rFonts w:ascii="Times New Roman" w:hAnsi="Times New Roman" w:cs="Times New Roman"/>
          <w:i/>
          <w:iCs/>
          <w:sz w:val="24"/>
          <w:szCs w:val="24"/>
        </w:rPr>
        <w:t>POS</w:t>
      </w:r>
      <w:r w:rsidR="002268C7" w:rsidRPr="00C82BC0">
        <w:rPr>
          <w:rFonts w:ascii="Times New Roman" w:hAnsi="Times New Roman" w:cs="Times New Roman"/>
          <w:i/>
          <w:iCs/>
          <w:sz w:val="24"/>
          <w:szCs w:val="24"/>
        </w:rPr>
        <w:t>, as a low-cost biowaste material, shows potential for removal of pollutants from oilfield produced water.</w:t>
      </w:r>
    </w:p>
    <w:p w14:paraId="48117711" w14:textId="77777777" w:rsidR="006D6235" w:rsidRPr="00C82BC0" w:rsidRDefault="006D6235" w:rsidP="006D62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1B060" w14:textId="586CB940" w:rsidR="006D6235" w:rsidRPr="00C82BC0" w:rsidRDefault="006D6235" w:rsidP="00EA79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Pr="00C82BC0">
        <w:rPr>
          <w:rFonts w:ascii="Times New Roman" w:hAnsi="Times New Roman" w:cs="Times New Roman"/>
          <w:bCs/>
          <w:i/>
          <w:iCs/>
          <w:sz w:val="24"/>
          <w:szCs w:val="24"/>
        </w:rPr>
        <w:t>Produced water, T</w:t>
      </w:r>
      <w:r w:rsidR="002268C7" w:rsidRPr="00C82B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otal Petroleum Hydrocarbon, Total Dissolved Solids, Adsorbent, </w:t>
      </w:r>
      <w:r w:rsidRPr="00C82B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contact </w:t>
      </w:r>
      <w:proofErr w:type="gramStart"/>
      <w:r w:rsidRPr="00C82BC0">
        <w:rPr>
          <w:rFonts w:ascii="Times New Roman" w:hAnsi="Times New Roman" w:cs="Times New Roman"/>
          <w:bCs/>
          <w:i/>
          <w:iCs/>
          <w:sz w:val="24"/>
          <w:szCs w:val="24"/>
        </w:rPr>
        <w:t>time</w:t>
      </w:r>
      <w:r w:rsidR="002268C7" w:rsidRPr="00C82BC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.</w:t>
      </w:r>
      <w:proofErr w:type="gramEnd"/>
    </w:p>
    <w:p w14:paraId="5758B575" w14:textId="77777777" w:rsidR="00FA660B" w:rsidRPr="00C82BC0" w:rsidRDefault="00FA660B" w:rsidP="00EA79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A82D9C" w14:textId="77777777" w:rsidR="00EA79C4" w:rsidRPr="00C82BC0" w:rsidRDefault="00EA79C4" w:rsidP="00EA79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EAB89A" w14:textId="77777777" w:rsidR="00EA79C4" w:rsidRPr="00C82BC0" w:rsidRDefault="00EA79C4" w:rsidP="00EA7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EA79C4" w:rsidRPr="00C82BC0" w:rsidSect="00C82B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41" w:bottom="1440" w:left="1440" w:header="720" w:footer="720" w:gutter="0"/>
          <w:cols w:space="720"/>
          <w:docGrid w:linePitch="360"/>
        </w:sectPr>
      </w:pPr>
    </w:p>
    <w:p w14:paraId="0BB8BA66" w14:textId="77777777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 xml:space="preserve">1.0 </w:t>
      </w:r>
      <w:r w:rsidR="00A4781D" w:rsidRPr="00C82BC0">
        <w:rPr>
          <w:rFonts w:ascii="Times New Roman" w:hAnsi="Times New Roman" w:cs="Times New Roman"/>
          <w:b/>
          <w:sz w:val="24"/>
          <w:szCs w:val="24"/>
        </w:rPr>
        <w:tab/>
      </w:r>
      <w:r w:rsidRPr="00C82BC0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7194C7FF" w14:textId="612D2168" w:rsidR="001F3EA4" w:rsidRPr="00C82BC0" w:rsidRDefault="001F3EA4" w:rsidP="001F3E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019064"/>
      <w:r w:rsidRPr="00C82BC0">
        <w:rPr>
          <w:rFonts w:ascii="Times New Roman" w:hAnsi="Times New Roman" w:cs="Times New Roman"/>
          <w:sz w:val="24"/>
          <w:szCs w:val="24"/>
        </w:rPr>
        <w:t xml:space="preserve">The oil and gas industry significantly </w:t>
      </w:r>
      <w:proofErr w:type="gramStart"/>
      <w:r w:rsidRPr="00C82BC0">
        <w:rPr>
          <w:rFonts w:ascii="Times New Roman" w:hAnsi="Times New Roman" w:cs="Times New Roman"/>
          <w:sz w:val="24"/>
          <w:szCs w:val="24"/>
        </w:rPr>
        <w:t>supports</w:t>
      </w:r>
      <w:proofErr w:type="gramEnd"/>
      <w:r w:rsidRPr="00C82BC0">
        <w:rPr>
          <w:rFonts w:ascii="Times New Roman" w:hAnsi="Times New Roman" w:cs="Times New Roman"/>
          <w:sz w:val="24"/>
          <w:szCs w:val="24"/>
        </w:rPr>
        <w:t xml:space="preserve"> the global economy by providing energy. However, it produces about 250 million barrels of water daily as a byproduct, with over 40% discharged into the environment (</w:t>
      </w:r>
      <w:r w:rsidR="0060407A" w:rsidRPr="00C82BC0">
        <w:rPr>
          <w:rFonts w:ascii="Times New Roman" w:hAnsi="Times New Roman" w:cs="Times New Roman"/>
          <w:sz w:val="24"/>
          <w:szCs w:val="24"/>
        </w:rPr>
        <w:t>Haneef, Mustafa, Yasin, Farooq and Isa, 2020</w:t>
      </w:r>
      <w:r w:rsidRPr="00C82BC0">
        <w:rPr>
          <w:rFonts w:ascii="Times New Roman" w:hAnsi="Times New Roman" w:cs="Times New Roman"/>
          <w:sz w:val="24"/>
          <w:szCs w:val="24"/>
        </w:rPr>
        <w:t>). This produced water is a complex mix of water, oil, and contaminants like PAHs, PCBs, and heavy metals (</w:t>
      </w:r>
      <w:bookmarkStart w:id="3" w:name="_Hlk194311520"/>
      <w:r w:rsidR="00D22094" w:rsidRPr="00C82BC0">
        <w:rPr>
          <w:rFonts w:ascii="Times New Roman" w:hAnsi="Times New Roman" w:cs="Times New Roman"/>
          <w:sz w:val="24"/>
          <w:szCs w:val="24"/>
        </w:rPr>
        <w:t xml:space="preserve">Veil, Puder and </w:t>
      </w:r>
      <w:proofErr w:type="spellStart"/>
      <w:r w:rsidR="00D22094" w:rsidRPr="00C82BC0">
        <w:rPr>
          <w:rFonts w:ascii="Times New Roman" w:hAnsi="Times New Roman" w:cs="Times New Roman"/>
          <w:sz w:val="24"/>
          <w:szCs w:val="24"/>
        </w:rPr>
        <w:t>Elcock</w:t>
      </w:r>
      <w:proofErr w:type="spellEnd"/>
      <w:r w:rsidR="00D22094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 xml:space="preserve">2004; </w:t>
      </w:r>
      <w:proofErr w:type="spellStart"/>
      <w:r w:rsidR="004D5DFA" w:rsidRPr="00C82BC0">
        <w:rPr>
          <w:rFonts w:ascii="Times New Roman" w:hAnsi="Times New Roman" w:cs="Times New Roman"/>
          <w:sz w:val="24"/>
          <w:szCs w:val="24"/>
        </w:rPr>
        <w:t>Fakhru’l-Razi</w:t>
      </w:r>
      <w:proofErr w:type="spellEnd"/>
      <w:r w:rsidR="004D5DFA" w:rsidRPr="00C82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5DFA" w:rsidRPr="00C82BC0">
        <w:rPr>
          <w:rFonts w:ascii="Times New Roman" w:hAnsi="Times New Roman" w:cs="Times New Roman"/>
          <w:sz w:val="24"/>
          <w:szCs w:val="24"/>
        </w:rPr>
        <w:t>Pendashteh</w:t>
      </w:r>
      <w:proofErr w:type="spellEnd"/>
      <w:r w:rsidR="004D5DFA" w:rsidRPr="00C82BC0">
        <w:rPr>
          <w:rFonts w:ascii="Times New Roman" w:hAnsi="Times New Roman" w:cs="Times New Roman"/>
          <w:sz w:val="24"/>
          <w:szCs w:val="24"/>
        </w:rPr>
        <w:t xml:space="preserve">, Abdullah, Biak, </w:t>
      </w:r>
      <w:proofErr w:type="spellStart"/>
      <w:r w:rsidR="004D5DFA" w:rsidRPr="00C82BC0">
        <w:rPr>
          <w:rFonts w:ascii="Times New Roman" w:hAnsi="Times New Roman" w:cs="Times New Roman"/>
          <w:sz w:val="24"/>
          <w:szCs w:val="24"/>
        </w:rPr>
        <w:t>Madaeni</w:t>
      </w:r>
      <w:proofErr w:type="spellEnd"/>
      <w:r w:rsidR="004D5DFA"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4D5DFA" w:rsidRPr="00C82BC0">
        <w:rPr>
          <w:rFonts w:ascii="Times New Roman" w:hAnsi="Times New Roman" w:cs="Times New Roman"/>
          <w:sz w:val="24"/>
          <w:szCs w:val="24"/>
        </w:rPr>
        <w:t>Abidin</w:t>
      </w:r>
      <w:proofErr w:type="spellEnd"/>
      <w:r w:rsidR="004D5DFA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="00D22094" w:rsidRPr="00C82BC0">
        <w:rPr>
          <w:rFonts w:ascii="Times New Roman" w:hAnsi="Times New Roman" w:cs="Times New Roman"/>
          <w:sz w:val="24"/>
          <w:szCs w:val="24"/>
        </w:rPr>
        <w:t>2009</w:t>
      </w:r>
      <w:bookmarkEnd w:id="3"/>
      <w:r w:rsidRPr="00C82BC0">
        <w:rPr>
          <w:rFonts w:ascii="Times New Roman" w:hAnsi="Times New Roman" w:cs="Times New Roman"/>
          <w:sz w:val="24"/>
          <w:szCs w:val="24"/>
        </w:rPr>
        <w:t>).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 xml:space="preserve">The management and disposal of produced water are significant environmental </w:t>
      </w:r>
      <w:r w:rsidR="00FA660B" w:rsidRPr="00C82BC0">
        <w:rPr>
          <w:rFonts w:ascii="Times New Roman" w:hAnsi="Times New Roman" w:cs="Times New Roman"/>
          <w:sz w:val="24"/>
          <w:szCs w:val="24"/>
        </w:rPr>
        <w:t>c</w:t>
      </w:r>
      <w:r w:rsidRPr="00C82BC0">
        <w:rPr>
          <w:rFonts w:ascii="Times New Roman" w:hAnsi="Times New Roman" w:cs="Times New Roman"/>
          <w:sz w:val="24"/>
          <w:szCs w:val="24"/>
        </w:rPr>
        <w:t>oncerns due to its potential to pollute surface water, groundwater, and soil (</w:t>
      </w:r>
      <w:r w:rsidR="00C31788" w:rsidRPr="00C82BC0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="00C31788" w:rsidRPr="00C82BC0">
        <w:rPr>
          <w:rFonts w:ascii="Times New Roman" w:hAnsi="Times New Roman" w:cs="Times New Roman"/>
          <w:sz w:val="24"/>
          <w:szCs w:val="24"/>
        </w:rPr>
        <w:t>Ghouti</w:t>
      </w:r>
      <w:proofErr w:type="spellEnd"/>
      <w:r w:rsidR="00C31788" w:rsidRPr="00C82BC0">
        <w:rPr>
          <w:rFonts w:ascii="Times New Roman" w:hAnsi="Times New Roman" w:cs="Times New Roman"/>
          <w:sz w:val="24"/>
          <w:szCs w:val="24"/>
        </w:rPr>
        <w:t>, Al-</w:t>
      </w:r>
      <w:proofErr w:type="spellStart"/>
      <w:r w:rsidR="00C31788" w:rsidRPr="00C82BC0">
        <w:rPr>
          <w:rFonts w:ascii="Times New Roman" w:hAnsi="Times New Roman" w:cs="Times New Roman"/>
          <w:sz w:val="24"/>
          <w:szCs w:val="24"/>
        </w:rPr>
        <w:t>Kaabi</w:t>
      </w:r>
      <w:proofErr w:type="spellEnd"/>
      <w:r w:rsidR="00C31788" w:rsidRPr="00C82BC0">
        <w:rPr>
          <w:rFonts w:ascii="Times New Roman" w:hAnsi="Times New Roman" w:cs="Times New Roman"/>
          <w:sz w:val="24"/>
          <w:szCs w:val="24"/>
        </w:rPr>
        <w:t xml:space="preserve">, Ashfaq, and </w:t>
      </w:r>
      <w:proofErr w:type="spellStart"/>
      <w:r w:rsidR="00C31788" w:rsidRPr="00C82BC0">
        <w:rPr>
          <w:rFonts w:ascii="Times New Roman" w:hAnsi="Times New Roman" w:cs="Times New Roman"/>
          <w:sz w:val="24"/>
          <w:szCs w:val="24"/>
        </w:rPr>
        <w:t>Da’na</w:t>
      </w:r>
      <w:proofErr w:type="spellEnd"/>
      <w:r w:rsidR="00C31788" w:rsidRPr="00C82BC0">
        <w:rPr>
          <w:rFonts w:ascii="Times New Roman" w:hAnsi="Times New Roman" w:cs="Times New Roman"/>
          <w:sz w:val="24"/>
          <w:szCs w:val="24"/>
        </w:rPr>
        <w:t xml:space="preserve"> 2019)</w:t>
      </w:r>
      <w:r w:rsidRPr="00C82BC0">
        <w:rPr>
          <w:rFonts w:ascii="Times New Roman" w:hAnsi="Times New Roman" w:cs="Times New Roman"/>
          <w:sz w:val="24"/>
          <w:szCs w:val="24"/>
        </w:rPr>
        <w:t>. Produced water pollution can</w:t>
      </w:r>
      <w:r w:rsidR="00A32709" w:rsidRPr="00C82BC0">
        <w:rPr>
          <w:rFonts w:ascii="Times New Roman" w:hAnsi="Times New Roman" w:cs="Times New Roman"/>
          <w:sz w:val="24"/>
          <w:szCs w:val="24"/>
        </w:rPr>
        <w:t xml:space="preserve"> negatively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A32709" w:rsidRPr="00C82BC0">
        <w:rPr>
          <w:rFonts w:ascii="Times New Roman" w:hAnsi="Times New Roman" w:cs="Times New Roman"/>
          <w:sz w:val="24"/>
          <w:szCs w:val="24"/>
        </w:rPr>
        <w:t xml:space="preserve">impact </w:t>
      </w:r>
      <w:r w:rsidRPr="00C82BC0">
        <w:rPr>
          <w:rFonts w:ascii="Times New Roman" w:hAnsi="Times New Roman" w:cs="Times New Roman"/>
          <w:sz w:val="24"/>
          <w:szCs w:val="24"/>
        </w:rPr>
        <w:t xml:space="preserve">the environment, affecting aquatic life, </w:t>
      </w:r>
      <w:r w:rsidRPr="00C82BC0">
        <w:rPr>
          <w:rFonts w:ascii="Times New Roman" w:hAnsi="Times New Roman" w:cs="Times New Roman"/>
          <w:sz w:val="24"/>
          <w:szCs w:val="24"/>
        </w:rPr>
        <w:lastRenderedPageBreak/>
        <w:t>degrading soil, and posing risks to human health (</w:t>
      </w:r>
      <w:r w:rsidR="00C31788" w:rsidRPr="00C82BC0">
        <w:rPr>
          <w:rFonts w:ascii="Times New Roman" w:hAnsi="Times New Roman" w:cs="Times New Roman"/>
          <w:sz w:val="24"/>
          <w:szCs w:val="24"/>
        </w:rPr>
        <w:t xml:space="preserve">Zheng, Chen, </w:t>
      </w:r>
      <w:proofErr w:type="spellStart"/>
      <w:r w:rsidR="00C31788" w:rsidRPr="00C82BC0">
        <w:rPr>
          <w:rFonts w:ascii="Times New Roman" w:hAnsi="Times New Roman" w:cs="Times New Roman"/>
          <w:sz w:val="24"/>
          <w:szCs w:val="24"/>
        </w:rPr>
        <w:t>Thanyamanta</w:t>
      </w:r>
      <w:proofErr w:type="spellEnd"/>
      <w:r w:rsidR="00C31788" w:rsidRPr="00C82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31788" w:rsidRPr="00C82BC0">
        <w:rPr>
          <w:rFonts w:ascii="Times New Roman" w:hAnsi="Times New Roman" w:cs="Times New Roman"/>
          <w:sz w:val="24"/>
          <w:szCs w:val="24"/>
        </w:rPr>
        <w:t>Hawboldt</w:t>
      </w:r>
      <w:proofErr w:type="spellEnd"/>
      <w:r w:rsidR="00C31788" w:rsidRPr="00C82BC0">
        <w:rPr>
          <w:rFonts w:ascii="Times New Roman" w:hAnsi="Times New Roman" w:cs="Times New Roman"/>
          <w:sz w:val="24"/>
          <w:szCs w:val="24"/>
        </w:rPr>
        <w:t xml:space="preserve">, Zhang, </w:t>
      </w:r>
      <w:r w:rsidR="00333E89" w:rsidRPr="00C82BC0">
        <w:rPr>
          <w:rFonts w:ascii="Times New Roman" w:hAnsi="Times New Roman" w:cs="Times New Roman"/>
          <w:sz w:val="24"/>
          <w:szCs w:val="24"/>
        </w:rPr>
        <w:t>and</w:t>
      </w:r>
      <w:r w:rsidR="00C31788" w:rsidRPr="00C82BC0">
        <w:rPr>
          <w:rFonts w:ascii="Times New Roman" w:hAnsi="Times New Roman" w:cs="Times New Roman"/>
          <w:sz w:val="24"/>
          <w:szCs w:val="24"/>
        </w:rPr>
        <w:t xml:space="preserve"> Liu, 2016)</w:t>
      </w:r>
      <w:r w:rsidRPr="00C82BC0">
        <w:rPr>
          <w:rFonts w:ascii="Times New Roman" w:hAnsi="Times New Roman" w:cs="Times New Roman"/>
          <w:sz w:val="24"/>
          <w:szCs w:val="24"/>
        </w:rPr>
        <w:t>.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981B4" w14:textId="7776E9F0" w:rsidR="006D6235" w:rsidRPr="00C82BC0" w:rsidRDefault="00DB21AC" w:rsidP="001F3EA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The </w:t>
      </w:r>
      <w:r w:rsidR="001F3EA4" w:rsidRPr="00C82BC0">
        <w:rPr>
          <w:rFonts w:ascii="Times New Roman" w:hAnsi="Times New Roman" w:cs="Times New Roman"/>
          <w:sz w:val="24"/>
          <w:szCs w:val="24"/>
        </w:rPr>
        <w:t>Nigeria</w:t>
      </w:r>
      <w:r w:rsidRPr="00C82BC0">
        <w:rPr>
          <w:rFonts w:ascii="Times New Roman" w:hAnsi="Times New Roman" w:cs="Times New Roman"/>
          <w:sz w:val="24"/>
          <w:szCs w:val="24"/>
        </w:rPr>
        <w:t xml:space="preserve">n </w:t>
      </w:r>
      <w:r w:rsidR="001F3EA4" w:rsidRPr="00C82BC0">
        <w:rPr>
          <w:rFonts w:ascii="Times New Roman" w:hAnsi="Times New Roman" w:cs="Times New Roman"/>
          <w:sz w:val="24"/>
          <w:szCs w:val="24"/>
        </w:rPr>
        <w:t>oil and gas sector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2BC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C82BC0">
        <w:rPr>
          <w:rFonts w:ascii="Times New Roman" w:hAnsi="Times New Roman" w:cs="Times New Roman"/>
          <w:sz w:val="24"/>
          <w:szCs w:val="24"/>
        </w:rPr>
        <w:t xml:space="preserve"> a major economic contributor to the national economy because of the oil and gas </w:t>
      </w:r>
      <w:r w:rsidR="001F3EA4" w:rsidRPr="00C82BC0">
        <w:rPr>
          <w:rFonts w:ascii="Times New Roman" w:hAnsi="Times New Roman" w:cs="Times New Roman"/>
          <w:sz w:val="24"/>
          <w:szCs w:val="24"/>
        </w:rPr>
        <w:t>production activities</w:t>
      </w:r>
      <w:r w:rsidRPr="00C82BC0">
        <w:rPr>
          <w:rFonts w:ascii="Times New Roman" w:hAnsi="Times New Roman" w:cs="Times New Roman"/>
          <w:sz w:val="24"/>
          <w:szCs w:val="24"/>
        </w:rPr>
        <w:t xml:space="preserve"> in the Niger Delta</w:t>
      </w:r>
      <w:r w:rsidR="001F3EA4" w:rsidRPr="00C82BC0">
        <w:rPr>
          <w:rFonts w:ascii="Times New Roman" w:hAnsi="Times New Roman" w:cs="Times New Roman"/>
          <w:sz w:val="24"/>
          <w:szCs w:val="24"/>
        </w:rPr>
        <w:t xml:space="preserve">. </w:t>
      </w:r>
      <w:r w:rsidRPr="00C82BC0">
        <w:rPr>
          <w:rFonts w:ascii="Times New Roman" w:hAnsi="Times New Roman" w:cs="Times New Roman"/>
          <w:sz w:val="24"/>
          <w:szCs w:val="24"/>
        </w:rPr>
        <w:t>However, despite the role of the region to national economy, it has been inundated with several</w:t>
      </w:r>
      <w:r w:rsidR="001F3EA4" w:rsidRPr="00C82BC0">
        <w:rPr>
          <w:rFonts w:ascii="Times New Roman" w:hAnsi="Times New Roman" w:cs="Times New Roman"/>
          <w:sz w:val="24"/>
          <w:szCs w:val="24"/>
        </w:rPr>
        <w:t xml:space="preserve"> environmental</w:t>
      </w:r>
      <w:r w:rsidRPr="00C82BC0">
        <w:rPr>
          <w:rFonts w:ascii="Times New Roman" w:hAnsi="Times New Roman" w:cs="Times New Roman"/>
          <w:sz w:val="24"/>
          <w:szCs w:val="24"/>
        </w:rPr>
        <w:t xml:space="preserve"> challenges resulting from </w:t>
      </w:r>
      <w:r w:rsidR="001F3EA4" w:rsidRPr="00C82BC0">
        <w:rPr>
          <w:rFonts w:ascii="Times New Roman" w:hAnsi="Times New Roman" w:cs="Times New Roman"/>
          <w:sz w:val="24"/>
          <w:szCs w:val="24"/>
        </w:rPr>
        <w:t>oil spills</w:t>
      </w:r>
      <w:r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r w:rsidR="001F3EA4" w:rsidRPr="00C82BC0">
        <w:rPr>
          <w:rFonts w:ascii="Times New Roman" w:hAnsi="Times New Roman" w:cs="Times New Roman"/>
          <w:sz w:val="24"/>
          <w:szCs w:val="24"/>
        </w:rPr>
        <w:t>gas flaring</w:t>
      </w:r>
      <w:r w:rsidR="00FC51A3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1F3EA4" w:rsidRPr="00C82B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3DBB" w:rsidRPr="00C82BC0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="009D3DBB" w:rsidRPr="00C82B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3DBB" w:rsidRPr="00C82BC0">
        <w:rPr>
          <w:rFonts w:ascii="Times New Roman" w:hAnsi="Times New Roman" w:cs="Times New Roman"/>
          <w:sz w:val="24"/>
          <w:szCs w:val="24"/>
        </w:rPr>
        <w:t>Ibok</w:t>
      </w:r>
      <w:proofErr w:type="spellEnd"/>
      <w:r w:rsidR="009D3DBB"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D3DBB" w:rsidRPr="00C82BC0">
        <w:rPr>
          <w:rFonts w:ascii="Times New Roman" w:hAnsi="Times New Roman" w:cs="Times New Roman"/>
          <w:sz w:val="24"/>
          <w:szCs w:val="24"/>
        </w:rPr>
        <w:t>Ite</w:t>
      </w:r>
      <w:proofErr w:type="spellEnd"/>
      <w:r w:rsidR="009D3DBB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="001F3EA4" w:rsidRPr="00C82BC0">
        <w:rPr>
          <w:rFonts w:ascii="Times New Roman" w:hAnsi="Times New Roman" w:cs="Times New Roman"/>
          <w:sz w:val="24"/>
          <w:szCs w:val="24"/>
        </w:rPr>
        <w:t>2013;</w:t>
      </w:r>
      <w:r w:rsidR="00104EE3" w:rsidRPr="00C82BC0">
        <w:rPr>
          <w:rFonts w:ascii="Times New Roman" w:hAnsi="Times New Roman" w:cs="Times New Roman"/>
          <w:sz w:val="24"/>
          <w:szCs w:val="24"/>
        </w:rPr>
        <w:t xml:space="preserve"> Barker and Jones, 2013;</w:t>
      </w:r>
      <w:r w:rsidR="001F3EA4" w:rsidRPr="00C82BC0">
        <w:rPr>
          <w:rFonts w:ascii="Times New Roman" w:hAnsi="Times New Roman" w:cs="Times New Roman"/>
          <w:sz w:val="24"/>
          <w:szCs w:val="24"/>
        </w:rPr>
        <w:t xml:space="preserve"> Osuji</w:t>
      </w:r>
      <w:r w:rsidR="009D3DBB" w:rsidRPr="00C82BC0">
        <w:rPr>
          <w:rFonts w:ascii="Times New Roman" w:hAnsi="Times New Roman" w:cs="Times New Roman"/>
          <w:sz w:val="24"/>
          <w:szCs w:val="24"/>
        </w:rPr>
        <w:t>, Ezenwa and Okeke</w:t>
      </w:r>
      <w:r w:rsidR="001F3EA4" w:rsidRPr="00C82BC0">
        <w:rPr>
          <w:rFonts w:ascii="Times New Roman" w:hAnsi="Times New Roman" w:cs="Times New Roman"/>
          <w:sz w:val="24"/>
          <w:szCs w:val="24"/>
        </w:rPr>
        <w:t>, 2015).</w:t>
      </w:r>
    </w:p>
    <w:p w14:paraId="6390F24E" w14:textId="291EFD79" w:rsidR="006D6235" w:rsidRPr="00C82BC0" w:rsidRDefault="002C4A70" w:rsidP="002C4A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Produced water</w:t>
      </w:r>
      <w:r w:rsidR="008C1DCC" w:rsidRPr="00C82BC0">
        <w:rPr>
          <w:rFonts w:ascii="Times New Roman" w:hAnsi="Times New Roman" w:cs="Times New Roman"/>
          <w:sz w:val="24"/>
          <w:szCs w:val="24"/>
        </w:rPr>
        <w:t xml:space="preserve"> is a co</w:t>
      </w:r>
      <w:r w:rsidRPr="00C82BC0">
        <w:rPr>
          <w:rFonts w:ascii="Times New Roman" w:hAnsi="Times New Roman" w:cs="Times New Roman"/>
          <w:sz w:val="24"/>
          <w:szCs w:val="24"/>
        </w:rPr>
        <w:t xml:space="preserve">mplex mixture </w:t>
      </w:r>
      <w:proofErr w:type="gramStart"/>
      <w:r w:rsidR="008C1DCC" w:rsidRPr="00C82BC0">
        <w:rPr>
          <w:rFonts w:ascii="Times New Roman" w:hAnsi="Times New Roman" w:cs="Times New Roman"/>
          <w:sz w:val="24"/>
          <w:szCs w:val="24"/>
        </w:rPr>
        <w:t>of</w:t>
      </w:r>
      <w:r w:rsidRPr="00C82BC0">
        <w:rPr>
          <w:rFonts w:ascii="Times New Roman" w:hAnsi="Times New Roman" w:cs="Times New Roman"/>
          <w:sz w:val="24"/>
          <w:szCs w:val="24"/>
        </w:rPr>
        <w:t xml:space="preserve">  water</w:t>
      </w:r>
      <w:proofErr w:type="gramEnd"/>
      <w:r w:rsidRPr="00C82BC0">
        <w:rPr>
          <w:rFonts w:ascii="Times New Roman" w:hAnsi="Times New Roman" w:cs="Times New Roman"/>
          <w:sz w:val="24"/>
          <w:szCs w:val="24"/>
        </w:rPr>
        <w:t xml:space="preserve">, oil, </w:t>
      </w:r>
      <w:r w:rsidR="008C1DCC" w:rsidRPr="00C82BC0">
        <w:rPr>
          <w:rFonts w:ascii="Times New Roman" w:hAnsi="Times New Roman" w:cs="Times New Roman"/>
          <w:sz w:val="24"/>
          <w:szCs w:val="24"/>
        </w:rPr>
        <w:t>heavy metals, dissolved solids</w:t>
      </w:r>
      <w:r w:rsidR="000462C9" w:rsidRPr="00C82BC0">
        <w:rPr>
          <w:rFonts w:ascii="Times New Roman" w:hAnsi="Times New Roman" w:cs="Times New Roman"/>
          <w:sz w:val="24"/>
          <w:szCs w:val="24"/>
        </w:rPr>
        <w:t>, suspended solids,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8C1DCC" w:rsidRPr="00C82BC0">
        <w:rPr>
          <w:rFonts w:ascii="Times New Roman" w:hAnsi="Times New Roman" w:cs="Times New Roman"/>
          <w:sz w:val="24"/>
          <w:szCs w:val="24"/>
        </w:rPr>
        <w:t>volatile organic compounds</w:t>
      </w:r>
      <w:r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="008C1DCC" w:rsidRPr="00C82BC0">
        <w:rPr>
          <w:rFonts w:ascii="Times New Roman" w:hAnsi="Times New Roman" w:cs="Times New Roman"/>
          <w:sz w:val="24"/>
          <w:szCs w:val="24"/>
        </w:rPr>
        <w:t xml:space="preserve">organic acids, gases and </w:t>
      </w:r>
      <w:r w:rsidRPr="00C82BC0">
        <w:rPr>
          <w:rFonts w:ascii="Times New Roman" w:hAnsi="Times New Roman" w:cs="Times New Roman"/>
          <w:sz w:val="24"/>
          <w:szCs w:val="24"/>
        </w:rPr>
        <w:t>polychlorinated biphenyls (PCBs) (</w:t>
      </w:r>
      <w:r w:rsidR="00BF537A" w:rsidRPr="00C82BC0">
        <w:rPr>
          <w:rFonts w:ascii="Times New Roman" w:hAnsi="Times New Roman" w:cs="Times New Roman"/>
          <w:sz w:val="24"/>
          <w:szCs w:val="24"/>
        </w:rPr>
        <w:t>Ali,  Jassim and Faris, 2024</w:t>
      </w:r>
      <w:r w:rsidRPr="00C82BC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Fakhru'l-Razi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et al., 2009). </w:t>
      </w:r>
      <w:r w:rsidR="008C1DCC" w:rsidRPr="00C82BC0">
        <w:rPr>
          <w:rFonts w:ascii="Times New Roman" w:hAnsi="Times New Roman" w:cs="Times New Roman"/>
          <w:sz w:val="24"/>
          <w:szCs w:val="24"/>
        </w:rPr>
        <w:t>Therefore, it is</w:t>
      </w:r>
      <w:r w:rsidR="000462C9" w:rsidRPr="00C82BC0">
        <w:rPr>
          <w:rFonts w:ascii="Times New Roman" w:hAnsi="Times New Roman" w:cs="Times New Roman"/>
          <w:sz w:val="24"/>
          <w:szCs w:val="24"/>
        </w:rPr>
        <w:t xml:space="preserve"> important</w:t>
      </w:r>
      <w:r w:rsidR="008C1DCC" w:rsidRPr="00C82BC0">
        <w:rPr>
          <w:rFonts w:ascii="Times New Roman" w:hAnsi="Times New Roman" w:cs="Times New Roman"/>
          <w:sz w:val="24"/>
          <w:szCs w:val="24"/>
        </w:rPr>
        <w:t xml:space="preserve"> to ch</w:t>
      </w:r>
      <w:r w:rsidRPr="00C82BC0">
        <w:rPr>
          <w:rFonts w:ascii="Times New Roman" w:hAnsi="Times New Roman" w:cs="Times New Roman"/>
          <w:sz w:val="24"/>
          <w:szCs w:val="24"/>
        </w:rPr>
        <w:t>aracteriz</w:t>
      </w:r>
      <w:r w:rsidR="008C1DCC" w:rsidRPr="00C82BC0">
        <w:rPr>
          <w:rFonts w:ascii="Times New Roman" w:hAnsi="Times New Roman" w:cs="Times New Roman"/>
          <w:sz w:val="24"/>
          <w:szCs w:val="24"/>
        </w:rPr>
        <w:t>e</w:t>
      </w:r>
      <w:r w:rsidRPr="00C82BC0">
        <w:rPr>
          <w:rFonts w:ascii="Times New Roman" w:hAnsi="Times New Roman" w:cs="Times New Roman"/>
          <w:sz w:val="24"/>
          <w:szCs w:val="24"/>
        </w:rPr>
        <w:t xml:space="preserve"> produced water </w:t>
      </w:r>
      <w:r w:rsidR="008C1DCC" w:rsidRPr="00C82BC0">
        <w:rPr>
          <w:rFonts w:ascii="Times New Roman" w:hAnsi="Times New Roman" w:cs="Times New Roman"/>
          <w:sz w:val="24"/>
          <w:szCs w:val="24"/>
        </w:rPr>
        <w:t xml:space="preserve">to </w:t>
      </w:r>
      <w:r w:rsidRPr="00C82BC0">
        <w:rPr>
          <w:rFonts w:ascii="Times New Roman" w:hAnsi="Times New Roman" w:cs="Times New Roman"/>
          <w:sz w:val="24"/>
          <w:szCs w:val="24"/>
        </w:rPr>
        <w:t>assess its environmental impact</w:t>
      </w:r>
      <w:r w:rsidR="000462C9" w:rsidRPr="00C82BC0">
        <w:rPr>
          <w:rFonts w:ascii="Times New Roman" w:hAnsi="Times New Roman" w:cs="Times New Roman"/>
          <w:sz w:val="24"/>
          <w:szCs w:val="24"/>
        </w:rPr>
        <w:t xml:space="preserve"> for the development of</w:t>
      </w:r>
      <w:r w:rsidR="008C1DCC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0462C9" w:rsidRPr="00C82BC0">
        <w:rPr>
          <w:rFonts w:ascii="Times New Roman" w:hAnsi="Times New Roman" w:cs="Times New Roman"/>
          <w:sz w:val="24"/>
          <w:szCs w:val="24"/>
        </w:rPr>
        <w:t>an ef</w:t>
      </w:r>
      <w:r w:rsidR="008C1DCC" w:rsidRPr="00C82BC0">
        <w:rPr>
          <w:rFonts w:ascii="Times New Roman" w:hAnsi="Times New Roman" w:cs="Times New Roman"/>
          <w:sz w:val="24"/>
          <w:szCs w:val="24"/>
        </w:rPr>
        <w:t xml:space="preserve">ficient and effective management </w:t>
      </w:r>
      <w:r w:rsidRPr="00C82BC0">
        <w:rPr>
          <w:rFonts w:ascii="Times New Roman" w:hAnsi="Times New Roman" w:cs="Times New Roman"/>
          <w:sz w:val="24"/>
          <w:szCs w:val="24"/>
        </w:rPr>
        <w:t xml:space="preserve">strategy </w:t>
      </w:r>
      <w:r w:rsidR="008C1DCC" w:rsidRPr="00C82BC0">
        <w:rPr>
          <w:rFonts w:ascii="Times New Roman" w:hAnsi="Times New Roman" w:cs="Times New Roman"/>
          <w:sz w:val="24"/>
          <w:szCs w:val="24"/>
        </w:rPr>
        <w:t>that complies</w:t>
      </w:r>
      <w:r w:rsidRPr="00C82BC0">
        <w:rPr>
          <w:rFonts w:ascii="Times New Roman" w:hAnsi="Times New Roman" w:cs="Times New Roman"/>
          <w:sz w:val="24"/>
          <w:szCs w:val="24"/>
        </w:rPr>
        <w:t xml:space="preserve"> with regulatory standards. Table 1 presents </w:t>
      </w:r>
      <w:r w:rsidR="000462C9" w:rsidRPr="00C82BC0">
        <w:rPr>
          <w:rFonts w:ascii="Times New Roman" w:hAnsi="Times New Roman" w:cs="Times New Roman"/>
          <w:sz w:val="24"/>
          <w:szCs w:val="24"/>
        </w:rPr>
        <w:t xml:space="preserve">the </w:t>
      </w:r>
      <w:r w:rsidRPr="00C82BC0">
        <w:rPr>
          <w:rFonts w:ascii="Times New Roman" w:hAnsi="Times New Roman" w:cs="Times New Roman"/>
          <w:sz w:val="24"/>
          <w:szCs w:val="24"/>
        </w:rPr>
        <w:t>composition of produced water from an oil</w:t>
      </w:r>
      <w:r w:rsidR="000462C9" w:rsidRPr="00C82BC0">
        <w:rPr>
          <w:rFonts w:ascii="Times New Roman" w:hAnsi="Times New Roman" w:cs="Times New Roman"/>
          <w:sz w:val="24"/>
          <w:szCs w:val="24"/>
        </w:rPr>
        <w:t>field.</w:t>
      </w:r>
    </w:p>
    <w:p w14:paraId="5952C195" w14:textId="16093B5E" w:rsidR="006D6235" w:rsidRPr="00C82BC0" w:rsidRDefault="000462C9" w:rsidP="002C4A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Produced water poses serious 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C82BC0">
        <w:rPr>
          <w:rFonts w:ascii="Times New Roman" w:hAnsi="Times New Roman" w:cs="Times New Roman"/>
          <w:sz w:val="24"/>
          <w:szCs w:val="24"/>
        </w:rPr>
        <w:t xml:space="preserve">impacts if not properly managed causing biodiversity loss, harm to </w:t>
      </w:r>
      <w:r w:rsidR="002C4A70" w:rsidRPr="00C82BC0">
        <w:rPr>
          <w:rFonts w:ascii="Times New Roman" w:hAnsi="Times New Roman" w:cs="Times New Roman"/>
          <w:sz w:val="24"/>
          <w:szCs w:val="24"/>
        </w:rPr>
        <w:t>aquatic life, soil degradation, and potential human health risks (</w:t>
      </w:r>
      <w:r w:rsidR="00104EE3" w:rsidRPr="00C82BC0">
        <w:rPr>
          <w:rFonts w:ascii="Times New Roman" w:hAnsi="Times New Roman" w:cs="Times New Roman"/>
          <w:sz w:val="24"/>
          <w:szCs w:val="24"/>
        </w:rPr>
        <w:t xml:space="preserve">Barker and Jones, 2013; </w:t>
      </w:r>
      <w:proofErr w:type="spellStart"/>
      <w:r w:rsidR="00104EE3" w:rsidRPr="00C82BC0">
        <w:rPr>
          <w:rFonts w:ascii="Times New Roman" w:hAnsi="Times New Roman" w:cs="Times New Roman"/>
          <w:sz w:val="24"/>
          <w:szCs w:val="24"/>
        </w:rPr>
        <w:t>Igunnu</w:t>
      </w:r>
      <w:proofErr w:type="spellEnd"/>
      <w:r w:rsidR="00104EE3" w:rsidRPr="00C82BC0">
        <w:rPr>
          <w:rFonts w:ascii="Times New Roman" w:hAnsi="Times New Roman" w:cs="Times New Roman"/>
          <w:sz w:val="24"/>
          <w:szCs w:val="24"/>
        </w:rPr>
        <w:t xml:space="preserve"> and Chen, 201</w:t>
      </w:r>
      <w:r w:rsidR="0060407A" w:rsidRPr="00C82BC0">
        <w:rPr>
          <w:rFonts w:ascii="Times New Roman" w:hAnsi="Times New Roman" w:cs="Times New Roman"/>
          <w:sz w:val="24"/>
          <w:szCs w:val="24"/>
        </w:rPr>
        <w:t>4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). </w:t>
      </w:r>
      <w:r w:rsidRPr="00C82BC0">
        <w:rPr>
          <w:rFonts w:ascii="Times New Roman" w:hAnsi="Times New Roman" w:cs="Times New Roman"/>
          <w:sz w:val="24"/>
          <w:szCs w:val="24"/>
        </w:rPr>
        <w:t>Indiscriminate discharge and poor management of p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roduced water </w:t>
      </w:r>
      <w:r w:rsidRPr="00C82BC0">
        <w:rPr>
          <w:rFonts w:ascii="Times New Roman" w:hAnsi="Times New Roman" w:cs="Times New Roman"/>
          <w:sz w:val="24"/>
          <w:szCs w:val="24"/>
        </w:rPr>
        <w:t>can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 xml:space="preserve">pollute </w:t>
      </w:r>
      <w:r w:rsidR="002C4A70" w:rsidRPr="00C82BC0">
        <w:rPr>
          <w:rFonts w:ascii="Times New Roman" w:hAnsi="Times New Roman" w:cs="Times New Roman"/>
          <w:sz w:val="24"/>
          <w:szCs w:val="24"/>
        </w:rPr>
        <w:t>surface water, groundwater, soil, and air</w:t>
      </w:r>
      <w:r w:rsidRPr="00C82BC0">
        <w:rPr>
          <w:rFonts w:ascii="Times New Roman" w:hAnsi="Times New Roman" w:cs="Times New Roman"/>
          <w:sz w:val="24"/>
          <w:szCs w:val="24"/>
        </w:rPr>
        <w:t xml:space="preserve"> with long term effects o</w:t>
      </w:r>
      <w:r w:rsidR="004623D9" w:rsidRPr="00C82BC0">
        <w:rPr>
          <w:rFonts w:ascii="Times New Roman" w:hAnsi="Times New Roman" w:cs="Times New Roman"/>
          <w:sz w:val="24"/>
          <w:szCs w:val="24"/>
        </w:rPr>
        <w:t>n the environment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407A" w:rsidRPr="00C82BC0">
        <w:rPr>
          <w:rFonts w:ascii="Times New Roman" w:hAnsi="Times New Roman" w:cs="Times New Roman"/>
          <w:sz w:val="24"/>
          <w:szCs w:val="24"/>
        </w:rPr>
        <w:t>Hedar</w:t>
      </w:r>
      <w:proofErr w:type="spellEnd"/>
      <w:r w:rsidR="0060407A" w:rsidRPr="00C82BC0">
        <w:rPr>
          <w:rFonts w:ascii="Times New Roman" w:hAnsi="Times New Roman" w:cs="Times New Roman"/>
          <w:sz w:val="24"/>
          <w:szCs w:val="24"/>
        </w:rPr>
        <w:t>, 2018;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802E4C" w:rsidRPr="00C82BC0">
        <w:rPr>
          <w:rFonts w:ascii="Times New Roman" w:hAnsi="Times New Roman" w:cs="Times New Roman"/>
          <w:sz w:val="24"/>
          <w:szCs w:val="24"/>
        </w:rPr>
        <w:t>Wang, Zou, Li, Zheng, Wang, Zheng, and Li, 2020</w:t>
      </w:r>
      <w:r w:rsidR="002C4A70" w:rsidRPr="00C82BC0">
        <w:rPr>
          <w:rFonts w:ascii="Times New Roman" w:hAnsi="Times New Roman" w:cs="Times New Roman"/>
          <w:sz w:val="24"/>
          <w:szCs w:val="24"/>
        </w:rPr>
        <w:t>).</w:t>
      </w:r>
    </w:p>
    <w:p w14:paraId="69A7D78E" w14:textId="77777777" w:rsidR="003140C6" w:rsidRPr="00C82BC0" w:rsidRDefault="003140C6" w:rsidP="00314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55C58" w14:textId="6766E5DD" w:rsidR="00802C7F" w:rsidRPr="00C82BC0" w:rsidRDefault="004623D9" w:rsidP="002C4A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Most oil companies are mandated by </w:t>
      </w:r>
      <w:r w:rsidR="001431AD" w:rsidRPr="00C82BC0">
        <w:rPr>
          <w:rFonts w:ascii="Times New Roman" w:hAnsi="Times New Roman" w:cs="Times New Roman"/>
          <w:sz w:val="24"/>
          <w:szCs w:val="24"/>
        </w:rPr>
        <w:t>R</w:t>
      </w:r>
      <w:r w:rsidRPr="00C82BC0">
        <w:rPr>
          <w:rFonts w:ascii="Times New Roman" w:hAnsi="Times New Roman" w:cs="Times New Roman"/>
          <w:sz w:val="24"/>
          <w:szCs w:val="24"/>
        </w:rPr>
        <w:t xml:space="preserve">egulation to treat produced water prior to reuse or disposal. </w:t>
      </w:r>
      <w:r w:rsidR="001431AD" w:rsidRPr="00C82BC0">
        <w:rPr>
          <w:rFonts w:ascii="Times New Roman" w:hAnsi="Times New Roman" w:cs="Times New Roman"/>
          <w:sz w:val="24"/>
          <w:szCs w:val="24"/>
        </w:rPr>
        <w:t>Some</w:t>
      </w:r>
      <w:r w:rsidRPr="00C82BC0">
        <w:rPr>
          <w:rFonts w:ascii="Times New Roman" w:hAnsi="Times New Roman" w:cs="Times New Roman"/>
          <w:sz w:val="24"/>
          <w:szCs w:val="24"/>
        </w:rPr>
        <w:t xml:space="preserve"> conventional p</w:t>
      </w:r>
      <w:r w:rsidR="002C4A70" w:rsidRPr="00C82BC0">
        <w:rPr>
          <w:rFonts w:ascii="Times New Roman" w:hAnsi="Times New Roman" w:cs="Times New Roman"/>
          <w:sz w:val="24"/>
          <w:szCs w:val="24"/>
        </w:rPr>
        <w:t>roduced water</w:t>
      </w:r>
      <w:r w:rsidRPr="00C82BC0">
        <w:rPr>
          <w:rFonts w:ascii="Times New Roman" w:hAnsi="Times New Roman" w:cs="Times New Roman"/>
          <w:sz w:val="24"/>
          <w:szCs w:val="24"/>
        </w:rPr>
        <w:t xml:space="preserve"> treatment </w:t>
      </w:r>
      <w:r w:rsidR="001431AD" w:rsidRPr="00C82BC0">
        <w:rPr>
          <w:rFonts w:ascii="Times New Roman" w:hAnsi="Times New Roman" w:cs="Times New Roman"/>
          <w:sz w:val="24"/>
          <w:szCs w:val="24"/>
        </w:rPr>
        <w:t>methods include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chemical, biological, or physical</w:t>
      </w:r>
      <w:r w:rsidR="001431AD" w:rsidRPr="00C82BC0">
        <w:rPr>
          <w:rFonts w:ascii="Times New Roman" w:hAnsi="Times New Roman" w:cs="Times New Roman"/>
          <w:sz w:val="24"/>
          <w:szCs w:val="24"/>
        </w:rPr>
        <w:t xml:space="preserve"> techniques. These treatment techniques include filtration, adsorption, flocculation, microbial </w:t>
      </w:r>
      <w:r w:rsidR="001431AD" w:rsidRPr="00C82BC0">
        <w:rPr>
          <w:rFonts w:ascii="Times New Roman" w:hAnsi="Times New Roman" w:cs="Times New Roman"/>
          <w:sz w:val="24"/>
          <w:szCs w:val="24"/>
        </w:rPr>
        <w:lastRenderedPageBreak/>
        <w:t>degradation, membrane separation, and chemical oxidation</w:t>
      </w:r>
      <w:r w:rsidR="00802E4C" w:rsidRPr="00C82BC0">
        <w:rPr>
          <w:rFonts w:ascii="Times New Roman" w:hAnsi="Times New Roman" w:cs="Times New Roman"/>
          <w:sz w:val="24"/>
          <w:szCs w:val="24"/>
        </w:rPr>
        <w:t xml:space="preserve">. (Salem and Thiemann, 2022; </w:t>
      </w:r>
      <w:r w:rsidR="00326E4C" w:rsidRPr="00C82BC0">
        <w:rPr>
          <w:rFonts w:ascii="Times New Roman" w:hAnsi="Times New Roman" w:cs="Times New Roman"/>
          <w:sz w:val="24"/>
          <w:szCs w:val="24"/>
        </w:rPr>
        <w:t xml:space="preserve">Nghiem, </w:t>
      </w:r>
      <w:proofErr w:type="spellStart"/>
      <w:r w:rsidR="00326E4C" w:rsidRPr="00C82BC0">
        <w:rPr>
          <w:rFonts w:ascii="Times New Roman" w:hAnsi="Times New Roman" w:cs="Times New Roman"/>
          <w:sz w:val="24"/>
          <w:szCs w:val="24"/>
        </w:rPr>
        <w:t>Elters</w:t>
      </w:r>
      <w:proofErr w:type="spellEnd"/>
      <w:r w:rsidR="00326E4C" w:rsidRPr="00C82BC0">
        <w:rPr>
          <w:rFonts w:ascii="Times New Roman" w:hAnsi="Times New Roman" w:cs="Times New Roman"/>
          <w:sz w:val="24"/>
          <w:szCs w:val="24"/>
        </w:rPr>
        <w:t>, Simon, Tatsuya and Price, 2015</w:t>
      </w:r>
      <w:r w:rsidR="001431AD" w:rsidRPr="00C82BC0">
        <w:rPr>
          <w:rFonts w:ascii="Times New Roman" w:hAnsi="Times New Roman" w:cs="Times New Roman"/>
          <w:sz w:val="24"/>
          <w:szCs w:val="24"/>
        </w:rPr>
        <w:t>).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47C2D" w14:textId="60B397B0" w:rsidR="006D6235" w:rsidRPr="00C82BC0" w:rsidRDefault="001431AD" w:rsidP="002C4A7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One of the most widely recognized produced water treatment </w:t>
      </w:r>
      <w:r w:rsidR="00AE6BB0" w:rsidRPr="00C82BC0">
        <w:rPr>
          <w:rFonts w:ascii="Times New Roman" w:hAnsi="Times New Roman" w:cs="Times New Roman"/>
          <w:sz w:val="24"/>
          <w:szCs w:val="24"/>
        </w:rPr>
        <w:t>techniques is ad</w:t>
      </w:r>
      <w:r w:rsidR="002C4A70" w:rsidRPr="00C82BC0">
        <w:rPr>
          <w:rFonts w:ascii="Times New Roman" w:hAnsi="Times New Roman" w:cs="Times New Roman"/>
          <w:sz w:val="24"/>
          <w:szCs w:val="24"/>
        </w:rPr>
        <w:t>sorption</w:t>
      </w:r>
      <w:r w:rsidR="00AE6BB0" w:rsidRPr="00C82BC0">
        <w:rPr>
          <w:rFonts w:ascii="Times New Roman" w:hAnsi="Times New Roman" w:cs="Times New Roman"/>
          <w:sz w:val="24"/>
          <w:szCs w:val="24"/>
        </w:rPr>
        <w:t>. It is considered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effective for </w:t>
      </w:r>
      <w:r w:rsidR="00AE6BB0" w:rsidRPr="00C82BC0">
        <w:rPr>
          <w:rFonts w:ascii="Times New Roman" w:hAnsi="Times New Roman" w:cs="Times New Roman"/>
          <w:sz w:val="24"/>
          <w:szCs w:val="24"/>
        </w:rPr>
        <w:t>re</w:t>
      </w:r>
      <w:r w:rsidR="002C4A70" w:rsidRPr="00C82BC0">
        <w:rPr>
          <w:rFonts w:ascii="Times New Roman" w:hAnsi="Times New Roman" w:cs="Times New Roman"/>
          <w:sz w:val="24"/>
          <w:szCs w:val="24"/>
        </w:rPr>
        <w:t>moving biological, organic, and inorganic pollutants</w:t>
      </w:r>
      <w:r w:rsidR="00AE6BB0" w:rsidRPr="00C82BC0">
        <w:rPr>
          <w:rFonts w:ascii="Times New Roman" w:hAnsi="Times New Roman" w:cs="Times New Roman"/>
          <w:sz w:val="24"/>
          <w:szCs w:val="24"/>
        </w:rPr>
        <w:t xml:space="preserve"> (</w:t>
      </w:r>
      <w:r w:rsidR="00306175" w:rsidRPr="00C82BC0">
        <w:rPr>
          <w:rFonts w:ascii="Times New Roman" w:hAnsi="Times New Roman" w:cs="Times New Roman"/>
          <w:sz w:val="24"/>
          <w:szCs w:val="24"/>
        </w:rPr>
        <w:t>Guerra, Dahm and Dundorf, 2011;</w:t>
      </w:r>
      <w:r w:rsidR="00AE6BB0" w:rsidRPr="00C82BC0">
        <w:rPr>
          <w:rFonts w:ascii="Times New Roman" w:hAnsi="Times New Roman" w:cs="Times New Roman"/>
          <w:sz w:val="24"/>
          <w:szCs w:val="24"/>
        </w:rPr>
        <w:t xml:space="preserve"> Zhao</w:t>
      </w:r>
      <w:r w:rsidR="00BF537A" w:rsidRPr="00C82BC0">
        <w:rPr>
          <w:rFonts w:ascii="Times New Roman" w:hAnsi="Times New Roman" w:cs="Times New Roman"/>
          <w:sz w:val="24"/>
          <w:szCs w:val="24"/>
        </w:rPr>
        <w:t xml:space="preserve">, Minier-Matar, Chou, Wang, Fane, and Adham, </w:t>
      </w:r>
      <w:r w:rsidR="00AE6BB0" w:rsidRPr="00C82BC0">
        <w:rPr>
          <w:rFonts w:ascii="Times New Roman" w:hAnsi="Times New Roman" w:cs="Times New Roman"/>
          <w:sz w:val="24"/>
          <w:szCs w:val="24"/>
        </w:rPr>
        <w:t>201</w:t>
      </w:r>
      <w:r w:rsidR="00BF537A" w:rsidRPr="00C82BC0">
        <w:rPr>
          <w:rFonts w:ascii="Times New Roman" w:hAnsi="Times New Roman" w:cs="Times New Roman"/>
          <w:sz w:val="24"/>
          <w:szCs w:val="24"/>
        </w:rPr>
        <w:t>7</w:t>
      </w:r>
      <w:r w:rsidR="00AE6BB0" w:rsidRPr="00C82BC0">
        <w:rPr>
          <w:rFonts w:ascii="Times New Roman" w:hAnsi="Times New Roman" w:cs="Times New Roman"/>
          <w:sz w:val="24"/>
          <w:szCs w:val="24"/>
        </w:rPr>
        <w:t xml:space="preserve">). 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This method has a broad range of applications and achieves high removal efficiency. It </w:t>
      </w:r>
      <w:r w:rsidR="00AE6BB0" w:rsidRPr="00C82BC0">
        <w:rPr>
          <w:rFonts w:ascii="Times New Roman" w:hAnsi="Times New Roman" w:cs="Times New Roman"/>
          <w:sz w:val="24"/>
          <w:szCs w:val="24"/>
        </w:rPr>
        <w:t>enables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the separation of targeted compounds, maintains simpl</w:t>
      </w:r>
      <w:r w:rsidR="00AE6BB0" w:rsidRPr="00C82BC0">
        <w:rPr>
          <w:rFonts w:ascii="Times New Roman" w:hAnsi="Times New Roman" w:cs="Times New Roman"/>
          <w:sz w:val="24"/>
          <w:szCs w:val="24"/>
        </w:rPr>
        <w:t xml:space="preserve">e 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design and operation, </w:t>
      </w:r>
      <w:r w:rsidR="00AE6BB0" w:rsidRPr="00C82BC0">
        <w:rPr>
          <w:rFonts w:ascii="Times New Roman" w:hAnsi="Times New Roman" w:cs="Times New Roman"/>
          <w:sz w:val="24"/>
          <w:szCs w:val="24"/>
        </w:rPr>
        <w:t>handles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toxic materials, and allows for recovery of adsorb</w:t>
      </w:r>
      <w:r w:rsidR="00AE6BB0" w:rsidRPr="00C82BC0">
        <w:rPr>
          <w:rFonts w:ascii="Times New Roman" w:hAnsi="Times New Roman" w:cs="Times New Roman"/>
          <w:sz w:val="24"/>
          <w:szCs w:val="24"/>
        </w:rPr>
        <w:t>ates and regeneration of adsorbents</w:t>
      </w:r>
      <w:r w:rsidR="002C4A70" w:rsidRPr="00C82BC0">
        <w:rPr>
          <w:rFonts w:ascii="Times New Roman" w:hAnsi="Times New Roman" w:cs="Times New Roman"/>
          <w:sz w:val="24"/>
          <w:szCs w:val="24"/>
        </w:rPr>
        <w:t>. However, this technique</w:t>
      </w:r>
      <w:r w:rsidR="00AE6BB0" w:rsidRPr="00C82BC0">
        <w:rPr>
          <w:rFonts w:ascii="Times New Roman" w:hAnsi="Times New Roman" w:cs="Times New Roman"/>
          <w:sz w:val="24"/>
          <w:szCs w:val="24"/>
        </w:rPr>
        <w:t>, like others, has some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limitations, </w:t>
      </w:r>
      <w:r w:rsidR="00AE6BB0" w:rsidRPr="00C82BC0">
        <w:rPr>
          <w:rFonts w:ascii="Times New Roman" w:hAnsi="Times New Roman" w:cs="Times New Roman"/>
          <w:sz w:val="24"/>
          <w:szCs w:val="24"/>
        </w:rPr>
        <w:t xml:space="preserve">for example 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high </w:t>
      </w:r>
      <w:r w:rsidR="00AE6BB0" w:rsidRPr="00C82BC0">
        <w:rPr>
          <w:rFonts w:ascii="Times New Roman" w:hAnsi="Times New Roman" w:cs="Times New Roman"/>
          <w:sz w:val="24"/>
          <w:szCs w:val="24"/>
        </w:rPr>
        <w:t xml:space="preserve">operating </w:t>
      </w:r>
      <w:r w:rsidR="00211386" w:rsidRPr="00C82BC0">
        <w:rPr>
          <w:rFonts w:ascii="Times New Roman" w:hAnsi="Times New Roman" w:cs="Times New Roman"/>
          <w:sz w:val="24"/>
          <w:szCs w:val="24"/>
        </w:rPr>
        <w:t>costs, generation</w:t>
      </w:r>
      <w:r w:rsidR="002C4A70" w:rsidRPr="00C82BC0">
        <w:rPr>
          <w:rFonts w:ascii="Times New Roman" w:hAnsi="Times New Roman" w:cs="Times New Roman"/>
          <w:sz w:val="24"/>
          <w:szCs w:val="24"/>
        </w:rPr>
        <w:t xml:space="preserve"> of secondary pollutants, and occasionally inadequate removal efficiency (</w:t>
      </w:r>
      <w:r w:rsidR="00BF537A" w:rsidRPr="00C82BC0">
        <w:rPr>
          <w:rFonts w:ascii="Times New Roman" w:hAnsi="Times New Roman" w:cs="Times New Roman"/>
          <w:sz w:val="24"/>
          <w:szCs w:val="24"/>
        </w:rPr>
        <w:t>Gupta, Ali, Saleh, Nayak and Agarwal, 2012;</w:t>
      </w:r>
      <w:r w:rsidR="007902B6" w:rsidRPr="00C82B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902B6" w:rsidRPr="00C82BC0">
        <w:rPr>
          <w:rFonts w:ascii="Times New Roman" w:hAnsi="Times New Roman" w:cs="Times New Roman"/>
          <w:sz w:val="24"/>
          <w:szCs w:val="24"/>
        </w:rPr>
        <w:t>Ozogu</w:t>
      </w:r>
      <w:proofErr w:type="spellEnd"/>
      <w:r w:rsidR="007902B6" w:rsidRPr="00C82BC0">
        <w:rPr>
          <w:rFonts w:ascii="Times New Roman" w:hAnsi="Times New Roman" w:cs="Times New Roman"/>
          <w:sz w:val="24"/>
          <w:szCs w:val="24"/>
        </w:rPr>
        <w:t xml:space="preserve">, Chukwurah, </w:t>
      </w:r>
      <w:proofErr w:type="spellStart"/>
      <w:r w:rsidR="007902B6" w:rsidRPr="00C82BC0">
        <w:rPr>
          <w:rFonts w:ascii="Times New Roman" w:hAnsi="Times New Roman" w:cs="Times New Roman"/>
          <w:sz w:val="24"/>
          <w:szCs w:val="24"/>
        </w:rPr>
        <w:t>Modebe</w:t>
      </w:r>
      <w:proofErr w:type="spellEnd"/>
      <w:r w:rsidR="007902B6" w:rsidRPr="00C82BC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7902B6" w:rsidRPr="00C82BC0">
        <w:rPr>
          <w:rFonts w:ascii="Times New Roman" w:hAnsi="Times New Roman" w:cs="Times New Roman"/>
          <w:sz w:val="24"/>
          <w:szCs w:val="24"/>
        </w:rPr>
        <w:t>Olabimtan</w:t>
      </w:r>
      <w:proofErr w:type="spellEnd"/>
      <w:r w:rsidR="007902B6" w:rsidRPr="00C82BC0">
        <w:rPr>
          <w:rFonts w:ascii="Times New Roman" w:hAnsi="Times New Roman" w:cs="Times New Roman"/>
          <w:sz w:val="24"/>
          <w:szCs w:val="24"/>
        </w:rPr>
        <w:t>, 2024)</w:t>
      </w:r>
      <w:r w:rsidR="002C4A70" w:rsidRPr="00C82BC0">
        <w:rPr>
          <w:rFonts w:ascii="Times New Roman" w:hAnsi="Times New Roman" w:cs="Times New Roman"/>
          <w:sz w:val="24"/>
          <w:szCs w:val="24"/>
        </w:rPr>
        <w:t>.</w:t>
      </w:r>
      <w:r w:rsidR="00D82B64" w:rsidRPr="00C8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EB943" w14:textId="77777777" w:rsidR="00193A29" w:rsidRPr="00C82BC0" w:rsidRDefault="00193A29" w:rsidP="003140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0E1E0" w14:textId="75AAAF7F" w:rsidR="00F4658D" w:rsidRPr="00C82BC0" w:rsidRDefault="002C4A70" w:rsidP="00F465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Regulatory frameworks for produced water management differ by country</w:t>
      </w:r>
      <w:r w:rsidR="00306175" w:rsidRPr="00C82BC0">
        <w:rPr>
          <w:rFonts w:ascii="Times New Roman" w:hAnsi="Times New Roman" w:cs="Times New Roman"/>
          <w:sz w:val="24"/>
          <w:szCs w:val="24"/>
        </w:rPr>
        <w:t>. I</w:t>
      </w:r>
      <w:r w:rsidR="00FC51A3" w:rsidRPr="00C82BC0">
        <w:rPr>
          <w:rFonts w:ascii="Times New Roman" w:hAnsi="Times New Roman" w:cs="Times New Roman"/>
          <w:sz w:val="24"/>
          <w:szCs w:val="24"/>
        </w:rPr>
        <w:t xml:space="preserve">n Nigeria, the Nigerian Upstream Petroleum Regulatory Commission (NUPRC) is responsible for regulating the </w:t>
      </w:r>
      <w:r w:rsidR="00306175" w:rsidRPr="00C82BC0">
        <w:rPr>
          <w:rFonts w:ascii="Times New Roman" w:hAnsi="Times New Roman" w:cs="Times New Roman"/>
          <w:sz w:val="24"/>
          <w:szCs w:val="24"/>
        </w:rPr>
        <w:t xml:space="preserve">upstream </w:t>
      </w:r>
      <w:r w:rsidR="00FC51A3" w:rsidRPr="00C82BC0">
        <w:rPr>
          <w:rFonts w:ascii="Times New Roman" w:hAnsi="Times New Roman" w:cs="Times New Roman"/>
          <w:sz w:val="24"/>
          <w:szCs w:val="24"/>
        </w:rPr>
        <w:t xml:space="preserve">oil and gas </w:t>
      </w:r>
      <w:r w:rsidR="00306175" w:rsidRPr="00C82BC0">
        <w:rPr>
          <w:rFonts w:ascii="Times New Roman" w:hAnsi="Times New Roman" w:cs="Times New Roman"/>
          <w:sz w:val="24"/>
          <w:szCs w:val="24"/>
        </w:rPr>
        <w:t>sector,</w:t>
      </w:r>
      <w:r w:rsidR="00FC51A3" w:rsidRPr="00C82BC0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306175" w:rsidRPr="00C82BC0">
        <w:rPr>
          <w:rFonts w:ascii="Times New Roman" w:hAnsi="Times New Roman" w:cs="Times New Roman"/>
          <w:sz w:val="24"/>
          <w:szCs w:val="24"/>
        </w:rPr>
        <w:t>establishing</w:t>
      </w:r>
      <w:r w:rsidR="00211386" w:rsidRPr="00C82BC0">
        <w:rPr>
          <w:rFonts w:ascii="Times New Roman" w:hAnsi="Times New Roman" w:cs="Times New Roman"/>
          <w:sz w:val="24"/>
          <w:szCs w:val="24"/>
        </w:rPr>
        <w:t xml:space="preserve"> guidelines for produced water </w:t>
      </w:r>
      <w:r w:rsidR="00306175" w:rsidRPr="00C82BC0">
        <w:rPr>
          <w:rFonts w:ascii="Times New Roman" w:hAnsi="Times New Roman" w:cs="Times New Roman"/>
          <w:sz w:val="24"/>
          <w:szCs w:val="24"/>
        </w:rPr>
        <w:t>management</w:t>
      </w:r>
      <w:r w:rsidR="00211386" w:rsidRPr="00C82BC0">
        <w:rPr>
          <w:rFonts w:ascii="Times New Roman" w:hAnsi="Times New Roman" w:cs="Times New Roman"/>
          <w:sz w:val="24"/>
          <w:szCs w:val="24"/>
        </w:rPr>
        <w:t>.</w:t>
      </w:r>
      <w:r w:rsidR="00FC51A3" w:rsidRPr="00C82BC0">
        <w:rPr>
          <w:rFonts w:ascii="Times New Roman" w:hAnsi="Times New Roman" w:cs="Times New Roman"/>
          <w:sz w:val="24"/>
          <w:szCs w:val="24"/>
        </w:rPr>
        <w:t xml:space="preserve"> Table 2 lists the requirements for effluent water discharge limits in Nigeria (EGASPIN, 2002).</w:t>
      </w:r>
    </w:p>
    <w:p w14:paraId="080D1DEF" w14:textId="77777777" w:rsidR="00211386" w:rsidRPr="00C82BC0" w:rsidRDefault="00211386" w:rsidP="006810D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D518708" w14:textId="77777777" w:rsidR="006D6235" w:rsidRPr="00C82BC0" w:rsidRDefault="006D6235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B61126" w14:textId="77777777" w:rsidR="009B6B40" w:rsidRPr="00C82BC0" w:rsidRDefault="009B6B40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A1CE76" w14:textId="77777777" w:rsidR="009B6B40" w:rsidRPr="00C82BC0" w:rsidRDefault="009B6B40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3DB138" w14:textId="77777777" w:rsidR="009B6B40" w:rsidRDefault="009B6B40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BA1DCC" w14:textId="6B70C967" w:rsidR="00AF3EF6" w:rsidRPr="00C82BC0" w:rsidRDefault="00AF3EF6" w:rsidP="00AF3EF6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Pr="00C82BC0">
        <w:rPr>
          <w:rFonts w:ascii="Times New Roman" w:eastAsia="Calibri" w:hAnsi="Times New Roman" w:cs="Times New Roman"/>
          <w:bCs/>
          <w:sz w:val="24"/>
          <w:szCs w:val="24"/>
        </w:rPr>
        <w:t>Table 1.0</w:t>
      </w:r>
      <w:r w:rsidRPr="00C82BC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Produced water composition</w:t>
      </w:r>
      <w:r w:rsidRPr="00C82BC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56E2CB3" w14:textId="3615E07E" w:rsidR="00AF3EF6" w:rsidRDefault="00AF3EF6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61723D" w14:textId="77777777" w:rsidR="00AF3EF6" w:rsidRDefault="00AF3EF6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7A5890" w14:textId="77777777" w:rsidR="00AF3EF6" w:rsidRPr="00C82BC0" w:rsidRDefault="00AF3EF6" w:rsidP="006D6235">
      <w:pPr>
        <w:spacing w:after="0"/>
        <w:ind w:left="1440" w:hanging="1455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AF3EF6" w:rsidRPr="00C82BC0" w:rsidSect="00C82B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313"/>
        <w:tblW w:w="9327" w:type="dxa"/>
        <w:tblInd w:w="0" w:type="dxa"/>
        <w:tblCellMar>
          <w:top w:w="1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2450"/>
        <w:gridCol w:w="2767"/>
        <w:gridCol w:w="1818"/>
        <w:gridCol w:w="2292"/>
      </w:tblGrid>
      <w:tr w:rsidR="007F5CE1" w:rsidRPr="00C82BC0" w14:paraId="2E1F683B" w14:textId="77777777" w:rsidTr="00B37B39">
        <w:trPr>
          <w:trHeight w:val="270"/>
        </w:trPr>
        <w:tc>
          <w:tcPr>
            <w:tcW w:w="2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A6E800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56965480"/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Parameter</w:t>
            </w:r>
          </w:p>
        </w:tc>
        <w:tc>
          <w:tcPr>
            <w:tcW w:w="27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1F2609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(mg/l)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02FF88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12038F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(mg/l)</w:t>
            </w:r>
          </w:p>
        </w:tc>
      </w:tr>
      <w:tr w:rsidR="007F5CE1" w:rsidRPr="00C82BC0" w14:paraId="73A3FC4C" w14:textId="77777777" w:rsidTr="00B37B39">
        <w:trPr>
          <w:trHeight w:val="208"/>
        </w:trPr>
        <w:tc>
          <w:tcPr>
            <w:tcW w:w="24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5EE6CC3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parameters</w:t>
            </w:r>
          </w:p>
        </w:tc>
        <w:tc>
          <w:tcPr>
            <w:tcW w:w="27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CF39B3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6E55F17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Metals</w:t>
            </w:r>
          </w:p>
        </w:tc>
        <w:tc>
          <w:tcPr>
            <w:tcW w:w="22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7DF81B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5CE1" w:rsidRPr="00C82BC0" w14:paraId="3E604521" w14:textId="77777777" w:rsidTr="00717D49">
        <w:trPr>
          <w:trHeight w:val="159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7512DD4D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FC0D02D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FF3C44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4B7E887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150,000</w:t>
            </w:r>
          </w:p>
        </w:tc>
      </w:tr>
      <w:tr w:rsidR="007F5CE1" w:rsidRPr="00C82BC0" w14:paraId="3DC310E4" w14:textId="77777777" w:rsidTr="00B37B39">
        <w:trPr>
          <w:trHeight w:val="139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0E48E4C6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TSS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1D7D34FB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7664BBC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5A74613C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</w:tr>
      <w:tr w:rsidR="007F5CE1" w:rsidRPr="00C82BC0" w14:paraId="02351CA1" w14:textId="77777777" w:rsidTr="00B37B39">
        <w:trPr>
          <w:trHeight w:val="139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7F6BC959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TOC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5186952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48D50B8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Zn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C5E8C31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5CE1" w:rsidRPr="00C82BC0" w14:paraId="1CEC1EED" w14:textId="77777777" w:rsidTr="00B37B39">
        <w:trPr>
          <w:trHeight w:val="139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4A980476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TDS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44EFF0A5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3EFC940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10877E3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7F5CE1" w:rsidRPr="00C82BC0" w14:paraId="3D7E4433" w14:textId="77777777" w:rsidTr="00B37B39">
        <w:trPr>
          <w:trHeight w:val="137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296B2D4F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Total BTEX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0FB606EB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5342955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4D22720D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7F5CE1" w:rsidRPr="00C82BC0" w14:paraId="19D9C94B" w14:textId="77777777" w:rsidTr="00B37B39">
        <w:trPr>
          <w:trHeight w:val="13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300B2C73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pollutants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37B4FC0A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3535D151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Ca</w:t>
            </w:r>
            <w:r w:rsidRPr="00C82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CABE76A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74,000</w:t>
            </w:r>
          </w:p>
        </w:tc>
      </w:tr>
      <w:tr w:rsidR="007F5CE1" w:rsidRPr="00C82BC0" w14:paraId="1733A305" w14:textId="77777777" w:rsidTr="00B37B39">
        <w:trPr>
          <w:trHeight w:val="145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530BF86B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Saturated hydrocarbons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0D46073A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8FF431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C82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C82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−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797D783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F5CE1" w:rsidRPr="00C82BC0" w14:paraId="7117C07D" w14:textId="77777777" w:rsidTr="00B37B39">
        <w:trPr>
          <w:trHeight w:val="134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3301B5FB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Total oil and grease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63AF3CBE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4BA27B4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 w:rsidRPr="00C82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049206B3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</w:tr>
      <w:tr w:rsidR="007F5CE1" w:rsidRPr="00C82BC0" w14:paraId="300D3DF1" w14:textId="77777777" w:rsidTr="00B37B39">
        <w:trPr>
          <w:trHeight w:val="139"/>
        </w:trPr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</w:tcPr>
          <w:p w14:paraId="374075D8" w14:textId="77777777" w:rsidR="00B37B39" w:rsidRPr="00C82BC0" w:rsidRDefault="00B37B39" w:rsidP="00B37B39">
            <w:pPr>
              <w:spacing w:before="24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Phenol</w:t>
            </w: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</w:tcPr>
          <w:p w14:paraId="3EF5B1D1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2B36A4D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HCO</w:t>
            </w:r>
            <w:r w:rsidRPr="00C82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−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680201D5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0.15,000</w:t>
            </w:r>
          </w:p>
        </w:tc>
      </w:tr>
      <w:tr w:rsidR="007F5CE1" w:rsidRPr="00C82BC0" w14:paraId="1C82763C" w14:textId="77777777" w:rsidTr="00B37B39">
        <w:trPr>
          <w:trHeight w:val="224"/>
        </w:trPr>
        <w:tc>
          <w:tcPr>
            <w:tcW w:w="2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0E202B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F4CE63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19E91B8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−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490CF2" w14:textId="77777777" w:rsidR="00B37B39" w:rsidRPr="00C82BC0" w:rsidRDefault="00B37B39" w:rsidP="00B37B39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270,000</w:t>
            </w:r>
          </w:p>
        </w:tc>
      </w:tr>
      <w:bookmarkEnd w:id="4"/>
    </w:tbl>
    <w:p w14:paraId="317DBE90" w14:textId="77777777" w:rsidR="00B37B39" w:rsidRPr="00C82BC0" w:rsidRDefault="00B37B39" w:rsidP="00B37B3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5B53CC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0DC35C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8F367A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A0F7DB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EDE272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6C3F0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BA81B1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DAC6CC" w14:textId="77777777" w:rsidR="00193A29" w:rsidRPr="00C82BC0" w:rsidRDefault="00193A29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DE4C5" w14:textId="77777777" w:rsidR="000944A7" w:rsidRPr="00C82BC0" w:rsidRDefault="000944A7" w:rsidP="000944A7">
      <w:pPr>
        <w:spacing w:after="0" w:line="480" w:lineRule="auto"/>
        <w:ind w:left="-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BC0">
        <w:rPr>
          <w:rFonts w:ascii="Times New Roman" w:eastAsia="Calibri" w:hAnsi="Times New Roman" w:cs="Times New Roman"/>
          <w:bCs/>
          <w:sz w:val="24"/>
          <w:szCs w:val="24"/>
        </w:rPr>
        <w:t>Table 2.0</w:t>
      </w:r>
      <w:r w:rsidRPr="00C82BC0">
        <w:rPr>
          <w:rFonts w:ascii="Times New Roman" w:hAnsi="Times New Roman" w:cs="Times New Roman"/>
          <w:bCs/>
          <w:i/>
          <w:iCs/>
          <w:sz w:val="24"/>
          <w:szCs w:val="24"/>
        </w:rPr>
        <w:t>: Effluent Water Discharge Limits in Nigeria</w:t>
      </w:r>
      <w:r w:rsidRPr="00C82BC0">
        <w:rPr>
          <w:rFonts w:ascii="Times New Roman" w:hAnsi="Times New Roman" w:cs="Times New Roman"/>
          <w:bCs/>
          <w:sz w:val="24"/>
          <w:szCs w:val="24"/>
        </w:rPr>
        <w:t xml:space="preserve"> (EGASPIN, 2002).</w:t>
      </w:r>
    </w:p>
    <w:p w14:paraId="5DF1EF44" w14:textId="77777777" w:rsidR="00193A29" w:rsidRPr="00C82BC0" w:rsidRDefault="00193A29" w:rsidP="000944A7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DCF2D6" w14:textId="77777777" w:rsidR="00FA660B" w:rsidRPr="00C82BC0" w:rsidRDefault="00FA660B" w:rsidP="00B37B39">
      <w:pPr>
        <w:spacing w:after="0" w:line="480" w:lineRule="auto"/>
        <w:ind w:left="-15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360" w:type="dxa"/>
        <w:tblInd w:w="0" w:type="dxa"/>
        <w:tblLayout w:type="fixed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150"/>
        <w:gridCol w:w="2160"/>
        <w:gridCol w:w="2160"/>
        <w:gridCol w:w="1890"/>
      </w:tblGrid>
      <w:tr w:rsidR="007F5CE1" w:rsidRPr="00C82BC0" w14:paraId="46AE698F" w14:textId="77777777" w:rsidTr="00656DD8">
        <w:trPr>
          <w:trHeight w:val="500"/>
        </w:trPr>
        <w:tc>
          <w:tcPr>
            <w:tcW w:w="31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24BCC82" w14:textId="77777777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Effluent Characteristic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F17736" w14:textId="77777777" w:rsidR="00B97415" w:rsidRPr="00C82BC0" w:rsidRDefault="00B97415" w:rsidP="00656DD8">
            <w:pPr>
              <w:spacing w:line="480" w:lineRule="auto"/>
              <w:ind w:right="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Inland Area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77203F" w14:textId="77777777" w:rsidR="00B97415" w:rsidRPr="00C82BC0" w:rsidRDefault="00B97415" w:rsidP="00656DD8">
            <w:pPr>
              <w:spacing w:line="480" w:lineRule="auto"/>
              <w:ind w:right="1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Near Shore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1CCB42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Offshore</w:t>
            </w:r>
          </w:p>
        </w:tc>
      </w:tr>
      <w:tr w:rsidR="007F5CE1" w:rsidRPr="00C82BC0" w14:paraId="28F3D38A" w14:textId="77777777" w:rsidTr="00656DD8">
        <w:trPr>
          <w:trHeight w:val="259"/>
        </w:trPr>
        <w:tc>
          <w:tcPr>
            <w:tcW w:w="315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1470D6" w14:textId="77777777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7398C13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6.5-8.5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5BF6F92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6.5-8.5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C28167E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No limit</w:t>
            </w:r>
          </w:p>
        </w:tc>
      </w:tr>
      <w:tr w:rsidR="007F5CE1" w:rsidRPr="00C82BC0" w14:paraId="29DB5C5A" w14:textId="77777777" w:rsidTr="00656DD8">
        <w:trPr>
          <w:trHeight w:val="171"/>
        </w:trPr>
        <w:tc>
          <w:tcPr>
            <w:tcW w:w="3150" w:type="dxa"/>
            <w:hideMark/>
          </w:tcPr>
          <w:p w14:paraId="2D072109" w14:textId="77777777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Temp (</w:t>
            </w:r>
            <w:proofErr w:type="spellStart"/>
            <w:r w:rsidRPr="00C82B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spellEnd"/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0" w:type="dxa"/>
            <w:hideMark/>
          </w:tcPr>
          <w:p w14:paraId="058B3030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hideMark/>
          </w:tcPr>
          <w:p w14:paraId="47C453B7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  <w:hideMark/>
          </w:tcPr>
          <w:p w14:paraId="51CC68C0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7F5CE1" w:rsidRPr="00C82BC0" w14:paraId="11448BD6" w14:textId="77777777" w:rsidTr="00656DD8">
        <w:trPr>
          <w:trHeight w:val="167"/>
        </w:trPr>
        <w:tc>
          <w:tcPr>
            <w:tcW w:w="3150" w:type="dxa"/>
            <w:hideMark/>
          </w:tcPr>
          <w:p w14:paraId="5F72B0ED" w14:textId="1EC9929E" w:rsidR="00B97415" w:rsidRPr="00C82BC0" w:rsidRDefault="006F1B37" w:rsidP="006F1B37">
            <w:pPr>
              <w:ind w:lef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 xml:space="preserve">Total Hydrocarbon Content </w:t>
            </w:r>
            <w:r w:rsidR="00B97415" w:rsidRPr="00C82BC0">
              <w:rPr>
                <w:rFonts w:ascii="Times New Roman" w:hAnsi="Times New Roman" w:cs="Times New Roman"/>
                <w:sz w:val="24"/>
                <w:szCs w:val="24"/>
              </w:rPr>
              <w:t>(mg/L)</w:t>
            </w:r>
          </w:p>
        </w:tc>
        <w:tc>
          <w:tcPr>
            <w:tcW w:w="2160" w:type="dxa"/>
            <w:hideMark/>
          </w:tcPr>
          <w:p w14:paraId="4DFA51D5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hideMark/>
          </w:tcPr>
          <w:p w14:paraId="17223B23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hideMark/>
          </w:tcPr>
          <w:p w14:paraId="0C73D967" w14:textId="77777777" w:rsidR="00FA660B" w:rsidRPr="00C82BC0" w:rsidRDefault="00B97415" w:rsidP="00656D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14:paraId="174370A1" w14:textId="110044F3" w:rsidR="00FA660B" w:rsidRPr="00C82BC0" w:rsidRDefault="00FA660B" w:rsidP="00656DD8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CE1" w:rsidRPr="00C82BC0" w14:paraId="4589D5B8" w14:textId="77777777" w:rsidTr="00656DD8">
        <w:trPr>
          <w:trHeight w:val="176"/>
        </w:trPr>
        <w:tc>
          <w:tcPr>
            <w:tcW w:w="3150" w:type="dxa"/>
            <w:hideMark/>
          </w:tcPr>
          <w:p w14:paraId="0DB53ED4" w14:textId="77777777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TDS (mg/L)</w:t>
            </w:r>
          </w:p>
        </w:tc>
        <w:tc>
          <w:tcPr>
            <w:tcW w:w="2160" w:type="dxa"/>
            <w:hideMark/>
          </w:tcPr>
          <w:p w14:paraId="7D37F353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60" w:type="dxa"/>
            <w:hideMark/>
          </w:tcPr>
          <w:p w14:paraId="667EACB6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890" w:type="dxa"/>
            <w:hideMark/>
          </w:tcPr>
          <w:p w14:paraId="24B4C22C" w14:textId="77777777" w:rsidR="00B97415" w:rsidRPr="00C82BC0" w:rsidRDefault="00B97415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7F5CE1" w:rsidRPr="00C82BC0" w14:paraId="0517E438" w14:textId="77777777" w:rsidTr="00656DD8">
        <w:trPr>
          <w:trHeight w:val="165"/>
        </w:trPr>
        <w:tc>
          <w:tcPr>
            <w:tcW w:w="3150" w:type="dxa"/>
            <w:hideMark/>
          </w:tcPr>
          <w:p w14:paraId="599C125C" w14:textId="29B62A6C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r w:rsidR="00334182" w:rsidRPr="00C82BC0">
              <w:rPr>
                <w:rFonts w:ascii="Times New Roman" w:hAnsi="Times New Roman" w:cs="Times New Roman"/>
                <w:sz w:val="24"/>
                <w:szCs w:val="24"/>
              </w:rPr>
              <w:t xml:space="preserve"> (mg/L)</w:t>
            </w:r>
          </w:p>
        </w:tc>
        <w:tc>
          <w:tcPr>
            <w:tcW w:w="2160" w:type="dxa"/>
            <w:hideMark/>
          </w:tcPr>
          <w:p w14:paraId="53793E58" w14:textId="3BD74D92" w:rsidR="00B97415" w:rsidRPr="00C82BC0" w:rsidRDefault="00334182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hideMark/>
          </w:tcPr>
          <w:p w14:paraId="6D599786" w14:textId="2A668D19" w:rsidR="00B97415" w:rsidRPr="00C82BC0" w:rsidRDefault="00334182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0" w:type="dxa"/>
            <w:hideMark/>
          </w:tcPr>
          <w:p w14:paraId="2116DC8D" w14:textId="1DFAD42A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7F5CE1" w:rsidRPr="00C82BC0" w14:paraId="01967C97" w14:textId="77777777" w:rsidTr="00656DD8">
        <w:trPr>
          <w:trHeight w:val="171"/>
        </w:trPr>
        <w:tc>
          <w:tcPr>
            <w:tcW w:w="3150" w:type="dxa"/>
            <w:hideMark/>
          </w:tcPr>
          <w:p w14:paraId="009AE767" w14:textId="50AFC6AB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BOD</w:t>
            </w:r>
            <w:r w:rsidR="00334182" w:rsidRPr="00C82BC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="00334182" w:rsidRPr="00C82BC0">
              <w:rPr>
                <w:rFonts w:ascii="Times New Roman" w:hAnsi="Times New Roman" w:cs="Times New Roman"/>
                <w:sz w:val="24"/>
                <w:szCs w:val="24"/>
              </w:rPr>
              <w:t xml:space="preserve"> (mg/L)</w:t>
            </w:r>
          </w:p>
        </w:tc>
        <w:tc>
          <w:tcPr>
            <w:tcW w:w="2160" w:type="dxa"/>
            <w:hideMark/>
          </w:tcPr>
          <w:p w14:paraId="51AC1097" w14:textId="0E97001F" w:rsidR="00B97415" w:rsidRPr="00C82BC0" w:rsidRDefault="00334182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hideMark/>
          </w:tcPr>
          <w:p w14:paraId="51055735" w14:textId="73EA7D56" w:rsidR="00B97415" w:rsidRPr="00C82BC0" w:rsidRDefault="00334182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90" w:type="dxa"/>
            <w:hideMark/>
          </w:tcPr>
          <w:p w14:paraId="54EF7634" w14:textId="55517092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</w:tr>
      <w:tr w:rsidR="007F5CE1" w:rsidRPr="00C82BC0" w14:paraId="1B612769" w14:textId="77777777" w:rsidTr="00656DD8">
        <w:trPr>
          <w:trHeight w:val="171"/>
        </w:trPr>
        <w:tc>
          <w:tcPr>
            <w:tcW w:w="3150" w:type="dxa"/>
            <w:hideMark/>
          </w:tcPr>
          <w:p w14:paraId="05365C37" w14:textId="2C298A6A" w:rsidR="00B97415" w:rsidRPr="00C82BC0" w:rsidRDefault="00334182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Salinity as Cl (mg/L)</w:t>
            </w:r>
          </w:p>
        </w:tc>
        <w:tc>
          <w:tcPr>
            <w:tcW w:w="2160" w:type="dxa"/>
            <w:hideMark/>
          </w:tcPr>
          <w:p w14:paraId="117C55AB" w14:textId="226AD5EA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160" w:type="dxa"/>
            <w:hideMark/>
          </w:tcPr>
          <w:p w14:paraId="69EF3C1F" w14:textId="4559FFB7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890" w:type="dxa"/>
            <w:hideMark/>
          </w:tcPr>
          <w:p w14:paraId="19E25846" w14:textId="3F2DB712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7F5CE1" w:rsidRPr="00C82BC0" w14:paraId="2932C2F3" w14:textId="77777777" w:rsidTr="00656DD8">
        <w:trPr>
          <w:trHeight w:val="191"/>
        </w:trPr>
        <w:tc>
          <w:tcPr>
            <w:tcW w:w="3150" w:type="dxa"/>
            <w:hideMark/>
          </w:tcPr>
          <w:p w14:paraId="3E083DE8" w14:textId="7A1EECFB" w:rsidR="00B97415" w:rsidRPr="00C82BC0" w:rsidRDefault="00334182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Total </w:t>
            </w:r>
            <w:r w:rsidR="00B97415"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Iron</w:t>
            </w: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(mg/L)</w:t>
            </w:r>
          </w:p>
        </w:tc>
        <w:tc>
          <w:tcPr>
            <w:tcW w:w="2160" w:type="dxa"/>
            <w:hideMark/>
          </w:tcPr>
          <w:p w14:paraId="5D3BC58C" w14:textId="198ED3A8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2160" w:type="dxa"/>
            <w:hideMark/>
          </w:tcPr>
          <w:p w14:paraId="591664A6" w14:textId="0AE70DB1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No limit</w:t>
            </w:r>
          </w:p>
        </w:tc>
        <w:tc>
          <w:tcPr>
            <w:tcW w:w="1890" w:type="dxa"/>
            <w:hideMark/>
          </w:tcPr>
          <w:p w14:paraId="4B201782" w14:textId="3FEA4766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No limit</w:t>
            </w:r>
          </w:p>
        </w:tc>
      </w:tr>
      <w:tr w:rsidR="007F5CE1" w:rsidRPr="00C82BC0" w14:paraId="7BCD4D2A" w14:textId="77777777" w:rsidTr="00656DD8">
        <w:trPr>
          <w:trHeight w:val="154"/>
        </w:trPr>
        <w:tc>
          <w:tcPr>
            <w:tcW w:w="3150" w:type="dxa"/>
            <w:hideMark/>
          </w:tcPr>
          <w:p w14:paraId="1B6DAD43" w14:textId="0A48FD3B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Chromium</w:t>
            </w:r>
            <w:r w:rsidR="00334182" w:rsidRPr="00C82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E04" w:rsidRPr="00C82BC0">
              <w:rPr>
                <w:rFonts w:ascii="Times New Roman" w:hAnsi="Times New Roman" w:cs="Times New Roman"/>
                <w:sz w:val="24"/>
                <w:szCs w:val="24"/>
              </w:rPr>
              <w:t xml:space="preserve">(vi) </w:t>
            </w:r>
            <w:r w:rsidR="00334182" w:rsidRPr="00C82BC0">
              <w:rPr>
                <w:rFonts w:ascii="Times New Roman" w:hAnsi="Times New Roman" w:cs="Times New Roman"/>
                <w:sz w:val="24"/>
                <w:szCs w:val="24"/>
              </w:rPr>
              <w:t>(mg/L)</w:t>
            </w:r>
          </w:p>
        </w:tc>
        <w:tc>
          <w:tcPr>
            <w:tcW w:w="2160" w:type="dxa"/>
            <w:hideMark/>
          </w:tcPr>
          <w:p w14:paraId="599C93AB" w14:textId="0EDEA595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2160" w:type="dxa"/>
            <w:hideMark/>
          </w:tcPr>
          <w:p w14:paraId="66D9E707" w14:textId="5330A0EE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890" w:type="dxa"/>
            <w:hideMark/>
          </w:tcPr>
          <w:p w14:paraId="5080E490" w14:textId="76EC48F9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B97415" w:rsidRPr="00C82BC0" w14:paraId="3C9F7389" w14:textId="77777777" w:rsidTr="00656DD8">
        <w:trPr>
          <w:trHeight w:val="433"/>
        </w:trPr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E6C5C21" w14:textId="0C7526DA" w:rsidR="00B97415" w:rsidRPr="00C82BC0" w:rsidRDefault="00B97415" w:rsidP="00656DD8">
            <w:pPr>
              <w:spacing w:line="48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Turbidity</w:t>
            </w:r>
            <w:r w:rsidR="00237E04" w:rsidRPr="00C82BC0">
              <w:rPr>
                <w:rFonts w:ascii="Times New Roman" w:hAnsi="Times New Roman" w:cs="Times New Roman"/>
                <w:sz w:val="24"/>
                <w:szCs w:val="24"/>
              </w:rPr>
              <w:t xml:space="preserve"> (NTU)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E173236" w14:textId="70604A5E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AEDFB63" w14:textId="118AABB7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6D1E088" w14:textId="189CDF38" w:rsidR="00B97415" w:rsidRPr="00C82BC0" w:rsidRDefault="00237E04" w:rsidP="00656DD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Calibri" w:hAnsi="Times New Roman" w:cs="Times New Roman"/>
                <w:sz w:val="24"/>
                <w:szCs w:val="24"/>
              </w:rPr>
              <w:t>&lt;15</w:t>
            </w:r>
          </w:p>
        </w:tc>
      </w:tr>
    </w:tbl>
    <w:p w14:paraId="6364EC4F" w14:textId="77777777" w:rsidR="00B37B39" w:rsidRPr="00C82BC0" w:rsidRDefault="00B37B39" w:rsidP="00B97415">
      <w:pPr>
        <w:spacing w:after="0" w:line="480" w:lineRule="auto"/>
        <w:ind w:left="-1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83705D" w14:textId="77777777" w:rsidR="006D6235" w:rsidRPr="00C82BC0" w:rsidRDefault="006D6235" w:rsidP="006D6235">
      <w:pPr>
        <w:spacing w:after="0" w:line="480" w:lineRule="auto"/>
        <w:ind w:left="-15"/>
        <w:jc w:val="both"/>
        <w:rPr>
          <w:rFonts w:ascii="Times New Roman" w:hAnsi="Times New Roman" w:cs="Times New Roman"/>
          <w:sz w:val="24"/>
          <w:szCs w:val="24"/>
        </w:rPr>
        <w:sectPr w:rsidR="006D6235" w:rsidRPr="00C82BC0" w:rsidSect="00C82B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DAA4055" w14:textId="09EE359F" w:rsidR="00770CF5" w:rsidRDefault="007A4435" w:rsidP="006D6235">
      <w:pPr>
        <w:spacing w:after="0" w:line="48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2019084"/>
      <w:r w:rsidRPr="00C82BC0">
        <w:rPr>
          <w:rFonts w:ascii="Times New Roman" w:hAnsi="Times New Roman" w:cs="Times New Roman"/>
          <w:sz w:val="24"/>
          <w:szCs w:val="24"/>
        </w:rPr>
        <w:t>Produced water can be reused in different applications, provided it meets quality standards through appropriate treatment</w:t>
      </w:r>
      <w:r w:rsidR="0009614D" w:rsidRPr="00C82BC0">
        <w:rPr>
          <w:rFonts w:ascii="Times New Roman" w:hAnsi="Times New Roman" w:cs="Times New Roman"/>
          <w:sz w:val="24"/>
          <w:szCs w:val="24"/>
        </w:rPr>
        <w:t xml:space="preserve"> technique</w:t>
      </w:r>
      <w:r w:rsidRPr="00C82BC0">
        <w:rPr>
          <w:rFonts w:ascii="Times New Roman" w:hAnsi="Times New Roman" w:cs="Times New Roman"/>
          <w:sz w:val="24"/>
          <w:szCs w:val="24"/>
        </w:rPr>
        <w:t>. T</w:t>
      </w:r>
      <w:r w:rsidR="00770CF5" w:rsidRPr="00C82BC0">
        <w:rPr>
          <w:rFonts w:ascii="Times New Roman" w:hAnsi="Times New Roman" w:cs="Times New Roman"/>
          <w:sz w:val="24"/>
          <w:szCs w:val="24"/>
        </w:rPr>
        <w:t>r</w:t>
      </w:r>
      <w:r w:rsidRPr="00C82BC0">
        <w:rPr>
          <w:rFonts w:ascii="Times New Roman" w:hAnsi="Times New Roman" w:cs="Times New Roman"/>
          <w:sz w:val="24"/>
          <w:szCs w:val="24"/>
        </w:rPr>
        <w:t>eatment level varies</w:t>
      </w:r>
      <w:r w:rsidR="00770CF5" w:rsidRPr="00C82BC0">
        <w:rPr>
          <w:rFonts w:ascii="Times New Roman" w:hAnsi="Times New Roman" w:cs="Times New Roman"/>
          <w:sz w:val="24"/>
          <w:szCs w:val="24"/>
        </w:rPr>
        <w:t xml:space="preserve"> based on use. M</w:t>
      </w:r>
      <w:r w:rsidRPr="00C82BC0">
        <w:rPr>
          <w:rFonts w:ascii="Times New Roman" w:hAnsi="Times New Roman" w:cs="Times New Roman"/>
          <w:sz w:val="24"/>
          <w:szCs w:val="24"/>
        </w:rPr>
        <w:t xml:space="preserve">inimal treatment suffices for reuse </w:t>
      </w:r>
      <w:r w:rsidR="00770CF5" w:rsidRPr="00C82BC0">
        <w:rPr>
          <w:rFonts w:ascii="Times New Roman" w:hAnsi="Times New Roman" w:cs="Times New Roman"/>
          <w:sz w:val="24"/>
          <w:szCs w:val="24"/>
        </w:rPr>
        <w:t>by oil companies and</w:t>
      </w:r>
      <w:r w:rsidRPr="00C82BC0">
        <w:rPr>
          <w:rFonts w:ascii="Times New Roman" w:hAnsi="Times New Roman" w:cs="Times New Roman"/>
          <w:sz w:val="24"/>
          <w:szCs w:val="24"/>
        </w:rPr>
        <w:t xml:space="preserve"> industries, whereas higher treatment levels are required for domestic and agricultural purposes.</w:t>
      </w:r>
      <w:r w:rsidR="006810DA" w:rsidRPr="00C82B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614D" w:rsidRPr="00C82BC0">
        <w:rPr>
          <w:rFonts w:ascii="Times New Roman" w:hAnsi="Times New Roman" w:cs="Times New Roman"/>
          <w:sz w:val="24"/>
          <w:szCs w:val="24"/>
        </w:rPr>
        <w:t>Ozogu</w:t>
      </w:r>
      <w:proofErr w:type="spellEnd"/>
      <w:r w:rsidR="0009614D" w:rsidRPr="00C82BC0">
        <w:rPr>
          <w:rFonts w:ascii="Times New Roman" w:hAnsi="Times New Roman" w:cs="Times New Roman"/>
          <w:sz w:val="24"/>
          <w:szCs w:val="24"/>
        </w:rPr>
        <w:t xml:space="preserve">, Chukwurah, </w:t>
      </w:r>
      <w:proofErr w:type="spellStart"/>
      <w:r w:rsidR="0009614D" w:rsidRPr="00C82BC0">
        <w:rPr>
          <w:rFonts w:ascii="Times New Roman" w:hAnsi="Times New Roman" w:cs="Times New Roman"/>
          <w:sz w:val="24"/>
          <w:szCs w:val="24"/>
        </w:rPr>
        <w:t>Modebe</w:t>
      </w:r>
      <w:proofErr w:type="spellEnd"/>
      <w:r w:rsidR="0009614D" w:rsidRPr="00C82BC0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09614D" w:rsidRPr="00C82BC0">
        <w:rPr>
          <w:rFonts w:ascii="Times New Roman" w:hAnsi="Times New Roman" w:cs="Times New Roman"/>
          <w:sz w:val="24"/>
          <w:szCs w:val="24"/>
        </w:rPr>
        <w:t>Olabimtan</w:t>
      </w:r>
      <w:proofErr w:type="spellEnd"/>
      <w:r w:rsidR="0009614D" w:rsidRPr="00C82BC0">
        <w:rPr>
          <w:rFonts w:ascii="Times New Roman" w:hAnsi="Times New Roman" w:cs="Times New Roman"/>
          <w:sz w:val="24"/>
          <w:szCs w:val="24"/>
        </w:rPr>
        <w:t xml:space="preserve">, 2024; </w:t>
      </w:r>
      <w:proofErr w:type="spellStart"/>
      <w:r w:rsidR="005D2443" w:rsidRPr="00C82BC0">
        <w:rPr>
          <w:rFonts w:ascii="Times New Roman" w:hAnsi="Times New Roman" w:cs="Times New Roman"/>
          <w:sz w:val="24"/>
          <w:szCs w:val="24"/>
        </w:rPr>
        <w:t>Onojake</w:t>
      </w:r>
      <w:proofErr w:type="spellEnd"/>
      <w:r w:rsidR="005D2443" w:rsidRPr="00C82BC0">
        <w:rPr>
          <w:rFonts w:ascii="Times New Roman" w:hAnsi="Times New Roman" w:cs="Times New Roman"/>
          <w:sz w:val="24"/>
          <w:szCs w:val="24"/>
        </w:rPr>
        <w:t xml:space="preserve">, Obi and Mahmoud, 2023; </w:t>
      </w:r>
      <w:r w:rsidR="0009614D" w:rsidRPr="00C82BC0">
        <w:rPr>
          <w:rFonts w:ascii="Times New Roman" w:hAnsi="Times New Roman" w:cs="Times New Roman"/>
          <w:sz w:val="24"/>
          <w:szCs w:val="24"/>
        </w:rPr>
        <w:t xml:space="preserve">Bagheri, </w:t>
      </w:r>
      <w:proofErr w:type="spellStart"/>
      <w:r w:rsidR="0009614D" w:rsidRPr="00C82BC0">
        <w:rPr>
          <w:rFonts w:ascii="Times New Roman" w:hAnsi="Times New Roman" w:cs="Times New Roman"/>
          <w:sz w:val="24"/>
          <w:szCs w:val="24"/>
        </w:rPr>
        <w:t>Roshandel</w:t>
      </w:r>
      <w:proofErr w:type="spellEnd"/>
      <w:r w:rsidR="0009614D"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9614D" w:rsidRPr="00C82BC0">
        <w:rPr>
          <w:rFonts w:ascii="Times New Roman" w:hAnsi="Times New Roman" w:cs="Times New Roman"/>
          <w:sz w:val="24"/>
          <w:szCs w:val="24"/>
        </w:rPr>
        <w:t>Shayegan</w:t>
      </w:r>
      <w:proofErr w:type="spellEnd"/>
      <w:r w:rsidR="0009614D" w:rsidRPr="00C82BC0">
        <w:rPr>
          <w:rFonts w:ascii="Times New Roman" w:hAnsi="Times New Roman" w:cs="Times New Roman"/>
          <w:sz w:val="24"/>
          <w:szCs w:val="24"/>
        </w:rPr>
        <w:t xml:space="preserve">, 2018). </w:t>
      </w:r>
    </w:p>
    <w:p w14:paraId="733A8D62" w14:textId="77777777" w:rsidR="000944A7" w:rsidRDefault="000944A7" w:rsidP="006D6235">
      <w:pPr>
        <w:spacing w:after="0" w:line="48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72944334" w14:textId="77777777" w:rsidR="000944A7" w:rsidRDefault="000944A7" w:rsidP="006D6235">
      <w:pPr>
        <w:spacing w:after="0" w:line="48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6EDC78D8" w14:textId="77777777" w:rsidR="000944A7" w:rsidRPr="00C82BC0" w:rsidRDefault="000944A7" w:rsidP="006D6235">
      <w:pPr>
        <w:spacing w:after="0" w:line="480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14:paraId="50518F89" w14:textId="77777777" w:rsidR="006D6235" w:rsidRPr="00C82BC0" w:rsidRDefault="00135B3B" w:rsidP="006D62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>2</w:t>
      </w:r>
      <w:r w:rsidR="006D6235" w:rsidRPr="00C82BC0">
        <w:rPr>
          <w:rFonts w:ascii="Times New Roman" w:hAnsi="Times New Roman" w:cs="Times New Roman"/>
          <w:b/>
          <w:sz w:val="24"/>
          <w:szCs w:val="24"/>
        </w:rPr>
        <w:t>.0 Materials and Method</w:t>
      </w:r>
    </w:p>
    <w:p w14:paraId="63FC5954" w14:textId="7EB665CD" w:rsidR="006D6235" w:rsidRPr="00C82BC0" w:rsidRDefault="006D6235" w:rsidP="0067535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The following materials and equipment were used to conduct the study:</w:t>
      </w:r>
      <w:r w:rsidR="00CD7E4A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>Oil field Produced water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Oyster shell</w:t>
      </w:r>
      <w:r w:rsidR="00E50206" w:rsidRPr="00C82BC0">
        <w:rPr>
          <w:rFonts w:ascii="Times New Roman" w:hAnsi="Times New Roman" w:cs="Times New Roman"/>
          <w:sz w:val="24"/>
          <w:szCs w:val="24"/>
        </w:rPr>
        <w:t>s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Electric Grinding Machine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Sieve</w:t>
      </w:r>
      <w:r w:rsidR="0067535C" w:rsidRPr="00C82BC0">
        <w:rPr>
          <w:rFonts w:ascii="Times New Roman" w:hAnsi="Times New Roman" w:cs="Times New Roman"/>
          <w:sz w:val="24"/>
          <w:szCs w:val="24"/>
        </w:rPr>
        <w:t>,</w:t>
      </w:r>
      <w:r w:rsidR="004772F4" w:rsidRPr="00C82BC0">
        <w:rPr>
          <w:rFonts w:ascii="Times New Roman" w:hAnsi="Times New Roman" w:cs="Times New Roman"/>
          <w:sz w:val="24"/>
          <w:szCs w:val="24"/>
        </w:rPr>
        <w:t xml:space="preserve"> weighing scale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Retort stand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="00717D49" w:rsidRPr="00C82BC0">
        <w:rPr>
          <w:rFonts w:ascii="Times New Roman" w:hAnsi="Times New Roman" w:cs="Times New Roman"/>
          <w:sz w:val="24"/>
          <w:szCs w:val="24"/>
        </w:rPr>
        <w:t>separating</w:t>
      </w:r>
      <w:r w:rsidR="00E50206" w:rsidRPr="00C82BC0">
        <w:rPr>
          <w:rFonts w:ascii="Times New Roman" w:hAnsi="Times New Roman" w:cs="Times New Roman"/>
          <w:sz w:val="24"/>
          <w:szCs w:val="24"/>
        </w:rPr>
        <w:t xml:space="preserve"> funnel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 xml:space="preserve">Glass column </w:t>
      </w:r>
      <w:r w:rsidRPr="00C82BC0">
        <w:rPr>
          <w:rFonts w:ascii="Times New Roman" w:hAnsi="Times New Roman" w:cs="Times New Roman"/>
          <w:sz w:val="24"/>
          <w:szCs w:val="24"/>
        </w:rPr>
        <w:lastRenderedPageBreak/>
        <w:t>chamber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Beakers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Glass wool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>Glass funnel</w:t>
      </w:r>
      <w:r w:rsidR="0067535C" w:rsidRPr="00C82BC0">
        <w:rPr>
          <w:rFonts w:ascii="Times New Roman" w:hAnsi="Times New Roman" w:cs="Times New Roman"/>
          <w:sz w:val="24"/>
          <w:szCs w:val="24"/>
        </w:rPr>
        <w:t>, Cycloh</w:t>
      </w:r>
      <w:r w:rsidRPr="00C82BC0">
        <w:rPr>
          <w:rFonts w:ascii="Times New Roman" w:hAnsi="Times New Roman" w:cs="Times New Roman"/>
          <w:sz w:val="24"/>
          <w:szCs w:val="24"/>
        </w:rPr>
        <w:t>exane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="00297DE5" w:rsidRPr="00C82BC0">
        <w:rPr>
          <w:rFonts w:ascii="Times New Roman" w:hAnsi="Times New Roman" w:cs="Times New Roman"/>
          <w:sz w:val="24"/>
          <w:szCs w:val="24"/>
        </w:rPr>
        <w:t>Electric oven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="00297DE5" w:rsidRPr="00C82BC0">
        <w:rPr>
          <w:rFonts w:ascii="Times New Roman" w:hAnsi="Times New Roman" w:cs="Times New Roman"/>
          <w:sz w:val="24"/>
          <w:szCs w:val="24"/>
        </w:rPr>
        <w:t>Electric grinder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, </w:t>
      </w:r>
      <w:r w:rsidRPr="00C82BC0">
        <w:rPr>
          <w:rFonts w:ascii="Times New Roman" w:hAnsi="Times New Roman" w:cs="Times New Roman"/>
          <w:sz w:val="24"/>
          <w:szCs w:val="24"/>
        </w:rPr>
        <w:t xml:space="preserve">Hach Potable </w:t>
      </w:r>
      <w:r w:rsidR="004772F4" w:rsidRPr="00C82BC0">
        <w:rPr>
          <w:rFonts w:ascii="Times New Roman" w:hAnsi="Times New Roman" w:cs="Times New Roman"/>
          <w:sz w:val="24"/>
          <w:szCs w:val="24"/>
        </w:rPr>
        <w:t>meter, Fourier</w:t>
      </w:r>
      <w:r w:rsidR="00E50206" w:rsidRPr="00C82BC0">
        <w:rPr>
          <w:rFonts w:ascii="Times New Roman" w:hAnsi="Times New Roman" w:cs="Times New Roman"/>
          <w:sz w:val="24"/>
          <w:szCs w:val="24"/>
        </w:rPr>
        <w:t xml:space="preserve"> Transform Infra</w:t>
      </w:r>
      <w:r w:rsidR="0067535C" w:rsidRPr="00C82BC0">
        <w:rPr>
          <w:rFonts w:ascii="Times New Roman" w:hAnsi="Times New Roman" w:cs="Times New Roman"/>
          <w:sz w:val="24"/>
          <w:szCs w:val="24"/>
        </w:rPr>
        <w:t>r</w:t>
      </w:r>
      <w:r w:rsidR="00E50206" w:rsidRPr="00C82BC0">
        <w:rPr>
          <w:rFonts w:ascii="Times New Roman" w:hAnsi="Times New Roman" w:cs="Times New Roman"/>
          <w:sz w:val="24"/>
          <w:szCs w:val="24"/>
        </w:rPr>
        <w:t>ed Spectrometer</w:t>
      </w:r>
    </w:p>
    <w:p w14:paraId="62FBCE32" w14:textId="77777777" w:rsidR="00540052" w:rsidRPr="00C82BC0" w:rsidRDefault="00540052" w:rsidP="00540052">
      <w:pPr>
        <w:pStyle w:val="ListParagraph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1223678" w14:textId="2A3A4122" w:rsidR="006D6235" w:rsidRPr="00C82BC0" w:rsidRDefault="00135B3B" w:rsidP="006D6235">
      <w:pPr>
        <w:pStyle w:val="referencetext"/>
        <w:shd w:val="clear" w:color="auto" w:fill="FFFFFF"/>
        <w:spacing w:before="0" w:beforeAutospacing="0" w:after="0" w:afterAutospacing="0" w:line="480" w:lineRule="auto"/>
        <w:rPr>
          <w:b/>
          <w:bCs/>
        </w:rPr>
      </w:pPr>
      <w:r w:rsidRPr="00C82BC0">
        <w:rPr>
          <w:b/>
          <w:bCs/>
        </w:rPr>
        <w:t>2</w:t>
      </w:r>
      <w:r w:rsidR="006D6235" w:rsidRPr="00C82BC0">
        <w:rPr>
          <w:b/>
          <w:bCs/>
        </w:rPr>
        <w:t xml:space="preserve">.1 </w:t>
      </w:r>
      <w:r w:rsidR="007A4435" w:rsidRPr="00C82BC0">
        <w:rPr>
          <w:b/>
          <w:bCs/>
        </w:rPr>
        <w:t>Methodology</w:t>
      </w:r>
    </w:p>
    <w:p w14:paraId="2CE2FC41" w14:textId="45247EC0" w:rsidR="000F3705" w:rsidRPr="00C82BC0" w:rsidRDefault="000F3705" w:rsidP="007A44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The setup includes a separating funnel attached to a retort stand and a glass column chamber with a clean glass beaker for collecting the filtrate. </w:t>
      </w:r>
      <w:r w:rsidR="00540052" w:rsidRPr="00C82BC0">
        <w:rPr>
          <w:rFonts w:ascii="Times New Roman" w:hAnsi="Times New Roman" w:cs="Times New Roman"/>
          <w:sz w:val="24"/>
          <w:szCs w:val="24"/>
        </w:rPr>
        <w:t>1</w:t>
      </w:r>
      <w:r w:rsidR="006D6235" w:rsidRPr="00C82BC0">
        <w:rPr>
          <w:rFonts w:ascii="Times New Roman" w:hAnsi="Times New Roman" w:cs="Times New Roman"/>
          <w:sz w:val="24"/>
          <w:szCs w:val="24"/>
        </w:rPr>
        <w:t>00g of</w:t>
      </w:r>
      <w:r w:rsidRPr="00C82BC0">
        <w:rPr>
          <w:rFonts w:ascii="Times New Roman" w:hAnsi="Times New Roman" w:cs="Times New Roman"/>
          <w:sz w:val="24"/>
          <w:szCs w:val="24"/>
        </w:rPr>
        <w:t xml:space="preserve"> the POS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 xml:space="preserve">adsorbent 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was placed in the column chamber and </w:t>
      </w:r>
      <w:r w:rsidR="00540052" w:rsidRPr="00C82BC0">
        <w:rPr>
          <w:rFonts w:ascii="Times New Roman" w:hAnsi="Times New Roman" w:cs="Times New Roman"/>
          <w:sz w:val="24"/>
          <w:szCs w:val="24"/>
        </w:rPr>
        <w:t>2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00mL of the untreated sample was transferred to the separating funnel. The separating funnel was </w:t>
      </w:r>
      <w:r w:rsidR="003B5589" w:rsidRPr="00C82BC0">
        <w:rPr>
          <w:rFonts w:ascii="Times New Roman" w:hAnsi="Times New Roman" w:cs="Times New Roman"/>
          <w:sz w:val="24"/>
          <w:szCs w:val="24"/>
        </w:rPr>
        <w:t>opened,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and the produced water was allowed to run through the chamber</w:t>
      </w:r>
      <w:r w:rsidRPr="00C82BC0">
        <w:rPr>
          <w:rFonts w:ascii="Times New Roman" w:hAnsi="Times New Roman" w:cs="Times New Roman"/>
          <w:sz w:val="24"/>
          <w:szCs w:val="24"/>
        </w:rPr>
        <w:t xml:space="preserve"> holding the adsorbent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into a clean glass beaker where the </w:t>
      </w:r>
      <w:r w:rsidR="00205B06" w:rsidRPr="00C82BC0">
        <w:rPr>
          <w:rFonts w:ascii="Times New Roman" w:hAnsi="Times New Roman" w:cs="Times New Roman"/>
          <w:sz w:val="24"/>
          <w:szCs w:val="24"/>
        </w:rPr>
        <w:t>filtrate</w:t>
      </w:r>
      <w:r w:rsidR="00DA6AB9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6D6235" w:rsidRPr="00C82BC0">
        <w:rPr>
          <w:rFonts w:ascii="Times New Roman" w:hAnsi="Times New Roman" w:cs="Times New Roman"/>
          <w:sz w:val="24"/>
          <w:szCs w:val="24"/>
        </w:rPr>
        <w:t>was collected.</w:t>
      </w:r>
      <w:r w:rsidR="007A4435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6D6235" w:rsidRPr="00C82BC0">
        <w:rPr>
          <w:rFonts w:ascii="Times New Roman" w:hAnsi="Times New Roman" w:cs="Times New Roman"/>
          <w:sz w:val="24"/>
          <w:szCs w:val="24"/>
        </w:rPr>
        <w:t>This procedure was repeated on the produced water samples varying the Contact Time</w:t>
      </w:r>
      <w:r w:rsidR="007A4435" w:rsidRPr="00C82BC0">
        <w:rPr>
          <w:rFonts w:ascii="Times New Roman" w:hAnsi="Times New Roman" w:cs="Times New Roman"/>
          <w:sz w:val="24"/>
          <w:szCs w:val="24"/>
        </w:rPr>
        <w:t xml:space="preserve">. The filtrate from these different configurations </w:t>
      </w:r>
      <w:r w:rsidR="00D31593" w:rsidRPr="00C82BC0">
        <w:rPr>
          <w:rFonts w:ascii="Times New Roman" w:hAnsi="Times New Roman" w:cs="Times New Roman"/>
          <w:sz w:val="24"/>
          <w:szCs w:val="24"/>
        </w:rPr>
        <w:t>were</w:t>
      </w:r>
      <w:r w:rsidR="007A4435" w:rsidRPr="00C82BC0">
        <w:rPr>
          <w:rFonts w:ascii="Times New Roman" w:hAnsi="Times New Roman" w:cs="Times New Roman"/>
          <w:sz w:val="24"/>
          <w:szCs w:val="24"/>
        </w:rPr>
        <w:t xml:space="preserve"> collected and analyzed</w:t>
      </w:r>
      <w:r w:rsidR="00D70AFB" w:rsidRPr="00C82BC0">
        <w:rPr>
          <w:rFonts w:ascii="Times New Roman" w:hAnsi="Times New Roman" w:cs="Times New Roman"/>
          <w:sz w:val="24"/>
          <w:szCs w:val="24"/>
        </w:rPr>
        <w:t xml:space="preserve"> (Xu, Liu, Oh and Park, J. 2019; </w:t>
      </w:r>
      <w:proofErr w:type="spellStart"/>
      <w:r w:rsidR="00D70AFB" w:rsidRPr="00C82BC0">
        <w:rPr>
          <w:rFonts w:ascii="Times New Roman" w:hAnsi="Times New Roman" w:cs="Times New Roman"/>
          <w:sz w:val="24"/>
          <w:szCs w:val="24"/>
        </w:rPr>
        <w:t>Chikwe</w:t>
      </w:r>
      <w:proofErr w:type="spellEnd"/>
      <w:r w:rsidR="00D70AFB"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70AFB" w:rsidRPr="00C82BC0">
        <w:rPr>
          <w:rFonts w:ascii="Times New Roman" w:hAnsi="Times New Roman" w:cs="Times New Roman"/>
          <w:sz w:val="24"/>
          <w:szCs w:val="24"/>
        </w:rPr>
        <w:t>Ogbole</w:t>
      </w:r>
      <w:proofErr w:type="spellEnd"/>
      <w:r w:rsidR="00D70AFB" w:rsidRPr="00C82BC0">
        <w:rPr>
          <w:rFonts w:ascii="Times New Roman" w:hAnsi="Times New Roman" w:cs="Times New Roman"/>
          <w:sz w:val="24"/>
          <w:szCs w:val="24"/>
        </w:rPr>
        <w:t>, 2019).</w:t>
      </w:r>
    </w:p>
    <w:p w14:paraId="6A10F4A2" w14:textId="77777777" w:rsidR="000F3705" w:rsidRPr="00C82BC0" w:rsidRDefault="000F3705" w:rsidP="006D623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72090" w14:textId="2198480E" w:rsidR="006D6235" w:rsidRPr="00C82BC0" w:rsidRDefault="00135B3B" w:rsidP="006D623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BC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D6235" w:rsidRPr="00C82BC0">
        <w:rPr>
          <w:rFonts w:ascii="Times New Roman" w:hAnsi="Times New Roman" w:cs="Times New Roman"/>
          <w:b/>
          <w:bCs/>
          <w:sz w:val="24"/>
          <w:szCs w:val="24"/>
        </w:rPr>
        <w:t>.2 Sample Preparation and Analysis</w:t>
      </w:r>
    </w:p>
    <w:p w14:paraId="0DDDAB45" w14:textId="77777777" w:rsidR="0009614D" w:rsidRPr="00C82BC0" w:rsidRDefault="004772F4" w:rsidP="004772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The oyster shells were sourced locally from </w:t>
      </w:r>
    </w:p>
    <w:p w14:paraId="1A6039DA" w14:textId="6B2F3A54" w:rsidR="004772F4" w:rsidRPr="00C82BC0" w:rsidRDefault="004772F4" w:rsidP="004772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BC0">
        <w:rPr>
          <w:rFonts w:ascii="Times New Roman" w:hAnsi="Times New Roman" w:cs="Times New Roman"/>
          <w:sz w:val="24"/>
          <w:szCs w:val="24"/>
        </w:rPr>
        <w:t>Borikiri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Market in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Portharcourt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and washed with distilled water. The clean shells were dried in an electric oven at 70-80</w:t>
      </w:r>
      <w:r w:rsidRPr="00C82BC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82BC0">
        <w:rPr>
          <w:rFonts w:ascii="Times New Roman" w:hAnsi="Times New Roman" w:cs="Times New Roman"/>
          <w:sz w:val="24"/>
          <w:szCs w:val="24"/>
        </w:rPr>
        <w:t xml:space="preserve">C. The dried oyster shells were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pulverised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using the electric grinder and sieved using a 75micrometer sieve size.</w:t>
      </w:r>
    </w:p>
    <w:p w14:paraId="0AD8FF2B" w14:textId="3E3129F1" w:rsidR="004358E2" w:rsidRPr="00C82BC0" w:rsidRDefault="00770CF5" w:rsidP="00A7737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Produced water</w:t>
      </w:r>
      <w:r w:rsidR="007A4435" w:rsidRPr="00C82BC0">
        <w:rPr>
          <w:rFonts w:ascii="Times New Roman" w:hAnsi="Times New Roman" w:cs="Times New Roman"/>
          <w:sz w:val="24"/>
          <w:szCs w:val="24"/>
        </w:rPr>
        <w:t xml:space="preserve"> labelled </w:t>
      </w:r>
      <w:r w:rsidRPr="00C82BC0">
        <w:rPr>
          <w:rFonts w:ascii="Times New Roman" w:hAnsi="Times New Roman" w:cs="Times New Roman"/>
          <w:sz w:val="24"/>
          <w:szCs w:val="24"/>
        </w:rPr>
        <w:t xml:space="preserve">CX-7T, </w:t>
      </w:r>
      <w:r w:rsidR="002F053F" w:rsidRPr="00C82BC0">
        <w:rPr>
          <w:rFonts w:ascii="Times New Roman" w:hAnsi="Times New Roman" w:cs="Times New Roman"/>
          <w:sz w:val="24"/>
          <w:szCs w:val="24"/>
        </w:rPr>
        <w:t>AX-ST1</w:t>
      </w:r>
      <w:r w:rsidRPr="00C82BC0">
        <w:rPr>
          <w:rFonts w:ascii="Times New Roman" w:hAnsi="Times New Roman" w:cs="Times New Roman"/>
          <w:sz w:val="24"/>
          <w:szCs w:val="24"/>
        </w:rPr>
        <w:t xml:space="preserve"> and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AX-ST2 </w:t>
      </w:r>
      <w:r w:rsidR="007A4435" w:rsidRPr="00C82BC0">
        <w:rPr>
          <w:rFonts w:ascii="Times New Roman" w:hAnsi="Times New Roman" w:cs="Times New Roman"/>
          <w:sz w:val="24"/>
          <w:szCs w:val="24"/>
        </w:rPr>
        <w:t xml:space="preserve">were </w:t>
      </w:r>
      <w:r w:rsidRPr="00C82BC0">
        <w:rPr>
          <w:rFonts w:ascii="Times New Roman" w:hAnsi="Times New Roman" w:cs="Times New Roman"/>
          <w:sz w:val="24"/>
          <w:szCs w:val="24"/>
        </w:rPr>
        <w:t xml:space="preserve">obtained 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from </w:t>
      </w:r>
      <w:r w:rsidR="007A4435" w:rsidRPr="00C82BC0">
        <w:rPr>
          <w:rFonts w:ascii="Times New Roman" w:hAnsi="Times New Roman" w:cs="Times New Roman"/>
          <w:sz w:val="24"/>
          <w:szCs w:val="24"/>
        </w:rPr>
        <w:t>an oil field in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Bayelsa State, Nigeria</w:t>
      </w:r>
      <w:r w:rsidR="007A4435" w:rsidRPr="00C82BC0">
        <w:rPr>
          <w:rFonts w:ascii="Times New Roman" w:hAnsi="Times New Roman" w:cs="Times New Roman"/>
          <w:sz w:val="24"/>
          <w:szCs w:val="24"/>
        </w:rPr>
        <w:t>. The samples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were </w:t>
      </w:r>
      <w:r w:rsidRPr="00C82BC0">
        <w:rPr>
          <w:rFonts w:ascii="Times New Roman" w:hAnsi="Times New Roman" w:cs="Times New Roman"/>
          <w:sz w:val="24"/>
          <w:szCs w:val="24"/>
        </w:rPr>
        <w:t>taken to the laboratory and</w:t>
      </w:r>
      <w:r w:rsidR="007A3887" w:rsidRPr="00C82BC0">
        <w:rPr>
          <w:rFonts w:ascii="Times New Roman" w:hAnsi="Times New Roman" w:cs="Times New Roman"/>
          <w:sz w:val="24"/>
          <w:szCs w:val="24"/>
        </w:rPr>
        <w:t xml:space="preserve"> prepared using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liquid-liquid extraction</w:t>
      </w:r>
      <w:r w:rsidR="007A3887" w:rsidRPr="00C82BC0">
        <w:rPr>
          <w:rFonts w:ascii="Times New Roman" w:hAnsi="Times New Roman" w:cs="Times New Roman"/>
          <w:sz w:val="24"/>
          <w:szCs w:val="24"/>
        </w:rPr>
        <w:t xml:space="preserve"> technique to extract the oil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phase</w:t>
      </w:r>
      <w:r w:rsidR="007A3887" w:rsidRPr="00C82BC0">
        <w:rPr>
          <w:rFonts w:ascii="Times New Roman" w:hAnsi="Times New Roman" w:cs="Times New Roman"/>
          <w:sz w:val="24"/>
          <w:szCs w:val="24"/>
        </w:rPr>
        <w:t xml:space="preserve"> which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was analyzed </w:t>
      </w:r>
      <w:r w:rsidR="00A14E1C" w:rsidRPr="00C82BC0">
        <w:rPr>
          <w:rFonts w:ascii="Times New Roman" w:hAnsi="Times New Roman" w:cs="Times New Roman"/>
          <w:sz w:val="24"/>
          <w:szCs w:val="24"/>
        </w:rPr>
        <w:t xml:space="preserve">for 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Total petroleum hydrocarbon </w:t>
      </w:r>
      <w:r w:rsidR="00A14E1C" w:rsidRPr="00C82BC0">
        <w:rPr>
          <w:rFonts w:ascii="Times New Roman" w:hAnsi="Times New Roman" w:cs="Times New Roman"/>
          <w:sz w:val="24"/>
          <w:szCs w:val="24"/>
        </w:rPr>
        <w:t>using Perkin Elmer FTIR spectrometer</w:t>
      </w:r>
      <w:r w:rsidR="002F053F" w:rsidRPr="00C82BC0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4351648"/>
      <w:r w:rsidR="002F053F" w:rsidRPr="00C82BC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F053F" w:rsidRPr="00C82BC0">
        <w:rPr>
          <w:rFonts w:ascii="Times New Roman" w:hAnsi="Times New Roman" w:cs="Times New Roman"/>
          <w:sz w:val="24"/>
          <w:szCs w:val="24"/>
        </w:rPr>
        <w:t>Chikwe</w:t>
      </w:r>
      <w:proofErr w:type="spellEnd"/>
      <w:r w:rsidR="002F053F"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2F053F" w:rsidRPr="00C82BC0">
        <w:rPr>
          <w:rFonts w:ascii="Times New Roman" w:hAnsi="Times New Roman" w:cs="Times New Roman"/>
          <w:sz w:val="24"/>
          <w:szCs w:val="24"/>
        </w:rPr>
        <w:t>Ogbole</w:t>
      </w:r>
      <w:proofErr w:type="spellEnd"/>
      <w:r w:rsidR="002F053F" w:rsidRPr="00C82BC0">
        <w:rPr>
          <w:rFonts w:ascii="Times New Roman" w:hAnsi="Times New Roman" w:cs="Times New Roman"/>
          <w:sz w:val="24"/>
          <w:szCs w:val="24"/>
        </w:rPr>
        <w:t>, 2019).</w:t>
      </w:r>
      <w:r w:rsidR="007A3887" w:rsidRPr="00C82BC0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7A3887" w:rsidRPr="00C82BC0">
        <w:rPr>
          <w:rFonts w:ascii="Times New Roman" w:hAnsi="Times New Roman" w:cs="Times New Roman"/>
          <w:sz w:val="24"/>
          <w:szCs w:val="24"/>
        </w:rPr>
        <w:t xml:space="preserve">Similarly, the untreated produced water </w:t>
      </w:r>
      <w:proofErr w:type="gramStart"/>
      <w:r w:rsidR="007A3887" w:rsidRPr="00C82BC0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7A3887" w:rsidRPr="00C82BC0">
        <w:rPr>
          <w:rFonts w:ascii="Times New Roman" w:hAnsi="Times New Roman" w:cs="Times New Roman"/>
          <w:sz w:val="24"/>
          <w:szCs w:val="24"/>
        </w:rPr>
        <w:t xml:space="preserve"> separated using a separating funnel and the filtrate was analyzed for Total Dissolved Solids (TDS).</w:t>
      </w:r>
    </w:p>
    <w:p w14:paraId="22F24BBE" w14:textId="77777777" w:rsidR="006D6235" w:rsidRPr="00C82BC0" w:rsidRDefault="00135B3B" w:rsidP="006D62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>2</w:t>
      </w:r>
      <w:r w:rsidR="006D6235" w:rsidRPr="00C82BC0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260EF2" w:rsidRPr="00C82BC0">
        <w:rPr>
          <w:rFonts w:ascii="Times New Roman" w:hAnsi="Times New Roman" w:cs="Times New Roman"/>
          <w:b/>
          <w:sz w:val="24"/>
          <w:szCs w:val="24"/>
        </w:rPr>
        <w:t>Removal Efficiency &amp; Adsorption Capacity</w:t>
      </w:r>
      <w:r w:rsidR="006D6235" w:rsidRPr="00C82B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10F68D" w14:textId="2962EEF8" w:rsidR="00521DEC" w:rsidRPr="00C82BC0" w:rsidRDefault="007A3887" w:rsidP="00521DE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lastRenderedPageBreak/>
        <w:t xml:space="preserve">Untreated samples were treated by allowing </w:t>
      </w:r>
      <w:proofErr w:type="gramStart"/>
      <w:r w:rsidRPr="00C82BC0">
        <w:rPr>
          <w:rFonts w:ascii="Times New Roman" w:hAnsi="Times New Roman" w:cs="Times New Roman"/>
          <w:sz w:val="24"/>
          <w:szCs w:val="24"/>
        </w:rPr>
        <w:t>them  pass</w:t>
      </w:r>
      <w:proofErr w:type="gramEnd"/>
      <w:r w:rsidRPr="00C82BC0">
        <w:rPr>
          <w:rFonts w:ascii="Times New Roman" w:hAnsi="Times New Roman" w:cs="Times New Roman"/>
          <w:sz w:val="24"/>
          <w:szCs w:val="24"/>
        </w:rPr>
        <w:t xml:space="preserve"> through a column of POS within a period of</w:t>
      </w:r>
      <w:r w:rsidR="0012315D" w:rsidRPr="00C82BC0">
        <w:rPr>
          <w:rFonts w:ascii="Times New Roman" w:hAnsi="Times New Roman" w:cs="Times New Roman"/>
          <w:sz w:val="24"/>
          <w:szCs w:val="24"/>
        </w:rPr>
        <w:t xml:space="preserve"> time. The</w:t>
      </w:r>
      <w:r w:rsidR="00260EF2" w:rsidRPr="00C82BC0">
        <w:rPr>
          <w:rFonts w:ascii="Times New Roman" w:hAnsi="Times New Roman" w:cs="Times New Roman"/>
          <w:sz w:val="24"/>
          <w:szCs w:val="24"/>
        </w:rPr>
        <w:t xml:space="preserve"> removal </w:t>
      </w:r>
      <w:r w:rsidRPr="00C82BC0">
        <w:rPr>
          <w:rFonts w:ascii="Times New Roman" w:hAnsi="Times New Roman" w:cs="Times New Roman"/>
          <w:sz w:val="24"/>
          <w:szCs w:val="24"/>
        </w:rPr>
        <w:t xml:space="preserve">efficiency </w:t>
      </w:r>
      <w:r w:rsidR="00260EF2" w:rsidRPr="00C82BC0">
        <w:rPr>
          <w:rFonts w:ascii="Times New Roman" w:hAnsi="Times New Roman" w:cs="Times New Roman"/>
          <w:sz w:val="24"/>
          <w:szCs w:val="24"/>
        </w:rPr>
        <w:t>of petroleum hydrocarbons and dissolved solids was estimated by using equation (1):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E9BCC" w14:textId="3F6F7B87" w:rsidR="00521DEC" w:rsidRPr="00C82BC0" w:rsidRDefault="00244163" w:rsidP="00521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R</w:t>
      </w:r>
      <w:r w:rsidR="00260EF2" w:rsidRPr="00C82BC0">
        <w:rPr>
          <w:rFonts w:ascii="Times New Roman" w:hAnsi="Times New Roman" w:cs="Times New Roman"/>
          <w:sz w:val="24"/>
          <w:szCs w:val="24"/>
        </w:rPr>
        <w:t>emoval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521DEC" w:rsidRPr="00C82BC0">
        <w:rPr>
          <w:rFonts w:ascii="Times New Roman" w:hAnsi="Times New Roman" w:cs="Times New Roman"/>
          <w:sz w:val="24"/>
          <w:szCs w:val="24"/>
        </w:rPr>
        <w:t>Efficiency</w:t>
      </w:r>
      <w:r w:rsidR="00260EF2" w:rsidRPr="00C82BC0">
        <w:rPr>
          <w:rFonts w:ascii="Times New Roman" w:hAnsi="Times New Roman" w:cs="Times New Roman"/>
          <w:sz w:val="24"/>
          <w:szCs w:val="24"/>
        </w:rPr>
        <w:t xml:space="preserve">= </w:t>
      </w:r>
      <w:r w:rsidR="00260EF2" w:rsidRPr="00C82BC0">
        <w:rPr>
          <w:rFonts w:ascii="Cambria Math" w:hAnsi="Cambria Math" w:cs="Cambria Math"/>
          <w:sz w:val="24"/>
          <w:szCs w:val="24"/>
          <w:u w:val="single"/>
        </w:rPr>
        <w:t>𝐶</w:t>
      </w:r>
      <w:r w:rsidR="00260EF2" w:rsidRPr="00C82BC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0</w:t>
      </w:r>
      <w:r w:rsidR="00260EF2" w:rsidRPr="00C82BC0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proofErr w:type="gramStart"/>
      <w:r w:rsidR="00260EF2" w:rsidRPr="00C82BC0">
        <w:rPr>
          <w:rFonts w:ascii="Cambria Math" w:hAnsi="Cambria Math" w:cs="Cambria Math"/>
          <w:sz w:val="24"/>
          <w:szCs w:val="24"/>
          <w:u w:val="single"/>
        </w:rPr>
        <w:t>𝐶𝑒</w:t>
      </w:r>
      <w:r w:rsidR="00260EF2" w:rsidRPr="00C82BC0">
        <w:rPr>
          <w:rFonts w:ascii="Times New Roman" w:hAnsi="Times New Roman" w:cs="Times New Roman"/>
          <w:sz w:val="24"/>
          <w:szCs w:val="24"/>
        </w:rPr>
        <w:t xml:space="preserve">  </w:t>
      </w:r>
      <w:r w:rsidR="0009614D" w:rsidRPr="00C82BC0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="00260EF2" w:rsidRPr="00C82BC0">
        <w:rPr>
          <w:rFonts w:ascii="Times New Roman" w:hAnsi="Times New Roman" w:cs="Times New Roman"/>
          <w:sz w:val="24"/>
          <w:szCs w:val="24"/>
        </w:rPr>
        <w:t xml:space="preserve"> 100</w:t>
      </w:r>
      <w:r w:rsidR="0009614D" w:rsidRPr="00C82BC0">
        <w:rPr>
          <w:rFonts w:ascii="Times New Roman" w:hAnsi="Times New Roman" w:cs="Times New Roman"/>
          <w:sz w:val="24"/>
          <w:szCs w:val="24"/>
        </w:rPr>
        <w:t xml:space="preserve">       (</w:t>
      </w:r>
      <w:r w:rsidR="00260EF2" w:rsidRPr="00C82BC0">
        <w:rPr>
          <w:rFonts w:ascii="Times New Roman" w:hAnsi="Times New Roman" w:cs="Times New Roman"/>
          <w:sz w:val="24"/>
          <w:szCs w:val="24"/>
        </w:rPr>
        <w:t>1)</w:t>
      </w:r>
    </w:p>
    <w:p w14:paraId="675D46FB" w14:textId="04C0E169" w:rsidR="00260EF2" w:rsidRPr="00C82BC0" w:rsidRDefault="0009614D" w:rsidP="00521DE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     </w:t>
      </w:r>
      <w:r w:rsidR="00260EF2" w:rsidRPr="00C82BC0">
        <w:rPr>
          <w:rFonts w:ascii="Cambria Math" w:hAnsi="Cambria Math" w:cs="Cambria Math"/>
          <w:sz w:val="24"/>
          <w:szCs w:val="24"/>
        </w:rPr>
        <w:t>𝐶</w:t>
      </w:r>
      <w:r w:rsidR="00260EF2" w:rsidRPr="00C82BC0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</w:p>
    <w:p w14:paraId="00790B64" w14:textId="77777777" w:rsidR="004A2B4C" w:rsidRPr="00C82BC0" w:rsidRDefault="004A2B4C" w:rsidP="004A2B4C">
      <w:pPr>
        <w:rPr>
          <w:rFonts w:ascii="Times New Roman" w:hAnsi="Times New Roman" w:cs="Times New Roman"/>
          <w:sz w:val="24"/>
          <w:szCs w:val="24"/>
        </w:rPr>
      </w:pPr>
    </w:p>
    <w:p w14:paraId="3EB6A6A3" w14:textId="77777777" w:rsidR="00DF3E07" w:rsidRPr="00C82BC0" w:rsidRDefault="00260EF2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Furthermore, to deter</w:t>
      </w:r>
      <w:r w:rsidR="009E18B1" w:rsidRPr="00C82BC0">
        <w:rPr>
          <w:rFonts w:ascii="Times New Roman" w:hAnsi="Times New Roman" w:cs="Times New Roman"/>
          <w:sz w:val="24"/>
          <w:szCs w:val="24"/>
        </w:rPr>
        <w:t xml:space="preserve">mine the adsorption capacity of the oyster shells, </w:t>
      </w:r>
      <w:r w:rsidR="00DF3E07" w:rsidRPr="00C82BC0">
        <w:rPr>
          <w:rFonts w:ascii="Times New Roman" w:hAnsi="Times New Roman" w:cs="Times New Roman"/>
          <w:sz w:val="24"/>
          <w:szCs w:val="24"/>
        </w:rPr>
        <w:t>equation (2) below was employed:</w:t>
      </w:r>
    </w:p>
    <w:p w14:paraId="0023949C" w14:textId="77777777" w:rsidR="00DF3E07" w:rsidRPr="00C82BC0" w:rsidRDefault="00DF3E07" w:rsidP="00DF3E07">
      <w:pPr>
        <w:autoSpaceDE w:val="0"/>
        <w:autoSpaceDN w:val="0"/>
        <w:adjustRightInd w:val="0"/>
        <w:spacing w:after="0" w:line="221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Cambria Math" w:hAnsi="Cambria Math" w:cs="Cambria Math"/>
          <w:sz w:val="24"/>
          <w:szCs w:val="24"/>
        </w:rPr>
        <w:t>𝑞</w:t>
      </w:r>
      <w:r w:rsidRPr="00C82BC0">
        <w:rPr>
          <w:rFonts w:ascii="Times New Roman" w:hAnsi="Times New Roman" w:cs="Times New Roman"/>
          <w:sz w:val="24"/>
          <w:szCs w:val="24"/>
        </w:rPr>
        <w:t xml:space="preserve"> =</w:t>
      </w:r>
      <w:proofErr w:type="gramStart"/>
      <w:r w:rsidRPr="00C82BC0">
        <w:rPr>
          <w:rFonts w:ascii="Cambria Math" w:hAnsi="Cambria Math" w:cs="Cambria Math"/>
          <w:sz w:val="24"/>
          <w:szCs w:val="24"/>
          <w:u w:val="single"/>
        </w:rPr>
        <w:t>𝑉</w:t>
      </w:r>
      <w:r w:rsidRPr="00C82BC0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Pr="00C82BC0">
        <w:rPr>
          <w:rFonts w:ascii="Cambria Math" w:hAnsi="Cambria Math" w:cs="Cambria Math"/>
          <w:sz w:val="24"/>
          <w:szCs w:val="24"/>
          <w:u w:val="single"/>
        </w:rPr>
        <w:t>𝐶</w:t>
      </w:r>
      <w:r w:rsidRPr="00C82BC0">
        <w:rPr>
          <w:rFonts w:ascii="Times New Roman" w:hAnsi="Times New Roman" w:cs="Times New Roman"/>
          <w:sz w:val="24"/>
          <w:szCs w:val="24"/>
          <w:u w:val="single"/>
          <w:vertAlign w:val="subscript"/>
        </w:rPr>
        <w:t>0</w:t>
      </w:r>
      <w:r w:rsidRPr="00C82BC0">
        <w:rPr>
          <w:rFonts w:ascii="Times New Roman" w:hAnsi="Times New Roman" w:cs="Times New Roman"/>
          <w:sz w:val="24"/>
          <w:szCs w:val="24"/>
          <w:u w:val="single"/>
        </w:rPr>
        <w:t xml:space="preserve"> − </w:t>
      </w:r>
      <w:r w:rsidRPr="00C82BC0">
        <w:rPr>
          <w:rFonts w:ascii="Cambria Math" w:hAnsi="Cambria Math" w:cs="Cambria Math"/>
          <w:sz w:val="24"/>
          <w:szCs w:val="24"/>
          <w:u w:val="single"/>
        </w:rPr>
        <w:t>𝐶𝑒</w:t>
      </w:r>
      <w:r w:rsidRPr="00C82BC0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C82BC0">
        <w:rPr>
          <w:rFonts w:ascii="Times New Roman" w:hAnsi="Times New Roman" w:cs="Times New Roman"/>
          <w:sz w:val="24"/>
          <w:szCs w:val="24"/>
        </w:rPr>
        <w:t xml:space="preserve">                                (2)</w:t>
      </w:r>
    </w:p>
    <w:p w14:paraId="7008D7FF" w14:textId="10476A6D" w:rsidR="00DF3E07" w:rsidRPr="00C82BC0" w:rsidRDefault="00DF3E07" w:rsidP="00DF3E07">
      <w:pPr>
        <w:autoSpaceDE w:val="0"/>
        <w:autoSpaceDN w:val="0"/>
        <w:adjustRightInd w:val="0"/>
        <w:spacing w:after="0" w:line="22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82BC0">
        <w:rPr>
          <w:rFonts w:ascii="Times New Roman" w:hAnsi="Times New Roman" w:cs="Times New Roman"/>
          <w:sz w:val="24"/>
          <w:szCs w:val="24"/>
        </w:rPr>
        <w:tab/>
      </w:r>
      <w:r w:rsidR="004772F4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Cambria Math" w:hAnsi="Cambria Math" w:cs="Cambria Math"/>
          <w:sz w:val="24"/>
          <w:szCs w:val="24"/>
        </w:rPr>
        <w:t>𝑀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33BBD" w14:textId="77777777" w:rsidR="00DF3E07" w:rsidRPr="00C82BC0" w:rsidRDefault="00DF3E07" w:rsidP="00E6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where: q is expressed as mg/g, </w:t>
      </w:r>
    </w:p>
    <w:p w14:paraId="7A278B50" w14:textId="77777777" w:rsidR="00E60651" w:rsidRPr="00C82BC0" w:rsidRDefault="00DF3E07" w:rsidP="00E6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C</w:t>
      </w:r>
      <w:r w:rsidRPr="00C82BC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4A2B4C" w:rsidRPr="00C82BC0">
        <w:rPr>
          <w:rFonts w:ascii="Times New Roman" w:hAnsi="Times New Roman" w:cs="Times New Roman"/>
          <w:sz w:val="24"/>
          <w:szCs w:val="24"/>
        </w:rPr>
        <w:t xml:space="preserve"> =</w:t>
      </w:r>
      <w:r w:rsidRPr="00C82BC0">
        <w:rPr>
          <w:rFonts w:ascii="Times New Roman" w:hAnsi="Times New Roman" w:cs="Times New Roman"/>
          <w:sz w:val="24"/>
          <w:szCs w:val="24"/>
        </w:rPr>
        <w:t xml:space="preserve"> initial concentration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 (mg/L)</w:t>
      </w:r>
    </w:p>
    <w:p w14:paraId="5A186B1B" w14:textId="77777777" w:rsidR="00E60651" w:rsidRPr="00C82BC0" w:rsidRDefault="00DF3E07" w:rsidP="00E6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Ce</w:t>
      </w:r>
      <w:r w:rsidR="004A2B4C" w:rsidRPr="00C82BC0">
        <w:rPr>
          <w:rFonts w:ascii="Times New Roman" w:hAnsi="Times New Roman" w:cs="Times New Roman"/>
          <w:sz w:val="24"/>
          <w:szCs w:val="24"/>
        </w:rPr>
        <w:t xml:space="preserve"> = </w:t>
      </w:r>
      <w:r w:rsidRPr="00C82BC0">
        <w:rPr>
          <w:rFonts w:ascii="Times New Roman" w:hAnsi="Times New Roman" w:cs="Times New Roman"/>
          <w:sz w:val="24"/>
          <w:szCs w:val="24"/>
        </w:rPr>
        <w:t>equilibrium concentration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 (mg/L)</w:t>
      </w:r>
    </w:p>
    <w:p w14:paraId="75D1CC23" w14:textId="77777777" w:rsidR="00E60651" w:rsidRPr="00C82BC0" w:rsidRDefault="00DF3E07" w:rsidP="00E6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M</w:t>
      </w:r>
      <w:r w:rsidR="004A2B4C" w:rsidRPr="00C82BC0">
        <w:rPr>
          <w:rFonts w:ascii="Times New Roman" w:hAnsi="Times New Roman" w:cs="Times New Roman"/>
          <w:sz w:val="24"/>
          <w:szCs w:val="24"/>
        </w:rPr>
        <w:t xml:space="preserve"> = </w:t>
      </w:r>
      <w:r w:rsidRPr="00C82BC0">
        <w:rPr>
          <w:rFonts w:ascii="Times New Roman" w:hAnsi="Times New Roman" w:cs="Times New Roman"/>
          <w:sz w:val="24"/>
          <w:szCs w:val="24"/>
        </w:rPr>
        <w:t>adsorbent dosage</w:t>
      </w:r>
      <w:r w:rsidR="0067535C" w:rsidRPr="00C82BC0">
        <w:rPr>
          <w:rFonts w:ascii="Times New Roman" w:hAnsi="Times New Roman" w:cs="Times New Roman"/>
          <w:sz w:val="24"/>
          <w:szCs w:val="24"/>
        </w:rPr>
        <w:t xml:space="preserve"> (g)</w:t>
      </w:r>
      <w:r w:rsidR="004A2B4C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91590C" w14:textId="6F1D5043" w:rsidR="00E60651" w:rsidRPr="00C82BC0" w:rsidRDefault="00DF3E07" w:rsidP="00E6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V </w:t>
      </w:r>
      <w:r w:rsidR="004A2B4C" w:rsidRPr="00C82BC0">
        <w:rPr>
          <w:rFonts w:ascii="Times New Roman" w:hAnsi="Times New Roman" w:cs="Times New Roman"/>
          <w:sz w:val="24"/>
          <w:szCs w:val="24"/>
        </w:rPr>
        <w:t xml:space="preserve">= </w:t>
      </w:r>
      <w:r w:rsidRPr="00C82BC0">
        <w:rPr>
          <w:rFonts w:ascii="Times New Roman" w:hAnsi="Times New Roman" w:cs="Times New Roman"/>
          <w:sz w:val="24"/>
          <w:szCs w:val="24"/>
        </w:rPr>
        <w:t>solution volume (L)</w:t>
      </w:r>
    </w:p>
    <w:p w14:paraId="3F11DE6D" w14:textId="77777777" w:rsidR="004A2B4C" w:rsidRPr="00C82BC0" w:rsidRDefault="004A2B4C" w:rsidP="00E606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ED6DD" w14:textId="4A798925" w:rsidR="004A2B4C" w:rsidRPr="00C82BC0" w:rsidRDefault="00DF3E07" w:rsidP="004A2B4C">
      <w:pPr>
        <w:pStyle w:val="Pa14"/>
        <w:jc w:val="both"/>
        <w:rPr>
          <w:rFonts w:ascii="Times New Roman" w:hAnsi="Times New Roman" w:cs="Times New Roman"/>
        </w:rPr>
      </w:pPr>
      <w:r w:rsidRPr="00C82BC0">
        <w:rPr>
          <w:rFonts w:ascii="Times New Roman" w:hAnsi="Times New Roman" w:cs="Times New Roman"/>
        </w:rPr>
        <w:t>(</w:t>
      </w:r>
      <w:r w:rsidR="00066C4E" w:rsidRPr="00C82BC0">
        <w:rPr>
          <w:rFonts w:ascii="Times New Roman" w:hAnsi="Times New Roman" w:cs="Times New Roman"/>
        </w:rPr>
        <w:t xml:space="preserve">Al-Muhtaseb et al., 2024; </w:t>
      </w:r>
      <w:proofErr w:type="spellStart"/>
      <w:r w:rsidRPr="00C82BC0">
        <w:rPr>
          <w:rFonts w:ascii="Times New Roman" w:hAnsi="Times New Roman" w:cs="Times New Roman"/>
        </w:rPr>
        <w:t>Hadi</w:t>
      </w:r>
      <w:proofErr w:type="spellEnd"/>
      <w:r w:rsidRPr="00C82BC0">
        <w:rPr>
          <w:rFonts w:ascii="Times New Roman" w:hAnsi="Times New Roman" w:cs="Times New Roman"/>
        </w:rPr>
        <w:t>, Al-</w:t>
      </w:r>
      <w:proofErr w:type="spellStart"/>
      <w:r w:rsidRPr="00C82BC0">
        <w:rPr>
          <w:rFonts w:ascii="Times New Roman" w:hAnsi="Times New Roman" w:cs="Times New Roman"/>
        </w:rPr>
        <w:t>Zobai</w:t>
      </w:r>
      <w:proofErr w:type="spellEnd"/>
      <w:r w:rsidRPr="00C82BC0">
        <w:rPr>
          <w:rFonts w:ascii="Times New Roman" w:hAnsi="Times New Roman" w:cs="Times New Roman"/>
        </w:rPr>
        <w:t xml:space="preserve">, and </w:t>
      </w:r>
      <w:proofErr w:type="spellStart"/>
      <w:r w:rsidRPr="00C82BC0">
        <w:rPr>
          <w:rFonts w:ascii="Times New Roman" w:hAnsi="Times New Roman" w:cs="Times New Roman"/>
        </w:rPr>
        <w:t>Alatabe</w:t>
      </w:r>
      <w:proofErr w:type="spellEnd"/>
      <w:r w:rsidRPr="00C82BC0">
        <w:rPr>
          <w:rFonts w:ascii="Times New Roman" w:hAnsi="Times New Roman" w:cs="Times New Roman"/>
        </w:rPr>
        <w:t xml:space="preserve"> 2020</w:t>
      </w:r>
      <w:r w:rsidR="004A2B4C" w:rsidRPr="00C82BC0">
        <w:rPr>
          <w:rFonts w:ascii="Times New Roman" w:hAnsi="Times New Roman" w:cs="Times New Roman"/>
        </w:rPr>
        <w:t>).</w:t>
      </w:r>
    </w:p>
    <w:p w14:paraId="21D598E8" w14:textId="6E719DAA" w:rsidR="00DF3E07" w:rsidRPr="00C82BC0" w:rsidRDefault="00DF3E07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0DAA4" w14:textId="5A20F6C4" w:rsidR="006D6235" w:rsidRPr="00C82BC0" w:rsidRDefault="00135B3B" w:rsidP="006D62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>3</w:t>
      </w:r>
      <w:r w:rsidR="006D6235" w:rsidRPr="00C82BC0">
        <w:rPr>
          <w:rFonts w:ascii="Times New Roman" w:hAnsi="Times New Roman" w:cs="Times New Roman"/>
          <w:b/>
          <w:sz w:val="24"/>
          <w:szCs w:val="24"/>
        </w:rPr>
        <w:t>.0 Results and Discussion</w:t>
      </w:r>
    </w:p>
    <w:p w14:paraId="0BC09B26" w14:textId="77777777" w:rsidR="0067535C" w:rsidRPr="00C82BC0" w:rsidRDefault="00135B3B" w:rsidP="006D623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B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7535C" w:rsidRPr="00C82BC0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67535C" w:rsidRPr="00C82BC0">
        <w:rPr>
          <w:rFonts w:ascii="Times New Roman" w:hAnsi="Times New Roman" w:cs="Times New Roman"/>
          <w:b/>
          <w:bCs/>
          <w:sz w:val="24"/>
          <w:szCs w:val="24"/>
        </w:rPr>
        <w:tab/>
        <w:t>FT-IR Analysis of Oyster shells</w:t>
      </w:r>
    </w:p>
    <w:p w14:paraId="6109D64A" w14:textId="4C6982D0" w:rsidR="004772F4" w:rsidRPr="00C82BC0" w:rsidRDefault="0067535C" w:rsidP="0012315D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Figure 1a shows the FT-IR spectra of the pulverized oyster shells. 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The Oyster shell FT – IR result wave numbers and ascribed functional </w:t>
      </w:r>
      <w:bookmarkEnd w:id="5"/>
      <w:r w:rsidR="002C61B5" w:rsidRPr="00C82BC0">
        <w:rPr>
          <w:rFonts w:ascii="Times New Roman" w:hAnsi="Times New Roman" w:cs="Times New Roman"/>
          <w:sz w:val="24"/>
          <w:szCs w:val="24"/>
        </w:rPr>
        <w:t>groups are presented in table 4. The peak observed at 1799. 051 cm</w:t>
      </w:r>
      <w:r w:rsidR="002C61B5" w:rsidRPr="00C82B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 indicates presence of C = O stretching in the oyster shell. The peak occurring at 2724. 926 – 2332. 694 cm</w:t>
      </w:r>
      <w:r w:rsidR="002C61B5" w:rsidRPr="00C82B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 showed presence of 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HCO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</m:sup>
        </m:sSubSup>
      </m:oMath>
      <w:r w:rsidR="002C61B5" w:rsidRPr="00C82BC0">
        <w:rPr>
          <w:rFonts w:ascii="Times New Roman" w:hAnsi="Times New Roman" w:cs="Times New Roman"/>
          <w:sz w:val="24"/>
          <w:szCs w:val="24"/>
        </w:rPr>
        <w:t xml:space="preserve"> (bicarbonate ion). The several spectra bands appearing at 1377. 732 cm</w:t>
      </w:r>
      <w:r w:rsidR="002C61B5" w:rsidRPr="00C82B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C61B5" w:rsidRPr="00C82BC0">
        <w:rPr>
          <w:rFonts w:ascii="Times New Roman" w:hAnsi="Times New Roman" w:cs="Times New Roman"/>
          <w:sz w:val="24"/>
          <w:szCs w:val="24"/>
        </w:rPr>
        <w:t>, 1168.984 – 1151. 894 cm</w:t>
      </w:r>
      <w:r w:rsidR="002C61B5" w:rsidRPr="00C82B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C61B5" w:rsidRPr="00C82BC0">
        <w:rPr>
          <w:rFonts w:ascii="Times New Roman" w:hAnsi="Times New Roman" w:cs="Times New Roman"/>
          <w:sz w:val="24"/>
          <w:szCs w:val="24"/>
        </w:rPr>
        <w:t>, 876.833 – 876. 562 cm</w:t>
      </w:r>
      <w:r w:rsidR="002C61B5" w:rsidRPr="00C82B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 and at 722. 306 – 772. 076 cm</w:t>
      </w:r>
      <w:r w:rsidR="002C61B5" w:rsidRPr="00C82BC0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 reveals presence of carbonate ion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2C61B5" w:rsidRPr="00C82BC0">
        <w:rPr>
          <w:rFonts w:ascii="Times New Roman" w:hAnsi="Times New Roman" w:cs="Times New Roman"/>
          <w:sz w:val="24"/>
          <w:szCs w:val="24"/>
        </w:rPr>
        <w:t>) asymmetric stretching, carbonate ion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2C61B5" w:rsidRPr="00C82BC0">
        <w:rPr>
          <w:rFonts w:ascii="Times New Roman" w:hAnsi="Times New Roman" w:cs="Times New Roman"/>
          <w:sz w:val="24"/>
          <w:szCs w:val="24"/>
        </w:rPr>
        <w:t>) symmetric stretching, out – of – planes vibrational bending and in - planes vibrational bending of carbonate ion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="002C61B5" w:rsidRPr="00C82BC0">
        <w:rPr>
          <w:rFonts w:ascii="Times New Roman" w:hAnsi="Times New Roman" w:cs="Times New Roman"/>
          <w:sz w:val="24"/>
          <w:szCs w:val="24"/>
        </w:rPr>
        <w:t xml:space="preserve">) </w:t>
      </w:r>
      <w:bookmarkStart w:id="7" w:name="_Hlk194353105"/>
      <w:r w:rsidR="002C61B5" w:rsidRPr="00C82BC0">
        <w:rPr>
          <w:rFonts w:ascii="Times New Roman" w:hAnsi="Times New Roman" w:cs="Times New Roman"/>
          <w:sz w:val="24"/>
          <w:szCs w:val="24"/>
        </w:rPr>
        <w:t>(</w:t>
      </w:r>
      <w:bookmarkStart w:id="8" w:name="_Hlk194336381"/>
      <w:r w:rsidR="001704D9" w:rsidRPr="00C82BC0">
        <w:rPr>
          <w:rFonts w:ascii="Times New Roman" w:hAnsi="Times New Roman" w:cs="Times New Roman"/>
          <w:sz w:val="24"/>
          <w:szCs w:val="24"/>
        </w:rPr>
        <w:t>Zhou, Wang, Sun, Wang and Xu, 2022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704D9" w:rsidRPr="00C82BC0">
        <w:rPr>
          <w:rFonts w:ascii="Times New Roman" w:hAnsi="Times New Roman" w:cs="Times New Roman"/>
          <w:sz w:val="24"/>
          <w:szCs w:val="24"/>
        </w:rPr>
        <w:t>Chikwe</w:t>
      </w:r>
      <w:proofErr w:type="spellEnd"/>
      <w:r w:rsidR="001704D9"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704D9" w:rsidRPr="00C82BC0">
        <w:rPr>
          <w:rFonts w:ascii="Times New Roman" w:hAnsi="Times New Roman" w:cs="Times New Roman"/>
          <w:sz w:val="24"/>
          <w:szCs w:val="24"/>
        </w:rPr>
        <w:t>Ogbole</w:t>
      </w:r>
      <w:proofErr w:type="spellEnd"/>
      <w:r w:rsidR="001704D9" w:rsidRPr="00C82BC0">
        <w:rPr>
          <w:rFonts w:ascii="Times New Roman" w:hAnsi="Times New Roman" w:cs="Times New Roman"/>
          <w:sz w:val="24"/>
          <w:szCs w:val="24"/>
        </w:rPr>
        <w:t>, 2019</w:t>
      </w:r>
      <w:bookmarkEnd w:id="8"/>
      <w:r w:rsidR="002C61B5" w:rsidRPr="00C82BC0">
        <w:rPr>
          <w:rFonts w:ascii="Times New Roman" w:hAnsi="Times New Roman" w:cs="Times New Roman"/>
          <w:sz w:val="24"/>
          <w:szCs w:val="24"/>
        </w:rPr>
        <w:t xml:space="preserve">). </w:t>
      </w:r>
      <w:bookmarkEnd w:id="7"/>
    </w:p>
    <w:p w14:paraId="1E2C0124" w14:textId="48C489B9" w:rsidR="004772F4" w:rsidRPr="00C82BC0" w:rsidRDefault="000F370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F835C7" wp14:editId="4F631FA9">
            <wp:extent cx="4038600" cy="2282825"/>
            <wp:effectExtent l="0" t="0" r="0" b="3175"/>
            <wp:docPr id="878830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106" cy="2287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AF1522" w14:textId="19AF39B6" w:rsidR="009079F0" w:rsidRPr="00C82BC0" w:rsidRDefault="009079F0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Fig 1a</w:t>
      </w:r>
      <w:r w:rsidR="002C61B5" w:rsidRPr="00C82BC0">
        <w:rPr>
          <w:rFonts w:ascii="Times New Roman" w:hAnsi="Times New Roman" w:cs="Times New Roman"/>
          <w:sz w:val="24"/>
          <w:szCs w:val="24"/>
        </w:rPr>
        <w:t>: FTIR Spectr</w:t>
      </w:r>
      <w:r w:rsidR="00521DEC" w:rsidRPr="00C82BC0">
        <w:rPr>
          <w:rFonts w:ascii="Times New Roman" w:hAnsi="Times New Roman" w:cs="Times New Roman"/>
          <w:sz w:val="24"/>
          <w:szCs w:val="24"/>
        </w:rPr>
        <w:t>um</w:t>
      </w:r>
      <w:r w:rsidR="002C61B5" w:rsidRPr="00C82BC0">
        <w:rPr>
          <w:rFonts w:ascii="Times New Roman" w:hAnsi="Times New Roman" w:cs="Times New Roman"/>
          <w:sz w:val="24"/>
          <w:szCs w:val="24"/>
        </w:rPr>
        <w:t xml:space="preserve"> of the POS</w:t>
      </w:r>
    </w:p>
    <w:p w14:paraId="4D35243E" w14:textId="77777777" w:rsidR="00464D61" w:rsidRPr="00C82BC0" w:rsidRDefault="00464D61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C9A5B8" wp14:editId="08E757D8">
            <wp:extent cx="2763297" cy="1314373"/>
            <wp:effectExtent l="0" t="0" r="0" b="635"/>
            <wp:docPr id="85235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358976" name=""/>
                    <pic:cNvPicPr/>
                  </pic:nvPicPr>
                  <pic:blipFill rotWithShape="1">
                    <a:blip r:embed="rId15"/>
                    <a:srcRect l="19786" t="27506" r="50014" b="46956"/>
                    <a:stretch/>
                  </pic:blipFill>
                  <pic:spPr bwMode="auto">
                    <a:xfrm>
                      <a:off x="0" y="0"/>
                      <a:ext cx="2809207" cy="1336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BC43D4" w14:textId="77777777" w:rsidR="00464D61" w:rsidRPr="00C82BC0" w:rsidRDefault="00464D61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Fig 1b. SEM micrographs of oyster shell (Zhou et al, </w:t>
      </w:r>
      <w:r w:rsidR="004D589F" w:rsidRPr="00C82BC0">
        <w:rPr>
          <w:rFonts w:ascii="Times New Roman" w:hAnsi="Times New Roman" w:cs="Times New Roman"/>
          <w:sz w:val="24"/>
          <w:szCs w:val="24"/>
        </w:rPr>
        <w:t>2022)</w:t>
      </w:r>
    </w:p>
    <w:p w14:paraId="4986735A" w14:textId="77777777" w:rsidR="001704D9" w:rsidRPr="00C82BC0" w:rsidRDefault="001704D9" w:rsidP="006D623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B1C029" w14:textId="277EE0E5" w:rsidR="009079F0" w:rsidRPr="00C82BC0" w:rsidRDefault="00135B3B" w:rsidP="006D623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B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079F0" w:rsidRPr="00C82BC0">
        <w:rPr>
          <w:rFonts w:ascii="Times New Roman" w:hAnsi="Times New Roman" w:cs="Times New Roman"/>
          <w:b/>
          <w:bCs/>
          <w:sz w:val="24"/>
          <w:szCs w:val="24"/>
        </w:rPr>
        <w:t>.2 SEM Analysis of Oyster shells</w:t>
      </w:r>
    </w:p>
    <w:p w14:paraId="6125EC97" w14:textId="45F59566" w:rsidR="00464D61" w:rsidRPr="00C82BC0" w:rsidRDefault="009079F0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Oyster shell structure is composed of large </w:t>
      </w:r>
      <w:proofErr w:type="gramStart"/>
      <w:r w:rsidRPr="00C82BC0">
        <w:rPr>
          <w:rFonts w:ascii="Times New Roman" w:hAnsi="Times New Roman" w:cs="Times New Roman"/>
          <w:sz w:val="24"/>
          <w:szCs w:val="24"/>
        </w:rPr>
        <w:t>amount</w:t>
      </w:r>
      <w:proofErr w:type="gramEnd"/>
      <w:r w:rsidRPr="00C82BC0">
        <w:rPr>
          <w:rFonts w:ascii="Times New Roman" w:hAnsi="Times New Roman" w:cs="Times New Roman"/>
          <w:sz w:val="24"/>
          <w:szCs w:val="24"/>
        </w:rPr>
        <w:t xml:space="preserve"> of prismatic layers with micro-pore of </w:t>
      </w:r>
      <w:r w:rsidR="00464D61" w:rsidRPr="00C82BC0">
        <w:rPr>
          <w:rFonts w:ascii="Times New Roman" w:hAnsi="Times New Roman" w:cs="Times New Roman"/>
          <w:sz w:val="24"/>
          <w:szCs w:val="24"/>
        </w:rPr>
        <w:t xml:space="preserve">sizes between 2 and 10 micrometer. Figure 1b shows a detailed structure of oyster shell observed through Scanning Electron Microscope. This sort of spatial structure is unique for oyster shells creating a good adsorption capacity </w:t>
      </w:r>
      <w:bookmarkStart w:id="9" w:name="_Hlk194353234"/>
      <w:r w:rsidR="00464D61" w:rsidRPr="00C82BC0">
        <w:rPr>
          <w:rFonts w:ascii="Times New Roman" w:hAnsi="Times New Roman" w:cs="Times New Roman"/>
          <w:sz w:val="24"/>
          <w:szCs w:val="24"/>
        </w:rPr>
        <w:t>(</w:t>
      </w:r>
      <w:r w:rsidR="00AF4417" w:rsidRPr="00C82BC0">
        <w:rPr>
          <w:rFonts w:ascii="Times New Roman" w:hAnsi="Times New Roman" w:cs="Times New Roman"/>
          <w:sz w:val="24"/>
          <w:szCs w:val="24"/>
        </w:rPr>
        <w:t>Zhou et al, 2022;</w:t>
      </w:r>
      <w:r w:rsidR="00464D61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AF4417" w:rsidRPr="00C82BC0">
        <w:rPr>
          <w:rFonts w:ascii="Times New Roman" w:hAnsi="Times New Roman" w:cs="Times New Roman"/>
          <w:sz w:val="24"/>
          <w:szCs w:val="24"/>
        </w:rPr>
        <w:t>Lee, Jang, Ryu, Chae, Lee, and Jeon, 2011</w:t>
      </w:r>
      <w:r w:rsidR="00464D61" w:rsidRPr="00C82BC0">
        <w:rPr>
          <w:rFonts w:ascii="Times New Roman" w:hAnsi="Times New Roman" w:cs="Times New Roman"/>
          <w:sz w:val="24"/>
          <w:szCs w:val="24"/>
        </w:rPr>
        <w:t>).</w:t>
      </w:r>
      <w:bookmarkEnd w:id="9"/>
    </w:p>
    <w:p w14:paraId="08C7FF8F" w14:textId="77777777" w:rsidR="00AF4417" w:rsidRPr="00C82BC0" w:rsidRDefault="00AF4417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234E6" w14:textId="3EEA90D1" w:rsidR="00F863DE" w:rsidRPr="00C82BC0" w:rsidRDefault="00F863DE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5B3B" w:rsidRPr="00C82BC0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Pr="00C82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315D" w:rsidRPr="00C82BC0">
        <w:rPr>
          <w:rFonts w:ascii="Times New Roman" w:hAnsi="Times New Roman" w:cs="Times New Roman"/>
          <w:b/>
          <w:bCs/>
          <w:sz w:val="24"/>
          <w:szCs w:val="24"/>
        </w:rPr>
        <w:t xml:space="preserve">Laboratory </w:t>
      </w:r>
      <w:r w:rsidR="00E3084F" w:rsidRPr="00C82BC0">
        <w:rPr>
          <w:rFonts w:ascii="Times New Roman" w:hAnsi="Times New Roman" w:cs="Times New Roman"/>
          <w:b/>
          <w:bCs/>
          <w:sz w:val="24"/>
          <w:szCs w:val="24"/>
        </w:rPr>
        <w:t>Analyses of</w:t>
      </w:r>
      <w:r w:rsidR="0012315D" w:rsidRPr="00C82BC0">
        <w:rPr>
          <w:rFonts w:ascii="Times New Roman" w:hAnsi="Times New Roman" w:cs="Times New Roman"/>
          <w:b/>
          <w:bCs/>
          <w:sz w:val="24"/>
          <w:szCs w:val="24"/>
        </w:rPr>
        <w:t xml:space="preserve"> TPW and UPW</w:t>
      </w:r>
      <w:r w:rsidRPr="00C82B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E41F71" w14:textId="64F3E0BA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To </w:t>
      </w:r>
      <w:r w:rsidR="00CD6D81" w:rsidRPr="00C82BC0">
        <w:rPr>
          <w:rFonts w:ascii="Times New Roman" w:hAnsi="Times New Roman" w:cs="Times New Roman"/>
          <w:sz w:val="24"/>
          <w:szCs w:val="24"/>
        </w:rPr>
        <w:t xml:space="preserve">evaluate </w:t>
      </w:r>
      <w:r w:rsidRPr="00C82BC0">
        <w:rPr>
          <w:rFonts w:ascii="Times New Roman" w:hAnsi="Times New Roman" w:cs="Times New Roman"/>
          <w:sz w:val="24"/>
          <w:szCs w:val="24"/>
        </w:rPr>
        <w:t xml:space="preserve">the quality of </w:t>
      </w:r>
      <w:r w:rsidR="00E3084F" w:rsidRPr="00C82BC0">
        <w:rPr>
          <w:rFonts w:ascii="Times New Roman" w:hAnsi="Times New Roman" w:cs="Times New Roman"/>
          <w:sz w:val="24"/>
          <w:szCs w:val="24"/>
        </w:rPr>
        <w:t xml:space="preserve">untreated produced water (UPW) and treated produced water (TPW) using </w:t>
      </w:r>
      <w:r w:rsidR="00CD6D81" w:rsidRPr="00C82BC0">
        <w:rPr>
          <w:rFonts w:ascii="Times New Roman" w:hAnsi="Times New Roman" w:cs="Times New Roman"/>
          <w:sz w:val="24"/>
          <w:szCs w:val="24"/>
        </w:rPr>
        <w:t xml:space="preserve">oyster shells, </w:t>
      </w:r>
      <w:r w:rsidR="00437D49" w:rsidRPr="00C82BC0">
        <w:rPr>
          <w:rFonts w:ascii="Times New Roman" w:hAnsi="Times New Roman" w:cs="Times New Roman"/>
          <w:sz w:val="24"/>
          <w:szCs w:val="24"/>
        </w:rPr>
        <w:t>comprehensive</w:t>
      </w:r>
      <w:r w:rsidRPr="00C82BC0">
        <w:rPr>
          <w:rFonts w:ascii="Times New Roman" w:hAnsi="Times New Roman" w:cs="Times New Roman"/>
          <w:sz w:val="24"/>
          <w:szCs w:val="24"/>
        </w:rPr>
        <w:t xml:space="preserve"> testing was conducted to determine the baseline levels of selected physicochemical </w:t>
      </w:r>
      <w:r w:rsidR="00CD6D81" w:rsidRPr="00C82BC0">
        <w:rPr>
          <w:rFonts w:ascii="Times New Roman" w:hAnsi="Times New Roman" w:cs="Times New Roman"/>
          <w:sz w:val="24"/>
          <w:szCs w:val="24"/>
        </w:rPr>
        <w:lastRenderedPageBreak/>
        <w:t>parameters</w:t>
      </w:r>
      <w:r w:rsidRPr="00C82BC0">
        <w:rPr>
          <w:rFonts w:ascii="Times New Roman" w:hAnsi="Times New Roman" w:cs="Times New Roman"/>
          <w:sz w:val="24"/>
          <w:szCs w:val="24"/>
        </w:rPr>
        <w:t>. The parameters analyzed include T</w:t>
      </w:r>
      <w:r w:rsidR="00E3084F" w:rsidRPr="00C82BC0">
        <w:rPr>
          <w:rFonts w:ascii="Times New Roman" w:hAnsi="Times New Roman" w:cs="Times New Roman"/>
          <w:sz w:val="24"/>
          <w:szCs w:val="24"/>
        </w:rPr>
        <w:t xml:space="preserve">PH, </w:t>
      </w:r>
      <w:proofErr w:type="gramStart"/>
      <w:r w:rsidR="00E3084F" w:rsidRPr="00C82BC0">
        <w:rPr>
          <w:rFonts w:ascii="Times New Roman" w:hAnsi="Times New Roman" w:cs="Times New Roman"/>
          <w:sz w:val="24"/>
          <w:szCs w:val="24"/>
        </w:rPr>
        <w:t xml:space="preserve">TDS, </w:t>
      </w:r>
      <w:r w:rsidRPr="00C82BC0">
        <w:rPr>
          <w:rFonts w:ascii="Times New Roman" w:hAnsi="Times New Roman" w:cs="Times New Roman"/>
          <w:sz w:val="24"/>
          <w:szCs w:val="24"/>
        </w:rPr>
        <w:t xml:space="preserve"> Electrical</w:t>
      </w:r>
      <w:proofErr w:type="gramEnd"/>
      <w:r w:rsidRPr="00C82BC0">
        <w:rPr>
          <w:rFonts w:ascii="Times New Roman" w:hAnsi="Times New Roman" w:cs="Times New Roman"/>
          <w:sz w:val="24"/>
          <w:szCs w:val="24"/>
        </w:rPr>
        <w:t xml:space="preserve"> Conductivity</w:t>
      </w:r>
      <w:r w:rsidR="00E3084F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 xml:space="preserve">and </w:t>
      </w:r>
      <w:r w:rsidR="00F863DE" w:rsidRPr="00C82BC0">
        <w:rPr>
          <w:rFonts w:ascii="Times New Roman" w:hAnsi="Times New Roman" w:cs="Times New Roman"/>
          <w:sz w:val="24"/>
          <w:szCs w:val="24"/>
        </w:rPr>
        <w:t xml:space="preserve">pH </w:t>
      </w:r>
      <w:r w:rsidR="00C51C4E" w:rsidRPr="00C82BC0">
        <w:rPr>
          <w:rFonts w:ascii="Times New Roman" w:hAnsi="Times New Roman" w:cs="Times New Roman"/>
          <w:sz w:val="24"/>
          <w:szCs w:val="24"/>
        </w:rPr>
        <w:t xml:space="preserve">as shown in table </w:t>
      </w:r>
      <w:r w:rsidR="00135B3B" w:rsidRPr="00C82BC0">
        <w:rPr>
          <w:rFonts w:ascii="Times New Roman" w:hAnsi="Times New Roman" w:cs="Times New Roman"/>
          <w:sz w:val="24"/>
          <w:szCs w:val="24"/>
        </w:rPr>
        <w:t>3</w:t>
      </w:r>
      <w:r w:rsidR="00C51C4E" w:rsidRPr="00C82BC0">
        <w:rPr>
          <w:rFonts w:ascii="Times New Roman" w:hAnsi="Times New Roman" w:cs="Times New Roman"/>
          <w:sz w:val="24"/>
          <w:szCs w:val="24"/>
        </w:rPr>
        <w:t>.</w:t>
      </w:r>
      <w:r w:rsidRPr="00C82BC0">
        <w:rPr>
          <w:rFonts w:ascii="Times New Roman" w:hAnsi="Times New Roman" w:cs="Times New Roman"/>
          <w:sz w:val="24"/>
          <w:szCs w:val="24"/>
        </w:rPr>
        <w:t xml:space="preserve"> These analyses were performed following standard laboratory procedures to ensure accuracy and reliability.  </w:t>
      </w:r>
    </w:p>
    <w:p w14:paraId="0E96FB42" w14:textId="77777777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D6235" w:rsidRPr="00C82BC0" w:rsidSect="00C82BC0">
          <w:type w:val="continuous"/>
          <w:pgSz w:w="12240" w:h="15840"/>
          <w:pgMar w:top="1440" w:right="758" w:bottom="1440" w:left="1134" w:header="720" w:footer="720" w:gutter="0"/>
          <w:cols w:space="720"/>
          <w:docGrid w:linePitch="360"/>
        </w:sectPr>
      </w:pPr>
    </w:p>
    <w:p w14:paraId="087E5579" w14:textId="77777777" w:rsidR="000F3705" w:rsidRPr="00C82BC0" w:rsidRDefault="000F370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632B" w14:textId="45A3679E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Table </w:t>
      </w:r>
      <w:r w:rsidR="00135B3B" w:rsidRPr="00C82BC0">
        <w:rPr>
          <w:rFonts w:ascii="Times New Roman" w:hAnsi="Times New Roman" w:cs="Times New Roman"/>
          <w:sz w:val="24"/>
          <w:szCs w:val="24"/>
        </w:rPr>
        <w:t>3</w:t>
      </w:r>
      <w:r w:rsidRPr="00C82BC0">
        <w:rPr>
          <w:rFonts w:ascii="Times New Roman" w:hAnsi="Times New Roman" w:cs="Times New Roman"/>
          <w:sz w:val="24"/>
          <w:szCs w:val="24"/>
        </w:rPr>
        <w:t>: Concentration Levels of Selected Parameters</w:t>
      </w:r>
    </w:p>
    <w:tbl>
      <w:tblPr>
        <w:tblStyle w:val="LightShading"/>
        <w:tblW w:w="9627" w:type="dxa"/>
        <w:tblLook w:val="04A0" w:firstRow="1" w:lastRow="0" w:firstColumn="1" w:lastColumn="0" w:noHBand="0" w:noVBand="1"/>
      </w:tblPr>
      <w:tblGrid>
        <w:gridCol w:w="3328"/>
        <w:gridCol w:w="1186"/>
        <w:gridCol w:w="2556"/>
        <w:gridCol w:w="2557"/>
      </w:tblGrid>
      <w:tr w:rsidR="007F5CE1" w:rsidRPr="00C82BC0" w14:paraId="5E72FBEC" w14:textId="77777777" w:rsidTr="00C24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4"/>
            <w:noWrap/>
            <w:hideMark/>
          </w:tcPr>
          <w:p w14:paraId="41290A0A" w14:textId="77777777" w:rsidR="006D6235" w:rsidRPr="00C82BC0" w:rsidRDefault="006D6235" w:rsidP="00C24C2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UNTREATED PRODUCED WATER</w:t>
            </w:r>
            <w:r w:rsidR="00CD6D81" w:rsidRPr="00C82BC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 xml:space="preserve"> SAMPLES</w:t>
            </w:r>
          </w:p>
        </w:tc>
      </w:tr>
      <w:tr w:rsidR="007F5CE1" w:rsidRPr="00C82BC0" w14:paraId="7D0A0211" w14:textId="77777777" w:rsidTr="00C73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C37703C" w14:textId="77777777" w:rsidR="006D6235" w:rsidRPr="00C82BC0" w:rsidRDefault="006D6235" w:rsidP="00C24C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PARAMETER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5D9B663" w14:textId="77777777" w:rsidR="006D6235" w:rsidRPr="00C82BC0" w:rsidRDefault="006D6235" w:rsidP="00C24C27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C7T </w:t>
            </w:r>
          </w:p>
        </w:tc>
        <w:tc>
          <w:tcPr>
            <w:tcW w:w="255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C36F943" w14:textId="77777777" w:rsidR="006D6235" w:rsidRPr="00C82BC0" w:rsidRDefault="006D6235" w:rsidP="00C24C2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="0085138B"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X</w:t>
            </w:r>
            <w:r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-ST 1</w:t>
            </w: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055E93" w14:textId="77777777" w:rsidR="006D6235" w:rsidRPr="00C82BC0" w:rsidRDefault="006D6235" w:rsidP="00C24C27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="0085138B"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X</w:t>
            </w:r>
            <w:r w:rsidRPr="00C82BC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-ST 2     </w:t>
            </w:r>
          </w:p>
        </w:tc>
      </w:tr>
      <w:tr w:rsidR="007F5CE1" w:rsidRPr="00C82BC0" w14:paraId="26D67910" w14:textId="77777777" w:rsidTr="00C737F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E501F" w14:textId="77777777" w:rsidR="006D6235" w:rsidRPr="00C82BC0" w:rsidRDefault="006D6235" w:rsidP="00C24C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TPH (mg/L)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4782C" w14:textId="77777777" w:rsidR="006D6235" w:rsidRPr="00C82BC0" w:rsidRDefault="006D6235" w:rsidP="00C24C2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135.1</w:t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311B2" w14:textId="77777777" w:rsidR="006D6235" w:rsidRPr="00C82BC0" w:rsidRDefault="006D6235" w:rsidP="00C24C2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128.2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A87BF" w14:textId="77777777" w:rsidR="006D6235" w:rsidRPr="00C82BC0" w:rsidRDefault="006D6235" w:rsidP="00C24C2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114.7</w:t>
            </w:r>
          </w:p>
        </w:tc>
      </w:tr>
      <w:tr w:rsidR="007F5CE1" w:rsidRPr="00C82BC0" w14:paraId="50F605CA" w14:textId="77777777" w:rsidTr="00C73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CEF2A04" w14:textId="77777777" w:rsidR="006D6235" w:rsidRPr="00C82BC0" w:rsidRDefault="006D6235" w:rsidP="00C24C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Conductivity (mS/cm)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E2B8EB4" w14:textId="77777777" w:rsidR="006D6235" w:rsidRPr="00C82BC0" w:rsidRDefault="006D6235" w:rsidP="00C24C27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18.6</w:t>
            </w:r>
          </w:p>
        </w:tc>
        <w:tc>
          <w:tcPr>
            <w:tcW w:w="255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80E7285" w14:textId="77777777" w:rsidR="006D6235" w:rsidRPr="00C82BC0" w:rsidRDefault="006D6235" w:rsidP="00C24C27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15.8</w:t>
            </w: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D4C3E11" w14:textId="77777777" w:rsidR="006D6235" w:rsidRPr="00C82BC0" w:rsidRDefault="006D6235" w:rsidP="00C24C27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14.7</w:t>
            </w:r>
          </w:p>
        </w:tc>
      </w:tr>
      <w:tr w:rsidR="007F5CE1" w:rsidRPr="00C82BC0" w14:paraId="227C4C87" w14:textId="77777777" w:rsidTr="00C737F6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948FAA4" w14:textId="77777777" w:rsidR="006D6235" w:rsidRPr="00C82BC0" w:rsidRDefault="006D6235" w:rsidP="00C24C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TDS (mg/L)</w:t>
            </w:r>
          </w:p>
        </w:tc>
        <w:tc>
          <w:tcPr>
            <w:tcW w:w="118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FC41A67" w14:textId="77777777" w:rsidR="006D6235" w:rsidRPr="00C82BC0" w:rsidRDefault="006D6235" w:rsidP="00C24C2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12,313</w:t>
            </w:r>
          </w:p>
        </w:tc>
        <w:tc>
          <w:tcPr>
            <w:tcW w:w="2556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135BD6E" w14:textId="77777777" w:rsidR="006D6235" w:rsidRPr="00C82BC0" w:rsidRDefault="006D6235" w:rsidP="00C24C27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10,580</w:t>
            </w:r>
          </w:p>
        </w:tc>
        <w:tc>
          <w:tcPr>
            <w:tcW w:w="255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75B100E5" w14:textId="77777777" w:rsidR="006D6235" w:rsidRPr="00C82BC0" w:rsidRDefault="006D6235" w:rsidP="00C24C27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10,150</w:t>
            </w:r>
          </w:p>
        </w:tc>
      </w:tr>
      <w:tr w:rsidR="007F5CE1" w:rsidRPr="00C82BC0" w14:paraId="392A2D54" w14:textId="77777777" w:rsidTr="00C73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159089EC" w14:textId="77777777" w:rsidR="006D6235" w:rsidRPr="00C82BC0" w:rsidRDefault="006D6235" w:rsidP="00C24C2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pH</w:t>
            </w:r>
          </w:p>
        </w:tc>
        <w:tc>
          <w:tcPr>
            <w:tcW w:w="1186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6507E305" w14:textId="77777777" w:rsidR="006D6235" w:rsidRPr="00C82BC0" w:rsidRDefault="006D6235" w:rsidP="00C24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6.32</w:t>
            </w:r>
          </w:p>
        </w:tc>
        <w:tc>
          <w:tcPr>
            <w:tcW w:w="2556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7A9D312C" w14:textId="77777777" w:rsidR="006D6235" w:rsidRPr="00C82BC0" w:rsidRDefault="006D6235" w:rsidP="00C24C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6.44</w:t>
            </w:r>
          </w:p>
        </w:tc>
        <w:tc>
          <w:tcPr>
            <w:tcW w:w="2557" w:type="dxa"/>
            <w:tcBorders>
              <w:top w:val="nil"/>
              <w:bottom w:val="single" w:sz="8" w:space="0" w:color="000000" w:themeColor="text1"/>
            </w:tcBorders>
            <w:shd w:val="clear" w:color="auto" w:fill="auto"/>
            <w:noWrap/>
            <w:hideMark/>
          </w:tcPr>
          <w:p w14:paraId="7B745693" w14:textId="77777777" w:rsidR="006D6235" w:rsidRPr="00C82BC0" w:rsidRDefault="006D6235" w:rsidP="00C24C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BC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6.51</w:t>
            </w:r>
          </w:p>
        </w:tc>
      </w:tr>
    </w:tbl>
    <w:p w14:paraId="2219C6F6" w14:textId="77777777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D6235" w:rsidRPr="00C82BC0" w:rsidSect="00C82B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F27DDE" w14:textId="7A680546" w:rsidR="006D6235" w:rsidRPr="00C82BC0" w:rsidRDefault="00E82E09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  <w:sectPr w:rsidR="006D6235" w:rsidRPr="00C82BC0" w:rsidSect="00C82B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82BC0">
        <w:rPr>
          <w:rFonts w:ascii="Times New Roman" w:hAnsi="Times New Roman" w:cs="Times New Roman"/>
          <w:sz w:val="24"/>
          <w:szCs w:val="24"/>
        </w:rPr>
        <w:t>The u</w:t>
      </w:r>
      <w:r w:rsidR="006D6235" w:rsidRPr="00C82BC0">
        <w:rPr>
          <w:rFonts w:ascii="Times New Roman" w:hAnsi="Times New Roman" w:cs="Times New Roman"/>
          <w:sz w:val="24"/>
          <w:szCs w:val="24"/>
        </w:rPr>
        <w:t>ntreated produced water</w:t>
      </w:r>
      <w:r w:rsidR="00437D49" w:rsidRPr="00C82BC0">
        <w:rPr>
          <w:rFonts w:ascii="Times New Roman" w:hAnsi="Times New Roman" w:cs="Times New Roman"/>
          <w:sz w:val="24"/>
          <w:szCs w:val="24"/>
        </w:rPr>
        <w:t xml:space="preserve"> samples namely; </w:t>
      </w:r>
      <w:r w:rsidR="006D6235" w:rsidRPr="00C82BC0">
        <w:rPr>
          <w:rFonts w:ascii="Times New Roman" w:hAnsi="Times New Roman" w:cs="Times New Roman"/>
          <w:sz w:val="24"/>
          <w:szCs w:val="24"/>
        </w:rPr>
        <w:t>C</w:t>
      </w:r>
      <w:r w:rsidR="00C51C4E" w:rsidRPr="00C82BC0">
        <w:rPr>
          <w:rFonts w:ascii="Times New Roman" w:hAnsi="Times New Roman" w:cs="Times New Roman"/>
          <w:sz w:val="24"/>
          <w:szCs w:val="24"/>
        </w:rPr>
        <w:t>7</w:t>
      </w:r>
      <w:r w:rsidR="006D6235" w:rsidRPr="00C82BC0">
        <w:rPr>
          <w:rFonts w:ascii="Times New Roman" w:hAnsi="Times New Roman" w:cs="Times New Roman"/>
          <w:sz w:val="24"/>
          <w:szCs w:val="24"/>
        </w:rPr>
        <w:t>T, A</w:t>
      </w:r>
      <w:r w:rsidR="00C51C4E" w:rsidRPr="00C82BC0">
        <w:rPr>
          <w:rFonts w:ascii="Times New Roman" w:hAnsi="Times New Roman" w:cs="Times New Roman"/>
          <w:sz w:val="24"/>
          <w:szCs w:val="24"/>
        </w:rPr>
        <w:t>X</w:t>
      </w:r>
      <w:r w:rsidR="006D6235" w:rsidRPr="00C82BC0">
        <w:rPr>
          <w:rFonts w:ascii="Times New Roman" w:hAnsi="Times New Roman" w:cs="Times New Roman"/>
          <w:sz w:val="24"/>
          <w:szCs w:val="24"/>
        </w:rPr>
        <w:t>-ST 1, and A</w:t>
      </w:r>
      <w:r w:rsidR="00C51C4E" w:rsidRPr="00C82BC0">
        <w:rPr>
          <w:rFonts w:ascii="Times New Roman" w:hAnsi="Times New Roman" w:cs="Times New Roman"/>
          <w:sz w:val="24"/>
          <w:szCs w:val="24"/>
        </w:rPr>
        <w:t>X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-ST 2 </w:t>
      </w:r>
      <w:r w:rsidRPr="00C82BC0">
        <w:rPr>
          <w:rFonts w:ascii="Times New Roman" w:hAnsi="Times New Roman" w:cs="Times New Roman"/>
          <w:sz w:val="24"/>
          <w:szCs w:val="24"/>
        </w:rPr>
        <w:t xml:space="preserve">were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analysed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for TPH, TDS, Conductivity &amp; pH parameters. Sample </w:t>
      </w:r>
      <w:r w:rsidR="006D6235" w:rsidRPr="00C82BC0">
        <w:rPr>
          <w:rFonts w:ascii="Times New Roman" w:hAnsi="Times New Roman" w:cs="Times New Roman"/>
          <w:sz w:val="24"/>
          <w:szCs w:val="24"/>
        </w:rPr>
        <w:t>C7T</w:t>
      </w:r>
      <w:r w:rsidR="00C737F6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6D6235" w:rsidRPr="00C82BC0">
        <w:rPr>
          <w:rFonts w:ascii="Times New Roman" w:hAnsi="Times New Roman" w:cs="Times New Roman"/>
          <w:sz w:val="24"/>
          <w:szCs w:val="24"/>
        </w:rPr>
        <w:t>had the highest</w:t>
      </w:r>
      <w:r w:rsidR="00C737F6" w:rsidRPr="00C82BC0">
        <w:rPr>
          <w:rFonts w:ascii="Times New Roman" w:hAnsi="Times New Roman" w:cs="Times New Roman"/>
          <w:sz w:val="24"/>
          <w:szCs w:val="24"/>
        </w:rPr>
        <w:t xml:space="preserve"> levels of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T</w:t>
      </w:r>
      <w:r w:rsidRPr="00C82BC0">
        <w:rPr>
          <w:rFonts w:ascii="Times New Roman" w:hAnsi="Times New Roman" w:cs="Times New Roman"/>
          <w:sz w:val="24"/>
          <w:szCs w:val="24"/>
        </w:rPr>
        <w:t>PH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(135.1 mg/L)</w:t>
      </w:r>
      <w:r w:rsidR="00C737F6" w:rsidRPr="00C82BC0">
        <w:rPr>
          <w:rFonts w:ascii="Times New Roman" w:hAnsi="Times New Roman" w:cs="Times New Roman"/>
          <w:sz w:val="24"/>
          <w:szCs w:val="24"/>
        </w:rPr>
        <w:t>,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Conductivity (18.6 mS/cm), and T</w:t>
      </w:r>
      <w:r w:rsidRPr="00C82BC0">
        <w:rPr>
          <w:rFonts w:ascii="Times New Roman" w:hAnsi="Times New Roman" w:cs="Times New Roman"/>
          <w:sz w:val="24"/>
          <w:szCs w:val="24"/>
        </w:rPr>
        <w:t>DS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(12,313 mg/L), indicating significant pollution. </w:t>
      </w:r>
      <w:r w:rsidR="00C737F6" w:rsidRPr="00C82BC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D6235" w:rsidRPr="00C82BC0">
        <w:rPr>
          <w:rFonts w:ascii="Times New Roman" w:hAnsi="Times New Roman" w:cs="Times New Roman"/>
          <w:sz w:val="24"/>
          <w:szCs w:val="24"/>
        </w:rPr>
        <w:t>The pH</w:t>
      </w:r>
      <w:r w:rsidR="00C737F6" w:rsidRPr="00C82BC0">
        <w:rPr>
          <w:rFonts w:ascii="Times New Roman" w:hAnsi="Times New Roman" w:cs="Times New Roman"/>
          <w:sz w:val="24"/>
          <w:szCs w:val="24"/>
        </w:rPr>
        <w:t xml:space="preserve"> of the samples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7F6" w:rsidRPr="00C82BC0">
        <w:rPr>
          <w:rFonts w:ascii="Times New Roman" w:hAnsi="Times New Roman" w:cs="Times New Roman"/>
          <w:sz w:val="24"/>
          <w:szCs w:val="24"/>
        </w:rPr>
        <w:t>vary</w:t>
      </w:r>
      <w:proofErr w:type="gramEnd"/>
      <w:r w:rsidR="006D6235" w:rsidRPr="00C82BC0">
        <w:rPr>
          <w:rFonts w:ascii="Times New Roman" w:hAnsi="Times New Roman" w:cs="Times New Roman"/>
          <w:sz w:val="24"/>
          <w:szCs w:val="24"/>
        </w:rPr>
        <w:t xml:space="preserve"> from 6.</w:t>
      </w:r>
      <w:r w:rsidR="00922B61" w:rsidRPr="00C82BC0">
        <w:rPr>
          <w:rFonts w:ascii="Times New Roman" w:hAnsi="Times New Roman" w:cs="Times New Roman"/>
          <w:sz w:val="24"/>
          <w:szCs w:val="24"/>
        </w:rPr>
        <w:t xml:space="preserve">32 </w:t>
      </w:r>
      <w:r w:rsidR="006D6235" w:rsidRPr="00C82BC0">
        <w:rPr>
          <w:rFonts w:ascii="Times New Roman" w:hAnsi="Times New Roman" w:cs="Times New Roman"/>
          <w:sz w:val="24"/>
          <w:szCs w:val="24"/>
        </w:rPr>
        <w:t>to 6.5</w:t>
      </w:r>
      <w:r w:rsidR="00922B61" w:rsidRPr="00C82BC0">
        <w:rPr>
          <w:rFonts w:ascii="Times New Roman" w:hAnsi="Times New Roman" w:cs="Times New Roman"/>
          <w:sz w:val="24"/>
          <w:szCs w:val="24"/>
        </w:rPr>
        <w:t>1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, suggesting slightly acidic conditions. Overall, the </w:t>
      </w:r>
      <w:r w:rsidR="00C737F6" w:rsidRPr="00C82BC0">
        <w:rPr>
          <w:rFonts w:ascii="Times New Roman" w:hAnsi="Times New Roman" w:cs="Times New Roman"/>
          <w:sz w:val="24"/>
          <w:szCs w:val="24"/>
        </w:rPr>
        <w:t xml:space="preserve">results of the untreated samples </w:t>
      </w:r>
      <w:r w:rsidR="00D66972" w:rsidRPr="00C82BC0">
        <w:rPr>
          <w:rFonts w:ascii="Times New Roman" w:hAnsi="Times New Roman" w:cs="Times New Roman"/>
          <w:sz w:val="24"/>
          <w:szCs w:val="24"/>
        </w:rPr>
        <w:t>suggest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C737F6" w:rsidRPr="00C82BC0">
        <w:rPr>
          <w:rFonts w:ascii="Times New Roman" w:hAnsi="Times New Roman" w:cs="Times New Roman"/>
          <w:sz w:val="24"/>
          <w:szCs w:val="24"/>
        </w:rPr>
        <w:t xml:space="preserve">are above the permissible limits </w:t>
      </w:r>
      <w:r w:rsidR="00D66972" w:rsidRPr="00C82BC0">
        <w:rPr>
          <w:rFonts w:ascii="Times New Roman" w:hAnsi="Times New Roman" w:cs="Times New Roman"/>
          <w:sz w:val="24"/>
          <w:szCs w:val="24"/>
        </w:rPr>
        <w:t xml:space="preserve">Hence, 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the need for treatment </w:t>
      </w:r>
      <w:r w:rsidR="00922B61" w:rsidRPr="00C82BC0">
        <w:rPr>
          <w:rFonts w:ascii="Times New Roman" w:hAnsi="Times New Roman" w:cs="Times New Roman"/>
          <w:sz w:val="24"/>
          <w:szCs w:val="24"/>
        </w:rPr>
        <w:t>to mi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tigate </w:t>
      </w:r>
      <w:r w:rsidR="00922B61" w:rsidRPr="00C82BC0">
        <w:rPr>
          <w:rFonts w:ascii="Times New Roman" w:hAnsi="Times New Roman" w:cs="Times New Roman"/>
          <w:sz w:val="24"/>
          <w:szCs w:val="24"/>
        </w:rPr>
        <w:t xml:space="preserve">against </w:t>
      </w:r>
      <w:r w:rsidR="006D6235" w:rsidRPr="00C82BC0">
        <w:rPr>
          <w:rFonts w:ascii="Times New Roman" w:hAnsi="Times New Roman" w:cs="Times New Roman"/>
          <w:sz w:val="24"/>
          <w:szCs w:val="24"/>
        </w:rPr>
        <w:t>hydrocarbon and dissolved solids pollutio</w:t>
      </w:r>
      <w:r w:rsidR="00922B61" w:rsidRPr="00C82BC0">
        <w:rPr>
          <w:rFonts w:ascii="Times New Roman" w:hAnsi="Times New Roman" w:cs="Times New Roman"/>
          <w:sz w:val="24"/>
          <w:szCs w:val="24"/>
        </w:rPr>
        <w:t>n of the environment.</w:t>
      </w:r>
    </w:p>
    <w:p w14:paraId="5ED397D2" w14:textId="77777777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2E219E56" wp14:editId="5AC40ACE">
            <wp:simplePos x="0" y="0"/>
            <wp:positionH relativeFrom="column">
              <wp:posOffset>6210300</wp:posOffset>
            </wp:positionH>
            <wp:positionV relativeFrom="paragraph">
              <wp:posOffset>1933575</wp:posOffset>
            </wp:positionV>
            <wp:extent cx="635" cy="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2B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DDF5834" wp14:editId="6C4794C9">
            <wp:simplePos x="0" y="0"/>
            <wp:positionH relativeFrom="column">
              <wp:posOffset>2565400</wp:posOffset>
            </wp:positionH>
            <wp:positionV relativeFrom="paragraph">
              <wp:posOffset>2340610</wp:posOffset>
            </wp:positionV>
            <wp:extent cx="8890" cy="11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k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49A" w:rsidRPr="00C82BC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6249A" w:rsidRPr="00C82B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23D151" wp14:editId="2621D24A">
            <wp:extent cx="6038850" cy="2159984"/>
            <wp:effectExtent l="0" t="0" r="0" b="12065"/>
            <wp:docPr id="2689133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6743BE3" w14:textId="48BD05AF" w:rsidR="000A6648" w:rsidRPr="00C82BC0" w:rsidRDefault="006D6235" w:rsidP="0009634C">
      <w:pPr>
        <w:tabs>
          <w:tab w:val="left" w:pos="4680"/>
        </w:tabs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Fig. </w:t>
      </w:r>
      <w:r w:rsidR="0009634C">
        <w:rPr>
          <w:rFonts w:ascii="Times New Roman" w:hAnsi="Times New Roman" w:cs="Times New Roman"/>
          <w:sz w:val="24"/>
          <w:szCs w:val="24"/>
        </w:rPr>
        <w:t>2</w:t>
      </w:r>
      <w:r w:rsidRPr="00C82BC0">
        <w:rPr>
          <w:rFonts w:ascii="Times New Roman" w:hAnsi="Times New Roman" w:cs="Times New Roman"/>
          <w:sz w:val="24"/>
          <w:szCs w:val="24"/>
        </w:rPr>
        <w:t>:</w:t>
      </w:r>
      <w:r w:rsidR="00C6249A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922B61" w:rsidRPr="00C82BC0">
        <w:rPr>
          <w:rFonts w:ascii="Times New Roman" w:hAnsi="Times New Roman" w:cs="Times New Roman"/>
          <w:sz w:val="24"/>
          <w:szCs w:val="24"/>
        </w:rPr>
        <w:t xml:space="preserve">TPH </w:t>
      </w:r>
      <w:r w:rsidR="00C6249A" w:rsidRPr="00C82BC0">
        <w:rPr>
          <w:rFonts w:ascii="Times New Roman" w:hAnsi="Times New Roman" w:cs="Times New Roman"/>
          <w:sz w:val="24"/>
          <w:szCs w:val="24"/>
        </w:rPr>
        <w:t>of</w:t>
      </w:r>
      <w:r w:rsidR="00E3084F" w:rsidRPr="00C82BC0">
        <w:rPr>
          <w:rFonts w:ascii="Times New Roman" w:hAnsi="Times New Roman" w:cs="Times New Roman"/>
          <w:sz w:val="24"/>
          <w:szCs w:val="24"/>
        </w:rPr>
        <w:t xml:space="preserve"> UPW &amp; TPW</w:t>
      </w:r>
      <w:r w:rsidR="00C6249A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B52E02" w:rsidRPr="00C82BC0">
        <w:rPr>
          <w:rFonts w:ascii="Times New Roman" w:hAnsi="Times New Roman" w:cs="Times New Roman"/>
          <w:sz w:val="24"/>
          <w:szCs w:val="24"/>
        </w:rPr>
        <w:t xml:space="preserve">vs </w:t>
      </w:r>
      <w:r w:rsidR="00C6249A" w:rsidRPr="00C82BC0">
        <w:rPr>
          <w:rFonts w:ascii="Times New Roman" w:hAnsi="Times New Roman" w:cs="Times New Roman"/>
          <w:sz w:val="24"/>
          <w:szCs w:val="24"/>
        </w:rPr>
        <w:t>Contact time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922B61" w:rsidRPr="00C82BC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B09C286" w14:textId="77777777" w:rsidR="000C21F2" w:rsidRPr="00C82BC0" w:rsidRDefault="000C21F2" w:rsidP="00922B61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3E5F65D7" w14:textId="753E6462" w:rsidR="009530EA" w:rsidRPr="00C82BC0" w:rsidRDefault="009530EA" w:rsidP="00922B61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9DF1E5" wp14:editId="1C585DA7">
            <wp:extent cx="6026227" cy="2357120"/>
            <wp:effectExtent l="0" t="0" r="12700" b="5080"/>
            <wp:docPr id="11760794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2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2EC52455" w14:textId="27E48309" w:rsidR="009530EA" w:rsidRPr="00C82BC0" w:rsidRDefault="009530EA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Fig. </w:t>
      </w:r>
      <w:r w:rsidR="0009634C">
        <w:rPr>
          <w:rFonts w:ascii="Times New Roman" w:hAnsi="Times New Roman" w:cs="Times New Roman"/>
          <w:sz w:val="24"/>
          <w:szCs w:val="24"/>
        </w:rPr>
        <w:t>3</w:t>
      </w:r>
      <w:r w:rsidRPr="00C82BC0">
        <w:rPr>
          <w:rFonts w:ascii="Times New Roman" w:hAnsi="Times New Roman" w:cs="Times New Roman"/>
          <w:sz w:val="24"/>
          <w:szCs w:val="24"/>
        </w:rPr>
        <w:t xml:space="preserve">: TDS </w:t>
      </w:r>
      <w:r w:rsidR="00E3084F" w:rsidRPr="00C82BC0">
        <w:rPr>
          <w:rFonts w:ascii="Times New Roman" w:hAnsi="Times New Roman" w:cs="Times New Roman"/>
          <w:sz w:val="24"/>
          <w:szCs w:val="24"/>
        </w:rPr>
        <w:t>UPW &amp; TPW</w:t>
      </w:r>
      <w:r w:rsidRPr="00C82BC0">
        <w:rPr>
          <w:rFonts w:ascii="Times New Roman" w:hAnsi="Times New Roman" w:cs="Times New Roman"/>
          <w:sz w:val="24"/>
          <w:szCs w:val="24"/>
        </w:rPr>
        <w:t xml:space="preserve"> vs Contact time     </w:t>
      </w:r>
    </w:p>
    <w:p w14:paraId="3186BDE0" w14:textId="77777777" w:rsidR="000F3705" w:rsidRPr="00C82BC0" w:rsidRDefault="000F3705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1E6894EC" w14:textId="77777777" w:rsidR="00E3084F" w:rsidRDefault="00E3084F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0B549000" w14:textId="77777777" w:rsidR="000944A7" w:rsidRDefault="000944A7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17677573" w14:textId="77777777" w:rsidR="000944A7" w:rsidRDefault="000944A7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73AA582B" w14:textId="77777777" w:rsidR="000944A7" w:rsidRPr="00C82BC0" w:rsidRDefault="000944A7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1FE1653F" w14:textId="77777777" w:rsidR="00E3084F" w:rsidRDefault="00E3084F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33A9B721" w14:textId="406CD6BE" w:rsidR="000944A7" w:rsidRPr="00C82BC0" w:rsidRDefault="000944A7" w:rsidP="000944A7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lastRenderedPageBreak/>
        <w:t xml:space="preserve">Table. </w:t>
      </w:r>
      <w:r w:rsidR="0009634C">
        <w:rPr>
          <w:rFonts w:ascii="Times New Roman" w:hAnsi="Times New Roman" w:cs="Times New Roman"/>
          <w:sz w:val="24"/>
          <w:szCs w:val="24"/>
        </w:rPr>
        <w:t>4</w:t>
      </w:r>
      <w:r w:rsidRPr="00C82BC0">
        <w:rPr>
          <w:rFonts w:ascii="Times New Roman" w:hAnsi="Times New Roman" w:cs="Times New Roman"/>
          <w:sz w:val="24"/>
          <w:szCs w:val="24"/>
        </w:rPr>
        <w:t xml:space="preserve">: Removal Efficiency versus Contact time    </w:t>
      </w:r>
    </w:p>
    <w:p w14:paraId="7532A9D1" w14:textId="77777777" w:rsidR="000944A7" w:rsidRPr="00C82BC0" w:rsidRDefault="000944A7" w:rsidP="009530EA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Look w:val="04A0" w:firstRow="1" w:lastRow="0" w:firstColumn="1" w:lastColumn="0" w:noHBand="0" w:noVBand="1"/>
      </w:tblPr>
      <w:tblGrid>
        <w:gridCol w:w="1735"/>
        <w:gridCol w:w="1281"/>
        <w:gridCol w:w="1281"/>
        <w:gridCol w:w="1281"/>
        <w:gridCol w:w="1281"/>
        <w:gridCol w:w="1283"/>
        <w:gridCol w:w="1281"/>
      </w:tblGrid>
      <w:tr w:rsidR="007F5CE1" w:rsidRPr="00C82BC0" w14:paraId="6B38A375" w14:textId="77777777" w:rsidTr="000C21F2">
        <w:trPr>
          <w:trHeight w:val="328"/>
        </w:trPr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5234B" w14:textId="77777777" w:rsidR="000C21F2" w:rsidRPr="00C82BC0" w:rsidRDefault="000C21F2" w:rsidP="000C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8D54D" w14:textId="219A95BA" w:rsidR="000C21F2" w:rsidRPr="00C82BC0" w:rsidRDefault="000C21F2" w:rsidP="000C2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Removal Efficiency</w:t>
            </w:r>
            <w:r w:rsidR="002636D1" w:rsidRPr="00C8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  <w:r w:rsidRPr="00C8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vs Contact Time</w:t>
            </w:r>
          </w:p>
          <w:p w14:paraId="0F07CD30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77537" w14:textId="77777777" w:rsidR="000C21F2" w:rsidRPr="00C82BC0" w:rsidRDefault="000C21F2" w:rsidP="000C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5CE1" w:rsidRPr="00C82BC0" w14:paraId="78B72E05" w14:textId="77777777" w:rsidTr="009530EA">
        <w:trPr>
          <w:trHeight w:val="328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AF98" w14:textId="77777777" w:rsidR="000C21F2" w:rsidRPr="00C82BC0" w:rsidRDefault="000C21F2" w:rsidP="000C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503C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C7T 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C492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AZ-ST 1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E669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AZ-ST 2     </w:t>
            </w:r>
          </w:p>
        </w:tc>
      </w:tr>
      <w:tr w:rsidR="007F5CE1" w:rsidRPr="00C82BC0" w14:paraId="1866E8C9" w14:textId="77777777" w:rsidTr="009530EA">
        <w:trPr>
          <w:trHeight w:val="328"/>
        </w:trPr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CF0BD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Contact Time</w:t>
            </w:r>
          </w:p>
          <w:p w14:paraId="266D7AE4" w14:textId="103D2BCE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(Min)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04715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TPH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3CAB1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TDS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3CEE0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TPH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5AD6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TDS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DC080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TPH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EB29C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TDS</w:t>
            </w:r>
          </w:p>
        </w:tc>
      </w:tr>
      <w:tr w:rsidR="007F5CE1" w:rsidRPr="00C82BC0" w14:paraId="52C92D49" w14:textId="77777777" w:rsidTr="009530EA">
        <w:trPr>
          <w:trHeight w:val="328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1FE4" w14:textId="276F2180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4280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E5B7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86AF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48.4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9BF3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91D8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D9C6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29.6</w:t>
            </w:r>
          </w:p>
        </w:tc>
      </w:tr>
      <w:tr w:rsidR="007F5CE1" w:rsidRPr="00C82BC0" w14:paraId="0880F2C8" w14:textId="77777777" w:rsidTr="009530EA">
        <w:trPr>
          <w:trHeight w:val="328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37BE" w14:textId="63214613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EEB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BE5D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46.5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038D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B052C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57BB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6665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52.3</w:t>
            </w:r>
          </w:p>
        </w:tc>
      </w:tr>
      <w:tr w:rsidR="000C21F2" w:rsidRPr="00C82BC0" w14:paraId="1E54960C" w14:textId="77777777" w:rsidTr="009530EA">
        <w:trPr>
          <w:trHeight w:val="328"/>
        </w:trPr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E9E13" w14:textId="468A0B8A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331A51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55FFB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FEFC3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5DBB93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79.1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F19E90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88.1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CE1EF" w14:textId="77777777" w:rsidR="000C21F2" w:rsidRPr="00C82BC0" w:rsidRDefault="000C21F2" w:rsidP="000C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BC0">
              <w:rPr>
                <w:rFonts w:ascii="Times New Roman" w:eastAsia="Times New Roman" w:hAnsi="Times New Roman" w:cs="Times New Roman"/>
                <w:sz w:val="24"/>
                <w:szCs w:val="24"/>
              </w:rPr>
              <w:t>79.7</w:t>
            </w:r>
          </w:p>
        </w:tc>
      </w:tr>
    </w:tbl>
    <w:p w14:paraId="33F2E326" w14:textId="77777777" w:rsidR="000C21F2" w:rsidRPr="00C82BC0" w:rsidRDefault="000C21F2" w:rsidP="00B52E02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70667BC3" w14:textId="77777777" w:rsidR="00B52E02" w:rsidRPr="00C82BC0" w:rsidRDefault="00B52E02" w:rsidP="00922B61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6A6CE6B" w14:textId="77777777" w:rsidR="00B52E02" w:rsidRPr="00C82BC0" w:rsidRDefault="00B52E02" w:rsidP="00922B61">
      <w:pPr>
        <w:spacing w:after="0" w:line="48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</w:rPr>
        <w:sectPr w:rsidR="00B52E02" w:rsidRPr="00C82BC0" w:rsidSect="00C82BC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77EE5A" w14:textId="0748BDA3" w:rsidR="000F3705" w:rsidRPr="00C82BC0" w:rsidRDefault="004C7983" w:rsidP="004C7983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The TPH levels </w:t>
      </w:r>
      <w:r w:rsidR="00E3084F" w:rsidRPr="00C82BC0">
        <w:rPr>
          <w:rFonts w:ascii="Times New Roman" w:hAnsi="Times New Roman" w:cs="Times New Roman"/>
          <w:sz w:val="24"/>
          <w:szCs w:val="24"/>
        </w:rPr>
        <w:t xml:space="preserve">at contact time of </w:t>
      </w:r>
      <w:r w:rsidRPr="00C82BC0">
        <w:rPr>
          <w:rFonts w:ascii="Times New Roman" w:hAnsi="Times New Roman" w:cs="Times New Roman"/>
          <w:sz w:val="24"/>
          <w:szCs w:val="24"/>
        </w:rPr>
        <w:t>30</w:t>
      </w:r>
      <w:r w:rsidR="00E3084F" w:rsidRPr="00C82BC0">
        <w:rPr>
          <w:rFonts w:ascii="Times New Roman" w:hAnsi="Times New Roman" w:cs="Times New Roman"/>
          <w:sz w:val="24"/>
          <w:szCs w:val="24"/>
        </w:rPr>
        <w:t xml:space="preserve">, 60 &amp; 90 </w:t>
      </w:r>
      <w:r w:rsidRPr="00C82BC0">
        <w:rPr>
          <w:rFonts w:ascii="Times New Roman" w:hAnsi="Times New Roman" w:cs="Times New Roman"/>
          <w:sz w:val="24"/>
          <w:szCs w:val="24"/>
        </w:rPr>
        <w:t xml:space="preserve">minutes </w:t>
      </w:r>
      <w:r w:rsidR="002636D1" w:rsidRPr="00C82BC0">
        <w:rPr>
          <w:rFonts w:ascii="Times New Roman" w:hAnsi="Times New Roman" w:cs="Times New Roman"/>
          <w:sz w:val="24"/>
          <w:szCs w:val="24"/>
        </w:rPr>
        <w:t xml:space="preserve">of </w:t>
      </w:r>
      <w:r w:rsidR="00E3084F" w:rsidRPr="00C82BC0">
        <w:rPr>
          <w:rFonts w:ascii="Times New Roman" w:hAnsi="Times New Roman" w:cs="Times New Roman"/>
          <w:sz w:val="24"/>
          <w:szCs w:val="24"/>
        </w:rPr>
        <w:t>the filtrates gradually decreased significantly</w:t>
      </w:r>
      <w:r w:rsidR="002636D1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 xml:space="preserve">across all </w:t>
      </w:r>
      <w:r w:rsidR="002636D1" w:rsidRPr="00C82BC0">
        <w:rPr>
          <w:rFonts w:ascii="Times New Roman" w:hAnsi="Times New Roman" w:cs="Times New Roman"/>
          <w:sz w:val="24"/>
          <w:szCs w:val="24"/>
        </w:rPr>
        <w:t>3 set-ups</w:t>
      </w:r>
      <w:r w:rsidRPr="00C82BC0">
        <w:rPr>
          <w:rFonts w:ascii="Times New Roman" w:hAnsi="Times New Roman" w:cs="Times New Roman"/>
          <w:sz w:val="24"/>
          <w:szCs w:val="24"/>
        </w:rPr>
        <w:t xml:space="preserve">. </w:t>
      </w:r>
      <w:r w:rsidR="002636D1" w:rsidRPr="00C82BC0">
        <w:rPr>
          <w:rFonts w:ascii="Times New Roman" w:hAnsi="Times New Roman" w:cs="Times New Roman"/>
          <w:sz w:val="24"/>
          <w:szCs w:val="24"/>
        </w:rPr>
        <w:t xml:space="preserve">At </w:t>
      </w:r>
      <w:r w:rsidRPr="00C82BC0">
        <w:rPr>
          <w:rFonts w:ascii="Times New Roman" w:hAnsi="Times New Roman" w:cs="Times New Roman"/>
          <w:sz w:val="24"/>
          <w:szCs w:val="24"/>
        </w:rPr>
        <w:t xml:space="preserve">30 minutes, C7T reduced to 94.0 mg/L (30.4%), AZ-ST 1 to 66.1 mg/L (48.4%), and AZ-ST 2 to 59.9 mg/L (47.8%). At 60 minutes, C7T further declines to 68.5 </w:t>
      </w:r>
    </w:p>
    <w:p w14:paraId="21EDA265" w14:textId="36A89499" w:rsidR="004C7983" w:rsidRPr="00C82BC0" w:rsidRDefault="004C7983" w:rsidP="004C7983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mg/L (49.3%), AZ-ST 1 to 48.7 mg/L (62%), and AZ-ST 2 to 41.4 mg/L (63.9%). At 90 minutes,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Pr="00C82BC0">
        <w:rPr>
          <w:rFonts w:ascii="Times New Roman" w:hAnsi="Times New Roman" w:cs="Times New Roman"/>
          <w:sz w:val="24"/>
          <w:szCs w:val="24"/>
        </w:rPr>
        <w:t>C7T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 further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declines to </w:t>
      </w:r>
      <w:r w:rsidRPr="00C82BC0">
        <w:rPr>
          <w:rFonts w:ascii="Times New Roman" w:hAnsi="Times New Roman" w:cs="Times New Roman"/>
          <w:sz w:val="24"/>
          <w:szCs w:val="24"/>
        </w:rPr>
        <w:t>36.4 mg/L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 with </w:t>
      </w:r>
      <w:r w:rsidR="002636D1" w:rsidRPr="00C82BC0">
        <w:rPr>
          <w:rFonts w:ascii="Times New Roman" w:hAnsi="Times New Roman" w:cs="Times New Roman"/>
          <w:sz w:val="24"/>
          <w:szCs w:val="24"/>
        </w:rPr>
        <w:t>overall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 removal efficiency of 73%</w:t>
      </w:r>
      <w:r w:rsidR="002636D1" w:rsidRPr="00C82BC0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r w:rsidR="002636D1" w:rsidRPr="00C82BC0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C82BC0">
        <w:rPr>
          <w:rFonts w:ascii="Times New Roman" w:hAnsi="Times New Roman" w:cs="Times New Roman"/>
          <w:sz w:val="24"/>
          <w:szCs w:val="24"/>
        </w:rPr>
        <w:t>AZ-ST 1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 declines to 25.9 mg/L (79.8%)</w:t>
      </w:r>
      <w:r w:rsidRPr="00C82BC0">
        <w:rPr>
          <w:rFonts w:ascii="Times New Roman" w:hAnsi="Times New Roman" w:cs="Times New Roman"/>
          <w:sz w:val="24"/>
          <w:szCs w:val="24"/>
        </w:rPr>
        <w:t xml:space="preserve"> and </w:t>
      </w:r>
      <w:r w:rsidR="00F04BA4" w:rsidRPr="00C82BC0">
        <w:rPr>
          <w:rFonts w:ascii="Times New Roman" w:hAnsi="Times New Roman" w:cs="Times New Roman"/>
          <w:sz w:val="24"/>
          <w:szCs w:val="24"/>
        </w:rPr>
        <w:t xml:space="preserve">AZ-ST2 to </w:t>
      </w:r>
      <w:r w:rsidRPr="00C82BC0">
        <w:rPr>
          <w:rFonts w:ascii="Times New Roman" w:hAnsi="Times New Roman" w:cs="Times New Roman"/>
          <w:sz w:val="24"/>
          <w:szCs w:val="24"/>
        </w:rPr>
        <w:t>13.6 mg/L (</w:t>
      </w:r>
      <w:r w:rsidR="00F04BA4" w:rsidRPr="00C82BC0">
        <w:rPr>
          <w:rFonts w:ascii="Times New Roman" w:hAnsi="Times New Roman" w:cs="Times New Roman"/>
          <w:sz w:val="24"/>
          <w:szCs w:val="24"/>
        </w:rPr>
        <w:t>88.1%</w:t>
      </w:r>
      <w:r w:rsidRPr="00C82BC0">
        <w:rPr>
          <w:rFonts w:ascii="Times New Roman" w:hAnsi="Times New Roman" w:cs="Times New Roman"/>
          <w:sz w:val="24"/>
          <w:szCs w:val="24"/>
        </w:rPr>
        <w:t>).</w:t>
      </w:r>
    </w:p>
    <w:p w14:paraId="6D5745C6" w14:textId="245FFE8D" w:rsidR="00F863DE" w:rsidRPr="00C82BC0" w:rsidRDefault="004C7983" w:rsidP="00651FA3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The highest reduction in TPH </w:t>
      </w:r>
      <w:r w:rsidR="002636D1" w:rsidRPr="00C82BC0">
        <w:rPr>
          <w:rFonts w:ascii="Times New Roman" w:hAnsi="Times New Roman" w:cs="Times New Roman"/>
          <w:sz w:val="24"/>
          <w:szCs w:val="24"/>
        </w:rPr>
        <w:t>was</w:t>
      </w:r>
      <w:r w:rsidRPr="00C82BC0">
        <w:rPr>
          <w:rFonts w:ascii="Times New Roman" w:hAnsi="Times New Roman" w:cs="Times New Roman"/>
          <w:sz w:val="24"/>
          <w:szCs w:val="24"/>
        </w:rPr>
        <w:t xml:space="preserve"> observed at AZ-ST2, which shows the steepest decline from 114.7 mg/L (UPW) to 13.6 mg/L (90 min). AZ-ST 1 followed similar trend, with TPH decreasing from 128.2 mg/L to 25.9 mg/L. This </w:t>
      </w:r>
      <w:r w:rsidR="002636D1" w:rsidRPr="00C82BC0">
        <w:rPr>
          <w:rFonts w:ascii="Times New Roman" w:hAnsi="Times New Roman" w:cs="Times New Roman"/>
          <w:sz w:val="24"/>
          <w:szCs w:val="24"/>
        </w:rPr>
        <w:t xml:space="preserve">explains the adsorptive potential of POS </w:t>
      </w:r>
      <w:r w:rsidR="00763D94" w:rsidRPr="00C82BC0">
        <w:rPr>
          <w:rFonts w:ascii="Times New Roman" w:hAnsi="Times New Roman" w:cs="Times New Roman"/>
          <w:sz w:val="24"/>
          <w:szCs w:val="24"/>
        </w:rPr>
        <w:t xml:space="preserve">which also </w:t>
      </w:r>
      <w:r w:rsidR="006D6235" w:rsidRPr="00C82BC0">
        <w:rPr>
          <w:rFonts w:ascii="Times New Roman" w:hAnsi="Times New Roman" w:cs="Times New Roman"/>
          <w:sz w:val="24"/>
          <w:szCs w:val="24"/>
        </w:rPr>
        <w:t xml:space="preserve">aligns with findings from several researchers who have explored various mechanisms for </w:t>
      </w:r>
      <w:r w:rsidR="00F863DE" w:rsidRPr="00C82BC0">
        <w:rPr>
          <w:rFonts w:ascii="Times New Roman" w:hAnsi="Times New Roman" w:cs="Times New Roman"/>
          <w:sz w:val="24"/>
          <w:szCs w:val="24"/>
        </w:rPr>
        <w:t>adsorption techniques</w:t>
      </w:r>
      <w:r w:rsidR="00651FA3" w:rsidRPr="00C82BC0">
        <w:rPr>
          <w:rFonts w:ascii="Times New Roman" w:hAnsi="Times New Roman" w:cs="Times New Roman"/>
          <w:sz w:val="24"/>
          <w:szCs w:val="24"/>
        </w:rPr>
        <w:t>.</w:t>
      </w:r>
    </w:p>
    <w:p w14:paraId="17482E43" w14:textId="1C4FDFD6" w:rsidR="000000F9" w:rsidRPr="00C82BC0" w:rsidRDefault="006D6235" w:rsidP="000000F9">
      <w:pPr>
        <w:pStyle w:val="NormalWeb"/>
        <w:spacing w:before="240" w:beforeAutospacing="0" w:after="0" w:afterAutospacing="0" w:line="480" w:lineRule="auto"/>
        <w:jc w:val="both"/>
      </w:pPr>
      <w:r w:rsidRPr="00C82BC0">
        <w:t xml:space="preserve">The </w:t>
      </w:r>
      <w:r w:rsidR="002636D1" w:rsidRPr="00C82BC0">
        <w:t xml:space="preserve">study also observed </w:t>
      </w:r>
      <w:r w:rsidRPr="00C82BC0">
        <w:t xml:space="preserve">a steady decline in </w:t>
      </w:r>
      <w:r w:rsidR="00303493" w:rsidRPr="00C82BC0">
        <w:t xml:space="preserve">TDS </w:t>
      </w:r>
      <w:r w:rsidRPr="00C82BC0">
        <w:t>levels</w:t>
      </w:r>
      <w:r w:rsidR="002636D1" w:rsidRPr="00C82BC0">
        <w:t xml:space="preserve"> within the 30min, 60min and 90min contact times which suggests </w:t>
      </w:r>
      <w:r w:rsidR="000F3705" w:rsidRPr="00C82BC0">
        <w:t xml:space="preserve">progressive </w:t>
      </w:r>
      <w:r w:rsidRPr="00C82BC0">
        <w:t xml:space="preserve">adsorption </w:t>
      </w:r>
      <w:r w:rsidR="00303493" w:rsidRPr="00C82BC0">
        <w:t xml:space="preserve">by the </w:t>
      </w:r>
      <w:r w:rsidR="00763D94" w:rsidRPr="00C82BC0">
        <w:t>POS</w:t>
      </w:r>
      <w:r w:rsidRPr="00C82BC0">
        <w:t xml:space="preserve">. </w:t>
      </w:r>
      <w:r w:rsidR="000000F9" w:rsidRPr="00C82BC0">
        <w:t>After 30 minutes</w:t>
      </w:r>
      <w:r w:rsidR="000F3705" w:rsidRPr="00C82BC0">
        <w:t>, t</w:t>
      </w:r>
      <w:r w:rsidR="000000F9" w:rsidRPr="00C82BC0">
        <w:t>he TDS values</w:t>
      </w:r>
      <w:r w:rsidR="00784AD7" w:rsidRPr="00C82BC0">
        <w:t xml:space="preserve"> for </w:t>
      </w:r>
      <w:r w:rsidR="00784AD7" w:rsidRPr="00C82BC0">
        <w:lastRenderedPageBreak/>
        <w:t>C7T, AX- ST 1, and AX- ST 2</w:t>
      </w:r>
      <w:r w:rsidR="000000F9" w:rsidRPr="00C82BC0">
        <w:t xml:space="preserve"> reduce</w:t>
      </w:r>
      <w:r w:rsidR="000F3705" w:rsidRPr="00C82BC0">
        <w:t>d</w:t>
      </w:r>
      <w:r w:rsidR="000000F9" w:rsidRPr="00C82BC0">
        <w:t xml:space="preserve"> to 9,325 mg/L, 8,118 mg/L, and 7,148 mg/L respectively. After 60 minutes</w:t>
      </w:r>
      <w:r w:rsidR="00784AD7" w:rsidRPr="00C82BC0">
        <w:t>,</w:t>
      </w:r>
      <w:r w:rsidR="000000F9" w:rsidRPr="00C82BC0">
        <w:t xml:space="preserve"> TDS levels further decrease</w:t>
      </w:r>
      <w:r w:rsidR="00784AD7" w:rsidRPr="00C82BC0">
        <w:t>d</w:t>
      </w:r>
      <w:r w:rsidR="000000F9" w:rsidRPr="00C82BC0">
        <w:t xml:space="preserve"> to 6,589 mg/L, 5,190 mg/L, and 4,840 mg/L. After 90 minutes</w:t>
      </w:r>
      <w:r w:rsidR="00C737F6" w:rsidRPr="00C82BC0">
        <w:t>, the</w:t>
      </w:r>
      <w:r w:rsidR="000000F9" w:rsidRPr="00C82BC0">
        <w:t xml:space="preserve"> TDS values </w:t>
      </w:r>
      <w:r w:rsidR="00C737F6" w:rsidRPr="00C82BC0">
        <w:t>were</w:t>
      </w:r>
      <w:r w:rsidR="000000F9" w:rsidRPr="00C82BC0">
        <w:t xml:space="preserve"> observed at 2,803 mg/L, 2,208 mg/L, and 2,059 mg/L. The rate of TDS reduction is significant, particularly in the first 60 minutes. The decreasing trend suggests a treatment or purification process occurring over time</w:t>
      </w:r>
      <w:r w:rsidR="00784AD7" w:rsidRPr="00C82BC0">
        <w:t>.</w:t>
      </w:r>
    </w:p>
    <w:p w14:paraId="6A81FDF9" w14:textId="51BBE970" w:rsidR="002D2BCE" w:rsidRPr="00C82BC0" w:rsidRDefault="002D2BCE" w:rsidP="00B96856">
      <w:pPr>
        <w:pStyle w:val="NormalWeb"/>
        <w:spacing w:before="240" w:beforeAutospacing="0" w:after="0" w:afterAutospacing="0" w:line="480" w:lineRule="auto"/>
        <w:jc w:val="both"/>
        <w:rPr>
          <w:b/>
          <w:bCs/>
        </w:rPr>
      </w:pPr>
      <w:r w:rsidRPr="00C82BC0">
        <w:rPr>
          <w:b/>
          <w:bCs/>
        </w:rPr>
        <w:t>3.</w:t>
      </w:r>
      <w:r w:rsidR="00705B34" w:rsidRPr="00C82BC0">
        <w:rPr>
          <w:b/>
          <w:bCs/>
        </w:rPr>
        <w:t>3</w:t>
      </w:r>
      <w:r w:rsidRPr="00C82BC0">
        <w:rPr>
          <w:b/>
          <w:bCs/>
        </w:rPr>
        <w:t xml:space="preserve"> Effect of Contact Time</w:t>
      </w:r>
    </w:p>
    <w:p w14:paraId="093A8CE2" w14:textId="155A6D69" w:rsidR="00303493" w:rsidRPr="00C82BC0" w:rsidRDefault="002D2BCE" w:rsidP="00653B2E">
      <w:pPr>
        <w:pStyle w:val="NormalWeb"/>
        <w:spacing w:before="240" w:beforeAutospacing="0" w:after="0" w:afterAutospacing="0" w:line="480" w:lineRule="auto"/>
        <w:jc w:val="both"/>
      </w:pPr>
      <w:r w:rsidRPr="00C82BC0">
        <w:t xml:space="preserve">The removal efficiency of the POS was studied as a function of </w:t>
      </w:r>
      <w:r w:rsidR="00784AD7" w:rsidRPr="00C82BC0">
        <w:t xml:space="preserve">contact </w:t>
      </w:r>
      <w:r w:rsidRPr="00C82BC0">
        <w:t xml:space="preserve">time (30, 60 &amp; 90 min) to determine the equilibrium time and </w:t>
      </w:r>
      <w:r w:rsidR="00264A75" w:rsidRPr="00C82BC0">
        <w:t>maximum</w:t>
      </w:r>
      <w:r w:rsidRPr="00C82BC0">
        <w:t xml:space="preserve"> adsorption capacity</w:t>
      </w:r>
      <w:r w:rsidR="00264A75" w:rsidRPr="00C82BC0">
        <w:t xml:space="preserve"> at room temperature. </w:t>
      </w:r>
      <w:r w:rsidR="00784AD7" w:rsidRPr="00C82BC0">
        <w:t>The initial adsorption rate was rapid due to many active sites on POS.</w:t>
      </w:r>
      <w:r w:rsidR="009407B0" w:rsidRPr="00C82BC0">
        <w:t xml:space="preserve"> However, a</w:t>
      </w:r>
      <w:r w:rsidR="00784AD7" w:rsidRPr="00C82BC0">
        <w:t>s the</w:t>
      </w:r>
      <w:r w:rsidR="009407B0" w:rsidRPr="00C82BC0">
        <w:t xml:space="preserve"> active si</w:t>
      </w:r>
      <w:r w:rsidR="00784AD7" w:rsidRPr="00C82BC0">
        <w:t xml:space="preserve">tes decreased, so did the adsorption rate. </w:t>
      </w:r>
    </w:p>
    <w:p w14:paraId="65CB0ABF" w14:textId="77777777" w:rsidR="00653B2E" w:rsidRPr="00C82BC0" w:rsidRDefault="00653B2E" w:rsidP="006D62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3B615E" w14:textId="395750FF" w:rsidR="006D6235" w:rsidRPr="00C82BC0" w:rsidRDefault="00814092" w:rsidP="006D623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C0">
        <w:rPr>
          <w:rFonts w:ascii="Times New Roman" w:hAnsi="Times New Roman" w:cs="Times New Roman"/>
          <w:b/>
          <w:sz w:val="24"/>
          <w:szCs w:val="24"/>
        </w:rPr>
        <w:t>4</w:t>
      </w:r>
      <w:r w:rsidR="006D6235" w:rsidRPr="00C82BC0">
        <w:rPr>
          <w:rFonts w:ascii="Times New Roman" w:hAnsi="Times New Roman" w:cs="Times New Roman"/>
          <w:b/>
          <w:sz w:val="24"/>
          <w:szCs w:val="24"/>
        </w:rPr>
        <w:t>.0 Conclusion</w:t>
      </w:r>
    </w:p>
    <w:p w14:paraId="4F130D84" w14:textId="72189847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The </w:t>
      </w:r>
      <w:r w:rsidR="00587551" w:rsidRPr="00C82BC0">
        <w:rPr>
          <w:rFonts w:ascii="Times New Roman" w:hAnsi="Times New Roman" w:cs="Times New Roman"/>
          <w:sz w:val="24"/>
          <w:szCs w:val="24"/>
        </w:rPr>
        <w:t xml:space="preserve">study reveals the high levels of pollutants in produced water which </w:t>
      </w:r>
      <w:r w:rsidR="00905457" w:rsidRPr="00C82BC0">
        <w:rPr>
          <w:rFonts w:ascii="Times New Roman" w:hAnsi="Times New Roman" w:cs="Times New Roman"/>
          <w:sz w:val="24"/>
          <w:szCs w:val="24"/>
        </w:rPr>
        <w:t>highlight</w:t>
      </w:r>
      <w:r w:rsidR="00587551" w:rsidRPr="00C82BC0">
        <w:rPr>
          <w:rFonts w:ascii="Times New Roman" w:hAnsi="Times New Roman" w:cs="Times New Roman"/>
          <w:sz w:val="24"/>
          <w:szCs w:val="24"/>
        </w:rPr>
        <w:t>s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 the need for effective management and treatment</w:t>
      </w:r>
      <w:r w:rsidR="00587551" w:rsidRPr="00C82BC0">
        <w:rPr>
          <w:rFonts w:ascii="Times New Roman" w:hAnsi="Times New Roman" w:cs="Times New Roman"/>
          <w:sz w:val="24"/>
          <w:szCs w:val="24"/>
        </w:rPr>
        <w:t xml:space="preserve"> before </w:t>
      </w:r>
      <w:r w:rsidR="00784AD7" w:rsidRPr="00C82BC0">
        <w:rPr>
          <w:rFonts w:ascii="Times New Roman" w:hAnsi="Times New Roman" w:cs="Times New Roman"/>
          <w:sz w:val="24"/>
          <w:szCs w:val="24"/>
        </w:rPr>
        <w:t>re-use</w:t>
      </w:r>
      <w:r w:rsidR="00587551" w:rsidRPr="00C82BC0">
        <w:rPr>
          <w:rFonts w:ascii="Times New Roman" w:hAnsi="Times New Roman" w:cs="Times New Roman"/>
          <w:sz w:val="24"/>
          <w:szCs w:val="24"/>
        </w:rPr>
        <w:t xml:space="preserve"> or disposal in line with country regulation</w:t>
      </w:r>
      <w:r w:rsidRPr="00C82BC0">
        <w:rPr>
          <w:rFonts w:ascii="Times New Roman" w:hAnsi="Times New Roman" w:cs="Times New Roman"/>
          <w:sz w:val="24"/>
          <w:szCs w:val="24"/>
        </w:rPr>
        <w:t xml:space="preserve">. 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The study </w:t>
      </w:r>
      <w:r w:rsidR="00587551" w:rsidRPr="00C82BC0">
        <w:rPr>
          <w:rFonts w:ascii="Times New Roman" w:hAnsi="Times New Roman" w:cs="Times New Roman"/>
          <w:sz w:val="24"/>
          <w:szCs w:val="24"/>
        </w:rPr>
        <w:t>also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 demonstrate</w:t>
      </w:r>
      <w:r w:rsidR="00587551" w:rsidRPr="00C82BC0">
        <w:rPr>
          <w:rFonts w:ascii="Times New Roman" w:hAnsi="Times New Roman" w:cs="Times New Roman"/>
          <w:sz w:val="24"/>
          <w:szCs w:val="24"/>
        </w:rPr>
        <w:t>s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 o</w:t>
      </w:r>
      <w:r w:rsidR="00784AD7" w:rsidRPr="00C82BC0">
        <w:rPr>
          <w:rFonts w:ascii="Times New Roman" w:hAnsi="Times New Roman" w:cs="Times New Roman"/>
          <w:sz w:val="24"/>
          <w:szCs w:val="24"/>
        </w:rPr>
        <w:t xml:space="preserve">yster shell </w:t>
      </w:r>
      <w:r w:rsidR="00587551" w:rsidRPr="00C82BC0">
        <w:rPr>
          <w:rFonts w:ascii="Times New Roman" w:hAnsi="Times New Roman" w:cs="Times New Roman"/>
          <w:sz w:val="24"/>
          <w:szCs w:val="24"/>
        </w:rPr>
        <w:t>as potential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 low cost and effective adsorbent </w:t>
      </w:r>
      <w:r w:rsidR="00784AD7" w:rsidRPr="00C82BC0">
        <w:rPr>
          <w:rFonts w:ascii="Times New Roman" w:hAnsi="Times New Roman" w:cs="Times New Roman"/>
          <w:sz w:val="24"/>
          <w:szCs w:val="24"/>
        </w:rPr>
        <w:t>for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 the treatment of</w:t>
      </w:r>
      <w:r w:rsidR="00784AD7" w:rsidRPr="00C82BC0">
        <w:rPr>
          <w:rFonts w:ascii="Times New Roman" w:hAnsi="Times New Roman" w:cs="Times New Roman"/>
          <w:sz w:val="24"/>
          <w:szCs w:val="24"/>
        </w:rPr>
        <w:t xml:space="preserve"> p</w:t>
      </w:r>
      <w:r w:rsidRPr="00C82BC0">
        <w:rPr>
          <w:rFonts w:ascii="Times New Roman" w:hAnsi="Times New Roman" w:cs="Times New Roman"/>
          <w:sz w:val="24"/>
          <w:szCs w:val="24"/>
        </w:rPr>
        <w:t xml:space="preserve">roduced waters. 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However, </w:t>
      </w:r>
      <w:r w:rsidR="00E03B5D" w:rsidRPr="00C82BC0">
        <w:rPr>
          <w:rFonts w:ascii="Times New Roman" w:hAnsi="Times New Roman" w:cs="Times New Roman"/>
          <w:sz w:val="24"/>
          <w:szCs w:val="24"/>
        </w:rPr>
        <w:t xml:space="preserve">with an average removal efficiency greater than 75%, oyster shells as a treatment option can be more effective when modified or utilized in combination 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with </w:t>
      </w:r>
      <w:r w:rsidR="00E03B5D" w:rsidRPr="00C82BC0">
        <w:rPr>
          <w:rFonts w:ascii="Times New Roman" w:hAnsi="Times New Roman" w:cs="Times New Roman"/>
          <w:sz w:val="24"/>
          <w:szCs w:val="24"/>
        </w:rPr>
        <w:t>other</w:t>
      </w:r>
      <w:r w:rsidR="00905457" w:rsidRPr="00C82BC0">
        <w:rPr>
          <w:rFonts w:ascii="Times New Roman" w:hAnsi="Times New Roman" w:cs="Times New Roman"/>
          <w:sz w:val="24"/>
          <w:szCs w:val="24"/>
        </w:rPr>
        <w:t xml:space="preserve"> conventional technique</w:t>
      </w:r>
      <w:r w:rsidR="00587551" w:rsidRPr="00C82BC0">
        <w:rPr>
          <w:rFonts w:ascii="Times New Roman" w:hAnsi="Times New Roman" w:cs="Times New Roman"/>
          <w:sz w:val="24"/>
          <w:szCs w:val="24"/>
        </w:rPr>
        <w:t>s.</w:t>
      </w:r>
    </w:p>
    <w:p w14:paraId="28FA6DE7" w14:textId="77777777" w:rsidR="00303493" w:rsidRPr="00C82BC0" w:rsidRDefault="00303493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DA78C" w14:textId="77777777" w:rsidR="00E03B5D" w:rsidRPr="00C82BC0" w:rsidRDefault="00E03B5D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7F651" w14:textId="77777777" w:rsidR="00E03B5D" w:rsidRDefault="00E03B5D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C8B94" w14:textId="77777777" w:rsidR="000944A7" w:rsidRDefault="000944A7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408E9" w14:textId="77777777" w:rsidR="000944A7" w:rsidRPr="00C82BC0" w:rsidRDefault="000944A7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50C8A" w14:textId="5278446C" w:rsidR="006D6235" w:rsidRPr="00C82BC0" w:rsidRDefault="006D6235" w:rsidP="006D6235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BC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References:</w:t>
      </w:r>
    </w:p>
    <w:p w14:paraId="693369A1" w14:textId="77777777" w:rsidR="001704D9" w:rsidRPr="00C82BC0" w:rsidRDefault="001704D9" w:rsidP="00BF537A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1384CD0" w14:textId="17BA82AA" w:rsidR="00BF537A" w:rsidRPr="00C82BC0" w:rsidRDefault="00BF537A" w:rsidP="00BF537A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Ghouti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M. A., Al-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Kaabi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M. A., Ashfaq, M. Y., &amp;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Da’na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D. A. (2019). Produced water characteristics, treatment and reuse: A review.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Journal of Water Process Engineering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82BC0">
        <w:rPr>
          <w:rFonts w:ascii="Times New Roman" w:hAnsi="Times New Roman" w:cs="Times New Roman"/>
          <w:sz w:val="24"/>
          <w:szCs w:val="24"/>
        </w:rPr>
        <w:t>, 222-239.</w:t>
      </w:r>
    </w:p>
    <w:p w14:paraId="14EBC5FA" w14:textId="13C41733" w:rsidR="001704D9" w:rsidRPr="00C82BC0" w:rsidRDefault="001704D9" w:rsidP="00BF537A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Al-Muhtaseb, R., Bhagyaraj, S.,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Chehimi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M. M., &amp; Krupa, I. (2024). Adsorptive removal of emulsified crude oil from produced water using modified biowaste; its kinetics and thermodynamic study.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International Journal of Environmental Science and Technology</w:t>
      </w:r>
      <w:r w:rsidRPr="00C82BC0">
        <w:rPr>
          <w:rFonts w:ascii="Times New Roman" w:hAnsi="Times New Roman" w:cs="Times New Roman"/>
          <w:sz w:val="24"/>
          <w:szCs w:val="24"/>
        </w:rPr>
        <w:t>, 1-16.</w:t>
      </w:r>
    </w:p>
    <w:p w14:paraId="664C1E6E" w14:textId="77777777" w:rsidR="00BF537A" w:rsidRPr="00C82BC0" w:rsidRDefault="00BF537A" w:rsidP="00BF53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783F" w14:textId="0686392D" w:rsidR="00BF537A" w:rsidRPr="00C82BC0" w:rsidRDefault="00BF537A" w:rsidP="00BF537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Ali, A., Jassim, N., &amp; Faris, M. N. (2024). </w:t>
      </w:r>
    </w:p>
    <w:p w14:paraId="784B6021" w14:textId="7423B0A4" w:rsidR="00BF537A" w:rsidRPr="00C82BC0" w:rsidRDefault="00BF537A" w:rsidP="00BF537A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Produced Water Treatment by Adsorption: A Review.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Journal of Advances in Engineering Research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C82BC0">
        <w:rPr>
          <w:rFonts w:ascii="Times New Roman" w:hAnsi="Times New Roman" w:cs="Times New Roman"/>
          <w:sz w:val="24"/>
          <w:szCs w:val="24"/>
        </w:rPr>
        <w:t>(2), 1-10.</w:t>
      </w:r>
    </w:p>
    <w:p w14:paraId="5C14413F" w14:textId="77777777" w:rsidR="0009614D" w:rsidRPr="00C82BC0" w:rsidRDefault="0009614D" w:rsidP="000961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Bagheri, M.,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Roshandel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R., &amp;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Shayegan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J. </w:t>
      </w:r>
    </w:p>
    <w:p w14:paraId="6D9F7BBB" w14:textId="6045427B" w:rsidR="0009614D" w:rsidRPr="00C82BC0" w:rsidRDefault="0009614D" w:rsidP="0009614D">
      <w:pPr>
        <w:spacing w:after="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(2018). Optimal selection of an integrated produced water treatment system in the upstream of oil industry.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Process Safety and Environmental Protection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117</w:t>
      </w:r>
      <w:r w:rsidRPr="00C82BC0">
        <w:rPr>
          <w:rFonts w:ascii="Times New Roman" w:hAnsi="Times New Roman" w:cs="Times New Roman"/>
          <w:sz w:val="24"/>
          <w:szCs w:val="24"/>
        </w:rPr>
        <w:t>, 67-81.</w:t>
      </w:r>
    </w:p>
    <w:p w14:paraId="38884ED6" w14:textId="77777777" w:rsidR="0009614D" w:rsidRPr="00C82BC0" w:rsidRDefault="0009614D" w:rsidP="0009614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0CAB9" w14:textId="77777777" w:rsidR="00104EE3" w:rsidRPr="00C82BC0" w:rsidRDefault="00104EE3" w:rsidP="006D623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Barker, A., &amp; Jones, C. (2013). </w:t>
      </w:r>
    </w:p>
    <w:p w14:paraId="29D7F1AB" w14:textId="41B23911" w:rsidR="00104EE3" w:rsidRPr="00C82BC0" w:rsidRDefault="00104EE3" w:rsidP="00104EE3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A critique of the performance of EIA within the offshore oil and gas sector.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Environmental Impact Assessment Review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43</w:t>
      </w:r>
      <w:r w:rsidRPr="00C82BC0">
        <w:rPr>
          <w:rFonts w:ascii="Times New Roman" w:hAnsi="Times New Roman" w:cs="Times New Roman"/>
          <w:sz w:val="24"/>
          <w:szCs w:val="24"/>
        </w:rPr>
        <w:t>, 31-39</w:t>
      </w:r>
      <w:r w:rsidR="0009614D" w:rsidRPr="00C82BC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82D481" w14:textId="77777777" w:rsidR="0009614D" w:rsidRPr="00C82BC0" w:rsidRDefault="0009614D" w:rsidP="00104EE3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81AD4" w14:textId="77777777" w:rsidR="007902B6" w:rsidRPr="00C82BC0" w:rsidRDefault="007902B6" w:rsidP="00104EE3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5063B" w14:textId="630DE8D1" w:rsidR="005D2443" w:rsidRPr="00C82BC0" w:rsidRDefault="005D2443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94336437"/>
      <w:r w:rsidRPr="00C82BC0">
        <w:rPr>
          <w:rFonts w:ascii="Times New Roman" w:hAnsi="Times New Roman" w:cs="Times New Roman"/>
          <w:sz w:val="24"/>
          <w:szCs w:val="24"/>
        </w:rPr>
        <w:lastRenderedPageBreak/>
        <w:t xml:space="preserve">Chikwe, T. N., &amp;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Ogbole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S. N. (2019). Remediation of simulated oil contaminated sites using shells of clams and oyster-Total petroleum hydrocarbons of simulated oil contaminated sites, before and after remediation.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Nigerian Journal of Chemical Research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C82BC0">
        <w:rPr>
          <w:rFonts w:ascii="Times New Roman" w:hAnsi="Times New Roman" w:cs="Times New Roman"/>
          <w:sz w:val="24"/>
          <w:szCs w:val="24"/>
        </w:rPr>
        <w:t>(1), 57-67.</w:t>
      </w:r>
    </w:p>
    <w:bookmarkEnd w:id="10"/>
    <w:p w14:paraId="3BB912FE" w14:textId="77777777" w:rsidR="005D2443" w:rsidRPr="00C82BC0" w:rsidRDefault="005D2443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CA42D27" w14:textId="653883EC" w:rsidR="00060D59" w:rsidRPr="00C82BC0" w:rsidRDefault="00060D59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4337377"/>
      <w:r w:rsidRPr="00C82BC0">
        <w:rPr>
          <w:rFonts w:ascii="Times New Roman" w:hAnsi="Times New Roman" w:cs="Times New Roman"/>
          <w:sz w:val="24"/>
          <w:szCs w:val="24"/>
        </w:rPr>
        <w:t>Cooper, C. M., McCall, J., Stokes, S. C., McKay, C., Bentley, M. J., Rosenblum, J. S., &amp; Katz, L. E. (2021).</w:t>
      </w:r>
      <w:bookmarkEnd w:id="11"/>
      <w:r w:rsidRPr="00C82BC0">
        <w:rPr>
          <w:rFonts w:ascii="Times New Roman" w:hAnsi="Times New Roman" w:cs="Times New Roman"/>
          <w:sz w:val="24"/>
          <w:szCs w:val="24"/>
        </w:rPr>
        <w:t xml:space="preserve"> Oil and gas produced water reuse: Opportunities, treatment needs, and challenges.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ACS ES&amp;T Engineering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82BC0">
        <w:rPr>
          <w:rFonts w:ascii="Times New Roman" w:hAnsi="Times New Roman" w:cs="Times New Roman"/>
          <w:sz w:val="24"/>
          <w:szCs w:val="24"/>
        </w:rPr>
        <w:t>(3), 347-366.</w:t>
      </w:r>
    </w:p>
    <w:p w14:paraId="141B3A07" w14:textId="4E3C4704" w:rsidR="00D70AFB" w:rsidRPr="00C82BC0" w:rsidRDefault="00D70AFB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2" w:name="_Hlk194350784"/>
      <w:r w:rsidRPr="00C82BC0">
        <w:rPr>
          <w:rFonts w:ascii="Times New Roman" w:hAnsi="Times New Roman" w:cs="Times New Roman"/>
          <w:sz w:val="24"/>
          <w:szCs w:val="24"/>
        </w:rPr>
        <w:t xml:space="preserve">Davies, O. A.,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Kpikpi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P. B.,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Esaenwi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A. L., &amp; London</w:t>
      </w:r>
      <w:bookmarkEnd w:id="12"/>
      <w:r w:rsidRPr="00C82BC0">
        <w:rPr>
          <w:rFonts w:ascii="Times New Roman" w:hAnsi="Times New Roman" w:cs="Times New Roman"/>
          <w:sz w:val="24"/>
          <w:szCs w:val="24"/>
        </w:rPr>
        <w:t xml:space="preserve">, D. A. Buffering Efficiency of Phytoplankton on Acidic Borehole Water for Fish Production in Port Harcourt, Nigeria. </w:t>
      </w:r>
      <w:proofErr w:type="spellStart"/>
      <w:r w:rsidRPr="00C82BC0">
        <w:rPr>
          <w:rFonts w:ascii="Times New Roman" w:hAnsi="Times New Roman" w:cs="Times New Roman"/>
          <w:i/>
          <w:iCs/>
          <w:sz w:val="24"/>
          <w:szCs w:val="24"/>
        </w:rPr>
        <w:t>Sumerianz</w:t>
      </w:r>
      <w:proofErr w:type="spellEnd"/>
      <w:r w:rsidRPr="00C82BC0">
        <w:rPr>
          <w:rFonts w:ascii="Times New Roman" w:hAnsi="Times New Roman" w:cs="Times New Roman"/>
          <w:i/>
          <w:iCs/>
          <w:sz w:val="24"/>
          <w:szCs w:val="24"/>
        </w:rPr>
        <w:t xml:space="preserve"> Journal of Scientific Research, 2019, Vol. 2, No. 12, pp. 150-158</w:t>
      </w:r>
    </w:p>
    <w:p w14:paraId="40778E74" w14:textId="77777777" w:rsidR="00060D59" w:rsidRPr="00C82BC0" w:rsidRDefault="00060D59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12EE1AA" w14:textId="21652635" w:rsidR="006D6235" w:rsidRPr="00C82BC0" w:rsidRDefault="006D6235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DPR (20</w:t>
      </w:r>
      <w:r w:rsidR="00D31593" w:rsidRPr="00C82BC0">
        <w:rPr>
          <w:rFonts w:ascii="Times New Roman" w:hAnsi="Times New Roman" w:cs="Times New Roman"/>
          <w:sz w:val="24"/>
          <w:szCs w:val="24"/>
        </w:rPr>
        <w:t>02</w:t>
      </w:r>
      <w:r w:rsidRPr="00C82BC0">
        <w:rPr>
          <w:rFonts w:ascii="Times New Roman" w:hAnsi="Times New Roman" w:cs="Times New Roman"/>
          <w:sz w:val="24"/>
          <w:szCs w:val="24"/>
        </w:rPr>
        <w:t xml:space="preserve">) </w:t>
      </w:r>
      <w:r w:rsidR="00D31593" w:rsidRPr="00C82BC0">
        <w:rPr>
          <w:rFonts w:ascii="Times New Roman" w:hAnsi="Times New Roman" w:cs="Times New Roman"/>
          <w:sz w:val="24"/>
          <w:szCs w:val="24"/>
        </w:rPr>
        <w:t xml:space="preserve">Environmental </w:t>
      </w:r>
      <w:r w:rsidRPr="00C82BC0">
        <w:rPr>
          <w:rFonts w:ascii="Times New Roman" w:hAnsi="Times New Roman" w:cs="Times New Roman"/>
          <w:sz w:val="24"/>
          <w:szCs w:val="24"/>
        </w:rPr>
        <w:t xml:space="preserve">Guidelines </w:t>
      </w:r>
      <w:r w:rsidR="00D31593" w:rsidRPr="00C82BC0">
        <w:rPr>
          <w:rFonts w:ascii="Times New Roman" w:hAnsi="Times New Roman" w:cs="Times New Roman"/>
          <w:sz w:val="24"/>
          <w:szCs w:val="24"/>
        </w:rPr>
        <w:t xml:space="preserve">and Standards </w:t>
      </w:r>
      <w:r w:rsidRPr="00C82BC0">
        <w:rPr>
          <w:rFonts w:ascii="Times New Roman" w:hAnsi="Times New Roman" w:cs="Times New Roman"/>
          <w:sz w:val="24"/>
          <w:szCs w:val="24"/>
        </w:rPr>
        <w:t xml:space="preserve">for the </w:t>
      </w:r>
      <w:r w:rsidR="00D31593" w:rsidRPr="00C82BC0">
        <w:rPr>
          <w:rFonts w:ascii="Times New Roman" w:hAnsi="Times New Roman" w:cs="Times New Roman"/>
          <w:sz w:val="24"/>
          <w:szCs w:val="24"/>
        </w:rPr>
        <w:t>Petroleum Industry in Nigeria (EGASPIN)</w:t>
      </w:r>
      <w:r w:rsidRPr="00C82BC0">
        <w:rPr>
          <w:rFonts w:ascii="Times New Roman" w:hAnsi="Times New Roman" w:cs="Times New Roman"/>
          <w:sz w:val="24"/>
          <w:szCs w:val="24"/>
        </w:rPr>
        <w:t>.</w:t>
      </w:r>
    </w:p>
    <w:p w14:paraId="1685EDB6" w14:textId="77777777" w:rsidR="001704D9" w:rsidRPr="00C82BC0" w:rsidRDefault="001704D9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E941398" w14:textId="77777777" w:rsidR="006D6235" w:rsidRPr="00C82BC0" w:rsidRDefault="006D6235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BC0">
        <w:rPr>
          <w:rFonts w:ascii="Times New Roman" w:hAnsi="Times New Roman" w:cs="Times New Roman"/>
          <w:sz w:val="24"/>
          <w:szCs w:val="24"/>
        </w:rPr>
        <w:t>Fakhru'l-Razi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Pendashteh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A., &amp; Abdullah, L. C. (2009). Review of technologies for oil and gas produced water treatment. Journal of Hazardous Materials, 170(1), 530-551.</w:t>
      </w:r>
    </w:p>
    <w:p w14:paraId="5F1E42BA" w14:textId="2950D6C3" w:rsidR="001704D9" w:rsidRPr="00C82BC0" w:rsidRDefault="001704D9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Hadi, H. J., Al-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zobai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K. M. M., &amp;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Alatabe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M. J. A. (2020). Oil removal from produced water using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imperata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cylindrica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as low-cost adsorbent.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Current applied science and technology</w:t>
      </w:r>
      <w:r w:rsidRPr="00C82BC0">
        <w:rPr>
          <w:rFonts w:ascii="Times New Roman" w:hAnsi="Times New Roman" w:cs="Times New Roman"/>
          <w:sz w:val="24"/>
          <w:szCs w:val="24"/>
        </w:rPr>
        <w:t>, 494-511.</w:t>
      </w:r>
    </w:p>
    <w:p w14:paraId="2B4BEB26" w14:textId="53E467FF" w:rsidR="00306175" w:rsidRPr="00C82BC0" w:rsidRDefault="00306175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Guerra, K., Dahm, K., &amp; Dundorf, S. (2011).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Oil and gas produced water management and beneficial use in the Western United States</w:t>
      </w:r>
      <w:r w:rsidRPr="00C82BC0">
        <w:rPr>
          <w:rFonts w:ascii="Times New Roman" w:hAnsi="Times New Roman" w:cs="Times New Roman"/>
          <w:sz w:val="24"/>
          <w:szCs w:val="24"/>
        </w:rPr>
        <w:t> (pp. 1-113). Washington, DC: US Department of the Interior, Bureau of Reclamation.</w:t>
      </w:r>
    </w:p>
    <w:p w14:paraId="5C5685C7" w14:textId="0D0B9F07" w:rsidR="00BF537A" w:rsidRPr="00C82BC0" w:rsidRDefault="00BF537A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lastRenderedPageBreak/>
        <w:t>Gupta, V. K., Ali, I., Saleh, T. A., Nayak, A., &amp; Agarwal, S. (2012). Chemical treatment technologies for waste-water recycling—an overview.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RSC advances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82BC0">
        <w:rPr>
          <w:rFonts w:ascii="Times New Roman" w:hAnsi="Times New Roman" w:cs="Times New Roman"/>
          <w:sz w:val="24"/>
          <w:szCs w:val="24"/>
        </w:rPr>
        <w:t>(16), 6380-6388.</w:t>
      </w:r>
    </w:p>
    <w:p w14:paraId="6D954C5A" w14:textId="77777777" w:rsidR="00BF537A" w:rsidRPr="00C82BC0" w:rsidRDefault="00BF537A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BCD5542" w14:textId="1F220F6C" w:rsidR="0060407A" w:rsidRPr="00C82BC0" w:rsidRDefault="0060407A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Haneef, T., Mustafa, M. R. U., Yasin, H. F., Farooq, S., &amp; Isa, M. H. (2020). Study of Ferrate (VI) oxidation for COD removal from wastewater. In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IOP Conference Series: Earth and Environmental Science</w:t>
      </w:r>
      <w:r w:rsidRPr="00C82BC0">
        <w:rPr>
          <w:rFonts w:ascii="Times New Roman" w:hAnsi="Times New Roman" w:cs="Times New Roman"/>
          <w:sz w:val="24"/>
          <w:szCs w:val="24"/>
        </w:rPr>
        <w:t> (Vol. 442, No. 1, p. 012007). IOP Publishing.</w:t>
      </w:r>
    </w:p>
    <w:p w14:paraId="6EA900FC" w14:textId="77777777" w:rsidR="00802E4C" w:rsidRPr="00C82BC0" w:rsidRDefault="00802E4C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9A09206" w14:textId="5174D455" w:rsidR="00802E4C" w:rsidRPr="00C82BC0" w:rsidRDefault="00802E4C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Haneef, T., Ul Mustafa, M. R., Rasool, K., Ho, Y. C., &amp; Mohamed Kutty, S. R. (2020). Removal of polycyclic aromatic hydrocarbons in a heterogeneous Fenton like oxidation system using nanoscale zero-valent iron as a catalyst.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Water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C82BC0">
        <w:rPr>
          <w:rFonts w:ascii="Times New Roman" w:hAnsi="Times New Roman" w:cs="Times New Roman"/>
          <w:sz w:val="24"/>
          <w:szCs w:val="24"/>
        </w:rPr>
        <w:t>(9), 2430.</w:t>
      </w:r>
    </w:p>
    <w:p w14:paraId="5F72FEB6" w14:textId="6631739F" w:rsidR="00D22094" w:rsidRPr="00C82BC0" w:rsidRDefault="00D22094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BC0">
        <w:rPr>
          <w:rFonts w:ascii="Times New Roman" w:hAnsi="Times New Roman" w:cs="Times New Roman"/>
          <w:sz w:val="24"/>
          <w:szCs w:val="24"/>
        </w:rPr>
        <w:t>Hedar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Y. (2018). Pollution impact and alternative treatment for produced water. In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E3S Web of Conferences</w:t>
      </w:r>
      <w:r w:rsidRPr="00C82BC0">
        <w:rPr>
          <w:rFonts w:ascii="Times New Roman" w:hAnsi="Times New Roman" w:cs="Times New Roman"/>
          <w:sz w:val="24"/>
          <w:szCs w:val="24"/>
        </w:rPr>
        <w:t> (Vol. 31, p. 03004). EDP Sciences.</w:t>
      </w:r>
    </w:p>
    <w:p w14:paraId="7DBF9A0B" w14:textId="55291BDD" w:rsidR="0060407A" w:rsidRPr="00C82BC0" w:rsidRDefault="0060407A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BC0">
        <w:rPr>
          <w:rFonts w:ascii="Times New Roman" w:hAnsi="Times New Roman" w:cs="Times New Roman"/>
          <w:sz w:val="24"/>
          <w:szCs w:val="24"/>
        </w:rPr>
        <w:t>Igunnu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E. T., &amp; Chen, G. Z. (2014). Produced water treatment technologies.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International journal of low-carbon technologies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C82BC0">
        <w:rPr>
          <w:rFonts w:ascii="Times New Roman" w:hAnsi="Times New Roman" w:cs="Times New Roman"/>
          <w:sz w:val="24"/>
          <w:szCs w:val="24"/>
        </w:rPr>
        <w:t>(3), 157-177.</w:t>
      </w:r>
    </w:p>
    <w:p w14:paraId="0DF36F88" w14:textId="77777777" w:rsidR="009D3DBB" w:rsidRPr="00C82BC0" w:rsidRDefault="009D3DBB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Ite, A. E.,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Ibok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U. J., Ite, M. U., &amp; Petters, S. W. (2013). Petroleum exploration and production: Past and present environmental issues in the Nigeria’s Niger Delta.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American Journal of Environmental Protection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C82BC0">
        <w:rPr>
          <w:rFonts w:ascii="Times New Roman" w:hAnsi="Times New Roman" w:cs="Times New Roman"/>
          <w:sz w:val="24"/>
          <w:szCs w:val="24"/>
        </w:rPr>
        <w:t>(4), 78-90.</w:t>
      </w:r>
    </w:p>
    <w:p w14:paraId="04EBF48C" w14:textId="7CBCCBE7" w:rsidR="00AF4417" w:rsidRPr="00C82BC0" w:rsidRDefault="00AF4417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Lee, S. W., Jang, Y. N., Ryu, K. W., Chae, S. C., Lee, Y. H., &amp; Jeon, C. W. (2011). Mechanical characteristics and morphological effect of complex crossed structure in biomaterials: fracture mechanics and microstructure of chalky layer in oyster shell.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Micron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42</w:t>
      </w:r>
      <w:r w:rsidRPr="00C82BC0">
        <w:rPr>
          <w:rFonts w:ascii="Times New Roman" w:hAnsi="Times New Roman" w:cs="Times New Roman"/>
          <w:sz w:val="24"/>
          <w:szCs w:val="24"/>
        </w:rPr>
        <w:t>(1), 60-70.</w:t>
      </w:r>
    </w:p>
    <w:p w14:paraId="15B01106" w14:textId="6C2700CA" w:rsidR="00326E4C" w:rsidRPr="00C82BC0" w:rsidRDefault="00326E4C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lastRenderedPageBreak/>
        <w:t xml:space="preserve">Nghiem, L. D.,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Elters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C., Simon, A., Tatsuya, T., &amp; Price, W. (2015). Coal seam gas produced water treatment by ultrafiltration, reverse osmosis and multi-effect distillation: A pilot study.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Separation and Purification Technology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146</w:t>
      </w:r>
      <w:r w:rsidRPr="00C82BC0">
        <w:rPr>
          <w:rFonts w:ascii="Times New Roman" w:hAnsi="Times New Roman" w:cs="Times New Roman"/>
          <w:sz w:val="24"/>
          <w:szCs w:val="24"/>
        </w:rPr>
        <w:t>, 94-100.</w:t>
      </w:r>
    </w:p>
    <w:p w14:paraId="657678F0" w14:textId="25A5A08E" w:rsidR="007902B6" w:rsidRPr="00C82BC0" w:rsidRDefault="005D2443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BC0">
        <w:rPr>
          <w:rFonts w:ascii="Times New Roman" w:hAnsi="Times New Roman" w:cs="Times New Roman"/>
          <w:sz w:val="24"/>
          <w:szCs w:val="24"/>
        </w:rPr>
        <w:t>Onojake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M. C., Obi, C., &amp; Mahmoud, A. E. D. (2023). Water quality monitoring using sensors and models. In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Artificial Intelligence and Modeling for Water Sustainability</w:t>
      </w:r>
      <w:r w:rsidRPr="00C82BC0">
        <w:rPr>
          <w:rFonts w:ascii="Times New Roman" w:hAnsi="Times New Roman" w:cs="Times New Roman"/>
          <w:sz w:val="24"/>
          <w:szCs w:val="24"/>
        </w:rPr>
        <w:t> (pp. 97-127). CRC Press.</w:t>
      </w:r>
    </w:p>
    <w:p w14:paraId="650150FA" w14:textId="47FB59B7" w:rsidR="007902B6" w:rsidRPr="00C82BC0" w:rsidRDefault="007902B6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BC0">
        <w:rPr>
          <w:rFonts w:ascii="Times New Roman" w:hAnsi="Times New Roman" w:cs="Times New Roman"/>
          <w:sz w:val="24"/>
          <w:szCs w:val="24"/>
        </w:rPr>
        <w:t>Ozogu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N. A., Chukwurah, N. C.,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Modebe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L. U., &amp;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Olabimtan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O. H. Some Current Technologies of Produced Water Treatment: An Overview.</w:t>
      </w:r>
    </w:p>
    <w:p w14:paraId="2AA7F13E" w14:textId="77777777" w:rsidR="006D6235" w:rsidRPr="00C82BC0" w:rsidRDefault="006D6235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Osuji, L. C., Ezenwa, M. I., &amp; Okeke, P. O. (2015). Environmental impact of oil and gas exploration and production on the Niger Delta ecosystem. Journal of Environmental Science and Health, Part C, 33, 1-15.</w:t>
      </w:r>
    </w:p>
    <w:p w14:paraId="4B4529B2" w14:textId="37CE6AA4" w:rsidR="00D70AFB" w:rsidRPr="00C82BC0" w:rsidRDefault="00D70AFB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Park, H.S.; Park, Y.S.; Jung, G.I.; Kim, J.W.; Jo, Y.M. Removal of fluoride ions from electronic industrial wastewater using lime stone slurry.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Appl. Chem. Eng.</w:t>
      </w:r>
      <w:r w:rsidRPr="00C82BC0">
        <w:rPr>
          <w:rFonts w:ascii="Times New Roman" w:hAnsi="Times New Roman" w:cs="Times New Roman"/>
          <w:sz w:val="24"/>
          <w:szCs w:val="24"/>
        </w:rPr>
        <w:t> </w:t>
      </w:r>
      <w:r w:rsidRPr="00C82BC0">
        <w:rPr>
          <w:rFonts w:ascii="Times New Roman" w:hAnsi="Times New Roman" w:cs="Times New Roman"/>
          <w:b/>
          <w:bCs/>
          <w:sz w:val="24"/>
          <w:szCs w:val="24"/>
        </w:rPr>
        <w:t>2018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C82BC0">
        <w:rPr>
          <w:rFonts w:ascii="Times New Roman" w:hAnsi="Times New Roman" w:cs="Times New Roman"/>
          <w:sz w:val="24"/>
          <w:szCs w:val="24"/>
        </w:rPr>
        <w:t xml:space="preserve">, 258–263. </w:t>
      </w:r>
    </w:p>
    <w:p w14:paraId="78B21493" w14:textId="683927E1" w:rsidR="008243B7" w:rsidRPr="00C82BC0" w:rsidRDefault="008243B7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Veil, J. A., Puder, M. G., &amp; Elcock, D. (2004).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A white paper describing produced water from production of crude oil, natural gas, and coal bed methane</w:t>
      </w:r>
      <w:r w:rsidRPr="00C82BC0">
        <w:rPr>
          <w:rFonts w:ascii="Times New Roman" w:hAnsi="Times New Roman" w:cs="Times New Roman"/>
          <w:sz w:val="24"/>
          <w:szCs w:val="24"/>
        </w:rPr>
        <w:t> (No. ANL/EA/RP-112631). Argonne National Lab., IL (US).</w:t>
      </w:r>
    </w:p>
    <w:p w14:paraId="33554CEB" w14:textId="41B0E81A" w:rsidR="00BC5FF8" w:rsidRPr="00C82BC0" w:rsidRDefault="00BC5FF8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 xml:space="preserve">Wang, S., Zou, L., Li, H., Zheng, K., Wang, Y., Zheng, G., &amp; Li, J. (2020). Full-scale membrane bioreactor process WWTPs in East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Taihu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 basin: Wastewater characteristics, energy consumption and sustainability.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Science of The Total Environment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723</w:t>
      </w:r>
      <w:r w:rsidRPr="00C82BC0">
        <w:rPr>
          <w:rFonts w:ascii="Times New Roman" w:hAnsi="Times New Roman" w:cs="Times New Roman"/>
          <w:sz w:val="24"/>
          <w:szCs w:val="24"/>
        </w:rPr>
        <w:t>, 137983.</w:t>
      </w:r>
    </w:p>
    <w:p w14:paraId="3934A070" w14:textId="5B59DC23" w:rsidR="00D70AFB" w:rsidRPr="00C82BC0" w:rsidRDefault="00D70AFB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Xu, X., Liu, X., Oh, M., &amp; Park, J. (2019). Oyster shell as a low-cost adsorbent for removing heavy metal ions from wastewater.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Pol. J. Environ. Stud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28</w:t>
      </w:r>
      <w:r w:rsidRPr="00C82BC0">
        <w:rPr>
          <w:rFonts w:ascii="Times New Roman" w:hAnsi="Times New Roman" w:cs="Times New Roman"/>
          <w:sz w:val="24"/>
          <w:szCs w:val="24"/>
        </w:rPr>
        <w:t>(4), 2949-2959.</w:t>
      </w:r>
    </w:p>
    <w:p w14:paraId="18DB05A7" w14:textId="77777777" w:rsidR="00BC5FF8" w:rsidRPr="00C82BC0" w:rsidRDefault="00BC5FF8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13A8F08" w14:textId="6A74AB42" w:rsidR="00C31788" w:rsidRPr="00C82BC0" w:rsidRDefault="00C31788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lastRenderedPageBreak/>
        <w:t xml:space="preserve">Zheng, J., Chen, B.,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Thanyamanta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C82BC0">
        <w:rPr>
          <w:rFonts w:ascii="Times New Roman" w:hAnsi="Times New Roman" w:cs="Times New Roman"/>
          <w:sz w:val="24"/>
          <w:szCs w:val="24"/>
        </w:rPr>
        <w:t>Hawboldt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 K., Zhang, B., &amp; Liu, B. (2016). Offshore produced water management: A review of current practice and challenges in harsh/Arctic environments.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Marine pollution bulletin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104</w:t>
      </w:r>
      <w:r w:rsidRPr="00C82BC0">
        <w:rPr>
          <w:rFonts w:ascii="Times New Roman" w:hAnsi="Times New Roman" w:cs="Times New Roman"/>
          <w:sz w:val="24"/>
          <w:szCs w:val="24"/>
        </w:rPr>
        <w:t>(1-2), 7-19.</w:t>
      </w:r>
    </w:p>
    <w:p w14:paraId="63DBFCE2" w14:textId="77777777" w:rsidR="00BF537A" w:rsidRPr="00C82BC0" w:rsidRDefault="00BF537A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C831204" w14:textId="16AA55D8" w:rsidR="00BF537A" w:rsidRPr="00C82BC0" w:rsidRDefault="00BF537A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82BC0">
        <w:rPr>
          <w:rFonts w:ascii="Times New Roman" w:hAnsi="Times New Roman" w:cs="Times New Roman"/>
          <w:sz w:val="24"/>
          <w:szCs w:val="24"/>
        </w:rPr>
        <w:t>Zhao, S., Minier-Matar, J., Chou, S., Wang, R., Fane, A. G., &amp; Adham, S. (2017). Gas field produced/process water treatment using forward osmosis hollow fiber membrane: Membrane fouling and chemical cleaning.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Desalination</w:t>
      </w:r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402</w:t>
      </w:r>
      <w:r w:rsidRPr="00C82BC0">
        <w:rPr>
          <w:rFonts w:ascii="Times New Roman" w:hAnsi="Times New Roman" w:cs="Times New Roman"/>
          <w:sz w:val="24"/>
          <w:szCs w:val="24"/>
        </w:rPr>
        <w:t>, 143-151.</w:t>
      </w:r>
    </w:p>
    <w:p w14:paraId="02C2103C" w14:textId="06CA9AE8" w:rsidR="001704D9" w:rsidRPr="00C82BC0" w:rsidRDefault="001704D9" w:rsidP="006D6235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94336409"/>
      <w:r w:rsidRPr="00C82BC0">
        <w:rPr>
          <w:rFonts w:ascii="Times New Roman" w:hAnsi="Times New Roman" w:cs="Times New Roman"/>
          <w:sz w:val="24"/>
          <w:szCs w:val="24"/>
        </w:rPr>
        <w:t>Zhou, Z., Wang, Y., Sun, S., Wang, Y., &amp; Xu, L. (2022). Preparation of PVA/waste oyster shell powder composite as an efficient adsorbent of heavy metals from wastewater. </w:t>
      </w:r>
      <w:proofErr w:type="spellStart"/>
      <w:r w:rsidRPr="00C82BC0">
        <w:rPr>
          <w:rFonts w:ascii="Times New Roman" w:hAnsi="Times New Roman" w:cs="Times New Roman"/>
          <w:i/>
          <w:iCs/>
          <w:sz w:val="24"/>
          <w:szCs w:val="24"/>
        </w:rPr>
        <w:t>Heliyon</w:t>
      </w:r>
      <w:proofErr w:type="spellEnd"/>
      <w:r w:rsidRPr="00C82BC0">
        <w:rPr>
          <w:rFonts w:ascii="Times New Roman" w:hAnsi="Times New Roman" w:cs="Times New Roman"/>
          <w:sz w:val="24"/>
          <w:szCs w:val="24"/>
        </w:rPr>
        <w:t>, </w:t>
      </w:r>
      <w:r w:rsidRPr="00C82BC0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C82BC0">
        <w:rPr>
          <w:rFonts w:ascii="Times New Roman" w:hAnsi="Times New Roman" w:cs="Times New Roman"/>
          <w:sz w:val="24"/>
          <w:szCs w:val="24"/>
        </w:rPr>
        <w:t>(12).</w:t>
      </w:r>
    </w:p>
    <w:bookmarkEnd w:id="0"/>
    <w:bookmarkEnd w:id="13"/>
    <w:p w14:paraId="1A3999B0" w14:textId="77777777" w:rsidR="00E04827" w:rsidRPr="00C82BC0" w:rsidRDefault="00E04827" w:rsidP="00BD7111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04827" w:rsidRPr="00C82BC0" w:rsidSect="00C82BC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D7082" w14:textId="77777777" w:rsidR="000C2BB4" w:rsidRDefault="000C2BB4" w:rsidP="00A5323C">
      <w:pPr>
        <w:spacing w:after="0" w:line="240" w:lineRule="auto"/>
      </w:pPr>
      <w:r>
        <w:separator/>
      </w:r>
    </w:p>
  </w:endnote>
  <w:endnote w:type="continuationSeparator" w:id="0">
    <w:p w14:paraId="296F967B" w14:textId="77777777" w:rsidR="000C2BB4" w:rsidRDefault="000C2BB4" w:rsidP="00A5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RIPVS+CambriaMath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E9980" w14:textId="77777777" w:rsidR="00DD6412" w:rsidRDefault="00DD6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220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691DCD" w14:textId="3DCB14FA" w:rsidR="00605F8F" w:rsidRDefault="00605F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14318" w14:textId="77777777" w:rsidR="007F5CE1" w:rsidRDefault="007F5C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710A" w14:textId="77777777" w:rsidR="00DD6412" w:rsidRDefault="00DD6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EC899" w14:textId="77777777" w:rsidR="000C2BB4" w:rsidRDefault="000C2BB4" w:rsidP="00A5323C">
      <w:pPr>
        <w:spacing w:after="0" w:line="240" w:lineRule="auto"/>
      </w:pPr>
      <w:r>
        <w:separator/>
      </w:r>
    </w:p>
  </w:footnote>
  <w:footnote w:type="continuationSeparator" w:id="0">
    <w:p w14:paraId="2EF5FBE9" w14:textId="77777777" w:rsidR="000C2BB4" w:rsidRDefault="000C2BB4" w:rsidP="00A5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96C1B" w14:textId="607D24BB" w:rsidR="00DD6412" w:rsidRDefault="00DD6412">
    <w:pPr>
      <w:pStyle w:val="Header"/>
    </w:pPr>
    <w:r>
      <w:rPr>
        <w:noProof/>
      </w:rPr>
      <w:pict w14:anchorId="66F1A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82282" o:spid="_x0000_s2050" type="#_x0000_t136" style="position:absolute;margin-left:0;margin-top:0;width:579.35pt;height:10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61593" w14:textId="28C509BA" w:rsidR="00DD6412" w:rsidRDefault="00DD6412">
    <w:pPr>
      <w:pStyle w:val="Header"/>
    </w:pPr>
    <w:r>
      <w:rPr>
        <w:noProof/>
      </w:rPr>
      <w:pict w14:anchorId="1FAF72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82283" o:spid="_x0000_s2051" type="#_x0000_t136" style="position:absolute;margin-left:0;margin-top:0;width:579.35pt;height:10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8F67" w14:textId="044FE455" w:rsidR="00DD6412" w:rsidRDefault="00DD6412">
    <w:pPr>
      <w:pStyle w:val="Header"/>
    </w:pPr>
    <w:r>
      <w:rPr>
        <w:noProof/>
      </w:rPr>
      <w:pict w14:anchorId="564A8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82281" o:spid="_x0000_s2049" type="#_x0000_t136" style="position:absolute;margin-left:0;margin-top:0;width:579.35pt;height:10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F2C06"/>
    <w:multiLevelType w:val="hybridMultilevel"/>
    <w:tmpl w:val="199A6CE4"/>
    <w:lvl w:ilvl="0" w:tplc="417217F8">
      <w:start w:val="1"/>
      <w:numFmt w:val="lowerRoman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6D03EF"/>
    <w:multiLevelType w:val="hybridMultilevel"/>
    <w:tmpl w:val="34F8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64EA5"/>
    <w:multiLevelType w:val="hybridMultilevel"/>
    <w:tmpl w:val="49440ABA"/>
    <w:lvl w:ilvl="0" w:tplc="8AFEA1F2">
      <w:start w:val="1"/>
      <w:numFmt w:val="lowerLetter"/>
      <w:lvlText w:val="%1."/>
      <w:lvlJc w:val="lef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845381"/>
    <w:multiLevelType w:val="hybridMultilevel"/>
    <w:tmpl w:val="80FA7302"/>
    <w:lvl w:ilvl="0" w:tplc="417217F8">
      <w:start w:val="1"/>
      <w:numFmt w:val="lowerRoman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dGFnc2V0X2UxNjQwOWE3XzE3MDBfNDE1M185MDkwXzM5NTViYzJmMGFlOF9jbGFzc2lmaWNhdGlvbiI6ICJPcGVuIiwNCiAgImRvY0lEIjogImFkMTE1MmI5LWVkZTMtNDI4Yy04YzYzLWNjN2JhODM0NjhlZSIsDQogICJPUyI6ICJXaW5kb3dzIiwNCiAg"/>
    <w:docVar w:name="GVData0" w:val="Ik9wdGlvbnMiOiAie1x1MDAyMlBhZ2VMYXlvdXRDb25maWd1cmF0aW9uXHUwMDIyOntcdTAwMjJBbHdheXNTaG93UG9wdXBcdTAwMjI6ZmFsc2UsXHUwMDIySGFzQWx3YXlzU2hvd1BvcHVwXHUwMDIyOnRydWUsXHUwMDIyT3B0aW9uc1x1MDAyMjowLFx1MDAyMlRy"/>
    <w:docVar w:name="GVData1" w:val="aWdnZXJQYWdlc051bWJlclx1MDAyMjoxfSxcdTAwMjJBcHBseUZyb21QYWdlXHUwMDIyOjAsXHUwMDIyQXBwbHlUb1BhZ2VcdTAwMjI6MCxcdTAwMjJIZWFkZXJFbmFibGVkXHUwMDIyOmZhbHNlLFx1MDAyMkhlYWRlclx1MDAyMjpcdTAwMjJcdTAwMjIsXHUwMDIy"/>
    <w:docVar w:name="GVData10" w:val="dGFkYXRhXHUwMDIyOlx1MDAyMlx1MDAyMixcdTAwMjJXYXRlcm1hcmtFeGlzdHNcdTAwMjI6ZmFsc2UsXHUwMDIyUG93ZXJwb2ludFRpdGxlTWV0YWRhdGFcdTAwMjI6bnVsbCxcdTAwMjJQb3dlcnBvaW50U3VidGl0bGVNZXRhZGF0YVx1MDAyMjpudWxsLFx1MDAy"/>
    <w:docVar w:name="GVData11" w:val="MlRoaXJkUGFydHlNZXRhZGF0YUZvdW5kXHUwMDIyOmZhbHNlfSINCn0="/>
    <w:docVar w:name="GVData12" w:val="(end)"/>
    <w:docVar w:name="GVData2" w:val="SGVhZGVyc1x1MDAyMjpbXHUwMDIyXHUwMDIyXSxcdTAwMjJIZWFkZXJUeXBlXHUwMDIyOjIsXHUwMDIySGVhZGVyVHlwZXNBbGxvd2VkXHUwMDIyOlsyXSxcdTAwMjJIZWFkZXJVcGRhdGVUeXBlXHUwMDIyOjAsXHUwMDIyRm9vdGVyRW5hYmxlZFx1MDAyMjpmYWxz"/>
    <w:docVar w:name="GVData3" w:val="ZSxcdTAwMjJGb290ZXJcdTAwMjI6XHUwMDIyXHUwMDIyLFx1MDAyMkZvb3RlcnNcdTAwMjI6W1x1MDAyMlx1MDAyMl0sXHUwMDIyRm9vdGVyVHlwZVx1MDAyMjoyLFx1MDAyMkZvb3RlclR5cGVzQWxsb3dlZFx1MDAyMjpbMl0sXHUwMDIyRm9vdGVyVXBkYXRlVHlw"/>
    <w:docVar w:name="GVData4" w:val="ZVx1MDAyMjowLFx1MDAyMldhdGVybWFya1x1MDAyMjpcdTAwMjJcdTAwMjIsXHUwMDIyV2F0ZXJtYXJrRW5hYmxlZFx1MDAyMjpmYWxzZSxcdTAwMjJTaG91bGRXcml0ZVdhdGVybWFya1x1MDAyMjpmYWxzZSxcdTAwMjJXYXRlcm1hcmtVcGRhdGVUeXBlXHUwMDIy"/>
    <w:docVar w:name="GVData5" w:val="OjEsXHUwMDIyUG93ZXJwb2ludFRpdGxlXHUwMDIyOm51bGwsXHUwMDIyUG93ZXJwb2ludFN1Yml0bGVcdTAwMjI6bnVsbH0iLA0KICAiU3RhdGUiOiAie1x1MDAyMkZpcnN0UGFnZURpZmZlcmVudFx1MDAyMjpmYWxzZSxcdTAwMjJEaWZmZXJlbnRPZGRBbmRFdmVu"/>
    <w:docVar w:name="GVData6" w:val="UGFnZXNcdTAwMjI6ZmFsc2UsXHUwMDIyUGFnZUNvdW50XHUwMDIyOjExLFx1MDAyMkhlYWRlck1ldGFkYXRhXHUwMDIyOlx1MDAyMlx1MDAyMixcdTAwMjJUaGlyZFBhcnR5SGVhZGVyTWV0YWRhdGFcdTAwMjI6XHUwMDIyXHUwMDIyLFx1MDAyMkdWSGVhZGVyRXhp"/>
    <w:docVar w:name="GVData7" w:val="c3RzXHUwMDIyOmZhbHNlLFx1MDAyMk5vbkdWSGVhZGVyRXhpc3RzXHUwMDIyOmZhbHNlLFx1MDAyMkNvcm5lckhlYWRlckV4aXN0c1x1MDAyMjpmYWxzZSxcdTAwMjJOb25HVkhlYWRlclNoYXBlRXhpc3RzXHUwMDIyOmZhbHNlLFx1MDAyMlRoaXJkUGFydHlIZWFk"/>
    <w:docVar w:name="GVData8" w:val="ZXJzXHUwMDIyOltdLFx1MDAyMkZvb3Rlck1ldGFkYXRhXHUwMDIyOlx1MDAyMlx1MDAyMixcdTAwMjJUaGlyZFBhcnR5Rm9vdGVyTWV0YWRhdGFcdTAwMjI6XHUwMDIyXHUwMDIyLFx1MDAyMkdWRm9vdGVyRXhpc3RzXHUwMDIyOmZhbHNlLFx1MDAyMk5vbkdWRm9v"/>
    <w:docVar w:name="GVData9" w:val="dGVyRXhpc3RzXHUwMDIyOmZhbHNlLFx1MDAyMkNvcm5lckZvb3RlckV4aXN0c1x1MDAyMjpmYWxzZSxcdTAwMjJOb25HVkZvb3RlclNoYXBlRXhpc3RzXHUwMDIyOmZhbHNlLFx1MDAyMlRoaXJkUGFydHlGb290ZXJzXHUwMDIyOltdLFx1MDAyMldhdGVybWFya01l"/>
  </w:docVars>
  <w:rsids>
    <w:rsidRoot w:val="008C2B43"/>
    <w:rsid w:val="000000F9"/>
    <w:rsid w:val="00003DFC"/>
    <w:rsid w:val="00012394"/>
    <w:rsid w:val="00021120"/>
    <w:rsid w:val="000462C9"/>
    <w:rsid w:val="00060D59"/>
    <w:rsid w:val="00066C4E"/>
    <w:rsid w:val="0007315C"/>
    <w:rsid w:val="000944A7"/>
    <w:rsid w:val="0009614D"/>
    <w:rsid w:val="0009634C"/>
    <w:rsid w:val="000A6648"/>
    <w:rsid w:val="000C21F2"/>
    <w:rsid w:val="000C2BB4"/>
    <w:rsid w:val="000D5913"/>
    <w:rsid w:val="000D6C96"/>
    <w:rsid w:val="000F1FB5"/>
    <w:rsid w:val="000F3705"/>
    <w:rsid w:val="0010058F"/>
    <w:rsid w:val="0010126E"/>
    <w:rsid w:val="00104EE3"/>
    <w:rsid w:val="00112A11"/>
    <w:rsid w:val="00112B42"/>
    <w:rsid w:val="001130D0"/>
    <w:rsid w:val="001167F9"/>
    <w:rsid w:val="0012315D"/>
    <w:rsid w:val="00134708"/>
    <w:rsid w:val="00135B3B"/>
    <w:rsid w:val="001431AD"/>
    <w:rsid w:val="00157102"/>
    <w:rsid w:val="001704D9"/>
    <w:rsid w:val="00174ED4"/>
    <w:rsid w:val="001872C5"/>
    <w:rsid w:val="00193A29"/>
    <w:rsid w:val="001A26FC"/>
    <w:rsid w:val="001B1946"/>
    <w:rsid w:val="001D0F8B"/>
    <w:rsid w:val="001D3D42"/>
    <w:rsid w:val="001D3F61"/>
    <w:rsid w:val="001D6404"/>
    <w:rsid w:val="001E1A3E"/>
    <w:rsid w:val="001E45D0"/>
    <w:rsid w:val="001F092E"/>
    <w:rsid w:val="001F26FA"/>
    <w:rsid w:val="001F3EA4"/>
    <w:rsid w:val="00205B06"/>
    <w:rsid w:val="00211386"/>
    <w:rsid w:val="002176B9"/>
    <w:rsid w:val="00225D50"/>
    <w:rsid w:val="002268C7"/>
    <w:rsid w:val="00237E04"/>
    <w:rsid w:val="00244163"/>
    <w:rsid w:val="002513AE"/>
    <w:rsid w:val="0026038F"/>
    <w:rsid w:val="00260EF2"/>
    <w:rsid w:val="002636D1"/>
    <w:rsid w:val="00264A75"/>
    <w:rsid w:val="00270E44"/>
    <w:rsid w:val="002828BE"/>
    <w:rsid w:val="0028493B"/>
    <w:rsid w:val="00287EEC"/>
    <w:rsid w:val="00290510"/>
    <w:rsid w:val="00297474"/>
    <w:rsid w:val="00297DE5"/>
    <w:rsid w:val="002C114B"/>
    <w:rsid w:val="002C4A70"/>
    <w:rsid w:val="002C61B5"/>
    <w:rsid w:val="002D2BCE"/>
    <w:rsid w:val="002E1442"/>
    <w:rsid w:val="002F053F"/>
    <w:rsid w:val="002F555C"/>
    <w:rsid w:val="00303493"/>
    <w:rsid w:val="00306175"/>
    <w:rsid w:val="00306178"/>
    <w:rsid w:val="003140C6"/>
    <w:rsid w:val="00326E4C"/>
    <w:rsid w:val="00330DC8"/>
    <w:rsid w:val="0033335C"/>
    <w:rsid w:val="00333E89"/>
    <w:rsid w:val="00334182"/>
    <w:rsid w:val="00340701"/>
    <w:rsid w:val="00341510"/>
    <w:rsid w:val="003464E1"/>
    <w:rsid w:val="00355E12"/>
    <w:rsid w:val="003560E8"/>
    <w:rsid w:val="00367055"/>
    <w:rsid w:val="00370684"/>
    <w:rsid w:val="00375360"/>
    <w:rsid w:val="003757BA"/>
    <w:rsid w:val="00386EEE"/>
    <w:rsid w:val="00391F2F"/>
    <w:rsid w:val="003975CE"/>
    <w:rsid w:val="003A7E12"/>
    <w:rsid w:val="003B5589"/>
    <w:rsid w:val="003C4B72"/>
    <w:rsid w:val="003E429B"/>
    <w:rsid w:val="003E541D"/>
    <w:rsid w:val="003F7C34"/>
    <w:rsid w:val="004063E8"/>
    <w:rsid w:val="00415FC1"/>
    <w:rsid w:val="004358E2"/>
    <w:rsid w:val="00437949"/>
    <w:rsid w:val="00437D49"/>
    <w:rsid w:val="00446B9F"/>
    <w:rsid w:val="00452FE1"/>
    <w:rsid w:val="00456EA5"/>
    <w:rsid w:val="004623D9"/>
    <w:rsid w:val="00463F23"/>
    <w:rsid w:val="00464D61"/>
    <w:rsid w:val="00467D22"/>
    <w:rsid w:val="00473D5E"/>
    <w:rsid w:val="004772F4"/>
    <w:rsid w:val="00493B82"/>
    <w:rsid w:val="004A2B4C"/>
    <w:rsid w:val="004C034E"/>
    <w:rsid w:val="004C39B9"/>
    <w:rsid w:val="004C7983"/>
    <w:rsid w:val="004D38E4"/>
    <w:rsid w:val="004D589F"/>
    <w:rsid w:val="004D5DFA"/>
    <w:rsid w:val="004D794D"/>
    <w:rsid w:val="004E3CFD"/>
    <w:rsid w:val="00521DEC"/>
    <w:rsid w:val="005244BC"/>
    <w:rsid w:val="00540052"/>
    <w:rsid w:val="00546D7E"/>
    <w:rsid w:val="00547D3F"/>
    <w:rsid w:val="005523DE"/>
    <w:rsid w:val="0055287F"/>
    <w:rsid w:val="005556A9"/>
    <w:rsid w:val="005600CD"/>
    <w:rsid w:val="005609EC"/>
    <w:rsid w:val="005659AC"/>
    <w:rsid w:val="00575FA2"/>
    <w:rsid w:val="00586CAB"/>
    <w:rsid w:val="00587551"/>
    <w:rsid w:val="005943C1"/>
    <w:rsid w:val="005B4A41"/>
    <w:rsid w:val="005D2443"/>
    <w:rsid w:val="005E055F"/>
    <w:rsid w:val="005E1560"/>
    <w:rsid w:val="005E75EF"/>
    <w:rsid w:val="005E770B"/>
    <w:rsid w:val="005F4CD0"/>
    <w:rsid w:val="00602348"/>
    <w:rsid w:val="0060407A"/>
    <w:rsid w:val="00605F8F"/>
    <w:rsid w:val="0062729D"/>
    <w:rsid w:val="00627EC3"/>
    <w:rsid w:val="0063382A"/>
    <w:rsid w:val="0064404D"/>
    <w:rsid w:val="00651FA3"/>
    <w:rsid w:val="00653B2E"/>
    <w:rsid w:val="00654E40"/>
    <w:rsid w:val="0067535C"/>
    <w:rsid w:val="006810DA"/>
    <w:rsid w:val="00683477"/>
    <w:rsid w:val="006970B9"/>
    <w:rsid w:val="006A6698"/>
    <w:rsid w:val="006B3294"/>
    <w:rsid w:val="006B3D65"/>
    <w:rsid w:val="006B3EEE"/>
    <w:rsid w:val="006B5D3B"/>
    <w:rsid w:val="006C7386"/>
    <w:rsid w:val="006D44C8"/>
    <w:rsid w:val="006D49B9"/>
    <w:rsid w:val="006D6235"/>
    <w:rsid w:val="006E35DE"/>
    <w:rsid w:val="006E4860"/>
    <w:rsid w:val="006E4FCE"/>
    <w:rsid w:val="006F1B37"/>
    <w:rsid w:val="006F2A2B"/>
    <w:rsid w:val="006F2C6E"/>
    <w:rsid w:val="00705B34"/>
    <w:rsid w:val="00717D49"/>
    <w:rsid w:val="00740DB7"/>
    <w:rsid w:val="007517AF"/>
    <w:rsid w:val="00756A58"/>
    <w:rsid w:val="00763D94"/>
    <w:rsid w:val="00765AF4"/>
    <w:rsid w:val="00770CF5"/>
    <w:rsid w:val="00772518"/>
    <w:rsid w:val="00784AD7"/>
    <w:rsid w:val="007902B6"/>
    <w:rsid w:val="007A3887"/>
    <w:rsid w:val="007A4435"/>
    <w:rsid w:val="007A51D3"/>
    <w:rsid w:val="007B5492"/>
    <w:rsid w:val="007B679D"/>
    <w:rsid w:val="007C7F9A"/>
    <w:rsid w:val="007E5269"/>
    <w:rsid w:val="007F31BA"/>
    <w:rsid w:val="007F37F5"/>
    <w:rsid w:val="007F5CE1"/>
    <w:rsid w:val="00800F13"/>
    <w:rsid w:val="0080151E"/>
    <w:rsid w:val="00802C7F"/>
    <w:rsid w:val="00802E4C"/>
    <w:rsid w:val="00814092"/>
    <w:rsid w:val="008243B7"/>
    <w:rsid w:val="00845A0E"/>
    <w:rsid w:val="0085138B"/>
    <w:rsid w:val="00893031"/>
    <w:rsid w:val="008A4E98"/>
    <w:rsid w:val="008B44CB"/>
    <w:rsid w:val="008C1DCC"/>
    <w:rsid w:val="008C2B43"/>
    <w:rsid w:val="008C3DD2"/>
    <w:rsid w:val="00905457"/>
    <w:rsid w:val="009079F0"/>
    <w:rsid w:val="00910FA2"/>
    <w:rsid w:val="00913BDC"/>
    <w:rsid w:val="00922B61"/>
    <w:rsid w:val="00933354"/>
    <w:rsid w:val="009407B0"/>
    <w:rsid w:val="009530EA"/>
    <w:rsid w:val="00967FC8"/>
    <w:rsid w:val="00987048"/>
    <w:rsid w:val="009904E4"/>
    <w:rsid w:val="00995AFA"/>
    <w:rsid w:val="00997750"/>
    <w:rsid w:val="009A7F71"/>
    <w:rsid w:val="009B6B40"/>
    <w:rsid w:val="009C3B33"/>
    <w:rsid w:val="009D26E2"/>
    <w:rsid w:val="009D3DBB"/>
    <w:rsid w:val="009D4E37"/>
    <w:rsid w:val="009E0FBB"/>
    <w:rsid w:val="009E18B1"/>
    <w:rsid w:val="009F12F1"/>
    <w:rsid w:val="009F4468"/>
    <w:rsid w:val="00A14E1C"/>
    <w:rsid w:val="00A32709"/>
    <w:rsid w:val="00A43A7F"/>
    <w:rsid w:val="00A4781D"/>
    <w:rsid w:val="00A5323C"/>
    <w:rsid w:val="00A55DF9"/>
    <w:rsid w:val="00A56578"/>
    <w:rsid w:val="00A57A26"/>
    <w:rsid w:val="00A70E9D"/>
    <w:rsid w:val="00A77379"/>
    <w:rsid w:val="00A80487"/>
    <w:rsid w:val="00A944B8"/>
    <w:rsid w:val="00AA5595"/>
    <w:rsid w:val="00AA6EC8"/>
    <w:rsid w:val="00AA7721"/>
    <w:rsid w:val="00AB31E4"/>
    <w:rsid w:val="00AC2330"/>
    <w:rsid w:val="00AC29EA"/>
    <w:rsid w:val="00AD370F"/>
    <w:rsid w:val="00AD4B14"/>
    <w:rsid w:val="00AD7886"/>
    <w:rsid w:val="00AE3E7D"/>
    <w:rsid w:val="00AE6BB0"/>
    <w:rsid w:val="00AF1B97"/>
    <w:rsid w:val="00AF34DA"/>
    <w:rsid w:val="00AF3BC7"/>
    <w:rsid w:val="00AF3EF6"/>
    <w:rsid w:val="00AF4417"/>
    <w:rsid w:val="00B00DBA"/>
    <w:rsid w:val="00B257C3"/>
    <w:rsid w:val="00B37B39"/>
    <w:rsid w:val="00B52E02"/>
    <w:rsid w:val="00B55251"/>
    <w:rsid w:val="00B70F40"/>
    <w:rsid w:val="00B71C74"/>
    <w:rsid w:val="00B96856"/>
    <w:rsid w:val="00B97415"/>
    <w:rsid w:val="00B97812"/>
    <w:rsid w:val="00BA1943"/>
    <w:rsid w:val="00BC250F"/>
    <w:rsid w:val="00BC5FF8"/>
    <w:rsid w:val="00BD5232"/>
    <w:rsid w:val="00BD587E"/>
    <w:rsid w:val="00BD64D8"/>
    <w:rsid w:val="00BD6687"/>
    <w:rsid w:val="00BD7111"/>
    <w:rsid w:val="00BD7B7B"/>
    <w:rsid w:val="00BF28E1"/>
    <w:rsid w:val="00BF3038"/>
    <w:rsid w:val="00BF537A"/>
    <w:rsid w:val="00BF5F2B"/>
    <w:rsid w:val="00C21083"/>
    <w:rsid w:val="00C31788"/>
    <w:rsid w:val="00C35A69"/>
    <w:rsid w:val="00C5024E"/>
    <w:rsid w:val="00C515AF"/>
    <w:rsid w:val="00C51886"/>
    <w:rsid w:val="00C51C4E"/>
    <w:rsid w:val="00C6199A"/>
    <w:rsid w:val="00C6249A"/>
    <w:rsid w:val="00C63BA2"/>
    <w:rsid w:val="00C70D59"/>
    <w:rsid w:val="00C71E57"/>
    <w:rsid w:val="00C737F6"/>
    <w:rsid w:val="00C82BC0"/>
    <w:rsid w:val="00C91BC6"/>
    <w:rsid w:val="00C97CCD"/>
    <w:rsid w:val="00CB5F7B"/>
    <w:rsid w:val="00CB713D"/>
    <w:rsid w:val="00CC2E63"/>
    <w:rsid w:val="00CC7A54"/>
    <w:rsid w:val="00CD5B4C"/>
    <w:rsid w:val="00CD6D81"/>
    <w:rsid w:val="00CD7E4A"/>
    <w:rsid w:val="00CF0023"/>
    <w:rsid w:val="00CF3846"/>
    <w:rsid w:val="00CF63F2"/>
    <w:rsid w:val="00CF785D"/>
    <w:rsid w:val="00D20895"/>
    <w:rsid w:val="00D22094"/>
    <w:rsid w:val="00D31593"/>
    <w:rsid w:val="00D349CF"/>
    <w:rsid w:val="00D40995"/>
    <w:rsid w:val="00D5050B"/>
    <w:rsid w:val="00D61336"/>
    <w:rsid w:val="00D66972"/>
    <w:rsid w:val="00D67413"/>
    <w:rsid w:val="00D70050"/>
    <w:rsid w:val="00D70AFB"/>
    <w:rsid w:val="00D80702"/>
    <w:rsid w:val="00D81247"/>
    <w:rsid w:val="00D82B64"/>
    <w:rsid w:val="00DA1319"/>
    <w:rsid w:val="00DA2670"/>
    <w:rsid w:val="00DA6AB9"/>
    <w:rsid w:val="00DB21AC"/>
    <w:rsid w:val="00DB21C0"/>
    <w:rsid w:val="00DB31F9"/>
    <w:rsid w:val="00DD6412"/>
    <w:rsid w:val="00DE540F"/>
    <w:rsid w:val="00DF3E07"/>
    <w:rsid w:val="00E0198C"/>
    <w:rsid w:val="00E029F5"/>
    <w:rsid w:val="00E03B5D"/>
    <w:rsid w:val="00E04827"/>
    <w:rsid w:val="00E10E91"/>
    <w:rsid w:val="00E110C5"/>
    <w:rsid w:val="00E11BDE"/>
    <w:rsid w:val="00E209FC"/>
    <w:rsid w:val="00E3084F"/>
    <w:rsid w:val="00E336F0"/>
    <w:rsid w:val="00E41F10"/>
    <w:rsid w:val="00E447F1"/>
    <w:rsid w:val="00E45D1A"/>
    <w:rsid w:val="00E501A6"/>
    <w:rsid w:val="00E50206"/>
    <w:rsid w:val="00E60651"/>
    <w:rsid w:val="00E66FC0"/>
    <w:rsid w:val="00E82E09"/>
    <w:rsid w:val="00E948BE"/>
    <w:rsid w:val="00E96301"/>
    <w:rsid w:val="00EA79C4"/>
    <w:rsid w:val="00EB687E"/>
    <w:rsid w:val="00ED0228"/>
    <w:rsid w:val="00ED218D"/>
    <w:rsid w:val="00ED288E"/>
    <w:rsid w:val="00ED7FA9"/>
    <w:rsid w:val="00EE25EF"/>
    <w:rsid w:val="00F04BA4"/>
    <w:rsid w:val="00F10DAB"/>
    <w:rsid w:val="00F16996"/>
    <w:rsid w:val="00F3372E"/>
    <w:rsid w:val="00F40A05"/>
    <w:rsid w:val="00F43A8D"/>
    <w:rsid w:val="00F4658D"/>
    <w:rsid w:val="00F529DC"/>
    <w:rsid w:val="00F56712"/>
    <w:rsid w:val="00F70CD6"/>
    <w:rsid w:val="00F714A6"/>
    <w:rsid w:val="00F7359F"/>
    <w:rsid w:val="00F8059B"/>
    <w:rsid w:val="00F863DE"/>
    <w:rsid w:val="00F869D9"/>
    <w:rsid w:val="00F86EDA"/>
    <w:rsid w:val="00FA241C"/>
    <w:rsid w:val="00FA46CD"/>
    <w:rsid w:val="00FA660B"/>
    <w:rsid w:val="00FB115A"/>
    <w:rsid w:val="00FC2B14"/>
    <w:rsid w:val="00FC51A3"/>
    <w:rsid w:val="00FD4022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76C518F"/>
  <w15:docId w15:val="{7BCA4E7E-3B76-4385-9BA8-0C88DE9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2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827"/>
    <w:pPr>
      <w:ind w:left="720"/>
      <w:contextualSpacing/>
    </w:pPr>
  </w:style>
  <w:style w:type="table" w:customStyle="1" w:styleId="TableGrid">
    <w:name w:val="TableGrid"/>
    <w:rsid w:val="00225D50"/>
    <w:pPr>
      <w:spacing w:after="0" w:line="240" w:lineRule="auto"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eferencetext">
    <w:name w:val="referencetext"/>
    <w:basedOn w:val="Normal"/>
    <w:rsid w:val="00FB1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2C114B"/>
    <w:pPr>
      <w:spacing w:after="0" w:line="240" w:lineRule="auto"/>
    </w:pPr>
    <w:rPr>
      <w:color w:val="000000" w:themeColor="text1" w:themeShade="BF"/>
      <w:kern w:val="2"/>
      <w14:ligatures w14:val="standardContextu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1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C1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C11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5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23C"/>
  </w:style>
  <w:style w:type="paragraph" w:styleId="Footer">
    <w:name w:val="footer"/>
    <w:basedOn w:val="Normal"/>
    <w:link w:val="FooterChar"/>
    <w:uiPriority w:val="99"/>
    <w:unhideWhenUsed/>
    <w:rsid w:val="00A53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23C"/>
  </w:style>
  <w:style w:type="paragraph" w:customStyle="1" w:styleId="Pa14">
    <w:name w:val="Pa14"/>
    <w:basedOn w:val="Normal"/>
    <w:next w:val="Normal"/>
    <w:uiPriority w:val="99"/>
    <w:rsid w:val="00260EF2"/>
    <w:pPr>
      <w:autoSpaceDE w:val="0"/>
      <w:autoSpaceDN w:val="0"/>
      <w:adjustRightInd w:val="0"/>
      <w:spacing w:after="0" w:line="221" w:lineRule="atLeast"/>
    </w:pPr>
    <w:rPr>
      <w:rFonts w:ascii="YRIPVS+CambriaMath" w:hAnsi="YRIPVS+CambriaMath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23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3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20433\Downloads\LAB%20FINAL%20RESULTS%20UPDATED%20(1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TPH</a:t>
            </a:r>
            <a:r>
              <a:rPr lang="en-US" sz="1200" baseline="0"/>
              <a:t> (mg/L)</a:t>
            </a:r>
            <a:endParaRPr lang="en-US" sz="1200"/>
          </a:p>
        </c:rich>
      </c:tx>
      <c:overlay val="1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'100G'!$B$13</c:f>
              <c:strCache>
                <c:ptCount val="1"/>
                <c:pt idx="0">
                  <c:v>UPW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'100G'!$C$11:$E$12</c:f>
              <c:strCache>
                <c:ptCount val="3"/>
                <c:pt idx="0">
                  <c:v>C7T </c:v>
                </c:pt>
                <c:pt idx="1">
                  <c:v>AZ-ST 1</c:v>
                </c:pt>
                <c:pt idx="2">
                  <c:v>AZ-ST 2     </c:v>
                </c:pt>
              </c:strCache>
            </c:strRef>
          </c:cat>
          <c:val>
            <c:numRef>
              <c:f>'100G'!$C$13:$E$13</c:f>
              <c:numCache>
                <c:formatCode>General</c:formatCode>
                <c:ptCount val="3"/>
                <c:pt idx="0">
                  <c:v>135.1</c:v>
                </c:pt>
                <c:pt idx="1">
                  <c:v>128.19999999999999</c:v>
                </c:pt>
                <c:pt idx="2">
                  <c:v>114.7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BF-425F-AC73-222C23BA51B7}"/>
            </c:ext>
          </c:extLst>
        </c:ser>
        <c:ser>
          <c:idx val="1"/>
          <c:order val="1"/>
          <c:tx>
            <c:strRef>
              <c:f>'100G'!$B$14</c:f>
              <c:strCache>
                <c:ptCount val="1"/>
                <c:pt idx="0">
                  <c:v>30MIN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'100G'!$C$11:$E$12</c:f>
              <c:strCache>
                <c:ptCount val="3"/>
                <c:pt idx="0">
                  <c:v>C7T </c:v>
                </c:pt>
                <c:pt idx="1">
                  <c:v>AZ-ST 1</c:v>
                </c:pt>
                <c:pt idx="2">
                  <c:v>AZ-ST 2     </c:v>
                </c:pt>
              </c:strCache>
            </c:strRef>
          </c:cat>
          <c:val>
            <c:numRef>
              <c:f>'100G'!$C$14:$E$14</c:f>
              <c:numCache>
                <c:formatCode>0.0</c:formatCode>
                <c:ptCount val="3"/>
                <c:pt idx="0">
                  <c:v>94</c:v>
                </c:pt>
                <c:pt idx="1">
                  <c:v>66.099999999999994</c:v>
                </c:pt>
                <c:pt idx="2">
                  <c:v>59.9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BF-425F-AC73-222C23BA51B7}"/>
            </c:ext>
          </c:extLst>
        </c:ser>
        <c:ser>
          <c:idx val="2"/>
          <c:order val="2"/>
          <c:tx>
            <c:strRef>
              <c:f>'100G'!$B$15</c:f>
              <c:strCache>
                <c:ptCount val="1"/>
                <c:pt idx="0">
                  <c:v>60MIN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'100G'!$C$11:$E$12</c:f>
              <c:strCache>
                <c:ptCount val="3"/>
                <c:pt idx="0">
                  <c:v>C7T </c:v>
                </c:pt>
                <c:pt idx="1">
                  <c:v>AZ-ST 1</c:v>
                </c:pt>
                <c:pt idx="2">
                  <c:v>AZ-ST 2     </c:v>
                </c:pt>
              </c:strCache>
            </c:strRef>
          </c:cat>
          <c:val>
            <c:numRef>
              <c:f>'100G'!$C$15:$E$15</c:f>
              <c:numCache>
                <c:formatCode>0.0</c:formatCode>
                <c:ptCount val="3"/>
                <c:pt idx="0">
                  <c:v>68.450800000000001</c:v>
                </c:pt>
                <c:pt idx="1">
                  <c:v>48.711739999999992</c:v>
                </c:pt>
                <c:pt idx="2">
                  <c:v>41.4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BF-425F-AC73-222C23BA51B7}"/>
            </c:ext>
          </c:extLst>
        </c:ser>
        <c:ser>
          <c:idx val="3"/>
          <c:order val="3"/>
          <c:tx>
            <c:strRef>
              <c:f>'100G'!$B$16</c:f>
              <c:strCache>
                <c:ptCount val="1"/>
                <c:pt idx="0">
                  <c:v>90MIN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strRef>
              <c:f>'100G'!$C$11:$E$12</c:f>
              <c:strCache>
                <c:ptCount val="3"/>
                <c:pt idx="0">
                  <c:v>C7T </c:v>
                </c:pt>
                <c:pt idx="1">
                  <c:v>AZ-ST 1</c:v>
                </c:pt>
                <c:pt idx="2">
                  <c:v>AZ-ST 2     </c:v>
                </c:pt>
              </c:strCache>
            </c:strRef>
          </c:cat>
          <c:val>
            <c:numRef>
              <c:f>'100G'!$C$16:$E$16</c:f>
              <c:numCache>
                <c:formatCode>0.0</c:formatCode>
                <c:ptCount val="3"/>
                <c:pt idx="0">
                  <c:v>36.410000000000004</c:v>
                </c:pt>
                <c:pt idx="1">
                  <c:v>25.910499999999999</c:v>
                </c:pt>
                <c:pt idx="2">
                  <c:v>13.6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BF-425F-AC73-222C23BA51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9712256"/>
        <c:axId val="209714176"/>
      </c:barChart>
      <c:catAx>
        <c:axId val="209712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900" b="1"/>
                  <a:t>SAMPLED</a:t>
                </a:r>
                <a:r>
                  <a:rPr lang="en-US" sz="900" b="1" baseline="0"/>
                  <a:t> LOCATIONS</a:t>
                </a:r>
                <a:endParaRPr lang="en-US" sz="900" b="1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209714176"/>
        <c:crosses val="autoZero"/>
        <c:auto val="1"/>
        <c:lblAlgn val="ctr"/>
        <c:lblOffset val="100"/>
        <c:noMultiLvlLbl val="0"/>
      </c:catAx>
      <c:valAx>
        <c:axId val="209714176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700"/>
                  <a:t>  TPH LEVEL (mg/l)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097122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87772329048273"/>
          <c:y val="7.37809089653267E-2"/>
          <c:w val="0.11920754502936642"/>
          <c:h val="0.5759739526230107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441553805774278"/>
          <c:y val="8.0145719489981782E-2"/>
          <c:w val="0.74742635964576987"/>
          <c:h val="0.621686961260989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'100G'!$C$31</c:f>
              <c:strCache>
                <c:ptCount val="1"/>
                <c:pt idx="0">
                  <c:v>C7T 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multiLvlStrRef>
              <c:f>'100G'!$A$32:$B$35</c:f>
              <c:multiLvlStrCache>
                <c:ptCount val="4"/>
                <c:lvl>
                  <c:pt idx="0">
                    <c:v>UPW</c:v>
                  </c:pt>
                  <c:pt idx="1">
                    <c:v>30MIN</c:v>
                  </c:pt>
                  <c:pt idx="2">
                    <c:v>60MIN</c:v>
                  </c:pt>
                  <c:pt idx="3">
                    <c:v>90MIN</c:v>
                  </c:pt>
                </c:lvl>
                <c:lvl>
                  <c:pt idx="0">
                    <c:v>TDS (mg/L)</c:v>
                  </c:pt>
                </c:lvl>
              </c:multiLvlStrCache>
            </c:multiLvlStrRef>
          </c:cat>
          <c:val>
            <c:numRef>
              <c:f>'100G'!$C$32:$C$35</c:f>
              <c:numCache>
                <c:formatCode>0</c:formatCode>
                <c:ptCount val="4"/>
                <c:pt idx="0" formatCode="General">
                  <c:v>12313</c:v>
                </c:pt>
                <c:pt idx="1">
                  <c:v>9325.3695200000002</c:v>
                </c:pt>
                <c:pt idx="2" formatCode="General">
                  <c:v>6589</c:v>
                </c:pt>
                <c:pt idx="3" formatCode="General">
                  <c:v>2803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6F-450D-856B-9C04F6E9B90C}"/>
            </c:ext>
          </c:extLst>
        </c:ser>
        <c:ser>
          <c:idx val="1"/>
          <c:order val="1"/>
          <c:tx>
            <c:strRef>
              <c:f>'100G'!$D$31</c:f>
              <c:strCache>
                <c:ptCount val="1"/>
                <c:pt idx="0">
                  <c:v>AZ-ST 1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multiLvlStrRef>
              <c:f>'100G'!$A$32:$B$35</c:f>
              <c:multiLvlStrCache>
                <c:ptCount val="4"/>
                <c:lvl>
                  <c:pt idx="0">
                    <c:v>UPW</c:v>
                  </c:pt>
                  <c:pt idx="1">
                    <c:v>30MIN</c:v>
                  </c:pt>
                  <c:pt idx="2">
                    <c:v>60MIN</c:v>
                  </c:pt>
                  <c:pt idx="3">
                    <c:v>90MIN</c:v>
                  </c:pt>
                </c:lvl>
                <c:lvl>
                  <c:pt idx="0">
                    <c:v>TDS (mg/L)</c:v>
                  </c:pt>
                </c:lvl>
              </c:multiLvlStrCache>
            </c:multiLvlStrRef>
          </c:cat>
          <c:val>
            <c:numRef>
              <c:f>'100G'!$D$32:$D$35</c:f>
              <c:numCache>
                <c:formatCode>0</c:formatCode>
                <c:ptCount val="4"/>
                <c:pt idx="0" formatCode="General">
                  <c:v>10580</c:v>
                </c:pt>
                <c:pt idx="1">
                  <c:v>8118.1746999999996</c:v>
                </c:pt>
                <c:pt idx="2" formatCode="General">
                  <c:v>5190</c:v>
                </c:pt>
                <c:pt idx="3" formatCode="General">
                  <c:v>2208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6F-450D-856B-9C04F6E9B90C}"/>
            </c:ext>
          </c:extLst>
        </c:ser>
        <c:ser>
          <c:idx val="2"/>
          <c:order val="2"/>
          <c:tx>
            <c:strRef>
              <c:f>'100G'!$E$31</c:f>
              <c:strCache>
                <c:ptCount val="1"/>
                <c:pt idx="0">
                  <c:v>AZ-ST 2     </c:v>
                </c:pt>
              </c:strCache>
            </c:strRef>
          </c:tx>
          <c:invertIfNegative val="0"/>
          <c:errBars>
            <c:errBarType val="both"/>
            <c:errValType val="percentage"/>
            <c:noEndCap val="0"/>
            <c:val val="5"/>
          </c:errBars>
          <c:cat>
            <c:multiLvlStrRef>
              <c:f>'100G'!$A$32:$B$35</c:f>
              <c:multiLvlStrCache>
                <c:ptCount val="4"/>
                <c:lvl>
                  <c:pt idx="0">
                    <c:v>UPW</c:v>
                  </c:pt>
                  <c:pt idx="1">
                    <c:v>30MIN</c:v>
                  </c:pt>
                  <c:pt idx="2">
                    <c:v>60MIN</c:v>
                  </c:pt>
                  <c:pt idx="3">
                    <c:v>90MIN</c:v>
                  </c:pt>
                </c:lvl>
                <c:lvl>
                  <c:pt idx="0">
                    <c:v>TDS (mg/L)</c:v>
                  </c:pt>
                </c:lvl>
              </c:multiLvlStrCache>
            </c:multiLvlStrRef>
          </c:cat>
          <c:val>
            <c:numRef>
              <c:f>'100G'!$E$32:$E$35</c:f>
              <c:numCache>
                <c:formatCode>0</c:formatCode>
                <c:ptCount val="4"/>
                <c:pt idx="0" formatCode="General">
                  <c:v>10150</c:v>
                </c:pt>
                <c:pt idx="1">
                  <c:v>7147.9658799999997</c:v>
                </c:pt>
                <c:pt idx="2" formatCode="General">
                  <c:v>4840</c:v>
                </c:pt>
                <c:pt idx="3" formatCode="General">
                  <c:v>2059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6F-450D-856B-9C04F6E9B9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7477120"/>
        <c:axId val="217478656"/>
      </c:barChart>
      <c:catAx>
        <c:axId val="2174771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17478656"/>
        <c:crosses val="autoZero"/>
        <c:auto val="1"/>
        <c:lblAlgn val="ctr"/>
        <c:lblOffset val="100"/>
        <c:noMultiLvlLbl val="0"/>
      </c:catAx>
      <c:valAx>
        <c:axId val="2174786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7477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EF5A9-97B4-43E8-90F6-E289C564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3120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 N. Ogbole</dc:creator>
  <cp:lastModifiedBy>SDI 1084</cp:lastModifiedBy>
  <cp:revision>15</cp:revision>
  <dcterms:created xsi:type="dcterms:W3CDTF">2025-04-03T16:30:00Z</dcterms:created>
  <dcterms:modified xsi:type="dcterms:W3CDTF">2025-04-04T13:16:00Z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ew0KICAidGFnc2V0X2UxNjQwOWE3XzE3MDBfNDE1M185MDkwXzM5NTViYzJmMGFlOF9jbGFzc2lmaWNhdGlvbiI6ICJPcGVuIiwNCiAgImRvY0lEIjogImFkMTE1MmI5LWVkZTMtNDI4Yy04YzYzLWNjN2JhODM0NjhlZSIsDQogICJPUyI6ICJXaW5kb3dzIiwNCiAg</vt:lpwstr>
  </property>
  <property fmtid="{D5CDD505-2E9C-101B-9397-08002B2CF9AE}" pid="3" name="GVData0">
    <vt:lpwstr>Ik9wdGlvbnMiOiAie1x1MDAyMlBhZ2VMYXlvdXRDb25maWd1cmF0aW9uXHUwMDIyOntcdTAwMjJBbHdheXNTaG93UG9wdXBcdTAwMjI6ZmFsc2UsXHUwMDIySGFzQWx3YXlzU2hvd1BvcHVwXHUwMDIyOnRydWUsXHUwMDIyT3B0aW9uc1x1MDAyMjowLFx1MDAyMlRy</vt:lpwstr>
  </property>
  <property fmtid="{D5CDD505-2E9C-101B-9397-08002B2CF9AE}" pid="4" name="ClassificationTagSetId">
    <vt:lpwstr>e16409a7-1700-4153-9090-3955bc2f0ae8</vt:lpwstr>
  </property>
  <property fmtid="{D5CDD505-2E9C-101B-9397-08002B2CF9AE}" pid="5" name="Classification">
    <vt:lpwstr>Open</vt:lpwstr>
  </property>
  <property fmtid="{D5CDD505-2E9C-101B-9397-08002B2CF9AE}" pid="6" name="ComplianceTagSetId">
    <vt:lpwstr>f14fc1f1-8950-40d5-8a29-45909da947d6</vt:lpwstr>
  </property>
  <property fmtid="{D5CDD505-2E9C-101B-9397-08002B2CF9AE}" pid="7" name="FileId">
    <vt:lpwstr>ad1152b9-ede3-428c-8c63-cc7ba83468ee</vt:lpwstr>
  </property>
  <property fmtid="{D5CDD505-2E9C-101B-9397-08002B2CF9AE}" pid="8" name="UserId">
    <vt:lpwstr>LOCAL SERVICE</vt:lpwstr>
  </property>
  <property fmtid="{D5CDD505-2E9C-101B-9397-08002B2CF9AE}" pid="9" name="TagDateTime">
    <vt:lpwstr>2025-04-02T20:29:34Z</vt:lpwstr>
  </property>
  <property fmtid="{D5CDD505-2E9C-101B-9397-08002B2CF9AE}" pid="10" name="GVData1">
    <vt:lpwstr>aWdnZXJQYWdlc051bWJlclx1MDAyMjoxfSxcdTAwMjJBcHBseUZyb21QYWdlXHUwMDIyOjAsXHUwMDIyQXBwbHlUb1BhZ2VcdTAwMjI6MCxcdTAwMjJIZWFkZXJFbmFibGVkXHUwMDIyOmZhbHNlLFx1MDAyMkhlYWRlclx1MDAyMjpcdTAwMjJcdTAwMjIsXHUwMDIy</vt:lpwstr>
  </property>
  <property fmtid="{D5CDD505-2E9C-101B-9397-08002B2CF9AE}" pid="11" name="GVData2">
    <vt:lpwstr>SGVhZGVyc1x1MDAyMjpbXHUwMDIyXHUwMDIyXSxcdTAwMjJIZWFkZXJUeXBlXHUwMDIyOjIsXHUwMDIySGVhZGVyVHlwZXNBbGxvd2VkXHUwMDIyOlsyXSxcdTAwMjJIZWFkZXJVcGRhdGVUeXBlXHUwMDIyOjAsXHUwMDIyRm9vdGVyRW5hYmxlZFx1MDAyMjpmYWxz</vt:lpwstr>
  </property>
  <property fmtid="{D5CDD505-2E9C-101B-9397-08002B2CF9AE}" pid="12" name="GVData3">
    <vt:lpwstr>ZSxcdTAwMjJGb290ZXJcdTAwMjI6XHUwMDIyXHUwMDIyLFx1MDAyMkZvb3RlcnNcdTAwMjI6W1x1MDAyMlx1MDAyMl0sXHUwMDIyRm9vdGVyVHlwZVx1MDAyMjoyLFx1MDAyMkZvb3RlclR5cGVzQWxsb3dlZFx1MDAyMjpbMl0sXHUwMDIyRm9vdGVyVXBkYXRlVHlw</vt:lpwstr>
  </property>
  <property fmtid="{D5CDD505-2E9C-101B-9397-08002B2CF9AE}" pid="13" name="GVData4">
    <vt:lpwstr>ZVx1MDAyMjowLFx1MDAyMldhdGVybWFya1x1MDAyMjpcdTAwMjJcdTAwMjIsXHUwMDIyV2F0ZXJtYXJrRW5hYmxlZFx1MDAyMjpmYWxzZSxcdTAwMjJTaG91bGRXcml0ZVdhdGVybWFya1x1MDAyMjpmYWxzZSxcdTAwMjJXYXRlcm1hcmtVcGRhdGVUeXBlXHUwMDIy</vt:lpwstr>
  </property>
  <property fmtid="{D5CDD505-2E9C-101B-9397-08002B2CF9AE}" pid="14" name="GVData5">
    <vt:lpwstr>OjEsXHUwMDIyUG93ZXJwb2ludFRpdGxlXHUwMDIyOm51bGwsXHUwMDIyUG93ZXJwb2ludFN1Yml0bGVcdTAwMjI6bnVsbH0iLA0KICAiU3RhdGUiOiAie1x1MDAyMkZpcnN0UGFnZURpZmZlcmVudFx1MDAyMjpmYWxzZSxcdTAwMjJEaWZmZXJlbnRPZGRBbmRFdmVu</vt:lpwstr>
  </property>
  <property fmtid="{D5CDD505-2E9C-101B-9397-08002B2CF9AE}" pid="15" name="GVData6">
    <vt:lpwstr>UGFnZXNcdTAwMjI6ZmFsc2UsXHUwMDIyUGFnZUNvdW50XHUwMDIyOjE2LFx1MDAyMkhlYWRlck1ldGFkYXRhXHUwMDIyOlx1MDAyMlx1MDAyMixcdTAwMjJUaGlyZFBhcnR5SGVhZGVyTWV0YWRhdGFcdTAwMjI6XHUwMDIyXHUwMDIyLFx1MDAyMkdWSGVhZGVyRXhp</vt:lpwstr>
  </property>
  <property fmtid="{D5CDD505-2E9C-101B-9397-08002B2CF9AE}" pid="16" name="GVData7">
    <vt:lpwstr>c3RzXHUwMDIyOmZhbHNlLFx1MDAyMk5vbkdWSGVhZGVyRXhpc3RzXHUwMDIyOmZhbHNlLFx1MDAyMkNvcm5lckhlYWRlckV4aXN0c1x1MDAyMjpmYWxzZSxcdTAwMjJOb25HVkhlYWRlclNoYXBlRXhpc3RzXHUwMDIyOmZhbHNlLFx1MDAyMlRoaXJkUGFydHlIZWFk</vt:lpwstr>
  </property>
  <property fmtid="{D5CDD505-2E9C-101B-9397-08002B2CF9AE}" pid="17" name="GVData8">
    <vt:lpwstr>ZXJzXHUwMDIyOltdLFx1MDAyMkZvb3Rlck1ldGFkYXRhXHUwMDIyOlx1MDAyMlx1MDAyMixcdTAwMjJUaGlyZFBhcnR5Rm9vdGVyTWV0YWRhdGFcdTAwMjI6XHUwMDIyXHUwMDIyLFx1MDAyMkdWRm9vdGVyRXhpc3RzXHUwMDIyOmZhbHNlLFx1MDAyMk5vbkdWRm9v</vt:lpwstr>
  </property>
  <property fmtid="{D5CDD505-2E9C-101B-9397-08002B2CF9AE}" pid="18" name="GVData9">
    <vt:lpwstr>dGVyRXhpc3RzXHUwMDIyOmZhbHNlLFx1MDAyMkNvcm5lckZvb3RlckV4aXN0c1x1MDAyMjpmYWxzZSxcdTAwMjJOb25HVkZvb3RlclNoYXBlRXhpc3RzXHUwMDIyOmZhbHNlLFx1MDAyMlRoaXJkUGFydHlGb290ZXJzXHUwMDIyOltdLFx1MDAyMldhdGVybWFya01l</vt:lpwstr>
  </property>
  <property fmtid="{D5CDD505-2E9C-101B-9397-08002B2CF9AE}" pid="19" name="GVData10">
    <vt:lpwstr>dGFkYXRhXHUwMDIyOlx1MDAyMlx1MDAyMixcdTAwMjJXYXRlcm1hcmtFeGlzdHNcdTAwMjI6ZmFsc2UsXHUwMDIyUG93ZXJwb2ludFRpdGxlTWV0YWRhdGFcdTAwMjI6bnVsbCxcdTAwMjJQb3dlcnBvaW50U3VidGl0bGVNZXRhZGF0YVx1MDAyMjpudWxsLFx1MDAy</vt:lpwstr>
  </property>
  <property fmtid="{D5CDD505-2E9C-101B-9397-08002B2CF9AE}" pid="20" name="GVData11">
    <vt:lpwstr>MlRoaXJkUGFydHlNZXRhZGF0YUZvdW5kXHUwMDIyOmZhbHNlfSINCn0=</vt:lpwstr>
  </property>
  <property fmtid="{D5CDD505-2E9C-101B-9397-08002B2CF9AE}" pid="21" name="GVData12">
    <vt:lpwstr>(end)</vt:lpwstr>
  </property>
</Properties>
</file>