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AB9" w:rsidRDefault="007D3AB9" w:rsidP="00FC2FCC">
      <w:pPr>
        <w:spacing w:after="240" w:line="360" w:lineRule="auto"/>
        <w:jc w:val="center"/>
        <w:rPr>
          <w:rFonts w:ascii="Times New Roman" w:eastAsia="Times New Roman" w:hAnsi="Times New Roman" w:cs="Times New Roman"/>
          <w:b/>
          <w:sz w:val="28"/>
          <w:szCs w:val="24"/>
          <w:lang w:eastAsia="en-IN"/>
        </w:rPr>
      </w:pPr>
      <w:r w:rsidRPr="00312AFB">
        <w:rPr>
          <w:rFonts w:ascii="Times New Roman" w:eastAsia="Times New Roman" w:hAnsi="Times New Roman" w:cs="Times New Roman"/>
          <w:b/>
          <w:sz w:val="28"/>
          <w:szCs w:val="24"/>
          <w:lang w:eastAsia="en-IN"/>
        </w:rPr>
        <w:t>Testing the Weak Form Efficient Market Hypothesis: An Interpretive Study of Market Efficiency via Literary Lens</w:t>
      </w:r>
    </w:p>
    <w:p w:rsidR="005D6A98" w:rsidRDefault="005D6A98" w:rsidP="00CF28D7">
      <w:pPr>
        <w:pStyle w:val="Heading1"/>
        <w:spacing w:after="0" w:line="480" w:lineRule="auto"/>
        <w:jc w:val="both"/>
      </w:pPr>
    </w:p>
    <w:p w:rsidR="005D6A98" w:rsidRDefault="005D6A98" w:rsidP="00CF28D7">
      <w:pPr>
        <w:pStyle w:val="Heading1"/>
        <w:spacing w:after="0" w:line="480" w:lineRule="auto"/>
        <w:jc w:val="both"/>
      </w:pPr>
    </w:p>
    <w:p w:rsidR="007D3AB9" w:rsidRPr="00FC2FCC" w:rsidRDefault="007D3AB9" w:rsidP="00CF28D7">
      <w:pPr>
        <w:pStyle w:val="Heading1"/>
        <w:spacing w:after="0" w:line="480" w:lineRule="auto"/>
        <w:jc w:val="both"/>
      </w:pPr>
      <w:bookmarkStart w:id="0" w:name="_GoBack"/>
      <w:bookmarkEnd w:id="0"/>
      <w:r w:rsidRPr="00FC2FCC">
        <w:t>Abstracts</w:t>
      </w:r>
    </w:p>
    <w:p w:rsidR="00C86607" w:rsidRPr="00FC2FCC" w:rsidRDefault="00182A07" w:rsidP="00CF28D7">
      <w:pPr>
        <w:pStyle w:val="BodyText"/>
        <w:spacing w:after="0" w:line="360" w:lineRule="auto"/>
      </w:pPr>
      <w:r w:rsidRPr="00FC2FCC">
        <w:t>The E</w:t>
      </w:r>
      <w:r w:rsidR="00991C69" w:rsidRPr="00FC2FCC">
        <w:t>fficient Market Hypothesis (EMH.) is a</w:t>
      </w:r>
      <w:r w:rsidR="007D3AB9" w:rsidRPr="00FC2FCC">
        <w:t xml:space="preserve">mong </w:t>
      </w:r>
      <w:r w:rsidRPr="00FC2FCC">
        <w:t>conventional finance's most hotly contested topics</w:t>
      </w:r>
      <w:r w:rsidR="007D3AB9" w:rsidRPr="00FC2FCC">
        <w:t xml:space="preserve">. Eugene </w:t>
      </w:r>
      <w:proofErr w:type="spellStart"/>
      <w:r w:rsidR="007D3AB9" w:rsidRPr="00FC2FCC">
        <w:t>Fama</w:t>
      </w:r>
      <w:proofErr w:type="spellEnd"/>
      <w:r w:rsidR="007D3AB9" w:rsidRPr="00FC2FCC">
        <w:t xml:space="preserve"> first put forth this theory in 1965; it holds that no investor can make </w:t>
      </w:r>
      <w:r w:rsidR="00991C69" w:rsidRPr="00FC2FCC">
        <w:t>excess</w:t>
      </w:r>
      <w:r w:rsidR="007D3AB9" w:rsidRPr="00FC2FCC">
        <w:t xml:space="preserve"> profit without engaging in high</w:t>
      </w:r>
      <w:r w:rsidRPr="00FC2FCC">
        <w:t>-</w:t>
      </w:r>
      <w:r w:rsidR="007D3AB9" w:rsidRPr="00FC2FCC">
        <w:t xml:space="preserve">risk assets since the stock prices rapidly reflect all the information </w:t>
      </w:r>
      <w:r w:rsidR="00991C69" w:rsidRPr="00FC2FCC">
        <w:t>instantly</w:t>
      </w:r>
      <w:r w:rsidR="007D3AB9" w:rsidRPr="00FC2FCC">
        <w:t xml:space="preserve">. Many studies have challenged the idea of EMH since it is not only the rationality of investors on which </w:t>
      </w:r>
      <w:r w:rsidRPr="00FC2FCC">
        <w:t xml:space="preserve">investors </w:t>
      </w:r>
      <w:r w:rsidR="007D3AB9" w:rsidRPr="00FC2FCC">
        <w:t>founded</w:t>
      </w:r>
      <w:r w:rsidRPr="00FC2FCC">
        <w:t xml:space="preserve"> the judgements</w:t>
      </w:r>
      <w:r w:rsidR="007D3AB9" w:rsidRPr="00FC2FCC">
        <w:t xml:space="preserve"> but also other elements like individual and personal opi</w:t>
      </w:r>
      <w:r w:rsidR="00991C69" w:rsidRPr="00FC2FCC">
        <w:t>nions, behaviour</w:t>
      </w:r>
      <w:r w:rsidRPr="00FC2FCC">
        <w:t>,</w:t>
      </w:r>
      <w:r w:rsidR="00991C69" w:rsidRPr="00FC2FCC">
        <w:t xml:space="preserve"> and heuristics </w:t>
      </w:r>
      <w:r w:rsidRPr="00FC2FCC">
        <w:t xml:space="preserve">that </w:t>
      </w:r>
      <w:r w:rsidR="007D3AB9" w:rsidRPr="00FC2FCC">
        <w:t xml:space="preserve">affect their decisions. </w:t>
      </w:r>
      <w:r w:rsidRPr="00FC2FCC">
        <w:t>Market anomalies, like bubbles, crashes, momentum, and calendar impacts, have consistently challenged the core idea of EMH</w:t>
      </w:r>
      <w:r w:rsidR="007D3AB9" w:rsidRPr="00FC2FCC">
        <w:t xml:space="preserve">. This paper aims to investigate the validity of </w:t>
      </w:r>
      <w:r w:rsidRPr="00FC2FCC">
        <w:t xml:space="preserve">a </w:t>
      </w:r>
      <w:r w:rsidR="007D3AB9" w:rsidRPr="00FC2FCC">
        <w:t xml:space="preserve">weak form of efficient market hypothesis in </w:t>
      </w:r>
      <w:r w:rsidRPr="00FC2FCC">
        <w:t xml:space="preserve">the </w:t>
      </w:r>
      <w:r w:rsidR="007D3AB9" w:rsidRPr="00FC2FCC">
        <w:t xml:space="preserve">modern environment </w:t>
      </w:r>
      <w:r w:rsidRPr="00FC2FCC">
        <w:t>by extensively analysing empirical findings from</w:t>
      </w:r>
      <w:r w:rsidR="007D3AB9" w:rsidRPr="00FC2FCC">
        <w:t xml:space="preserve"> several research projects. </w:t>
      </w:r>
      <w:r w:rsidR="00C86607" w:rsidRPr="00FC2FCC">
        <w:t>By examining foundational works supporting and contradicting the theory</w:t>
      </w:r>
      <w:r w:rsidRPr="00FC2FCC">
        <w:t>,</w:t>
      </w:r>
      <w:r w:rsidR="00C86607" w:rsidRPr="00FC2FCC">
        <w:t xml:space="preserve"> this study</w:t>
      </w:r>
      <w:r w:rsidR="007D3AB9" w:rsidRPr="00FC2FCC">
        <w:t xml:space="preserve"> </w:t>
      </w:r>
      <w:r w:rsidR="00991C69" w:rsidRPr="00FC2FCC">
        <w:t>aim</w:t>
      </w:r>
      <w:r w:rsidR="00C86607" w:rsidRPr="00FC2FCC">
        <w:t>s</w:t>
      </w:r>
      <w:r w:rsidR="00991C69" w:rsidRPr="00FC2FCC">
        <w:t xml:space="preserve"> to </w:t>
      </w:r>
      <w:r w:rsidR="007D3AB9" w:rsidRPr="00FC2FCC">
        <w:t xml:space="preserve">investigate the paradox: if markets are efficient, why </w:t>
      </w:r>
      <w:r w:rsidRPr="00FC2FCC">
        <w:t xml:space="preserve">do </w:t>
      </w:r>
      <w:r w:rsidR="007D3AB9" w:rsidRPr="00FC2FCC">
        <w:t>irrational events like bubbles and crashes exist?</w:t>
      </w:r>
      <w:r w:rsidR="00C86607" w:rsidRPr="00FC2FCC">
        <w:t xml:space="preserve"> </w:t>
      </w:r>
      <w:r w:rsidR="007D3AB9" w:rsidRPr="00FC2FCC">
        <w:t xml:space="preserve">Our results imply that although Weak Form EMH is a good theoretical framework, it does not </w:t>
      </w:r>
      <w:r w:rsidR="00C86607" w:rsidRPr="00FC2FCC">
        <w:t>take into account</w:t>
      </w:r>
      <w:r w:rsidR="007D3AB9" w:rsidRPr="00FC2FCC">
        <w:t xml:space="preserve"> behavioural biases, constraints to arbitrage, or changing market dynamics in the current situation. </w:t>
      </w:r>
    </w:p>
    <w:p w:rsidR="00C86607" w:rsidRPr="00FC2FCC" w:rsidRDefault="007D3AB9" w:rsidP="000E5E33">
      <w:pPr>
        <w:spacing w:after="120" w:line="360" w:lineRule="auto"/>
        <w:jc w:val="both"/>
        <w:rPr>
          <w:rFonts w:ascii="Times New Roman" w:eastAsia="Times New Roman" w:hAnsi="Times New Roman" w:cs="Times New Roman"/>
          <w:sz w:val="24"/>
          <w:szCs w:val="24"/>
          <w:lang w:val="en-US" w:eastAsia="en-IN"/>
        </w:rPr>
      </w:pPr>
      <w:r w:rsidRPr="00FC2FCC">
        <w:rPr>
          <w:rFonts w:ascii="Times New Roman" w:eastAsia="Times New Roman" w:hAnsi="Times New Roman" w:cs="Times New Roman"/>
          <w:b/>
          <w:sz w:val="24"/>
          <w:szCs w:val="24"/>
          <w:lang w:eastAsia="en-IN"/>
        </w:rPr>
        <w:t>Keywords:</w:t>
      </w:r>
      <w:r w:rsidRPr="00FC2FCC">
        <w:rPr>
          <w:rFonts w:ascii="Times New Roman" w:eastAsia="Times New Roman" w:hAnsi="Times New Roman" w:cs="Times New Roman"/>
          <w:sz w:val="24"/>
          <w:szCs w:val="24"/>
          <w:lang w:eastAsia="en-IN"/>
        </w:rPr>
        <w:t xml:space="preserve"> Behavioural Finance, Random Walk Theory, Effective Market Hypothesis (EMH)</w:t>
      </w:r>
      <w:r w:rsidR="00182A07" w:rsidRPr="00FC2FCC">
        <w:rPr>
          <w:rFonts w:ascii="Times New Roman" w:eastAsia="Times New Roman" w:hAnsi="Times New Roman" w:cs="Times New Roman"/>
          <w:sz w:val="24"/>
          <w:szCs w:val="24"/>
          <w:lang w:eastAsia="en-IN"/>
        </w:rPr>
        <w:t xml:space="preserve">, Momentum Effect, </w:t>
      </w:r>
      <w:r w:rsidRPr="00FC2FCC">
        <w:rPr>
          <w:rFonts w:ascii="Times New Roman" w:eastAsia="Times New Roman" w:hAnsi="Times New Roman" w:cs="Times New Roman"/>
          <w:sz w:val="24"/>
          <w:szCs w:val="24"/>
          <w:lang w:eastAsia="en-IN"/>
        </w:rPr>
        <w:t xml:space="preserve">Adaptive Market Hypothesis (AMH) </w:t>
      </w:r>
    </w:p>
    <w:p w:rsidR="00C86607" w:rsidRPr="00FC2FCC" w:rsidRDefault="007D3AB9" w:rsidP="000E5E33">
      <w:pPr>
        <w:pStyle w:val="ListParagraph"/>
        <w:numPr>
          <w:ilvl w:val="0"/>
          <w:numId w:val="1"/>
        </w:numPr>
        <w:spacing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Introduction</w:t>
      </w:r>
    </w:p>
    <w:p w:rsidR="00751F64" w:rsidRPr="00FC2FCC" w:rsidRDefault="00C86607" w:rsidP="00A50F9F">
      <w:pPr>
        <w:spacing w:before="120"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The Efficient Market Hypothesis (EMH), introduced by economist Eugene </w:t>
      </w:r>
      <w:proofErr w:type="spellStart"/>
      <w:r w:rsidRPr="00FC2FCC">
        <w:rPr>
          <w:rFonts w:ascii="Times New Roman" w:eastAsia="Times New Roman" w:hAnsi="Times New Roman" w:cs="Times New Roman"/>
          <w:sz w:val="24"/>
          <w:szCs w:val="24"/>
          <w:lang w:eastAsia="en-IN"/>
        </w:rPr>
        <w:t>Fama</w:t>
      </w:r>
      <w:proofErr w:type="spellEnd"/>
      <w:r w:rsidRPr="00FC2FCC">
        <w:rPr>
          <w:rFonts w:ascii="Times New Roman" w:eastAsia="Times New Roman" w:hAnsi="Times New Roman" w:cs="Times New Roman"/>
          <w:sz w:val="24"/>
          <w:szCs w:val="24"/>
          <w:lang w:eastAsia="en-IN"/>
        </w:rPr>
        <w:t xml:space="preserve"> in 1970, fundamentally changed our comprehension of financial markets by proposing that asset prices immediately absorb and reflect all available </w:t>
      </w:r>
      <w:r w:rsidRPr="00183BE5">
        <w:rPr>
          <w:rFonts w:ascii="Times New Roman" w:eastAsia="Times New Roman" w:hAnsi="Times New Roman" w:cs="Times New Roman"/>
          <w:sz w:val="24"/>
          <w:szCs w:val="24"/>
          <w:highlight w:val="yellow"/>
          <w:lang w:eastAsia="en-IN"/>
        </w:rPr>
        <w:t>information</w:t>
      </w:r>
      <w:r w:rsidR="00461666" w:rsidRPr="00183BE5">
        <w:rPr>
          <w:rFonts w:ascii="Times New Roman" w:eastAsia="Times New Roman" w:hAnsi="Times New Roman" w:cs="Times New Roman"/>
          <w:sz w:val="24"/>
          <w:szCs w:val="24"/>
          <w:highlight w:val="yellow"/>
          <w:lang w:eastAsia="en-IN"/>
        </w:rPr>
        <w:t xml:space="preserve"> [17,18]</w:t>
      </w:r>
      <w:r w:rsidRPr="00183BE5">
        <w:rPr>
          <w:rFonts w:ascii="Times New Roman" w:eastAsia="Times New Roman" w:hAnsi="Times New Roman" w:cs="Times New Roman"/>
          <w:sz w:val="24"/>
          <w:szCs w:val="24"/>
          <w:highlight w:val="yellow"/>
          <w:lang w:eastAsia="en-IN"/>
        </w:rPr>
        <w:t>.</w:t>
      </w:r>
      <w:r w:rsidRPr="00FC2FCC">
        <w:rPr>
          <w:rFonts w:ascii="Times New Roman" w:eastAsia="Times New Roman" w:hAnsi="Times New Roman" w:cs="Times New Roman"/>
          <w:sz w:val="24"/>
          <w:szCs w:val="24"/>
          <w:lang w:eastAsia="en-IN"/>
        </w:rPr>
        <w:t xml:space="preserve"> </w:t>
      </w:r>
      <w:r w:rsidR="007D3AB9" w:rsidRPr="00FC2FCC">
        <w:rPr>
          <w:rFonts w:ascii="Times New Roman" w:eastAsia="Times New Roman" w:hAnsi="Times New Roman" w:cs="Times New Roman"/>
          <w:sz w:val="24"/>
          <w:szCs w:val="24"/>
          <w:lang w:eastAsia="en-IN"/>
        </w:rPr>
        <w:t xml:space="preserve">This view holds that markets naturally neutralise any informational advantage, so investors cannot regularly generate </w:t>
      </w:r>
      <w:r w:rsidRPr="00FC2FCC">
        <w:rPr>
          <w:rFonts w:ascii="Times New Roman" w:eastAsia="Times New Roman" w:hAnsi="Times New Roman" w:cs="Times New Roman"/>
          <w:sz w:val="24"/>
          <w:szCs w:val="24"/>
          <w:lang w:eastAsia="en-IN"/>
        </w:rPr>
        <w:t xml:space="preserve">excessive </w:t>
      </w:r>
      <w:r w:rsidR="007D3AB9" w:rsidRPr="00FC2FCC">
        <w:rPr>
          <w:rFonts w:ascii="Times New Roman" w:eastAsia="Times New Roman" w:hAnsi="Times New Roman" w:cs="Times New Roman"/>
          <w:sz w:val="24"/>
          <w:szCs w:val="24"/>
          <w:lang w:eastAsia="en-IN"/>
        </w:rPr>
        <w:t>returns. EMH separates three degrees of market efficiency</w:t>
      </w:r>
      <w:r w:rsidR="00835B5C">
        <w:rPr>
          <w:rFonts w:ascii="Times New Roman" w:eastAsia="Times New Roman" w:hAnsi="Times New Roman" w:cs="Times New Roman"/>
          <w:sz w:val="24"/>
          <w:szCs w:val="24"/>
          <w:lang w:eastAsia="en-IN"/>
        </w:rPr>
        <w:t xml:space="preserve"> [</w:t>
      </w:r>
      <w:r w:rsidR="00835B5C" w:rsidRPr="006152A3">
        <w:rPr>
          <w:rFonts w:ascii="Times New Roman" w:eastAsia="Times New Roman" w:hAnsi="Times New Roman" w:cs="Times New Roman"/>
          <w:sz w:val="24"/>
          <w:szCs w:val="24"/>
          <w:highlight w:val="yellow"/>
          <w:lang w:eastAsia="en-IN"/>
        </w:rPr>
        <w:t>19,20]</w:t>
      </w:r>
      <w:r w:rsidR="007D3AB9" w:rsidRPr="006152A3">
        <w:rPr>
          <w:rFonts w:ascii="Times New Roman" w:eastAsia="Times New Roman" w:hAnsi="Times New Roman" w:cs="Times New Roman"/>
          <w:sz w:val="24"/>
          <w:szCs w:val="24"/>
          <w:highlight w:val="yellow"/>
          <w:lang w:eastAsia="en-IN"/>
        </w:rPr>
        <w:t>:</w:t>
      </w:r>
      <w:r w:rsidR="007D3AB9" w:rsidRPr="00FC2FCC">
        <w:rPr>
          <w:rFonts w:ascii="Times New Roman" w:eastAsia="Times New Roman" w:hAnsi="Times New Roman" w:cs="Times New Roman"/>
          <w:sz w:val="24"/>
          <w:szCs w:val="24"/>
          <w:lang w:eastAsia="en-IN"/>
        </w:rPr>
        <w:t xml:space="preserve"> </w:t>
      </w:r>
    </w:p>
    <w:p w:rsidR="00751F64" w:rsidRPr="00FC2FCC" w:rsidRDefault="007D3AB9" w:rsidP="00A50F9F">
      <w:pPr>
        <w:pStyle w:val="BodyText2"/>
        <w:numPr>
          <w:ilvl w:val="0"/>
          <w:numId w:val="3"/>
        </w:numPr>
        <w:spacing w:before="120" w:line="360" w:lineRule="auto"/>
        <w:jc w:val="both"/>
      </w:pPr>
      <w:r w:rsidRPr="00FC2FCC">
        <w:rPr>
          <w:b/>
        </w:rPr>
        <w:t>Weak Form Efficiency</w:t>
      </w:r>
      <w:r w:rsidRPr="00FC2FCC">
        <w:t xml:space="preserve">: </w:t>
      </w:r>
      <w:r w:rsidR="00182A07" w:rsidRPr="00FC2FCC">
        <w:t xml:space="preserve">Asset prices </w:t>
      </w:r>
      <w:r w:rsidR="009732EC" w:rsidRPr="00FC2FCC">
        <w:t>completely</w:t>
      </w:r>
      <w:r w:rsidR="00182A07" w:rsidRPr="00FC2FCC">
        <w:t xml:space="preserve"> account for historical data, including prior trading volumes and price swing</w:t>
      </w:r>
      <w:r w:rsidRPr="00FC2FCC">
        <w:t>s</w:t>
      </w:r>
      <w:r w:rsidR="00182A07" w:rsidRPr="00FC2FCC">
        <w:t xml:space="preserve">. This </w:t>
      </w:r>
      <w:r w:rsidR="009732EC" w:rsidRPr="00FC2FCC">
        <w:t xml:space="preserve">assumption </w:t>
      </w:r>
      <w:r w:rsidR="00182A07" w:rsidRPr="00FC2FCC">
        <w:t xml:space="preserve">makes technical analysis </w:t>
      </w:r>
      <w:r w:rsidRPr="00FC2FCC">
        <w:t>based on pre</w:t>
      </w:r>
      <w:r w:rsidR="00182A07" w:rsidRPr="00FC2FCC">
        <w:t>vious data trend identification useless</w:t>
      </w:r>
      <w:r w:rsidRPr="00FC2FCC">
        <w:t xml:space="preserve"> since price changes follow a random walk. </w:t>
      </w:r>
      <w:r w:rsidR="00182A07" w:rsidRPr="00FC2FCC">
        <w:t xml:space="preserve">In </w:t>
      </w:r>
      <w:r w:rsidR="00182A07" w:rsidRPr="00FC2FCC">
        <w:lastRenderedPageBreak/>
        <w:t>other words,</w:t>
      </w:r>
      <w:r w:rsidRPr="00FC2FCC">
        <w:t xml:space="preserve"> future price changes are statistically random and unrelated to historical trends.</w:t>
      </w:r>
    </w:p>
    <w:p w:rsidR="00751F64" w:rsidRPr="00FC2FCC" w:rsidRDefault="00751F64" w:rsidP="00A50F9F">
      <w:pPr>
        <w:pStyle w:val="ListParagraph"/>
        <w:numPr>
          <w:ilvl w:val="0"/>
          <w:numId w:val="3"/>
        </w:numPr>
        <w:spacing w:before="120"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Semi</w:t>
      </w:r>
      <w:r w:rsidR="00182A07" w:rsidRPr="00FC2FCC">
        <w:rPr>
          <w:rFonts w:ascii="Times New Roman" w:eastAsia="Times New Roman" w:hAnsi="Times New Roman" w:cs="Times New Roman"/>
          <w:b/>
          <w:sz w:val="24"/>
          <w:szCs w:val="24"/>
          <w:lang w:eastAsia="en-IN"/>
        </w:rPr>
        <w:t>-</w:t>
      </w:r>
      <w:r w:rsidRPr="00FC2FCC">
        <w:rPr>
          <w:rFonts w:ascii="Times New Roman" w:eastAsia="Times New Roman" w:hAnsi="Times New Roman" w:cs="Times New Roman"/>
          <w:b/>
          <w:sz w:val="24"/>
          <w:szCs w:val="24"/>
          <w:lang w:eastAsia="en-IN"/>
        </w:rPr>
        <w:t>Strong form Efficiency</w:t>
      </w:r>
      <w:r w:rsidRPr="00FC2FCC">
        <w:rPr>
          <w:rFonts w:ascii="Times New Roman" w:eastAsia="Times New Roman" w:hAnsi="Times New Roman" w:cs="Times New Roman"/>
          <w:sz w:val="24"/>
          <w:szCs w:val="24"/>
          <w:lang w:eastAsia="en-IN"/>
        </w:rPr>
        <w:t xml:space="preserve">: </w:t>
      </w:r>
      <w:r w:rsidR="007D3AB9" w:rsidRPr="00FC2FCC">
        <w:rPr>
          <w:rFonts w:ascii="Times New Roman" w:eastAsia="Times New Roman" w:hAnsi="Times New Roman" w:cs="Times New Roman"/>
          <w:sz w:val="24"/>
          <w:szCs w:val="24"/>
          <w:lang w:eastAsia="en-IN"/>
        </w:rPr>
        <w:t>Prices quickly change to reflect all publicly available data, including news events, economic indicators, and earnin</w:t>
      </w:r>
      <w:r w:rsidRPr="00FC2FCC">
        <w:rPr>
          <w:rFonts w:ascii="Times New Roman" w:eastAsia="Times New Roman" w:hAnsi="Times New Roman" w:cs="Times New Roman"/>
          <w:sz w:val="24"/>
          <w:szCs w:val="24"/>
          <w:lang w:eastAsia="en-IN"/>
        </w:rPr>
        <w:t>gs reports</w:t>
      </w:r>
      <w:r w:rsidR="007D3AB9" w:rsidRPr="00FC2FCC">
        <w:rPr>
          <w:rFonts w:ascii="Times New Roman" w:eastAsia="Times New Roman" w:hAnsi="Times New Roman" w:cs="Times New Roman"/>
          <w:sz w:val="24"/>
          <w:szCs w:val="24"/>
          <w:lang w:eastAsia="en-IN"/>
        </w:rPr>
        <w:t>. Under this situation, as markets absorb fresh data almost instantly, neither technical chart analysis nor basic valuation techniques</w:t>
      </w:r>
      <w:r w:rsidRPr="00FC2FCC">
        <w:rPr>
          <w:rFonts w:ascii="Times New Roman" w:eastAsia="Times New Roman" w:hAnsi="Times New Roman" w:cs="Times New Roman"/>
          <w:sz w:val="24"/>
          <w:szCs w:val="24"/>
          <w:lang w:eastAsia="en-IN"/>
        </w:rPr>
        <w:t xml:space="preserve"> (</w:t>
      </w:r>
      <w:r w:rsidR="007D3AB9" w:rsidRPr="00FC2FCC">
        <w:rPr>
          <w:rFonts w:ascii="Times New Roman" w:eastAsia="Times New Roman" w:hAnsi="Times New Roman" w:cs="Times New Roman"/>
          <w:sz w:val="24"/>
          <w:szCs w:val="24"/>
          <w:lang w:eastAsia="en-IN"/>
        </w:rPr>
        <w:t>evaluating corporate financials</w:t>
      </w:r>
      <w:r w:rsidRPr="00FC2FCC">
        <w:rPr>
          <w:rFonts w:ascii="Times New Roman" w:eastAsia="Times New Roman" w:hAnsi="Times New Roman" w:cs="Times New Roman"/>
          <w:sz w:val="24"/>
          <w:szCs w:val="24"/>
          <w:lang w:eastAsia="en-IN"/>
        </w:rPr>
        <w:t xml:space="preserve">) can </w:t>
      </w:r>
      <w:r w:rsidR="007D3AB9" w:rsidRPr="00FC2FCC">
        <w:rPr>
          <w:rFonts w:ascii="Times New Roman" w:eastAsia="Times New Roman" w:hAnsi="Times New Roman" w:cs="Times New Roman"/>
          <w:sz w:val="24"/>
          <w:szCs w:val="24"/>
          <w:lang w:eastAsia="en-IN"/>
        </w:rPr>
        <w:t xml:space="preserve">consistently produce excess profits. </w:t>
      </w:r>
    </w:p>
    <w:p w:rsidR="00751F64" w:rsidRDefault="007D3AB9" w:rsidP="00A50F9F">
      <w:pPr>
        <w:pStyle w:val="ListParagraph"/>
        <w:numPr>
          <w:ilvl w:val="0"/>
          <w:numId w:val="3"/>
        </w:numPr>
        <w:spacing w:before="120"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Strong Form Efficiency</w:t>
      </w:r>
      <w:r w:rsidRPr="00FC2FCC">
        <w:rPr>
          <w:rFonts w:ascii="Times New Roman" w:eastAsia="Times New Roman" w:hAnsi="Times New Roman" w:cs="Times New Roman"/>
          <w:sz w:val="24"/>
          <w:szCs w:val="24"/>
          <w:lang w:eastAsia="en-IN"/>
        </w:rPr>
        <w:t xml:space="preserve">: The most </w:t>
      </w:r>
      <w:r w:rsidR="00751F64" w:rsidRPr="00FC2FCC">
        <w:rPr>
          <w:rFonts w:ascii="Times New Roman" w:eastAsia="Times New Roman" w:hAnsi="Times New Roman" w:cs="Times New Roman"/>
          <w:sz w:val="24"/>
          <w:szCs w:val="24"/>
          <w:lang w:eastAsia="en-IN"/>
        </w:rPr>
        <w:t>extreme</w:t>
      </w:r>
      <w:r w:rsidRPr="00FC2FCC">
        <w:rPr>
          <w:rFonts w:ascii="Times New Roman" w:eastAsia="Times New Roman" w:hAnsi="Times New Roman" w:cs="Times New Roman"/>
          <w:sz w:val="24"/>
          <w:szCs w:val="24"/>
          <w:lang w:eastAsia="en-IN"/>
        </w:rPr>
        <w:t xml:space="preserve"> version implies prices reflect every kind of information, even private insider knowledge. This </w:t>
      </w:r>
      <w:r w:rsidR="00182A07" w:rsidRPr="00FC2FCC">
        <w:rPr>
          <w:rFonts w:ascii="Times New Roman" w:eastAsia="Times New Roman" w:hAnsi="Times New Roman" w:cs="Times New Roman"/>
          <w:sz w:val="24"/>
          <w:szCs w:val="24"/>
          <w:lang w:eastAsia="en-IN"/>
        </w:rPr>
        <w:t xml:space="preserve">hypothesis assumes that </w:t>
      </w:r>
      <w:r w:rsidRPr="00FC2FCC">
        <w:rPr>
          <w:rFonts w:ascii="Times New Roman" w:eastAsia="Times New Roman" w:hAnsi="Times New Roman" w:cs="Times New Roman"/>
          <w:sz w:val="24"/>
          <w:szCs w:val="24"/>
          <w:lang w:eastAsia="en-IN"/>
        </w:rPr>
        <w:t>markets run with perfect rationality</w:t>
      </w:r>
      <w:r w:rsidR="00182A07"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in </w:t>
      </w:r>
      <w:r w:rsidR="00182A07" w:rsidRPr="00FC2FCC">
        <w:rPr>
          <w:rFonts w:ascii="Times New Roman" w:eastAsia="Times New Roman" w:hAnsi="Times New Roman" w:cs="Times New Roman"/>
          <w:sz w:val="24"/>
          <w:szCs w:val="24"/>
          <w:lang w:eastAsia="en-IN"/>
        </w:rPr>
        <w:t>this case,</w:t>
      </w:r>
      <w:r w:rsidRPr="00FC2FCC">
        <w:rPr>
          <w:rFonts w:ascii="Times New Roman" w:eastAsia="Times New Roman" w:hAnsi="Times New Roman" w:cs="Times New Roman"/>
          <w:sz w:val="24"/>
          <w:szCs w:val="24"/>
          <w:lang w:eastAsia="en-IN"/>
        </w:rPr>
        <w:t xml:space="preserve"> all players—retail investors, institutions, and corporate insiders—act as precisely informed "rational agents," removing any </w:t>
      </w:r>
      <w:r w:rsidR="00182A07" w:rsidRPr="00FC2FCC">
        <w:rPr>
          <w:rFonts w:ascii="Times New Roman" w:eastAsia="Times New Roman" w:hAnsi="Times New Roman" w:cs="Times New Roman"/>
          <w:sz w:val="24"/>
          <w:szCs w:val="24"/>
          <w:lang w:eastAsia="en-IN"/>
        </w:rPr>
        <w:t>arbitrage opportunity to earn excess profit</w:t>
      </w:r>
      <w:r w:rsidRPr="00FC2FCC">
        <w:rPr>
          <w:rFonts w:ascii="Times New Roman" w:eastAsia="Times New Roman" w:hAnsi="Times New Roman" w:cs="Times New Roman"/>
          <w:sz w:val="24"/>
          <w:szCs w:val="24"/>
          <w:lang w:eastAsia="en-IN"/>
        </w:rPr>
        <w:t xml:space="preserve">. </w:t>
      </w:r>
    </w:p>
    <w:p w:rsidR="00312AFB" w:rsidRPr="00312AFB" w:rsidRDefault="00312AFB" w:rsidP="00312AFB">
      <w:pPr>
        <w:spacing w:before="120" w:after="0" w:line="360" w:lineRule="auto"/>
        <w:jc w:val="both"/>
        <w:rPr>
          <w:rFonts w:ascii="Times New Roman" w:eastAsia="Times New Roman" w:hAnsi="Times New Roman" w:cs="Times New Roman"/>
          <w:sz w:val="24"/>
          <w:szCs w:val="24"/>
          <w:lang w:val="en-US" w:eastAsia="en-IN"/>
        </w:rPr>
      </w:pPr>
      <w:r w:rsidRPr="00312AFB">
        <w:rPr>
          <w:rFonts w:ascii="Times New Roman" w:eastAsia="Times New Roman" w:hAnsi="Times New Roman" w:cs="Times New Roman"/>
          <w:b/>
          <w:sz w:val="24"/>
          <w:szCs w:val="24"/>
          <w:lang w:eastAsia="en-IN"/>
        </w:rPr>
        <w:t>Figure</w:t>
      </w:r>
      <w:r w:rsidRPr="00312AFB">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w:t>
      </w:r>
      <w:r w:rsidRPr="00312AFB">
        <w:rPr>
          <w:rFonts w:ascii="Times New Roman" w:eastAsia="Times New Roman" w:hAnsi="Times New Roman" w:cs="Times New Roman"/>
          <w:sz w:val="24"/>
          <w:szCs w:val="24"/>
          <w:lang w:eastAsia="en-IN"/>
        </w:rPr>
        <w:t xml:space="preserve"> </w:t>
      </w:r>
      <w:r w:rsidR="00CF6459" w:rsidRPr="00312AFB">
        <w:rPr>
          <w:rFonts w:ascii="Times New Roman" w:eastAsia="Times New Roman" w:hAnsi="Times New Roman" w:cs="Times New Roman"/>
          <w:b/>
          <w:bCs/>
          <w:sz w:val="24"/>
          <w:szCs w:val="24"/>
          <w:lang w:val="en-US" w:eastAsia="en-IN"/>
        </w:rPr>
        <w:t>Efficient Market Hypothesis</w:t>
      </w:r>
    </w:p>
    <w:p w:rsidR="00EC4D70" w:rsidRDefault="00EC4D70" w:rsidP="000E5E33">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val="en-US"/>
        </w:rPr>
        <w:drawing>
          <wp:inline distT="0" distB="0" distL="0" distR="0">
            <wp:extent cx="5626100" cy="863600"/>
            <wp:effectExtent l="0" t="57150" r="0" b="1079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12AFB" w:rsidRPr="00EC4D70" w:rsidRDefault="00312AFB" w:rsidP="000E5E33">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Credit: Prepared by the researcher</w:t>
      </w:r>
    </w:p>
    <w:p w:rsidR="006F1083" w:rsidRPr="00FC2FCC" w:rsidRDefault="00751F64" w:rsidP="00A50F9F">
      <w:pPr>
        <w:spacing w:before="120"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However</w:t>
      </w:r>
      <w:r w:rsidR="007D3AB9" w:rsidRPr="00FC2FCC">
        <w:rPr>
          <w:rFonts w:ascii="Times New Roman" w:eastAsia="Times New Roman" w:hAnsi="Times New Roman" w:cs="Times New Roman"/>
          <w:sz w:val="24"/>
          <w:szCs w:val="24"/>
          <w:lang w:eastAsia="en-IN"/>
        </w:rPr>
        <w:t xml:space="preserve">, </w:t>
      </w:r>
      <w:r w:rsidR="00182A07" w:rsidRPr="00FC2FCC">
        <w:rPr>
          <w:rFonts w:ascii="Times New Roman" w:eastAsia="Times New Roman" w:hAnsi="Times New Roman" w:cs="Times New Roman"/>
          <w:sz w:val="24"/>
          <w:szCs w:val="24"/>
          <w:lang w:eastAsia="en-IN"/>
        </w:rPr>
        <w:t>multiple pieces of evidence are visible against these perfect presumptions in the real practical world</w:t>
      </w:r>
      <w:r w:rsidR="007D3AB9" w:rsidRPr="00FC2FCC">
        <w:rPr>
          <w:rFonts w:ascii="Times New Roman" w:eastAsia="Times New Roman" w:hAnsi="Times New Roman" w:cs="Times New Roman"/>
          <w:sz w:val="24"/>
          <w:szCs w:val="24"/>
          <w:lang w:eastAsia="en-IN"/>
        </w:rPr>
        <w:t xml:space="preserve">. For example, while the 2008 Global Financial Crisis exposed terrible mispricing of mortgage-backed securities, the Dot-com bubble of the 1990s saw tech stocks soar despite </w:t>
      </w:r>
      <w:r w:rsidR="00182A07" w:rsidRPr="00FC2FCC">
        <w:rPr>
          <w:rFonts w:ascii="Times New Roman" w:eastAsia="Times New Roman" w:hAnsi="Times New Roman" w:cs="Times New Roman"/>
          <w:sz w:val="24"/>
          <w:szCs w:val="24"/>
          <w:lang w:eastAsia="en-IN"/>
        </w:rPr>
        <w:t xml:space="preserve">a </w:t>
      </w:r>
      <w:r w:rsidR="007D3AB9" w:rsidRPr="00FC2FCC">
        <w:rPr>
          <w:rFonts w:ascii="Times New Roman" w:eastAsia="Times New Roman" w:hAnsi="Times New Roman" w:cs="Times New Roman"/>
          <w:sz w:val="24"/>
          <w:szCs w:val="24"/>
          <w:lang w:eastAsia="en-IN"/>
        </w:rPr>
        <w:t xml:space="preserve">lack of earnings. Assets like Bitcoin still show erratic price movements (e.g., 80% declines in months), challenging logical explanations. Such events </w:t>
      </w:r>
      <w:r w:rsidR="00182A07" w:rsidRPr="00FC2FCC">
        <w:rPr>
          <w:rFonts w:ascii="Times New Roman" w:eastAsia="Times New Roman" w:hAnsi="Times New Roman" w:cs="Times New Roman"/>
          <w:sz w:val="24"/>
          <w:szCs w:val="24"/>
          <w:lang w:eastAsia="en-IN"/>
        </w:rPr>
        <w:t xml:space="preserve">strike our minds with </w:t>
      </w:r>
      <w:r w:rsidR="009732EC" w:rsidRPr="00FC2FCC">
        <w:rPr>
          <w:rFonts w:ascii="Times New Roman" w:eastAsia="Times New Roman" w:hAnsi="Times New Roman" w:cs="Times New Roman"/>
          <w:sz w:val="24"/>
          <w:szCs w:val="24"/>
          <w:lang w:eastAsia="en-IN"/>
        </w:rPr>
        <w:t>a few</w:t>
      </w:r>
      <w:r w:rsidR="007D3AB9" w:rsidRPr="00FC2FCC">
        <w:rPr>
          <w:rFonts w:ascii="Times New Roman" w:eastAsia="Times New Roman" w:hAnsi="Times New Roman" w:cs="Times New Roman"/>
          <w:sz w:val="24"/>
          <w:szCs w:val="24"/>
          <w:lang w:eastAsia="en-IN"/>
        </w:rPr>
        <w:t xml:space="preserve"> important </w:t>
      </w:r>
      <w:r w:rsidR="000B055C" w:rsidRPr="00FC2FCC">
        <w:rPr>
          <w:rFonts w:ascii="Times New Roman" w:eastAsia="Times New Roman" w:hAnsi="Times New Roman" w:cs="Times New Roman"/>
          <w:sz w:val="24"/>
          <w:szCs w:val="24"/>
          <w:lang w:eastAsia="en-IN"/>
        </w:rPr>
        <w:t>questions</w:t>
      </w:r>
      <w:r w:rsidR="007D3AB9" w:rsidRPr="00FC2FCC">
        <w:rPr>
          <w:rFonts w:ascii="Times New Roman" w:eastAsia="Times New Roman" w:hAnsi="Times New Roman" w:cs="Times New Roman"/>
          <w:sz w:val="24"/>
          <w:szCs w:val="24"/>
          <w:lang w:eastAsia="en-IN"/>
        </w:rPr>
        <w:t>: Why do speculative bubbles develop even if markets are very efficient? Why do collisions</w:t>
      </w:r>
      <w:r w:rsidR="006F1083" w:rsidRPr="00FC2FCC">
        <w:rPr>
          <w:rFonts w:ascii="Times New Roman" w:eastAsia="Times New Roman" w:hAnsi="Times New Roman" w:cs="Times New Roman"/>
          <w:sz w:val="24"/>
          <w:szCs w:val="24"/>
          <w:lang w:eastAsia="en-IN"/>
        </w:rPr>
        <w:t xml:space="preserve"> and market crash</w:t>
      </w:r>
      <w:r w:rsidR="00182A07" w:rsidRPr="00FC2FCC">
        <w:rPr>
          <w:rFonts w:ascii="Times New Roman" w:eastAsia="Times New Roman" w:hAnsi="Times New Roman" w:cs="Times New Roman"/>
          <w:sz w:val="24"/>
          <w:szCs w:val="24"/>
          <w:lang w:eastAsia="en-IN"/>
        </w:rPr>
        <w:t>es</w:t>
      </w:r>
      <w:r w:rsidR="007D3AB9" w:rsidRPr="00FC2FCC">
        <w:rPr>
          <w:rFonts w:ascii="Times New Roman" w:eastAsia="Times New Roman" w:hAnsi="Times New Roman" w:cs="Times New Roman"/>
          <w:sz w:val="24"/>
          <w:szCs w:val="24"/>
          <w:lang w:eastAsia="en-IN"/>
        </w:rPr>
        <w:t xml:space="preserve"> happen so often? </w:t>
      </w:r>
      <w:r w:rsidR="000B055C" w:rsidRPr="00FC2FCC">
        <w:rPr>
          <w:rFonts w:ascii="Times New Roman" w:eastAsia="Times New Roman" w:hAnsi="Times New Roman" w:cs="Times New Roman"/>
          <w:sz w:val="24"/>
          <w:szCs w:val="24"/>
          <w:lang w:eastAsia="en-IN"/>
        </w:rPr>
        <w:t xml:space="preserve"> </w:t>
      </w:r>
    </w:p>
    <w:p w:rsidR="006F1083" w:rsidRPr="00FC2FCC" w:rsidRDefault="000B055C" w:rsidP="00FC2FCC">
      <w:pPr>
        <w:pStyle w:val="BodyText"/>
        <w:spacing w:before="120" w:after="120" w:line="360" w:lineRule="auto"/>
      </w:pPr>
      <w:r w:rsidRPr="00FC2FCC">
        <w:t>This research work attempts to investigate</w:t>
      </w:r>
      <w:r w:rsidR="007D3AB9" w:rsidRPr="00FC2FCC">
        <w:t xml:space="preserve"> whether structural constraints (e.g., transaction costs, information as</w:t>
      </w:r>
      <w:r w:rsidR="00202F75" w:rsidRPr="00FC2FCC">
        <w:t xml:space="preserve">ymmetry) and behavioural biases, </w:t>
      </w:r>
      <w:r w:rsidR="007D3AB9" w:rsidRPr="00FC2FCC">
        <w:t>such as</w:t>
      </w:r>
      <w:r w:rsidRPr="00FC2FCC">
        <w:t xml:space="preserve"> herd mentality, overconfidence</w:t>
      </w:r>
      <w:r w:rsidR="00182A07" w:rsidRPr="00FC2FCC">
        <w:t>,</w:t>
      </w:r>
      <w:r w:rsidRPr="00FC2FCC">
        <w:t xml:space="preserve"> etc., </w:t>
      </w:r>
      <w:r w:rsidR="007D3AB9" w:rsidRPr="00FC2FCC">
        <w:t xml:space="preserve">cause exploitable patterns or if stock prices follow randomness. </w:t>
      </w:r>
      <w:r w:rsidR="006F1083" w:rsidRPr="00FC2FCC">
        <w:t>By aggregating seminal research works, their empirical findings and theoretical criticisms, t</w:t>
      </w:r>
      <w:r w:rsidR="007D3AB9" w:rsidRPr="00FC2FCC">
        <w:t xml:space="preserve">his paper </w:t>
      </w:r>
      <w:r w:rsidR="006F1083" w:rsidRPr="00FC2FCC">
        <w:t>aims to assess</w:t>
      </w:r>
      <w:r w:rsidR="007D3AB9" w:rsidRPr="00FC2FCC">
        <w:t xml:space="preserve"> whether Weak Form EMH remains a valid framework or if changing market dynamics need a paradigm shift</w:t>
      </w:r>
      <w:r w:rsidRPr="00FC2FCC">
        <w:t>.</w:t>
      </w:r>
      <w:r w:rsidR="007D3AB9" w:rsidRPr="00FC2FCC">
        <w:t xml:space="preserve"> </w:t>
      </w:r>
      <w:r w:rsidR="00182A07" w:rsidRPr="00FC2FCC">
        <w:t>Ultimately</w:t>
      </w:r>
      <w:r w:rsidR="007D3AB9" w:rsidRPr="00FC2FCC">
        <w:t xml:space="preserve">, it tries to balance the theoretical </w:t>
      </w:r>
      <w:r w:rsidR="006F1083" w:rsidRPr="00FC2FCC">
        <w:t>grace</w:t>
      </w:r>
      <w:r w:rsidR="007D3AB9" w:rsidRPr="00FC2FCC">
        <w:t xml:space="preserve"> of </w:t>
      </w:r>
      <w:r w:rsidR="007D3AB9" w:rsidRPr="00FC2FCC">
        <w:lastRenderedPageBreak/>
        <w:t xml:space="preserve">EMH with the chaotic reality of financial markets, in which both reason and irrationality coexist. </w:t>
      </w:r>
    </w:p>
    <w:p w:rsidR="006F1083" w:rsidRPr="00FC2FCC" w:rsidRDefault="007D3AB9" w:rsidP="00A50F9F">
      <w:pPr>
        <w:pStyle w:val="ListParagraph"/>
        <w:numPr>
          <w:ilvl w:val="0"/>
          <w:numId w:val="1"/>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Research Objectives </w:t>
      </w:r>
    </w:p>
    <w:p w:rsidR="006F1083" w:rsidRPr="00FC2FCC" w:rsidRDefault="007D3AB9" w:rsidP="00A50F9F">
      <w:pPr>
        <w:pStyle w:val="ListParagraph"/>
        <w:numPr>
          <w:ilvl w:val="0"/>
          <w:numId w:val="4"/>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Analyse empirical data for/against Weak Form EMH critically. </w:t>
      </w:r>
    </w:p>
    <w:p w:rsidR="006F1083" w:rsidRPr="00FC2FCC" w:rsidRDefault="007D3AB9" w:rsidP="00A50F9F">
      <w:pPr>
        <w:pStyle w:val="ListParagraph"/>
        <w:numPr>
          <w:ilvl w:val="0"/>
          <w:numId w:val="4"/>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Examine the behavioural and theoretical justifications for market oddities. </w:t>
      </w:r>
    </w:p>
    <w:p w:rsidR="00202F75" w:rsidRPr="00FC2FCC" w:rsidRDefault="007D3AB9" w:rsidP="00A50F9F">
      <w:pPr>
        <w:pStyle w:val="ListParagraph"/>
        <w:numPr>
          <w:ilvl w:val="0"/>
          <w:numId w:val="4"/>
        </w:numPr>
        <w:spacing w:before="24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Sort the conundrum of efficiency vs irrationality. </w:t>
      </w:r>
    </w:p>
    <w:p w:rsidR="006F1083" w:rsidRPr="00FC2FCC" w:rsidRDefault="007D3AB9" w:rsidP="00A50F9F">
      <w:pPr>
        <w:pStyle w:val="ListParagraph"/>
        <w:numPr>
          <w:ilvl w:val="0"/>
          <w:numId w:val="1"/>
        </w:numPr>
        <w:spacing w:before="24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Review of the literature: Argument </w:t>
      </w:r>
      <w:r w:rsidR="00FC2FCC">
        <w:rPr>
          <w:rFonts w:ascii="Times New Roman" w:eastAsia="Times New Roman" w:hAnsi="Times New Roman" w:cs="Times New Roman"/>
          <w:b/>
          <w:sz w:val="24"/>
          <w:szCs w:val="24"/>
          <w:lang w:eastAsia="en-IN"/>
        </w:rPr>
        <w:t>in Favour o</w:t>
      </w:r>
      <w:r w:rsidR="00FC2FCC" w:rsidRPr="00FC2FCC">
        <w:rPr>
          <w:rFonts w:ascii="Times New Roman" w:eastAsia="Times New Roman" w:hAnsi="Times New Roman" w:cs="Times New Roman"/>
          <w:b/>
          <w:sz w:val="24"/>
          <w:szCs w:val="24"/>
          <w:lang w:eastAsia="en-IN"/>
        </w:rPr>
        <w:t xml:space="preserve">f Weak </w:t>
      </w:r>
      <w:r w:rsidR="00182A07" w:rsidRPr="00FC2FCC">
        <w:rPr>
          <w:rFonts w:ascii="Times New Roman" w:eastAsia="Times New Roman" w:hAnsi="Times New Roman" w:cs="Times New Roman"/>
          <w:b/>
          <w:sz w:val="24"/>
          <w:szCs w:val="24"/>
          <w:lang w:eastAsia="en-IN"/>
        </w:rPr>
        <w:t>F</w:t>
      </w:r>
      <w:r w:rsidRPr="00FC2FCC">
        <w:rPr>
          <w:rFonts w:ascii="Times New Roman" w:eastAsia="Times New Roman" w:hAnsi="Times New Roman" w:cs="Times New Roman"/>
          <w:b/>
          <w:sz w:val="24"/>
          <w:szCs w:val="24"/>
          <w:lang w:eastAsia="en-IN"/>
        </w:rPr>
        <w:t xml:space="preserve">orm EMH </w:t>
      </w:r>
    </w:p>
    <w:p w:rsidR="00EF4482" w:rsidRPr="00FC2FCC" w:rsidRDefault="00EF4482" w:rsidP="00FC2FCC">
      <w:pPr>
        <w:pStyle w:val="BodyText"/>
        <w:spacing w:after="0" w:line="360" w:lineRule="auto"/>
      </w:pPr>
      <w:r w:rsidRPr="00FC2FCC">
        <w:t xml:space="preserve">This section integrates foundational theoretical and empirical efforts, from early mathematical models to modern defences against behavioural arguments, that have reinforced the premise of </w:t>
      </w:r>
      <w:r w:rsidR="00182A07" w:rsidRPr="00FC2FCC">
        <w:t xml:space="preserve">the </w:t>
      </w:r>
      <w:r w:rsidRPr="00FC2FCC">
        <w:t>Weak Form Efficient Market Hypothesis (EMH), which holds that past price and volume data cannot forecast future stock returns</w:t>
      </w:r>
      <w:r w:rsidR="00182A07" w:rsidRPr="00FC2FCC">
        <w:t>;</w:t>
      </w:r>
      <w:r w:rsidRPr="00FC2FCC">
        <w:t xml:space="preserve"> </w:t>
      </w:r>
      <w:proofErr w:type="gramStart"/>
      <w:r w:rsidRPr="00FC2FCC">
        <w:t>therefore</w:t>
      </w:r>
      <w:proofErr w:type="gramEnd"/>
      <w:r w:rsidRPr="00FC2FCC">
        <w:t xml:space="preserve"> historical analysis is pointless.</w:t>
      </w:r>
    </w:p>
    <w:p w:rsidR="00EF4482" w:rsidRPr="00FC2FCC" w:rsidRDefault="007D3AB9" w:rsidP="00FC2FCC">
      <w:pPr>
        <w:spacing w:after="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3.1 Foundational Theories: Random Walk Origins </w:t>
      </w:r>
    </w:p>
    <w:p w:rsidR="00112988" w:rsidRPr="00FC2FCC" w:rsidRDefault="007D3AB9" w:rsidP="00FC2FCC">
      <w:pPr>
        <w:pStyle w:val="BodyText"/>
        <w:spacing w:after="0" w:line="360" w:lineRule="auto"/>
      </w:pPr>
      <w:r w:rsidRPr="00FC2FCC">
        <w:t xml:space="preserve">Weak Form EMH's conceptual foundation is </w:t>
      </w:r>
      <w:r w:rsidR="00EF4482" w:rsidRPr="00FC2FCC">
        <w:t>based on</w:t>
      </w:r>
      <w:r w:rsidRPr="00FC2FCC">
        <w:t xml:space="preserve"> Louis </w:t>
      </w:r>
      <w:proofErr w:type="spellStart"/>
      <w:r w:rsidRPr="00FC2FCC">
        <w:t>Bachelier's</w:t>
      </w:r>
      <w:proofErr w:type="spellEnd"/>
      <w:r w:rsidRPr="00FC2FCC">
        <w:t xml:space="preserve"> revolutionary 1900 doctoral thesis, "</w:t>
      </w:r>
      <w:proofErr w:type="spellStart"/>
      <w:r w:rsidRPr="00FC2FCC">
        <w:rPr>
          <w:i/>
        </w:rPr>
        <w:t>Théorie</w:t>
      </w:r>
      <w:proofErr w:type="spellEnd"/>
      <w:r w:rsidRPr="00FC2FCC">
        <w:rPr>
          <w:i/>
        </w:rPr>
        <w:t xml:space="preserve"> de la </w:t>
      </w:r>
      <w:proofErr w:type="spellStart"/>
      <w:r w:rsidRPr="00FC2FCC">
        <w:rPr>
          <w:i/>
        </w:rPr>
        <w:t>spéculation</w:t>
      </w:r>
      <w:proofErr w:type="spellEnd"/>
      <w:r w:rsidRPr="00FC2FCC">
        <w:t xml:space="preserve">." Analysing French government bond prices, </w:t>
      </w:r>
      <w:proofErr w:type="spellStart"/>
      <w:r w:rsidRPr="00FC2FCC">
        <w:t>Bachelier</w:t>
      </w:r>
      <w:proofErr w:type="spellEnd"/>
      <w:r w:rsidRPr="00FC2FCC">
        <w:t xml:space="preserve"> simulated price changes using Brownian motion, concluding that past trends had </w:t>
      </w:r>
      <w:r w:rsidR="00EF4482" w:rsidRPr="00FC2FCC">
        <w:t>negligible</w:t>
      </w:r>
      <w:r w:rsidRPr="00FC2FCC">
        <w:t xml:space="preserve"> predictive ability over future price movements. </w:t>
      </w:r>
      <w:r w:rsidR="00182A07" w:rsidRPr="00FC2FCC">
        <w:t>The r</w:t>
      </w:r>
      <w:r w:rsidR="007F5B99" w:rsidRPr="00FC2FCC">
        <w:t xml:space="preserve">andom walk hypothesis </w:t>
      </w:r>
      <w:r w:rsidRPr="00FC2FCC">
        <w:t xml:space="preserve">holds that price fluctuations are statistically independent of past trends. </w:t>
      </w:r>
      <w:r w:rsidR="007F5B99" w:rsidRPr="00FC2FCC">
        <w:t>After being</w:t>
      </w:r>
      <w:r w:rsidRPr="00FC2FCC">
        <w:t xml:space="preserve"> neglected for decades, </w:t>
      </w:r>
      <w:proofErr w:type="spellStart"/>
      <w:r w:rsidRPr="00FC2FCC">
        <w:t>Bachelier's</w:t>
      </w:r>
      <w:proofErr w:type="spellEnd"/>
      <w:r w:rsidRPr="00FC2FCC">
        <w:t xml:space="preserve"> theories </w:t>
      </w:r>
      <w:r w:rsidR="00182A07" w:rsidRPr="00FC2FCC">
        <w:t>became popular in the 1960s when researchers searched</w:t>
      </w:r>
      <w:r w:rsidRPr="00FC2FCC">
        <w:t xml:space="preserve"> for empirical models to clarify market behaviour. </w:t>
      </w:r>
      <w:r w:rsidR="00112988" w:rsidRPr="00FC2FCC">
        <w:t>Paul Samuelson's article, "</w:t>
      </w:r>
      <w:r w:rsidR="00112988" w:rsidRPr="00FC2FCC">
        <w:rPr>
          <w:i/>
        </w:rPr>
        <w:t>Proof That Properly Anticipated Prices Fluctuate Randomly (1965)</w:t>
      </w:r>
      <w:r w:rsidR="00112988" w:rsidRPr="00FC2FCC">
        <w:t xml:space="preserve">," systematically formalised </w:t>
      </w:r>
      <w:proofErr w:type="spellStart"/>
      <w:r w:rsidR="00112988" w:rsidRPr="00FC2FCC">
        <w:t>Bachelier's</w:t>
      </w:r>
      <w:proofErr w:type="spellEnd"/>
      <w:r w:rsidR="00112988" w:rsidRPr="00FC2FCC">
        <w:t xml:space="preserve"> intuitive concepts through mathematical expressions. Samuelson used the martingale theory to show that price changes must not be predictable in an efficient market, where prices reflect all known information instantly. This theoretical advancement reinforced the connection between market efficiency and the infeasibility of continually outperforming the market via historical data analysis.</w:t>
      </w:r>
    </w:p>
    <w:p w:rsidR="002501B9" w:rsidRPr="00FC2FCC" w:rsidRDefault="006B0A91" w:rsidP="00A50F9F">
      <w:pPr>
        <w:spacing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 3.2 Empirical Verification</w:t>
      </w:r>
      <w:r w:rsidR="00FC2FCC">
        <w:rPr>
          <w:rFonts w:ascii="Times New Roman" w:eastAsia="Times New Roman" w:hAnsi="Times New Roman" w:cs="Times New Roman"/>
          <w:b/>
          <w:sz w:val="24"/>
          <w:szCs w:val="24"/>
          <w:lang w:eastAsia="en-IN"/>
        </w:rPr>
        <w:t xml:space="preserve"> through Literature</w:t>
      </w:r>
      <w:r w:rsidRPr="00FC2FCC">
        <w:rPr>
          <w:rFonts w:ascii="Times New Roman" w:eastAsia="Times New Roman" w:hAnsi="Times New Roman" w:cs="Times New Roman"/>
          <w:b/>
          <w:sz w:val="24"/>
          <w:szCs w:val="24"/>
          <w:lang w:eastAsia="en-IN"/>
        </w:rPr>
        <w:t xml:space="preserve">: Testing the </w:t>
      </w:r>
      <w:r w:rsidR="007D3AB9" w:rsidRPr="00FC2FCC">
        <w:rPr>
          <w:rFonts w:ascii="Times New Roman" w:eastAsia="Times New Roman" w:hAnsi="Times New Roman" w:cs="Times New Roman"/>
          <w:b/>
          <w:sz w:val="24"/>
          <w:szCs w:val="24"/>
          <w:lang w:eastAsia="en-IN"/>
        </w:rPr>
        <w:t xml:space="preserve">Random Walk </w:t>
      </w:r>
    </w:p>
    <w:p w:rsidR="006A2A9A" w:rsidRPr="00FC2FCC" w:rsidRDefault="002501B9" w:rsidP="00A50F9F">
      <w:pPr>
        <w:pStyle w:val="BodyText"/>
        <w:spacing w:after="120" w:line="360" w:lineRule="auto"/>
      </w:pPr>
      <w:r w:rsidRPr="00FC2FCC">
        <w:t>Euge</w:t>
      </w:r>
      <w:r w:rsidR="00B53883" w:rsidRPr="00FC2FCC">
        <w:t xml:space="preserve">ne </w:t>
      </w:r>
      <w:proofErr w:type="spellStart"/>
      <w:r w:rsidR="00B53883" w:rsidRPr="00FC2FCC">
        <w:t>Fama</w:t>
      </w:r>
      <w:proofErr w:type="spellEnd"/>
      <w:r w:rsidR="00182A07" w:rsidRPr="00FC2FCC">
        <w:t>,</w:t>
      </w:r>
      <w:r w:rsidR="00B53883" w:rsidRPr="00FC2FCC">
        <w:t xml:space="preserve"> in his </w:t>
      </w:r>
      <w:r w:rsidRPr="00FC2FCC">
        <w:t>work "The Behaviour of Stock Market Prices</w:t>
      </w:r>
      <w:r w:rsidR="00B53883" w:rsidRPr="00FC2FCC">
        <w:t>” (1965),</w:t>
      </w:r>
      <w:r w:rsidRPr="00FC2FCC">
        <w:t xml:space="preserve"> conducted a comprehensive empirical investigation of the Weak Form Efficient Market Hypothesis by examining daily returns of 30 Dow Jones Industrial Average stocks from 1957 to 1962, employing serial correlation tests to assess the re</w:t>
      </w:r>
      <w:r w:rsidR="00B53883" w:rsidRPr="00FC2FCC">
        <w:t>l</w:t>
      </w:r>
      <w:r w:rsidRPr="00FC2FCC">
        <w:t xml:space="preserve">ationship between past and future price movements. </w:t>
      </w:r>
      <w:r w:rsidR="007D3AB9" w:rsidRPr="00FC2FCC">
        <w:t xml:space="preserve">His results showed </w:t>
      </w:r>
      <w:r w:rsidRPr="00FC2FCC">
        <w:t>insignificant</w:t>
      </w:r>
      <w:r w:rsidR="007D3AB9" w:rsidRPr="00FC2FCC">
        <w:t xml:space="preserve"> correlations</w:t>
      </w:r>
      <w:r w:rsidRPr="00FC2FCC">
        <w:t xml:space="preserve"> between past and future price movements</w:t>
      </w:r>
      <w:r w:rsidR="007D3AB9" w:rsidRPr="00FC2FCC">
        <w:t>, which support</w:t>
      </w:r>
      <w:r w:rsidR="00B53883" w:rsidRPr="00FC2FCC">
        <w:t>ed</w:t>
      </w:r>
      <w:r w:rsidR="007D3AB9" w:rsidRPr="00FC2FCC">
        <w:t xml:space="preserve"> the random walk theory about stock prices. </w:t>
      </w:r>
      <w:proofErr w:type="spellStart"/>
      <w:r w:rsidR="007D3AB9" w:rsidRPr="00FC2FCC">
        <w:t>Fama</w:t>
      </w:r>
      <w:proofErr w:type="spellEnd"/>
      <w:r w:rsidR="007D3AB9" w:rsidRPr="00FC2FCC">
        <w:t xml:space="preserve"> c</w:t>
      </w:r>
      <w:r w:rsidR="00182A07" w:rsidRPr="00FC2FCC">
        <w:t>oncluded</w:t>
      </w:r>
      <w:r w:rsidR="007D3AB9" w:rsidRPr="00FC2FCC">
        <w:t xml:space="preserve"> </w:t>
      </w:r>
      <w:r w:rsidR="007D3AB9" w:rsidRPr="00FC2FCC">
        <w:lastRenderedPageBreak/>
        <w:t>that technological study depending on pattern recognition in historical data</w:t>
      </w:r>
      <w:r w:rsidR="00B53883" w:rsidRPr="00FC2FCC">
        <w:t xml:space="preserve"> is statistically meaningless</w:t>
      </w:r>
      <w:r w:rsidR="007D3AB9" w:rsidRPr="00FC2FCC">
        <w:t xml:space="preserve">. </w:t>
      </w:r>
      <w:r w:rsidR="0022144C" w:rsidRPr="00FC2FCC">
        <w:t xml:space="preserve">Likewise, Alfred Cowles' study, "Can Stock Market Forecasters Forecast?" (1933), validated </w:t>
      </w:r>
      <w:proofErr w:type="spellStart"/>
      <w:r w:rsidR="0022144C" w:rsidRPr="00FC2FCC">
        <w:t>Fama's</w:t>
      </w:r>
      <w:proofErr w:type="spellEnd"/>
      <w:r w:rsidR="0022144C" w:rsidRPr="00FC2FCC">
        <w:t xml:space="preserve"> findings. Cowles evaluated the predictive efficacy of 16 financial magazines and market analysts over a period of 4.5 years (1928–1932) by comparing their stock selections to market indices. </w:t>
      </w:r>
      <w:r w:rsidR="006A2A9A" w:rsidRPr="00FC2FCC">
        <w:t>Surprisingly, only 9% of predictions came true, and no one's predictions consistently beat the market. Cowles' study empirically established that even seasoned professionals and experts cannot consistently generate market-beating returns </w:t>
      </w:r>
      <w:r w:rsidR="00182A07" w:rsidRPr="00FC2FCC">
        <w:t>based on</w:t>
      </w:r>
      <w:r w:rsidR="006A2A9A" w:rsidRPr="00FC2FCC">
        <w:t> past performance analysis.</w:t>
      </w:r>
    </w:p>
    <w:p w:rsidR="006A2A9A"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The 1973 book "A Random Walk Down Wall Street" by Burton </w:t>
      </w:r>
      <w:proofErr w:type="spellStart"/>
      <w:r w:rsidRPr="00FC2FCC">
        <w:rPr>
          <w:rFonts w:ascii="Times New Roman" w:eastAsia="Times New Roman" w:hAnsi="Times New Roman" w:cs="Times New Roman"/>
          <w:sz w:val="24"/>
          <w:szCs w:val="24"/>
          <w:lang w:eastAsia="en-IN"/>
        </w:rPr>
        <w:t>Malkiel</w:t>
      </w:r>
      <w:proofErr w:type="spellEnd"/>
      <w:r w:rsidRPr="00FC2FCC">
        <w:rPr>
          <w:rFonts w:ascii="Times New Roman" w:eastAsia="Times New Roman" w:hAnsi="Times New Roman" w:cs="Times New Roman"/>
          <w:sz w:val="24"/>
          <w:szCs w:val="24"/>
          <w:lang w:eastAsia="en-IN"/>
        </w:rPr>
        <w:t xml:space="preserve"> introduced these concepts to </w:t>
      </w:r>
      <w:r w:rsidR="00182A07" w:rsidRPr="00FC2FCC">
        <w:rPr>
          <w:rFonts w:ascii="Times New Roman" w:eastAsia="Times New Roman" w:hAnsi="Times New Roman" w:cs="Times New Roman"/>
          <w:sz w:val="24"/>
          <w:szCs w:val="24"/>
          <w:lang w:eastAsia="en-IN"/>
        </w:rPr>
        <w:t>the</w:t>
      </w:r>
      <w:r w:rsidRPr="00FC2FCC">
        <w:rPr>
          <w:rFonts w:ascii="Times New Roman" w:eastAsia="Times New Roman" w:hAnsi="Times New Roman" w:cs="Times New Roman"/>
          <w:sz w:val="24"/>
          <w:szCs w:val="24"/>
          <w:lang w:eastAsia="en-IN"/>
        </w:rPr>
        <w:t xml:space="preserve"> general public. Using U.S. stock data </w:t>
      </w:r>
      <w:r w:rsidR="006A2A9A" w:rsidRPr="00FC2FCC">
        <w:rPr>
          <w:rFonts w:ascii="Times New Roman" w:eastAsia="Times New Roman" w:hAnsi="Times New Roman" w:cs="Times New Roman"/>
          <w:sz w:val="24"/>
          <w:szCs w:val="24"/>
          <w:lang w:eastAsia="en-IN"/>
        </w:rPr>
        <w:t>from 1926 to the 1960s and</w:t>
      </w:r>
      <w:r w:rsidRPr="00FC2FCC">
        <w:rPr>
          <w:rFonts w:ascii="Times New Roman" w:eastAsia="Times New Roman" w:hAnsi="Times New Roman" w:cs="Times New Roman"/>
          <w:sz w:val="24"/>
          <w:szCs w:val="24"/>
          <w:lang w:eastAsia="en-IN"/>
        </w:rPr>
        <w:t xml:space="preserve"> analysing the efficacy of technical trading rules (e.g., moving averages, filter rules) against pa</w:t>
      </w:r>
      <w:r w:rsidR="006A2A9A" w:rsidRPr="00FC2FCC">
        <w:rPr>
          <w:rFonts w:ascii="Times New Roman" w:eastAsia="Times New Roman" w:hAnsi="Times New Roman" w:cs="Times New Roman"/>
          <w:sz w:val="24"/>
          <w:szCs w:val="24"/>
          <w:lang w:eastAsia="en-IN"/>
        </w:rPr>
        <w:t xml:space="preserve">ssive "buy-and-hold" strategies, </w:t>
      </w:r>
      <w:proofErr w:type="spellStart"/>
      <w:r w:rsidR="006A2A9A" w:rsidRPr="00FC2FCC">
        <w:rPr>
          <w:rFonts w:ascii="Times New Roman" w:eastAsia="Times New Roman" w:hAnsi="Times New Roman" w:cs="Times New Roman"/>
          <w:sz w:val="24"/>
          <w:szCs w:val="24"/>
          <w:lang w:eastAsia="en-IN"/>
        </w:rPr>
        <w:t>Malkiel</w:t>
      </w:r>
      <w:proofErr w:type="spellEnd"/>
      <w:r w:rsidR="006A2A9A" w:rsidRPr="00FC2FCC">
        <w:rPr>
          <w:rFonts w:ascii="Times New Roman" w:eastAsia="Times New Roman" w:hAnsi="Times New Roman" w:cs="Times New Roman"/>
          <w:sz w:val="24"/>
          <w:szCs w:val="24"/>
          <w:lang w:eastAsia="en-IN"/>
        </w:rPr>
        <w:t xml:space="preserve"> showed </w:t>
      </w:r>
      <w:r w:rsidRPr="00FC2FCC">
        <w:rPr>
          <w:rFonts w:ascii="Times New Roman" w:eastAsia="Times New Roman" w:hAnsi="Times New Roman" w:cs="Times New Roman"/>
          <w:sz w:val="24"/>
          <w:szCs w:val="24"/>
          <w:lang w:eastAsia="en-IN"/>
        </w:rPr>
        <w:t xml:space="preserve">that </w:t>
      </w:r>
      <w:r w:rsidR="006A2A9A" w:rsidRPr="00FC2FCC">
        <w:rPr>
          <w:rFonts w:ascii="Times New Roman" w:eastAsia="Times New Roman" w:hAnsi="Times New Roman" w:cs="Times New Roman"/>
          <w:sz w:val="24"/>
          <w:szCs w:val="24"/>
          <w:lang w:eastAsia="en-IN"/>
        </w:rPr>
        <w:t xml:space="preserve">after considering transaction costs, </w:t>
      </w:r>
      <w:r w:rsidRPr="00FC2FCC">
        <w:rPr>
          <w:rFonts w:ascii="Times New Roman" w:eastAsia="Times New Roman" w:hAnsi="Times New Roman" w:cs="Times New Roman"/>
          <w:sz w:val="24"/>
          <w:szCs w:val="24"/>
          <w:lang w:eastAsia="en-IN"/>
        </w:rPr>
        <w:t xml:space="preserve">active trading techniques failed to outperform </w:t>
      </w:r>
      <w:r w:rsidR="006A2A9A" w:rsidRPr="00FC2FCC">
        <w:rPr>
          <w:rFonts w:ascii="Times New Roman" w:eastAsia="Times New Roman" w:hAnsi="Times New Roman" w:cs="Times New Roman"/>
          <w:sz w:val="24"/>
          <w:szCs w:val="24"/>
          <w:lang w:eastAsia="en-IN"/>
        </w:rPr>
        <w:t>passive trading</w:t>
      </w:r>
      <w:r w:rsidRPr="00FC2FCC">
        <w:rPr>
          <w:rFonts w:ascii="Times New Roman" w:eastAsia="Times New Roman" w:hAnsi="Times New Roman" w:cs="Times New Roman"/>
          <w:sz w:val="24"/>
          <w:szCs w:val="24"/>
          <w:lang w:eastAsia="en-IN"/>
        </w:rPr>
        <w:t>. His writings popularised the case for index funds, contending that rather than follow</w:t>
      </w:r>
      <w:r w:rsidR="006A2A9A" w:rsidRPr="00FC2FCC">
        <w:rPr>
          <w:rFonts w:ascii="Times New Roman" w:eastAsia="Times New Roman" w:hAnsi="Times New Roman" w:cs="Times New Roman"/>
          <w:sz w:val="24"/>
          <w:szCs w:val="24"/>
          <w:lang w:eastAsia="en-IN"/>
        </w:rPr>
        <w:t>ing</w:t>
      </w:r>
      <w:r w:rsidRPr="00FC2FCC">
        <w:rPr>
          <w:rFonts w:ascii="Times New Roman" w:eastAsia="Times New Roman" w:hAnsi="Times New Roman" w:cs="Times New Roman"/>
          <w:sz w:val="24"/>
          <w:szCs w:val="24"/>
          <w:lang w:eastAsia="en-IN"/>
        </w:rPr>
        <w:t xml:space="preserve"> false trends, average investors should welcome market efficiency. </w:t>
      </w:r>
    </w:p>
    <w:p w:rsidR="006B0A91" w:rsidRPr="00FC2FCC" w:rsidRDefault="007D3AB9" w:rsidP="00A50F9F">
      <w:p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3.3 Modern Defence</w:t>
      </w:r>
      <w:r w:rsidR="00FC2FCC">
        <w:rPr>
          <w:rFonts w:ascii="Times New Roman" w:eastAsia="Times New Roman" w:hAnsi="Times New Roman" w:cs="Times New Roman"/>
          <w:b/>
          <w:sz w:val="24"/>
          <w:szCs w:val="24"/>
          <w:lang w:eastAsia="en-IN"/>
        </w:rPr>
        <w:t xml:space="preserve"> for EMH</w:t>
      </w:r>
      <w:r w:rsidRPr="00FC2FCC">
        <w:rPr>
          <w:rFonts w:ascii="Times New Roman" w:eastAsia="Times New Roman" w:hAnsi="Times New Roman" w:cs="Times New Roman"/>
          <w:b/>
          <w:sz w:val="24"/>
          <w:szCs w:val="24"/>
          <w:lang w:eastAsia="en-IN"/>
        </w:rPr>
        <w:t xml:space="preserve">: Harmonising </w:t>
      </w:r>
      <w:r w:rsidR="006B0A91" w:rsidRPr="00FC2FCC">
        <w:rPr>
          <w:rFonts w:ascii="Times New Roman" w:hAnsi="Times New Roman" w:cs="Times New Roman"/>
          <w:b/>
          <w:sz w:val="24"/>
          <w:szCs w:val="24"/>
        </w:rPr>
        <w:t>Anomalies</w:t>
      </w:r>
      <w:r w:rsidRPr="00FC2FCC">
        <w:rPr>
          <w:rFonts w:ascii="Times New Roman" w:eastAsia="Times New Roman" w:hAnsi="Times New Roman" w:cs="Times New Roman"/>
          <w:b/>
          <w:sz w:val="24"/>
          <w:szCs w:val="24"/>
          <w:lang w:eastAsia="en-IN"/>
        </w:rPr>
        <w:t xml:space="preserve"> </w:t>
      </w:r>
    </w:p>
    <w:p w:rsidR="006B0A91"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Critics of EMH pointed to</w:t>
      </w:r>
      <w:r w:rsidR="006B0A91" w:rsidRPr="00FC2FCC">
        <w:rPr>
          <w:rFonts w:ascii="Times New Roman" w:eastAsia="Times New Roman" w:hAnsi="Times New Roman" w:cs="Times New Roman"/>
          <w:sz w:val="24"/>
          <w:szCs w:val="24"/>
          <w:lang w:eastAsia="en-IN"/>
        </w:rPr>
        <w:t>wards</w:t>
      </w:r>
      <w:r w:rsidRPr="00FC2FCC">
        <w:rPr>
          <w:rFonts w:ascii="Times New Roman" w:eastAsia="Times New Roman" w:hAnsi="Times New Roman" w:cs="Times New Roman"/>
          <w:sz w:val="24"/>
          <w:szCs w:val="24"/>
          <w:lang w:eastAsia="en-IN"/>
        </w:rPr>
        <w:t xml:space="preserve"> </w:t>
      </w:r>
      <w:r w:rsidR="006B0A91"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i/>
          <w:sz w:val="24"/>
          <w:szCs w:val="24"/>
          <w:lang w:eastAsia="en-IN"/>
        </w:rPr>
        <w:t>calendar inconsistencies</w:t>
      </w:r>
      <w:r w:rsidR="006B0A91" w:rsidRPr="00FC2FCC">
        <w:rPr>
          <w:rFonts w:ascii="Times New Roman" w:eastAsia="Times New Roman" w:hAnsi="Times New Roman" w:cs="Times New Roman"/>
          <w:i/>
          <w:sz w:val="24"/>
          <w:szCs w:val="24"/>
          <w:lang w:eastAsia="en-IN"/>
        </w:rPr>
        <w:t>’</w:t>
      </w:r>
      <w:r w:rsidRPr="00FC2FCC">
        <w:rPr>
          <w:rFonts w:ascii="Times New Roman" w:eastAsia="Times New Roman" w:hAnsi="Times New Roman" w:cs="Times New Roman"/>
          <w:sz w:val="24"/>
          <w:szCs w:val="24"/>
          <w:lang w:eastAsia="en-IN"/>
        </w:rPr>
        <w:t xml:space="preserve"> and </w:t>
      </w:r>
      <w:r w:rsidR="006B0A91"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i/>
          <w:sz w:val="24"/>
          <w:szCs w:val="24"/>
          <w:lang w:eastAsia="en-IN"/>
        </w:rPr>
        <w:t>momentum effects</w:t>
      </w:r>
      <w:r w:rsidR="006B0A91"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by </w:t>
      </w:r>
      <w:r w:rsidR="00182A07" w:rsidRPr="00FC2FCC">
        <w:rPr>
          <w:rFonts w:ascii="Times New Roman" w:eastAsia="Times New Roman" w:hAnsi="Times New Roman" w:cs="Times New Roman"/>
          <w:sz w:val="24"/>
          <w:szCs w:val="24"/>
          <w:lang w:eastAsia="en-IN"/>
        </w:rPr>
        <w:t xml:space="preserve">the </w:t>
      </w:r>
      <w:r w:rsidRPr="00FC2FCC">
        <w:rPr>
          <w:rFonts w:ascii="Times New Roman" w:eastAsia="Times New Roman" w:hAnsi="Times New Roman" w:cs="Times New Roman"/>
          <w:sz w:val="24"/>
          <w:szCs w:val="24"/>
          <w:lang w:eastAsia="en-IN"/>
        </w:rPr>
        <w:t xml:space="preserve">late 20th century as proof against </w:t>
      </w:r>
      <w:r w:rsidR="006B0A91" w:rsidRPr="00FC2FCC">
        <w:rPr>
          <w:rFonts w:ascii="Times New Roman" w:eastAsia="Times New Roman" w:hAnsi="Times New Roman" w:cs="Times New Roman"/>
          <w:sz w:val="24"/>
          <w:szCs w:val="24"/>
          <w:lang w:eastAsia="en-IN"/>
        </w:rPr>
        <w:t>EMH</w:t>
      </w:r>
      <w:r w:rsidRPr="00FC2FCC">
        <w:rPr>
          <w:rFonts w:ascii="Times New Roman" w:eastAsia="Times New Roman" w:hAnsi="Times New Roman" w:cs="Times New Roman"/>
          <w:sz w:val="24"/>
          <w:szCs w:val="24"/>
          <w:lang w:eastAsia="en-IN"/>
        </w:rPr>
        <w:t xml:space="preserve">. </w:t>
      </w:r>
      <w:r w:rsidR="00182A07" w:rsidRPr="00FC2FCC">
        <w:rPr>
          <w:rFonts w:ascii="Times New Roman" w:eastAsia="Times New Roman" w:hAnsi="Times New Roman" w:cs="Times New Roman"/>
          <w:sz w:val="24"/>
          <w:szCs w:val="24"/>
          <w:lang w:eastAsia="en-IN"/>
        </w:rPr>
        <w:t xml:space="preserve">However, supporters like Eugene </w:t>
      </w:r>
      <w:proofErr w:type="spellStart"/>
      <w:r w:rsidR="00182A07" w:rsidRPr="00FC2FCC">
        <w:rPr>
          <w:rFonts w:ascii="Times New Roman" w:eastAsia="Times New Roman" w:hAnsi="Times New Roman" w:cs="Times New Roman"/>
          <w:sz w:val="24"/>
          <w:szCs w:val="24"/>
          <w:lang w:eastAsia="en-IN"/>
        </w:rPr>
        <w:t>Fama</w:t>
      </w:r>
      <w:proofErr w:type="spellEnd"/>
      <w:r w:rsidR="00182A07" w:rsidRPr="00FC2FCC">
        <w:rPr>
          <w:rFonts w:ascii="Times New Roman" w:eastAsia="Times New Roman" w:hAnsi="Times New Roman" w:cs="Times New Roman"/>
          <w:sz w:val="24"/>
          <w:szCs w:val="24"/>
          <w:lang w:eastAsia="en-IN"/>
        </w:rPr>
        <w:t xml:space="preserve"> tried to maintain the integrity of EMH</w:t>
      </w:r>
      <w:r w:rsidR="004D2573" w:rsidRPr="00FC2FCC">
        <w:rPr>
          <w:rFonts w:ascii="Times New Roman" w:eastAsia="Times New Roman" w:hAnsi="Times New Roman" w:cs="Times New Roman"/>
          <w:sz w:val="24"/>
          <w:szCs w:val="24"/>
          <w:lang w:eastAsia="en-IN"/>
        </w:rPr>
        <w:t xml:space="preserve"> and </w:t>
      </w:r>
      <w:r w:rsidRPr="00FC2FCC">
        <w:rPr>
          <w:rFonts w:ascii="Times New Roman" w:eastAsia="Times New Roman" w:hAnsi="Times New Roman" w:cs="Times New Roman"/>
          <w:sz w:val="24"/>
          <w:szCs w:val="24"/>
          <w:lang w:eastAsia="en-IN"/>
        </w:rPr>
        <w:t xml:space="preserve">reinterpreted these </w:t>
      </w:r>
      <w:r w:rsidR="004D2573" w:rsidRPr="00FC2FCC">
        <w:rPr>
          <w:rFonts w:ascii="Times New Roman" w:eastAsia="Times New Roman" w:hAnsi="Times New Roman" w:cs="Times New Roman"/>
          <w:sz w:val="24"/>
          <w:szCs w:val="24"/>
          <w:lang w:eastAsia="en-IN"/>
        </w:rPr>
        <w:t>anomalies</w:t>
      </w:r>
      <w:r w:rsidRPr="00FC2FCC">
        <w:rPr>
          <w:rFonts w:ascii="Times New Roman" w:eastAsia="Times New Roman" w:hAnsi="Times New Roman" w:cs="Times New Roman"/>
          <w:sz w:val="24"/>
          <w:szCs w:val="24"/>
          <w:lang w:eastAsia="en-IN"/>
        </w:rPr>
        <w:t xml:space="preserve"> inside the efficiency paradigm. Reviewing decades of anomaly studies in </w:t>
      </w:r>
      <w:r w:rsidR="006B0A91"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i/>
          <w:sz w:val="24"/>
          <w:szCs w:val="24"/>
          <w:lang w:eastAsia="en-IN"/>
        </w:rPr>
        <w:t>Market Efficiency, Long-Term Returns, and Behavioural Finance</w:t>
      </w:r>
      <w:r w:rsidR="006B0A91"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(1998), </w:t>
      </w:r>
      <w:proofErr w:type="spellStart"/>
      <w:r w:rsidRPr="00FC2FCC">
        <w:rPr>
          <w:rFonts w:ascii="Times New Roman" w:eastAsia="Times New Roman" w:hAnsi="Times New Roman" w:cs="Times New Roman"/>
          <w:sz w:val="24"/>
          <w:szCs w:val="24"/>
          <w:lang w:eastAsia="en-IN"/>
        </w:rPr>
        <w:t>Fama</w:t>
      </w:r>
      <w:proofErr w:type="spellEnd"/>
      <w:r w:rsidR="004D2573" w:rsidRPr="00FC2FCC">
        <w:rPr>
          <w:rFonts w:ascii="Times New Roman" w:eastAsia="Times New Roman" w:hAnsi="Times New Roman" w:cs="Times New Roman"/>
          <w:sz w:val="24"/>
          <w:szCs w:val="24"/>
          <w:lang w:eastAsia="en-IN"/>
        </w:rPr>
        <w:t xml:space="preserve"> </w:t>
      </w:r>
      <w:r w:rsidRPr="00FC2FCC">
        <w:rPr>
          <w:rFonts w:ascii="Times New Roman" w:eastAsia="Times New Roman" w:hAnsi="Times New Roman" w:cs="Times New Roman"/>
          <w:sz w:val="24"/>
          <w:szCs w:val="24"/>
          <w:lang w:eastAsia="en-IN"/>
        </w:rPr>
        <w:t>contended that High momentum equities m</w:t>
      </w:r>
      <w:r w:rsidR="00182A07" w:rsidRPr="00FC2FCC">
        <w:rPr>
          <w:rFonts w:ascii="Times New Roman" w:eastAsia="Times New Roman" w:hAnsi="Times New Roman" w:cs="Times New Roman"/>
          <w:sz w:val="24"/>
          <w:szCs w:val="24"/>
          <w:lang w:eastAsia="en-IN"/>
        </w:rPr>
        <w:t>ight</w:t>
      </w:r>
      <w:r w:rsidRPr="00FC2FCC">
        <w:rPr>
          <w:rFonts w:ascii="Times New Roman" w:eastAsia="Times New Roman" w:hAnsi="Times New Roman" w:cs="Times New Roman"/>
          <w:sz w:val="24"/>
          <w:szCs w:val="24"/>
          <w:lang w:eastAsia="en-IN"/>
        </w:rPr>
        <w:t xml:space="preserve"> have hidden dangers t</w:t>
      </w:r>
      <w:r w:rsidR="00182A07" w:rsidRPr="00FC2FCC">
        <w:rPr>
          <w:rFonts w:ascii="Times New Roman" w:eastAsia="Times New Roman" w:hAnsi="Times New Roman" w:cs="Times New Roman"/>
          <w:sz w:val="24"/>
          <w:szCs w:val="24"/>
          <w:lang w:eastAsia="en-IN"/>
        </w:rPr>
        <w:t>hat balance their excess returns.</w:t>
      </w:r>
      <w:r w:rsidRPr="00FC2FCC">
        <w:rPr>
          <w:rFonts w:ascii="Times New Roman" w:eastAsia="Times New Roman" w:hAnsi="Times New Roman" w:cs="Times New Roman"/>
          <w:sz w:val="24"/>
          <w:szCs w:val="24"/>
          <w:lang w:eastAsia="en-IN"/>
        </w:rPr>
        <w:t xml:space="preserve"> </w:t>
      </w:r>
      <w:r w:rsidR="00182A07" w:rsidRPr="00FC2FCC">
        <w:rPr>
          <w:rFonts w:ascii="Times New Roman" w:eastAsia="Times New Roman" w:hAnsi="Times New Roman" w:cs="Times New Roman"/>
          <w:sz w:val="24"/>
          <w:szCs w:val="24"/>
          <w:lang w:eastAsia="en-IN"/>
        </w:rPr>
        <w:t>H</w:t>
      </w:r>
      <w:r w:rsidRPr="00FC2FCC">
        <w:rPr>
          <w:rFonts w:ascii="Times New Roman" w:eastAsia="Times New Roman" w:hAnsi="Times New Roman" w:cs="Times New Roman"/>
          <w:sz w:val="24"/>
          <w:szCs w:val="24"/>
          <w:lang w:eastAsia="en-IN"/>
        </w:rPr>
        <w:t>ence</w:t>
      </w:r>
      <w:r w:rsidR="00182A07"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w:t>
      </w:r>
      <w:r w:rsidR="004D2573" w:rsidRPr="00FC2FCC">
        <w:rPr>
          <w:rFonts w:ascii="Times New Roman" w:eastAsia="Times New Roman" w:hAnsi="Times New Roman" w:cs="Times New Roman"/>
          <w:sz w:val="24"/>
          <w:szCs w:val="24"/>
          <w:lang w:eastAsia="en-IN"/>
        </w:rPr>
        <w:t>it indicate</w:t>
      </w:r>
      <w:r w:rsidR="00182A07" w:rsidRPr="00FC2FCC">
        <w:rPr>
          <w:rFonts w:ascii="Times New Roman" w:eastAsia="Times New Roman" w:hAnsi="Times New Roman" w:cs="Times New Roman"/>
          <w:sz w:val="24"/>
          <w:szCs w:val="24"/>
          <w:lang w:eastAsia="en-IN"/>
        </w:rPr>
        <w:t>s</w:t>
      </w:r>
      <w:r w:rsidR="004D2573" w:rsidRPr="00FC2FCC">
        <w:rPr>
          <w:rFonts w:ascii="Times New Roman" w:eastAsia="Times New Roman" w:hAnsi="Times New Roman" w:cs="Times New Roman"/>
          <w:sz w:val="24"/>
          <w:szCs w:val="24"/>
          <w:lang w:eastAsia="en-IN"/>
        </w:rPr>
        <w:t xml:space="preserve"> unobserved risk variables (e.g., liquidity risk) rather than inefficiencies. </w:t>
      </w:r>
      <w:r w:rsidRPr="00FC2FCC">
        <w:rPr>
          <w:rFonts w:ascii="Times New Roman" w:eastAsia="Times New Roman" w:hAnsi="Times New Roman" w:cs="Times New Roman"/>
          <w:sz w:val="24"/>
          <w:szCs w:val="24"/>
          <w:lang w:eastAsia="en-IN"/>
        </w:rPr>
        <w:t xml:space="preserve">The argument was further </w:t>
      </w:r>
      <w:r w:rsidR="00202F75" w:rsidRPr="00FC2FCC">
        <w:rPr>
          <w:rFonts w:ascii="Times New Roman" w:eastAsia="Times New Roman" w:hAnsi="Times New Roman" w:cs="Times New Roman"/>
          <w:sz w:val="24"/>
          <w:szCs w:val="24"/>
          <w:lang w:eastAsia="en-IN"/>
        </w:rPr>
        <w:t>reinforced</w:t>
      </w:r>
      <w:r w:rsidRPr="00FC2FCC">
        <w:rPr>
          <w:rFonts w:ascii="Times New Roman" w:eastAsia="Times New Roman" w:hAnsi="Times New Roman" w:cs="Times New Roman"/>
          <w:sz w:val="24"/>
          <w:szCs w:val="24"/>
          <w:lang w:eastAsia="en-IN"/>
        </w:rPr>
        <w:t xml:space="preserve"> by </w:t>
      </w:r>
      <w:proofErr w:type="spellStart"/>
      <w:r w:rsidRPr="00FC2FCC">
        <w:rPr>
          <w:rFonts w:ascii="Times New Roman" w:eastAsia="Times New Roman" w:hAnsi="Times New Roman" w:cs="Times New Roman"/>
          <w:sz w:val="24"/>
          <w:szCs w:val="24"/>
          <w:lang w:eastAsia="en-IN"/>
        </w:rPr>
        <w:t>Fama</w:t>
      </w:r>
      <w:proofErr w:type="spellEnd"/>
      <w:r w:rsidRPr="00FC2FCC">
        <w:rPr>
          <w:rFonts w:ascii="Times New Roman" w:eastAsia="Times New Roman" w:hAnsi="Times New Roman" w:cs="Times New Roman"/>
          <w:sz w:val="24"/>
          <w:szCs w:val="24"/>
          <w:lang w:eastAsia="en-IN"/>
        </w:rPr>
        <w:t xml:space="preserve"> and French's 1988 paper, "Permanent and Temporary Components of Stock Prices." On U.S. stock returns (CRSP data, 1926–1985), they broke out prices into permanent (fundamental) and transient (noise) components using variance ratio tests. </w:t>
      </w:r>
      <w:r w:rsidR="00182A07" w:rsidRPr="00FC2FCC">
        <w:rPr>
          <w:rFonts w:ascii="Times New Roman" w:eastAsia="Times New Roman" w:hAnsi="Times New Roman" w:cs="Times New Roman"/>
          <w:sz w:val="24"/>
          <w:szCs w:val="24"/>
          <w:lang w:eastAsia="en-IN"/>
        </w:rPr>
        <w:t>However,</w:t>
      </w:r>
      <w:r w:rsidRPr="00FC2FCC">
        <w:rPr>
          <w:rFonts w:ascii="Times New Roman" w:eastAsia="Times New Roman" w:hAnsi="Times New Roman" w:cs="Times New Roman"/>
          <w:sz w:val="24"/>
          <w:szCs w:val="24"/>
          <w:lang w:eastAsia="en-IN"/>
        </w:rPr>
        <w:t xml:space="preserve"> short-term pricing showed noise-driven volatility</w:t>
      </w:r>
      <w:r w:rsidR="00182A07" w:rsidRPr="00FC2FCC">
        <w:rPr>
          <w:rFonts w:ascii="Times New Roman" w:eastAsia="Times New Roman" w:hAnsi="Times New Roman" w:cs="Times New Roman"/>
          <w:sz w:val="24"/>
          <w:szCs w:val="24"/>
          <w:lang w:eastAsia="en-IN"/>
        </w:rPr>
        <w:t xml:space="preserve"> and long-term patterns returned to basics, which is</w:t>
      </w:r>
      <w:r w:rsidRPr="00FC2FCC">
        <w:rPr>
          <w:rFonts w:ascii="Times New Roman" w:eastAsia="Times New Roman" w:hAnsi="Times New Roman" w:cs="Times New Roman"/>
          <w:sz w:val="24"/>
          <w:szCs w:val="24"/>
          <w:lang w:eastAsia="en-IN"/>
        </w:rPr>
        <w:t xml:space="preserve"> consistent with Weak Form EMH's contention that past noise cannot forecast future movements. </w:t>
      </w:r>
      <w:r w:rsidR="00182A07" w:rsidRPr="00FC2FCC">
        <w:rPr>
          <w:rFonts w:ascii="Times New Roman" w:eastAsia="Times New Roman" w:hAnsi="Times New Roman" w:cs="Times New Roman"/>
          <w:sz w:val="24"/>
          <w:szCs w:val="24"/>
          <w:lang w:eastAsia="en-IN"/>
        </w:rPr>
        <w:t>Michael Jensen attempted to strike a pragmatic balance between EMH and market anomalies in his work</w:t>
      </w:r>
      <w:r w:rsidRPr="00FC2FCC">
        <w:rPr>
          <w:rFonts w:ascii="Times New Roman" w:eastAsia="Times New Roman" w:hAnsi="Times New Roman" w:cs="Times New Roman"/>
          <w:sz w:val="24"/>
          <w:szCs w:val="24"/>
          <w:lang w:eastAsia="en-IN"/>
        </w:rPr>
        <w:t xml:space="preserve"> "Some Anomalous Evidence Regarding Market Efficiency (1978)"</w:t>
      </w:r>
      <w:r w:rsidR="006B0A91"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E</w:t>
      </w:r>
      <w:r w:rsidR="00202F75" w:rsidRPr="00FC2FCC">
        <w:rPr>
          <w:rFonts w:ascii="Times New Roman" w:eastAsia="Times New Roman" w:hAnsi="Times New Roman" w:cs="Times New Roman"/>
          <w:sz w:val="24"/>
          <w:szCs w:val="24"/>
          <w:lang w:eastAsia="en-IN"/>
        </w:rPr>
        <w:t>xamining anomalies such as the ‘S</w:t>
      </w:r>
      <w:r w:rsidRPr="00FC2FCC">
        <w:rPr>
          <w:rFonts w:ascii="Times New Roman" w:eastAsia="Times New Roman" w:hAnsi="Times New Roman" w:cs="Times New Roman"/>
          <w:sz w:val="24"/>
          <w:szCs w:val="24"/>
          <w:lang w:eastAsia="en-IN"/>
        </w:rPr>
        <w:t>ize effect</w:t>
      </w:r>
      <w:r w:rsidR="00202F75"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and </w:t>
      </w:r>
      <w:r w:rsidR="00202F75"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January effect</w:t>
      </w:r>
      <w:r w:rsidR="00202F75" w:rsidRPr="00FC2FCC">
        <w:rPr>
          <w:rFonts w:ascii="Times New Roman" w:eastAsia="Times New Roman" w:hAnsi="Times New Roman" w:cs="Times New Roman"/>
          <w:sz w:val="24"/>
          <w:szCs w:val="24"/>
          <w:lang w:eastAsia="en-IN"/>
        </w:rPr>
        <w:t>’</w:t>
      </w:r>
      <w:r w:rsidRPr="00FC2FCC">
        <w:rPr>
          <w:rFonts w:ascii="Times New Roman" w:eastAsia="Times New Roman" w:hAnsi="Times New Roman" w:cs="Times New Roman"/>
          <w:sz w:val="24"/>
          <w:szCs w:val="24"/>
          <w:lang w:eastAsia="en-IN"/>
        </w:rPr>
        <w:t xml:space="preserve">, Jensen agreed </w:t>
      </w:r>
      <w:r w:rsidR="00182A07" w:rsidRPr="00FC2FCC">
        <w:rPr>
          <w:rFonts w:ascii="Times New Roman" w:eastAsia="Times New Roman" w:hAnsi="Times New Roman" w:cs="Times New Roman"/>
          <w:sz w:val="24"/>
          <w:szCs w:val="24"/>
          <w:lang w:eastAsia="en-IN"/>
        </w:rPr>
        <w:t xml:space="preserve">with </w:t>
      </w:r>
      <w:r w:rsidRPr="00FC2FCC">
        <w:rPr>
          <w:rFonts w:ascii="Times New Roman" w:eastAsia="Times New Roman" w:hAnsi="Times New Roman" w:cs="Times New Roman"/>
          <w:sz w:val="24"/>
          <w:szCs w:val="24"/>
          <w:lang w:eastAsia="en-IN"/>
        </w:rPr>
        <w:t xml:space="preserve">their existence but discounted them as statistically negligible or exploitable only with prohibitively large </w:t>
      </w:r>
      <w:r w:rsidRPr="00FC2FCC">
        <w:rPr>
          <w:rFonts w:ascii="Times New Roman" w:eastAsia="Times New Roman" w:hAnsi="Times New Roman" w:cs="Times New Roman"/>
          <w:sz w:val="24"/>
          <w:szCs w:val="24"/>
          <w:lang w:eastAsia="en-IN"/>
        </w:rPr>
        <w:lastRenderedPageBreak/>
        <w:t>transaction costs. He c</w:t>
      </w:r>
      <w:r w:rsidR="00182A07" w:rsidRPr="00FC2FCC">
        <w:rPr>
          <w:rFonts w:ascii="Times New Roman" w:eastAsia="Times New Roman" w:hAnsi="Times New Roman" w:cs="Times New Roman"/>
          <w:sz w:val="24"/>
          <w:szCs w:val="24"/>
          <w:lang w:eastAsia="en-IN"/>
        </w:rPr>
        <w:t>oncluded</w:t>
      </w:r>
      <w:r w:rsidRPr="00FC2FCC">
        <w:rPr>
          <w:rFonts w:ascii="Times New Roman" w:eastAsia="Times New Roman" w:hAnsi="Times New Roman" w:cs="Times New Roman"/>
          <w:sz w:val="24"/>
          <w:szCs w:val="24"/>
          <w:lang w:eastAsia="en-IN"/>
        </w:rPr>
        <w:t xml:space="preserve"> that markets were "efficient enough" for practical investing, highlighting EMH's resiliency in </w:t>
      </w:r>
      <w:r w:rsidR="00182A07" w:rsidRPr="00FC2FCC">
        <w:rPr>
          <w:rFonts w:ascii="Times New Roman" w:eastAsia="Times New Roman" w:hAnsi="Times New Roman" w:cs="Times New Roman"/>
          <w:sz w:val="24"/>
          <w:szCs w:val="24"/>
          <w:lang w:eastAsia="en-IN"/>
        </w:rPr>
        <w:t xml:space="preserve">the </w:t>
      </w:r>
      <w:r w:rsidRPr="00FC2FCC">
        <w:rPr>
          <w:rFonts w:ascii="Times New Roman" w:eastAsia="Times New Roman" w:hAnsi="Times New Roman" w:cs="Times New Roman"/>
          <w:sz w:val="24"/>
          <w:szCs w:val="24"/>
          <w:lang w:eastAsia="en-IN"/>
        </w:rPr>
        <w:t xml:space="preserve">face of empirical flaws. </w:t>
      </w:r>
    </w:p>
    <w:p w:rsidR="006B0A91" w:rsidRPr="00FC2FCC" w:rsidRDefault="007D3AB9" w:rsidP="00A50F9F">
      <w:pPr>
        <w:spacing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3.4 Synthesis: Foundation of Weak Form EMH </w:t>
      </w:r>
    </w:p>
    <w:p w:rsidR="00E73655" w:rsidRPr="00FC2FCC" w:rsidRDefault="007D3AB9" w:rsidP="00A50F9F">
      <w:pPr>
        <w:pStyle w:val="BodyText2"/>
        <w:spacing w:after="120" w:line="360" w:lineRule="auto"/>
        <w:jc w:val="both"/>
      </w:pPr>
      <w:r w:rsidRPr="00FC2FCC">
        <w:t>Weak Form EMH contends that anomalies are either statistically minor, economically unimportant, or due to risk, not that they are absent. This structure has great ramifications since it supports passive investing and warns against the appealing attraction of technical analysis. These research</w:t>
      </w:r>
      <w:r w:rsidR="00182A07" w:rsidRPr="00FC2FCC">
        <w:t xml:space="preserve"> works,</w:t>
      </w:r>
      <w:r w:rsidRPr="00FC2FCC">
        <w:t xml:space="preserve"> t</w:t>
      </w:r>
      <w:r w:rsidR="00182A07" w:rsidRPr="00FC2FCC">
        <w:t xml:space="preserve">ogether, create a strong case for Weak Form EMH. </w:t>
      </w:r>
      <w:proofErr w:type="spellStart"/>
      <w:r w:rsidR="00182A07" w:rsidRPr="00FC2FCC">
        <w:t>Bachelier</w:t>
      </w:r>
      <w:proofErr w:type="spellEnd"/>
      <w:r w:rsidR="00182A07" w:rsidRPr="00FC2FCC">
        <w:t xml:space="preserve"> and Samuelson's theoretical analysis pro</w:t>
      </w:r>
      <w:r w:rsidRPr="00FC2FCC">
        <w:t xml:space="preserve">ved the connection between randomness and efficiency. </w:t>
      </w:r>
      <w:proofErr w:type="spellStart"/>
      <w:r w:rsidRPr="00FC2FCC">
        <w:t>Fama</w:t>
      </w:r>
      <w:proofErr w:type="spellEnd"/>
      <w:r w:rsidRPr="00FC2FCC">
        <w:t xml:space="preserve">, Cowles, and </w:t>
      </w:r>
      <w:proofErr w:type="spellStart"/>
      <w:r w:rsidRPr="00FC2FCC">
        <w:t>Malkiel</w:t>
      </w:r>
      <w:proofErr w:type="spellEnd"/>
      <w:r w:rsidRPr="00FC2FCC">
        <w:t xml:space="preserve"> showed </w:t>
      </w:r>
      <w:r w:rsidR="00182A07" w:rsidRPr="00FC2FCC">
        <w:t>that historical data lacks predictive ability across several datasets</w:t>
      </w:r>
      <w:r w:rsidRPr="00FC2FCC">
        <w:t xml:space="preserve">. Modern supporters </w:t>
      </w:r>
      <w:r w:rsidR="00182A07" w:rsidRPr="00FC2FCC">
        <w:t xml:space="preserve">of EMH, </w:t>
      </w:r>
      <w:r w:rsidRPr="00FC2FCC">
        <w:t xml:space="preserve">such as </w:t>
      </w:r>
      <w:proofErr w:type="spellStart"/>
      <w:r w:rsidRPr="00FC2FCC">
        <w:t>Fama</w:t>
      </w:r>
      <w:proofErr w:type="spellEnd"/>
      <w:r w:rsidRPr="00FC2FCC">
        <w:t xml:space="preserve"> (1998)</w:t>
      </w:r>
      <w:r w:rsidR="00182A07" w:rsidRPr="00FC2FCC">
        <w:t>,</w:t>
      </w:r>
      <w:r w:rsidRPr="00FC2FCC">
        <w:t xml:space="preserve"> see anomalies as compensation for risk rather than as </w:t>
      </w:r>
      <w:r w:rsidR="00182A07" w:rsidRPr="00FC2FCC">
        <w:t xml:space="preserve">the </w:t>
      </w:r>
      <w:r w:rsidRPr="00FC2FCC">
        <w:t xml:space="preserve">result of market failure. </w:t>
      </w:r>
    </w:p>
    <w:p w:rsidR="00E73655" w:rsidRPr="00FC2FCC" w:rsidRDefault="007D3AB9" w:rsidP="00A50F9F">
      <w:pPr>
        <w:pStyle w:val="BodyText"/>
        <w:spacing w:after="120" w:line="360" w:lineRule="auto"/>
      </w:pPr>
      <w:r w:rsidRPr="00FC2FCC">
        <w:t xml:space="preserve">The literature study emphasises that, in an era of algorithmic trading and behavioural finance, </w:t>
      </w:r>
      <w:r w:rsidR="00182A07" w:rsidRPr="00FC2FCC">
        <w:t xml:space="preserve">although </w:t>
      </w:r>
      <w:r w:rsidRPr="00FC2FCC">
        <w:t>Weak Form EMH</w:t>
      </w:r>
      <w:r w:rsidR="00182A07" w:rsidRPr="00FC2FCC">
        <w:t xml:space="preserve"> are flawed, it </w:t>
      </w:r>
      <w:r w:rsidRPr="00FC2FCC">
        <w:t xml:space="preserve">remains a pillar of financial theory that shapes academic research and investment practices. </w:t>
      </w:r>
    </w:p>
    <w:p w:rsidR="00E73655" w:rsidRPr="00FC2FCC" w:rsidRDefault="007D3AB9" w:rsidP="00A50F9F">
      <w:pPr>
        <w:pStyle w:val="ListParagraph"/>
        <w:numPr>
          <w:ilvl w:val="0"/>
          <w:numId w:val="1"/>
        </w:numPr>
        <w:spacing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Review of the Literature: Argument Against Weak Form EMH</w:t>
      </w:r>
      <w:r w:rsidRPr="00FC2FCC">
        <w:rPr>
          <w:rFonts w:ascii="Times New Roman" w:eastAsia="Times New Roman" w:hAnsi="Times New Roman" w:cs="Times New Roman"/>
          <w:sz w:val="24"/>
          <w:szCs w:val="24"/>
          <w:lang w:eastAsia="en-IN"/>
        </w:rPr>
        <w:t xml:space="preserve"> </w:t>
      </w:r>
    </w:p>
    <w:p w:rsidR="00E73655" w:rsidRPr="00FC2FCC" w:rsidRDefault="007D3AB9" w:rsidP="00A50F9F">
      <w:pPr>
        <w:spacing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Although theoretically </w:t>
      </w:r>
      <w:r w:rsidR="00E73655" w:rsidRPr="00FC2FCC">
        <w:rPr>
          <w:rFonts w:ascii="Times New Roman" w:eastAsia="Times New Roman" w:hAnsi="Times New Roman" w:cs="Times New Roman"/>
          <w:sz w:val="24"/>
          <w:szCs w:val="24"/>
          <w:lang w:eastAsia="en-IN"/>
        </w:rPr>
        <w:t>graceful</w:t>
      </w:r>
      <w:r w:rsidRPr="00FC2FCC">
        <w:rPr>
          <w:rFonts w:ascii="Times New Roman" w:eastAsia="Times New Roman" w:hAnsi="Times New Roman" w:cs="Times New Roman"/>
          <w:sz w:val="24"/>
          <w:szCs w:val="24"/>
          <w:lang w:eastAsia="en-IN"/>
        </w:rPr>
        <w:t xml:space="preserve">, the Weak Form Efficient Market Hypothesis (EMH) has received increasing theoretical and empirical criticism over the years. By exposing systematic anomalies, behavioural biases, and structural market inefficiencies, this section critically reviews studies that challenge </w:t>
      </w:r>
      <w:r w:rsidR="00E73655" w:rsidRPr="00FC2FCC">
        <w:rPr>
          <w:rFonts w:ascii="Times New Roman" w:eastAsia="Times New Roman" w:hAnsi="Times New Roman" w:cs="Times New Roman"/>
          <w:sz w:val="24"/>
          <w:szCs w:val="24"/>
          <w:lang w:eastAsia="en-IN"/>
        </w:rPr>
        <w:t>the EMH</w:t>
      </w:r>
      <w:r w:rsidRPr="00FC2FCC">
        <w:rPr>
          <w:rFonts w:ascii="Times New Roman" w:eastAsia="Times New Roman" w:hAnsi="Times New Roman" w:cs="Times New Roman"/>
          <w:sz w:val="24"/>
          <w:szCs w:val="24"/>
          <w:lang w:eastAsia="en-IN"/>
        </w:rPr>
        <w:t xml:space="preserve">. </w:t>
      </w:r>
    </w:p>
    <w:p w:rsidR="00E73655" w:rsidRPr="00FC2FCC" w:rsidRDefault="007D3AB9" w:rsidP="00A50F9F">
      <w:pPr>
        <w:spacing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4.1 Empirical Anomalies: Indices of Predictability </w:t>
      </w:r>
    </w:p>
    <w:p w:rsidR="00E73655" w:rsidRPr="00FC2FCC" w:rsidRDefault="007D3AB9" w:rsidP="00A50F9F">
      <w:pPr>
        <w:pStyle w:val="ListParagraph"/>
        <w:numPr>
          <w:ilvl w:val="0"/>
          <w:numId w:val="5"/>
        </w:numPr>
        <w:spacing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Momentum Effect </w:t>
      </w:r>
    </w:p>
    <w:p w:rsidR="00D91A11" w:rsidRPr="00FC2FCC" w:rsidRDefault="00D91A11" w:rsidP="00A50F9F">
      <w:pPr>
        <w:pStyle w:val="BodyText2"/>
        <w:spacing w:before="120" w:after="120" w:line="360" w:lineRule="auto"/>
        <w:jc w:val="both"/>
      </w:pPr>
      <w:r w:rsidRPr="00FC2FCC">
        <w:t xml:space="preserve">The most significant challenge to the Weak Form Efficient Market Hypothesis emerged from </w:t>
      </w:r>
      <w:proofErr w:type="spellStart"/>
      <w:r w:rsidRPr="00FC2FCC">
        <w:t>Jegadeesh</w:t>
      </w:r>
      <w:proofErr w:type="spellEnd"/>
      <w:r w:rsidRPr="00FC2FCC">
        <w:t xml:space="preserve"> and Titman's 1993 study, “</w:t>
      </w:r>
      <w:r w:rsidRPr="00FC2FCC">
        <w:rPr>
          <w:i/>
        </w:rPr>
        <w:t>Returns to Buying Winners and Selling Losers: Implications for Stock Market Efficiency</w:t>
      </w:r>
      <w:r w:rsidRPr="00FC2FCC">
        <w:t xml:space="preserve">.” </w:t>
      </w:r>
      <w:r w:rsidR="007D3AB9" w:rsidRPr="00FC2FCC">
        <w:t xml:space="preserve">Examining U.S. stock returns from 1965 to 1989 (CRSP database), they kept equities for three to twelve months after classifying them into deciles based on historical three to twelve-month performance. After </w:t>
      </w:r>
      <w:r w:rsidR="00182A07" w:rsidRPr="00FC2FCC">
        <w:t>taking the risk</w:t>
      </w:r>
      <w:r w:rsidR="007D3AB9" w:rsidRPr="00FC2FCC">
        <w:t xml:space="preserve"> into account, the results were startling: prior "winner" stocks beat "losers" by about 1% every month. This momentum effect proved that past prices might forecast future returns, directly refuting the</w:t>
      </w:r>
      <w:r w:rsidR="00182A07" w:rsidRPr="00FC2FCC">
        <w:t xml:space="preserve"> random walk theory. These anomalies</w:t>
      </w:r>
      <w:r w:rsidR="007D3AB9" w:rsidRPr="00FC2FCC">
        <w:t xml:space="preserve"> continued across markets and asset classes, including foreign equities and commodities, </w:t>
      </w:r>
      <w:r w:rsidR="00182A07" w:rsidRPr="00FC2FCC">
        <w:t>challenging the universality of the Weak Form EMH</w:t>
      </w:r>
      <w:r w:rsidR="007D3AB9" w:rsidRPr="00FC2FCC">
        <w:t xml:space="preserve">. </w:t>
      </w:r>
    </w:p>
    <w:p w:rsidR="00D91A11" w:rsidRPr="00D75DD0" w:rsidRDefault="007D3AB9" w:rsidP="00A50F9F">
      <w:pPr>
        <w:pStyle w:val="ListParagraph"/>
        <w:numPr>
          <w:ilvl w:val="0"/>
          <w:numId w:val="5"/>
        </w:numPr>
        <w:spacing w:before="120" w:after="120" w:line="360" w:lineRule="auto"/>
        <w:jc w:val="both"/>
        <w:rPr>
          <w:rFonts w:ascii="Times New Roman" w:eastAsia="Times New Roman" w:hAnsi="Times New Roman" w:cs="Times New Roman"/>
          <w:sz w:val="24"/>
          <w:szCs w:val="24"/>
          <w:lang w:eastAsia="en-IN"/>
        </w:rPr>
      </w:pPr>
      <w:r w:rsidRPr="00D75DD0">
        <w:rPr>
          <w:rFonts w:ascii="Times New Roman" w:eastAsia="Times New Roman" w:hAnsi="Times New Roman" w:cs="Times New Roman"/>
          <w:b/>
          <w:sz w:val="24"/>
          <w:szCs w:val="24"/>
          <w:lang w:eastAsia="en-IN"/>
        </w:rPr>
        <w:lastRenderedPageBreak/>
        <w:t>Mean Reversal</w:t>
      </w:r>
      <w:r w:rsidRPr="00D75DD0">
        <w:rPr>
          <w:rFonts w:ascii="Times New Roman" w:eastAsia="Times New Roman" w:hAnsi="Times New Roman" w:cs="Times New Roman"/>
          <w:sz w:val="24"/>
          <w:szCs w:val="24"/>
          <w:lang w:eastAsia="en-IN"/>
        </w:rPr>
        <w:t xml:space="preserve"> </w:t>
      </w:r>
      <w:r w:rsidR="00D75DD0" w:rsidRPr="00D75DD0">
        <w:rPr>
          <w:rFonts w:ascii="Times New Roman" w:hAnsi="Times New Roman" w:cs="Times New Roman"/>
          <w:b/>
          <w:sz w:val="24"/>
          <w:szCs w:val="24"/>
        </w:rPr>
        <w:t>Phenomenon</w:t>
      </w:r>
    </w:p>
    <w:p w:rsidR="00D91A11" w:rsidRPr="00FC2FCC" w:rsidRDefault="007D3AB9" w:rsidP="00A50F9F">
      <w:pPr>
        <w:pStyle w:val="BodyText"/>
        <w:spacing w:before="120" w:after="120" w:line="360" w:lineRule="auto"/>
      </w:pPr>
      <w:r w:rsidRPr="00FC2FCC">
        <w:t xml:space="preserve">The 1985 study </w:t>
      </w:r>
      <w:r w:rsidR="00D91A11" w:rsidRPr="00FC2FCC">
        <w:t>“</w:t>
      </w:r>
      <w:r w:rsidRPr="00FC2FCC">
        <w:t>Does the Stock Market Overreact</w:t>
      </w:r>
      <w:r w:rsidR="00D91A11" w:rsidRPr="00FC2FCC">
        <w:t>”</w:t>
      </w:r>
      <w:r w:rsidRPr="00FC2FCC">
        <w:t xml:space="preserve"> by </w:t>
      </w:r>
      <w:proofErr w:type="spellStart"/>
      <w:r w:rsidRPr="00FC2FCC">
        <w:t>DeBondt</w:t>
      </w:r>
      <w:proofErr w:type="spellEnd"/>
      <w:r w:rsidRPr="00FC2FCC">
        <w:t xml:space="preserve"> and Thaler revealed long-term reversals in stock values. They tracked their performance </w:t>
      </w:r>
      <w:r w:rsidR="00182A07" w:rsidRPr="00FC2FCC">
        <w:t>for</w:t>
      </w:r>
      <w:r w:rsidRPr="00FC2FCC">
        <w:t xml:space="preserve"> three to five years after building portfolios of extreme previous "winners" and "losers" using CRSP data from 1926 to 1982. Remarkably, loser portfolios beat winners by 25% over five years, implying that investors excessively react to news and drive prices away from fundamentals before </w:t>
      </w:r>
      <w:r w:rsidR="00182A07" w:rsidRPr="00FC2FCC">
        <w:t>the final correction. This mean-</w:t>
      </w:r>
      <w:r w:rsidRPr="00FC2FCC">
        <w:t>reversion phenomen</w:t>
      </w:r>
      <w:r w:rsidR="00182A07" w:rsidRPr="00FC2FCC">
        <w:t xml:space="preserve">on, where prior trends reverse, </w:t>
      </w:r>
      <w:r w:rsidRPr="00FC2FCC">
        <w:t>emphasi</w:t>
      </w:r>
      <w:r w:rsidR="00182A07" w:rsidRPr="00FC2FCC">
        <w:t>s</w:t>
      </w:r>
      <w:r w:rsidRPr="00FC2FCC">
        <w:t>e</w:t>
      </w:r>
      <w:r w:rsidR="00182A07" w:rsidRPr="00FC2FCC">
        <w:t>s</w:t>
      </w:r>
      <w:r w:rsidRPr="00FC2FCC">
        <w:t xml:space="preserve"> how psychology may skew price efficiency. </w:t>
      </w:r>
    </w:p>
    <w:p w:rsidR="00D91A11" w:rsidRPr="00FC2FCC" w:rsidRDefault="007D3AB9" w:rsidP="00A50F9F">
      <w:pPr>
        <w:pStyle w:val="ListParagraph"/>
        <w:numPr>
          <w:ilvl w:val="0"/>
          <w:numId w:val="5"/>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Calendar Affects </w:t>
      </w:r>
    </w:p>
    <w:p w:rsidR="00013CDE" w:rsidRPr="00FC2FCC" w:rsidRDefault="007D3AB9" w:rsidP="00A50F9F">
      <w:pPr>
        <w:pStyle w:val="BodyText2"/>
        <w:spacing w:before="120" w:after="120" w:line="360" w:lineRule="auto"/>
        <w:jc w:val="both"/>
      </w:pPr>
      <w:r w:rsidRPr="00FC2FCC">
        <w:t xml:space="preserve">Calendar anomalies suggested that investors could use temporal patterns—directly challenging the randomness assumption of Weak Form EMH. </w:t>
      </w:r>
    </w:p>
    <w:p w:rsidR="00013CDE" w:rsidRPr="00FC2FCC" w:rsidRDefault="00013CDE" w:rsidP="00A50F9F">
      <w:pPr>
        <w:pStyle w:val="ListParagraph"/>
        <w:numPr>
          <w:ilvl w:val="0"/>
          <w:numId w:val="7"/>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 xml:space="preserve">January Effect </w:t>
      </w:r>
      <w:r w:rsidRPr="00FC2FCC">
        <w:rPr>
          <w:rFonts w:ascii="Times New Roman" w:hAnsi="Times New Roman" w:cs="Times New Roman"/>
          <w:b/>
          <w:sz w:val="24"/>
          <w:szCs w:val="24"/>
        </w:rPr>
        <w:t>(Rozeff &amp; Kinney, 1976)</w:t>
      </w:r>
      <w:r w:rsidRPr="00FC2FCC">
        <w:rPr>
          <w:rFonts w:ascii="Times New Roman" w:eastAsia="Times New Roman" w:hAnsi="Times New Roman" w:cs="Times New Roman"/>
          <w:b/>
          <w:sz w:val="24"/>
          <w:szCs w:val="24"/>
          <w:lang w:eastAsia="en-IN"/>
        </w:rPr>
        <w:t xml:space="preserve">: </w:t>
      </w:r>
      <w:r w:rsidR="007D3AB9" w:rsidRPr="00FC2FCC">
        <w:rPr>
          <w:rFonts w:ascii="Times New Roman" w:eastAsia="Times New Roman" w:hAnsi="Times New Roman" w:cs="Times New Roman"/>
          <w:sz w:val="24"/>
          <w:szCs w:val="24"/>
          <w:lang w:eastAsia="en-IN"/>
        </w:rPr>
        <w:t xml:space="preserve">Examining monthly NYSE returns from 1904 to 1974, Rozeff and Kinney found in January that small-cap stocks produced unusual returns of 3.5% ascribed to tax-loss harvesting and window dressing by institutional investors. </w:t>
      </w:r>
    </w:p>
    <w:p w:rsidR="00013CDE" w:rsidRPr="00FC2FCC" w:rsidRDefault="00013CDE" w:rsidP="00A50F9F">
      <w:pPr>
        <w:pStyle w:val="ListParagraph"/>
        <w:numPr>
          <w:ilvl w:val="0"/>
          <w:numId w:val="7"/>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 xml:space="preserve">Weekend Effect </w:t>
      </w:r>
      <w:r w:rsidRPr="00FC2FCC">
        <w:rPr>
          <w:rFonts w:ascii="Times New Roman" w:hAnsi="Times New Roman" w:cs="Times New Roman"/>
          <w:b/>
          <w:sz w:val="24"/>
          <w:szCs w:val="24"/>
        </w:rPr>
        <w:t>(French, 1980)</w:t>
      </w:r>
      <w:r w:rsidRPr="00FC2FCC">
        <w:rPr>
          <w:rFonts w:ascii="Times New Roman" w:eastAsia="Times New Roman" w:hAnsi="Times New Roman" w:cs="Times New Roman"/>
          <w:b/>
          <w:sz w:val="24"/>
          <w:szCs w:val="24"/>
          <w:lang w:eastAsia="en-IN"/>
        </w:rPr>
        <w:t xml:space="preserve">: </w:t>
      </w:r>
      <w:r w:rsidR="007D3AB9" w:rsidRPr="00FC2FCC">
        <w:rPr>
          <w:rFonts w:ascii="Times New Roman" w:eastAsia="Times New Roman" w:hAnsi="Times New Roman" w:cs="Times New Roman"/>
          <w:sz w:val="24"/>
          <w:szCs w:val="24"/>
          <w:lang w:eastAsia="en-IN"/>
        </w:rPr>
        <w:t xml:space="preserve">Contrary to the </w:t>
      </w:r>
      <w:r w:rsidR="00182A07" w:rsidRPr="00FC2FCC">
        <w:rPr>
          <w:rFonts w:ascii="Times New Roman" w:eastAsia="Times New Roman" w:hAnsi="Times New Roman" w:cs="Times New Roman"/>
          <w:sz w:val="24"/>
          <w:szCs w:val="24"/>
          <w:lang w:eastAsia="en-IN"/>
        </w:rPr>
        <w:t>concept</w:t>
      </w:r>
      <w:r w:rsidR="007D3AB9" w:rsidRPr="00FC2FCC">
        <w:rPr>
          <w:rFonts w:ascii="Times New Roman" w:eastAsia="Times New Roman" w:hAnsi="Times New Roman" w:cs="Times New Roman"/>
          <w:sz w:val="24"/>
          <w:szCs w:val="24"/>
          <w:lang w:eastAsia="en-IN"/>
        </w:rPr>
        <w:t xml:space="preserve"> of price independenc</w:t>
      </w:r>
      <w:r w:rsidRPr="00FC2FCC">
        <w:rPr>
          <w:rFonts w:ascii="Times New Roman" w:eastAsia="Times New Roman" w:hAnsi="Times New Roman" w:cs="Times New Roman"/>
          <w:sz w:val="24"/>
          <w:szCs w:val="24"/>
          <w:lang w:eastAsia="en-IN"/>
        </w:rPr>
        <w:t xml:space="preserve">e across trading days, French’s </w:t>
      </w:r>
      <w:r w:rsidR="007D3AB9" w:rsidRPr="00FC2FCC">
        <w:rPr>
          <w:rFonts w:ascii="Times New Roman" w:eastAsia="Times New Roman" w:hAnsi="Times New Roman" w:cs="Times New Roman"/>
          <w:sz w:val="24"/>
          <w:szCs w:val="24"/>
          <w:lang w:eastAsia="en-IN"/>
        </w:rPr>
        <w:t xml:space="preserve">examination of daily U.S. stock returns (1953– 1977) exposed notably negative returns on Mondays. </w:t>
      </w:r>
    </w:p>
    <w:p w:rsidR="00013CDE" w:rsidRPr="00FC2FCC" w:rsidRDefault="007D3AB9" w:rsidP="00A50F9F">
      <w:p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4.2 Behavioural Critiques: Psychology </w:t>
      </w:r>
      <w:r w:rsidR="00013CDE" w:rsidRPr="00FC2FCC">
        <w:rPr>
          <w:rFonts w:ascii="Times New Roman" w:eastAsia="Times New Roman" w:hAnsi="Times New Roman" w:cs="Times New Roman"/>
          <w:b/>
          <w:sz w:val="24"/>
          <w:szCs w:val="24"/>
          <w:lang w:eastAsia="en-IN"/>
        </w:rPr>
        <w:t>of Irrationality</w:t>
      </w:r>
    </w:p>
    <w:p w:rsidR="00013CDE" w:rsidRPr="00FC2FCC" w:rsidRDefault="007D3AB9" w:rsidP="00A50F9F">
      <w:pPr>
        <w:pStyle w:val="ListParagraph"/>
        <w:numPr>
          <w:ilvl w:val="0"/>
          <w:numId w:val="8"/>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Prospect Theory (Kahneman &amp; Tversky, 1979) </w:t>
      </w:r>
    </w:p>
    <w:p w:rsidR="00A50F9F" w:rsidRPr="00FC2FCC" w:rsidRDefault="00182A07"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Daniel Kahneman and Amos Tversky's Prospect Theory transformed banking by elucidating how cognitive biases skew decision-ma</w:t>
      </w:r>
      <w:r w:rsidR="007D3AB9" w:rsidRPr="00FC2FCC">
        <w:rPr>
          <w:rFonts w:ascii="Times New Roman" w:eastAsia="Times New Roman" w:hAnsi="Times New Roman" w:cs="Times New Roman"/>
          <w:sz w:val="24"/>
          <w:szCs w:val="24"/>
          <w:lang w:eastAsia="en-IN"/>
        </w:rPr>
        <w:t xml:space="preserve">king. Their studies revealed that investors: </w:t>
      </w:r>
    </w:p>
    <w:p w:rsidR="00A50F9F" w:rsidRPr="00FC2FCC" w:rsidRDefault="00182A07" w:rsidP="00A50F9F">
      <w:pPr>
        <w:pStyle w:val="ListParagraph"/>
        <w:numPr>
          <w:ilvl w:val="0"/>
          <w:numId w:val="24"/>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Show </w:t>
      </w:r>
      <w:r w:rsidR="007D3AB9" w:rsidRPr="00FC2FCC">
        <w:rPr>
          <w:rFonts w:ascii="Times New Roman" w:eastAsia="Times New Roman" w:hAnsi="Times New Roman" w:cs="Times New Roman"/>
          <w:sz w:val="24"/>
          <w:szCs w:val="24"/>
          <w:lang w:eastAsia="en-IN"/>
        </w:rPr>
        <w:t>Loss aversion</w:t>
      </w:r>
      <w:r w:rsidRPr="00FC2FCC">
        <w:rPr>
          <w:rFonts w:ascii="Times New Roman" w:eastAsia="Times New Roman" w:hAnsi="Times New Roman" w:cs="Times New Roman"/>
          <w:sz w:val="24"/>
          <w:szCs w:val="24"/>
          <w:lang w:eastAsia="en-IN"/>
        </w:rPr>
        <w:t xml:space="preserve"> psychology and </w:t>
      </w:r>
      <w:r w:rsidR="007D3AB9" w:rsidRPr="00FC2FCC">
        <w:rPr>
          <w:rFonts w:ascii="Times New Roman" w:eastAsia="Times New Roman" w:hAnsi="Times New Roman" w:cs="Times New Roman"/>
          <w:sz w:val="24"/>
          <w:szCs w:val="24"/>
          <w:lang w:eastAsia="en-IN"/>
        </w:rPr>
        <w:t>overweight losses against profits.</w:t>
      </w:r>
    </w:p>
    <w:p w:rsidR="00A50F9F" w:rsidRPr="00FC2FCC" w:rsidRDefault="007D3AB9" w:rsidP="00A50F9F">
      <w:pPr>
        <w:pStyle w:val="ListParagraph"/>
        <w:numPr>
          <w:ilvl w:val="0"/>
          <w:numId w:val="24"/>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Anchor judgements to current pricing levels (purchasing equities close to 52-week highs). </w:t>
      </w:r>
    </w:p>
    <w:p w:rsidR="00182A07" w:rsidRPr="00FC2FCC" w:rsidRDefault="007D3AB9" w:rsidP="00A50F9F">
      <w:pPr>
        <w:pStyle w:val="ListParagraph"/>
        <w:numPr>
          <w:ilvl w:val="0"/>
          <w:numId w:val="24"/>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Show herd behaviour, hence enhancing bubbles and trends. </w:t>
      </w:r>
    </w:p>
    <w:p w:rsidR="00182A07"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Under its rational-agent perspective, Weak Form EMH cannot explain the predictable price patterns created by these biases</w:t>
      </w:r>
      <w:r w:rsidR="00182A07" w:rsidRPr="00FC2FCC">
        <w:rPr>
          <w:rFonts w:ascii="Times New Roman" w:eastAsia="Times New Roman" w:hAnsi="Times New Roman" w:cs="Times New Roman"/>
          <w:sz w:val="24"/>
          <w:szCs w:val="24"/>
          <w:lang w:eastAsia="en-IN"/>
        </w:rPr>
        <w:t xml:space="preserve"> reflected in</w:t>
      </w:r>
      <w:r w:rsidRPr="00FC2FCC">
        <w:rPr>
          <w:rFonts w:ascii="Times New Roman" w:eastAsia="Times New Roman" w:hAnsi="Times New Roman" w:cs="Times New Roman"/>
          <w:sz w:val="24"/>
          <w:szCs w:val="24"/>
          <w:lang w:eastAsia="en-IN"/>
        </w:rPr>
        <w:t xml:space="preserve"> momentum and reversals. </w:t>
      </w:r>
    </w:p>
    <w:p w:rsidR="00182A07" w:rsidRPr="00FC2FCC" w:rsidRDefault="00182A07" w:rsidP="00A50F9F">
      <w:pPr>
        <w:pStyle w:val="ListParagraph"/>
        <w:numPr>
          <w:ilvl w:val="0"/>
          <w:numId w:val="8"/>
        </w:numPr>
        <w:spacing w:before="120" w:after="120" w:line="360" w:lineRule="auto"/>
        <w:jc w:val="both"/>
        <w:rPr>
          <w:rFonts w:ascii="Times New Roman" w:hAnsi="Times New Roman" w:cs="Times New Roman"/>
          <w:b/>
          <w:sz w:val="24"/>
          <w:szCs w:val="24"/>
        </w:rPr>
      </w:pPr>
      <w:r w:rsidRPr="00FC2FCC">
        <w:rPr>
          <w:rFonts w:ascii="Times New Roman" w:hAnsi="Times New Roman" w:cs="Times New Roman"/>
          <w:b/>
          <w:sz w:val="24"/>
          <w:szCs w:val="24"/>
        </w:rPr>
        <w:t>Excess Volatility (Shiller, 1981)</w:t>
      </w:r>
    </w:p>
    <w:p w:rsidR="00182A07" w:rsidRPr="00FC2FCC" w:rsidRDefault="00182A07"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lastRenderedPageBreak/>
        <w:t>Robert Shiller's landmark study of 1981,</w:t>
      </w:r>
      <w:r w:rsidR="007D3AB9" w:rsidRPr="00FC2FCC">
        <w:rPr>
          <w:rFonts w:ascii="Times New Roman" w:eastAsia="Times New Roman" w:hAnsi="Times New Roman" w:cs="Times New Roman"/>
          <w:sz w:val="24"/>
          <w:szCs w:val="24"/>
          <w:lang w:eastAsia="en-IN"/>
        </w:rPr>
        <w:t xml:space="preserve"> </w:t>
      </w:r>
      <w:r w:rsidRPr="00FC2FCC">
        <w:rPr>
          <w:rFonts w:ascii="Times New Roman" w:eastAsia="Times New Roman" w:hAnsi="Times New Roman" w:cs="Times New Roman"/>
          <w:sz w:val="24"/>
          <w:szCs w:val="24"/>
          <w:lang w:eastAsia="en-IN"/>
        </w:rPr>
        <w:t>“</w:t>
      </w:r>
      <w:r w:rsidR="007D3AB9" w:rsidRPr="00FC2FCC">
        <w:rPr>
          <w:rFonts w:ascii="Times New Roman" w:eastAsia="Times New Roman" w:hAnsi="Times New Roman" w:cs="Times New Roman"/>
          <w:sz w:val="24"/>
          <w:szCs w:val="24"/>
          <w:lang w:eastAsia="en-IN"/>
        </w:rPr>
        <w:t>Do Stock Prices Move Too Much to Be Justified by Subsequent Changes in Dividends?</w:t>
      </w:r>
      <w:r w:rsidRPr="00FC2FCC">
        <w:rPr>
          <w:rFonts w:ascii="Times New Roman" w:eastAsia="Times New Roman" w:hAnsi="Times New Roman" w:cs="Times New Roman"/>
          <w:sz w:val="24"/>
          <w:szCs w:val="24"/>
          <w:lang w:eastAsia="en-IN"/>
        </w:rPr>
        <w:t>”</w:t>
      </w:r>
      <w:r w:rsidR="00D75DD0">
        <w:rPr>
          <w:rFonts w:ascii="Times New Roman" w:eastAsia="Times New Roman" w:hAnsi="Times New Roman" w:cs="Times New Roman"/>
          <w:sz w:val="24"/>
          <w:szCs w:val="24"/>
          <w:lang w:eastAsia="en-IN"/>
        </w:rPr>
        <w:t xml:space="preserve"> </w:t>
      </w:r>
      <w:r w:rsidR="007D3AB9" w:rsidRPr="00FC2FCC">
        <w:rPr>
          <w:rFonts w:ascii="Times New Roman" w:eastAsia="Times New Roman" w:hAnsi="Times New Roman" w:cs="Times New Roman"/>
          <w:sz w:val="24"/>
          <w:szCs w:val="24"/>
          <w:lang w:eastAsia="en-IN"/>
        </w:rPr>
        <w:t xml:space="preserve">calculated the present value of future dividends against S&amp;P 500 values (1871–1979). He discovered that stock price volatility </w:t>
      </w:r>
      <w:r w:rsidRPr="00FC2FCC">
        <w:rPr>
          <w:rFonts w:ascii="Times New Roman" w:eastAsia="Times New Roman" w:hAnsi="Times New Roman" w:cs="Times New Roman"/>
          <w:sz w:val="24"/>
          <w:szCs w:val="24"/>
          <w:lang w:eastAsia="en-IN"/>
        </w:rPr>
        <w:t xml:space="preserve">outpaced dividend volatility by five times, </w:t>
      </w:r>
      <w:r w:rsidR="007D3AB9" w:rsidRPr="00FC2FCC">
        <w:rPr>
          <w:rFonts w:ascii="Times New Roman" w:eastAsia="Times New Roman" w:hAnsi="Times New Roman" w:cs="Times New Roman"/>
          <w:sz w:val="24"/>
          <w:szCs w:val="24"/>
          <w:lang w:eastAsia="en-IN"/>
        </w:rPr>
        <w:t>a discrepancy that rational models could not balance. Shiller's research highlighted how</w:t>
      </w:r>
      <w:r w:rsidRPr="00FC2FCC">
        <w:rPr>
          <w:rFonts w:ascii="Times New Roman" w:eastAsia="Times New Roman" w:hAnsi="Times New Roman" w:cs="Times New Roman"/>
          <w:sz w:val="24"/>
          <w:szCs w:val="24"/>
          <w:lang w:eastAsia="en-IN"/>
        </w:rPr>
        <w:t xml:space="preserve"> </w:t>
      </w:r>
      <w:r w:rsidR="007D3AB9" w:rsidRPr="00FC2FCC">
        <w:rPr>
          <w:rFonts w:ascii="Times New Roman" w:eastAsia="Times New Roman" w:hAnsi="Times New Roman" w:cs="Times New Roman"/>
          <w:sz w:val="24"/>
          <w:szCs w:val="24"/>
          <w:lang w:eastAsia="en-IN"/>
        </w:rPr>
        <w:t>speculative bubbles</w:t>
      </w:r>
      <w:r w:rsidRPr="00FC2FCC">
        <w:rPr>
          <w:rFonts w:ascii="Times New Roman" w:eastAsia="Times New Roman" w:hAnsi="Times New Roman" w:cs="Times New Roman"/>
          <w:sz w:val="24"/>
          <w:szCs w:val="24"/>
          <w:lang w:eastAsia="en-IN"/>
        </w:rPr>
        <w:t xml:space="preserve">, fuelled by irrational exuberance, </w:t>
      </w:r>
      <w:r w:rsidR="007D3AB9" w:rsidRPr="00FC2FCC">
        <w:rPr>
          <w:rFonts w:ascii="Times New Roman" w:eastAsia="Times New Roman" w:hAnsi="Times New Roman" w:cs="Times New Roman"/>
          <w:sz w:val="24"/>
          <w:szCs w:val="24"/>
          <w:lang w:eastAsia="en-IN"/>
        </w:rPr>
        <w:t xml:space="preserve">cause market instability. </w:t>
      </w:r>
    </w:p>
    <w:p w:rsidR="00182A07" w:rsidRPr="00FC2FCC" w:rsidRDefault="00A50F9F" w:rsidP="00A50F9F">
      <w:p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4.3 </w:t>
      </w:r>
      <w:r w:rsidR="00182A07" w:rsidRPr="00FC2FCC">
        <w:rPr>
          <w:rFonts w:ascii="Times New Roman" w:eastAsia="Times New Roman" w:hAnsi="Times New Roman" w:cs="Times New Roman"/>
          <w:b/>
          <w:sz w:val="24"/>
          <w:szCs w:val="24"/>
          <w:lang w:eastAsia="en-IN"/>
        </w:rPr>
        <w:t>S</w:t>
      </w:r>
      <w:r w:rsidR="007D3AB9" w:rsidRPr="00FC2FCC">
        <w:rPr>
          <w:rFonts w:ascii="Times New Roman" w:eastAsia="Times New Roman" w:hAnsi="Times New Roman" w:cs="Times New Roman"/>
          <w:b/>
          <w:sz w:val="24"/>
          <w:szCs w:val="24"/>
          <w:lang w:eastAsia="en-IN"/>
        </w:rPr>
        <w:t xml:space="preserve">tructural </w:t>
      </w:r>
      <w:r w:rsidRPr="00FC2FCC">
        <w:rPr>
          <w:rFonts w:ascii="Times New Roman" w:eastAsia="Times New Roman" w:hAnsi="Times New Roman" w:cs="Times New Roman"/>
          <w:b/>
          <w:sz w:val="24"/>
          <w:szCs w:val="24"/>
          <w:lang w:eastAsia="en-IN"/>
        </w:rPr>
        <w:t xml:space="preserve">Constraints: Technical Analysis and Market Frictions </w:t>
      </w:r>
    </w:p>
    <w:p w:rsidR="00182A07" w:rsidRPr="00FC2FCC" w:rsidRDefault="00182A07" w:rsidP="00A50F9F">
      <w:pPr>
        <w:pStyle w:val="ListParagraph"/>
        <w:numPr>
          <w:ilvl w:val="0"/>
          <w:numId w:val="9"/>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Technical Trading Rules (</w:t>
      </w:r>
      <w:r w:rsidR="007D3AB9" w:rsidRPr="00FC2FCC">
        <w:rPr>
          <w:rFonts w:ascii="Times New Roman" w:eastAsia="Times New Roman" w:hAnsi="Times New Roman" w:cs="Times New Roman"/>
          <w:b/>
          <w:sz w:val="24"/>
          <w:szCs w:val="24"/>
          <w:lang w:eastAsia="en-IN"/>
        </w:rPr>
        <w:t>Brock et al. 1992</w:t>
      </w:r>
      <w:r w:rsidRPr="00FC2FCC">
        <w:rPr>
          <w:rFonts w:ascii="Times New Roman" w:eastAsia="Times New Roman" w:hAnsi="Times New Roman" w:cs="Times New Roman"/>
          <w:b/>
          <w:sz w:val="24"/>
          <w:szCs w:val="24"/>
          <w:lang w:eastAsia="en-IN"/>
        </w:rPr>
        <w:t>)</w:t>
      </w:r>
    </w:p>
    <w:p w:rsidR="00182A07"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Brock, </w:t>
      </w:r>
      <w:proofErr w:type="spellStart"/>
      <w:r w:rsidRPr="00FC2FCC">
        <w:rPr>
          <w:rFonts w:ascii="Times New Roman" w:eastAsia="Times New Roman" w:hAnsi="Times New Roman" w:cs="Times New Roman"/>
          <w:sz w:val="24"/>
          <w:szCs w:val="24"/>
          <w:lang w:eastAsia="en-IN"/>
        </w:rPr>
        <w:t>Lakonishok</w:t>
      </w:r>
      <w:proofErr w:type="spellEnd"/>
      <w:r w:rsidRPr="00FC2FCC">
        <w:rPr>
          <w:rFonts w:ascii="Times New Roman" w:eastAsia="Times New Roman" w:hAnsi="Times New Roman" w:cs="Times New Roman"/>
          <w:sz w:val="24"/>
          <w:szCs w:val="24"/>
          <w:lang w:eastAsia="en-IN"/>
        </w:rPr>
        <w:t xml:space="preserve">, and </w:t>
      </w:r>
      <w:proofErr w:type="spellStart"/>
      <w:r w:rsidRPr="00FC2FCC">
        <w:rPr>
          <w:rFonts w:ascii="Times New Roman" w:eastAsia="Times New Roman" w:hAnsi="Times New Roman" w:cs="Times New Roman"/>
          <w:sz w:val="24"/>
          <w:szCs w:val="24"/>
          <w:lang w:eastAsia="en-IN"/>
        </w:rPr>
        <w:t>LeBaron</w:t>
      </w:r>
      <w:proofErr w:type="spellEnd"/>
      <w:r w:rsidRPr="00FC2FCC">
        <w:rPr>
          <w:rFonts w:ascii="Times New Roman" w:eastAsia="Times New Roman" w:hAnsi="Times New Roman" w:cs="Times New Roman"/>
          <w:sz w:val="24"/>
          <w:szCs w:val="24"/>
          <w:lang w:eastAsia="en-IN"/>
        </w:rPr>
        <w:t xml:space="preserve"> tested </w:t>
      </w:r>
      <w:r w:rsidR="00182A07" w:rsidRPr="00FC2FCC">
        <w:rPr>
          <w:rFonts w:ascii="Times New Roman" w:eastAsia="Times New Roman" w:hAnsi="Times New Roman" w:cs="Times New Roman"/>
          <w:sz w:val="24"/>
          <w:szCs w:val="24"/>
          <w:lang w:eastAsia="en-IN"/>
        </w:rPr>
        <w:t>stock market strategies like</w:t>
      </w:r>
      <w:r w:rsidRPr="00FC2FCC">
        <w:rPr>
          <w:rFonts w:ascii="Times New Roman" w:eastAsia="Times New Roman" w:hAnsi="Times New Roman" w:cs="Times New Roman"/>
          <w:sz w:val="24"/>
          <w:szCs w:val="24"/>
          <w:lang w:eastAsia="en-IN"/>
        </w:rPr>
        <w:t xml:space="preserve"> moving averages and support-resistance levels in </w:t>
      </w:r>
      <w:r w:rsidR="00182A07" w:rsidRPr="00FC2FCC">
        <w:rPr>
          <w:rFonts w:ascii="Times New Roman" w:eastAsia="Times New Roman" w:hAnsi="Times New Roman" w:cs="Times New Roman"/>
          <w:sz w:val="24"/>
          <w:szCs w:val="24"/>
          <w:lang w:eastAsia="en-IN"/>
        </w:rPr>
        <w:t>their work ‘</w:t>
      </w:r>
      <w:r w:rsidRPr="00FC2FCC">
        <w:rPr>
          <w:rFonts w:ascii="Times New Roman" w:eastAsia="Times New Roman" w:hAnsi="Times New Roman" w:cs="Times New Roman"/>
          <w:sz w:val="24"/>
          <w:szCs w:val="24"/>
          <w:lang w:eastAsia="en-IN"/>
        </w:rPr>
        <w:t>Simple Technical Trading Rules and the Stochastic Properties of Stock Returns</w:t>
      </w:r>
      <w:r w:rsidR="00182A07" w:rsidRPr="00FC2FCC">
        <w:rPr>
          <w:rFonts w:ascii="Times New Roman" w:eastAsia="Times New Roman" w:hAnsi="Times New Roman" w:cs="Times New Roman"/>
          <w:sz w:val="24"/>
          <w:szCs w:val="24"/>
          <w:lang w:eastAsia="en-IN"/>
        </w:rPr>
        <w:t>” based on Dow Jones Industrial Average data (1897–1986).</w:t>
      </w:r>
      <w:r w:rsidRPr="00FC2FCC">
        <w:rPr>
          <w:rFonts w:ascii="Times New Roman" w:eastAsia="Times New Roman" w:hAnsi="Times New Roman" w:cs="Times New Roman"/>
          <w:sz w:val="24"/>
          <w:szCs w:val="24"/>
          <w:lang w:eastAsia="en-IN"/>
        </w:rPr>
        <w:t xml:space="preserve"> Their instructions</w:t>
      </w:r>
      <w:r w:rsidR="00182A07" w:rsidRPr="00FC2FCC">
        <w:rPr>
          <w:rFonts w:ascii="Times New Roman" w:eastAsia="Times New Roman" w:hAnsi="Times New Roman" w:cs="Times New Roman"/>
          <w:sz w:val="24"/>
          <w:szCs w:val="24"/>
          <w:lang w:eastAsia="en-IN"/>
        </w:rPr>
        <w:t xml:space="preserve"> such as</w:t>
      </w:r>
      <w:r w:rsidRPr="00FC2FCC">
        <w:rPr>
          <w:rFonts w:ascii="Times New Roman" w:eastAsia="Times New Roman" w:hAnsi="Times New Roman" w:cs="Times New Roman"/>
          <w:sz w:val="24"/>
          <w:szCs w:val="24"/>
          <w:lang w:eastAsia="en-IN"/>
        </w:rPr>
        <w:t xml:space="preserve">, "buy when the price crosses above a 200-day moving average," produced statistically significant excess returns after they controlled for data-snooping bias using bootstrap simulations. These results directly refuted Weak Form EMH by proving mechanical principles using past data may outperform the market. </w:t>
      </w:r>
    </w:p>
    <w:p w:rsidR="00182A07" w:rsidRPr="00FC2FCC" w:rsidRDefault="007D3AB9" w:rsidP="00A50F9F">
      <w:pPr>
        <w:pStyle w:val="ListParagraph"/>
        <w:numPr>
          <w:ilvl w:val="0"/>
          <w:numId w:val="9"/>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Restraints on Arbitrage (Shleifer &amp; </w:t>
      </w:r>
      <w:proofErr w:type="spellStart"/>
      <w:r w:rsidRPr="00FC2FCC">
        <w:rPr>
          <w:rFonts w:ascii="Times New Roman" w:eastAsia="Times New Roman" w:hAnsi="Times New Roman" w:cs="Times New Roman"/>
          <w:b/>
          <w:sz w:val="24"/>
          <w:szCs w:val="24"/>
          <w:lang w:eastAsia="en-IN"/>
        </w:rPr>
        <w:t>Vishny</w:t>
      </w:r>
      <w:proofErr w:type="spellEnd"/>
      <w:r w:rsidRPr="00FC2FCC">
        <w:rPr>
          <w:rFonts w:ascii="Times New Roman" w:eastAsia="Times New Roman" w:hAnsi="Times New Roman" w:cs="Times New Roman"/>
          <w:b/>
          <w:sz w:val="24"/>
          <w:szCs w:val="24"/>
          <w:lang w:eastAsia="en-IN"/>
        </w:rPr>
        <w:t xml:space="preserve">, 1997) </w:t>
      </w:r>
    </w:p>
    <w:p w:rsidR="00182A07"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The notion of limits to arbitrage put forth by Andrei Shleifer and Robert </w:t>
      </w:r>
      <w:proofErr w:type="spellStart"/>
      <w:r w:rsidRPr="00FC2FCC">
        <w:rPr>
          <w:rFonts w:ascii="Times New Roman" w:eastAsia="Times New Roman" w:hAnsi="Times New Roman" w:cs="Times New Roman"/>
          <w:sz w:val="24"/>
          <w:szCs w:val="24"/>
          <w:lang w:eastAsia="en-IN"/>
        </w:rPr>
        <w:t>Vishny</w:t>
      </w:r>
      <w:proofErr w:type="spellEnd"/>
      <w:r w:rsidRPr="00FC2FCC">
        <w:rPr>
          <w:rFonts w:ascii="Times New Roman" w:eastAsia="Times New Roman" w:hAnsi="Times New Roman" w:cs="Times New Roman"/>
          <w:sz w:val="24"/>
          <w:szCs w:val="24"/>
          <w:lang w:eastAsia="en-IN"/>
        </w:rPr>
        <w:t xml:space="preserve"> helps to explain why </w:t>
      </w:r>
      <w:proofErr w:type="spellStart"/>
      <w:r w:rsidRPr="00FC2FCC">
        <w:rPr>
          <w:rFonts w:ascii="Times New Roman" w:eastAsia="Times New Roman" w:hAnsi="Times New Roman" w:cs="Times New Roman"/>
          <w:sz w:val="24"/>
          <w:szCs w:val="24"/>
          <w:lang w:eastAsia="en-IN"/>
        </w:rPr>
        <w:t>mispricings</w:t>
      </w:r>
      <w:proofErr w:type="spellEnd"/>
      <w:r w:rsidRPr="00FC2FCC">
        <w:rPr>
          <w:rFonts w:ascii="Times New Roman" w:eastAsia="Times New Roman" w:hAnsi="Times New Roman" w:cs="Times New Roman"/>
          <w:sz w:val="24"/>
          <w:szCs w:val="24"/>
          <w:lang w:eastAsia="en-IN"/>
        </w:rPr>
        <w:t xml:space="preserve"> endure even among logical traders. Arbitrageurs are discouraged from rectifying inefficiencies by transaction fees, short-selling restrictions, and career dangers. For instance, short-selling tech stocks were outrage</w:t>
      </w:r>
      <w:r w:rsidR="00182A07" w:rsidRPr="00FC2FCC">
        <w:rPr>
          <w:rFonts w:ascii="Times New Roman" w:eastAsia="Times New Roman" w:hAnsi="Times New Roman" w:cs="Times New Roman"/>
          <w:sz w:val="24"/>
          <w:szCs w:val="24"/>
          <w:lang w:eastAsia="en-IN"/>
        </w:rPr>
        <w:t>ous</w:t>
      </w:r>
      <w:r w:rsidRPr="00FC2FCC">
        <w:rPr>
          <w:rFonts w:ascii="Times New Roman" w:eastAsia="Times New Roman" w:hAnsi="Times New Roman" w:cs="Times New Roman"/>
          <w:sz w:val="24"/>
          <w:szCs w:val="24"/>
          <w:lang w:eastAsia="en-IN"/>
        </w:rPr>
        <w:t xml:space="preserve">ly costly during the Dot-com bubble, allowing prices to stray from reality. This structural analysis brought attention to EMH's practical fragility in assumptions. </w:t>
      </w:r>
    </w:p>
    <w:p w:rsidR="00182A07" w:rsidRPr="00FC2FCC" w:rsidRDefault="00182A07" w:rsidP="00A50F9F">
      <w:p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4.4 E</w:t>
      </w:r>
      <w:r w:rsidR="007D3AB9" w:rsidRPr="00FC2FCC">
        <w:rPr>
          <w:rFonts w:ascii="Times New Roman" w:eastAsia="Times New Roman" w:hAnsi="Times New Roman" w:cs="Times New Roman"/>
          <w:b/>
          <w:sz w:val="24"/>
          <w:szCs w:val="24"/>
          <w:lang w:eastAsia="en-IN"/>
        </w:rPr>
        <w:t xml:space="preserve">arly </w:t>
      </w:r>
      <w:r w:rsidRPr="00FC2FCC">
        <w:rPr>
          <w:rFonts w:ascii="Times New Roman" w:eastAsia="Times New Roman" w:hAnsi="Times New Roman" w:cs="Times New Roman"/>
          <w:b/>
          <w:sz w:val="24"/>
          <w:szCs w:val="24"/>
          <w:lang w:eastAsia="en-IN"/>
        </w:rPr>
        <w:t xml:space="preserve">Difficulties: Predictability and Filter Rules </w:t>
      </w:r>
    </w:p>
    <w:p w:rsidR="00182A07" w:rsidRPr="00FC2FCC" w:rsidRDefault="007D3AB9" w:rsidP="00A50F9F">
      <w:pPr>
        <w:pStyle w:val="ListParagraph"/>
        <w:numPr>
          <w:ilvl w:val="0"/>
          <w:numId w:val="11"/>
        </w:numPr>
        <w:spacing w:before="120" w:after="120" w:line="360" w:lineRule="auto"/>
        <w:jc w:val="both"/>
        <w:rPr>
          <w:rFonts w:ascii="Times New Roman" w:eastAsia="Times New Roman" w:hAnsi="Times New Roman" w:cs="Times New Roman"/>
          <w:b/>
          <w:sz w:val="24"/>
          <w:szCs w:val="24"/>
          <w:lang w:eastAsia="en-IN"/>
        </w:rPr>
      </w:pPr>
      <w:r w:rsidRPr="00FC2FCC">
        <w:rPr>
          <w:rFonts w:ascii="Times New Roman" w:eastAsia="Times New Roman" w:hAnsi="Times New Roman" w:cs="Times New Roman"/>
          <w:b/>
          <w:sz w:val="24"/>
          <w:szCs w:val="24"/>
          <w:lang w:eastAsia="en-IN"/>
        </w:rPr>
        <w:t xml:space="preserve">Filter Guidelines </w:t>
      </w:r>
      <w:r w:rsidR="00182A07" w:rsidRPr="00FC2FCC">
        <w:rPr>
          <w:rFonts w:ascii="Times New Roman" w:eastAsia="Times New Roman" w:hAnsi="Times New Roman" w:cs="Times New Roman"/>
          <w:b/>
          <w:sz w:val="24"/>
          <w:szCs w:val="24"/>
          <w:lang w:eastAsia="en-IN"/>
        </w:rPr>
        <w:t>(Alexander, 1961)</w:t>
      </w:r>
    </w:p>
    <w:p w:rsidR="00182A07" w:rsidRPr="00FC2FCC" w:rsidRDefault="007D3AB9" w:rsidP="00A50F9F">
      <w:p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Sidney Alexander's </w:t>
      </w:r>
      <w:r w:rsidR="00182A07" w:rsidRPr="00FC2FCC">
        <w:rPr>
          <w:rFonts w:ascii="Times New Roman" w:eastAsia="Times New Roman" w:hAnsi="Times New Roman" w:cs="Times New Roman"/>
          <w:sz w:val="24"/>
          <w:szCs w:val="24"/>
          <w:lang w:eastAsia="en-IN"/>
        </w:rPr>
        <w:t>study based on U.S. stock data (1897–1959), “</w:t>
      </w:r>
      <w:r w:rsidRPr="00FC2FCC">
        <w:rPr>
          <w:rFonts w:ascii="Times New Roman" w:eastAsia="Times New Roman" w:hAnsi="Times New Roman" w:cs="Times New Roman"/>
          <w:sz w:val="24"/>
          <w:szCs w:val="24"/>
          <w:lang w:eastAsia="en-IN"/>
        </w:rPr>
        <w:t>Price Movements in Speculative Markets</w:t>
      </w:r>
      <w:r w:rsidR="00182A07" w:rsidRPr="00FC2FCC">
        <w:rPr>
          <w:rFonts w:ascii="Times New Roman" w:eastAsia="Times New Roman" w:hAnsi="Times New Roman" w:cs="Times New Roman"/>
          <w:sz w:val="24"/>
          <w:szCs w:val="24"/>
          <w:lang w:eastAsia="en-IN"/>
        </w:rPr>
        <w:t>: Trends or Random Walks</w:t>
      </w:r>
      <w:r w:rsidR="009732EC" w:rsidRPr="00FC2FCC">
        <w:rPr>
          <w:rFonts w:ascii="Times New Roman" w:eastAsia="Times New Roman" w:hAnsi="Times New Roman" w:cs="Times New Roman"/>
          <w:sz w:val="24"/>
          <w:szCs w:val="24"/>
          <w:lang w:eastAsia="en-IN"/>
        </w:rPr>
        <w:t>,”</w:t>
      </w:r>
      <w:r w:rsidR="00182A07" w:rsidRPr="00FC2FCC">
        <w:rPr>
          <w:rFonts w:ascii="Times New Roman" w:eastAsia="Times New Roman" w:hAnsi="Times New Roman" w:cs="Times New Roman"/>
          <w:sz w:val="24"/>
          <w:szCs w:val="24"/>
          <w:lang w:eastAsia="en-IN"/>
        </w:rPr>
        <w:t xml:space="preserve"> </w:t>
      </w:r>
      <w:r w:rsidRPr="00FC2FCC">
        <w:rPr>
          <w:rFonts w:ascii="Times New Roman" w:eastAsia="Times New Roman" w:hAnsi="Times New Roman" w:cs="Times New Roman"/>
          <w:sz w:val="24"/>
          <w:szCs w:val="24"/>
          <w:lang w:eastAsia="en-IN"/>
        </w:rPr>
        <w:t xml:space="preserve">tested filter rules (e.g., buy if a stock climbs 5% from a trough). </w:t>
      </w:r>
      <w:r w:rsidR="00182A07" w:rsidRPr="00FC2FCC">
        <w:rPr>
          <w:rFonts w:ascii="Times New Roman" w:eastAsia="Times New Roman" w:hAnsi="Times New Roman" w:cs="Times New Roman"/>
          <w:sz w:val="24"/>
          <w:szCs w:val="24"/>
          <w:lang w:eastAsia="en-IN"/>
        </w:rPr>
        <w:t>After considering transaction expenses, he discovered that these guidelines produced annual excess returns of 1–3%, countering</w:t>
      </w:r>
      <w:r w:rsidRPr="00FC2FCC">
        <w:rPr>
          <w:rFonts w:ascii="Times New Roman" w:eastAsia="Times New Roman" w:hAnsi="Times New Roman" w:cs="Times New Roman"/>
          <w:sz w:val="24"/>
          <w:szCs w:val="24"/>
          <w:lang w:eastAsia="en-IN"/>
        </w:rPr>
        <w:t xml:space="preserve"> the random walk theory. Alexander's writings prepared the field for later technical analysis criticisms. </w:t>
      </w:r>
    </w:p>
    <w:p w:rsidR="00182A07" w:rsidRPr="00FC2FCC" w:rsidRDefault="007D3AB9" w:rsidP="00A50F9F">
      <w:pPr>
        <w:pStyle w:val="ListParagraph"/>
        <w:numPr>
          <w:ilvl w:val="0"/>
          <w:numId w:val="11"/>
        </w:numPr>
        <w:spacing w:before="120" w:after="12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b/>
          <w:sz w:val="24"/>
          <w:szCs w:val="24"/>
          <w:lang w:eastAsia="en-IN"/>
        </w:rPr>
        <w:t xml:space="preserve">Foreign Exchange Markets </w:t>
      </w:r>
      <w:r w:rsidR="00182A07" w:rsidRPr="00FC2FCC">
        <w:rPr>
          <w:rFonts w:ascii="Times New Roman" w:eastAsia="Times New Roman" w:hAnsi="Times New Roman" w:cs="Times New Roman"/>
          <w:b/>
          <w:sz w:val="24"/>
          <w:szCs w:val="24"/>
          <w:lang w:eastAsia="en-IN"/>
        </w:rPr>
        <w:t>(</w:t>
      </w:r>
      <w:r w:rsidRPr="00FC2FCC">
        <w:rPr>
          <w:rFonts w:ascii="Times New Roman" w:eastAsia="Times New Roman" w:hAnsi="Times New Roman" w:cs="Times New Roman"/>
          <w:b/>
          <w:sz w:val="24"/>
          <w:szCs w:val="24"/>
          <w:lang w:eastAsia="en-IN"/>
        </w:rPr>
        <w:t>Sweeney, 1988</w:t>
      </w:r>
      <w:r w:rsidR="00182A07" w:rsidRPr="00FC2FCC">
        <w:rPr>
          <w:rFonts w:ascii="Times New Roman" w:eastAsia="Times New Roman" w:hAnsi="Times New Roman" w:cs="Times New Roman"/>
          <w:b/>
          <w:sz w:val="24"/>
          <w:szCs w:val="24"/>
          <w:lang w:eastAsia="en-IN"/>
        </w:rPr>
        <w:t>)</w:t>
      </w:r>
    </w:p>
    <w:p w:rsidR="00182A07" w:rsidRDefault="00182A07" w:rsidP="00A50F9F">
      <w:pPr>
        <w:pStyle w:val="BodyText2"/>
        <w:spacing w:before="120" w:after="120" w:line="360" w:lineRule="auto"/>
        <w:jc w:val="both"/>
      </w:pPr>
      <w:r w:rsidRPr="00FC2FCC">
        <w:lastRenderedPageBreak/>
        <w:t>In his work “Some New Filter Rule Tests: Methods and Results</w:t>
      </w:r>
      <w:r w:rsidR="009732EC" w:rsidRPr="00FC2FCC">
        <w:t>,”</w:t>
      </w:r>
      <w:r w:rsidRPr="00FC2FCC">
        <w:t xml:space="preserve"> Richard Sweeney</w:t>
      </w:r>
      <w:r w:rsidR="007D3AB9" w:rsidRPr="00FC2FCC">
        <w:t xml:space="preserve"> </w:t>
      </w:r>
      <w:r w:rsidRPr="00FC2FCC">
        <w:t xml:space="preserve">extended the critical analysis of EMH </w:t>
      </w:r>
      <w:r w:rsidR="008A434D" w:rsidRPr="00FC2FCC">
        <w:t>regarding</w:t>
      </w:r>
      <w:r w:rsidR="007D3AB9" w:rsidRPr="00FC2FCC">
        <w:t xml:space="preserve"> money markets. Using daily exchange rate data (1</w:t>
      </w:r>
      <w:r w:rsidRPr="00FC2FCC">
        <w:t>973–1981), testing filter rules such as ‘</w:t>
      </w:r>
      <w:r w:rsidR="007D3AB9" w:rsidRPr="00FC2FCC">
        <w:t>buy if a currency gains 1% intraday</w:t>
      </w:r>
      <w:r w:rsidRPr="00FC2FCC">
        <w:t xml:space="preserve">’ </w:t>
      </w:r>
      <w:r w:rsidR="007D3AB9" w:rsidRPr="00FC2FCC">
        <w:t>found statistically significant profits, demonstrating that inefficiencies went beyond equity markets</w:t>
      </w:r>
      <w:r w:rsidRPr="00FC2FCC">
        <w:t>.</w:t>
      </w:r>
    </w:p>
    <w:p w:rsidR="00F12DE9" w:rsidRPr="00F12DE9" w:rsidRDefault="00F12DE9" w:rsidP="00F12DE9">
      <w:pPr>
        <w:spacing w:after="12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sz w:val="24"/>
          <w:szCs w:val="24"/>
          <w:lang w:eastAsia="en-IN"/>
        </w:rPr>
        <w:t xml:space="preserve">Figure-2: </w:t>
      </w:r>
      <w:r w:rsidRPr="00F12DE9">
        <w:rPr>
          <w:rFonts w:ascii="Times New Roman" w:eastAsia="Times New Roman" w:hAnsi="Times New Roman" w:cs="Times New Roman"/>
          <w:b/>
          <w:sz w:val="24"/>
          <w:szCs w:val="24"/>
          <w:lang w:eastAsia="en-IN"/>
        </w:rPr>
        <w:t>Critical Arguments Against Weak Form EMH</w:t>
      </w:r>
      <w:r w:rsidRPr="00F12DE9">
        <w:rPr>
          <w:rFonts w:ascii="Times New Roman" w:eastAsia="Times New Roman" w:hAnsi="Times New Roman" w:cs="Times New Roman"/>
          <w:sz w:val="24"/>
          <w:szCs w:val="24"/>
          <w:lang w:eastAsia="en-IN"/>
        </w:rPr>
        <w:t xml:space="preserve"> </w:t>
      </w:r>
    </w:p>
    <w:p w:rsidR="002A47CA" w:rsidRDefault="00E350C2" w:rsidP="002A47CA">
      <w:pPr>
        <w:pStyle w:val="BodyText2"/>
        <w:spacing w:line="360" w:lineRule="auto"/>
        <w:jc w:val="both"/>
      </w:pPr>
      <w:r>
        <w:rPr>
          <w:b/>
          <w:noProof/>
          <w:lang w:val="en-US" w:eastAsia="en-US"/>
        </w:rPr>
        <w:drawing>
          <wp:inline distT="0" distB="0" distL="0" distR="0" wp14:anchorId="34A82508" wp14:editId="31A17FD8">
            <wp:extent cx="5892800" cy="5822950"/>
            <wp:effectExtent l="76200" t="0" r="889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A47CA" w:rsidRDefault="002A47CA" w:rsidP="002A47CA">
      <w:pPr>
        <w:pStyle w:val="BodyText2"/>
        <w:spacing w:line="360" w:lineRule="auto"/>
        <w:jc w:val="both"/>
        <w:rPr>
          <w:b/>
        </w:rPr>
      </w:pPr>
      <w:r>
        <w:rPr>
          <w:b/>
        </w:rPr>
        <w:t xml:space="preserve">Credit: </w:t>
      </w:r>
      <w:r w:rsidRPr="002A47CA">
        <w:t xml:space="preserve">Prepared by the </w:t>
      </w:r>
      <w:r w:rsidR="00312AFB">
        <w:t>r</w:t>
      </w:r>
      <w:r w:rsidRPr="002A47CA">
        <w:t>esearcher</w:t>
      </w:r>
    </w:p>
    <w:p w:rsidR="00182A07" w:rsidRPr="00FC2FCC" w:rsidRDefault="007D3AB9" w:rsidP="002A47CA">
      <w:pPr>
        <w:pStyle w:val="BodyText2"/>
        <w:spacing w:line="360" w:lineRule="auto"/>
        <w:jc w:val="both"/>
      </w:pPr>
      <w:r w:rsidRPr="00FC2FCC">
        <w:rPr>
          <w:b/>
        </w:rPr>
        <w:t>4.5 Synthesis: The Case Against EMH Weak Form</w:t>
      </w:r>
      <w:r w:rsidRPr="00FC2FCC">
        <w:t xml:space="preserve"> </w:t>
      </w:r>
    </w:p>
    <w:p w:rsidR="00182A07" w:rsidRPr="00FC2FCC" w:rsidRDefault="00182A07" w:rsidP="00A50F9F">
      <w:pPr>
        <w:pStyle w:val="BodyText2"/>
        <w:spacing w:before="120" w:after="120" w:line="360" w:lineRule="auto"/>
        <w:jc w:val="both"/>
      </w:pPr>
      <w:r w:rsidRPr="00FC2FCC">
        <w:t>T</w:t>
      </w:r>
      <w:r w:rsidR="007D3AB9" w:rsidRPr="00FC2FCC">
        <w:t xml:space="preserve">hese </w:t>
      </w:r>
      <w:r w:rsidR="008A434D" w:rsidRPr="00FC2FCC">
        <w:t>findings</w:t>
      </w:r>
      <w:r w:rsidRPr="00FC2FCC">
        <w:t xml:space="preserve"> statistically expose financial market anomalies and </w:t>
      </w:r>
      <w:r w:rsidR="007D3AB9" w:rsidRPr="00FC2FCC">
        <w:t xml:space="preserve">deep-seated inefficiencies </w:t>
      </w:r>
      <w:r w:rsidRPr="00FC2FCC">
        <w:t>inculcated in</w:t>
      </w:r>
      <w:r w:rsidR="007D3AB9" w:rsidRPr="00FC2FCC">
        <w:t xml:space="preserve"> human psychology and market structure. For exa</w:t>
      </w:r>
      <w:r w:rsidRPr="00FC2FCC">
        <w:t xml:space="preserve">mple, the 2008 financial crisis, </w:t>
      </w:r>
      <w:r w:rsidR="007D3AB9" w:rsidRPr="00FC2FCC">
        <w:t xml:space="preserve">where mortgage-backed assets were </w:t>
      </w:r>
      <w:r w:rsidRPr="00FC2FCC">
        <w:t xml:space="preserve">overly mispriced for years, </w:t>
      </w:r>
      <w:r w:rsidR="007D3AB9" w:rsidRPr="00FC2FCC">
        <w:t xml:space="preserve">showcases how EMH's </w:t>
      </w:r>
      <w:r w:rsidR="007D3AB9" w:rsidRPr="00FC2FCC">
        <w:lastRenderedPageBreak/>
        <w:t>assumptions fall apart in times of collective irrationality. These studies</w:t>
      </w:r>
      <w:r w:rsidRPr="00FC2FCC">
        <w:t>,</w:t>
      </w:r>
      <w:r w:rsidR="007D3AB9" w:rsidRPr="00FC2FCC">
        <w:t xml:space="preserve"> taken together</w:t>
      </w:r>
      <w:r w:rsidRPr="00FC2FCC">
        <w:t>,</w:t>
      </w:r>
      <w:r w:rsidR="007D3AB9" w:rsidRPr="00FC2FCC">
        <w:t xml:space="preserve"> demolish the Weak Form EMH's </w:t>
      </w:r>
      <w:r w:rsidRPr="00FC2FCC">
        <w:t>assertion of price volatility: These anomalies are p</w:t>
      </w:r>
      <w:r w:rsidR="007D3AB9" w:rsidRPr="00FC2FCC">
        <w:t>ervasive: Calendar effects, momentum, and reversals persist</w:t>
      </w:r>
      <w:r w:rsidRPr="00FC2FCC">
        <w:t xml:space="preserve"> decades throughout markets. </w:t>
      </w:r>
      <w:r w:rsidR="007D3AB9" w:rsidRPr="00FC2FCC">
        <w:t>Behavioural biases</w:t>
      </w:r>
      <w:r w:rsidR="000A37DF" w:rsidRPr="00FC2FCC">
        <w:t>,</w:t>
      </w:r>
      <w:r w:rsidRPr="00FC2FCC">
        <w:t xml:space="preserve"> </w:t>
      </w:r>
      <w:r w:rsidR="000A37DF" w:rsidRPr="00FC2FCC">
        <w:t>such as</w:t>
      </w:r>
      <w:r w:rsidRPr="00FC2FCC">
        <w:t xml:space="preserve"> investor irrationality, </w:t>
      </w:r>
      <w:r w:rsidR="007D3AB9" w:rsidRPr="00FC2FCC">
        <w:t xml:space="preserve">overreaction, loss aversion, </w:t>
      </w:r>
      <w:r w:rsidR="000A37DF" w:rsidRPr="00FC2FCC">
        <w:t xml:space="preserve">and </w:t>
      </w:r>
      <w:r w:rsidR="007D3AB9" w:rsidRPr="00FC2FCC">
        <w:t>he</w:t>
      </w:r>
      <w:r w:rsidR="000A37DF" w:rsidRPr="00FC2FCC">
        <w:t>rding</w:t>
      </w:r>
      <w:r w:rsidR="008A434D" w:rsidRPr="00FC2FCC">
        <w:t>,</w:t>
      </w:r>
      <w:r w:rsidRPr="00FC2FCC">
        <w:t xml:space="preserve"> </w:t>
      </w:r>
      <w:r w:rsidR="007D3AB9" w:rsidRPr="00FC2FCC">
        <w:t xml:space="preserve">create systematic distortions. Structural realities limit efficiency by preventing price adjustment from transaction costs, arbitrage risks, and liquidity limits. </w:t>
      </w:r>
    </w:p>
    <w:p w:rsidR="00182A07" w:rsidRPr="00FC2FCC" w:rsidRDefault="007D3AB9" w:rsidP="00A50F9F">
      <w:pPr>
        <w:pStyle w:val="BodyText2"/>
        <w:spacing w:before="120" w:after="120" w:line="360" w:lineRule="auto"/>
        <w:jc w:val="both"/>
      </w:pPr>
      <w:r w:rsidRPr="00FC2FCC">
        <w:t>Although Weak Form EMH is a basic theory, this review emphasises</w:t>
      </w:r>
      <w:r w:rsidR="00182A07" w:rsidRPr="00FC2FCC">
        <w:t xml:space="preserve"> that it insufficiently captures the complicated real-world markets</w:t>
      </w:r>
      <w:r w:rsidRPr="00FC2FCC">
        <w:t xml:space="preserve">. The persistence of anomalies and the emergence of behavioural finance call for a more sophisticated knowledge of efficiency—one that welcomes adaptive markets, changing rationality, and the permanent stamp of human psychology. </w:t>
      </w:r>
    </w:p>
    <w:p w:rsidR="00152E5F" w:rsidRPr="00FC2FCC" w:rsidRDefault="00152E5F" w:rsidP="00A50F9F">
      <w:pPr>
        <w:pStyle w:val="BodyText2"/>
        <w:spacing w:before="120" w:after="120" w:line="360" w:lineRule="auto"/>
        <w:jc w:val="both"/>
        <w:rPr>
          <w:b/>
        </w:rPr>
      </w:pPr>
      <w:r w:rsidRPr="00FC2FCC">
        <w:rPr>
          <w:b/>
        </w:rPr>
        <w:t>5.1 Case Studies: When Markets Resist Efficiency</w:t>
      </w:r>
    </w:p>
    <w:p w:rsidR="00241BBB" w:rsidRPr="00FC2FCC" w:rsidRDefault="007D3AB9" w:rsidP="00A50F9F">
      <w:pPr>
        <w:pStyle w:val="BodyText2"/>
        <w:spacing w:before="120" w:after="120" w:line="360" w:lineRule="auto"/>
        <w:jc w:val="both"/>
      </w:pPr>
      <w:r w:rsidRPr="00FC2FCC">
        <w:t xml:space="preserve">For the Weak Form Efficient Market Hypothesis (EMH), the existence of speculative bubbles and catastrophic market collapses creates a basic contradiction. Why do asset values periodically stray from fundamentals, only to drop dramatically, if markets are efficient and prices follow a random walk? </w:t>
      </w:r>
      <w:r w:rsidR="008A434D" w:rsidRPr="00FC2FCC">
        <w:t>Some examples of EMH failures are:</w:t>
      </w:r>
    </w:p>
    <w:p w:rsidR="00241BBB" w:rsidRPr="00FC2FCC" w:rsidRDefault="007D3AB9" w:rsidP="00A50F9F">
      <w:pPr>
        <w:pStyle w:val="BodyText2"/>
        <w:numPr>
          <w:ilvl w:val="0"/>
          <w:numId w:val="12"/>
        </w:numPr>
        <w:spacing w:before="120" w:after="120" w:line="360" w:lineRule="auto"/>
        <w:jc w:val="both"/>
        <w:rPr>
          <w:b/>
        </w:rPr>
      </w:pPr>
      <w:r w:rsidRPr="00FC2FCC">
        <w:rPr>
          <w:b/>
        </w:rPr>
        <w:t xml:space="preserve">The </w:t>
      </w:r>
      <w:r w:rsidR="008A434D" w:rsidRPr="00FC2FCC">
        <w:rPr>
          <w:b/>
        </w:rPr>
        <w:t xml:space="preserve">Dot-Coms Bubble </w:t>
      </w:r>
      <w:r w:rsidRPr="00FC2FCC">
        <w:rPr>
          <w:b/>
        </w:rPr>
        <w:t xml:space="preserve">(1995–2000) </w:t>
      </w:r>
    </w:p>
    <w:p w:rsidR="00A50F9F" w:rsidRPr="00FC2FCC" w:rsidRDefault="007D3AB9" w:rsidP="00A50F9F">
      <w:pPr>
        <w:pStyle w:val="BodyText2"/>
        <w:spacing w:before="120" w:after="120" w:line="360" w:lineRule="auto"/>
        <w:jc w:val="both"/>
      </w:pPr>
      <w:r w:rsidRPr="00FC2FCC">
        <w:t xml:space="preserve">Driven by wild internet-based </w:t>
      </w:r>
      <w:r w:rsidR="008A434D" w:rsidRPr="00FC2FCC">
        <w:t>speculations</w:t>
      </w:r>
      <w:r w:rsidRPr="00FC2FCC">
        <w:t xml:space="preserve"> on the transforming </w:t>
      </w:r>
      <w:r w:rsidR="008A434D" w:rsidRPr="00FC2FCC">
        <w:t>potential</w:t>
      </w:r>
      <w:r w:rsidRPr="00FC2FCC">
        <w:t xml:space="preserve"> of technology, Nasdaq-listed equities jumped by 582% in the lat</w:t>
      </w:r>
      <w:r w:rsidR="008A434D" w:rsidRPr="00FC2FCC">
        <w:t xml:space="preserve">e 1990s. Companies like Pets.com and </w:t>
      </w:r>
      <w:proofErr w:type="spellStart"/>
      <w:r w:rsidR="008A434D" w:rsidRPr="00FC2FCC">
        <w:t>Webvan</w:t>
      </w:r>
      <w:proofErr w:type="spellEnd"/>
      <w:r w:rsidR="008A434D" w:rsidRPr="00FC2FCC">
        <w:t xml:space="preserve"> attained billion-dollar values despite low incomes and profit</w:t>
      </w:r>
      <w:r w:rsidRPr="00FC2FCC">
        <w:t xml:space="preserve">s. The Nasdaq fell 78% by 2002, wiping over $5 trillion in market value. </w:t>
      </w:r>
      <w:r w:rsidR="008A434D" w:rsidRPr="00FC2FCC">
        <w:t xml:space="preserve">Defying the fundamental assumptions of EMH, investors </w:t>
      </w:r>
      <w:r w:rsidRPr="00FC2FCC">
        <w:t xml:space="preserve">chased </w:t>
      </w:r>
      <w:r w:rsidR="008A434D" w:rsidRPr="00FC2FCC">
        <w:t>narratives over fundamentals, rejecting conventional valuation measures like P/E ratios,</w:t>
      </w:r>
      <w:r w:rsidRPr="00FC2FCC">
        <w:t xml:space="preserve"> sharply contradicting EMH's presumption of rational pricing. Root causes </w:t>
      </w:r>
      <w:r w:rsidR="00A50F9F" w:rsidRPr="00FC2FCC">
        <w:t xml:space="preserve">of </w:t>
      </w:r>
      <w:r w:rsidRPr="00FC2FCC">
        <w:t xml:space="preserve">the dot-com bubble. </w:t>
      </w:r>
    </w:p>
    <w:p w:rsidR="00241BBB" w:rsidRPr="00FC2FCC" w:rsidRDefault="007D3AB9" w:rsidP="00A50F9F">
      <w:pPr>
        <w:pStyle w:val="BodyText2"/>
        <w:numPr>
          <w:ilvl w:val="0"/>
          <w:numId w:val="13"/>
        </w:numPr>
        <w:spacing w:before="120" w:after="120" w:line="360" w:lineRule="auto"/>
        <w:jc w:val="both"/>
      </w:pPr>
      <w:r w:rsidRPr="00FC2FCC">
        <w:t>Fearing exclusion from supposed "ground-floor opportunities," investors followed colleagues.</w:t>
      </w:r>
    </w:p>
    <w:p w:rsidR="00241BBB" w:rsidRPr="00FC2FCC" w:rsidRDefault="007D3AB9" w:rsidP="00A50F9F">
      <w:pPr>
        <w:pStyle w:val="BodyText2"/>
        <w:numPr>
          <w:ilvl w:val="0"/>
          <w:numId w:val="13"/>
        </w:numPr>
        <w:spacing w:before="120" w:after="120" w:line="360" w:lineRule="auto"/>
        <w:jc w:val="both"/>
      </w:pPr>
      <w:r w:rsidRPr="00FC2FCC">
        <w:t xml:space="preserve">Analysts expected unlimited expansion for technology companies, discounting concerns about scalability and competitiveness. </w:t>
      </w:r>
    </w:p>
    <w:p w:rsidR="009732EC" w:rsidRPr="00FC2FCC" w:rsidRDefault="007D3AB9" w:rsidP="00A50F9F">
      <w:pPr>
        <w:pStyle w:val="BodyText2"/>
        <w:numPr>
          <w:ilvl w:val="0"/>
          <w:numId w:val="13"/>
        </w:numPr>
        <w:spacing w:before="120" w:after="120" w:line="360" w:lineRule="auto"/>
        <w:jc w:val="both"/>
      </w:pPr>
      <w:r w:rsidRPr="00FC2FCC">
        <w:t xml:space="preserve">Rising prices drew media attention and attracted additional speculative money, influencing mispricing feedback loops. </w:t>
      </w:r>
    </w:p>
    <w:p w:rsidR="00241BBB" w:rsidRPr="00FC2FCC" w:rsidRDefault="00A50F9F" w:rsidP="00A50F9F">
      <w:pPr>
        <w:pStyle w:val="BodyText2"/>
        <w:numPr>
          <w:ilvl w:val="0"/>
          <w:numId w:val="12"/>
        </w:numPr>
        <w:spacing w:before="120" w:after="120" w:line="360" w:lineRule="auto"/>
        <w:jc w:val="both"/>
      </w:pPr>
      <w:r w:rsidRPr="00FC2FCC">
        <w:rPr>
          <w:b/>
        </w:rPr>
        <w:t>Global Financial Crisis-</w:t>
      </w:r>
      <w:r w:rsidR="007D3AB9" w:rsidRPr="00FC2FCC">
        <w:rPr>
          <w:b/>
        </w:rPr>
        <w:t xml:space="preserve">2008 </w:t>
      </w:r>
    </w:p>
    <w:p w:rsidR="00241BBB" w:rsidRPr="00FC2FCC" w:rsidRDefault="007D3AB9" w:rsidP="00A50F9F">
      <w:pPr>
        <w:spacing w:line="360" w:lineRule="auto"/>
        <w:jc w:val="both"/>
        <w:rPr>
          <w:rFonts w:ascii="Times New Roman" w:eastAsia="Times New Roman" w:hAnsi="Times New Roman" w:cs="Times New Roman"/>
          <w:sz w:val="24"/>
          <w:szCs w:val="24"/>
          <w:lang w:eastAsia="en-IN"/>
        </w:rPr>
      </w:pPr>
      <w:r w:rsidRPr="00FC2FCC">
        <w:rPr>
          <w:rFonts w:ascii="Times New Roman" w:hAnsi="Times New Roman" w:cs="Times New Roman"/>
          <w:sz w:val="24"/>
          <w:szCs w:val="24"/>
        </w:rPr>
        <w:lastRenderedPageBreak/>
        <w:t xml:space="preserve">The </w:t>
      </w:r>
      <w:r w:rsidR="008A434D" w:rsidRPr="00FC2FCC">
        <w:rPr>
          <w:rFonts w:ascii="Times New Roman" w:hAnsi="Times New Roman" w:cs="Times New Roman"/>
          <w:sz w:val="24"/>
          <w:szCs w:val="24"/>
        </w:rPr>
        <w:t xml:space="preserve">downfall </w:t>
      </w:r>
      <w:r w:rsidR="009732EC" w:rsidRPr="00FC2FCC">
        <w:rPr>
          <w:rFonts w:ascii="Times New Roman" w:hAnsi="Times New Roman" w:cs="Times New Roman"/>
          <w:sz w:val="24"/>
          <w:szCs w:val="24"/>
        </w:rPr>
        <w:t xml:space="preserve">in ' </w:t>
      </w:r>
      <w:r w:rsidR="008A434D" w:rsidRPr="00FC2FCC">
        <w:rPr>
          <w:rFonts w:ascii="Times New Roman" w:hAnsi="Times New Roman" w:cs="Times New Roman"/>
          <w:sz w:val="24"/>
          <w:szCs w:val="24"/>
        </w:rPr>
        <w:t xml:space="preserve">Credit Default Swaps’ </w:t>
      </w:r>
      <w:r w:rsidRPr="00FC2FCC">
        <w:rPr>
          <w:rFonts w:ascii="Times New Roman" w:hAnsi="Times New Roman" w:cs="Times New Roman"/>
          <w:sz w:val="24"/>
          <w:szCs w:val="24"/>
        </w:rPr>
        <w:t>(CDS) and mortgage-backed securities (MBS) ex</w:t>
      </w:r>
      <w:r w:rsidR="008A434D" w:rsidRPr="00FC2FCC">
        <w:rPr>
          <w:rFonts w:ascii="Times New Roman" w:hAnsi="Times New Roman" w:cs="Times New Roman"/>
          <w:sz w:val="24"/>
          <w:szCs w:val="24"/>
        </w:rPr>
        <w:t>posed systematic mispricing ste</w:t>
      </w:r>
      <w:r w:rsidR="009732EC" w:rsidRPr="00FC2FCC">
        <w:rPr>
          <w:rFonts w:ascii="Times New Roman" w:hAnsi="Times New Roman" w:cs="Times New Roman"/>
          <w:sz w:val="24"/>
          <w:szCs w:val="24"/>
        </w:rPr>
        <w:t>m</w:t>
      </w:r>
      <w:r w:rsidRPr="00FC2FCC">
        <w:rPr>
          <w:rFonts w:ascii="Times New Roman" w:hAnsi="Times New Roman" w:cs="Times New Roman"/>
          <w:sz w:val="24"/>
          <w:szCs w:val="24"/>
        </w:rPr>
        <w:t xml:space="preserve">ming from EMH's blindness. </w:t>
      </w:r>
      <w:r w:rsidR="009732EC" w:rsidRPr="00FC2FCC">
        <w:rPr>
          <w:rFonts w:ascii="Times New Roman" w:eastAsia="Times New Roman" w:hAnsi="Times New Roman" w:cs="Times New Roman"/>
          <w:sz w:val="24"/>
          <w:szCs w:val="24"/>
          <w:lang w:eastAsia="en-IN"/>
        </w:rPr>
        <w:t xml:space="preserve">Moody's applied EMH's reliance on historical data incorrectly, which assigned AAA ratings to subprime MBS based on historical default rates. </w:t>
      </w:r>
      <w:r w:rsidR="009732EC" w:rsidRPr="00FC2FCC">
        <w:rPr>
          <w:rFonts w:ascii="Times New Roman" w:hAnsi="Times New Roman" w:cs="Times New Roman"/>
          <w:sz w:val="24"/>
          <w:szCs w:val="24"/>
        </w:rPr>
        <w:t>When house values dropped, these assets lost 80–95% of their value</w:t>
      </w:r>
      <w:r w:rsidRPr="00FC2FCC">
        <w:rPr>
          <w:rFonts w:ascii="Times New Roman" w:hAnsi="Times New Roman" w:cs="Times New Roman"/>
          <w:sz w:val="24"/>
          <w:szCs w:val="24"/>
        </w:rPr>
        <w:t xml:space="preserve">, which </w:t>
      </w:r>
      <w:r w:rsidR="009732EC" w:rsidRPr="00FC2FCC">
        <w:rPr>
          <w:rFonts w:ascii="Times New Roman" w:hAnsi="Times New Roman" w:cs="Times New Roman"/>
          <w:sz w:val="24"/>
          <w:szCs w:val="24"/>
        </w:rPr>
        <w:t>triggered</w:t>
      </w:r>
      <w:r w:rsidRPr="00FC2FCC">
        <w:rPr>
          <w:rFonts w:ascii="Times New Roman" w:hAnsi="Times New Roman" w:cs="Times New Roman"/>
          <w:sz w:val="24"/>
          <w:szCs w:val="24"/>
        </w:rPr>
        <w:t xml:space="preserve"> a </w:t>
      </w:r>
      <w:r w:rsidR="009732EC" w:rsidRPr="00FC2FCC">
        <w:rPr>
          <w:rFonts w:ascii="Times New Roman" w:hAnsi="Times New Roman" w:cs="Times New Roman"/>
          <w:sz w:val="24"/>
          <w:szCs w:val="24"/>
        </w:rPr>
        <w:t>global</w:t>
      </w:r>
      <w:r w:rsidRPr="00FC2FCC">
        <w:rPr>
          <w:rFonts w:ascii="Times New Roman" w:hAnsi="Times New Roman" w:cs="Times New Roman"/>
          <w:sz w:val="24"/>
          <w:szCs w:val="24"/>
        </w:rPr>
        <w:t xml:space="preserve"> recession. Principal </w:t>
      </w:r>
      <w:r w:rsidR="00A50F9F" w:rsidRPr="00FC2FCC">
        <w:rPr>
          <w:rFonts w:ascii="Times New Roman" w:hAnsi="Times New Roman" w:cs="Times New Roman"/>
          <w:sz w:val="24"/>
          <w:szCs w:val="24"/>
        </w:rPr>
        <w:t>f</w:t>
      </w:r>
      <w:r w:rsidR="009732EC" w:rsidRPr="00FC2FCC">
        <w:rPr>
          <w:rFonts w:ascii="Times New Roman" w:hAnsi="Times New Roman" w:cs="Times New Roman"/>
          <w:sz w:val="24"/>
          <w:szCs w:val="24"/>
        </w:rPr>
        <w:t xml:space="preserve">aults in </w:t>
      </w:r>
      <w:r w:rsidR="00A50F9F" w:rsidRPr="00FC2FCC">
        <w:rPr>
          <w:rFonts w:ascii="Times New Roman" w:hAnsi="Times New Roman" w:cs="Times New Roman"/>
          <w:sz w:val="24"/>
          <w:szCs w:val="24"/>
        </w:rPr>
        <w:t>the global financial crisis-</w:t>
      </w:r>
      <w:r w:rsidR="009732EC" w:rsidRPr="00FC2FCC">
        <w:rPr>
          <w:rFonts w:ascii="Times New Roman" w:hAnsi="Times New Roman" w:cs="Times New Roman"/>
          <w:sz w:val="24"/>
          <w:szCs w:val="24"/>
        </w:rPr>
        <w:t>2008</w:t>
      </w:r>
      <w:r w:rsidR="00A50F9F" w:rsidRPr="00FC2FCC">
        <w:rPr>
          <w:rFonts w:ascii="Times New Roman" w:hAnsi="Times New Roman" w:cs="Times New Roman"/>
          <w:sz w:val="24"/>
          <w:szCs w:val="24"/>
        </w:rPr>
        <w:t xml:space="preserve"> are as follows:</w:t>
      </w:r>
      <w:r w:rsidR="009732EC" w:rsidRPr="00FC2FCC">
        <w:rPr>
          <w:rFonts w:ascii="Times New Roman" w:hAnsi="Times New Roman" w:cs="Times New Roman"/>
          <w:sz w:val="24"/>
          <w:szCs w:val="24"/>
        </w:rPr>
        <w:t xml:space="preserve"> </w:t>
      </w:r>
    </w:p>
    <w:p w:rsidR="009732EC" w:rsidRPr="00FC2FCC" w:rsidRDefault="009732EC" w:rsidP="00A50F9F">
      <w:pPr>
        <w:pStyle w:val="ListParagraph"/>
        <w:numPr>
          <w:ilvl w:val="0"/>
          <w:numId w:val="15"/>
        </w:numPr>
        <w:spacing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The models thought that regional diversification would help mitigate risk, so they did</w:t>
      </w:r>
      <w:r w:rsidR="000A37DF" w:rsidRPr="00FC2FCC">
        <w:rPr>
          <w:rFonts w:ascii="Times New Roman" w:eastAsia="Times New Roman" w:hAnsi="Times New Roman" w:cs="Times New Roman"/>
          <w:sz w:val="24"/>
          <w:szCs w:val="24"/>
          <w:lang w:eastAsia="en-IN"/>
        </w:rPr>
        <w:t xml:space="preserve"> no</w:t>
      </w:r>
      <w:r w:rsidRPr="00FC2FCC">
        <w:rPr>
          <w:rFonts w:ascii="Times New Roman" w:eastAsia="Times New Roman" w:hAnsi="Times New Roman" w:cs="Times New Roman"/>
          <w:sz w:val="24"/>
          <w:szCs w:val="24"/>
          <w:lang w:eastAsia="en-IN"/>
        </w:rPr>
        <w:t xml:space="preserve">t take into consideration the possibility of national housing reductions. </w:t>
      </w:r>
    </w:p>
    <w:p w:rsidR="009732EC" w:rsidRPr="00FC2FCC" w:rsidRDefault="009732EC" w:rsidP="00A50F9F">
      <w:pPr>
        <w:pStyle w:val="ListParagraph"/>
        <w:numPr>
          <w:ilvl w:val="0"/>
          <w:numId w:val="15"/>
        </w:numPr>
        <w:spacing w:before="120" w:after="120" w:line="360" w:lineRule="auto"/>
        <w:jc w:val="both"/>
        <w:rPr>
          <w:rFonts w:ascii="Times New Roman" w:hAnsi="Times New Roman" w:cs="Times New Roman"/>
          <w:sz w:val="24"/>
          <w:szCs w:val="24"/>
        </w:rPr>
      </w:pPr>
      <w:r w:rsidRPr="00FC2FCC">
        <w:rPr>
          <w:rFonts w:ascii="Times New Roman" w:eastAsia="Times New Roman" w:hAnsi="Times New Roman" w:cs="Times New Roman"/>
          <w:sz w:val="24"/>
          <w:szCs w:val="24"/>
          <w:lang w:eastAsia="en-IN"/>
        </w:rPr>
        <w:t xml:space="preserve">It was very costly to short-sell MBS, which allowed </w:t>
      </w:r>
      <w:proofErr w:type="spellStart"/>
      <w:r w:rsidRPr="00FC2FCC">
        <w:rPr>
          <w:rFonts w:ascii="Times New Roman" w:eastAsia="Times New Roman" w:hAnsi="Times New Roman" w:cs="Times New Roman"/>
          <w:sz w:val="24"/>
          <w:szCs w:val="24"/>
          <w:lang w:eastAsia="en-IN"/>
        </w:rPr>
        <w:t>mispricings</w:t>
      </w:r>
      <w:proofErr w:type="spellEnd"/>
      <w:r w:rsidRPr="00FC2FCC">
        <w:rPr>
          <w:rFonts w:ascii="Times New Roman" w:eastAsia="Times New Roman" w:hAnsi="Times New Roman" w:cs="Times New Roman"/>
          <w:sz w:val="24"/>
          <w:szCs w:val="24"/>
          <w:lang w:eastAsia="en-IN"/>
        </w:rPr>
        <w:t xml:space="preserve"> to keep accumulating. </w:t>
      </w:r>
    </w:p>
    <w:p w:rsidR="00241BBB" w:rsidRPr="00FC2FCC" w:rsidRDefault="007D3AB9" w:rsidP="00A50F9F">
      <w:pPr>
        <w:pStyle w:val="BodyText2"/>
        <w:spacing w:before="120" w:after="120" w:line="360" w:lineRule="auto"/>
        <w:jc w:val="both"/>
        <w:rPr>
          <w:b/>
        </w:rPr>
      </w:pPr>
      <w:r w:rsidRPr="00B15DAD">
        <w:rPr>
          <w:b/>
        </w:rPr>
        <w:t>3)</w:t>
      </w:r>
      <w:r w:rsidRPr="00FC2FCC">
        <w:rPr>
          <w:b/>
        </w:rPr>
        <w:t xml:space="preserve"> </w:t>
      </w:r>
      <w:r w:rsidR="00A50F9F" w:rsidRPr="00FC2FCC">
        <w:rPr>
          <w:b/>
        </w:rPr>
        <w:t>GameStop-</w:t>
      </w:r>
      <w:r w:rsidRPr="00FC2FCC">
        <w:rPr>
          <w:b/>
        </w:rPr>
        <w:t xml:space="preserve">2021 </w:t>
      </w:r>
    </w:p>
    <w:p w:rsidR="009732EC" w:rsidRPr="00FC2FCC" w:rsidRDefault="009732EC" w:rsidP="00A50F9F">
      <w:pPr>
        <w:pStyle w:val="BodyText"/>
        <w:spacing w:after="0" w:line="360" w:lineRule="auto"/>
      </w:pPr>
      <w:r w:rsidRPr="00FC2FCC">
        <w:t xml:space="preserve">Retail investors on Reddit's </w:t>
      </w:r>
      <w:proofErr w:type="spellStart"/>
      <w:r w:rsidRPr="00FC2FCC">
        <w:t>WallStreetBets</w:t>
      </w:r>
      <w:proofErr w:type="spellEnd"/>
      <w:r w:rsidRPr="00FC2FCC">
        <w:t xml:space="preserve"> forum collaborated together to exert pressure on institutional short-sellers and raise GameStop's stock price by 1,500% in a matter of weeks. The episode examined how social media and democratised trading systems like Robinhood could enhance behavioural biases, creating volatility away from reality. </w:t>
      </w:r>
    </w:p>
    <w:p w:rsidR="00B959C0" w:rsidRPr="00FC2FCC" w:rsidRDefault="000A37DF" w:rsidP="00A50F9F">
      <w:pPr>
        <w:pStyle w:val="BodyText2"/>
        <w:spacing w:before="120" w:after="120" w:line="360" w:lineRule="auto"/>
        <w:jc w:val="both"/>
        <w:rPr>
          <w:b/>
        </w:rPr>
      </w:pPr>
      <w:r w:rsidRPr="00FC2FCC">
        <w:rPr>
          <w:b/>
        </w:rPr>
        <w:t>6. Critical Examination</w:t>
      </w:r>
      <w:r w:rsidR="00A50F9F" w:rsidRPr="00FC2FCC">
        <w:rPr>
          <w:b/>
        </w:rPr>
        <w:t xml:space="preserve"> of EMH</w:t>
      </w:r>
      <w:r w:rsidRPr="00FC2FCC">
        <w:rPr>
          <w:b/>
        </w:rPr>
        <w:t xml:space="preserve">: </w:t>
      </w:r>
      <w:r w:rsidR="007D3AB9" w:rsidRPr="00FC2FCC">
        <w:rPr>
          <w:b/>
        </w:rPr>
        <w:t xml:space="preserve">Evidence and Market Reality </w:t>
      </w:r>
    </w:p>
    <w:p w:rsidR="000A37DF" w:rsidRPr="00FC2FCC" w:rsidRDefault="000A37DF" w:rsidP="00A50F9F">
      <w:pPr>
        <w:pStyle w:val="BodyText2"/>
        <w:spacing w:before="120" w:after="120" w:line="360" w:lineRule="auto"/>
        <w:jc w:val="both"/>
      </w:pPr>
      <w:r w:rsidRPr="00FC2FCC">
        <w:t xml:space="preserve">This part summarises the EMH’s empirical, theoretical, and pragmatic aspects, thereby providing a complex assessment of whether markets are really efficient or just "efficient enough”. </w:t>
      </w:r>
      <w:r w:rsidR="007D3AB9" w:rsidRPr="00FC2FCC">
        <w:t xml:space="preserve">The argument over the Weak Form Efficient Market Hypothesis (EMH) is a microcosm of more general conflicts in financial theory between </w:t>
      </w:r>
      <w:r w:rsidRPr="00FC2FCC">
        <w:t>“</w:t>
      </w:r>
      <w:r w:rsidR="007D3AB9" w:rsidRPr="00FC2FCC">
        <w:t>rationality and irrationality, stability and chaos, and predictability and randomness</w:t>
      </w:r>
      <w:r w:rsidRPr="00FC2FCC">
        <w:t>”.</w:t>
      </w:r>
      <w:r w:rsidR="007D3AB9" w:rsidRPr="00FC2FCC">
        <w:t xml:space="preserve"> </w:t>
      </w:r>
    </w:p>
    <w:p w:rsidR="000A37DF" w:rsidRPr="00FC2FCC" w:rsidRDefault="000A37DF" w:rsidP="00A50F9F">
      <w:pPr>
        <w:pStyle w:val="BodyText2"/>
        <w:spacing w:before="120" w:after="120" w:line="360" w:lineRule="auto"/>
        <w:jc w:val="both"/>
        <w:rPr>
          <w:b/>
        </w:rPr>
      </w:pPr>
      <w:r w:rsidRPr="00FC2FCC">
        <w:rPr>
          <w:b/>
        </w:rPr>
        <w:t xml:space="preserve">6.1 </w:t>
      </w:r>
      <w:r w:rsidR="007D3AB9" w:rsidRPr="00FC2FCC">
        <w:rPr>
          <w:b/>
        </w:rPr>
        <w:t xml:space="preserve">Passive vs. Active Approaches </w:t>
      </w:r>
    </w:p>
    <w:p w:rsidR="000A37DF" w:rsidRPr="00FC2FCC" w:rsidRDefault="007D3AB9" w:rsidP="00A50F9F">
      <w:pPr>
        <w:pStyle w:val="BodyText2"/>
        <w:numPr>
          <w:ilvl w:val="0"/>
          <w:numId w:val="18"/>
        </w:numPr>
        <w:spacing w:before="120" w:after="120" w:line="360" w:lineRule="auto"/>
        <w:jc w:val="both"/>
        <w:rPr>
          <w:b/>
        </w:rPr>
      </w:pPr>
      <w:r w:rsidRPr="00FC2FCC">
        <w:rPr>
          <w:b/>
        </w:rPr>
        <w:t>The Victory of Passive Investi</w:t>
      </w:r>
      <w:r w:rsidR="00A50F9F" w:rsidRPr="00FC2FCC">
        <w:rPr>
          <w:b/>
        </w:rPr>
        <w:t xml:space="preserve">ng: </w:t>
      </w:r>
      <w:r w:rsidRPr="00FC2FCC">
        <w:t>For ordinary investors, the emergence of index funds—such as the S&amp;P 500 ETF from Vanguard—valid</w:t>
      </w:r>
      <w:r w:rsidR="000A37DF" w:rsidRPr="00FC2FCC">
        <w:t xml:space="preserve">ates EMH. </w:t>
      </w:r>
      <w:proofErr w:type="spellStart"/>
      <w:r w:rsidR="000A37DF" w:rsidRPr="00FC2FCC">
        <w:t>Malkiel's</w:t>
      </w:r>
      <w:proofErr w:type="spellEnd"/>
      <w:r w:rsidR="000A37DF" w:rsidRPr="00FC2FCC">
        <w:t xml:space="preserve"> 1973 dictum</w:t>
      </w:r>
      <w:r w:rsidR="00F65C7F" w:rsidRPr="00FC2FCC">
        <w:t>,</w:t>
      </w:r>
      <w:r w:rsidR="000A37DF" w:rsidRPr="00FC2FCC">
        <w:t xml:space="preserve"> </w:t>
      </w:r>
      <w:r w:rsidRPr="00FC2FCC">
        <w:t xml:space="preserve">"a blindfolded monkey throwing darts can </w:t>
      </w:r>
      <w:r w:rsidR="000A37DF" w:rsidRPr="00FC2FCC">
        <w:t>pick stocks as well as experts</w:t>
      </w:r>
      <w:r w:rsidR="00F65C7F" w:rsidRPr="00FC2FCC">
        <w:t>,</w:t>
      </w:r>
      <w:r w:rsidR="000A37DF" w:rsidRPr="00FC2FCC">
        <w:t xml:space="preserve">" </w:t>
      </w:r>
      <w:r w:rsidRPr="00FC2FCC">
        <w:t xml:space="preserve">has been generally accurate. After fees, almost 90% of U.S. active equities funds underperformed their benchmarks between 2000 and 2020 (SPIVA Report, 2021). </w:t>
      </w:r>
    </w:p>
    <w:p w:rsidR="000A37DF" w:rsidRPr="00FC2FCC" w:rsidRDefault="007D3AB9" w:rsidP="00A50F9F">
      <w:pPr>
        <w:pStyle w:val="BodyText2"/>
        <w:numPr>
          <w:ilvl w:val="0"/>
          <w:numId w:val="18"/>
        </w:numPr>
        <w:spacing w:before="120" w:after="120" w:line="360" w:lineRule="auto"/>
        <w:jc w:val="both"/>
        <w:rPr>
          <w:b/>
        </w:rPr>
      </w:pPr>
      <w:r w:rsidRPr="00FC2FCC">
        <w:rPr>
          <w:b/>
        </w:rPr>
        <w:t>Excepti</w:t>
      </w:r>
      <w:r w:rsidR="00A50F9F" w:rsidRPr="00FC2FCC">
        <w:rPr>
          <w:b/>
        </w:rPr>
        <w:t xml:space="preserve">onal Adaptive Active Strategies: </w:t>
      </w:r>
      <w:r w:rsidR="00A50F9F" w:rsidRPr="00FC2FCC">
        <w:t>N</w:t>
      </w:r>
      <w:r w:rsidRPr="00FC2FCC">
        <w:t>arrow strategie</w:t>
      </w:r>
      <w:r w:rsidR="000A37DF" w:rsidRPr="00FC2FCC">
        <w:t xml:space="preserve">s excel in inefficiencies: </w:t>
      </w:r>
    </w:p>
    <w:p w:rsidR="00A50F9F" w:rsidRPr="00FC2FCC" w:rsidRDefault="000A37DF" w:rsidP="00A50F9F">
      <w:pPr>
        <w:pStyle w:val="BodyText2"/>
        <w:numPr>
          <w:ilvl w:val="0"/>
          <w:numId w:val="26"/>
        </w:numPr>
        <w:spacing w:before="120" w:after="120" w:line="360" w:lineRule="auto"/>
        <w:jc w:val="both"/>
      </w:pPr>
      <w:r w:rsidRPr="00FC2FCC">
        <w:rPr>
          <w:b/>
        </w:rPr>
        <w:t>Quantitative Hedge Funds</w:t>
      </w:r>
      <w:r w:rsidRPr="00FC2FCC">
        <w:t xml:space="preserve">: </w:t>
      </w:r>
      <w:r w:rsidR="007D3AB9" w:rsidRPr="00FC2FCC">
        <w:t>Using momentum and mean reversion algorithms, Renaissance Technologies' Medallion Fund produced ~6</w:t>
      </w:r>
      <w:r w:rsidRPr="00FC2FCC">
        <w:t xml:space="preserve">6% annual returns (1988–2018). </w:t>
      </w:r>
    </w:p>
    <w:p w:rsidR="000A37DF" w:rsidRPr="00FC2FCC" w:rsidRDefault="000A37DF" w:rsidP="00A50F9F">
      <w:pPr>
        <w:pStyle w:val="BodyText2"/>
        <w:numPr>
          <w:ilvl w:val="0"/>
          <w:numId w:val="26"/>
        </w:numPr>
        <w:spacing w:before="120" w:after="120" w:line="360" w:lineRule="auto"/>
        <w:jc w:val="both"/>
      </w:pPr>
      <w:proofErr w:type="spellStart"/>
      <w:r w:rsidRPr="00FC2FCC">
        <w:rPr>
          <w:b/>
        </w:rPr>
        <w:lastRenderedPageBreak/>
        <w:t>Behavioral</w:t>
      </w:r>
      <w:proofErr w:type="spellEnd"/>
      <w:r w:rsidRPr="00FC2FCC">
        <w:rPr>
          <w:b/>
        </w:rPr>
        <w:t xml:space="preserve"> Funds</w:t>
      </w:r>
      <w:r w:rsidRPr="00FC2FCC">
        <w:t xml:space="preserve">: </w:t>
      </w:r>
      <w:r w:rsidR="007D3AB9" w:rsidRPr="00FC2FCC">
        <w:t xml:space="preserve">Companies such as Fuller &amp; Thaler Asset Management target mispriced equities by using cognitive biases—such as anchoring. </w:t>
      </w:r>
    </w:p>
    <w:p w:rsidR="000A37DF" w:rsidRPr="00FC2FCC" w:rsidRDefault="007D3AB9" w:rsidP="00A50F9F">
      <w:pPr>
        <w:pStyle w:val="BodyText2"/>
        <w:spacing w:before="120" w:after="120" w:line="360" w:lineRule="auto"/>
        <w:jc w:val="both"/>
      </w:pPr>
      <w:r w:rsidRPr="00FC2FCC">
        <w:t xml:space="preserve">These </w:t>
      </w:r>
      <w:r w:rsidR="00F65C7F" w:rsidRPr="00FC2FCC">
        <w:t>findings</w:t>
      </w:r>
      <w:r w:rsidRPr="00FC2FCC">
        <w:t xml:space="preserve"> show that Wea</w:t>
      </w:r>
      <w:r w:rsidR="00F65C7F" w:rsidRPr="00FC2FCC">
        <w:t xml:space="preserve">k Form EMH holds asymptotically, </w:t>
      </w:r>
      <w:r w:rsidRPr="00FC2FCC">
        <w:t xml:space="preserve">that is, </w:t>
      </w:r>
      <w:r w:rsidR="00F65C7F" w:rsidRPr="00FC2FCC">
        <w:t>mature, liquid markets (e.g., S&amp;P 500) perform better than</w:t>
      </w:r>
      <w:r w:rsidRPr="00FC2FCC">
        <w:t xml:space="preserve"> fledgling or fractured ones (e.g., cryptocurrencies). </w:t>
      </w:r>
    </w:p>
    <w:p w:rsidR="000A37DF" w:rsidRPr="00FC2FCC" w:rsidRDefault="000A37DF" w:rsidP="00A50F9F">
      <w:pPr>
        <w:pStyle w:val="BodyText2"/>
        <w:spacing w:before="120" w:after="120" w:line="360" w:lineRule="auto"/>
        <w:jc w:val="both"/>
        <w:rPr>
          <w:b/>
        </w:rPr>
      </w:pPr>
      <w:r w:rsidRPr="00FC2FCC">
        <w:rPr>
          <w:b/>
        </w:rPr>
        <w:t xml:space="preserve">6.2 </w:t>
      </w:r>
      <w:r w:rsidR="007D3AB9" w:rsidRPr="00FC2FCC">
        <w:rPr>
          <w:b/>
        </w:rPr>
        <w:t>Restraints on Arbi</w:t>
      </w:r>
      <w:r w:rsidR="00A50F9F" w:rsidRPr="00FC2FCC">
        <w:rPr>
          <w:b/>
        </w:rPr>
        <w:t>trage and Market Microstructure</w:t>
      </w:r>
    </w:p>
    <w:p w:rsidR="000A37DF" w:rsidRPr="00FC2FCC" w:rsidRDefault="007D3AB9" w:rsidP="00A50F9F">
      <w:pPr>
        <w:pStyle w:val="BodyText2"/>
        <w:spacing w:before="120" w:after="120" w:line="360" w:lineRule="auto"/>
        <w:jc w:val="both"/>
      </w:pPr>
      <w:r w:rsidRPr="00FC2FCC">
        <w:t>Shleif</w:t>
      </w:r>
      <w:r w:rsidR="00A50F9F" w:rsidRPr="00FC2FCC">
        <w:t xml:space="preserve">er and </w:t>
      </w:r>
      <w:proofErr w:type="spellStart"/>
      <w:r w:rsidRPr="00FC2FCC">
        <w:t>Vishny</w:t>
      </w:r>
      <w:proofErr w:type="spellEnd"/>
      <w:r w:rsidRPr="00FC2FCC">
        <w:t xml:space="preserve"> (1997) showed </w:t>
      </w:r>
      <w:r w:rsidR="00A50F9F" w:rsidRPr="00FC2FCC">
        <w:t xml:space="preserve">in their study </w:t>
      </w:r>
      <w:r w:rsidRPr="00FC2FCC">
        <w:t xml:space="preserve">that often rectifying </w:t>
      </w:r>
      <w:proofErr w:type="spellStart"/>
      <w:r w:rsidRPr="00FC2FCC">
        <w:t>mispricings</w:t>
      </w:r>
      <w:proofErr w:type="spellEnd"/>
      <w:r w:rsidR="00A50F9F" w:rsidRPr="00FC2FCC">
        <w:t xml:space="preserve"> </w:t>
      </w:r>
      <w:r w:rsidRPr="00FC2FCC">
        <w:t>is not feasible</w:t>
      </w:r>
      <w:r w:rsidR="00A50F9F" w:rsidRPr="00FC2FCC">
        <w:t>, as assumed by the EMH</w:t>
      </w:r>
      <w:r w:rsidRPr="00FC2FCC">
        <w:t xml:space="preserve">. </w:t>
      </w:r>
      <w:r w:rsidR="000A37DF" w:rsidRPr="00FC2FCC">
        <w:t>For example;</w:t>
      </w:r>
      <w:r w:rsidRPr="00FC2FCC">
        <w:t xml:space="preserve"> </w:t>
      </w:r>
    </w:p>
    <w:p w:rsidR="000A37DF" w:rsidRPr="00FC2FCC" w:rsidRDefault="007D3AB9" w:rsidP="00A50F9F">
      <w:pPr>
        <w:pStyle w:val="BodyText2"/>
        <w:numPr>
          <w:ilvl w:val="0"/>
          <w:numId w:val="19"/>
        </w:numPr>
        <w:spacing w:before="120" w:after="120" w:line="360" w:lineRule="auto"/>
        <w:jc w:val="both"/>
      </w:pPr>
      <w:r w:rsidRPr="00FC2FCC">
        <w:t xml:space="preserve">While high-frequency trading (HFT) companies take advantage of </w:t>
      </w:r>
      <w:r w:rsidR="000A37DF" w:rsidRPr="00FC2FCC">
        <w:t>minute inefficiencies, their approaches are not feasible</w:t>
      </w:r>
      <w:r w:rsidRPr="00FC2FCC">
        <w:t xml:space="preserve"> </w:t>
      </w:r>
      <w:r w:rsidR="000A37DF" w:rsidRPr="00FC2FCC">
        <w:t>for</w:t>
      </w:r>
      <w:r w:rsidRPr="00FC2FCC">
        <w:t xml:space="preserve"> ordinary investors</w:t>
      </w:r>
      <w:r w:rsidR="000A37DF" w:rsidRPr="00FC2FCC">
        <w:t xml:space="preserve"> due to high transaction costs</w:t>
      </w:r>
      <w:r w:rsidRPr="00FC2FCC">
        <w:t xml:space="preserve">. </w:t>
      </w:r>
    </w:p>
    <w:p w:rsidR="000A37DF" w:rsidRPr="00FC2FCC" w:rsidRDefault="000A37DF" w:rsidP="00A50F9F">
      <w:pPr>
        <w:pStyle w:val="BodyText2"/>
        <w:numPr>
          <w:ilvl w:val="0"/>
          <w:numId w:val="19"/>
        </w:numPr>
        <w:spacing w:before="120" w:after="120" w:line="360" w:lineRule="auto"/>
        <w:jc w:val="both"/>
      </w:pPr>
      <w:r w:rsidRPr="00FC2FCC">
        <w:t>High-end b</w:t>
      </w:r>
      <w:r w:rsidR="007D3AB9" w:rsidRPr="00FC2FCC">
        <w:t xml:space="preserve">rokers like Robinhood </w:t>
      </w:r>
      <w:r w:rsidRPr="00FC2FCC">
        <w:t>have the informational access and capability to manipulate</w:t>
      </w:r>
      <w:r w:rsidR="007D3AB9" w:rsidRPr="00FC2FCC">
        <w:t xml:space="preserve"> short sales during the GameStop frenzy (2021)</w:t>
      </w:r>
      <w:r w:rsidRPr="00FC2FCC">
        <w:t xml:space="preserve"> like events</w:t>
      </w:r>
      <w:r w:rsidR="007D3AB9" w:rsidRPr="00FC2FCC">
        <w:t>, there</w:t>
      </w:r>
      <w:r w:rsidRPr="00FC2FCC">
        <w:t>by</w:t>
      </w:r>
      <w:r w:rsidR="007D3AB9" w:rsidRPr="00FC2FCC">
        <w:t xml:space="preserve"> enabling pri</w:t>
      </w:r>
      <w:r w:rsidRPr="00FC2FCC">
        <w:t>ces to stray from fundamentals, but ordinary investors have limited informational access and capabilities to manipulate the market.</w:t>
      </w:r>
    </w:p>
    <w:p w:rsidR="000A37DF" w:rsidRPr="00FC2FCC" w:rsidRDefault="00F65C7F" w:rsidP="00A50F9F">
      <w:pPr>
        <w:spacing w:after="0" w:line="360" w:lineRule="auto"/>
        <w:jc w:val="both"/>
        <w:rPr>
          <w:rFonts w:ascii="Times New Roman" w:eastAsia="Times New Roman" w:hAnsi="Times New Roman" w:cs="Times New Roman"/>
          <w:sz w:val="24"/>
          <w:szCs w:val="24"/>
          <w:lang w:eastAsia="en-IN"/>
        </w:rPr>
      </w:pPr>
      <w:r w:rsidRPr="00FC2FCC">
        <w:rPr>
          <w:rFonts w:ascii="Times New Roman" w:hAnsi="Times New Roman" w:cs="Times New Roman"/>
          <w:b/>
          <w:sz w:val="24"/>
          <w:szCs w:val="24"/>
        </w:rPr>
        <w:t xml:space="preserve">Market Microstructure: </w:t>
      </w:r>
      <w:r w:rsidRPr="00FC2FCC">
        <w:rPr>
          <w:rFonts w:ascii="Times New Roman" w:eastAsia="Times New Roman" w:hAnsi="Times New Roman" w:cs="Times New Roman"/>
          <w:sz w:val="24"/>
          <w:szCs w:val="24"/>
          <w:lang w:eastAsia="en-IN"/>
        </w:rPr>
        <w:t xml:space="preserve">Contemporary markets are separated into distributed platforms, dark pools, and exchanges, which constitute a type of market microstructure. Information asymmetry arises due to this complexity: high-frequency trading firms (HFT) with integrated servers exploit millisecond delays, whereas retail traders lag far behind. These structural disparities contradict the EMH's premise of equal access to information. </w:t>
      </w:r>
    </w:p>
    <w:p w:rsidR="000A37DF" w:rsidRPr="00FC2FCC" w:rsidRDefault="00F65C7F" w:rsidP="00A50F9F">
      <w:pPr>
        <w:pStyle w:val="BodyText2"/>
        <w:spacing w:before="120" w:after="120" w:line="360" w:lineRule="auto"/>
        <w:jc w:val="both"/>
        <w:rPr>
          <w:b/>
        </w:rPr>
      </w:pPr>
      <w:r w:rsidRPr="00FC2FCC">
        <w:rPr>
          <w:b/>
        </w:rPr>
        <w:t>6.3</w:t>
      </w:r>
      <w:r w:rsidR="007D3AB9" w:rsidRPr="00FC2FCC">
        <w:rPr>
          <w:b/>
        </w:rPr>
        <w:t xml:space="preserve"> </w:t>
      </w:r>
      <w:r w:rsidRPr="00FC2FCC">
        <w:rPr>
          <w:b/>
        </w:rPr>
        <w:t>The Adaptive Market Hypothesis</w:t>
      </w:r>
      <w:r w:rsidR="007D3AB9" w:rsidRPr="00FC2FCC">
        <w:rPr>
          <w:b/>
        </w:rPr>
        <w:t xml:space="preserve"> </w:t>
      </w:r>
      <w:r w:rsidRPr="00FC2FCC">
        <w:rPr>
          <w:b/>
        </w:rPr>
        <w:t>(</w:t>
      </w:r>
      <w:r w:rsidR="007D3AB9" w:rsidRPr="00FC2FCC">
        <w:rPr>
          <w:b/>
        </w:rPr>
        <w:t>Dynamic Equilibrium Efficiency</w:t>
      </w:r>
      <w:r w:rsidRPr="00FC2FCC">
        <w:rPr>
          <w:b/>
        </w:rPr>
        <w:t>)</w:t>
      </w:r>
      <w:r w:rsidR="007D3AB9" w:rsidRPr="00FC2FCC">
        <w:rPr>
          <w:b/>
        </w:rPr>
        <w:t xml:space="preserve"> </w:t>
      </w:r>
      <w:r w:rsidRPr="00FC2FCC">
        <w:rPr>
          <w:b/>
        </w:rPr>
        <w:t>an Alternative to EMH</w:t>
      </w:r>
    </w:p>
    <w:p w:rsidR="00F65C7F" w:rsidRPr="00FC2FCC" w:rsidRDefault="00F65C7F" w:rsidP="00A50F9F">
      <w:pPr>
        <w:pStyle w:val="BodyText2"/>
        <w:spacing w:line="360" w:lineRule="auto"/>
        <w:jc w:val="both"/>
      </w:pPr>
      <w:r w:rsidRPr="00FC2FCC">
        <w:t xml:space="preserve">The Adaptive Market Hypothesis (Andrew Lo, 2004) provides a flexible perspective on efficiency. </w:t>
      </w:r>
      <w:r w:rsidRPr="00FC2FCC">
        <w:br/>
        <w:t>According to the Adaptive Market Hypothesis (AMH), efficiency is a continuous process influenced by innovation, competition, and evolution. AMH contends that markets evolve like biological ecosystems, where stakeholders (such as retail traders and algorithms) fight for survival, unlike EMH's static rationality. The core tenets of AMH are as follows:</w:t>
      </w:r>
      <w:r w:rsidRPr="00FC2FCC">
        <w:br/>
      </w:r>
    </w:p>
    <w:p w:rsidR="00F65C7F" w:rsidRPr="00FC2FCC" w:rsidRDefault="00F65C7F" w:rsidP="00A50F9F">
      <w:pPr>
        <w:pStyle w:val="ListParagraph"/>
        <w:numPr>
          <w:ilvl w:val="0"/>
          <w:numId w:val="21"/>
        </w:numPr>
        <w:spacing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Market efficiency is a dynamic concept that fluctuates between efficiency and inefficiency. For instance, under stable regimes,’ prices reflect fundamentals and </w:t>
      </w:r>
      <w:r w:rsidRPr="00FC2FCC">
        <w:rPr>
          <w:rFonts w:ascii="Times New Roman" w:eastAsia="Times New Roman" w:hAnsi="Times New Roman" w:cs="Times New Roman"/>
          <w:sz w:val="24"/>
          <w:szCs w:val="24"/>
          <w:lang w:eastAsia="en-IN"/>
        </w:rPr>
        <w:lastRenderedPageBreak/>
        <w:t xml:space="preserve">efficiency (e.g., in </w:t>
      </w:r>
      <w:proofErr w:type="gramStart"/>
      <w:r w:rsidRPr="00FC2FCC">
        <w:rPr>
          <w:rFonts w:ascii="Times New Roman" w:eastAsia="Times New Roman" w:hAnsi="Times New Roman" w:cs="Times New Roman"/>
          <w:sz w:val="24"/>
          <w:szCs w:val="24"/>
          <w:lang w:eastAsia="en-IN"/>
        </w:rPr>
        <w:t xml:space="preserve">the </w:t>
      </w:r>
      <w:r w:rsidRPr="00FC2FCC">
        <w:rPr>
          <w:rFonts w:ascii="Times New Roman" w:hAnsi="Times New Roman" w:cs="Times New Roman"/>
          <w:sz w:val="24"/>
          <w:szCs w:val="24"/>
        </w:rPr>
        <w:t xml:space="preserve"> post</w:t>
      </w:r>
      <w:proofErr w:type="gramEnd"/>
      <w:r w:rsidRPr="00FC2FCC">
        <w:rPr>
          <w:rFonts w:ascii="Times New Roman" w:hAnsi="Times New Roman" w:cs="Times New Roman"/>
          <w:sz w:val="24"/>
          <w:szCs w:val="24"/>
        </w:rPr>
        <w:t>-2009 bull market)</w:t>
      </w:r>
      <w:r w:rsidRPr="00FC2FCC">
        <w:rPr>
          <w:rFonts w:ascii="Times New Roman" w:eastAsia="Times New Roman" w:hAnsi="Times New Roman" w:cs="Times New Roman"/>
          <w:sz w:val="24"/>
          <w:szCs w:val="24"/>
          <w:lang w:eastAsia="en-IN"/>
        </w:rPr>
        <w:t xml:space="preserve">. </w:t>
      </w:r>
      <w:proofErr w:type="spellStart"/>
      <w:r w:rsidRPr="00FC2FCC">
        <w:rPr>
          <w:rFonts w:ascii="Times New Roman" w:eastAsia="Times New Roman" w:hAnsi="Times New Roman" w:cs="Times New Roman"/>
          <w:sz w:val="24"/>
          <w:szCs w:val="24"/>
          <w:lang w:eastAsia="en-IN"/>
        </w:rPr>
        <w:t>Wheras</w:t>
      </w:r>
      <w:proofErr w:type="spellEnd"/>
      <w:r w:rsidRPr="00FC2FCC">
        <w:rPr>
          <w:rFonts w:ascii="Times New Roman" w:eastAsia="Times New Roman" w:hAnsi="Times New Roman" w:cs="Times New Roman"/>
          <w:sz w:val="24"/>
          <w:szCs w:val="24"/>
          <w:lang w:eastAsia="en-IN"/>
        </w:rPr>
        <w:t xml:space="preserve"> during disruptive shifts (like AI trading), arbitrage opportunities arise when rules or new technologies upset the equilibrium. </w:t>
      </w:r>
    </w:p>
    <w:p w:rsidR="00F65C7F" w:rsidRPr="00FC2FCC" w:rsidRDefault="00F65C7F" w:rsidP="00A50F9F">
      <w:pPr>
        <w:pStyle w:val="ListParagraph"/>
        <w:numPr>
          <w:ilvl w:val="0"/>
          <w:numId w:val="21"/>
        </w:numPr>
        <w:spacing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 xml:space="preserve">Ecological Competition: Depending on the state of the market, strategies either succeed or fail. In trending markets, momentum trading is effective; in reversals, it is ineffective. </w:t>
      </w:r>
    </w:p>
    <w:p w:rsidR="00F65C7F" w:rsidRPr="00FC2FCC" w:rsidRDefault="00F65C7F" w:rsidP="00A50F9F">
      <w:pPr>
        <w:pStyle w:val="ListParagraph"/>
        <w:numPr>
          <w:ilvl w:val="0"/>
          <w:numId w:val="21"/>
        </w:numPr>
        <w:spacing w:before="120" w:after="0" w:line="360" w:lineRule="auto"/>
        <w:jc w:val="both"/>
        <w:rPr>
          <w:rFonts w:ascii="Times New Roman" w:eastAsia="Times New Roman" w:hAnsi="Times New Roman" w:cs="Times New Roman"/>
          <w:sz w:val="24"/>
          <w:szCs w:val="24"/>
          <w:lang w:eastAsia="en-IN"/>
        </w:rPr>
      </w:pPr>
      <w:r w:rsidRPr="00FC2FCC">
        <w:rPr>
          <w:rFonts w:ascii="Times New Roman" w:eastAsia="Times New Roman" w:hAnsi="Times New Roman" w:cs="Times New Roman"/>
          <w:sz w:val="24"/>
          <w:szCs w:val="24"/>
          <w:lang w:eastAsia="en-IN"/>
        </w:rPr>
        <w:t>Behavioural Moulding: Although investors grow from their errors, their evolutionary impulses cause biases (such as loss aversion) to endure.</w:t>
      </w:r>
    </w:p>
    <w:p w:rsidR="00F65C7F" w:rsidRPr="00FC2FCC" w:rsidRDefault="00F65C7F" w:rsidP="00A50F9F">
      <w:pPr>
        <w:pStyle w:val="Heading2"/>
      </w:pPr>
      <w:r w:rsidRPr="00FC2FCC">
        <w:t xml:space="preserve">Reconciling the Paradox:  EMH </w:t>
      </w:r>
      <w:proofErr w:type="spellStart"/>
      <w:r w:rsidRPr="00FC2FCC">
        <w:t>Vvs</w:t>
      </w:r>
      <w:proofErr w:type="spellEnd"/>
      <w:r w:rsidRPr="00FC2FCC">
        <w:t xml:space="preserve"> AMH</w:t>
      </w:r>
    </w:p>
    <w:p w:rsidR="00F65C7F" w:rsidRPr="00FC2FCC" w:rsidRDefault="00F65C7F" w:rsidP="00A50F9F">
      <w:pPr>
        <w:spacing w:line="360" w:lineRule="auto"/>
        <w:jc w:val="both"/>
        <w:rPr>
          <w:rFonts w:ascii="Times New Roman" w:hAnsi="Times New Roman" w:cs="Times New Roman"/>
          <w:sz w:val="24"/>
          <w:szCs w:val="24"/>
        </w:rPr>
      </w:pPr>
      <w:r w:rsidRPr="00FC2FCC">
        <w:rPr>
          <w:rFonts w:ascii="Times New Roman" w:hAnsi="Times New Roman" w:cs="Times New Roman"/>
          <w:sz w:val="24"/>
          <w:szCs w:val="24"/>
        </w:rPr>
        <w:t xml:space="preserve">The coexistence of efficiency and irrationality becomes explicable through AMH’s lens. </w:t>
      </w:r>
      <w:r w:rsidRPr="00FC2FCC">
        <w:rPr>
          <w:rFonts w:ascii="Times New Roman" w:eastAsia="Times New Roman" w:hAnsi="Times New Roman" w:cs="Times New Roman"/>
          <w:sz w:val="24"/>
          <w:szCs w:val="24"/>
          <w:lang w:eastAsia="en-IN"/>
        </w:rPr>
        <w:t>Adopting AMH brings us one step closer to a realistic view of markets that acknowledges the potential for rationality and insanity.</w:t>
      </w:r>
    </w:p>
    <w:p w:rsidR="00F65C7F" w:rsidRPr="00FC2FCC" w:rsidRDefault="00F65C7F" w:rsidP="00A50F9F">
      <w:pPr>
        <w:pStyle w:val="ListParagraph"/>
        <w:numPr>
          <w:ilvl w:val="0"/>
          <w:numId w:val="23"/>
        </w:numPr>
        <w:spacing w:line="360" w:lineRule="auto"/>
        <w:jc w:val="both"/>
        <w:rPr>
          <w:rFonts w:ascii="Times New Roman" w:hAnsi="Times New Roman" w:cs="Times New Roman"/>
          <w:sz w:val="24"/>
          <w:szCs w:val="24"/>
        </w:rPr>
      </w:pPr>
      <w:r w:rsidRPr="00FC2FCC">
        <w:rPr>
          <w:rFonts w:ascii="Times New Roman" w:hAnsi="Times New Roman" w:cs="Times New Roman"/>
          <w:b/>
          <w:sz w:val="24"/>
          <w:szCs w:val="24"/>
        </w:rPr>
        <w:t>Bubbles as Adaptive Responses</w:t>
      </w:r>
      <w:r w:rsidRPr="00FC2FCC">
        <w:rPr>
          <w:rFonts w:ascii="Times New Roman" w:hAnsi="Times New Roman" w:cs="Times New Roman"/>
          <w:sz w:val="24"/>
          <w:szCs w:val="24"/>
        </w:rPr>
        <w:t xml:space="preserve">: Speculative manias arise when new information (e.g., the internet’s potential) overwhelms historical data, triggering heuristic-driven decisions.  </w:t>
      </w:r>
    </w:p>
    <w:p w:rsidR="00F65C7F" w:rsidRPr="00FC2FCC" w:rsidRDefault="00F65C7F" w:rsidP="00A50F9F">
      <w:pPr>
        <w:pStyle w:val="ListParagraph"/>
        <w:numPr>
          <w:ilvl w:val="0"/>
          <w:numId w:val="23"/>
        </w:numPr>
        <w:spacing w:line="360" w:lineRule="auto"/>
        <w:jc w:val="both"/>
        <w:rPr>
          <w:rFonts w:ascii="Times New Roman" w:hAnsi="Times New Roman" w:cs="Times New Roman"/>
          <w:sz w:val="24"/>
          <w:szCs w:val="24"/>
        </w:rPr>
      </w:pPr>
      <w:r w:rsidRPr="00FC2FCC">
        <w:rPr>
          <w:rFonts w:ascii="Times New Roman" w:hAnsi="Times New Roman" w:cs="Times New Roman"/>
          <w:b/>
          <w:sz w:val="24"/>
          <w:szCs w:val="24"/>
        </w:rPr>
        <w:t>Crashes as Evolutionary Resets</w:t>
      </w:r>
      <w:r w:rsidRPr="00FC2FCC">
        <w:rPr>
          <w:rFonts w:ascii="Times New Roman" w:hAnsi="Times New Roman" w:cs="Times New Roman"/>
          <w:sz w:val="24"/>
          <w:szCs w:val="24"/>
        </w:rPr>
        <w:t xml:space="preserve">: The Market collapses and purges maladaptive strategies (e.g., excessive leverage), restoring equilibrium.  </w:t>
      </w:r>
    </w:p>
    <w:p w:rsidR="00F65C7F" w:rsidRPr="00FC2FCC" w:rsidRDefault="00F65C7F" w:rsidP="00A50F9F">
      <w:pPr>
        <w:pStyle w:val="ListParagraph"/>
        <w:numPr>
          <w:ilvl w:val="0"/>
          <w:numId w:val="23"/>
        </w:numPr>
        <w:spacing w:line="360" w:lineRule="auto"/>
        <w:jc w:val="both"/>
        <w:rPr>
          <w:rFonts w:ascii="Times New Roman" w:hAnsi="Times New Roman" w:cs="Times New Roman"/>
          <w:sz w:val="24"/>
          <w:szCs w:val="24"/>
        </w:rPr>
      </w:pPr>
      <w:r w:rsidRPr="00FC2FCC">
        <w:rPr>
          <w:rFonts w:ascii="Times New Roman" w:hAnsi="Times New Roman" w:cs="Times New Roman"/>
          <w:b/>
          <w:sz w:val="24"/>
          <w:szCs w:val="24"/>
        </w:rPr>
        <w:t>Role of Technology</w:t>
      </w:r>
      <w:r w:rsidRPr="00FC2FCC">
        <w:rPr>
          <w:rFonts w:ascii="Times New Roman" w:hAnsi="Times New Roman" w:cs="Times New Roman"/>
          <w:sz w:val="24"/>
          <w:szCs w:val="24"/>
        </w:rPr>
        <w:t xml:space="preserve">: High-frequency trading (HFT) enhances liquidity in stable times but exacerbates flash crashes (e.g., 2010’s “Flash Crash”) during stress.  </w:t>
      </w:r>
    </w:p>
    <w:p w:rsidR="00F65C7F" w:rsidRPr="00FC2FCC" w:rsidRDefault="007D3AB9" w:rsidP="00A50F9F">
      <w:pPr>
        <w:spacing w:after="0" w:line="360" w:lineRule="auto"/>
        <w:jc w:val="both"/>
        <w:rPr>
          <w:rFonts w:ascii="Times New Roman" w:eastAsia="Times New Roman" w:hAnsi="Times New Roman" w:cs="Times New Roman"/>
          <w:sz w:val="24"/>
          <w:szCs w:val="24"/>
          <w:lang w:eastAsia="en-IN"/>
        </w:rPr>
      </w:pPr>
      <w:r w:rsidRPr="00FC2FCC">
        <w:rPr>
          <w:rFonts w:ascii="Times New Roman" w:hAnsi="Times New Roman" w:cs="Times New Roman"/>
          <w:sz w:val="24"/>
          <w:szCs w:val="24"/>
        </w:rPr>
        <w:t xml:space="preserve">The </w:t>
      </w:r>
      <w:r w:rsidR="00F65C7F" w:rsidRPr="00FC2FCC">
        <w:rPr>
          <w:rFonts w:ascii="Times New Roman" w:hAnsi="Times New Roman" w:cs="Times New Roman"/>
          <w:sz w:val="24"/>
          <w:szCs w:val="24"/>
        </w:rPr>
        <w:t xml:space="preserve">weak form of EMH is most suitable for static market conditions that cannot capture the context of </w:t>
      </w:r>
      <w:r w:rsidRPr="00FC2FCC">
        <w:rPr>
          <w:rFonts w:ascii="Times New Roman" w:hAnsi="Times New Roman" w:cs="Times New Roman"/>
          <w:sz w:val="24"/>
          <w:szCs w:val="24"/>
        </w:rPr>
        <w:t xml:space="preserve">dynamic equilibrium </w:t>
      </w:r>
      <w:r w:rsidR="00F65C7F" w:rsidRPr="00FC2FCC">
        <w:rPr>
          <w:rFonts w:ascii="Times New Roman" w:hAnsi="Times New Roman" w:cs="Times New Roman"/>
          <w:sz w:val="24"/>
          <w:szCs w:val="24"/>
        </w:rPr>
        <w:t>affect</w:t>
      </w:r>
      <w:r w:rsidRPr="00FC2FCC">
        <w:rPr>
          <w:rFonts w:ascii="Times New Roman" w:hAnsi="Times New Roman" w:cs="Times New Roman"/>
          <w:sz w:val="24"/>
          <w:szCs w:val="24"/>
        </w:rPr>
        <w:t>ed by legislation, technology</w:t>
      </w:r>
      <w:r w:rsidR="00F65C7F" w:rsidRPr="00FC2FCC">
        <w:rPr>
          <w:rFonts w:ascii="Times New Roman" w:hAnsi="Times New Roman" w:cs="Times New Roman"/>
          <w:sz w:val="24"/>
          <w:szCs w:val="24"/>
        </w:rPr>
        <w:t>, and competition. Real-life market circumstances are conditional rather than</w:t>
      </w:r>
      <w:r w:rsidRPr="00FC2FCC">
        <w:rPr>
          <w:rFonts w:ascii="Times New Roman" w:hAnsi="Times New Roman" w:cs="Times New Roman"/>
          <w:sz w:val="24"/>
          <w:szCs w:val="24"/>
        </w:rPr>
        <w:t xml:space="preserve"> </w:t>
      </w:r>
      <w:r w:rsidR="00F65C7F" w:rsidRPr="00FC2FCC">
        <w:rPr>
          <w:rFonts w:ascii="Times New Roman" w:hAnsi="Times New Roman" w:cs="Times New Roman"/>
          <w:sz w:val="24"/>
          <w:szCs w:val="24"/>
        </w:rPr>
        <w:t>absolute</w:t>
      </w:r>
      <w:r w:rsidRPr="00FC2FCC">
        <w:rPr>
          <w:rFonts w:ascii="Times New Roman" w:hAnsi="Times New Roman" w:cs="Times New Roman"/>
          <w:sz w:val="24"/>
          <w:szCs w:val="24"/>
        </w:rPr>
        <w:t xml:space="preserve"> truth. Ea</w:t>
      </w:r>
      <w:r w:rsidR="00F65C7F" w:rsidRPr="00FC2FCC">
        <w:rPr>
          <w:rFonts w:ascii="Times New Roman" w:hAnsi="Times New Roman" w:cs="Times New Roman"/>
          <w:sz w:val="24"/>
          <w:szCs w:val="24"/>
        </w:rPr>
        <w:t xml:space="preserve">rly markets (pre-1980s) matched </w:t>
      </w:r>
      <w:r w:rsidRPr="00FC2FCC">
        <w:rPr>
          <w:rFonts w:ascii="Times New Roman" w:hAnsi="Times New Roman" w:cs="Times New Roman"/>
          <w:sz w:val="24"/>
          <w:szCs w:val="24"/>
        </w:rPr>
        <w:t>closely</w:t>
      </w:r>
      <w:r w:rsidR="00F65C7F" w:rsidRPr="00FC2FCC">
        <w:rPr>
          <w:rFonts w:ascii="Times New Roman" w:hAnsi="Times New Roman" w:cs="Times New Roman"/>
          <w:sz w:val="24"/>
          <w:szCs w:val="24"/>
        </w:rPr>
        <w:t xml:space="preserve"> with EMH</w:t>
      </w:r>
      <w:r w:rsidRPr="00FC2FCC">
        <w:rPr>
          <w:rFonts w:ascii="Times New Roman" w:hAnsi="Times New Roman" w:cs="Times New Roman"/>
          <w:sz w:val="24"/>
          <w:szCs w:val="24"/>
        </w:rPr>
        <w:t>, but the emergence of behavioural finance, algorithmic trading, and distributed finance (</w:t>
      </w:r>
      <w:proofErr w:type="spellStart"/>
      <w:r w:rsidRPr="00FC2FCC">
        <w:rPr>
          <w:rFonts w:ascii="Times New Roman" w:hAnsi="Times New Roman" w:cs="Times New Roman"/>
          <w:sz w:val="24"/>
          <w:szCs w:val="24"/>
        </w:rPr>
        <w:t>DeFi</w:t>
      </w:r>
      <w:proofErr w:type="spellEnd"/>
      <w:r w:rsidRPr="00FC2FCC">
        <w:rPr>
          <w:rFonts w:ascii="Times New Roman" w:hAnsi="Times New Roman" w:cs="Times New Roman"/>
          <w:sz w:val="24"/>
          <w:szCs w:val="24"/>
        </w:rPr>
        <w:t>) has upset this balance. The most convincing approach</w:t>
      </w:r>
      <w:r w:rsidR="00F65C7F" w:rsidRPr="00FC2FCC">
        <w:rPr>
          <w:rFonts w:ascii="Times New Roman" w:hAnsi="Times New Roman" w:cs="Times New Roman"/>
          <w:sz w:val="24"/>
          <w:szCs w:val="24"/>
        </w:rPr>
        <w:t xml:space="preserve"> versus EMH</w:t>
      </w:r>
      <w:r w:rsidRPr="00FC2FCC">
        <w:rPr>
          <w:rFonts w:ascii="Times New Roman" w:hAnsi="Times New Roman" w:cs="Times New Roman"/>
          <w:sz w:val="24"/>
          <w:szCs w:val="24"/>
        </w:rPr>
        <w:t xml:space="preserve"> comes from the Adaptive Market Hypothesis (Lo, 2004), which holds that markets change through </w:t>
      </w:r>
      <w:r w:rsidR="00F65C7F" w:rsidRPr="00FC2FCC">
        <w:rPr>
          <w:rFonts w:ascii="Times New Roman" w:hAnsi="Times New Roman" w:cs="Times New Roman"/>
          <w:sz w:val="24"/>
          <w:szCs w:val="24"/>
        </w:rPr>
        <w:t>invention and crisis cycles rather than being</w:t>
      </w:r>
      <w:r w:rsidRPr="00FC2FCC">
        <w:rPr>
          <w:rFonts w:ascii="Times New Roman" w:hAnsi="Times New Roman" w:cs="Times New Roman"/>
          <w:sz w:val="24"/>
          <w:szCs w:val="24"/>
        </w:rPr>
        <w:t xml:space="preserve"> </w:t>
      </w:r>
      <w:r w:rsidR="00F65C7F" w:rsidRPr="00FC2FCC">
        <w:rPr>
          <w:rFonts w:ascii="Times New Roman" w:hAnsi="Times New Roman" w:cs="Times New Roman"/>
          <w:sz w:val="24"/>
          <w:szCs w:val="24"/>
        </w:rPr>
        <w:t>entirely</w:t>
      </w:r>
      <w:r w:rsidRPr="00FC2FCC">
        <w:rPr>
          <w:rFonts w:ascii="Times New Roman" w:hAnsi="Times New Roman" w:cs="Times New Roman"/>
          <w:sz w:val="24"/>
          <w:szCs w:val="24"/>
        </w:rPr>
        <w:t xml:space="preserve"> efficient or illogical. </w:t>
      </w:r>
      <w:r w:rsidR="00F65C7F" w:rsidRPr="00FC2FCC">
        <w:rPr>
          <w:rFonts w:ascii="Times New Roman" w:eastAsia="Times New Roman" w:hAnsi="Times New Roman" w:cs="Times New Roman"/>
          <w:sz w:val="24"/>
          <w:szCs w:val="24"/>
          <w:lang w:eastAsia="en-IN"/>
        </w:rPr>
        <w:t xml:space="preserve">AMH is helpful for Investors to be aware that efficiency varies depending on circumstances. While proactive strategies may be beneficial during inefficiencies in emerging markets (like cryptocurrency), passive tactics are effective in more established markets (like the S&amp;P 500). AMH can be a torchbearer for Regulators to establish measures to prevent systemic </w:t>
      </w:r>
      <w:proofErr w:type="spellStart"/>
      <w:r w:rsidR="00F65C7F" w:rsidRPr="00FC2FCC">
        <w:rPr>
          <w:rFonts w:ascii="Times New Roman" w:eastAsia="Times New Roman" w:hAnsi="Times New Roman" w:cs="Times New Roman"/>
          <w:sz w:val="24"/>
          <w:szCs w:val="24"/>
          <w:lang w:eastAsia="en-IN"/>
        </w:rPr>
        <w:t>mispricings</w:t>
      </w:r>
      <w:proofErr w:type="spellEnd"/>
      <w:r w:rsidR="00F65C7F" w:rsidRPr="00FC2FCC">
        <w:rPr>
          <w:rFonts w:ascii="Times New Roman" w:eastAsia="Times New Roman" w:hAnsi="Times New Roman" w:cs="Times New Roman"/>
          <w:sz w:val="24"/>
          <w:szCs w:val="24"/>
          <w:lang w:eastAsia="en-IN"/>
        </w:rPr>
        <w:t xml:space="preserve"> (such as stress testing and circuit breakers) without impeding </w:t>
      </w:r>
      <w:r w:rsidR="00F65C7F" w:rsidRPr="00FC2FCC">
        <w:rPr>
          <w:rFonts w:ascii="Times New Roman" w:eastAsia="Times New Roman" w:hAnsi="Times New Roman" w:cs="Times New Roman"/>
          <w:sz w:val="24"/>
          <w:szCs w:val="24"/>
          <w:lang w:eastAsia="en-IN"/>
        </w:rPr>
        <w:lastRenderedPageBreak/>
        <w:t>innovation. Academics may simulate market ecology or the coevolution of stakeholders, laws, and technologies to understand better how the stock market functions in the real world.</w:t>
      </w:r>
    </w:p>
    <w:p w:rsidR="00F65C7F" w:rsidRPr="00FC2FCC" w:rsidRDefault="00F65C7F" w:rsidP="00A50F9F">
      <w:pPr>
        <w:pStyle w:val="BodyText2"/>
        <w:spacing w:before="120" w:after="120" w:line="360" w:lineRule="auto"/>
        <w:jc w:val="both"/>
        <w:rPr>
          <w:b/>
        </w:rPr>
      </w:pPr>
      <w:r w:rsidRPr="00FC2FCC">
        <w:rPr>
          <w:b/>
        </w:rPr>
        <w:t>Conclusion</w:t>
      </w:r>
    </w:p>
    <w:p w:rsidR="00F65C7F" w:rsidRPr="00FC2FCC" w:rsidRDefault="00F65C7F" w:rsidP="00A50F9F">
      <w:pPr>
        <w:spacing w:line="360" w:lineRule="auto"/>
        <w:jc w:val="both"/>
        <w:rPr>
          <w:rFonts w:ascii="Times New Roman" w:hAnsi="Times New Roman" w:cs="Times New Roman"/>
          <w:sz w:val="24"/>
          <w:szCs w:val="24"/>
        </w:rPr>
      </w:pPr>
      <w:r w:rsidRPr="00FC2FCC">
        <w:rPr>
          <w:rFonts w:ascii="Times New Roman" w:hAnsi="Times New Roman" w:cs="Times New Roman"/>
          <w:sz w:val="24"/>
          <w:szCs w:val="24"/>
        </w:rPr>
        <w:t>T</w:t>
      </w:r>
      <w:r w:rsidR="007D3AB9" w:rsidRPr="00FC2FCC">
        <w:rPr>
          <w:rFonts w:ascii="Times New Roman" w:hAnsi="Times New Roman" w:cs="Times New Roman"/>
          <w:sz w:val="24"/>
          <w:szCs w:val="24"/>
        </w:rPr>
        <w:t>he Weak Form Efficient Market Hypothesis (EMH) is a perplexing hypot</w:t>
      </w:r>
      <w:r w:rsidRPr="00FC2FCC">
        <w:rPr>
          <w:rFonts w:ascii="Times New Roman" w:hAnsi="Times New Roman" w:cs="Times New Roman"/>
          <w:sz w:val="24"/>
          <w:szCs w:val="24"/>
        </w:rPr>
        <w:t xml:space="preserve">hesis in the field of finance, and </w:t>
      </w:r>
      <w:r w:rsidR="007D3AB9" w:rsidRPr="00FC2FCC">
        <w:rPr>
          <w:rFonts w:ascii="Times New Roman" w:hAnsi="Times New Roman" w:cs="Times New Roman"/>
          <w:sz w:val="24"/>
          <w:szCs w:val="24"/>
        </w:rPr>
        <w:t>it</w:t>
      </w:r>
      <w:r w:rsidRPr="00FC2FCC">
        <w:rPr>
          <w:rFonts w:ascii="Times New Roman" w:hAnsi="Times New Roman" w:cs="Times New Roman"/>
          <w:sz w:val="24"/>
          <w:szCs w:val="24"/>
        </w:rPr>
        <w:t xml:space="preserve"> i</w:t>
      </w:r>
      <w:r w:rsidR="007D3AB9" w:rsidRPr="00FC2FCC">
        <w:rPr>
          <w:rFonts w:ascii="Times New Roman" w:hAnsi="Times New Roman" w:cs="Times New Roman"/>
          <w:sz w:val="24"/>
          <w:szCs w:val="24"/>
        </w:rPr>
        <w:t xml:space="preserve">s not entirely true or false. Supported by decades of </w:t>
      </w:r>
      <w:r w:rsidRPr="00FC2FCC">
        <w:rPr>
          <w:rFonts w:ascii="Times New Roman" w:hAnsi="Times New Roman" w:cs="Times New Roman"/>
          <w:sz w:val="24"/>
          <w:szCs w:val="24"/>
        </w:rPr>
        <w:t>empirical</w:t>
      </w:r>
      <w:r w:rsidR="007D3AB9" w:rsidRPr="00FC2FCC">
        <w:rPr>
          <w:rFonts w:ascii="Times New Roman" w:hAnsi="Times New Roman" w:cs="Times New Roman"/>
          <w:sz w:val="24"/>
          <w:szCs w:val="24"/>
        </w:rPr>
        <w:t xml:space="preserve"> data confirming the </w:t>
      </w:r>
      <w:r w:rsidRPr="00FC2FCC">
        <w:rPr>
          <w:rFonts w:ascii="Times New Roman" w:hAnsi="Times New Roman" w:cs="Times New Roman"/>
          <w:sz w:val="24"/>
          <w:szCs w:val="24"/>
        </w:rPr>
        <w:t>inefficacy</w:t>
      </w:r>
      <w:r w:rsidR="007D3AB9" w:rsidRPr="00FC2FCC">
        <w:rPr>
          <w:rFonts w:ascii="Times New Roman" w:hAnsi="Times New Roman" w:cs="Times New Roman"/>
          <w:sz w:val="24"/>
          <w:szCs w:val="24"/>
        </w:rPr>
        <w:t xml:space="preserve"> of technical analysis and the emergence of pas</w:t>
      </w:r>
      <w:r w:rsidRPr="00FC2FCC">
        <w:rPr>
          <w:rFonts w:ascii="Times New Roman" w:hAnsi="Times New Roman" w:cs="Times New Roman"/>
          <w:sz w:val="24"/>
          <w:szCs w:val="24"/>
        </w:rPr>
        <w:t xml:space="preserve">sive investment, its basic idea </w:t>
      </w:r>
      <w:r w:rsidR="007D3AB9" w:rsidRPr="00FC2FCC">
        <w:rPr>
          <w:rFonts w:ascii="Times New Roman" w:hAnsi="Times New Roman" w:cs="Times New Roman"/>
          <w:sz w:val="24"/>
          <w:szCs w:val="24"/>
        </w:rPr>
        <w:t>that</w:t>
      </w:r>
      <w:r w:rsidRPr="00FC2FCC">
        <w:rPr>
          <w:rFonts w:ascii="Times New Roman" w:hAnsi="Times New Roman" w:cs="Times New Roman"/>
          <w:sz w:val="24"/>
          <w:szCs w:val="24"/>
        </w:rPr>
        <w:t xml:space="preserve"> ‘</w:t>
      </w:r>
      <w:r w:rsidRPr="00FC2FCC">
        <w:rPr>
          <w:rFonts w:ascii="Times New Roman" w:hAnsi="Times New Roman" w:cs="Times New Roman"/>
          <w:i/>
          <w:sz w:val="24"/>
          <w:szCs w:val="24"/>
        </w:rPr>
        <w:t xml:space="preserve">historical </w:t>
      </w:r>
      <w:r w:rsidR="007D3AB9" w:rsidRPr="00FC2FCC">
        <w:rPr>
          <w:rFonts w:ascii="Times New Roman" w:hAnsi="Times New Roman" w:cs="Times New Roman"/>
          <w:i/>
          <w:sz w:val="24"/>
          <w:szCs w:val="24"/>
        </w:rPr>
        <w:t>price data</w:t>
      </w:r>
      <w:r w:rsidRPr="00FC2FCC">
        <w:rPr>
          <w:rFonts w:ascii="Times New Roman" w:hAnsi="Times New Roman" w:cs="Times New Roman"/>
          <w:i/>
          <w:sz w:val="24"/>
          <w:szCs w:val="24"/>
        </w:rPr>
        <w:t xml:space="preserve"> cannot forecast future returns’</w:t>
      </w:r>
      <w:r w:rsidRPr="00FC2FCC">
        <w:rPr>
          <w:rFonts w:ascii="Times New Roman" w:hAnsi="Times New Roman" w:cs="Times New Roman"/>
          <w:sz w:val="24"/>
          <w:szCs w:val="24"/>
        </w:rPr>
        <w:t xml:space="preserve"> </w:t>
      </w:r>
      <w:r w:rsidR="007D3AB9" w:rsidRPr="00FC2FCC">
        <w:rPr>
          <w:rFonts w:ascii="Times New Roman" w:hAnsi="Times New Roman" w:cs="Times New Roman"/>
          <w:sz w:val="24"/>
          <w:szCs w:val="24"/>
        </w:rPr>
        <w:t xml:space="preserve">remains a pillar of modern finance. Rooted in </w:t>
      </w:r>
      <w:proofErr w:type="spellStart"/>
      <w:r w:rsidR="007D3AB9" w:rsidRPr="00FC2FCC">
        <w:rPr>
          <w:rFonts w:ascii="Times New Roman" w:hAnsi="Times New Roman" w:cs="Times New Roman"/>
          <w:sz w:val="24"/>
          <w:szCs w:val="24"/>
        </w:rPr>
        <w:t>Bachelier's</w:t>
      </w:r>
      <w:proofErr w:type="spellEnd"/>
      <w:r w:rsidR="007D3AB9" w:rsidRPr="00FC2FCC">
        <w:rPr>
          <w:rFonts w:ascii="Times New Roman" w:hAnsi="Times New Roman" w:cs="Times New Roman"/>
          <w:sz w:val="24"/>
          <w:szCs w:val="24"/>
        </w:rPr>
        <w:t xml:space="preserve"> (1900) random walk theory and </w:t>
      </w:r>
      <w:proofErr w:type="spellStart"/>
      <w:r w:rsidR="007D3AB9" w:rsidRPr="00FC2FCC">
        <w:rPr>
          <w:rFonts w:ascii="Times New Roman" w:hAnsi="Times New Roman" w:cs="Times New Roman"/>
          <w:sz w:val="24"/>
          <w:szCs w:val="24"/>
        </w:rPr>
        <w:t>Fama's</w:t>
      </w:r>
      <w:proofErr w:type="spellEnd"/>
      <w:r w:rsidR="007D3AB9" w:rsidRPr="00FC2FCC">
        <w:rPr>
          <w:rFonts w:ascii="Times New Roman" w:hAnsi="Times New Roman" w:cs="Times New Roman"/>
          <w:sz w:val="24"/>
          <w:szCs w:val="24"/>
        </w:rPr>
        <w:t xml:space="preserve"> (1965) empirical validations, Weak Form EMH's intellectual rigidity democratised investing,</w:t>
      </w:r>
      <w:r w:rsidRPr="00FC2FCC">
        <w:rPr>
          <w:rFonts w:ascii="Times New Roman" w:hAnsi="Times New Roman" w:cs="Times New Roman"/>
          <w:sz w:val="24"/>
          <w:szCs w:val="24"/>
        </w:rPr>
        <w:t xml:space="preserve"> thereby</w:t>
      </w:r>
      <w:r w:rsidR="007D3AB9" w:rsidRPr="00FC2FCC">
        <w:rPr>
          <w:rFonts w:ascii="Times New Roman" w:hAnsi="Times New Roman" w:cs="Times New Roman"/>
          <w:sz w:val="24"/>
          <w:szCs w:val="24"/>
        </w:rPr>
        <w:t xml:space="preserve"> transforming finance. </w:t>
      </w:r>
      <w:r w:rsidRPr="00FC2FCC">
        <w:rPr>
          <w:rFonts w:ascii="Times New Roman" w:hAnsi="Times New Roman" w:cs="Times New Roman"/>
          <w:sz w:val="24"/>
          <w:szCs w:val="24"/>
        </w:rPr>
        <w:t>The importance of EMH</w:t>
      </w:r>
      <w:r w:rsidR="007D3AB9" w:rsidRPr="00FC2FCC">
        <w:rPr>
          <w:rFonts w:ascii="Times New Roman" w:hAnsi="Times New Roman" w:cs="Times New Roman"/>
          <w:sz w:val="24"/>
          <w:szCs w:val="24"/>
        </w:rPr>
        <w:t xml:space="preserve"> is </w:t>
      </w:r>
      <w:r w:rsidRPr="00FC2FCC">
        <w:rPr>
          <w:rFonts w:ascii="Times New Roman" w:hAnsi="Times New Roman" w:cs="Times New Roman"/>
          <w:sz w:val="24"/>
          <w:szCs w:val="24"/>
        </w:rPr>
        <w:t>evident</w:t>
      </w:r>
      <w:r w:rsidR="007D3AB9" w:rsidRPr="00FC2FCC">
        <w:rPr>
          <w:rFonts w:ascii="Times New Roman" w:hAnsi="Times New Roman" w:cs="Times New Roman"/>
          <w:sz w:val="24"/>
          <w:szCs w:val="24"/>
        </w:rPr>
        <w:t xml:space="preserve"> by the fact that index funds have grown so much that they now control about $15 trillion </w:t>
      </w:r>
      <w:r w:rsidRPr="00FC2FCC">
        <w:rPr>
          <w:rFonts w:ascii="Times New Roman" w:hAnsi="Times New Roman" w:cs="Times New Roman"/>
          <w:sz w:val="24"/>
          <w:szCs w:val="24"/>
        </w:rPr>
        <w:t>worldwide</w:t>
      </w:r>
      <w:r w:rsidR="007D3AB9" w:rsidRPr="00FC2FCC">
        <w:rPr>
          <w:rFonts w:ascii="Times New Roman" w:hAnsi="Times New Roman" w:cs="Times New Roman"/>
          <w:sz w:val="24"/>
          <w:szCs w:val="24"/>
        </w:rPr>
        <w:t>. EMH set</w:t>
      </w:r>
      <w:r w:rsidRPr="00FC2FCC">
        <w:rPr>
          <w:rFonts w:ascii="Times New Roman" w:hAnsi="Times New Roman" w:cs="Times New Roman"/>
          <w:sz w:val="24"/>
          <w:szCs w:val="24"/>
        </w:rPr>
        <w:t>s free common investors from the notion that beating the market requires</w:t>
      </w:r>
      <w:r w:rsidR="007D3AB9" w:rsidRPr="00FC2FCC">
        <w:rPr>
          <w:rFonts w:ascii="Times New Roman" w:hAnsi="Times New Roman" w:cs="Times New Roman"/>
          <w:sz w:val="24"/>
          <w:szCs w:val="24"/>
        </w:rPr>
        <w:t xml:space="preserve"> talent or insider knowledge by showing that most active strategies fall short of outperforming passive benchmarks after expenses. </w:t>
      </w:r>
      <w:r w:rsidRPr="00FC2FCC">
        <w:rPr>
          <w:rFonts w:ascii="Times New Roman" w:hAnsi="Times New Roman" w:cs="Times New Roman"/>
          <w:sz w:val="24"/>
          <w:szCs w:val="24"/>
        </w:rPr>
        <w:t xml:space="preserve">However, the theory falls short when faced with the messy reality of human psychology, structural market frictions, and the show-off of speculative bubbles. </w:t>
      </w:r>
      <w:r w:rsidR="007D3AB9" w:rsidRPr="00FC2FCC">
        <w:rPr>
          <w:rFonts w:ascii="Times New Roman" w:hAnsi="Times New Roman" w:cs="Times New Roman"/>
          <w:sz w:val="24"/>
          <w:szCs w:val="24"/>
        </w:rPr>
        <w:t xml:space="preserve">EMH's rationalist presumptions fall short in describing actual events. The Dot-Com bubble, the 2008 financial crisis, and the wild volatility of Bitcoin all show that markets are not sterile rooms of rational people but places where fear, greed, and story-driven speculation happen. By demonstrating that cognitive biases—loss aversion, herding, overconfidence—distort price discovery, behavioural economists such as Kahneman and Tversky (1979) and Shiller (1981) destroyed the illusion of universal rationality. These distortions </w:t>
      </w:r>
      <w:r w:rsidRPr="00FC2FCC">
        <w:rPr>
          <w:rFonts w:ascii="Times New Roman" w:hAnsi="Times New Roman" w:cs="Times New Roman"/>
          <w:sz w:val="24"/>
          <w:szCs w:val="24"/>
        </w:rPr>
        <w:t>are reflected in</w:t>
      </w:r>
      <w:r w:rsidR="007D3AB9" w:rsidRPr="00FC2FCC">
        <w:rPr>
          <w:rFonts w:ascii="Times New Roman" w:hAnsi="Times New Roman" w:cs="Times New Roman"/>
          <w:sz w:val="24"/>
          <w:szCs w:val="24"/>
        </w:rPr>
        <w:t xml:space="preserve"> consistent deviations from EMH's assertion of unpredictability, including momentum (</w:t>
      </w:r>
      <w:proofErr w:type="spellStart"/>
      <w:r w:rsidR="007D3AB9" w:rsidRPr="00FC2FCC">
        <w:rPr>
          <w:rFonts w:ascii="Times New Roman" w:hAnsi="Times New Roman" w:cs="Times New Roman"/>
          <w:sz w:val="24"/>
          <w:szCs w:val="24"/>
        </w:rPr>
        <w:t>Jegadeesh</w:t>
      </w:r>
      <w:proofErr w:type="spellEnd"/>
      <w:r w:rsidR="007D3AB9" w:rsidRPr="00FC2FCC">
        <w:rPr>
          <w:rFonts w:ascii="Times New Roman" w:hAnsi="Times New Roman" w:cs="Times New Roman"/>
          <w:sz w:val="24"/>
          <w:szCs w:val="24"/>
        </w:rPr>
        <w:t xml:space="preserve"> &amp; Titman, 1993) and mean reversion (</w:t>
      </w:r>
      <w:proofErr w:type="spellStart"/>
      <w:r w:rsidR="007D3AB9" w:rsidRPr="00FC2FCC">
        <w:rPr>
          <w:rFonts w:ascii="Times New Roman" w:hAnsi="Times New Roman" w:cs="Times New Roman"/>
          <w:sz w:val="24"/>
          <w:szCs w:val="24"/>
        </w:rPr>
        <w:t>DeBondt</w:t>
      </w:r>
      <w:proofErr w:type="spellEnd"/>
      <w:r w:rsidR="007D3AB9" w:rsidRPr="00FC2FCC">
        <w:rPr>
          <w:rFonts w:ascii="Times New Roman" w:hAnsi="Times New Roman" w:cs="Times New Roman"/>
          <w:sz w:val="24"/>
          <w:szCs w:val="24"/>
        </w:rPr>
        <w:t xml:space="preserve"> &amp; Thaler, 1985). The crisis of 2008 exposed the dangerously naive assumption of EMH on self-correcting markets.</w:t>
      </w:r>
    </w:p>
    <w:p w:rsidR="000A37DF" w:rsidRPr="00FC2FCC" w:rsidRDefault="007D3AB9" w:rsidP="00A50F9F">
      <w:pPr>
        <w:spacing w:line="360" w:lineRule="auto"/>
        <w:jc w:val="both"/>
        <w:rPr>
          <w:rFonts w:ascii="Times New Roman" w:hAnsi="Times New Roman" w:cs="Times New Roman"/>
          <w:sz w:val="24"/>
          <w:szCs w:val="24"/>
        </w:rPr>
      </w:pPr>
      <w:r w:rsidRPr="00FC2FCC">
        <w:rPr>
          <w:rFonts w:ascii="Times New Roman" w:hAnsi="Times New Roman" w:cs="Times New Roman"/>
          <w:sz w:val="24"/>
          <w:szCs w:val="24"/>
        </w:rPr>
        <w:t>Essential protections against systematic risks resulting from irrationality are circuit breakers, stress tests, and openness requirements.</w:t>
      </w:r>
      <w:r w:rsidR="00F65C7F" w:rsidRPr="00FC2FCC">
        <w:rPr>
          <w:rFonts w:ascii="Times New Roman" w:hAnsi="Times New Roman" w:cs="Times New Roman"/>
          <w:sz w:val="24"/>
          <w:szCs w:val="24"/>
        </w:rPr>
        <w:t xml:space="preserve"> The Adaptive Market Hypothesis</w:t>
      </w:r>
      <w:r w:rsidRPr="00FC2FCC">
        <w:rPr>
          <w:rFonts w:ascii="Times New Roman" w:hAnsi="Times New Roman" w:cs="Times New Roman"/>
          <w:sz w:val="24"/>
          <w:szCs w:val="24"/>
        </w:rPr>
        <w:t xml:space="preserve"> presents a convincing way to balance this conflict. </w:t>
      </w:r>
      <w:smartTag w:uri="urn:schemas-microsoft-com:office:smarttags" w:element="stockticker">
        <w:r w:rsidR="00F65C7F" w:rsidRPr="00FC2FCC">
          <w:rPr>
            <w:rFonts w:ascii="Times New Roman" w:hAnsi="Times New Roman" w:cs="Times New Roman"/>
            <w:sz w:val="24"/>
            <w:szCs w:val="24"/>
          </w:rPr>
          <w:t>AMH</w:t>
        </w:r>
      </w:smartTag>
      <w:r w:rsidR="00F65C7F" w:rsidRPr="00FC2FCC">
        <w:rPr>
          <w:rFonts w:ascii="Times New Roman" w:hAnsi="Times New Roman" w:cs="Times New Roman"/>
          <w:sz w:val="24"/>
          <w:szCs w:val="24"/>
        </w:rPr>
        <w:t xml:space="preserve"> considers </w:t>
      </w:r>
      <w:r w:rsidRPr="00FC2FCC">
        <w:rPr>
          <w:rFonts w:ascii="Times New Roman" w:hAnsi="Times New Roman" w:cs="Times New Roman"/>
          <w:sz w:val="24"/>
          <w:szCs w:val="24"/>
        </w:rPr>
        <w:t xml:space="preserve">markets as changing ecosystems </w:t>
      </w:r>
      <w:r w:rsidR="00F65C7F" w:rsidRPr="00FC2FCC">
        <w:rPr>
          <w:rFonts w:ascii="Times New Roman" w:hAnsi="Times New Roman" w:cs="Times New Roman"/>
          <w:sz w:val="24"/>
          <w:szCs w:val="24"/>
        </w:rPr>
        <w:t xml:space="preserve">and </w:t>
      </w:r>
      <w:r w:rsidRPr="00FC2FCC">
        <w:rPr>
          <w:rFonts w:ascii="Times New Roman" w:hAnsi="Times New Roman" w:cs="Times New Roman"/>
          <w:sz w:val="24"/>
          <w:szCs w:val="24"/>
        </w:rPr>
        <w:t>recognises that context dete</w:t>
      </w:r>
      <w:r w:rsidR="00F65C7F" w:rsidRPr="00FC2FCC">
        <w:rPr>
          <w:rFonts w:ascii="Times New Roman" w:hAnsi="Times New Roman" w:cs="Times New Roman"/>
          <w:sz w:val="24"/>
          <w:szCs w:val="24"/>
        </w:rPr>
        <w:t>rmines efficiency rather than a</w:t>
      </w:r>
      <w:r w:rsidRPr="00FC2FCC">
        <w:rPr>
          <w:rFonts w:ascii="Times New Roman" w:hAnsi="Times New Roman" w:cs="Times New Roman"/>
          <w:sz w:val="24"/>
          <w:szCs w:val="24"/>
        </w:rPr>
        <w:t xml:space="preserve"> fixed</w:t>
      </w:r>
      <w:r w:rsidR="00F65C7F" w:rsidRPr="00FC2FCC">
        <w:rPr>
          <w:rFonts w:ascii="Times New Roman" w:hAnsi="Times New Roman" w:cs="Times New Roman"/>
          <w:sz w:val="24"/>
          <w:szCs w:val="24"/>
        </w:rPr>
        <w:t xml:space="preserve"> set of assumptions.</w:t>
      </w:r>
      <w:r w:rsidRPr="00FC2FCC">
        <w:rPr>
          <w:rFonts w:ascii="Times New Roman" w:hAnsi="Times New Roman" w:cs="Times New Roman"/>
          <w:sz w:val="24"/>
          <w:szCs w:val="24"/>
        </w:rPr>
        <w:t xml:space="preserve"> </w:t>
      </w:r>
      <w:r w:rsidR="00F65C7F" w:rsidRPr="00FC2FCC">
        <w:rPr>
          <w:rFonts w:ascii="Times New Roman" w:hAnsi="Times New Roman" w:cs="Times New Roman"/>
          <w:sz w:val="24"/>
          <w:szCs w:val="24"/>
        </w:rPr>
        <w:t>M</w:t>
      </w:r>
      <w:r w:rsidRPr="00FC2FCC">
        <w:rPr>
          <w:rFonts w:ascii="Times New Roman" w:hAnsi="Times New Roman" w:cs="Times New Roman"/>
          <w:sz w:val="24"/>
          <w:szCs w:val="24"/>
        </w:rPr>
        <w:t xml:space="preserve">arkets </w:t>
      </w:r>
      <w:r w:rsidR="00F65C7F" w:rsidRPr="00FC2FCC">
        <w:rPr>
          <w:rFonts w:ascii="Times New Roman" w:hAnsi="Times New Roman" w:cs="Times New Roman"/>
          <w:sz w:val="24"/>
          <w:szCs w:val="24"/>
        </w:rPr>
        <w:t>evolve</w:t>
      </w:r>
      <w:r w:rsidRPr="00FC2FCC">
        <w:rPr>
          <w:rFonts w:ascii="Times New Roman" w:hAnsi="Times New Roman" w:cs="Times New Roman"/>
          <w:sz w:val="24"/>
          <w:szCs w:val="24"/>
        </w:rPr>
        <w:t xml:space="preserve"> via </w:t>
      </w:r>
      <w:r w:rsidR="00F65C7F" w:rsidRPr="00FC2FCC">
        <w:rPr>
          <w:rFonts w:ascii="Times New Roman" w:hAnsi="Times New Roman" w:cs="Times New Roman"/>
          <w:sz w:val="24"/>
          <w:szCs w:val="24"/>
        </w:rPr>
        <w:t>continuous invention, competition, and extinction cycles</w:t>
      </w:r>
      <w:r w:rsidRPr="00FC2FCC">
        <w:rPr>
          <w:rFonts w:ascii="Times New Roman" w:hAnsi="Times New Roman" w:cs="Times New Roman"/>
          <w:sz w:val="24"/>
          <w:szCs w:val="24"/>
        </w:rPr>
        <w:t>—a dynamism not easily captured by EMH's stationary perspective</w:t>
      </w:r>
      <w:r w:rsidR="00F65C7F" w:rsidRPr="00FC2FCC">
        <w:rPr>
          <w:rFonts w:ascii="Times New Roman" w:hAnsi="Times New Roman" w:cs="Times New Roman"/>
          <w:sz w:val="24"/>
          <w:szCs w:val="24"/>
        </w:rPr>
        <w:t xml:space="preserve">. It reminds us that competition, creativity, and education help us to acquire efficiency rather than it is innate. Markets change dynamically always, sometimes logically, sometimes chaotically, just as organisms adapt to live. </w:t>
      </w:r>
      <w:r w:rsidRPr="00FC2FCC">
        <w:rPr>
          <w:rFonts w:ascii="Times New Roman" w:hAnsi="Times New Roman" w:cs="Times New Roman"/>
          <w:sz w:val="24"/>
          <w:szCs w:val="24"/>
        </w:rPr>
        <w:t xml:space="preserve">The </w:t>
      </w:r>
      <w:r w:rsidR="00F65C7F" w:rsidRPr="00FC2FCC">
        <w:rPr>
          <w:rFonts w:ascii="Times New Roman" w:hAnsi="Times New Roman" w:cs="Times New Roman"/>
          <w:sz w:val="24"/>
          <w:szCs w:val="24"/>
        </w:rPr>
        <w:lastRenderedPageBreak/>
        <w:t>weak form of EMH should be better understood as a useful approximation, a beginning point for research, rather than a law of nature</w:t>
      </w:r>
      <w:r w:rsidRPr="00FC2FCC">
        <w:rPr>
          <w:rFonts w:ascii="Times New Roman" w:hAnsi="Times New Roman" w:cs="Times New Roman"/>
          <w:sz w:val="24"/>
          <w:szCs w:val="24"/>
        </w:rPr>
        <w:t xml:space="preserve">. Its most important contribution is encouraging a more sophisticated conversation on market dynamics that </w:t>
      </w:r>
      <w:r w:rsidR="00F65C7F" w:rsidRPr="00FC2FCC">
        <w:rPr>
          <w:rFonts w:ascii="Times New Roman" w:hAnsi="Times New Roman" w:cs="Times New Roman"/>
          <w:sz w:val="24"/>
          <w:szCs w:val="24"/>
        </w:rPr>
        <w:t>accepts rather than dismisses complexities</w:t>
      </w:r>
      <w:r w:rsidRPr="00FC2FCC">
        <w:rPr>
          <w:rFonts w:ascii="Times New Roman" w:hAnsi="Times New Roman" w:cs="Times New Roman"/>
          <w:sz w:val="24"/>
          <w:szCs w:val="24"/>
        </w:rPr>
        <w:t xml:space="preserve">. The ultimate issue is not whether markets are efficient but how, when, </w:t>
      </w:r>
      <w:r w:rsidR="00F65C7F" w:rsidRPr="00FC2FCC">
        <w:rPr>
          <w:rFonts w:ascii="Times New Roman" w:hAnsi="Times New Roman" w:cs="Times New Roman"/>
          <w:sz w:val="24"/>
          <w:szCs w:val="24"/>
        </w:rPr>
        <w:t xml:space="preserve">and </w:t>
      </w:r>
      <w:r w:rsidRPr="00FC2FCC">
        <w:rPr>
          <w:rFonts w:ascii="Times New Roman" w:hAnsi="Times New Roman" w:cs="Times New Roman"/>
          <w:sz w:val="24"/>
          <w:szCs w:val="24"/>
        </w:rPr>
        <w:t xml:space="preserve">for whom efficiency holds. </w:t>
      </w:r>
      <w:r w:rsidR="00F65C7F" w:rsidRPr="00FC2FCC">
        <w:rPr>
          <w:rFonts w:ascii="Times New Roman" w:hAnsi="Times New Roman" w:cs="Times New Roman"/>
          <w:sz w:val="24"/>
          <w:szCs w:val="24"/>
        </w:rPr>
        <w:t>T</w:t>
      </w:r>
      <w:r w:rsidRPr="00FC2FCC">
        <w:rPr>
          <w:rFonts w:ascii="Times New Roman" w:hAnsi="Times New Roman" w:cs="Times New Roman"/>
          <w:sz w:val="24"/>
          <w:szCs w:val="24"/>
        </w:rPr>
        <w:t>his complex knowledge</w:t>
      </w:r>
      <w:r w:rsidR="00F65C7F" w:rsidRPr="00FC2FCC">
        <w:rPr>
          <w:rFonts w:ascii="Times New Roman" w:hAnsi="Times New Roman" w:cs="Times New Roman"/>
          <w:sz w:val="24"/>
          <w:szCs w:val="24"/>
        </w:rPr>
        <w:t xml:space="preserve">, rooted in literary findings and inquiry, might </w:t>
      </w:r>
      <w:r w:rsidRPr="00FC2FCC">
        <w:rPr>
          <w:rFonts w:ascii="Times New Roman" w:hAnsi="Times New Roman" w:cs="Times New Roman"/>
          <w:sz w:val="24"/>
          <w:szCs w:val="24"/>
        </w:rPr>
        <w:t>direct the next generation of theorists, investors, and legislators across the always</w:t>
      </w:r>
      <w:r w:rsidR="00F65C7F" w:rsidRPr="00FC2FCC">
        <w:rPr>
          <w:rFonts w:ascii="Times New Roman" w:hAnsi="Times New Roman" w:cs="Times New Roman"/>
          <w:sz w:val="24"/>
          <w:szCs w:val="24"/>
        </w:rPr>
        <w:t>-</w:t>
      </w:r>
      <w:r w:rsidRPr="00FC2FCC">
        <w:rPr>
          <w:rFonts w:ascii="Times New Roman" w:hAnsi="Times New Roman" w:cs="Times New Roman"/>
          <w:sz w:val="24"/>
          <w:szCs w:val="24"/>
        </w:rPr>
        <w:t xml:space="preserve">changing terrain of global finance. </w:t>
      </w:r>
    </w:p>
    <w:p w:rsidR="00FC2FCC" w:rsidRPr="00FC2FCC" w:rsidRDefault="00FC2FCC" w:rsidP="00FC2FCC">
      <w:pPr>
        <w:pStyle w:val="Heading1"/>
      </w:pPr>
      <w:r w:rsidRPr="00FC2FCC">
        <w:t xml:space="preserve">References  </w:t>
      </w:r>
    </w:p>
    <w:p w:rsidR="00FC2FCC" w:rsidRPr="00FC2FCC" w:rsidRDefault="00FC2FCC" w:rsidP="00FC2FCC">
      <w:pPr>
        <w:pStyle w:val="BodyText"/>
        <w:numPr>
          <w:ilvl w:val="0"/>
          <w:numId w:val="27"/>
        </w:numPr>
        <w:spacing w:after="0" w:line="360" w:lineRule="auto"/>
      </w:pPr>
      <w:proofErr w:type="spellStart"/>
      <w:r w:rsidRPr="00FC2FCC">
        <w:t>Bachelier</w:t>
      </w:r>
      <w:proofErr w:type="spellEnd"/>
      <w:r w:rsidRPr="00FC2FCC">
        <w:t xml:space="preserve">, L. (1900). </w:t>
      </w:r>
      <w:proofErr w:type="spellStart"/>
      <w:r w:rsidRPr="00FC2FCC">
        <w:t>Théorie</w:t>
      </w:r>
      <w:proofErr w:type="spellEnd"/>
      <w:r w:rsidRPr="00FC2FCC">
        <w:t xml:space="preserve"> de la </w:t>
      </w:r>
      <w:proofErr w:type="spellStart"/>
      <w:r w:rsidRPr="00FC2FCC">
        <w:t>spéculation</w:t>
      </w:r>
      <w:proofErr w:type="spellEnd"/>
      <w:r w:rsidRPr="00FC2FCC">
        <w:t xml:space="preserve">. Annales </w:t>
      </w:r>
      <w:proofErr w:type="spellStart"/>
      <w:r w:rsidRPr="00FC2FCC">
        <w:t>Scientifiques</w:t>
      </w:r>
      <w:proofErr w:type="spellEnd"/>
      <w:r w:rsidRPr="00FC2FCC">
        <w:t xml:space="preserve"> de </w:t>
      </w:r>
      <w:proofErr w:type="spellStart"/>
      <w:r w:rsidRPr="00FC2FCC">
        <w:t>l'École</w:t>
      </w:r>
      <w:proofErr w:type="spellEnd"/>
      <w:r w:rsidRPr="00FC2FCC">
        <w:t xml:space="preserve"> </w:t>
      </w:r>
      <w:proofErr w:type="spellStart"/>
      <w:r w:rsidRPr="00FC2FCC">
        <w:t>Normale</w:t>
      </w:r>
      <w:proofErr w:type="spellEnd"/>
      <w:r w:rsidRPr="00FC2FCC">
        <w:t xml:space="preserve"> </w:t>
      </w:r>
      <w:proofErr w:type="spellStart"/>
      <w:r w:rsidRPr="00FC2FCC">
        <w:t>Supérieure</w:t>
      </w:r>
      <w:proofErr w:type="spellEnd"/>
      <w:r w:rsidRPr="00FC2FCC">
        <w:t xml:space="preserve">, 3(17), 21–86.  </w:t>
      </w:r>
    </w:p>
    <w:p w:rsidR="00FC2FCC" w:rsidRPr="00FC2FCC" w:rsidRDefault="00FC2FCC" w:rsidP="00FC2FCC">
      <w:pPr>
        <w:pStyle w:val="BodyText"/>
        <w:numPr>
          <w:ilvl w:val="0"/>
          <w:numId w:val="27"/>
        </w:numPr>
        <w:spacing w:after="0" w:line="360" w:lineRule="auto"/>
      </w:pPr>
      <w:r w:rsidRPr="00FC2FCC">
        <w:t xml:space="preserve">Brock, W., </w:t>
      </w:r>
      <w:proofErr w:type="spellStart"/>
      <w:r w:rsidRPr="00FC2FCC">
        <w:t>Lakonishok</w:t>
      </w:r>
      <w:proofErr w:type="spellEnd"/>
      <w:r w:rsidRPr="00FC2FCC">
        <w:t xml:space="preserve">, J., &amp; </w:t>
      </w:r>
      <w:proofErr w:type="spellStart"/>
      <w:r w:rsidRPr="00FC2FCC">
        <w:t>LeBaron</w:t>
      </w:r>
      <w:proofErr w:type="spellEnd"/>
      <w:r w:rsidRPr="00FC2FCC">
        <w:t xml:space="preserve">, B. (1992). Simple technical trading rules and the stochastic properties of stock returns. Journal of Finance, 47(5), 1731–1764.  </w:t>
      </w:r>
    </w:p>
    <w:p w:rsidR="00FC2FCC" w:rsidRPr="00FC2FCC" w:rsidRDefault="00FC2FCC" w:rsidP="00FC2FCC">
      <w:pPr>
        <w:pStyle w:val="BodyText"/>
        <w:numPr>
          <w:ilvl w:val="0"/>
          <w:numId w:val="27"/>
        </w:numPr>
        <w:spacing w:after="0" w:line="360" w:lineRule="auto"/>
      </w:pPr>
      <w:r w:rsidRPr="00FC2FCC">
        <w:t xml:space="preserve">Cowles, A. (1933). Can stock market forecasters forecast? </w:t>
      </w:r>
      <w:proofErr w:type="spellStart"/>
      <w:r w:rsidRPr="00FC2FCC">
        <w:t>Econometrica</w:t>
      </w:r>
      <w:proofErr w:type="spellEnd"/>
      <w:r w:rsidRPr="00FC2FCC">
        <w:t xml:space="preserve">, 1(3), 309–324.  </w:t>
      </w:r>
    </w:p>
    <w:p w:rsidR="00FC2FCC" w:rsidRP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proofErr w:type="spellStart"/>
      <w:r w:rsidRPr="00FC2FCC">
        <w:rPr>
          <w:rFonts w:ascii="Times New Roman" w:hAnsi="Times New Roman" w:cs="Times New Roman"/>
          <w:sz w:val="24"/>
          <w:szCs w:val="24"/>
        </w:rPr>
        <w:t>DeBondt</w:t>
      </w:r>
      <w:proofErr w:type="spellEnd"/>
      <w:r w:rsidRPr="00FC2FCC">
        <w:rPr>
          <w:rFonts w:ascii="Times New Roman" w:hAnsi="Times New Roman" w:cs="Times New Roman"/>
          <w:sz w:val="24"/>
          <w:szCs w:val="24"/>
        </w:rPr>
        <w:t xml:space="preserve">, W. F., &amp; Thaler, R. (1985). Does the stock market overreact? Journal of Finance, 40(3), 793–805.  </w:t>
      </w:r>
    </w:p>
    <w:p w:rsidR="00FC2FCC" w:rsidRP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proofErr w:type="spellStart"/>
      <w:r w:rsidRPr="00FC2FCC">
        <w:rPr>
          <w:rFonts w:ascii="Times New Roman" w:hAnsi="Times New Roman" w:cs="Times New Roman"/>
          <w:sz w:val="24"/>
          <w:szCs w:val="24"/>
        </w:rPr>
        <w:t>Fama</w:t>
      </w:r>
      <w:proofErr w:type="spellEnd"/>
      <w:r w:rsidRPr="00FC2FCC">
        <w:rPr>
          <w:rFonts w:ascii="Times New Roman" w:hAnsi="Times New Roman" w:cs="Times New Roman"/>
          <w:sz w:val="24"/>
          <w:szCs w:val="24"/>
        </w:rPr>
        <w:t xml:space="preserve">, E. F. (1965). The </w:t>
      </w:r>
      <w:proofErr w:type="spellStart"/>
      <w:r w:rsidRPr="00FC2FCC">
        <w:rPr>
          <w:rFonts w:ascii="Times New Roman" w:hAnsi="Times New Roman" w:cs="Times New Roman"/>
          <w:sz w:val="24"/>
          <w:szCs w:val="24"/>
        </w:rPr>
        <w:t>behavior</w:t>
      </w:r>
      <w:proofErr w:type="spellEnd"/>
      <w:r w:rsidRPr="00FC2FCC">
        <w:rPr>
          <w:rFonts w:ascii="Times New Roman" w:hAnsi="Times New Roman" w:cs="Times New Roman"/>
          <w:sz w:val="24"/>
          <w:szCs w:val="24"/>
        </w:rPr>
        <w:t xml:space="preserve"> of stock-market prices. The Journal of Business, 38(1), 34–105.  </w:t>
      </w:r>
    </w:p>
    <w:p w:rsidR="00FC2FCC" w:rsidRP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proofErr w:type="spellStart"/>
      <w:r w:rsidRPr="00FC2FCC">
        <w:rPr>
          <w:rFonts w:ascii="Times New Roman" w:hAnsi="Times New Roman" w:cs="Times New Roman"/>
          <w:sz w:val="24"/>
          <w:szCs w:val="24"/>
        </w:rPr>
        <w:t>Fama</w:t>
      </w:r>
      <w:proofErr w:type="spellEnd"/>
      <w:r w:rsidRPr="00FC2FCC">
        <w:rPr>
          <w:rFonts w:ascii="Times New Roman" w:hAnsi="Times New Roman" w:cs="Times New Roman"/>
          <w:sz w:val="24"/>
          <w:szCs w:val="24"/>
        </w:rPr>
        <w:t xml:space="preserve">, E. F. (1998). Market efficiency, long-term returns, and </w:t>
      </w:r>
      <w:proofErr w:type="spellStart"/>
      <w:r w:rsidRPr="00FC2FCC">
        <w:rPr>
          <w:rFonts w:ascii="Times New Roman" w:hAnsi="Times New Roman" w:cs="Times New Roman"/>
          <w:sz w:val="24"/>
          <w:szCs w:val="24"/>
        </w:rPr>
        <w:t>behavioral</w:t>
      </w:r>
      <w:proofErr w:type="spellEnd"/>
      <w:r w:rsidRPr="00FC2FCC">
        <w:rPr>
          <w:rFonts w:ascii="Times New Roman" w:hAnsi="Times New Roman" w:cs="Times New Roman"/>
          <w:sz w:val="24"/>
          <w:szCs w:val="24"/>
        </w:rPr>
        <w:t xml:space="preserve"> finance. Journal of Financial Economics, 49(3), 283–306.  </w:t>
      </w:r>
    </w:p>
    <w:p w:rsidR="00FC2FCC" w:rsidRP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r w:rsidRPr="00FC2FCC">
        <w:rPr>
          <w:rFonts w:ascii="Times New Roman" w:hAnsi="Times New Roman" w:cs="Times New Roman"/>
          <w:sz w:val="24"/>
          <w:szCs w:val="24"/>
        </w:rPr>
        <w:t xml:space="preserve">French, K. R. (1980). Stock returns and the weekend effect. Journal of Financial Economics, 8(1), 55–69.  </w:t>
      </w:r>
    </w:p>
    <w:p w:rsidR="00FC2FCC" w:rsidRP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proofErr w:type="spellStart"/>
      <w:r w:rsidRPr="00FC2FCC">
        <w:rPr>
          <w:rFonts w:ascii="Times New Roman" w:hAnsi="Times New Roman" w:cs="Times New Roman"/>
          <w:sz w:val="24"/>
          <w:szCs w:val="24"/>
        </w:rPr>
        <w:t>Jegadeesh</w:t>
      </w:r>
      <w:proofErr w:type="spellEnd"/>
      <w:r w:rsidRPr="00FC2FCC">
        <w:rPr>
          <w:rFonts w:ascii="Times New Roman" w:hAnsi="Times New Roman" w:cs="Times New Roman"/>
          <w:sz w:val="24"/>
          <w:szCs w:val="24"/>
        </w:rPr>
        <w:t xml:space="preserve">, N., &amp; Titman, S. (1993). Returns to buying winners and selling losers: Implications for stock market efficiency. Journal of Finance, 48(1), 65–91.  </w:t>
      </w:r>
    </w:p>
    <w:p w:rsidR="00FC2FCC" w:rsidRP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proofErr w:type="spellStart"/>
      <w:r w:rsidRPr="00FC2FCC">
        <w:rPr>
          <w:rFonts w:ascii="Times New Roman" w:hAnsi="Times New Roman" w:cs="Times New Roman"/>
          <w:sz w:val="24"/>
          <w:szCs w:val="24"/>
        </w:rPr>
        <w:t>Jegadeesh</w:t>
      </w:r>
      <w:proofErr w:type="spellEnd"/>
      <w:r w:rsidRPr="00FC2FCC">
        <w:rPr>
          <w:rFonts w:ascii="Times New Roman" w:hAnsi="Times New Roman" w:cs="Times New Roman"/>
          <w:sz w:val="24"/>
          <w:szCs w:val="24"/>
        </w:rPr>
        <w:t xml:space="preserve">, N., &amp; Titman, S. (1993). Returns to buying winners and selling losers: Implications for stock market efficiency. Journal of Finance, 48(1), 65–91.  </w:t>
      </w:r>
    </w:p>
    <w:p w:rsidR="00FC2FCC" w:rsidRP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r w:rsidRPr="00FC2FCC">
        <w:rPr>
          <w:rFonts w:ascii="Times New Roman" w:hAnsi="Times New Roman" w:cs="Times New Roman"/>
          <w:sz w:val="24"/>
          <w:szCs w:val="24"/>
        </w:rPr>
        <w:t xml:space="preserve">Kahneman, D., &amp; Tversky, A. (1979). Prospect theory: An analysis of decision under risk. </w:t>
      </w:r>
      <w:proofErr w:type="spellStart"/>
      <w:r w:rsidRPr="00FC2FCC">
        <w:rPr>
          <w:rFonts w:ascii="Times New Roman" w:hAnsi="Times New Roman" w:cs="Times New Roman"/>
          <w:sz w:val="24"/>
          <w:szCs w:val="24"/>
        </w:rPr>
        <w:t>Econometrica</w:t>
      </w:r>
      <w:proofErr w:type="spellEnd"/>
      <w:r w:rsidRPr="00FC2FCC">
        <w:rPr>
          <w:rFonts w:ascii="Times New Roman" w:hAnsi="Times New Roman" w:cs="Times New Roman"/>
          <w:sz w:val="24"/>
          <w:szCs w:val="24"/>
        </w:rPr>
        <w:t xml:space="preserve">, 47(2), 263–291.  </w:t>
      </w:r>
    </w:p>
    <w:p w:rsidR="00FC2FCC" w:rsidRP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r w:rsidRPr="00FC2FCC">
        <w:rPr>
          <w:rFonts w:ascii="Times New Roman" w:hAnsi="Times New Roman" w:cs="Times New Roman"/>
          <w:sz w:val="24"/>
          <w:szCs w:val="24"/>
        </w:rPr>
        <w:t xml:space="preserve">Kahneman, D., &amp; Tversky, A. (1979). Prospect theory: An analysis of decision under risk. </w:t>
      </w:r>
      <w:proofErr w:type="spellStart"/>
      <w:r w:rsidRPr="00FC2FCC">
        <w:rPr>
          <w:rFonts w:ascii="Times New Roman" w:hAnsi="Times New Roman" w:cs="Times New Roman"/>
          <w:sz w:val="24"/>
          <w:szCs w:val="24"/>
        </w:rPr>
        <w:t>Econometrica</w:t>
      </w:r>
      <w:proofErr w:type="spellEnd"/>
      <w:r w:rsidRPr="00FC2FCC">
        <w:rPr>
          <w:rFonts w:ascii="Times New Roman" w:hAnsi="Times New Roman" w:cs="Times New Roman"/>
          <w:sz w:val="24"/>
          <w:szCs w:val="24"/>
        </w:rPr>
        <w:t xml:space="preserve">, 47(2), 263–291.  </w:t>
      </w:r>
    </w:p>
    <w:p w:rsidR="00FC2FCC" w:rsidRP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r w:rsidRPr="00FC2FCC">
        <w:rPr>
          <w:rFonts w:ascii="Times New Roman" w:hAnsi="Times New Roman" w:cs="Times New Roman"/>
          <w:sz w:val="24"/>
          <w:szCs w:val="24"/>
        </w:rPr>
        <w:t xml:space="preserve">Lo, A. W. (2004). The adaptive markets hypothesis. Journal of Portfolio Management, 30(5), 15–29.  </w:t>
      </w:r>
    </w:p>
    <w:p w:rsidR="00FC2FCC" w:rsidRPr="00FC2FCC" w:rsidRDefault="00FC2FCC" w:rsidP="00FC2FCC">
      <w:pPr>
        <w:pStyle w:val="BodyTextIndent"/>
        <w:numPr>
          <w:ilvl w:val="0"/>
          <w:numId w:val="27"/>
        </w:numPr>
        <w:spacing w:after="0" w:line="360" w:lineRule="auto"/>
        <w:jc w:val="both"/>
        <w:rPr>
          <w:sz w:val="24"/>
          <w:szCs w:val="24"/>
        </w:rPr>
      </w:pPr>
      <w:proofErr w:type="spellStart"/>
      <w:r w:rsidRPr="00FC2FCC">
        <w:rPr>
          <w:sz w:val="24"/>
          <w:szCs w:val="24"/>
        </w:rPr>
        <w:t>Malkiel</w:t>
      </w:r>
      <w:proofErr w:type="spellEnd"/>
      <w:r w:rsidRPr="00FC2FCC">
        <w:rPr>
          <w:sz w:val="24"/>
          <w:szCs w:val="24"/>
        </w:rPr>
        <w:t xml:space="preserve">, B. G. (1973). A random walk down Wall Street. W. W. Norton &amp; Company.  </w:t>
      </w:r>
    </w:p>
    <w:p w:rsidR="00FC2FCC" w:rsidRP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r w:rsidRPr="00FC2FCC">
        <w:rPr>
          <w:rFonts w:ascii="Times New Roman" w:hAnsi="Times New Roman" w:cs="Times New Roman"/>
          <w:sz w:val="24"/>
          <w:szCs w:val="24"/>
        </w:rPr>
        <w:lastRenderedPageBreak/>
        <w:t xml:space="preserve">Samuelson, P. A. (1965). Proof that properly anticipated prices fluctuate randomly. Industrial Management Review, 6(2), 41–49.  </w:t>
      </w:r>
    </w:p>
    <w:p w:rsidR="00FC2FCC" w:rsidRP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r w:rsidRPr="00FC2FCC">
        <w:rPr>
          <w:rFonts w:ascii="Times New Roman" w:hAnsi="Times New Roman" w:cs="Times New Roman"/>
          <w:sz w:val="24"/>
          <w:szCs w:val="24"/>
        </w:rPr>
        <w:t xml:space="preserve">Shiller, R. J. (1981). Do stock prices move too much to be justified by subsequent changes in dividends? American Economic Review, 71(3), 421–436.  </w:t>
      </w:r>
    </w:p>
    <w:p w:rsidR="00FC2FCC" w:rsidRDefault="00FC2FCC" w:rsidP="00FC2FCC">
      <w:pPr>
        <w:pStyle w:val="ListParagraph"/>
        <w:numPr>
          <w:ilvl w:val="0"/>
          <w:numId w:val="27"/>
        </w:numPr>
        <w:spacing w:after="0" w:line="360" w:lineRule="auto"/>
        <w:jc w:val="both"/>
        <w:rPr>
          <w:rFonts w:ascii="Times New Roman" w:hAnsi="Times New Roman" w:cs="Times New Roman"/>
          <w:sz w:val="24"/>
          <w:szCs w:val="24"/>
        </w:rPr>
      </w:pPr>
      <w:r w:rsidRPr="00FC2FCC">
        <w:rPr>
          <w:rFonts w:ascii="Times New Roman" w:hAnsi="Times New Roman" w:cs="Times New Roman"/>
          <w:sz w:val="24"/>
          <w:szCs w:val="24"/>
        </w:rPr>
        <w:t xml:space="preserve">Shleifer, A., &amp; </w:t>
      </w:r>
      <w:proofErr w:type="spellStart"/>
      <w:r w:rsidRPr="00FC2FCC">
        <w:rPr>
          <w:rFonts w:ascii="Times New Roman" w:hAnsi="Times New Roman" w:cs="Times New Roman"/>
          <w:sz w:val="24"/>
          <w:szCs w:val="24"/>
        </w:rPr>
        <w:t>Vishny</w:t>
      </w:r>
      <w:proofErr w:type="spellEnd"/>
      <w:r w:rsidRPr="00FC2FCC">
        <w:rPr>
          <w:rFonts w:ascii="Times New Roman" w:hAnsi="Times New Roman" w:cs="Times New Roman"/>
          <w:sz w:val="24"/>
          <w:szCs w:val="24"/>
        </w:rPr>
        <w:t>, R. W. (1997). The limits of arbitrage. Journal of Finance, 52(1), 35–55.</w:t>
      </w:r>
    </w:p>
    <w:p w:rsidR="00B713C9" w:rsidRDefault="00B713C9" w:rsidP="00FC2FCC">
      <w:pPr>
        <w:pStyle w:val="ListParagraph"/>
        <w:numPr>
          <w:ilvl w:val="0"/>
          <w:numId w:val="27"/>
        </w:numPr>
        <w:spacing w:after="0" w:line="360" w:lineRule="auto"/>
        <w:jc w:val="both"/>
        <w:rPr>
          <w:rFonts w:ascii="Times New Roman" w:hAnsi="Times New Roman" w:cs="Times New Roman"/>
          <w:sz w:val="24"/>
          <w:szCs w:val="24"/>
        </w:rPr>
      </w:pPr>
      <w:proofErr w:type="spellStart"/>
      <w:r w:rsidRPr="00B713C9">
        <w:rPr>
          <w:rFonts w:ascii="Times New Roman" w:hAnsi="Times New Roman" w:cs="Times New Roman"/>
          <w:sz w:val="24"/>
          <w:szCs w:val="24"/>
        </w:rPr>
        <w:t>Khairajani</w:t>
      </w:r>
      <w:proofErr w:type="spellEnd"/>
      <w:r w:rsidRPr="00B713C9">
        <w:rPr>
          <w:rFonts w:ascii="Times New Roman" w:hAnsi="Times New Roman" w:cs="Times New Roman"/>
          <w:sz w:val="24"/>
          <w:szCs w:val="24"/>
        </w:rPr>
        <w:t>, D. (2023). Efficient market hypothesis: A conceptual framework. In </w:t>
      </w:r>
      <w:r w:rsidRPr="00B713C9">
        <w:rPr>
          <w:rFonts w:ascii="Times New Roman" w:hAnsi="Times New Roman" w:cs="Times New Roman"/>
          <w:i/>
          <w:iCs/>
          <w:sz w:val="24"/>
          <w:szCs w:val="24"/>
        </w:rPr>
        <w:t>Emerging Trends and Innovations in Industries of the developing world</w:t>
      </w:r>
      <w:r w:rsidRPr="00B713C9">
        <w:rPr>
          <w:rFonts w:ascii="Times New Roman" w:hAnsi="Times New Roman" w:cs="Times New Roman"/>
          <w:sz w:val="24"/>
          <w:szCs w:val="24"/>
        </w:rPr>
        <w:t> (pp. 140-145). CRC Press.</w:t>
      </w:r>
    </w:p>
    <w:p w:rsidR="003D3E86" w:rsidRDefault="00AC0995" w:rsidP="00FC2FCC">
      <w:pPr>
        <w:pStyle w:val="ListParagraph"/>
        <w:numPr>
          <w:ilvl w:val="0"/>
          <w:numId w:val="27"/>
        </w:numPr>
        <w:spacing w:after="0" w:line="360" w:lineRule="auto"/>
        <w:jc w:val="both"/>
        <w:rPr>
          <w:rFonts w:ascii="Times New Roman" w:hAnsi="Times New Roman" w:cs="Times New Roman"/>
          <w:sz w:val="24"/>
          <w:szCs w:val="24"/>
        </w:rPr>
      </w:pPr>
      <w:proofErr w:type="spellStart"/>
      <w:r w:rsidRPr="00AC0995">
        <w:rPr>
          <w:rFonts w:ascii="Times New Roman" w:hAnsi="Times New Roman" w:cs="Times New Roman"/>
          <w:sz w:val="24"/>
          <w:szCs w:val="24"/>
        </w:rPr>
        <w:t>Spulbar</w:t>
      </w:r>
      <w:proofErr w:type="spellEnd"/>
      <w:r w:rsidRPr="00AC0995">
        <w:rPr>
          <w:rFonts w:ascii="Times New Roman" w:hAnsi="Times New Roman" w:cs="Times New Roman"/>
          <w:sz w:val="24"/>
          <w:szCs w:val="24"/>
        </w:rPr>
        <w:t xml:space="preserve">, C., </w:t>
      </w:r>
      <w:proofErr w:type="spellStart"/>
      <w:r w:rsidRPr="00AC0995">
        <w:rPr>
          <w:rFonts w:ascii="Times New Roman" w:hAnsi="Times New Roman" w:cs="Times New Roman"/>
          <w:sz w:val="24"/>
          <w:szCs w:val="24"/>
        </w:rPr>
        <w:t>Birau</w:t>
      </w:r>
      <w:proofErr w:type="spellEnd"/>
      <w:r w:rsidRPr="00AC0995">
        <w:rPr>
          <w:rFonts w:ascii="Times New Roman" w:hAnsi="Times New Roman" w:cs="Times New Roman"/>
          <w:sz w:val="24"/>
          <w:szCs w:val="24"/>
        </w:rPr>
        <w:t xml:space="preserve">, R., &amp; </w:t>
      </w:r>
      <w:proofErr w:type="spellStart"/>
      <w:r w:rsidRPr="00AC0995">
        <w:rPr>
          <w:rFonts w:ascii="Times New Roman" w:hAnsi="Times New Roman" w:cs="Times New Roman"/>
          <w:sz w:val="24"/>
          <w:szCs w:val="24"/>
        </w:rPr>
        <w:t>Spulbar</w:t>
      </w:r>
      <w:proofErr w:type="spellEnd"/>
      <w:r w:rsidRPr="00AC0995">
        <w:rPr>
          <w:rFonts w:ascii="Times New Roman" w:hAnsi="Times New Roman" w:cs="Times New Roman"/>
          <w:sz w:val="24"/>
          <w:szCs w:val="24"/>
        </w:rPr>
        <w:t xml:space="preserve">, L. F. (2021). A critical survey on efficient market hypothesis (EMH), adaptive market hypothesis (AMH) and fractal markets hypothesis (FMH) considering their implication on stock markets </w:t>
      </w:r>
      <w:proofErr w:type="spellStart"/>
      <w:r w:rsidRPr="00AC0995">
        <w:rPr>
          <w:rFonts w:ascii="Times New Roman" w:hAnsi="Times New Roman" w:cs="Times New Roman"/>
          <w:sz w:val="24"/>
          <w:szCs w:val="24"/>
        </w:rPr>
        <w:t>behavior</w:t>
      </w:r>
      <w:proofErr w:type="spellEnd"/>
      <w:r w:rsidRPr="00AC0995">
        <w:rPr>
          <w:rFonts w:ascii="Times New Roman" w:hAnsi="Times New Roman" w:cs="Times New Roman"/>
          <w:sz w:val="24"/>
          <w:szCs w:val="24"/>
        </w:rPr>
        <w:t>. </w:t>
      </w:r>
      <w:proofErr w:type="spellStart"/>
      <w:r w:rsidRPr="00AC0995">
        <w:rPr>
          <w:rFonts w:ascii="Times New Roman" w:hAnsi="Times New Roman" w:cs="Times New Roman"/>
          <w:i/>
          <w:iCs/>
          <w:sz w:val="24"/>
          <w:szCs w:val="24"/>
        </w:rPr>
        <w:t>Ovidius</w:t>
      </w:r>
      <w:proofErr w:type="spellEnd"/>
      <w:r w:rsidRPr="00AC0995">
        <w:rPr>
          <w:rFonts w:ascii="Times New Roman" w:hAnsi="Times New Roman" w:cs="Times New Roman"/>
          <w:i/>
          <w:iCs/>
          <w:sz w:val="24"/>
          <w:szCs w:val="24"/>
        </w:rPr>
        <w:t xml:space="preserve"> University Annals, Economic Sciences Series</w:t>
      </w:r>
      <w:r w:rsidRPr="00AC0995">
        <w:rPr>
          <w:rFonts w:ascii="Times New Roman" w:hAnsi="Times New Roman" w:cs="Times New Roman"/>
          <w:sz w:val="24"/>
          <w:szCs w:val="24"/>
        </w:rPr>
        <w:t>, </w:t>
      </w:r>
      <w:r w:rsidRPr="00AC0995">
        <w:rPr>
          <w:rFonts w:ascii="Times New Roman" w:hAnsi="Times New Roman" w:cs="Times New Roman"/>
          <w:i/>
          <w:iCs/>
          <w:sz w:val="24"/>
          <w:szCs w:val="24"/>
        </w:rPr>
        <w:t>21</w:t>
      </w:r>
      <w:r w:rsidRPr="00AC0995">
        <w:rPr>
          <w:rFonts w:ascii="Times New Roman" w:hAnsi="Times New Roman" w:cs="Times New Roman"/>
          <w:sz w:val="24"/>
          <w:szCs w:val="24"/>
        </w:rPr>
        <w:t>(2), 1161-1165.</w:t>
      </w:r>
    </w:p>
    <w:p w:rsidR="00082FE6" w:rsidRDefault="00082FE6" w:rsidP="00FC2FCC">
      <w:pPr>
        <w:pStyle w:val="ListParagraph"/>
        <w:numPr>
          <w:ilvl w:val="0"/>
          <w:numId w:val="27"/>
        </w:numPr>
        <w:spacing w:after="0" w:line="360" w:lineRule="auto"/>
        <w:jc w:val="both"/>
        <w:rPr>
          <w:rFonts w:ascii="Times New Roman" w:hAnsi="Times New Roman" w:cs="Times New Roman"/>
          <w:sz w:val="24"/>
          <w:szCs w:val="24"/>
        </w:rPr>
      </w:pPr>
      <w:proofErr w:type="spellStart"/>
      <w:r w:rsidRPr="00082FE6">
        <w:rPr>
          <w:rFonts w:ascii="Times New Roman" w:hAnsi="Times New Roman" w:cs="Times New Roman"/>
          <w:sz w:val="24"/>
          <w:szCs w:val="24"/>
        </w:rPr>
        <w:t>Maloumian</w:t>
      </w:r>
      <w:proofErr w:type="spellEnd"/>
      <w:r w:rsidRPr="00082FE6">
        <w:rPr>
          <w:rFonts w:ascii="Times New Roman" w:hAnsi="Times New Roman" w:cs="Times New Roman"/>
          <w:sz w:val="24"/>
          <w:szCs w:val="24"/>
        </w:rPr>
        <w:t>, N. (2022). Unaccounted forms of complexity: A path away from the efficient market hypothesis paradigm. </w:t>
      </w:r>
      <w:r w:rsidRPr="00082FE6">
        <w:rPr>
          <w:rFonts w:ascii="Times New Roman" w:hAnsi="Times New Roman" w:cs="Times New Roman"/>
          <w:i/>
          <w:iCs/>
          <w:sz w:val="24"/>
          <w:szCs w:val="24"/>
        </w:rPr>
        <w:t>Social Sciences &amp; Humanities Open</w:t>
      </w:r>
      <w:r w:rsidRPr="00082FE6">
        <w:rPr>
          <w:rFonts w:ascii="Times New Roman" w:hAnsi="Times New Roman" w:cs="Times New Roman"/>
          <w:sz w:val="24"/>
          <w:szCs w:val="24"/>
        </w:rPr>
        <w:t>, </w:t>
      </w:r>
      <w:r w:rsidRPr="00082FE6">
        <w:rPr>
          <w:rFonts w:ascii="Times New Roman" w:hAnsi="Times New Roman" w:cs="Times New Roman"/>
          <w:i/>
          <w:iCs/>
          <w:sz w:val="24"/>
          <w:szCs w:val="24"/>
        </w:rPr>
        <w:t>5</w:t>
      </w:r>
      <w:r w:rsidRPr="00082FE6">
        <w:rPr>
          <w:rFonts w:ascii="Times New Roman" w:hAnsi="Times New Roman" w:cs="Times New Roman"/>
          <w:sz w:val="24"/>
          <w:szCs w:val="24"/>
        </w:rPr>
        <w:t>(1), 100244.</w:t>
      </w:r>
    </w:p>
    <w:p w:rsidR="00082FE6" w:rsidRPr="00FC2FCC" w:rsidRDefault="00082FE6" w:rsidP="00FC2FCC">
      <w:pPr>
        <w:pStyle w:val="ListParagraph"/>
        <w:numPr>
          <w:ilvl w:val="0"/>
          <w:numId w:val="27"/>
        </w:numPr>
        <w:spacing w:after="0" w:line="360" w:lineRule="auto"/>
        <w:jc w:val="both"/>
        <w:rPr>
          <w:rFonts w:ascii="Times New Roman" w:hAnsi="Times New Roman" w:cs="Times New Roman"/>
          <w:sz w:val="24"/>
          <w:szCs w:val="24"/>
        </w:rPr>
      </w:pPr>
      <w:r w:rsidRPr="00082FE6">
        <w:rPr>
          <w:rFonts w:ascii="Times New Roman" w:hAnsi="Times New Roman" w:cs="Times New Roman"/>
          <w:sz w:val="24"/>
          <w:szCs w:val="24"/>
        </w:rPr>
        <w:t>Kang, H. J., Lee, S. G., &amp; Park, S. Y. (2022). Information efficiency in the cryptocurrency market: The efficient-market hypothesis. </w:t>
      </w:r>
      <w:r w:rsidRPr="00082FE6">
        <w:rPr>
          <w:rFonts w:ascii="Times New Roman" w:hAnsi="Times New Roman" w:cs="Times New Roman"/>
          <w:i/>
          <w:iCs/>
          <w:sz w:val="24"/>
          <w:szCs w:val="24"/>
        </w:rPr>
        <w:t>Journal of Computer Information Systems</w:t>
      </w:r>
      <w:r w:rsidRPr="00082FE6">
        <w:rPr>
          <w:rFonts w:ascii="Times New Roman" w:hAnsi="Times New Roman" w:cs="Times New Roman"/>
          <w:sz w:val="24"/>
          <w:szCs w:val="24"/>
        </w:rPr>
        <w:t>, </w:t>
      </w:r>
      <w:r w:rsidRPr="00082FE6">
        <w:rPr>
          <w:rFonts w:ascii="Times New Roman" w:hAnsi="Times New Roman" w:cs="Times New Roman"/>
          <w:i/>
          <w:iCs/>
          <w:sz w:val="24"/>
          <w:szCs w:val="24"/>
        </w:rPr>
        <w:t>62</w:t>
      </w:r>
      <w:r w:rsidRPr="00082FE6">
        <w:rPr>
          <w:rFonts w:ascii="Times New Roman" w:hAnsi="Times New Roman" w:cs="Times New Roman"/>
          <w:sz w:val="24"/>
          <w:szCs w:val="24"/>
        </w:rPr>
        <w:t>(3), 622-631.</w:t>
      </w:r>
    </w:p>
    <w:sectPr w:rsidR="00082FE6" w:rsidRPr="00FC2FC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615" w:rsidRDefault="004D2615" w:rsidP="005D6A98">
      <w:pPr>
        <w:spacing w:after="0" w:line="240" w:lineRule="auto"/>
      </w:pPr>
      <w:r>
        <w:separator/>
      </w:r>
    </w:p>
  </w:endnote>
  <w:endnote w:type="continuationSeparator" w:id="0">
    <w:p w:rsidR="004D2615" w:rsidRDefault="004D2615" w:rsidP="005D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98" w:rsidRDefault="005D6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98" w:rsidRDefault="005D6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98" w:rsidRDefault="005D6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615" w:rsidRDefault="004D2615" w:rsidP="005D6A98">
      <w:pPr>
        <w:spacing w:after="0" w:line="240" w:lineRule="auto"/>
      </w:pPr>
      <w:r>
        <w:separator/>
      </w:r>
    </w:p>
  </w:footnote>
  <w:footnote w:type="continuationSeparator" w:id="0">
    <w:p w:rsidR="004D2615" w:rsidRDefault="004D2615" w:rsidP="005D6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98" w:rsidRDefault="005D6A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42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98" w:rsidRDefault="005D6A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42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98" w:rsidRDefault="005D6A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42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5075"/>
    <w:multiLevelType w:val="hybridMultilevel"/>
    <w:tmpl w:val="28BE83EA"/>
    <w:lvl w:ilvl="0" w:tplc="40090019">
      <w:start w:val="1"/>
      <w:numFmt w:val="lowerLetter"/>
      <w:lvlText w:val="%1."/>
      <w:lvlJc w:val="left"/>
      <w:pPr>
        <w:ind w:left="720" w:hanging="360"/>
      </w:pPr>
    </w:lvl>
    <w:lvl w:ilvl="1" w:tplc="5120A5C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C23275"/>
    <w:multiLevelType w:val="hybridMultilevel"/>
    <w:tmpl w:val="D278BB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0B19D1"/>
    <w:multiLevelType w:val="hybridMultilevel"/>
    <w:tmpl w:val="553E9C40"/>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EAB5EAB"/>
    <w:multiLevelType w:val="hybridMultilevel"/>
    <w:tmpl w:val="40A09CF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4A50AC"/>
    <w:multiLevelType w:val="hybridMultilevel"/>
    <w:tmpl w:val="561CF2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FF71C6"/>
    <w:multiLevelType w:val="hybridMultilevel"/>
    <w:tmpl w:val="37F2A198"/>
    <w:lvl w:ilvl="0" w:tplc="AB903446">
      <w:start w:val="1"/>
      <w:numFmt w:val="bullet"/>
      <w:lvlText w:val="•"/>
      <w:lvlJc w:val="left"/>
      <w:pPr>
        <w:tabs>
          <w:tab w:val="num" w:pos="720"/>
        </w:tabs>
        <w:ind w:left="720" w:hanging="360"/>
      </w:pPr>
      <w:rPr>
        <w:rFonts w:ascii="Times New Roman" w:hAnsi="Times New Roman" w:hint="default"/>
      </w:rPr>
    </w:lvl>
    <w:lvl w:ilvl="1" w:tplc="C5F830F4" w:tentative="1">
      <w:start w:val="1"/>
      <w:numFmt w:val="bullet"/>
      <w:lvlText w:val="•"/>
      <w:lvlJc w:val="left"/>
      <w:pPr>
        <w:tabs>
          <w:tab w:val="num" w:pos="1440"/>
        </w:tabs>
        <w:ind w:left="1440" w:hanging="360"/>
      </w:pPr>
      <w:rPr>
        <w:rFonts w:ascii="Times New Roman" w:hAnsi="Times New Roman" w:hint="default"/>
      </w:rPr>
    </w:lvl>
    <w:lvl w:ilvl="2" w:tplc="48F4305C" w:tentative="1">
      <w:start w:val="1"/>
      <w:numFmt w:val="bullet"/>
      <w:lvlText w:val="•"/>
      <w:lvlJc w:val="left"/>
      <w:pPr>
        <w:tabs>
          <w:tab w:val="num" w:pos="2160"/>
        </w:tabs>
        <w:ind w:left="2160" w:hanging="360"/>
      </w:pPr>
      <w:rPr>
        <w:rFonts w:ascii="Times New Roman" w:hAnsi="Times New Roman" w:hint="default"/>
      </w:rPr>
    </w:lvl>
    <w:lvl w:ilvl="3" w:tplc="B9ACA944" w:tentative="1">
      <w:start w:val="1"/>
      <w:numFmt w:val="bullet"/>
      <w:lvlText w:val="•"/>
      <w:lvlJc w:val="left"/>
      <w:pPr>
        <w:tabs>
          <w:tab w:val="num" w:pos="2880"/>
        </w:tabs>
        <w:ind w:left="2880" w:hanging="360"/>
      </w:pPr>
      <w:rPr>
        <w:rFonts w:ascii="Times New Roman" w:hAnsi="Times New Roman" w:hint="default"/>
      </w:rPr>
    </w:lvl>
    <w:lvl w:ilvl="4" w:tplc="3536C5E8" w:tentative="1">
      <w:start w:val="1"/>
      <w:numFmt w:val="bullet"/>
      <w:lvlText w:val="•"/>
      <w:lvlJc w:val="left"/>
      <w:pPr>
        <w:tabs>
          <w:tab w:val="num" w:pos="3600"/>
        </w:tabs>
        <w:ind w:left="3600" w:hanging="360"/>
      </w:pPr>
      <w:rPr>
        <w:rFonts w:ascii="Times New Roman" w:hAnsi="Times New Roman" w:hint="default"/>
      </w:rPr>
    </w:lvl>
    <w:lvl w:ilvl="5" w:tplc="CDEEC7A2" w:tentative="1">
      <w:start w:val="1"/>
      <w:numFmt w:val="bullet"/>
      <w:lvlText w:val="•"/>
      <w:lvlJc w:val="left"/>
      <w:pPr>
        <w:tabs>
          <w:tab w:val="num" w:pos="4320"/>
        </w:tabs>
        <w:ind w:left="4320" w:hanging="360"/>
      </w:pPr>
      <w:rPr>
        <w:rFonts w:ascii="Times New Roman" w:hAnsi="Times New Roman" w:hint="default"/>
      </w:rPr>
    </w:lvl>
    <w:lvl w:ilvl="6" w:tplc="39C4975E" w:tentative="1">
      <w:start w:val="1"/>
      <w:numFmt w:val="bullet"/>
      <w:lvlText w:val="•"/>
      <w:lvlJc w:val="left"/>
      <w:pPr>
        <w:tabs>
          <w:tab w:val="num" w:pos="5040"/>
        </w:tabs>
        <w:ind w:left="5040" w:hanging="360"/>
      </w:pPr>
      <w:rPr>
        <w:rFonts w:ascii="Times New Roman" w:hAnsi="Times New Roman" w:hint="default"/>
      </w:rPr>
    </w:lvl>
    <w:lvl w:ilvl="7" w:tplc="5D4C83A2" w:tentative="1">
      <w:start w:val="1"/>
      <w:numFmt w:val="bullet"/>
      <w:lvlText w:val="•"/>
      <w:lvlJc w:val="left"/>
      <w:pPr>
        <w:tabs>
          <w:tab w:val="num" w:pos="5760"/>
        </w:tabs>
        <w:ind w:left="5760" w:hanging="360"/>
      </w:pPr>
      <w:rPr>
        <w:rFonts w:ascii="Times New Roman" w:hAnsi="Times New Roman" w:hint="default"/>
      </w:rPr>
    </w:lvl>
    <w:lvl w:ilvl="8" w:tplc="7892FC3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23203C"/>
    <w:multiLevelType w:val="hybridMultilevel"/>
    <w:tmpl w:val="3FB6B8F8"/>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AA35A72"/>
    <w:multiLevelType w:val="hybridMultilevel"/>
    <w:tmpl w:val="2D989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16243"/>
    <w:multiLevelType w:val="hybridMultilevel"/>
    <w:tmpl w:val="A8DCA9FC"/>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1B449A8"/>
    <w:multiLevelType w:val="hybridMultilevel"/>
    <w:tmpl w:val="D6C6278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462325A"/>
    <w:multiLevelType w:val="hybridMultilevel"/>
    <w:tmpl w:val="6624D0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2B74D3"/>
    <w:multiLevelType w:val="hybridMultilevel"/>
    <w:tmpl w:val="C21C232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BE54614"/>
    <w:multiLevelType w:val="hybridMultilevel"/>
    <w:tmpl w:val="8196FF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D0C7C65"/>
    <w:multiLevelType w:val="hybridMultilevel"/>
    <w:tmpl w:val="0B946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DA6A50"/>
    <w:multiLevelType w:val="hybridMultilevel"/>
    <w:tmpl w:val="8CDA1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EB6575B"/>
    <w:multiLevelType w:val="hybridMultilevel"/>
    <w:tmpl w:val="5378A4FC"/>
    <w:lvl w:ilvl="0" w:tplc="CDFCCE6A">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B884AC3"/>
    <w:multiLevelType w:val="hybridMultilevel"/>
    <w:tmpl w:val="B560A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BA34462"/>
    <w:multiLevelType w:val="hybridMultilevel"/>
    <w:tmpl w:val="4B184914"/>
    <w:lvl w:ilvl="0" w:tplc="FA2E5682">
      <w:start w:val="1"/>
      <w:numFmt w:val="decimal"/>
      <w:lvlText w:val="%1."/>
      <w:lvlJc w:val="left"/>
      <w:pPr>
        <w:ind w:left="360" w:hanging="360"/>
      </w:pPr>
      <w:rPr>
        <w:rFonts w:hint="default"/>
        <w:b/>
      </w:rPr>
    </w:lvl>
    <w:lvl w:ilvl="1" w:tplc="FFEA6830">
      <w:numFmt w:val="bullet"/>
      <w:lvlText w:val="•"/>
      <w:lvlJc w:val="left"/>
      <w:pPr>
        <w:ind w:left="1080" w:hanging="360"/>
      </w:pPr>
      <w:rPr>
        <w:rFonts w:ascii="Times New Roman" w:eastAsia="Times New Roman" w:hAnsi="Times New Roman" w:cs="Times New Roman"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5EBB668B"/>
    <w:multiLevelType w:val="hybridMultilevel"/>
    <w:tmpl w:val="700855B2"/>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3905E52"/>
    <w:multiLevelType w:val="hybridMultilevel"/>
    <w:tmpl w:val="555299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7311788"/>
    <w:multiLevelType w:val="hybridMultilevel"/>
    <w:tmpl w:val="26E0DA5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7F03227"/>
    <w:multiLevelType w:val="hybridMultilevel"/>
    <w:tmpl w:val="58AAFC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7FE5079"/>
    <w:multiLevelType w:val="hybridMultilevel"/>
    <w:tmpl w:val="8D325620"/>
    <w:lvl w:ilvl="0" w:tplc="68FE4ED6">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6E8956BE"/>
    <w:multiLevelType w:val="hybridMultilevel"/>
    <w:tmpl w:val="F8DEFA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E906617"/>
    <w:multiLevelType w:val="hybridMultilevel"/>
    <w:tmpl w:val="A4D287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3A7F81"/>
    <w:multiLevelType w:val="hybridMultilevel"/>
    <w:tmpl w:val="9530BB4A"/>
    <w:lvl w:ilvl="0" w:tplc="952658CC">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5F33190"/>
    <w:multiLevelType w:val="hybridMultilevel"/>
    <w:tmpl w:val="56D4827E"/>
    <w:lvl w:ilvl="0" w:tplc="40090011">
      <w:start w:val="1"/>
      <w:numFmt w:val="decimal"/>
      <w:lvlText w:val="%1)"/>
      <w:lvlJc w:val="left"/>
      <w:pPr>
        <w:ind w:left="360" w:hanging="360"/>
      </w:pPr>
    </w:lvl>
    <w:lvl w:ilvl="1" w:tplc="55EE0408">
      <w:start w:val="3"/>
      <w:numFmt w:val="bullet"/>
      <w:lvlText w:val="-"/>
      <w:lvlJc w:val="left"/>
      <w:pPr>
        <w:ind w:left="1080" w:hanging="360"/>
      </w:pPr>
      <w:rPr>
        <w:rFonts w:ascii="Times New Roman" w:eastAsiaTheme="minorHAnsi" w:hAnsi="Times New Roman" w:cs="Times New Roman"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68F0E73"/>
    <w:multiLevelType w:val="hybridMultilevel"/>
    <w:tmpl w:val="E7AE7F6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654A7B"/>
    <w:multiLevelType w:val="hybridMultilevel"/>
    <w:tmpl w:val="2CA644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CD540FB"/>
    <w:multiLevelType w:val="hybridMultilevel"/>
    <w:tmpl w:val="34A63EE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28"/>
  </w:num>
  <w:num w:numId="3">
    <w:abstractNumId w:val="1"/>
  </w:num>
  <w:num w:numId="4">
    <w:abstractNumId w:val="3"/>
  </w:num>
  <w:num w:numId="5">
    <w:abstractNumId w:val="15"/>
  </w:num>
  <w:num w:numId="6">
    <w:abstractNumId w:val="18"/>
  </w:num>
  <w:num w:numId="7">
    <w:abstractNumId w:val="12"/>
  </w:num>
  <w:num w:numId="8">
    <w:abstractNumId w:val="8"/>
  </w:num>
  <w:num w:numId="9">
    <w:abstractNumId w:val="11"/>
  </w:num>
  <w:num w:numId="10">
    <w:abstractNumId w:val="6"/>
  </w:num>
  <w:num w:numId="11">
    <w:abstractNumId w:val="22"/>
  </w:num>
  <w:num w:numId="12">
    <w:abstractNumId w:val="25"/>
  </w:num>
  <w:num w:numId="13">
    <w:abstractNumId w:val="0"/>
  </w:num>
  <w:num w:numId="14">
    <w:abstractNumId w:val="9"/>
  </w:num>
  <w:num w:numId="15">
    <w:abstractNumId w:val="4"/>
  </w:num>
  <w:num w:numId="16">
    <w:abstractNumId w:val="19"/>
  </w:num>
  <w:num w:numId="17">
    <w:abstractNumId w:val="10"/>
  </w:num>
  <w:num w:numId="18">
    <w:abstractNumId w:val="20"/>
  </w:num>
  <w:num w:numId="19">
    <w:abstractNumId w:val="13"/>
  </w:num>
  <w:num w:numId="20">
    <w:abstractNumId w:val="14"/>
  </w:num>
  <w:num w:numId="21">
    <w:abstractNumId w:val="29"/>
  </w:num>
  <w:num w:numId="22">
    <w:abstractNumId w:val="26"/>
  </w:num>
  <w:num w:numId="23">
    <w:abstractNumId w:val="21"/>
  </w:num>
  <w:num w:numId="24">
    <w:abstractNumId w:val="16"/>
  </w:num>
  <w:num w:numId="25">
    <w:abstractNumId w:val="2"/>
  </w:num>
  <w:num w:numId="26">
    <w:abstractNumId w:val="23"/>
  </w:num>
  <w:num w:numId="27">
    <w:abstractNumId w:val="24"/>
  </w:num>
  <w:num w:numId="28">
    <w:abstractNumId w:val="5"/>
  </w:num>
  <w:num w:numId="29">
    <w:abstractNumId w:val="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3MDU2MDSwMDQ3NjNQ0lEKTi0uzszPAykwqwUA9EsqKywAAAA="/>
  </w:docVars>
  <w:rsids>
    <w:rsidRoot w:val="0030467D"/>
    <w:rsid w:val="00013CDE"/>
    <w:rsid w:val="00082FE6"/>
    <w:rsid w:val="000A37DF"/>
    <w:rsid w:val="000B055C"/>
    <w:rsid w:val="000E5E33"/>
    <w:rsid w:val="00112988"/>
    <w:rsid w:val="00152E5F"/>
    <w:rsid w:val="00176B99"/>
    <w:rsid w:val="00182A07"/>
    <w:rsid w:val="00183BE5"/>
    <w:rsid w:val="00185F30"/>
    <w:rsid w:val="00202F75"/>
    <w:rsid w:val="0022144C"/>
    <w:rsid w:val="00241BBB"/>
    <w:rsid w:val="002501B9"/>
    <w:rsid w:val="0029375C"/>
    <w:rsid w:val="002A243F"/>
    <w:rsid w:val="002A47CA"/>
    <w:rsid w:val="0030467D"/>
    <w:rsid w:val="00312AFB"/>
    <w:rsid w:val="003A6A35"/>
    <w:rsid w:val="003D3E86"/>
    <w:rsid w:val="003E64F2"/>
    <w:rsid w:val="00461666"/>
    <w:rsid w:val="004D2573"/>
    <w:rsid w:val="004D2615"/>
    <w:rsid w:val="004D5657"/>
    <w:rsid w:val="0055706F"/>
    <w:rsid w:val="005D6A98"/>
    <w:rsid w:val="006152A3"/>
    <w:rsid w:val="006A2A9A"/>
    <w:rsid w:val="006B0A91"/>
    <w:rsid w:val="006F1083"/>
    <w:rsid w:val="00751F64"/>
    <w:rsid w:val="007D3AB9"/>
    <w:rsid w:val="007D43EA"/>
    <w:rsid w:val="007F5B99"/>
    <w:rsid w:val="00835B5C"/>
    <w:rsid w:val="008A434D"/>
    <w:rsid w:val="008D188C"/>
    <w:rsid w:val="0090565C"/>
    <w:rsid w:val="00955655"/>
    <w:rsid w:val="009732EC"/>
    <w:rsid w:val="00991C69"/>
    <w:rsid w:val="00A50F9F"/>
    <w:rsid w:val="00AC0995"/>
    <w:rsid w:val="00B111F3"/>
    <w:rsid w:val="00B15DAD"/>
    <w:rsid w:val="00B53883"/>
    <w:rsid w:val="00B713C9"/>
    <w:rsid w:val="00B959C0"/>
    <w:rsid w:val="00C86607"/>
    <w:rsid w:val="00CC4AB9"/>
    <w:rsid w:val="00CF28D7"/>
    <w:rsid w:val="00CF6459"/>
    <w:rsid w:val="00D75DD0"/>
    <w:rsid w:val="00D91A11"/>
    <w:rsid w:val="00E350C2"/>
    <w:rsid w:val="00E73655"/>
    <w:rsid w:val="00E93295"/>
    <w:rsid w:val="00EC4D70"/>
    <w:rsid w:val="00EF4482"/>
    <w:rsid w:val="00F12DE9"/>
    <w:rsid w:val="00F65C7F"/>
    <w:rsid w:val="00FB0272"/>
    <w:rsid w:val="00FC2F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07CF9B03"/>
  <w15:docId w15:val="{65E5B9B2-B52B-4A68-B4EA-47D69BC5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67D"/>
  </w:style>
  <w:style w:type="paragraph" w:styleId="Heading1">
    <w:name w:val="heading 1"/>
    <w:basedOn w:val="Normal"/>
    <w:next w:val="Normal"/>
    <w:link w:val="Heading1Char"/>
    <w:uiPriority w:val="9"/>
    <w:qFormat/>
    <w:rsid w:val="00C86607"/>
    <w:pPr>
      <w:keepNext/>
      <w:spacing w:after="240" w:line="240" w:lineRule="auto"/>
      <w:outlineLvl w:val="0"/>
    </w:pPr>
    <w:rPr>
      <w:rFonts w:ascii="Times New Roman" w:eastAsia="Times New Roman" w:hAnsi="Times New Roman" w:cs="Times New Roman"/>
      <w:b/>
      <w:sz w:val="24"/>
      <w:szCs w:val="24"/>
      <w:lang w:eastAsia="en-IN"/>
    </w:rPr>
  </w:style>
  <w:style w:type="paragraph" w:styleId="Heading2">
    <w:name w:val="heading 2"/>
    <w:basedOn w:val="Normal"/>
    <w:next w:val="Normal"/>
    <w:link w:val="Heading2Char"/>
    <w:uiPriority w:val="9"/>
    <w:unhideWhenUsed/>
    <w:qFormat/>
    <w:rsid w:val="00F65C7F"/>
    <w:pPr>
      <w:keepNext/>
      <w:spacing w:before="120" w:after="0" w:line="36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607"/>
    <w:rPr>
      <w:rFonts w:ascii="Times New Roman" w:eastAsia="Times New Roman" w:hAnsi="Times New Roman" w:cs="Times New Roman"/>
      <w:b/>
      <w:sz w:val="24"/>
      <w:szCs w:val="24"/>
      <w:lang w:eastAsia="en-IN"/>
    </w:rPr>
  </w:style>
  <w:style w:type="paragraph" w:styleId="BodyText">
    <w:name w:val="Body Text"/>
    <w:basedOn w:val="Normal"/>
    <w:link w:val="BodyTextChar"/>
    <w:uiPriority w:val="99"/>
    <w:unhideWhenUsed/>
    <w:rsid w:val="00C86607"/>
    <w:pPr>
      <w:spacing w:after="240" w:line="240" w:lineRule="auto"/>
      <w:jc w:val="both"/>
    </w:pPr>
    <w:rPr>
      <w:rFonts w:ascii="Times New Roman" w:eastAsia="Times New Roman" w:hAnsi="Times New Roman" w:cs="Times New Roman"/>
      <w:sz w:val="24"/>
      <w:szCs w:val="24"/>
      <w:lang w:eastAsia="en-IN"/>
    </w:rPr>
  </w:style>
  <w:style w:type="character" w:customStyle="1" w:styleId="BodyTextChar">
    <w:name w:val="Body Text Char"/>
    <w:basedOn w:val="DefaultParagraphFont"/>
    <w:link w:val="BodyText"/>
    <w:uiPriority w:val="99"/>
    <w:rsid w:val="00C86607"/>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86607"/>
    <w:pPr>
      <w:ind w:left="720"/>
      <w:contextualSpacing/>
    </w:pPr>
  </w:style>
  <w:style w:type="paragraph" w:styleId="BodyText2">
    <w:name w:val="Body Text 2"/>
    <w:basedOn w:val="Normal"/>
    <w:link w:val="BodyText2Char"/>
    <w:uiPriority w:val="99"/>
    <w:unhideWhenUsed/>
    <w:rsid w:val="00751F64"/>
    <w:pPr>
      <w:spacing w:after="0" w:line="240" w:lineRule="auto"/>
    </w:pPr>
    <w:rPr>
      <w:rFonts w:ascii="Times New Roman" w:eastAsia="Times New Roman" w:hAnsi="Times New Roman" w:cs="Times New Roman"/>
      <w:sz w:val="24"/>
      <w:szCs w:val="24"/>
      <w:lang w:eastAsia="en-IN"/>
    </w:rPr>
  </w:style>
  <w:style w:type="character" w:customStyle="1" w:styleId="BodyText2Char">
    <w:name w:val="Body Text 2 Char"/>
    <w:basedOn w:val="DefaultParagraphFont"/>
    <w:link w:val="BodyText2"/>
    <w:uiPriority w:val="99"/>
    <w:rsid w:val="00751F64"/>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F65C7F"/>
    <w:rPr>
      <w:rFonts w:ascii="Times New Roman" w:hAnsi="Times New Roman" w:cs="Times New Roman"/>
      <w:b/>
      <w:sz w:val="24"/>
      <w:szCs w:val="24"/>
    </w:rPr>
  </w:style>
  <w:style w:type="paragraph" w:styleId="BodyTextIndent">
    <w:name w:val="Body Text Indent"/>
    <w:basedOn w:val="Normal"/>
    <w:link w:val="BodyTextIndentChar"/>
    <w:uiPriority w:val="99"/>
    <w:semiHidden/>
    <w:unhideWhenUsed/>
    <w:rsid w:val="00FC2FCC"/>
    <w:pPr>
      <w:spacing w:after="120"/>
      <w:ind w:left="283"/>
    </w:pPr>
  </w:style>
  <w:style w:type="character" w:customStyle="1" w:styleId="BodyTextIndentChar">
    <w:name w:val="Body Text Indent Char"/>
    <w:basedOn w:val="DefaultParagraphFont"/>
    <w:link w:val="BodyTextIndent"/>
    <w:uiPriority w:val="99"/>
    <w:semiHidden/>
    <w:rsid w:val="00FC2FCC"/>
  </w:style>
  <w:style w:type="character" w:styleId="Hyperlink">
    <w:name w:val="Hyperlink"/>
    <w:basedOn w:val="DefaultParagraphFont"/>
    <w:uiPriority w:val="99"/>
    <w:unhideWhenUsed/>
    <w:rsid w:val="00CF28D7"/>
    <w:rPr>
      <w:color w:val="0000FF" w:themeColor="hyperlink"/>
      <w:u w:val="single"/>
    </w:rPr>
  </w:style>
  <w:style w:type="character" w:customStyle="1" w:styleId="UnresolvedMention1">
    <w:name w:val="Unresolved Mention1"/>
    <w:basedOn w:val="DefaultParagraphFont"/>
    <w:uiPriority w:val="99"/>
    <w:semiHidden/>
    <w:unhideWhenUsed/>
    <w:rsid w:val="00CF28D7"/>
    <w:rPr>
      <w:color w:val="605E5C"/>
      <w:shd w:val="clear" w:color="auto" w:fill="E1DFDD"/>
    </w:rPr>
  </w:style>
  <w:style w:type="paragraph" w:styleId="Header">
    <w:name w:val="header"/>
    <w:basedOn w:val="Normal"/>
    <w:link w:val="HeaderChar"/>
    <w:uiPriority w:val="99"/>
    <w:unhideWhenUsed/>
    <w:rsid w:val="005D6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A98"/>
  </w:style>
  <w:style w:type="paragraph" w:styleId="Footer">
    <w:name w:val="footer"/>
    <w:basedOn w:val="Normal"/>
    <w:link w:val="FooterChar"/>
    <w:uiPriority w:val="99"/>
    <w:unhideWhenUsed/>
    <w:rsid w:val="005D6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7968">
      <w:bodyDiv w:val="1"/>
      <w:marLeft w:val="0"/>
      <w:marRight w:val="0"/>
      <w:marTop w:val="0"/>
      <w:marBottom w:val="0"/>
      <w:divBdr>
        <w:top w:val="none" w:sz="0" w:space="0" w:color="auto"/>
        <w:left w:val="none" w:sz="0" w:space="0" w:color="auto"/>
        <w:bottom w:val="none" w:sz="0" w:space="0" w:color="auto"/>
        <w:right w:val="none" w:sz="0" w:space="0" w:color="auto"/>
      </w:divBdr>
    </w:div>
    <w:div w:id="166291801">
      <w:bodyDiv w:val="1"/>
      <w:marLeft w:val="0"/>
      <w:marRight w:val="0"/>
      <w:marTop w:val="0"/>
      <w:marBottom w:val="0"/>
      <w:divBdr>
        <w:top w:val="none" w:sz="0" w:space="0" w:color="auto"/>
        <w:left w:val="none" w:sz="0" w:space="0" w:color="auto"/>
        <w:bottom w:val="none" w:sz="0" w:space="0" w:color="auto"/>
        <w:right w:val="none" w:sz="0" w:space="0" w:color="auto"/>
      </w:divBdr>
    </w:div>
    <w:div w:id="199972792">
      <w:bodyDiv w:val="1"/>
      <w:marLeft w:val="0"/>
      <w:marRight w:val="0"/>
      <w:marTop w:val="0"/>
      <w:marBottom w:val="0"/>
      <w:divBdr>
        <w:top w:val="none" w:sz="0" w:space="0" w:color="auto"/>
        <w:left w:val="none" w:sz="0" w:space="0" w:color="auto"/>
        <w:bottom w:val="none" w:sz="0" w:space="0" w:color="auto"/>
        <w:right w:val="none" w:sz="0" w:space="0" w:color="auto"/>
      </w:divBdr>
    </w:div>
    <w:div w:id="337925252">
      <w:bodyDiv w:val="1"/>
      <w:marLeft w:val="0"/>
      <w:marRight w:val="0"/>
      <w:marTop w:val="0"/>
      <w:marBottom w:val="0"/>
      <w:divBdr>
        <w:top w:val="none" w:sz="0" w:space="0" w:color="auto"/>
        <w:left w:val="none" w:sz="0" w:space="0" w:color="auto"/>
        <w:bottom w:val="none" w:sz="0" w:space="0" w:color="auto"/>
        <w:right w:val="none" w:sz="0" w:space="0" w:color="auto"/>
      </w:divBdr>
    </w:div>
    <w:div w:id="345520772">
      <w:bodyDiv w:val="1"/>
      <w:marLeft w:val="0"/>
      <w:marRight w:val="0"/>
      <w:marTop w:val="0"/>
      <w:marBottom w:val="0"/>
      <w:divBdr>
        <w:top w:val="none" w:sz="0" w:space="0" w:color="auto"/>
        <w:left w:val="none" w:sz="0" w:space="0" w:color="auto"/>
        <w:bottom w:val="none" w:sz="0" w:space="0" w:color="auto"/>
        <w:right w:val="none" w:sz="0" w:space="0" w:color="auto"/>
      </w:divBdr>
      <w:divsChild>
        <w:div w:id="1661470641">
          <w:marLeft w:val="547"/>
          <w:marRight w:val="0"/>
          <w:marTop w:val="0"/>
          <w:marBottom w:val="0"/>
          <w:divBdr>
            <w:top w:val="none" w:sz="0" w:space="0" w:color="auto"/>
            <w:left w:val="none" w:sz="0" w:space="0" w:color="auto"/>
            <w:bottom w:val="none" w:sz="0" w:space="0" w:color="auto"/>
            <w:right w:val="none" w:sz="0" w:space="0" w:color="auto"/>
          </w:divBdr>
        </w:div>
      </w:divsChild>
    </w:div>
    <w:div w:id="404373687">
      <w:bodyDiv w:val="1"/>
      <w:marLeft w:val="0"/>
      <w:marRight w:val="0"/>
      <w:marTop w:val="0"/>
      <w:marBottom w:val="0"/>
      <w:divBdr>
        <w:top w:val="none" w:sz="0" w:space="0" w:color="auto"/>
        <w:left w:val="none" w:sz="0" w:space="0" w:color="auto"/>
        <w:bottom w:val="none" w:sz="0" w:space="0" w:color="auto"/>
        <w:right w:val="none" w:sz="0" w:space="0" w:color="auto"/>
      </w:divBdr>
    </w:div>
    <w:div w:id="555045487">
      <w:bodyDiv w:val="1"/>
      <w:marLeft w:val="0"/>
      <w:marRight w:val="0"/>
      <w:marTop w:val="0"/>
      <w:marBottom w:val="0"/>
      <w:divBdr>
        <w:top w:val="none" w:sz="0" w:space="0" w:color="auto"/>
        <w:left w:val="none" w:sz="0" w:space="0" w:color="auto"/>
        <w:bottom w:val="none" w:sz="0" w:space="0" w:color="auto"/>
        <w:right w:val="none" w:sz="0" w:space="0" w:color="auto"/>
      </w:divBdr>
    </w:div>
    <w:div w:id="974026504">
      <w:bodyDiv w:val="1"/>
      <w:marLeft w:val="0"/>
      <w:marRight w:val="0"/>
      <w:marTop w:val="0"/>
      <w:marBottom w:val="0"/>
      <w:divBdr>
        <w:top w:val="none" w:sz="0" w:space="0" w:color="auto"/>
        <w:left w:val="none" w:sz="0" w:space="0" w:color="auto"/>
        <w:bottom w:val="none" w:sz="0" w:space="0" w:color="auto"/>
        <w:right w:val="none" w:sz="0" w:space="0" w:color="auto"/>
      </w:divBdr>
    </w:div>
    <w:div w:id="1168059034">
      <w:bodyDiv w:val="1"/>
      <w:marLeft w:val="0"/>
      <w:marRight w:val="0"/>
      <w:marTop w:val="0"/>
      <w:marBottom w:val="0"/>
      <w:divBdr>
        <w:top w:val="none" w:sz="0" w:space="0" w:color="auto"/>
        <w:left w:val="none" w:sz="0" w:space="0" w:color="auto"/>
        <w:bottom w:val="none" w:sz="0" w:space="0" w:color="auto"/>
        <w:right w:val="none" w:sz="0" w:space="0" w:color="auto"/>
      </w:divBdr>
    </w:div>
    <w:div w:id="1254512225">
      <w:bodyDiv w:val="1"/>
      <w:marLeft w:val="0"/>
      <w:marRight w:val="0"/>
      <w:marTop w:val="0"/>
      <w:marBottom w:val="0"/>
      <w:divBdr>
        <w:top w:val="none" w:sz="0" w:space="0" w:color="auto"/>
        <w:left w:val="none" w:sz="0" w:space="0" w:color="auto"/>
        <w:bottom w:val="none" w:sz="0" w:space="0" w:color="auto"/>
        <w:right w:val="none" w:sz="0" w:space="0" w:color="auto"/>
      </w:divBdr>
    </w:div>
    <w:div w:id="1272929807">
      <w:bodyDiv w:val="1"/>
      <w:marLeft w:val="0"/>
      <w:marRight w:val="0"/>
      <w:marTop w:val="0"/>
      <w:marBottom w:val="0"/>
      <w:divBdr>
        <w:top w:val="none" w:sz="0" w:space="0" w:color="auto"/>
        <w:left w:val="none" w:sz="0" w:space="0" w:color="auto"/>
        <w:bottom w:val="none" w:sz="0" w:space="0" w:color="auto"/>
        <w:right w:val="none" w:sz="0" w:space="0" w:color="auto"/>
      </w:divBdr>
    </w:div>
    <w:div w:id="1558852977">
      <w:bodyDiv w:val="1"/>
      <w:marLeft w:val="0"/>
      <w:marRight w:val="0"/>
      <w:marTop w:val="0"/>
      <w:marBottom w:val="0"/>
      <w:divBdr>
        <w:top w:val="none" w:sz="0" w:space="0" w:color="auto"/>
        <w:left w:val="none" w:sz="0" w:space="0" w:color="auto"/>
        <w:bottom w:val="none" w:sz="0" w:space="0" w:color="auto"/>
        <w:right w:val="none" w:sz="0" w:space="0" w:color="auto"/>
      </w:divBdr>
    </w:div>
    <w:div w:id="1563062645">
      <w:bodyDiv w:val="1"/>
      <w:marLeft w:val="0"/>
      <w:marRight w:val="0"/>
      <w:marTop w:val="0"/>
      <w:marBottom w:val="0"/>
      <w:divBdr>
        <w:top w:val="none" w:sz="0" w:space="0" w:color="auto"/>
        <w:left w:val="none" w:sz="0" w:space="0" w:color="auto"/>
        <w:bottom w:val="none" w:sz="0" w:space="0" w:color="auto"/>
        <w:right w:val="none" w:sz="0" w:space="0" w:color="auto"/>
      </w:divBdr>
    </w:div>
    <w:div w:id="1635286151">
      <w:bodyDiv w:val="1"/>
      <w:marLeft w:val="0"/>
      <w:marRight w:val="0"/>
      <w:marTop w:val="0"/>
      <w:marBottom w:val="0"/>
      <w:divBdr>
        <w:top w:val="none" w:sz="0" w:space="0" w:color="auto"/>
        <w:left w:val="none" w:sz="0" w:space="0" w:color="auto"/>
        <w:bottom w:val="none" w:sz="0" w:space="0" w:color="auto"/>
        <w:right w:val="none" w:sz="0" w:space="0" w:color="auto"/>
      </w:divBdr>
    </w:div>
    <w:div w:id="2088380698">
      <w:bodyDiv w:val="1"/>
      <w:marLeft w:val="0"/>
      <w:marRight w:val="0"/>
      <w:marTop w:val="0"/>
      <w:marBottom w:val="0"/>
      <w:divBdr>
        <w:top w:val="none" w:sz="0" w:space="0" w:color="auto"/>
        <w:left w:val="none" w:sz="0" w:space="0" w:color="auto"/>
        <w:bottom w:val="none" w:sz="0" w:space="0" w:color="auto"/>
        <w:right w:val="none" w:sz="0" w:space="0" w:color="auto"/>
      </w:divBdr>
    </w:div>
    <w:div w:id="20949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83EAB2-C208-44FE-947A-DF90BF3771EB}" type="doc">
      <dgm:prSet loTypeId="urn:microsoft.com/office/officeart/2005/8/layout/orgChart1" loCatId="hierarchy" qsTypeId="urn:microsoft.com/office/officeart/2005/8/quickstyle/simple3" qsCatId="simple" csTypeId="urn:microsoft.com/office/officeart/2005/8/colors/accent2_1" csCatId="accent2" phldr="1"/>
      <dgm:spPr/>
      <dgm:t>
        <a:bodyPr/>
        <a:lstStyle/>
        <a:p>
          <a:endParaRPr lang="en-US"/>
        </a:p>
      </dgm:t>
    </dgm:pt>
    <dgm:pt modelId="{A9870C76-716E-43A7-AA40-5C21F6E91599}">
      <dgm:prSet phldrT="[Text]" custT="1"/>
      <dgm:spPr/>
      <dgm:t>
        <a:bodyPr/>
        <a:lstStyle/>
        <a:p>
          <a:r>
            <a:rPr lang="en-US" sz="1200" b="1">
              <a:latin typeface="Times New Roman" panose="02020603050405020304" pitchFamily="18" charset="0"/>
              <a:cs typeface="Times New Roman" panose="02020603050405020304" pitchFamily="18" charset="0"/>
            </a:rPr>
            <a:t>Efficient Market Hypothesis</a:t>
          </a:r>
        </a:p>
      </dgm:t>
    </dgm:pt>
    <dgm:pt modelId="{9DD82B8F-3E3F-44F6-AD8E-5B05EF29A8D9}" type="parTrans" cxnId="{AA872BDE-4C8F-4E33-A453-7779192C9B10}">
      <dgm:prSet/>
      <dgm:spPr/>
      <dgm:t>
        <a:bodyPr/>
        <a:lstStyle/>
        <a:p>
          <a:endParaRPr lang="en-US"/>
        </a:p>
      </dgm:t>
    </dgm:pt>
    <dgm:pt modelId="{CA4A656A-2F95-47D8-853F-DE5DC52FA559}" type="sibTrans" cxnId="{AA872BDE-4C8F-4E33-A453-7779192C9B10}">
      <dgm:prSet/>
      <dgm:spPr/>
      <dgm:t>
        <a:bodyPr/>
        <a:lstStyle/>
        <a:p>
          <a:endParaRPr lang="en-US"/>
        </a:p>
      </dgm:t>
    </dgm:pt>
    <dgm:pt modelId="{BB299CA4-C15A-4724-A6ED-BF31C0F92BF2}">
      <dgm:prSet phldrT="[Text]" custT="1"/>
      <dgm:spPr/>
      <dgm:t>
        <a:bodyPr/>
        <a:lstStyle/>
        <a:p>
          <a:r>
            <a:rPr lang="en-IN" sz="1200" b="1">
              <a:latin typeface="Times New Roman" panose="02020603050405020304" pitchFamily="18" charset="0"/>
              <a:cs typeface="Times New Roman" panose="02020603050405020304" pitchFamily="18" charset="0"/>
            </a:rPr>
            <a:t>Weak Form Efficiency</a:t>
          </a:r>
          <a:endParaRPr lang="en-US" sz="1200">
            <a:latin typeface="Times New Roman" panose="02020603050405020304" pitchFamily="18" charset="0"/>
            <a:cs typeface="Times New Roman" panose="02020603050405020304" pitchFamily="18" charset="0"/>
          </a:endParaRPr>
        </a:p>
      </dgm:t>
    </dgm:pt>
    <dgm:pt modelId="{FBFEACE2-45E9-41EF-A20C-E5ACB13E888F}" type="parTrans" cxnId="{893C4732-622A-4F2E-BFB0-3CFB67A7F5CE}">
      <dgm:prSet/>
      <dgm:spPr/>
      <dgm:t>
        <a:bodyPr/>
        <a:lstStyle/>
        <a:p>
          <a:endParaRPr lang="en-US" sz="1400">
            <a:latin typeface="Times New Roman" panose="02020603050405020304" pitchFamily="18" charset="0"/>
            <a:cs typeface="Times New Roman" panose="02020603050405020304" pitchFamily="18" charset="0"/>
          </a:endParaRPr>
        </a:p>
      </dgm:t>
    </dgm:pt>
    <dgm:pt modelId="{9290B7BF-7793-46F3-B468-360326DEE345}" type="sibTrans" cxnId="{893C4732-622A-4F2E-BFB0-3CFB67A7F5CE}">
      <dgm:prSet/>
      <dgm:spPr/>
      <dgm:t>
        <a:bodyPr/>
        <a:lstStyle/>
        <a:p>
          <a:endParaRPr lang="en-US"/>
        </a:p>
      </dgm:t>
    </dgm:pt>
    <dgm:pt modelId="{0EEF1C23-19A9-4DCE-B031-B17224B9196A}">
      <dgm:prSet phldrT="[Text]" custT="1"/>
      <dgm:spPr/>
      <dgm:t>
        <a:bodyPr/>
        <a:lstStyle/>
        <a:p>
          <a:r>
            <a:rPr lang="en-IN" sz="1200" b="1">
              <a:latin typeface="Times New Roman" panose="02020603050405020304" pitchFamily="18" charset="0"/>
              <a:cs typeface="Times New Roman" panose="02020603050405020304" pitchFamily="18" charset="0"/>
            </a:rPr>
            <a:t>Semi-Strong form Efficiency</a:t>
          </a:r>
          <a:endParaRPr lang="en-US" sz="1200" b="1">
            <a:latin typeface="Times New Roman" panose="02020603050405020304" pitchFamily="18" charset="0"/>
            <a:cs typeface="Times New Roman" panose="02020603050405020304" pitchFamily="18" charset="0"/>
          </a:endParaRPr>
        </a:p>
      </dgm:t>
    </dgm:pt>
    <dgm:pt modelId="{B9630154-4E29-46CC-87A6-A57A0B1E914A}" type="parTrans" cxnId="{942C94D3-F3C4-41E4-A289-7DB6C1BC8BC2}">
      <dgm:prSet/>
      <dgm:spPr/>
      <dgm:t>
        <a:bodyPr/>
        <a:lstStyle/>
        <a:p>
          <a:endParaRPr lang="en-US" sz="1400">
            <a:latin typeface="Times New Roman" panose="02020603050405020304" pitchFamily="18" charset="0"/>
            <a:cs typeface="Times New Roman" panose="02020603050405020304" pitchFamily="18" charset="0"/>
          </a:endParaRPr>
        </a:p>
      </dgm:t>
    </dgm:pt>
    <dgm:pt modelId="{7CC85D0B-A0C7-4EC3-9856-E49C641B208F}" type="sibTrans" cxnId="{942C94D3-F3C4-41E4-A289-7DB6C1BC8BC2}">
      <dgm:prSet/>
      <dgm:spPr/>
      <dgm:t>
        <a:bodyPr/>
        <a:lstStyle/>
        <a:p>
          <a:endParaRPr lang="en-US"/>
        </a:p>
      </dgm:t>
    </dgm:pt>
    <dgm:pt modelId="{3560BF1C-D22C-4E1A-8ECC-85E18F49CDD4}">
      <dgm:prSet phldrT="[Text]" custT="1"/>
      <dgm:spPr/>
      <dgm:t>
        <a:bodyPr/>
        <a:lstStyle/>
        <a:p>
          <a:r>
            <a:rPr lang="en-IN" sz="1200" b="1">
              <a:latin typeface="Times New Roman" panose="02020603050405020304" pitchFamily="18" charset="0"/>
              <a:cs typeface="Times New Roman" panose="02020603050405020304" pitchFamily="18" charset="0"/>
            </a:rPr>
            <a:t>Strong Form Efficiency</a:t>
          </a:r>
          <a:endParaRPr lang="en-US" sz="1200" b="1">
            <a:latin typeface="Times New Roman" panose="02020603050405020304" pitchFamily="18" charset="0"/>
            <a:cs typeface="Times New Roman" panose="02020603050405020304" pitchFamily="18" charset="0"/>
          </a:endParaRPr>
        </a:p>
      </dgm:t>
    </dgm:pt>
    <dgm:pt modelId="{654F86B2-D6EE-4A3B-94DB-B804E1CEE59D}" type="parTrans" cxnId="{FF69F2B5-91C6-43A2-8805-E42F754D3779}">
      <dgm:prSet/>
      <dgm:spPr/>
      <dgm:t>
        <a:bodyPr/>
        <a:lstStyle/>
        <a:p>
          <a:endParaRPr lang="en-US" sz="1400">
            <a:latin typeface="Times New Roman" panose="02020603050405020304" pitchFamily="18" charset="0"/>
            <a:cs typeface="Times New Roman" panose="02020603050405020304" pitchFamily="18" charset="0"/>
          </a:endParaRPr>
        </a:p>
      </dgm:t>
    </dgm:pt>
    <dgm:pt modelId="{F5CF08B2-57C6-4201-9502-F3AB69086A8F}" type="sibTrans" cxnId="{FF69F2B5-91C6-43A2-8805-E42F754D3779}">
      <dgm:prSet/>
      <dgm:spPr/>
      <dgm:t>
        <a:bodyPr/>
        <a:lstStyle/>
        <a:p>
          <a:endParaRPr lang="en-US"/>
        </a:p>
      </dgm:t>
    </dgm:pt>
    <dgm:pt modelId="{DE2B28AB-C0EB-4E63-898B-D5ACC9657648}" type="pres">
      <dgm:prSet presAssocID="{F283EAB2-C208-44FE-947A-DF90BF3771EB}" presName="hierChild1" presStyleCnt="0">
        <dgm:presLayoutVars>
          <dgm:orgChart val="1"/>
          <dgm:chPref val="1"/>
          <dgm:dir/>
          <dgm:animOne val="branch"/>
          <dgm:animLvl val="lvl"/>
          <dgm:resizeHandles/>
        </dgm:presLayoutVars>
      </dgm:prSet>
      <dgm:spPr/>
    </dgm:pt>
    <dgm:pt modelId="{2AF26C76-DB59-4370-ABA2-2D277B18E0EC}" type="pres">
      <dgm:prSet presAssocID="{A9870C76-716E-43A7-AA40-5C21F6E91599}" presName="hierRoot1" presStyleCnt="0">
        <dgm:presLayoutVars>
          <dgm:hierBranch val="init"/>
        </dgm:presLayoutVars>
      </dgm:prSet>
      <dgm:spPr/>
    </dgm:pt>
    <dgm:pt modelId="{D087A53A-5D18-46E2-90A3-952F682362D1}" type="pres">
      <dgm:prSet presAssocID="{A9870C76-716E-43A7-AA40-5C21F6E91599}" presName="rootComposite1" presStyleCnt="0"/>
      <dgm:spPr/>
    </dgm:pt>
    <dgm:pt modelId="{D80AE3F5-AD3A-4E7B-8B35-938994CD2EE4}" type="pres">
      <dgm:prSet presAssocID="{A9870C76-716E-43A7-AA40-5C21F6E91599}" presName="rootText1" presStyleLbl="node0" presStyleIdx="0" presStyleCnt="1" custScaleX="177651" custScaleY="57307">
        <dgm:presLayoutVars>
          <dgm:chPref val="3"/>
        </dgm:presLayoutVars>
      </dgm:prSet>
      <dgm:spPr/>
    </dgm:pt>
    <dgm:pt modelId="{2CF7A96C-053E-470E-93CE-3A81F5F4FEE9}" type="pres">
      <dgm:prSet presAssocID="{A9870C76-716E-43A7-AA40-5C21F6E91599}" presName="rootConnector1" presStyleLbl="node1" presStyleIdx="0" presStyleCnt="0"/>
      <dgm:spPr/>
    </dgm:pt>
    <dgm:pt modelId="{078E56A2-5A73-4225-A271-EBE116C8C418}" type="pres">
      <dgm:prSet presAssocID="{A9870C76-716E-43A7-AA40-5C21F6E91599}" presName="hierChild2" presStyleCnt="0"/>
      <dgm:spPr/>
    </dgm:pt>
    <dgm:pt modelId="{1CCB44BD-156B-4AB0-BE56-A407C1EF7C7F}" type="pres">
      <dgm:prSet presAssocID="{FBFEACE2-45E9-41EF-A20C-E5ACB13E888F}" presName="Name37" presStyleLbl="parChTrans1D2" presStyleIdx="0" presStyleCnt="3"/>
      <dgm:spPr/>
    </dgm:pt>
    <dgm:pt modelId="{EC85BC36-7C44-4E96-812F-9DC3F3F6905C}" type="pres">
      <dgm:prSet presAssocID="{BB299CA4-C15A-4724-A6ED-BF31C0F92BF2}" presName="hierRoot2" presStyleCnt="0">
        <dgm:presLayoutVars>
          <dgm:hierBranch val="init"/>
        </dgm:presLayoutVars>
      </dgm:prSet>
      <dgm:spPr/>
    </dgm:pt>
    <dgm:pt modelId="{2BB7DC6C-BC03-4EA6-8ACC-41721943245A}" type="pres">
      <dgm:prSet presAssocID="{BB299CA4-C15A-4724-A6ED-BF31C0F92BF2}" presName="rootComposite" presStyleCnt="0"/>
      <dgm:spPr/>
    </dgm:pt>
    <dgm:pt modelId="{B1570592-1F74-43F9-B69B-B0ABFAD775C1}" type="pres">
      <dgm:prSet presAssocID="{BB299CA4-C15A-4724-A6ED-BF31C0F92BF2}" presName="rootText" presStyleLbl="node2" presStyleIdx="0" presStyleCnt="3" custScaleX="137464" custScaleY="57307">
        <dgm:presLayoutVars>
          <dgm:chPref val="3"/>
        </dgm:presLayoutVars>
      </dgm:prSet>
      <dgm:spPr/>
    </dgm:pt>
    <dgm:pt modelId="{64D2AF36-E40A-40FE-9625-AFF221AB4C9A}" type="pres">
      <dgm:prSet presAssocID="{BB299CA4-C15A-4724-A6ED-BF31C0F92BF2}" presName="rootConnector" presStyleLbl="node2" presStyleIdx="0" presStyleCnt="3"/>
      <dgm:spPr/>
    </dgm:pt>
    <dgm:pt modelId="{A34C0B2C-AB27-40A2-8857-50CAA05C0419}" type="pres">
      <dgm:prSet presAssocID="{BB299CA4-C15A-4724-A6ED-BF31C0F92BF2}" presName="hierChild4" presStyleCnt="0"/>
      <dgm:spPr/>
    </dgm:pt>
    <dgm:pt modelId="{15EC498D-CDDF-4CB7-8EE3-BF8AAD71619A}" type="pres">
      <dgm:prSet presAssocID="{BB299CA4-C15A-4724-A6ED-BF31C0F92BF2}" presName="hierChild5" presStyleCnt="0"/>
      <dgm:spPr/>
    </dgm:pt>
    <dgm:pt modelId="{155F0618-D616-4361-ADE3-A7CD6F42EFB1}" type="pres">
      <dgm:prSet presAssocID="{B9630154-4E29-46CC-87A6-A57A0B1E914A}" presName="Name37" presStyleLbl="parChTrans1D2" presStyleIdx="1" presStyleCnt="3"/>
      <dgm:spPr/>
    </dgm:pt>
    <dgm:pt modelId="{9BC3EF2F-4CC1-46EF-98F4-8C7438274CB2}" type="pres">
      <dgm:prSet presAssocID="{0EEF1C23-19A9-4DCE-B031-B17224B9196A}" presName="hierRoot2" presStyleCnt="0">
        <dgm:presLayoutVars>
          <dgm:hierBranch val="init"/>
        </dgm:presLayoutVars>
      </dgm:prSet>
      <dgm:spPr/>
    </dgm:pt>
    <dgm:pt modelId="{743C0053-294C-4FD3-A7F0-6C69F0500FB7}" type="pres">
      <dgm:prSet presAssocID="{0EEF1C23-19A9-4DCE-B031-B17224B9196A}" presName="rootComposite" presStyleCnt="0"/>
      <dgm:spPr/>
    </dgm:pt>
    <dgm:pt modelId="{24C354B1-59FF-4A3E-AA3A-8367CF5F43AE}" type="pres">
      <dgm:prSet presAssocID="{0EEF1C23-19A9-4DCE-B031-B17224B9196A}" presName="rootText" presStyleLbl="node2" presStyleIdx="1" presStyleCnt="3" custScaleX="149240" custScaleY="57307">
        <dgm:presLayoutVars>
          <dgm:chPref val="3"/>
        </dgm:presLayoutVars>
      </dgm:prSet>
      <dgm:spPr/>
    </dgm:pt>
    <dgm:pt modelId="{BAD9758C-C531-4E4F-AB7B-FBCA4D3DC9CC}" type="pres">
      <dgm:prSet presAssocID="{0EEF1C23-19A9-4DCE-B031-B17224B9196A}" presName="rootConnector" presStyleLbl="node2" presStyleIdx="1" presStyleCnt="3"/>
      <dgm:spPr/>
    </dgm:pt>
    <dgm:pt modelId="{11DA6E8D-57E8-4063-AB5F-8D2EDE31A2C3}" type="pres">
      <dgm:prSet presAssocID="{0EEF1C23-19A9-4DCE-B031-B17224B9196A}" presName="hierChild4" presStyleCnt="0"/>
      <dgm:spPr/>
    </dgm:pt>
    <dgm:pt modelId="{860DAD4C-5D86-4A93-B2F5-6A7F4D8CE39B}" type="pres">
      <dgm:prSet presAssocID="{0EEF1C23-19A9-4DCE-B031-B17224B9196A}" presName="hierChild5" presStyleCnt="0"/>
      <dgm:spPr/>
    </dgm:pt>
    <dgm:pt modelId="{A1A89F30-BFCD-4924-B9B2-317089F603F2}" type="pres">
      <dgm:prSet presAssocID="{654F86B2-D6EE-4A3B-94DB-B804E1CEE59D}" presName="Name37" presStyleLbl="parChTrans1D2" presStyleIdx="2" presStyleCnt="3"/>
      <dgm:spPr/>
    </dgm:pt>
    <dgm:pt modelId="{6066CC50-E31E-4153-A3D0-F8CEE7D29977}" type="pres">
      <dgm:prSet presAssocID="{3560BF1C-D22C-4E1A-8ECC-85E18F49CDD4}" presName="hierRoot2" presStyleCnt="0">
        <dgm:presLayoutVars>
          <dgm:hierBranch val="init"/>
        </dgm:presLayoutVars>
      </dgm:prSet>
      <dgm:spPr/>
    </dgm:pt>
    <dgm:pt modelId="{D2635028-C62D-46E2-99FD-58A7968DEE27}" type="pres">
      <dgm:prSet presAssocID="{3560BF1C-D22C-4E1A-8ECC-85E18F49CDD4}" presName="rootComposite" presStyleCnt="0"/>
      <dgm:spPr/>
    </dgm:pt>
    <dgm:pt modelId="{B3A34A6E-85CF-4DF2-A719-A737A19B272A}" type="pres">
      <dgm:prSet presAssocID="{3560BF1C-D22C-4E1A-8ECC-85E18F49CDD4}" presName="rootText" presStyleLbl="node2" presStyleIdx="2" presStyleCnt="3" custScaleX="143242" custScaleY="57307">
        <dgm:presLayoutVars>
          <dgm:chPref val="3"/>
        </dgm:presLayoutVars>
      </dgm:prSet>
      <dgm:spPr/>
    </dgm:pt>
    <dgm:pt modelId="{CB16A19B-DCC1-4C9E-91BD-D9F32165546B}" type="pres">
      <dgm:prSet presAssocID="{3560BF1C-D22C-4E1A-8ECC-85E18F49CDD4}" presName="rootConnector" presStyleLbl="node2" presStyleIdx="2" presStyleCnt="3"/>
      <dgm:spPr/>
    </dgm:pt>
    <dgm:pt modelId="{2667331C-532A-4551-BB8D-FB2A78E38B4E}" type="pres">
      <dgm:prSet presAssocID="{3560BF1C-D22C-4E1A-8ECC-85E18F49CDD4}" presName="hierChild4" presStyleCnt="0"/>
      <dgm:spPr/>
    </dgm:pt>
    <dgm:pt modelId="{A6A647A5-EEF3-4EF7-8E69-B21802B6666E}" type="pres">
      <dgm:prSet presAssocID="{3560BF1C-D22C-4E1A-8ECC-85E18F49CDD4}" presName="hierChild5" presStyleCnt="0"/>
      <dgm:spPr/>
    </dgm:pt>
    <dgm:pt modelId="{2F0C98F3-6D58-432D-B511-E099C62B041C}" type="pres">
      <dgm:prSet presAssocID="{A9870C76-716E-43A7-AA40-5C21F6E91599}" presName="hierChild3" presStyleCnt="0"/>
      <dgm:spPr/>
    </dgm:pt>
  </dgm:ptLst>
  <dgm:cxnLst>
    <dgm:cxn modelId="{F716CE2A-83BF-4CAB-AD3A-8CC12C78B2CB}" type="presOf" srcId="{0EEF1C23-19A9-4DCE-B031-B17224B9196A}" destId="{24C354B1-59FF-4A3E-AA3A-8367CF5F43AE}" srcOrd="0" destOrd="0" presId="urn:microsoft.com/office/officeart/2005/8/layout/orgChart1"/>
    <dgm:cxn modelId="{78543B2D-F613-466A-B967-EAABFDCD47FE}" type="presOf" srcId="{A9870C76-716E-43A7-AA40-5C21F6E91599}" destId="{D80AE3F5-AD3A-4E7B-8B35-938994CD2EE4}" srcOrd="0" destOrd="0" presId="urn:microsoft.com/office/officeart/2005/8/layout/orgChart1"/>
    <dgm:cxn modelId="{893C4732-622A-4F2E-BFB0-3CFB67A7F5CE}" srcId="{A9870C76-716E-43A7-AA40-5C21F6E91599}" destId="{BB299CA4-C15A-4724-A6ED-BF31C0F92BF2}" srcOrd="0" destOrd="0" parTransId="{FBFEACE2-45E9-41EF-A20C-E5ACB13E888F}" sibTransId="{9290B7BF-7793-46F3-B468-360326DEE345}"/>
    <dgm:cxn modelId="{65E71738-8646-44CD-AAAA-9172161DD0B7}" type="presOf" srcId="{3560BF1C-D22C-4E1A-8ECC-85E18F49CDD4}" destId="{CB16A19B-DCC1-4C9E-91BD-D9F32165546B}" srcOrd="1" destOrd="0" presId="urn:microsoft.com/office/officeart/2005/8/layout/orgChart1"/>
    <dgm:cxn modelId="{3983FE40-EF37-4FAC-9BBB-0158E6AEF560}" type="presOf" srcId="{654F86B2-D6EE-4A3B-94DB-B804E1CEE59D}" destId="{A1A89F30-BFCD-4924-B9B2-317089F603F2}" srcOrd="0" destOrd="0" presId="urn:microsoft.com/office/officeart/2005/8/layout/orgChart1"/>
    <dgm:cxn modelId="{98D2354B-EBD1-4833-B384-22B9DECD8799}" type="presOf" srcId="{3560BF1C-D22C-4E1A-8ECC-85E18F49CDD4}" destId="{B3A34A6E-85CF-4DF2-A719-A737A19B272A}" srcOrd="0" destOrd="0" presId="urn:microsoft.com/office/officeart/2005/8/layout/orgChart1"/>
    <dgm:cxn modelId="{0D8CD598-142B-4134-A2EE-BE2CE202844A}" type="presOf" srcId="{BB299CA4-C15A-4724-A6ED-BF31C0F92BF2}" destId="{B1570592-1F74-43F9-B69B-B0ABFAD775C1}" srcOrd="0" destOrd="0" presId="urn:microsoft.com/office/officeart/2005/8/layout/orgChart1"/>
    <dgm:cxn modelId="{35471AA6-2BD1-4A0C-BE71-03BE7BC500D5}" type="presOf" srcId="{0EEF1C23-19A9-4DCE-B031-B17224B9196A}" destId="{BAD9758C-C531-4E4F-AB7B-FBCA4D3DC9CC}" srcOrd="1" destOrd="0" presId="urn:microsoft.com/office/officeart/2005/8/layout/orgChart1"/>
    <dgm:cxn modelId="{CD0F98AF-0847-4D50-9F73-CEFCFBBB7204}" type="presOf" srcId="{BB299CA4-C15A-4724-A6ED-BF31C0F92BF2}" destId="{64D2AF36-E40A-40FE-9625-AFF221AB4C9A}" srcOrd="1" destOrd="0" presId="urn:microsoft.com/office/officeart/2005/8/layout/orgChart1"/>
    <dgm:cxn modelId="{FF69F2B5-91C6-43A2-8805-E42F754D3779}" srcId="{A9870C76-716E-43A7-AA40-5C21F6E91599}" destId="{3560BF1C-D22C-4E1A-8ECC-85E18F49CDD4}" srcOrd="2" destOrd="0" parTransId="{654F86B2-D6EE-4A3B-94DB-B804E1CEE59D}" sibTransId="{F5CF08B2-57C6-4201-9502-F3AB69086A8F}"/>
    <dgm:cxn modelId="{942C94D3-F3C4-41E4-A289-7DB6C1BC8BC2}" srcId="{A9870C76-716E-43A7-AA40-5C21F6E91599}" destId="{0EEF1C23-19A9-4DCE-B031-B17224B9196A}" srcOrd="1" destOrd="0" parTransId="{B9630154-4E29-46CC-87A6-A57A0B1E914A}" sibTransId="{7CC85D0B-A0C7-4EC3-9856-E49C641B208F}"/>
    <dgm:cxn modelId="{FE4448DD-39AF-4C4C-8450-A2D4DFB6E494}" type="presOf" srcId="{A9870C76-716E-43A7-AA40-5C21F6E91599}" destId="{2CF7A96C-053E-470E-93CE-3A81F5F4FEE9}" srcOrd="1" destOrd="0" presId="urn:microsoft.com/office/officeart/2005/8/layout/orgChart1"/>
    <dgm:cxn modelId="{AA872BDE-4C8F-4E33-A453-7779192C9B10}" srcId="{F283EAB2-C208-44FE-947A-DF90BF3771EB}" destId="{A9870C76-716E-43A7-AA40-5C21F6E91599}" srcOrd="0" destOrd="0" parTransId="{9DD82B8F-3E3F-44F6-AD8E-5B05EF29A8D9}" sibTransId="{CA4A656A-2F95-47D8-853F-DE5DC52FA559}"/>
    <dgm:cxn modelId="{AE788CEB-80E4-4D06-A39D-5F367F474836}" type="presOf" srcId="{B9630154-4E29-46CC-87A6-A57A0B1E914A}" destId="{155F0618-D616-4361-ADE3-A7CD6F42EFB1}" srcOrd="0" destOrd="0" presId="urn:microsoft.com/office/officeart/2005/8/layout/orgChart1"/>
    <dgm:cxn modelId="{4DCB99F9-A3A1-485D-8793-A3BE9A80984D}" type="presOf" srcId="{FBFEACE2-45E9-41EF-A20C-E5ACB13E888F}" destId="{1CCB44BD-156B-4AB0-BE56-A407C1EF7C7F}" srcOrd="0" destOrd="0" presId="urn:microsoft.com/office/officeart/2005/8/layout/orgChart1"/>
    <dgm:cxn modelId="{25CACBF9-9B26-4C56-B669-EA23E3230C05}" type="presOf" srcId="{F283EAB2-C208-44FE-947A-DF90BF3771EB}" destId="{DE2B28AB-C0EB-4E63-898B-D5ACC9657648}" srcOrd="0" destOrd="0" presId="urn:microsoft.com/office/officeart/2005/8/layout/orgChart1"/>
    <dgm:cxn modelId="{401D5F79-8FF6-4FDD-9A02-99B1B2459664}" type="presParOf" srcId="{DE2B28AB-C0EB-4E63-898B-D5ACC9657648}" destId="{2AF26C76-DB59-4370-ABA2-2D277B18E0EC}" srcOrd="0" destOrd="0" presId="urn:microsoft.com/office/officeart/2005/8/layout/orgChart1"/>
    <dgm:cxn modelId="{DC2582A7-5F08-4857-B50A-30A728C1D28F}" type="presParOf" srcId="{2AF26C76-DB59-4370-ABA2-2D277B18E0EC}" destId="{D087A53A-5D18-46E2-90A3-952F682362D1}" srcOrd="0" destOrd="0" presId="urn:microsoft.com/office/officeart/2005/8/layout/orgChart1"/>
    <dgm:cxn modelId="{C6AB157E-FACB-4F14-8E22-04A9114568FA}" type="presParOf" srcId="{D087A53A-5D18-46E2-90A3-952F682362D1}" destId="{D80AE3F5-AD3A-4E7B-8B35-938994CD2EE4}" srcOrd="0" destOrd="0" presId="urn:microsoft.com/office/officeart/2005/8/layout/orgChart1"/>
    <dgm:cxn modelId="{EE831B91-7BE9-40DA-8284-AE7E2BC53C35}" type="presParOf" srcId="{D087A53A-5D18-46E2-90A3-952F682362D1}" destId="{2CF7A96C-053E-470E-93CE-3A81F5F4FEE9}" srcOrd="1" destOrd="0" presId="urn:microsoft.com/office/officeart/2005/8/layout/orgChart1"/>
    <dgm:cxn modelId="{B4DA93D0-6BF7-4717-BC04-A99E9159590F}" type="presParOf" srcId="{2AF26C76-DB59-4370-ABA2-2D277B18E0EC}" destId="{078E56A2-5A73-4225-A271-EBE116C8C418}" srcOrd="1" destOrd="0" presId="urn:microsoft.com/office/officeart/2005/8/layout/orgChart1"/>
    <dgm:cxn modelId="{DDE41FA2-4F76-4B79-9245-DF2D88FF9B3C}" type="presParOf" srcId="{078E56A2-5A73-4225-A271-EBE116C8C418}" destId="{1CCB44BD-156B-4AB0-BE56-A407C1EF7C7F}" srcOrd="0" destOrd="0" presId="urn:microsoft.com/office/officeart/2005/8/layout/orgChart1"/>
    <dgm:cxn modelId="{E112BC0F-02E2-4881-9392-9A1FA8AC6BEF}" type="presParOf" srcId="{078E56A2-5A73-4225-A271-EBE116C8C418}" destId="{EC85BC36-7C44-4E96-812F-9DC3F3F6905C}" srcOrd="1" destOrd="0" presId="urn:microsoft.com/office/officeart/2005/8/layout/orgChart1"/>
    <dgm:cxn modelId="{A3CBB34C-ECF9-4778-8E1F-44E94FEFB1D0}" type="presParOf" srcId="{EC85BC36-7C44-4E96-812F-9DC3F3F6905C}" destId="{2BB7DC6C-BC03-4EA6-8ACC-41721943245A}" srcOrd="0" destOrd="0" presId="urn:microsoft.com/office/officeart/2005/8/layout/orgChart1"/>
    <dgm:cxn modelId="{C145775D-6ABC-465B-A40B-360CCCA85893}" type="presParOf" srcId="{2BB7DC6C-BC03-4EA6-8ACC-41721943245A}" destId="{B1570592-1F74-43F9-B69B-B0ABFAD775C1}" srcOrd="0" destOrd="0" presId="urn:microsoft.com/office/officeart/2005/8/layout/orgChart1"/>
    <dgm:cxn modelId="{7CDAEC30-A662-4EAA-90D7-60E88B3CCFDE}" type="presParOf" srcId="{2BB7DC6C-BC03-4EA6-8ACC-41721943245A}" destId="{64D2AF36-E40A-40FE-9625-AFF221AB4C9A}" srcOrd="1" destOrd="0" presId="urn:microsoft.com/office/officeart/2005/8/layout/orgChart1"/>
    <dgm:cxn modelId="{D2BC6A26-A642-43B4-9E28-D61D603563B6}" type="presParOf" srcId="{EC85BC36-7C44-4E96-812F-9DC3F3F6905C}" destId="{A34C0B2C-AB27-40A2-8857-50CAA05C0419}" srcOrd="1" destOrd="0" presId="urn:microsoft.com/office/officeart/2005/8/layout/orgChart1"/>
    <dgm:cxn modelId="{4FB6F37B-D4F2-4E90-8E04-C701E7643537}" type="presParOf" srcId="{EC85BC36-7C44-4E96-812F-9DC3F3F6905C}" destId="{15EC498D-CDDF-4CB7-8EE3-BF8AAD71619A}" srcOrd="2" destOrd="0" presId="urn:microsoft.com/office/officeart/2005/8/layout/orgChart1"/>
    <dgm:cxn modelId="{7BD143B8-A559-43B0-86BB-47E3487F63F1}" type="presParOf" srcId="{078E56A2-5A73-4225-A271-EBE116C8C418}" destId="{155F0618-D616-4361-ADE3-A7CD6F42EFB1}" srcOrd="2" destOrd="0" presId="urn:microsoft.com/office/officeart/2005/8/layout/orgChart1"/>
    <dgm:cxn modelId="{0FFB1994-E67B-489F-B2B4-004FE5CD0661}" type="presParOf" srcId="{078E56A2-5A73-4225-A271-EBE116C8C418}" destId="{9BC3EF2F-4CC1-46EF-98F4-8C7438274CB2}" srcOrd="3" destOrd="0" presId="urn:microsoft.com/office/officeart/2005/8/layout/orgChart1"/>
    <dgm:cxn modelId="{682F13CE-E5FD-472D-BEE9-BFC639B6759D}" type="presParOf" srcId="{9BC3EF2F-4CC1-46EF-98F4-8C7438274CB2}" destId="{743C0053-294C-4FD3-A7F0-6C69F0500FB7}" srcOrd="0" destOrd="0" presId="urn:microsoft.com/office/officeart/2005/8/layout/orgChart1"/>
    <dgm:cxn modelId="{FF40C67A-254C-4695-8114-8E66C60E492F}" type="presParOf" srcId="{743C0053-294C-4FD3-A7F0-6C69F0500FB7}" destId="{24C354B1-59FF-4A3E-AA3A-8367CF5F43AE}" srcOrd="0" destOrd="0" presId="urn:microsoft.com/office/officeart/2005/8/layout/orgChart1"/>
    <dgm:cxn modelId="{644C69C1-1378-491F-B379-DB1441B9725A}" type="presParOf" srcId="{743C0053-294C-4FD3-A7F0-6C69F0500FB7}" destId="{BAD9758C-C531-4E4F-AB7B-FBCA4D3DC9CC}" srcOrd="1" destOrd="0" presId="urn:microsoft.com/office/officeart/2005/8/layout/orgChart1"/>
    <dgm:cxn modelId="{1C04952B-D876-4BF2-B7BB-46FBBDB904E0}" type="presParOf" srcId="{9BC3EF2F-4CC1-46EF-98F4-8C7438274CB2}" destId="{11DA6E8D-57E8-4063-AB5F-8D2EDE31A2C3}" srcOrd="1" destOrd="0" presId="urn:microsoft.com/office/officeart/2005/8/layout/orgChart1"/>
    <dgm:cxn modelId="{62B22F4D-B818-41D4-B392-10A37E10F7D6}" type="presParOf" srcId="{9BC3EF2F-4CC1-46EF-98F4-8C7438274CB2}" destId="{860DAD4C-5D86-4A93-B2F5-6A7F4D8CE39B}" srcOrd="2" destOrd="0" presId="urn:microsoft.com/office/officeart/2005/8/layout/orgChart1"/>
    <dgm:cxn modelId="{222763B9-8A48-4324-A602-DD85BDA6FE82}" type="presParOf" srcId="{078E56A2-5A73-4225-A271-EBE116C8C418}" destId="{A1A89F30-BFCD-4924-B9B2-317089F603F2}" srcOrd="4" destOrd="0" presId="urn:microsoft.com/office/officeart/2005/8/layout/orgChart1"/>
    <dgm:cxn modelId="{73F578B2-520E-48FD-88E8-6F2DA250E372}" type="presParOf" srcId="{078E56A2-5A73-4225-A271-EBE116C8C418}" destId="{6066CC50-E31E-4153-A3D0-F8CEE7D29977}" srcOrd="5" destOrd="0" presId="urn:microsoft.com/office/officeart/2005/8/layout/orgChart1"/>
    <dgm:cxn modelId="{D8BB68BD-472D-47DB-B1DE-D131DE9924F7}" type="presParOf" srcId="{6066CC50-E31E-4153-A3D0-F8CEE7D29977}" destId="{D2635028-C62D-46E2-99FD-58A7968DEE27}" srcOrd="0" destOrd="0" presId="urn:microsoft.com/office/officeart/2005/8/layout/orgChart1"/>
    <dgm:cxn modelId="{6C7E573C-77AD-453E-B894-2760B0B65719}" type="presParOf" srcId="{D2635028-C62D-46E2-99FD-58A7968DEE27}" destId="{B3A34A6E-85CF-4DF2-A719-A737A19B272A}" srcOrd="0" destOrd="0" presId="urn:microsoft.com/office/officeart/2005/8/layout/orgChart1"/>
    <dgm:cxn modelId="{3CEE1D74-C152-4F7A-97E8-D7F3DBCD6BB6}" type="presParOf" srcId="{D2635028-C62D-46E2-99FD-58A7968DEE27}" destId="{CB16A19B-DCC1-4C9E-91BD-D9F32165546B}" srcOrd="1" destOrd="0" presId="urn:microsoft.com/office/officeart/2005/8/layout/orgChart1"/>
    <dgm:cxn modelId="{457B2346-174B-4ADC-B1F9-FD0BAC64D274}" type="presParOf" srcId="{6066CC50-E31E-4153-A3D0-F8CEE7D29977}" destId="{2667331C-532A-4551-BB8D-FB2A78E38B4E}" srcOrd="1" destOrd="0" presId="urn:microsoft.com/office/officeart/2005/8/layout/orgChart1"/>
    <dgm:cxn modelId="{EB61A83F-C900-4F82-8DD5-2EB1CE3D02EF}" type="presParOf" srcId="{6066CC50-E31E-4153-A3D0-F8CEE7D29977}" destId="{A6A647A5-EEF3-4EF7-8E69-B21802B6666E}" srcOrd="2" destOrd="0" presId="urn:microsoft.com/office/officeart/2005/8/layout/orgChart1"/>
    <dgm:cxn modelId="{A0E030F8-2E4E-4E4A-85DB-C6448EB978ED}" type="presParOf" srcId="{2AF26C76-DB59-4370-ABA2-2D277B18E0EC}" destId="{2F0C98F3-6D58-432D-B511-E099C62B041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0601C4-BBE9-45D0-82AB-0BF070118199}" type="doc">
      <dgm:prSet loTypeId="urn:microsoft.com/office/officeart/2008/layout/HorizontalMultiLevelHierarchy" loCatId="hierarchy" qsTypeId="urn:microsoft.com/office/officeart/2005/8/quickstyle/simple3" qsCatId="simple" csTypeId="urn:microsoft.com/office/officeart/2005/8/colors/accent1_1" csCatId="accent1" phldr="1"/>
      <dgm:spPr/>
      <dgm:t>
        <a:bodyPr/>
        <a:lstStyle/>
        <a:p>
          <a:endParaRPr lang="en-US"/>
        </a:p>
      </dgm:t>
    </dgm:pt>
    <dgm:pt modelId="{C1672A1F-CFC0-4453-88CF-E7A51AECB6A5}">
      <dgm:prSet phldrT="[Text]" custT="1"/>
      <dgm:spPr/>
      <dgm:t>
        <a:bodyPr/>
        <a:lstStyle/>
        <a:p>
          <a:pPr>
            <a:buFont typeface="+mj-lt"/>
            <a:buAutoNum type="arabicPeriod"/>
          </a:pPr>
          <a:r>
            <a:rPr lang="en-IN" sz="1100" b="1">
              <a:latin typeface="Times New Roman" panose="02020603050405020304" pitchFamily="18" charset="0"/>
              <a:cs typeface="Times New Roman" panose="02020603050405020304" pitchFamily="18" charset="0"/>
            </a:rPr>
            <a:t>Argument Against Weak Form EMH </a:t>
          </a:r>
          <a:endParaRPr lang="en-US" sz="1100" b="1">
            <a:latin typeface="Times New Roman" panose="02020603050405020304" pitchFamily="18" charset="0"/>
            <a:cs typeface="Times New Roman" panose="02020603050405020304" pitchFamily="18" charset="0"/>
          </a:endParaRPr>
        </a:p>
      </dgm:t>
    </dgm:pt>
    <dgm:pt modelId="{58AA5F59-3589-4459-AB5F-2D8DF87EE26E}" type="parTrans" cxnId="{0C1DBC44-F6FC-418B-B971-4EE483C8EE58}">
      <dgm:prSet/>
      <dgm:spPr/>
      <dgm:t>
        <a:bodyPr/>
        <a:lstStyle/>
        <a:p>
          <a:endParaRPr lang="en-US" sz="1050"/>
        </a:p>
      </dgm:t>
    </dgm:pt>
    <dgm:pt modelId="{5B152E68-2437-4909-BADF-534FDF101F4C}" type="sibTrans" cxnId="{0C1DBC44-F6FC-418B-B971-4EE483C8EE58}">
      <dgm:prSet/>
      <dgm:spPr/>
      <dgm:t>
        <a:bodyPr/>
        <a:lstStyle/>
        <a:p>
          <a:endParaRPr lang="en-US" sz="1050"/>
        </a:p>
      </dgm:t>
    </dgm:pt>
    <dgm:pt modelId="{29804CEB-FAD0-4B08-B02C-B38E80EDCA88}">
      <dgm:prSet phldrT="[Text]" custT="1"/>
      <dgm:spPr/>
      <dgm:t>
        <a:bodyPr/>
        <a:lstStyle/>
        <a:p>
          <a:r>
            <a:rPr lang="en-IN" sz="1050" b="1">
              <a:latin typeface="Times New Roman" panose="02020603050405020304" pitchFamily="18" charset="0"/>
              <a:cs typeface="Times New Roman" panose="02020603050405020304" pitchFamily="18" charset="0"/>
            </a:rPr>
            <a:t>Empirical Anomalies</a:t>
          </a:r>
          <a:endParaRPr lang="en-US" sz="1050">
            <a:latin typeface="Times New Roman" panose="02020603050405020304" pitchFamily="18" charset="0"/>
            <a:cs typeface="Times New Roman" panose="02020603050405020304" pitchFamily="18" charset="0"/>
          </a:endParaRPr>
        </a:p>
      </dgm:t>
    </dgm:pt>
    <dgm:pt modelId="{BDE78043-5FA6-49A5-8A80-7687B415DB90}" type="parTrans" cxnId="{7ECA242D-B88C-40BF-BDBD-B1EF64E5140B}">
      <dgm:prSet/>
      <dgm:spPr/>
      <dgm:t>
        <a:bodyPr/>
        <a:lstStyle/>
        <a:p>
          <a:endParaRPr lang="en-US" sz="1050">
            <a:latin typeface="Times New Roman" panose="02020603050405020304" pitchFamily="18" charset="0"/>
            <a:cs typeface="Times New Roman" panose="02020603050405020304" pitchFamily="18" charset="0"/>
          </a:endParaRPr>
        </a:p>
      </dgm:t>
    </dgm:pt>
    <dgm:pt modelId="{D3A3A799-53FC-49EF-8DE2-DC2D511E7DCE}" type="sibTrans" cxnId="{7ECA242D-B88C-40BF-BDBD-B1EF64E5140B}">
      <dgm:prSet/>
      <dgm:spPr/>
      <dgm:t>
        <a:bodyPr/>
        <a:lstStyle/>
        <a:p>
          <a:endParaRPr lang="en-US" sz="1050"/>
        </a:p>
      </dgm:t>
    </dgm:pt>
    <dgm:pt modelId="{D3436511-4C81-4D22-8FDB-D86426498E6D}">
      <dgm:prSet phldrT="[Text]" custT="1"/>
      <dgm:spPr/>
      <dgm:t>
        <a:bodyPr/>
        <a:lstStyle/>
        <a:p>
          <a:r>
            <a:rPr lang="en-IN" sz="1050" b="1">
              <a:latin typeface="Times New Roman" panose="02020603050405020304" pitchFamily="18" charset="0"/>
              <a:cs typeface="Times New Roman" panose="02020603050405020304" pitchFamily="18" charset="0"/>
            </a:rPr>
            <a:t>Behavioural Critiques</a:t>
          </a:r>
          <a:endParaRPr lang="en-US" sz="1050">
            <a:latin typeface="Times New Roman" panose="02020603050405020304" pitchFamily="18" charset="0"/>
            <a:cs typeface="Times New Roman" panose="02020603050405020304" pitchFamily="18" charset="0"/>
          </a:endParaRPr>
        </a:p>
      </dgm:t>
    </dgm:pt>
    <dgm:pt modelId="{4FE7BC40-D887-4D78-BC85-0CA8CEE0D421}" type="parTrans" cxnId="{FC6ABE33-3179-440E-BF5B-7B5069A4E092}">
      <dgm:prSet/>
      <dgm:spPr/>
      <dgm:t>
        <a:bodyPr/>
        <a:lstStyle/>
        <a:p>
          <a:endParaRPr lang="en-US" sz="1050">
            <a:latin typeface="Times New Roman" panose="02020603050405020304" pitchFamily="18" charset="0"/>
            <a:cs typeface="Times New Roman" panose="02020603050405020304" pitchFamily="18" charset="0"/>
          </a:endParaRPr>
        </a:p>
      </dgm:t>
    </dgm:pt>
    <dgm:pt modelId="{473ED1A9-5FA8-4F16-9476-CD9FE97B248B}" type="sibTrans" cxnId="{FC6ABE33-3179-440E-BF5B-7B5069A4E092}">
      <dgm:prSet/>
      <dgm:spPr/>
      <dgm:t>
        <a:bodyPr/>
        <a:lstStyle/>
        <a:p>
          <a:endParaRPr lang="en-US" sz="1050"/>
        </a:p>
      </dgm:t>
    </dgm:pt>
    <dgm:pt modelId="{E24DC507-788B-4628-A3CA-2C7ABD413EAF}">
      <dgm:prSet phldrT="[Text]" custT="1"/>
      <dgm:spPr/>
      <dgm:t>
        <a:bodyPr/>
        <a:lstStyle/>
        <a:p>
          <a:r>
            <a:rPr lang="en-IN" sz="1050" b="1">
              <a:latin typeface="Times New Roman" panose="02020603050405020304" pitchFamily="18" charset="0"/>
              <a:cs typeface="Times New Roman" panose="02020603050405020304" pitchFamily="18" charset="0"/>
            </a:rPr>
            <a:t>Structural Constraints</a:t>
          </a:r>
          <a:endParaRPr lang="en-US" sz="1050">
            <a:latin typeface="Times New Roman" panose="02020603050405020304" pitchFamily="18" charset="0"/>
            <a:cs typeface="Times New Roman" panose="02020603050405020304" pitchFamily="18" charset="0"/>
          </a:endParaRPr>
        </a:p>
      </dgm:t>
    </dgm:pt>
    <dgm:pt modelId="{A70F163C-69CC-4F6B-AD50-535C3137F0F7}" type="parTrans" cxnId="{5E36EC74-2238-47FB-9A59-0753BB5D4066}">
      <dgm:prSet/>
      <dgm:spPr/>
      <dgm:t>
        <a:bodyPr/>
        <a:lstStyle/>
        <a:p>
          <a:endParaRPr lang="en-US" sz="1050">
            <a:latin typeface="Times New Roman" panose="02020603050405020304" pitchFamily="18" charset="0"/>
            <a:cs typeface="Times New Roman" panose="02020603050405020304" pitchFamily="18" charset="0"/>
          </a:endParaRPr>
        </a:p>
      </dgm:t>
    </dgm:pt>
    <dgm:pt modelId="{EE8F055B-EB96-4A09-9B6B-1C1074C53958}" type="sibTrans" cxnId="{5E36EC74-2238-47FB-9A59-0753BB5D4066}">
      <dgm:prSet/>
      <dgm:spPr/>
      <dgm:t>
        <a:bodyPr/>
        <a:lstStyle/>
        <a:p>
          <a:endParaRPr lang="en-US" sz="1050"/>
        </a:p>
      </dgm:t>
    </dgm:pt>
    <dgm:pt modelId="{8465F4DD-C7DE-48CB-A847-3FBF5D1B1A28}" type="asst">
      <dgm:prSet custT="1"/>
      <dgm:spPr/>
      <dgm:t>
        <a:bodyPr/>
        <a:lstStyle/>
        <a:p>
          <a:pPr>
            <a:buFont typeface="+mj-lt"/>
            <a:buAutoNum type="arabicParenR"/>
          </a:pPr>
          <a:r>
            <a:rPr lang="en-IN" sz="1050" b="1">
              <a:latin typeface="Times New Roman" panose="02020603050405020304" pitchFamily="18" charset="0"/>
              <a:cs typeface="Times New Roman" panose="02020603050405020304" pitchFamily="18" charset="0"/>
            </a:rPr>
            <a:t>Momentum Effect</a:t>
          </a:r>
        </a:p>
        <a:p>
          <a:pPr>
            <a:buFont typeface="+mj-lt"/>
            <a:buAutoNum type="arabicParenR"/>
          </a:pPr>
          <a:r>
            <a:rPr lang="en-IN" sz="1050"/>
            <a:t>Jegadeesh and Titman,1993</a:t>
          </a:r>
          <a:r>
            <a:rPr lang="en-IN" sz="1050" b="1">
              <a:latin typeface="Times New Roman" panose="02020603050405020304" pitchFamily="18" charset="0"/>
              <a:cs typeface="Times New Roman" panose="02020603050405020304" pitchFamily="18" charset="0"/>
            </a:rPr>
            <a:t> </a:t>
          </a:r>
          <a:endParaRPr lang="en-US" sz="1050">
            <a:latin typeface="Times New Roman" panose="02020603050405020304" pitchFamily="18" charset="0"/>
            <a:cs typeface="Times New Roman" panose="02020603050405020304" pitchFamily="18" charset="0"/>
          </a:endParaRPr>
        </a:p>
      </dgm:t>
    </dgm:pt>
    <dgm:pt modelId="{44F4EF33-616D-4E71-B09E-23C7E88A042E}" type="parTrans" cxnId="{EEB6E826-9C57-4F44-9B1B-181D270E158A}">
      <dgm:prSet/>
      <dgm:spPr/>
      <dgm:t>
        <a:bodyPr/>
        <a:lstStyle/>
        <a:p>
          <a:endParaRPr lang="en-US" sz="1050">
            <a:latin typeface="Times New Roman" panose="02020603050405020304" pitchFamily="18" charset="0"/>
            <a:cs typeface="Times New Roman" panose="02020603050405020304" pitchFamily="18" charset="0"/>
          </a:endParaRPr>
        </a:p>
      </dgm:t>
    </dgm:pt>
    <dgm:pt modelId="{6D6C29DB-04AD-489B-9769-42462E9F7E35}" type="sibTrans" cxnId="{EEB6E826-9C57-4F44-9B1B-181D270E158A}">
      <dgm:prSet/>
      <dgm:spPr/>
      <dgm:t>
        <a:bodyPr/>
        <a:lstStyle/>
        <a:p>
          <a:endParaRPr lang="en-US" sz="1050"/>
        </a:p>
      </dgm:t>
    </dgm:pt>
    <dgm:pt modelId="{AEA22932-E645-488B-8BD9-265F8126390B}" type="asst">
      <dgm:prSet custT="1"/>
      <dgm:spPr/>
      <dgm:t>
        <a:bodyPr/>
        <a:lstStyle/>
        <a:p>
          <a:pPr>
            <a:buFont typeface="+mj-lt"/>
            <a:buAutoNum type="arabicParenR"/>
          </a:pPr>
          <a:r>
            <a:rPr lang="en-IN" sz="1050" b="1">
              <a:latin typeface="Times New Roman" panose="02020603050405020304" pitchFamily="18" charset="0"/>
              <a:cs typeface="Times New Roman" panose="02020603050405020304" pitchFamily="18" charset="0"/>
            </a:rPr>
            <a:t>Mean Reversal</a:t>
          </a:r>
          <a:r>
            <a:rPr lang="en-IN" sz="1050">
              <a:latin typeface="Times New Roman" panose="02020603050405020304" pitchFamily="18" charset="0"/>
              <a:cs typeface="Times New Roman" panose="02020603050405020304" pitchFamily="18" charset="0"/>
            </a:rPr>
            <a:t> </a:t>
          </a:r>
          <a:r>
            <a:rPr lang="en-IN" sz="1050" b="1">
              <a:latin typeface="Times New Roman" panose="02020603050405020304" pitchFamily="18" charset="0"/>
              <a:cs typeface="Times New Roman" panose="02020603050405020304" pitchFamily="18" charset="0"/>
            </a:rPr>
            <a:t>Phenomenon</a:t>
          </a:r>
        </a:p>
        <a:p>
          <a:pPr>
            <a:buFont typeface="+mj-lt"/>
            <a:buAutoNum type="arabicParenR"/>
          </a:pPr>
          <a:r>
            <a:rPr lang="en-IN" sz="1050"/>
            <a:t>DeBondt and Thaler, 1985</a:t>
          </a:r>
          <a:endParaRPr lang="en-US" sz="1050">
            <a:latin typeface="Times New Roman" panose="02020603050405020304" pitchFamily="18" charset="0"/>
            <a:cs typeface="Times New Roman" panose="02020603050405020304" pitchFamily="18" charset="0"/>
          </a:endParaRPr>
        </a:p>
      </dgm:t>
    </dgm:pt>
    <dgm:pt modelId="{47443EA7-855C-40E6-9436-D2FE59C79B07}" type="parTrans" cxnId="{2B1F38CC-C241-4134-924F-B5ECA54AABD2}">
      <dgm:prSet/>
      <dgm:spPr/>
      <dgm:t>
        <a:bodyPr/>
        <a:lstStyle/>
        <a:p>
          <a:endParaRPr lang="en-US" sz="1050">
            <a:latin typeface="Times New Roman" panose="02020603050405020304" pitchFamily="18" charset="0"/>
            <a:cs typeface="Times New Roman" panose="02020603050405020304" pitchFamily="18" charset="0"/>
          </a:endParaRPr>
        </a:p>
      </dgm:t>
    </dgm:pt>
    <dgm:pt modelId="{90971FD0-DCEE-44EF-A701-C773F6C0BAE6}" type="sibTrans" cxnId="{2B1F38CC-C241-4134-924F-B5ECA54AABD2}">
      <dgm:prSet/>
      <dgm:spPr/>
      <dgm:t>
        <a:bodyPr/>
        <a:lstStyle/>
        <a:p>
          <a:endParaRPr lang="en-US" sz="1050"/>
        </a:p>
      </dgm:t>
    </dgm:pt>
    <dgm:pt modelId="{B339A164-C624-420D-8B8E-FC2CAC64E3B1}" type="asst">
      <dgm:prSet custT="1"/>
      <dgm:spPr/>
      <dgm:t>
        <a:bodyPr/>
        <a:lstStyle/>
        <a:p>
          <a:pPr>
            <a:buFont typeface="+mj-lt"/>
            <a:buAutoNum type="arabicParenR"/>
          </a:pPr>
          <a:r>
            <a:rPr lang="en-IN" sz="1050" b="1">
              <a:latin typeface="Times New Roman" panose="02020603050405020304" pitchFamily="18" charset="0"/>
              <a:cs typeface="Times New Roman" panose="02020603050405020304" pitchFamily="18" charset="0"/>
            </a:rPr>
            <a:t>Calendar Affects </a:t>
          </a:r>
        </a:p>
      </dgm:t>
    </dgm:pt>
    <dgm:pt modelId="{BC980CD1-CC9F-4339-865E-E2DBFC452DE4}" type="parTrans" cxnId="{780219D2-D77F-4EAA-98ED-F7322F55EC46}">
      <dgm:prSet/>
      <dgm:spPr/>
      <dgm:t>
        <a:bodyPr/>
        <a:lstStyle/>
        <a:p>
          <a:endParaRPr lang="en-US" sz="1050">
            <a:latin typeface="Times New Roman" panose="02020603050405020304" pitchFamily="18" charset="0"/>
            <a:cs typeface="Times New Roman" panose="02020603050405020304" pitchFamily="18" charset="0"/>
          </a:endParaRPr>
        </a:p>
      </dgm:t>
    </dgm:pt>
    <dgm:pt modelId="{68D6D15A-5E16-4B40-9CAD-8238BCC67D85}" type="sibTrans" cxnId="{780219D2-D77F-4EAA-98ED-F7322F55EC46}">
      <dgm:prSet/>
      <dgm:spPr/>
      <dgm:t>
        <a:bodyPr/>
        <a:lstStyle/>
        <a:p>
          <a:endParaRPr lang="en-US" sz="1050"/>
        </a:p>
      </dgm:t>
    </dgm:pt>
    <dgm:pt modelId="{7D35FA2C-464D-468B-AC7D-0FA0EF355115}" type="asst">
      <dgm:prSet custT="1"/>
      <dgm:spPr/>
      <dgm:t>
        <a:bodyPr/>
        <a:lstStyle/>
        <a:p>
          <a:r>
            <a:rPr lang="en-IN" sz="1050" b="1">
              <a:latin typeface="Times New Roman" panose="02020603050405020304" pitchFamily="18" charset="0"/>
              <a:cs typeface="Times New Roman" panose="02020603050405020304" pitchFamily="18" charset="0"/>
            </a:rPr>
            <a:t>January Effect </a:t>
          </a:r>
        </a:p>
        <a:p>
          <a:r>
            <a:rPr lang="en-IN" sz="1050" b="0"/>
            <a:t>Rozeff &amp; Kinney, 1976</a:t>
          </a:r>
          <a:r>
            <a:rPr lang="en-IN" sz="1050" b="1">
              <a:latin typeface="Times New Roman" panose="02020603050405020304" pitchFamily="18" charset="0"/>
              <a:cs typeface="Times New Roman" panose="02020603050405020304" pitchFamily="18" charset="0"/>
            </a:rPr>
            <a:t>  </a:t>
          </a:r>
          <a:endParaRPr lang="en-US" sz="1050">
            <a:latin typeface="Times New Roman" panose="02020603050405020304" pitchFamily="18" charset="0"/>
            <a:cs typeface="Times New Roman" panose="02020603050405020304" pitchFamily="18" charset="0"/>
          </a:endParaRPr>
        </a:p>
      </dgm:t>
    </dgm:pt>
    <dgm:pt modelId="{41803D8A-C6CC-4EE4-9CD6-6AA0EADCE382}" type="parTrans" cxnId="{72F15C47-B000-42AC-8DEE-C54B0BFED45B}">
      <dgm:prSet/>
      <dgm:spPr/>
      <dgm:t>
        <a:bodyPr/>
        <a:lstStyle/>
        <a:p>
          <a:endParaRPr lang="en-US" sz="1050">
            <a:latin typeface="Times New Roman" panose="02020603050405020304" pitchFamily="18" charset="0"/>
            <a:cs typeface="Times New Roman" panose="02020603050405020304" pitchFamily="18" charset="0"/>
          </a:endParaRPr>
        </a:p>
      </dgm:t>
    </dgm:pt>
    <dgm:pt modelId="{BB597B1E-B6FF-4EEA-A543-4D7ECF041BB1}" type="sibTrans" cxnId="{72F15C47-B000-42AC-8DEE-C54B0BFED45B}">
      <dgm:prSet/>
      <dgm:spPr/>
      <dgm:t>
        <a:bodyPr/>
        <a:lstStyle/>
        <a:p>
          <a:endParaRPr lang="en-US" sz="1050"/>
        </a:p>
      </dgm:t>
    </dgm:pt>
    <dgm:pt modelId="{A9CF5E01-1B01-4681-8001-19DC55B00242}" type="asst">
      <dgm:prSet custT="1"/>
      <dgm:spPr/>
      <dgm:t>
        <a:bodyPr/>
        <a:lstStyle/>
        <a:p>
          <a:r>
            <a:rPr lang="en-IN" sz="1050" b="1">
              <a:latin typeface="Times New Roman" panose="02020603050405020304" pitchFamily="18" charset="0"/>
              <a:cs typeface="Times New Roman" panose="02020603050405020304" pitchFamily="18" charset="0"/>
            </a:rPr>
            <a:t>Weekend Effect </a:t>
          </a:r>
        </a:p>
        <a:p>
          <a:r>
            <a:rPr lang="en-IN" sz="1050" b="0"/>
            <a:t>French, 1980</a:t>
          </a:r>
          <a:r>
            <a:rPr lang="en-IN" sz="1050" b="0">
              <a:latin typeface="Times New Roman" panose="02020603050405020304" pitchFamily="18" charset="0"/>
              <a:cs typeface="Times New Roman" panose="02020603050405020304" pitchFamily="18" charset="0"/>
            </a:rPr>
            <a:t> </a:t>
          </a:r>
          <a:endParaRPr lang="en-US" sz="1050" b="0">
            <a:latin typeface="Times New Roman" panose="02020603050405020304" pitchFamily="18" charset="0"/>
            <a:cs typeface="Times New Roman" panose="02020603050405020304" pitchFamily="18" charset="0"/>
          </a:endParaRPr>
        </a:p>
      </dgm:t>
    </dgm:pt>
    <dgm:pt modelId="{6CC3E9AE-4E17-4C32-9F96-BD94837AF9D4}" type="parTrans" cxnId="{3FC81BB2-BCD4-439E-B5BA-E4046071244C}">
      <dgm:prSet/>
      <dgm:spPr/>
      <dgm:t>
        <a:bodyPr/>
        <a:lstStyle/>
        <a:p>
          <a:endParaRPr lang="en-US" sz="1050">
            <a:latin typeface="Times New Roman" panose="02020603050405020304" pitchFamily="18" charset="0"/>
            <a:cs typeface="Times New Roman" panose="02020603050405020304" pitchFamily="18" charset="0"/>
          </a:endParaRPr>
        </a:p>
      </dgm:t>
    </dgm:pt>
    <dgm:pt modelId="{5BC235CF-6472-4AEE-BCB2-E1452839789E}" type="sibTrans" cxnId="{3FC81BB2-BCD4-439E-B5BA-E4046071244C}">
      <dgm:prSet/>
      <dgm:spPr/>
      <dgm:t>
        <a:bodyPr/>
        <a:lstStyle/>
        <a:p>
          <a:endParaRPr lang="en-US" sz="1050"/>
        </a:p>
      </dgm:t>
    </dgm:pt>
    <dgm:pt modelId="{2587F079-27D4-4449-A7BB-B84DDDF2FFAC}" type="asst">
      <dgm:prSet custT="1"/>
      <dgm:spPr/>
      <dgm:t>
        <a:bodyPr/>
        <a:lstStyle/>
        <a:p>
          <a:r>
            <a:rPr lang="en-IN" sz="1050" b="1">
              <a:latin typeface="Times New Roman" panose="02020603050405020304" pitchFamily="18" charset="0"/>
              <a:cs typeface="Times New Roman" panose="02020603050405020304" pitchFamily="18" charset="0"/>
            </a:rPr>
            <a:t>Prospect Theory </a:t>
          </a:r>
          <a:r>
            <a:rPr lang="en-IN" sz="1050" b="0"/>
            <a:t>Kahneman &amp; Tversky, 1979</a:t>
          </a:r>
          <a:endParaRPr lang="en-US" sz="1050" b="0">
            <a:latin typeface="Times New Roman" panose="02020603050405020304" pitchFamily="18" charset="0"/>
            <a:cs typeface="Times New Roman" panose="02020603050405020304" pitchFamily="18" charset="0"/>
          </a:endParaRPr>
        </a:p>
      </dgm:t>
    </dgm:pt>
    <dgm:pt modelId="{00239F48-280C-44AA-BBFA-F5C7A6F6893C}" type="parTrans" cxnId="{EB009CBA-3258-46C5-9A0C-A11AC12C0F30}">
      <dgm:prSet/>
      <dgm:spPr/>
      <dgm:t>
        <a:bodyPr/>
        <a:lstStyle/>
        <a:p>
          <a:endParaRPr lang="en-US" sz="1050">
            <a:latin typeface="Times New Roman" panose="02020603050405020304" pitchFamily="18" charset="0"/>
            <a:cs typeface="Times New Roman" panose="02020603050405020304" pitchFamily="18" charset="0"/>
          </a:endParaRPr>
        </a:p>
      </dgm:t>
    </dgm:pt>
    <dgm:pt modelId="{4DC1412D-EA4E-43B2-9D34-2F1883F193F9}" type="sibTrans" cxnId="{EB009CBA-3258-46C5-9A0C-A11AC12C0F30}">
      <dgm:prSet/>
      <dgm:spPr/>
      <dgm:t>
        <a:bodyPr/>
        <a:lstStyle/>
        <a:p>
          <a:endParaRPr lang="en-US" sz="1050"/>
        </a:p>
      </dgm:t>
    </dgm:pt>
    <dgm:pt modelId="{2E178B7B-4835-4E5F-B8CC-6E101D093E59}" type="asst">
      <dgm:prSet custT="1"/>
      <dgm:spPr/>
      <dgm:t>
        <a:bodyPr/>
        <a:lstStyle/>
        <a:p>
          <a:r>
            <a:rPr lang="en-IN" sz="1050" b="1">
              <a:latin typeface="Times New Roman" panose="02020603050405020304" pitchFamily="18" charset="0"/>
              <a:cs typeface="Times New Roman" panose="02020603050405020304" pitchFamily="18" charset="0"/>
            </a:rPr>
            <a:t>Excess Volatility</a:t>
          </a:r>
        </a:p>
        <a:p>
          <a:r>
            <a:rPr lang="en-IN" sz="1050" b="1">
              <a:latin typeface="Times New Roman" panose="02020603050405020304" pitchFamily="18" charset="0"/>
              <a:cs typeface="Times New Roman" panose="02020603050405020304" pitchFamily="18" charset="0"/>
            </a:rPr>
            <a:t> </a:t>
          </a:r>
          <a:r>
            <a:rPr lang="en-IN" sz="1050"/>
            <a:t>Robert Shiller, 1981 </a:t>
          </a:r>
          <a:r>
            <a:rPr lang="en-IN" sz="1050" b="1">
              <a:latin typeface="Times New Roman" panose="02020603050405020304" pitchFamily="18" charset="0"/>
              <a:cs typeface="Times New Roman" panose="02020603050405020304" pitchFamily="18" charset="0"/>
            </a:rPr>
            <a:t> </a:t>
          </a:r>
          <a:endParaRPr lang="en-US" sz="1050">
            <a:latin typeface="Times New Roman" panose="02020603050405020304" pitchFamily="18" charset="0"/>
            <a:cs typeface="Times New Roman" panose="02020603050405020304" pitchFamily="18" charset="0"/>
          </a:endParaRPr>
        </a:p>
      </dgm:t>
    </dgm:pt>
    <dgm:pt modelId="{4371DAE7-13AF-43DC-8A54-F1D059714D4B}" type="parTrans" cxnId="{2969EBA2-FFC3-43DC-B5FB-191A41ADFFBE}">
      <dgm:prSet/>
      <dgm:spPr/>
      <dgm:t>
        <a:bodyPr/>
        <a:lstStyle/>
        <a:p>
          <a:endParaRPr lang="en-US" sz="1050">
            <a:latin typeface="Times New Roman" panose="02020603050405020304" pitchFamily="18" charset="0"/>
            <a:cs typeface="Times New Roman" panose="02020603050405020304" pitchFamily="18" charset="0"/>
          </a:endParaRPr>
        </a:p>
      </dgm:t>
    </dgm:pt>
    <dgm:pt modelId="{ABB4139B-CF3C-4F66-9B7F-486A7932C2D0}" type="sibTrans" cxnId="{2969EBA2-FFC3-43DC-B5FB-191A41ADFFBE}">
      <dgm:prSet/>
      <dgm:spPr/>
      <dgm:t>
        <a:bodyPr/>
        <a:lstStyle/>
        <a:p>
          <a:endParaRPr lang="en-US" sz="1050"/>
        </a:p>
      </dgm:t>
    </dgm:pt>
    <dgm:pt modelId="{DBA555F8-6D39-4D60-9D93-53AC06D32BBE}" type="asst">
      <dgm:prSet custT="1"/>
      <dgm:spPr/>
      <dgm:t>
        <a:bodyPr/>
        <a:lstStyle/>
        <a:p>
          <a:r>
            <a:rPr lang="en-IN" sz="1050" b="1">
              <a:latin typeface="Times New Roman" panose="02020603050405020304" pitchFamily="18" charset="0"/>
              <a:cs typeface="Times New Roman" panose="02020603050405020304" pitchFamily="18" charset="0"/>
            </a:rPr>
            <a:t>Technical Trading Rules </a:t>
          </a:r>
          <a:r>
            <a:rPr lang="en-IN" sz="1050" b="0"/>
            <a:t>Brock et al., 1992</a:t>
          </a:r>
          <a:r>
            <a:rPr lang="en-IN" sz="1050" b="0">
              <a:latin typeface="Times New Roman" panose="02020603050405020304" pitchFamily="18" charset="0"/>
              <a:cs typeface="Times New Roman" panose="02020603050405020304" pitchFamily="18" charset="0"/>
            </a:rPr>
            <a:t> </a:t>
          </a:r>
          <a:endParaRPr lang="en-US" sz="1050" b="0">
            <a:latin typeface="Times New Roman" panose="02020603050405020304" pitchFamily="18" charset="0"/>
            <a:cs typeface="Times New Roman" panose="02020603050405020304" pitchFamily="18" charset="0"/>
          </a:endParaRPr>
        </a:p>
      </dgm:t>
    </dgm:pt>
    <dgm:pt modelId="{3DBB9397-52CE-439A-8664-5C21B538ED6F}" type="parTrans" cxnId="{B5D69423-0D22-43DE-B9F7-310CF1B4A347}">
      <dgm:prSet/>
      <dgm:spPr/>
      <dgm:t>
        <a:bodyPr/>
        <a:lstStyle/>
        <a:p>
          <a:endParaRPr lang="en-US" sz="1050">
            <a:latin typeface="Times New Roman" panose="02020603050405020304" pitchFamily="18" charset="0"/>
            <a:cs typeface="Times New Roman" panose="02020603050405020304" pitchFamily="18" charset="0"/>
          </a:endParaRPr>
        </a:p>
      </dgm:t>
    </dgm:pt>
    <dgm:pt modelId="{C73159B6-4B1B-437E-81F7-415A787C5182}" type="sibTrans" cxnId="{B5D69423-0D22-43DE-B9F7-310CF1B4A347}">
      <dgm:prSet/>
      <dgm:spPr/>
      <dgm:t>
        <a:bodyPr/>
        <a:lstStyle/>
        <a:p>
          <a:endParaRPr lang="en-US" sz="1050"/>
        </a:p>
      </dgm:t>
    </dgm:pt>
    <dgm:pt modelId="{9F4AC7EC-B1FB-47FC-A764-E148C40B555C}" type="asst">
      <dgm:prSet custT="1"/>
      <dgm:spPr/>
      <dgm:t>
        <a:bodyPr/>
        <a:lstStyle/>
        <a:p>
          <a:r>
            <a:rPr lang="en-IN" sz="1050" b="1">
              <a:latin typeface="Times New Roman" panose="02020603050405020304" pitchFamily="18" charset="0"/>
              <a:cs typeface="Times New Roman" panose="02020603050405020304" pitchFamily="18" charset="0"/>
            </a:rPr>
            <a:t>Restraints on Arbitrage </a:t>
          </a:r>
          <a:r>
            <a:rPr lang="en-IN" sz="1050" b="0"/>
            <a:t>Shleifer &amp; Vishny, 1997</a:t>
          </a:r>
          <a:endParaRPr lang="en-IN" sz="1050" b="0">
            <a:latin typeface="Times New Roman" panose="02020603050405020304" pitchFamily="18" charset="0"/>
            <a:cs typeface="Times New Roman" panose="02020603050405020304" pitchFamily="18" charset="0"/>
          </a:endParaRPr>
        </a:p>
      </dgm:t>
    </dgm:pt>
    <dgm:pt modelId="{ECB686F4-5ABE-4AA8-AB88-96BF15FDCDF4}" type="parTrans" cxnId="{1EDEF1D7-3A43-4461-BE35-6D8602BC03A8}">
      <dgm:prSet/>
      <dgm:spPr/>
      <dgm:t>
        <a:bodyPr/>
        <a:lstStyle/>
        <a:p>
          <a:endParaRPr lang="en-US" sz="1050">
            <a:latin typeface="Times New Roman" panose="02020603050405020304" pitchFamily="18" charset="0"/>
            <a:cs typeface="Times New Roman" panose="02020603050405020304" pitchFamily="18" charset="0"/>
          </a:endParaRPr>
        </a:p>
      </dgm:t>
    </dgm:pt>
    <dgm:pt modelId="{5BD377D5-E637-46EC-8DEC-BBA7421CE302}" type="sibTrans" cxnId="{1EDEF1D7-3A43-4461-BE35-6D8602BC03A8}">
      <dgm:prSet/>
      <dgm:spPr/>
      <dgm:t>
        <a:bodyPr/>
        <a:lstStyle/>
        <a:p>
          <a:endParaRPr lang="en-US" sz="1050"/>
        </a:p>
      </dgm:t>
    </dgm:pt>
    <dgm:pt modelId="{0E00D9A0-7EC6-412C-905C-D3DC02CAB4B4}">
      <dgm:prSet custT="1"/>
      <dgm:spPr/>
      <dgm:t>
        <a:bodyPr/>
        <a:lstStyle/>
        <a:p>
          <a:r>
            <a:rPr lang="en-IN" sz="1050" b="1">
              <a:latin typeface="Times New Roman" panose="02020603050405020304" pitchFamily="18" charset="0"/>
              <a:cs typeface="Times New Roman" panose="02020603050405020304" pitchFamily="18" charset="0"/>
            </a:rPr>
            <a:t>Predictability and Filter Rules </a:t>
          </a:r>
          <a:endParaRPr lang="en-US" sz="1050">
            <a:latin typeface="Times New Roman" panose="02020603050405020304" pitchFamily="18" charset="0"/>
            <a:cs typeface="Times New Roman" panose="02020603050405020304" pitchFamily="18" charset="0"/>
          </a:endParaRPr>
        </a:p>
      </dgm:t>
    </dgm:pt>
    <dgm:pt modelId="{283F95FA-D352-49E4-B7C5-B86AA8894263}" type="parTrans" cxnId="{B92FCFDD-2252-453A-B358-3EF970180A9D}">
      <dgm:prSet/>
      <dgm:spPr/>
      <dgm:t>
        <a:bodyPr/>
        <a:lstStyle/>
        <a:p>
          <a:endParaRPr lang="en-US" sz="1050">
            <a:latin typeface="Times New Roman" panose="02020603050405020304" pitchFamily="18" charset="0"/>
            <a:cs typeface="Times New Roman" panose="02020603050405020304" pitchFamily="18" charset="0"/>
          </a:endParaRPr>
        </a:p>
      </dgm:t>
    </dgm:pt>
    <dgm:pt modelId="{52B9380F-C4BC-4B77-B4EE-264EB6811AEC}" type="sibTrans" cxnId="{B92FCFDD-2252-453A-B358-3EF970180A9D}">
      <dgm:prSet/>
      <dgm:spPr/>
      <dgm:t>
        <a:bodyPr/>
        <a:lstStyle/>
        <a:p>
          <a:endParaRPr lang="en-US" sz="1050"/>
        </a:p>
      </dgm:t>
    </dgm:pt>
    <dgm:pt modelId="{2F27901D-815C-436F-B03F-5059F8727A00}" type="asst">
      <dgm:prSet custT="1"/>
      <dgm:spPr/>
      <dgm:t>
        <a:bodyPr/>
        <a:lstStyle/>
        <a:p>
          <a:r>
            <a:rPr lang="en-IN" sz="1050" b="1">
              <a:latin typeface="Times New Roman" panose="02020603050405020304" pitchFamily="18" charset="0"/>
              <a:cs typeface="Times New Roman" panose="02020603050405020304" pitchFamily="18" charset="0"/>
            </a:rPr>
            <a:t>Effectiveness of Filter Rules in Stock Market </a:t>
          </a:r>
          <a:r>
            <a:rPr lang="en-IN" sz="1050" b="0"/>
            <a:t>Alexander, 1961</a:t>
          </a:r>
          <a:r>
            <a:rPr lang="en-IN" sz="1050" b="0">
              <a:latin typeface="Times New Roman" panose="02020603050405020304" pitchFamily="18" charset="0"/>
              <a:cs typeface="Times New Roman" panose="02020603050405020304" pitchFamily="18" charset="0"/>
            </a:rPr>
            <a:t> </a:t>
          </a:r>
          <a:endParaRPr lang="en-US" sz="1050" b="0">
            <a:latin typeface="Times New Roman" panose="02020603050405020304" pitchFamily="18" charset="0"/>
            <a:cs typeface="Times New Roman" panose="02020603050405020304" pitchFamily="18" charset="0"/>
          </a:endParaRPr>
        </a:p>
      </dgm:t>
    </dgm:pt>
    <dgm:pt modelId="{B9510B80-9D2E-49B4-AF9D-69CFDB6D9DDB}" type="parTrans" cxnId="{BF66A597-8C8C-4D6A-AA77-0757E2635B30}">
      <dgm:prSet/>
      <dgm:spPr/>
      <dgm:t>
        <a:bodyPr/>
        <a:lstStyle/>
        <a:p>
          <a:endParaRPr lang="en-US" sz="1050">
            <a:latin typeface="Times New Roman" panose="02020603050405020304" pitchFamily="18" charset="0"/>
            <a:cs typeface="Times New Roman" panose="02020603050405020304" pitchFamily="18" charset="0"/>
          </a:endParaRPr>
        </a:p>
      </dgm:t>
    </dgm:pt>
    <dgm:pt modelId="{69BD6FAC-D4DC-496C-B80D-BFF660DA3E6D}" type="sibTrans" cxnId="{BF66A597-8C8C-4D6A-AA77-0757E2635B30}">
      <dgm:prSet/>
      <dgm:spPr/>
      <dgm:t>
        <a:bodyPr/>
        <a:lstStyle/>
        <a:p>
          <a:endParaRPr lang="en-US" sz="1050"/>
        </a:p>
      </dgm:t>
    </dgm:pt>
    <dgm:pt modelId="{6CEAD945-6F98-4445-B9DA-D887C84FED17}" type="asst">
      <dgm:prSet custT="1"/>
      <dgm:spPr/>
      <dgm:t>
        <a:bodyPr/>
        <a:lstStyle/>
        <a:p>
          <a:r>
            <a:rPr lang="en-IN" sz="1050" b="1">
              <a:latin typeface="Times New Roman" panose="02020603050405020304" pitchFamily="18" charset="0"/>
              <a:cs typeface="Times New Roman" panose="02020603050405020304" pitchFamily="18" charset="0"/>
            </a:rPr>
            <a:t>Effectiveness of Filter Rule in Foreign Exchange Markets </a:t>
          </a:r>
        </a:p>
        <a:p>
          <a:r>
            <a:rPr lang="en-IN" sz="1050"/>
            <a:t>Richard Sweeney, 1988 </a:t>
          </a:r>
          <a:endParaRPr lang="en-US" sz="1050">
            <a:latin typeface="Times New Roman" panose="02020603050405020304" pitchFamily="18" charset="0"/>
            <a:cs typeface="Times New Roman" panose="02020603050405020304" pitchFamily="18" charset="0"/>
          </a:endParaRPr>
        </a:p>
      </dgm:t>
    </dgm:pt>
    <dgm:pt modelId="{4FE749F3-3299-4F9A-B847-CDCB18B994F3}" type="parTrans" cxnId="{8E811750-F40E-4F5C-87B7-1C0CCCB0FA6C}">
      <dgm:prSet/>
      <dgm:spPr/>
      <dgm:t>
        <a:bodyPr/>
        <a:lstStyle/>
        <a:p>
          <a:endParaRPr lang="en-US" sz="1050">
            <a:latin typeface="Times New Roman" panose="02020603050405020304" pitchFamily="18" charset="0"/>
            <a:cs typeface="Times New Roman" panose="02020603050405020304" pitchFamily="18" charset="0"/>
          </a:endParaRPr>
        </a:p>
      </dgm:t>
    </dgm:pt>
    <dgm:pt modelId="{9AF0E76B-ECA4-4AE2-9AE3-1687BC00AD79}" type="sibTrans" cxnId="{8E811750-F40E-4F5C-87B7-1C0CCCB0FA6C}">
      <dgm:prSet/>
      <dgm:spPr/>
      <dgm:t>
        <a:bodyPr/>
        <a:lstStyle/>
        <a:p>
          <a:endParaRPr lang="en-US" sz="1050"/>
        </a:p>
      </dgm:t>
    </dgm:pt>
    <dgm:pt modelId="{F8868397-AB93-4332-A204-8845988616D5}" type="pres">
      <dgm:prSet presAssocID="{5B0601C4-BBE9-45D0-82AB-0BF070118199}" presName="Name0" presStyleCnt="0">
        <dgm:presLayoutVars>
          <dgm:chPref val="1"/>
          <dgm:dir/>
          <dgm:animOne val="branch"/>
          <dgm:animLvl val="lvl"/>
          <dgm:resizeHandles val="exact"/>
        </dgm:presLayoutVars>
      </dgm:prSet>
      <dgm:spPr/>
    </dgm:pt>
    <dgm:pt modelId="{7C4EA7A9-6CBD-443F-BD63-2A660EC3CB3B}" type="pres">
      <dgm:prSet presAssocID="{C1672A1F-CFC0-4453-88CF-E7A51AECB6A5}" presName="root1" presStyleCnt="0"/>
      <dgm:spPr/>
    </dgm:pt>
    <dgm:pt modelId="{0121EEE5-1D0F-4696-8F6A-D70FE51CACBE}" type="pres">
      <dgm:prSet presAssocID="{C1672A1F-CFC0-4453-88CF-E7A51AECB6A5}" presName="LevelOneTextNode" presStyleLbl="node0" presStyleIdx="0" presStyleCnt="1" custScaleY="124113" custLinFactNeighborX="-26980" custLinFactNeighborY="1922">
        <dgm:presLayoutVars>
          <dgm:chPref val="3"/>
        </dgm:presLayoutVars>
      </dgm:prSet>
      <dgm:spPr/>
    </dgm:pt>
    <dgm:pt modelId="{326EAFCF-7D9D-40B4-A10F-AC9DB48BF998}" type="pres">
      <dgm:prSet presAssocID="{C1672A1F-CFC0-4453-88CF-E7A51AECB6A5}" presName="level2hierChild" presStyleCnt="0"/>
      <dgm:spPr/>
    </dgm:pt>
    <dgm:pt modelId="{4E103A74-D7CC-4C87-A6AE-58733BE7FB90}" type="pres">
      <dgm:prSet presAssocID="{BDE78043-5FA6-49A5-8A80-7687B415DB90}" presName="conn2-1" presStyleLbl="parChTrans1D2" presStyleIdx="0" presStyleCnt="4"/>
      <dgm:spPr/>
    </dgm:pt>
    <dgm:pt modelId="{035E086C-3496-4A71-9282-97FA457AA9D9}" type="pres">
      <dgm:prSet presAssocID="{BDE78043-5FA6-49A5-8A80-7687B415DB90}" presName="connTx" presStyleLbl="parChTrans1D2" presStyleIdx="0" presStyleCnt="4"/>
      <dgm:spPr/>
    </dgm:pt>
    <dgm:pt modelId="{FA742E13-3238-48F1-AB03-5CC3F1572D6B}" type="pres">
      <dgm:prSet presAssocID="{29804CEB-FAD0-4B08-B02C-B38E80EDCA88}" presName="root2" presStyleCnt="0"/>
      <dgm:spPr/>
    </dgm:pt>
    <dgm:pt modelId="{5B1F4365-D6A0-46B1-BE5A-6115374187DB}" type="pres">
      <dgm:prSet presAssocID="{29804CEB-FAD0-4B08-B02C-B38E80EDCA88}" presName="LevelTwoTextNode" presStyleLbl="node2" presStyleIdx="0" presStyleCnt="4">
        <dgm:presLayoutVars>
          <dgm:chPref val="3"/>
        </dgm:presLayoutVars>
      </dgm:prSet>
      <dgm:spPr/>
    </dgm:pt>
    <dgm:pt modelId="{6DB42B28-AEE7-46B1-AE3E-47449705D32B}" type="pres">
      <dgm:prSet presAssocID="{29804CEB-FAD0-4B08-B02C-B38E80EDCA88}" presName="level3hierChild" presStyleCnt="0"/>
      <dgm:spPr/>
    </dgm:pt>
    <dgm:pt modelId="{5E7E84B3-EAEF-4AAF-A5AB-935270732CB2}" type="pres">
      <dgm:prSet presAssocID="{44F4EF33-616D-4E71-B09E-23C7E88A042E}" presName="conn2-1" presStyleLbl="parChTrans1D3" presStyleIdx="0" presStyleCnt="9"/>
      <dgm:spPr/>
    </dgm:pt>
    <dgm:pt modelId="{D1231A90-C65E-42BA-9078-EF1093044A75}" type="pres">
      <dgm:prSet presAssocID="{44F4EF33-616D-4E71-B09E-23C7E88A042E}" presName="connTx" presStyleLbl="parChTrans1D3" presStyleIdx="0" presStyleCnt="9"/>
      <dgm:spPr/>
    </dgm:pt>
    <dgm:pt modelId="{BBFF1014-052B-419F-A89D-EC1E8D4E8F7B}" type="pres">
      <dgm:prSet presAssocID="{8465F4DD-C7DE-48CB-A847-3FBF5D1B1A28}" presName="root2" presStyleCnt="0"/>
      <dgm:spPr/>
    </dgm:pt>
    <dgm:pt modelId="{7E813957-54BB-4D73-A31C-DA351A18CACD}" type="pres">
      <dgm:prSet presAssocID="{8465F4DD-C7DE-48CB-A847-3FBF5D1B1A28}" presName="LevelTwoTextNode" presStyleLbl="asst2" presStyleIdx="0" presStyleCnt="11" custScaleY="119502">
        <dgm:presLayoutVars>
          <dgm:chPref val="3"/>
        </dgm:presLayoutVars>
      </dgm:prSet>
      <dgm:spPr/>
    </dgm:pt>
    <dgm:pt modelId="{1C6CB00B-DB4B-4B9F-8870-68204D7869C0}" type="pres">
      <dgm:prSet presAssocID="{8465F4DD-C7DE-48CB-A847-3FBF5D1B1A28}" presName="level3hierChild" presStyleCnt="0"/>
      <dgm:spPr/>
    </dgm:pt>
    <dgm:pt modelId="{43C4AA6D-8CE8-4605-A1AA-CC25A21A5429}" type="pres">
      <dgm:prSet presAssocID="{47443EA7-855C-40E6-9436-D2FE59C79B07}" presName="conn2-1" presStyleLbl="parChTrans1D3" presStyleIdx="1" presStyleCnt="9"/>
      <dgm:spPr/>
    </dgm:pt>
    <dgm:pt modelId="{81F5EBD3-1B50-41C7-B109-7BCDF91807B7}" type="pres">
      <dgm:prSet presAssocID="{47443EA7-855C-40E6-9436-D2FE59C79B07}" presName="connTx" presStyleLbl="parChTrans1D3" presStyleIdx="1" presStyleCnt="9"/>
      <dgm:spPr/>
    </dgm:pt>
    <dgm:pt modelId="{D2386FB5-ECCF-46E7-BF8C-EB417724E310}" type="pres">
      <dgm:prSet presAssocID="{AEA22932-E645-488B-8BD9-265F8126390B}" presName="root2" presStyleCnt="0"/>
      <dgm:spPr/>
    </dgm:pt>
    <dgm:pt modelId="{61458B95-1CF2-4347-B139-8D42B917736F}" type="pres">
      <dgm:prSet presAssocID="{AEA22932-E645-488B-8BD9-265F8126390B}" presName="LevelTwoTextNode" presStyleLbl="asst2" presStyleIdx="1" presStyleCnt="11" custScaleY="119502">
        <dgm:presLayoutVars>
          <dgm:chPref val="3"/>
        </dgm:presLayoutVars>
      </dgm:prSet>
      <dgm:spPr/>
    </dgm:pt>
    <dgm:pt modelId="{264B8BD2-16B1-4B58-AD13-1FFC29512B0C}" type="pres">
      <dgm:prSet presAssocID="{AEA22932-E645-488B-8BD9-265F8126390B}" presName="level3hierChild" presStyleCnt="0"/>
      <dgm:spPr/>
    </dgm:pt>
    <dgm:pt modelId="{03F80F4D-EB1C-4BB6-BD7E-4075D51E601E}" type="pres">
      <dgm:prSet presAssocID="{BC980CD1-CC9F-4339-865E-E2DBFC452DE4}" presName="conn2-1" presStyleLbl="parChTrans1D3" presStyleIdx="2" presStyleCnt="9"/>
      <dgm:spPr/>
    </dgm:pt>
    <dgm:pt modelId="{0E30B4F3-EAF7-44D1-B5F4-A6F4E227F0E9}" type="pres">
      <dgm:prSet presAssocID="{BC980CD1-CC9F-4339-865E-E2DBFC452DE4}" presName="connTx" presStyleLbl="parChTrans1D3" presStyleIdx="2" presStyleCnt="9"/>
      <dgm:spPr/>
    </dgm:pt>
    <dgm:pt modelId="{C6DE6982-5D35-460C-8A06-FC1842275EA4}" type="pres">
      <dgm:prSet presAssocID="{B339A164-C624-420D-8B8E-FC2CAC64E3B1}" presName="root2" presStyleCnt="0"/>
      <dgm:spPr/>
    </dgm:pt>
    <dgm:pt modelId="{5FE94C65-7A8B-40F1-A8B3-5A22AB4F22DE}" type="pres">
      <dgm:prSet presAssocID="{B339A164-C624-420D-8B8E-FC2CAC64E3B1}" presName="LevelTwoTextNode" presStyleLbl="asst2" presStyleIdx="2" presStyleCnt="11">
        <dgm:presLayoutVars>
          <dgm:chPref val="3"/>
        </dgm:presLayoutVars>
      </dgm:prSet>
      <dgm:spPr/>
    </dgm:pt>
    <dgm:pt modelId="{7FD58929-DB61-4C79-ADC5-776F44613534}" type="pres">
      <dgm:prSet presAssocID="{B339A164-C624-420D-8B8E-FC2CAC64E3B1}" presName="level3hierChild" presStyleCnt="0"/>
      <dgm:spPr/>
    </dgm:pt>
    <dgm:pt modelId="{D244D8C5-3D05-420B-93CD-98A413E0628D}" type="pres">
      <dgm:prSet presAssocID="{41803D8A-C6CC-4EE4-9CD6-6AA0EADCE382}" presName="conn2-1" presStyleLbl="parChTrans1D4" presStyleIdx="0" presStyleCnt="2"/>
      <dgm:spPr/>
    </dgm:pt>
    <dgm:pt modelId="{420280C7-7F5F-407F-9B9B-6ABD74FFB3D8}" type="pres">
      <dgm:prSet presAssocID="{41803D8A-C6CC-4EE4-9CD6-6AA0EADCE382}" presName="connTx" presStyleLbl="parChTrans1D4" presStyleIdx="0" presStyleCnt="2"/>
      <dgm:spPr/>
    </dgm:pt>
    <dgm:pt modelId="{B98745F5-581D-45E4-8C58-8EC3E26320D0}" type="pres">
      <dgm:prSet presAssocID="{7D35FA2C-464D-468B-AC7D-0FA0EF355115}" presName="root2" presStyleCnt="0"/>
      <dgm:spPr/>
    </dgm:pt>
    <dgm:pt modelId="{1D7C0658-61BB-4D0F-88EC-3C2C483F6D0F}" type="pres">
      <dgm:prSet presAssocID="{7D35FA2C-464D-468B-AC7D-0FA0EF355115}" presName="LevelTwoTextNode" presStyleLbl="asst2" presStyleIdx="3" presStyleCnt="11">
        <dgm:presLayoutVars>
          <dgm:chPref val="3"/>
        </dgm:presLayoutVars>
      </dgm:prSet>
      <dgm:spPr/>
    </dgm:pt>
    <dgm:pt modelId="{CF68C5EB-4610-493A-8F2F-CF785E5D137D}" type="pres">
      <dgm:prSet presAssocID="{7D35FA2C-464D-468B-AC7D-0FA0EF355115}" presName="level3hierChild" presStyleCnt="0"/>
      <dgm:spPr/>
    </dgm:pt>
    <dgm:pt modelId="{63395998-4434-4AC7-A3BE-6F4088E4EB63}" type="pres">
      <dgm:prSet presAssocID="{6CC3E9AE-4E17-4C32-9F96-BD94837AF9D4}" presName="conn2-1" presStyleLbl="parChTrans1D4" presStyleIdx="1" presStyleCnt="2"/>
      <dgm:spPr/>
    </dgm:pt>
    <dgm:pt modelId="{36D93821-FF92-4349-8FCD-B82CFF915D46}" type="pres">
      <dgm:prSet presAssocID="{6CC3E9AE-4E17-4C32-9F96-BD94837AF9D4}" presName="connTx" presStyleLbl="parChTrans1D4" presStyleIdx="1" presStyleCnt="2"/>
      <dgm:spPr/>
    </dgm:pt>
    <dgm:pt modelId="{FB01EB00-82EF-4FF1-AF73-85F3F6EF76FE}" type="pres">
      <dgm:prSet presAssocID="{A9CF5E01-1B01-4681-8001-19DC55B00242}" presName="root2" presStyleCnt="0"/>
      <dgm:spPr/>
    </dgm:pt>
    <dgm:pt modelId="{94C309EB-9721-40E8-A8AE-A17F724FDA5C}" type="pres">
      <dgm:prSet presAssocID="{A9CF5E01-1B01-4681-8001-19DC55B00242}" presName="LevelTwoTextNode" presStyleLbl="asst2" presStyleIdx="4" presStyleCnt="11">
        <dgm:presLayoutVars>
          <dgm:chPref val="3"/>
        </dgm:presLayoutVars>
      </dgm:prSet>
      <dgm:spPr/>
    </dgm:pt>
    <dgm:pt modelId="{47DEE444-1C1F-4320-8DF1-78088008AB2D}" type="pres">
      <dgm:prSet presAssocID="{A9CF5E01-1B01-4681-8001-19DC55B00242}" presName="level3hierChild" presStyleCnt="0"/>
      <dgm:spPr/>
    </dgm:pt>
    <dgm:pt modelId="{D6C93CB4-95E7-4147-9CC0-2C768DC27E5C}" type="pres">
      <dgm:prSet presAssocID="{4FE7BC40-D887-4D78-BC85-0CA8CEE0D421}" presName="conn2-1" presStyleLbl="parChTrans1D2" presStyleIdx="1" presStyleCnt="4"/>
      <dgm:spPr/>
    </dgm:pt>
    <dgm:pt modelId="{3E96AD95-DAA9-4636-A86F-DC4374E3B638}" type="pres">
      <dgm:prSet presAssocID="{4FE7BC40-D887-4D78-BC85-0CA8CEE0D421}" presName="connTx" presStyleLbl="parChTrans1D2" presStyleIdx="1" presStyleCnt="4"/>
      <dgm:spPr/>
    </dgm:pt>
    <dgm:pt modelId="{A098470D-F2F4-4246-A770-16B8E3D396F2}" type="pres">
      <dgm:prSet presAssocID="{D3436511-4C81-4D22-8FDB-D86426498E6D}" presName="root2" presStyleCnt="0"/>
      <dgm:spPr/>
    </dgm:pt>
    <dgm:pt modelId="{3485433D-A883-47F8-9844-2F3258687D44}" type="pres">
      <dgm:prSet presAssocID="{D3436511-4C81-4D22-8FDB-D86426498E6D}" presName="LevelTwoTextNode" presStyleLbl="node2" presStyleIdx="1" presStyleCnt="4">
        <dgm:presLayoutVars>
          <dgm:chPref val="3"/>
        </dgm:presLayoutVars>
      </dgm:prSet>
      <dgm:spPr/>
    </dgm:pt>
    <dgm:pt modelId="{72E5B22D-5319-4652-824E-5F8A9478FFBF}" type="pres">
      <dgm:prSet presAssocID="{D3436511-4C81-4D22-8FDB-D86426498E6D}" presName="level3hierChild" presStyleCnt="0"/>
      <dgm:spPr/>
    </dgm:pt>
    <dgm:pt modelId="{C820BDBE-2830-4F84-9DB0-94B0B922C482}" type="pres">
      <dgm:prSet presAssocID="{00239F48-280C-44AA-BBFA-F5C7A6F6893C}" presName="conn2-1" presStyleLbl="parChTrans1D3" presStyleIdx="3" presStyleCnt="9"/>
      <dgm:spPr/>
    </dgm:pt>
    <dgm:pt modelId="{4370D2DD-D319-4FEB-8F96-40507572A4A4}" type="pres">
      <dgm:prSet presAssocID="{00239F48-280C-44AA-BBFA-F5C7A6F6893C}" presName="connTx" presStyleLbl="parChTrans1D3" presStyleIdx="3" presStyleCnt="9"/>
      <dgm:spPr/>
    </dgm:pt>
    <dgm:pt modelId="{378FA88A-A63F-422A-A5B4-CD3D042E6BD1}" type="pres">
      <dgm:prSet presAssocID="{2587F079-27D4-4449-A7BB-B84DDDF2FFAC}" presName="root2" presStyleCnt="0"/>
      <dgm:spPr/>
    </dgm:pt>
    <dgm:pt modelId="{689D817C-A57E-423C-B245-227BDA9D555C}" type="pres">
      <dgm:prSet presAssocID="{2587F079-27D4-4449-A7BB-B84DDDF2FFAC}" presName="LevelTwoTextNode" presStyleLbl="asst2" presStyleIdx="5" presStyleCnt="11" custScaleX="99892" custScaleY="119502">
        <dgm:presLayoutVars>
          <dgm:chPref val="3"/>
        </dgm:presLayoutVars>
      </dgm:prSet>
      <dgm:spPr/>
    </dgm:pt>
    <dgm:pt modelId="{E164DC83-5B84-45AA-905A-FF8914CDD0B7}" type="pres">
      <dgm:prSet presAssocID="{2587F079-27D4-4449-A7BB-B84DDDF2FFAC}" presName="level3hierChild" presStyleCnt="0"/>
      <dgm:spPr/>
    </dgm:pt>
    <dgm:pt modelId="{2E0D32D0-7018-4A0D-A028-53109E1D81A5}" type="pres">
      <dgm:prSet presAssocID="{4371DAE7-13AF-43DC-8A54-F1D059714D4B}" presName="conn2-1" presStyleLbl="parChTrans1D3" presStyleIdx="4" presStyleCnt="9"/>
      <dgm:spPr/>
    </dgm:pt>
    <dgm:pt modelId="{25E2709D-943C-4E4E-9B14-6AE54C049210}" type="pres">
      <dgm:prSet presAssocID="{4371DAE7-13AF-43DC-8A54-F1D059714D4B}" presName="connTx" presStyleLbl="parChTrans1D3" presStyleIdx="4" presStyleCnt="9"/>
      <dgm:spPr/>
    </dgm:pt>
    <dgm:pt modelId="{60B93582-5BAF-473B-BABA-672324AF20B7}" type="pres">
      <dgm:prSet presAssocID="{2E178B7B-4835-4E5F-B8CC-6E101D093E59}" presName="root2" presStyleCnt="0"/>
      <dgm:spPr/>
    </dgm:pt>
    <dgm:pt modelId="{3A6A1993-F07E-40C7-88A7-3E8E92E476DC}" type="pres">
      <dgm:prSet presAssocID="{2E178B7B-4835-4E5F-B8CC-6E101D093E59}" presName="LevelTwoTextNode" presStyleLbl="asst2" presStyleIdx="6" presStyleCnt="11">
        <dgm:presLayoutVars>
          <dgm:chPref val="3"/>
        </dgm:presLayoutVars>
      </dgm:prSet>
      <dgm:spPr/>
    </dgm:pt>
    <dgm:pt modelId="{700B1E2B-E3CA-4CDF-ABBB-297ADDB1CA01}" type="pres">
      <dgm:prSet presAssocID="{2E178B7B-4835-4E5F-B8CC-6E101D093E59}" presName="level3hierChild" presStyleCnt="0"/>
      <dgm:spPr/>
    </dgm:pt>
    <dgm:pt modelId="{62CE7C5F-4FF4-4506-9CDC-15F851F61AE0}" type="pres">
      <dgm:prSet presAssocID="{A70F163C-69CC-4F6B-AD50-535C3137F0F7}" presName="conn2-1" presStyleLbl="parChTrans1D2" presStyleIdx="2" presStyleCnt="4"/>
      <dgm:spPr/>
    </dgm:pt>
    <dgm:pt modelId="{49FDA616-29E0-4B19-BE84-9FCBB1B3FDDC}" type="pres">
      <dgm:prSet presAssocID="{A70F163C-69CC-4F6B-AD50-535C3137F0F7}" presName="connTx" presStyleLbl="parChTrans1D2" presStyleIdx="2" presStyleCnt="4"/>
      <dgm:spPr/>
    </dgm:pt>
    <dgm:pt modelId="{569AD342-2386-4D55-AEC4-5AB9B4E61984}" type="pres">
      <dgm:prSet presAssocID="{E24DC507-788B-4628-A3CA-2C7ABD413EAF}" presName="root2" presStyleCnt="0"/>
      <dgm:spPr/>
    </dgm:pt>
    <dgm:pt modelId="{E2D5782B-8E94-410F-9CA2-118D98E61CFB}" type="pres">
      <dgm:prSet presAssocID="{E24DC507-788B-4628-A3CA-2C7ABD413EAF}" presName="LevelTwoTextNode" presStyleLbl="node2" presStyleIdx="2" presStyleCnt="4">
        <dgm:presLayoutVars>
          <dgm:chPref val="3"/>
        </dgm:presLayoutVars>
      </dgm:prSet>
      <dgm:spPr/>
    </dgm:pt>
    <dgm:pt modelId="{D2F7C36B-1943-4BE3-AD7F-A66E5BE7D5C5}" type="pres">
      <dgm:prSet presAssocID="{E24DC507-788B-4628-A3CA-2C7ABD413EAF}" presName="level3hierChild" presStyleCnt="0"/>
      <dgm:spPr/>
    </dgm:pt>
    <dgm:pt modelId="{89E11789-077C-42F0-906B-86775D376882}" type="pres">
      <dgm:prSet presAssocID="{3DBB9397-52CE-439A-8664-5C21B538ED6F}" presName="conn2-1" presStyleLbl="parChTrans1D3" presStyleIdx="5" presStyleCnt="9"/>
      <dgm:spPr/>
    </dgm:pt>
    <dgm:pt modelId="{42E836A2-1FA2-4E9E-A098-AD1D23E29F5E}" type="pres">
      <dgm:prSet presAssocID="{3DBB9397-52CE-439A-8664-5C21B538ED6F}" presName="connTx" presStyleLbl="parChTrans1D3" presStyleIdx="5" presStyleCnt="9"/>
      <dgm:spPr/>
    </dgm:pt>
    <dgm:pt modelId="{E61DBBB9-0CB3-4629-A7ED-0C77B8057A2E}" type="pres">
      <dgm:prSet presAssocID="{DBA555F8-6D39-4D60-9D93-53AC06D32BBE}" presName="root2" presStyleCnt="0"/>
      <dgm:spPr/>
    </dgm:pt>
    <dgm:pt modelId="{FF559BF6-361E-480F-A6E0-FE9EA48FBC73}" type="pres">
      <dgm:prSet presAssocID="{DBA555F8-6D39-4D60-9D93-53AC06D32BBE}" presName="LevelTwoTextNode" presStyleLbl="asst2" presStyleIdx="7" presStyleCnt="11">
        <dgm:presLayoutVars>
          <dgm:chPref val="3"/>
        </dgm:presLayoutVars>
      </dgm:prSet>
      <dgm:spPr/>
    </dgm:pt>
    <dgm:pt modelId="{6C40AC38-9EE6-43C1-B0A6-05C905BE51DD}" type="pres">
      <dgm:prSet presAssocID="{DBA555F8-6D39-4D60-9D93-53AC06D32BBE}" presName="level3hierChild" presStyleCnt="0"/>
      <dgm:spPr/>
    </dgm:pt>
    <dgm:pt modelId="{59E265B9-A343-436C-9609-52ADEC1E4BA5}" type="pres">
      <dgm:prSet presAssocID="{ECB686F4-5ABE-4AA8-AB88-96BF15FDCDF4}" presName="conn2-1" presStyleLbl="parChTrans1D3" presStyleIdx="6" presStyleCnt="9"/>
      <dgm:spPr/>
    </dgm:pt>
    <dgm:pt modelId="{DA8A9185-B923-4156-9B35-D40D2CF0AEB4}" type="pres">
      <dgm:prSet presAssocID="{ECB686F4-5ABE-4AA8-AB88-96BF15FDCDF4}" presName="connTx" presStyleLbl="parChTrans1D3" presStyleIdx="6" presStyleCnt="9"/>
      <dgm:spPr/>
    </dgm:pt>
    <dgm:pt modelId="{A0BC0353-211C-47BC-9A6C-07A385C4E2C2}" type="pres">
      <dgm:prSet presAssocID="{9F4AC7EC-B1FB-47FC-A764-E148C40B555C}" presName="root2" presStyleCnt="0"/>
      <dgm:spPr/>
    </dgm:pt>
    <dgm:pt modelId="{FD3C4273-D0F9-473F-96D3-5203F868B1A7}" type="pres">
      <dgm:prSet presAssocID="{9F4AC7EC-B1FB-47FC-A764-E148C40B555C}" presName="LevelTwoTextNode" presStyleLbl="asst2" presStyleIdx="8" presStyleCnt="11">
        <dgm:presLayoutVars>
          <dgm:chPref val="3"/>
        </dgm:presLayoutVars>
      </dgm:prSet>
      <dgm:spPr/>
    </dgm:pt>
    <dgm:pt modelId="{ED373141-AE58-413C-AF35-F97FE26047AD}" type="pres">
      <dgm:prSet presAssocID="{9F4AC7EC-B1FB-47FC-A764-E148C40B555C}" presName="level3hierChild" presStyleCnt="0"/>
      <dgm:spPr/>
    </dgm:pt>
    <dgm:pt modelId="{D112D718-893F-4391-9A34-E1DB0BEA8FAE}" type="pres">
      <dgm:prSet presAssocID="{283F95FA-D352-49E4-B7C5-B86AA8894263}" presName="conn2-1" presStyleLbl="parChTrans1D2" presStyleIdx="3" presStyleCnt="4"/>
      <dgm:spPr/>
    </dgm:pt>
    <dgm:pt modelId="{1F0E59A3-E584-4C06-A45D-DCC31B22A2D8}" type="pres">
      <dgm:prSet presAssocID="{283F95FA-D352-49E4-B7C5-B86AA8894263}" presName="connTx" presStyleLbl="parChTrans1D2" presStyleIdx="3" presStyleCnt="4"/>
      <dgm:spPr/>
    </dgm:pt>
    <dgm:pt modelId="{034491CB-2F77-4474-B8B8-A7A3973903D3}" type="pres">
      <dgm:prSet presAssocID="{0E00D9A0-7EC6-412C-905C-D3DC02CAB4B4}" presName="root2" presStyleCnt="0"/>
      <dgm:spPr/>
    </dgm:pt>
    <dgm:pt modelId="{C248D828-5FF3-4B2F-978F-1BB1AA103A39}" type="pres">
      <dgm:prSet presAssocID="{0E00D9A0-7EC6-412C-905C-D3DC02CAB4B4}" presName="LevelTwoTextNode" presStyleLbl="node2" presStyleIdx="3" presStyleCnt="4">
        <dgm:presLayoutVars>
          <dgm:chPref val="3"/>
        </dgm:presLayoutVars>
      </dgm:prSet>
      <dgm:spPr/>
    </dgm:pt>
    <dgm:pt modelId="{DC3DF31A-A83A-46B6-8E60-3DEE01D01151}" type="pres">
      <dgm:prSet presAssocID="{0E00D9A0-7EC6-412C-905C-D3DC02CAB4B4}" presName="level3hierChild" presStyleCnt="0"/>
      <dgm:spPr/>
    </dgm:pt>
    <dgm:pt modelId="{0D8B4629-4F49-4E4D-82D2-55FD213FC359}" type="pres">
      <dgm:prSet presAssocID="{B9510B80-9D2E-49B4-AF9D-69CFDB6D9DDB}" presName="conn2-1" presStyleLbl="parChTrans1D3" presStyleIdx="7" presStyleCnt="9"/>
      <dgm:spPr/>
    </dgm:pt>
    <dgm:pt modelId="{633DB98E-036B-4B02-9BA8-DB380699368C}" type="pres">
      <dgm:prSet presAssocID="{B9510B80-9D2E-49B4-AF9D-69CFDB6D9DDB}" presName="connTx" presStyleLbl="parChTrans1D3" presStyleIdx="7" presStyleCnt="9"/>
      <dgm:spPr/>
    </dgm:pt>
    <dgm:pt modelId="{FEA8DCCC-0997-4517-A727-59DBD500287C}" type="pres">
      <dgm:prSet presAssocID="{2F27901D-815C-436F-B03F-5059F8727A00}" presName="root2" presStyleCnt="0"/>
      <dgm:spPr/>
    </dgm:pt>
    <dgm:pt modelId="{A913ADA7-0038-4024-B336-B449AA3E1C01}" type="pres">
      <dgm:prSet presAssocID="{2F27901D-815C-436F-B03F-5059F8727A00}" presName="LevelTwoTextNode" presStyleLbl="asst2" presStyleIdx="9" presStyleCnt="11" custScaleY="124007">
        <dgm:presLayoutVars>
          <dgm:chPref val="3"/>
        </dgm:presLayoutVars>
      </dgm:prSet>
      <dgm:spPr/>
    </dgm:pt>
    <dgm:pt modelId="{44274C32-7EFB-4CCA-9A0C-8CAEABE52C97}" type="pres">
      <dgm:prSet presAssocID="{2F27901D-815C-436F-B03F-5059F8727A00}" presName="level3hierChild" presStyleCnt="0"/>
      <dgm:spPr/>
    </dgm:pt>
    <dgm:pt modelId="{C7B2BE1F-3EC6-4778-9135-0D17CE9BB3FB}" type="pres">
      <dgm:prSet presAssocID="{4FE749F3-3299-4F9A-B847-CDCB18B994F3}" presName="conn2-1" presStyleLbl="parChTrans1D3" presStyleIdx="8" presStyleCnt="9"/>
      <dgm:spPr/>
    </dgm:pt>
    <dgm:pt modelId="{D85388F8-750B-438E-83FE-369C0C543A91}" type="pres">
      <dgm:prSet presAssocID="{4FE749F3-3299-4F9A-B847-CDCB18B994F3}" presName="connTx" presStyleLbl="parChTrans1D3" presStyleIdx="8" presStyleCnt="9"/>
      <dgm:spPr/>
    </dgm:pt>
    <dgm:pt modelId="{4916D78E-A5FA-4067-B0B7-D68D910DB311}" type="pres">
      <dgm:prSet presAssocID="{6CEAD945-6F98-4445-B9DA-D887C84FED17}" presName="root2" presStyleCnt="0"/>
      <dgm:spPr/>
    </dgm:pt>
    <dgm:pt modelId="{BFF5FB65-A155-47B4-9D3A-22AF7F98D843}" type="pres">
      <dgm:prSet presAssocID="{6CEAD945-6F98-4445-B9DA-D887C84FED17}" presName="LevelTwoTextNode" presStyleLbl="asst2" presStyleIdx="10" presStyleCnt="11" custScaleY="138020">
        <dgm:presLayoutVars>
          <dgm:chPref val="3"/>
        </dgm:presLayoutVars>
      </dgm:prSet>
      <dgm:spPr/>
    </dgm:pt>
    <dgm:pt modelId="{01E1C43F-87B0-4BAE-BB0F-14035C04FAA2}" type="pres">
      <dgm:prSet presAssocID="{6CEAD945-6F98-4445-B9DA-D887C84FED17}" presName="level3hierChild" presStyleCnt="0"/>
      <dgm:spPr/>
    </dgm:pt>
  </dgm:ptLst>
  <dgm:cxnLst>
    <dgm:cxn modelId="{05BDC206-B892-4E30-A07E-0D25D856E2F5}" type="presOf" srcId="{41803D8A-C6CC-4EE4-9CD6-6AA0EADCE382}" destId="{D244D8C5-3D05-420B-93CD-98A413E0628D}" srcOrd="0" destOrd="0" presId="urn:microsoft.com/office/officeart/2008/layout/HorizontalMultiLevelHierarchy"/>
    <dgm:cxn modelId="{65E3100A-51B8-41DA-8164-299F6B00C222}" type="presOf" srcId="{6CEAD945-6F98-4445-B9DA-D887C84FED17}" destId="{BFF5FB65-A155-47B4-9D3A-22AF7F98D843}" srcOrd="0" destOrd="0" presId="urn:microsoft.com/office/officeart/2008/layout/HorizontalMultiLevelHierarchy"/>
    <dgm:cxn modelId="{F22B900B-E0CD-4429-B19D-5E7B5A4AFB6F}" type="presOf" srcId="{4371DAE7-13AF-43DC-8A54-F1D059714D4B}" destId="{2E0D32D0-7018-4A0D-A028-53109E1D81A5}" srcOrd="0" destOrd="0" presId="urn:microsoft.com/office/officeart/2008/layout/HorizontalMultiLevelHierarchy"/>
    <dgm:cxn modelId="{0D21A60C-D1AF-455C-8AF8-5C3680A6F3B0}" type="presOf" srcId="{BC980CD1-CC9F-4339-865E-E2DBFC452DE4}" destId="{03F80F4D-EB1C-4BB6-BD7E-4075D51E601E}" srcOrd="0" destOrd="0" presId="urn:microsoft.com/office/officeart/2008/layout/HorizontalMultiLevelHierarchy"/>
    <dgm:cxn modelId="{2158D413-3209-4328-B0A7-65781DDFC0EE}" type="presOf" srcId="{47443EA7-855C-40E6-9436-D2FE59C79B07}" destId="{43C4AA6D-8CE8-4605-A1AA-CC25A21A5429}" srcOrd="0" destOrd="0" presId="urn:microsoft.com/office/officeart/2008/layout/HorizontalMultiLevelHierarchy"/>
    <dgm:cxn modelId="{5119FC15-6934-43CE-BADD-7449294B9927}" type="presOf" srcId="{4FE7BC40-D887-4D78-BC85-0CA8CEE0D421}" destId="{3E96AD95-DAA9-4636-A86F-DC4374E3B638}" srcOrd="1" destOrd="0" presId="urn:microsoft.com/office/officeart/2008/layout/HorizontalMultiLevelHierarchy"/>
    <dgm:cxn modelId="{0081071C-497C-4391-A73E-4366FFDC4E46}" type="presOf" srcId="{7D35FA2C-464D-468B-AC7D-0FA0EF355115}" destId="{1D7C0658-61BB-4D0F-88EC-3C2C483F6D0F}" srcOrd="0" destOrd="0" presId="urn:microsoft.com/office/officeart/2008/layout/HorizontalMultiLevelHierarchy"/>
    <dgm:cxn modelId="{3B8BBD22-A493-46E4-A88B-E8803A0800B4}" type="presOf" srcId="{4FE749F3-3299-4F9A-B847-CDCB18B994F3}" destId="{C7B2BE1F-3EC6-4778-9135-0D17CE9BB3FB}" srcOrd="0" destOrd="0" presId="urn:microsoft.com/office/officeart/2008/layout/HorizontalMultiLevelHierarchy"/>
    <dgm:cxn modelId="{B5D69423-0D22-43DE-B9F7-310CF1B4A347}" srcId="{E24DC507-788B-4628-A3CA-2C7ABD413EAF}" destId="{DBA555F8-6D39-4D60-9D93-53AC06D32BBE}" srcOrd="0" destOrd="0" parTransId="{3DBB9397-52CE-439A-8664-5C21B538ED6F}" sibTransId="{C73159B6-4B1B-437E-81F7-415A787C5182}"/>
    <dgm:cxn modelId="{EEB6E826-9C57-4F44-9B1B-181D270E158A}" srcId="{29804CEB-FAD0-4B08-B02C-B38E80EDCA88}" destId="{8465F4DD-C7DE-48CB-A847-3FBF5D1B1A28}" srcOrd="0" destOrd="0" parTransId="{44F4EF33-616D-4E71-B09E-23C7E88A042E}" sibTransId="{6D6C29DB-04AD-489B-9769-42462E9F7E35}"/>
    <dgm:cxn modelId="{13C32127-EFD9-4885-BB3F-0B794A9E97E6}" type="presOf" srcId="{2F27901D-815C-436F-B03F-5059F8727A00}" destId="{A913ADA7-0038-4024-B336-B449AA3E1C01}" srcOrd="0" destOrd="0" presId="urn:microsoft.com/office/officeart/2008/layout/HorizontalMultiLevelHierarchy"/>
    <dgm:cxn modelId="{7ECA242D-B88C-40BF-BDBD-B1EF64E5140B}" srcId="{C1672A1F-CFC0-4453-88CF-E7A51AECB6A5}" destId="{29804CEB-FAD0-4B08-B02C-B38E80EDCA88}" srcOrd="0" destOrd="0" parTransId="{BDE78043-5FA6-49A5-8A80-7687B415DB90}" sibTransId="{D3A3A799-53FC-49EF-8DE2-DC2D511E7DCE}"/>
    <dgm:cxn modelId="{55AAF432-C697-415A-8C45-A1D2496F68C1}" type="presOf" srcId="{E24DC507-788B-4628-A3CA-2C7ABD413EAF}" destId="{E2D5782B-8E94-410F-9CA2-118D98E61CFB}" srcOrd="0" destOrd="0" presId="urn:microsoft.com/office/officeart/2008/layout/HorizontalMultiLevelHierarchy"/>
    <dgm:cxn modelId="{FC6ABE33-3179-440E-BF5B-7B5069A4E092}" srcId="{C1672A1F-CFC0-4453-88CF-E7A51AECB6A5}" destId="{D3436511-4C81-4D22-8FDB-D86426498E6D}" srcOrd="1" destOrd="0" parTransId="{4FE7BC40-D887-4D78-BC85-0CA8CEE0D421}" sibTransId="{473ED1A9-5FA8-4F16-9476-CD9FE97B248B}"/>
    <dgm:cxn modelId="{FA92E634-F64B-46C8-8A92-F6AA99477DBD}" type="presOf" srcId="{00239F48-280C-44AA-BBFA-F5C7A6F6893C}" destId="{4370D2DD-D319-4FEB-8F96-40507572A4A4}" srcOrd="1" destOrd="0" presId="urn:microsoft.com/office/officeart/2008/layout/HorizontalMultiLevelHierarchy"/>
    <dgm:cxn modelId="{8A23A235-CFC6-41BA-82E9-63B17FDAD68E}" type="presOf" srcId="{2587F079-27D4-4449-A7BB-B84DDDF2FFAC}" destId="{689D817C-A57E-423C-B245-227BDA9D555C}" srcOrd="0" destOrd="0" presId="urn:microsoft.com/office/officeart/2008/layout/HorizontalMultiLevelHierarchy"/>
    <dgm:cxn modelId="{E3E6BC38-65E4-4838-9742-1F9D98A032EC}" type="presOf" srcId="{8465F4DD-C7DE-48CB-A847-3FBF5D1B1A28}" destId="{7E813957-54BB-4D73-A31C-DA351A18CACD}" srcOrd="0" destOrd="0" presId="urn:microsoft.com/office/officeart/2008/layout/HorizontalMultiLevelHierarchy"/>
    <dgm:cxn modelId="{B6591639-0F4D-408D-818E-6ED3E5E54FD3}" type="presOf" srcId="{44F4EF33-616D-4E71-B09E-23C7E88A042E}" destId="{D1231A90-C65E-42BA-9078-EF1093044A75}" srcOrd="1" destOrd="0" presId="urn:microsoft.com/office/officeart/2008/layout/HorizontalMultiLevelHierarchy"/>
    <dgm:cxn modelId="{2A69DC5C-9427-4440-9B4C-2B84C1B15AE0}" type="presOf" srcId="{41803D8A-C6CC-4EE4-9CD6-6AA0EADCE382}" destId="{420280C7-7F5F-407F-9B9B-6ABD74FFB3D8}" srcOrd="1" destOrd="0" presId="urn:microsoft.com/office/officeart/2008/layout/HorizontalMultiLevelHierarchy"/>
    <dgm:cxn modelId="{7581A85D-2E7B-4628-803F-D6C901EC89DD}" type="presOf" srcId="{ECB686F4-5ABE-4AA8-AB88-96BF15FDCDF4}" destId="{DA8A9185-B923-4156-9B35-D40D2CF0AEB4}" srcOrd="1" destOrd="0" presId="urn:microsoft.com/office/officeart/2008/layout/HorizontalMultiLevelHierarchy"/>
    <dgm:cxn modelId="{7D895541-BD10-4CA0-8C46-F48FF5DD916A}" type="presOf" srcId="{AEA22932-E645-488B-8BD9-265F8126390B}" destId="{61458B95-1CF2-4347-B139-8D42B917736F}" srcOrd="0" destOrd="0" presId="urn:microsoft.com/office/officeart/2008/layout/HorizontalMultiLevelHierarchy"/>
    <dgm:cxn modelId="{0C1DBC44-F6FC-418B-B971-4EE483C8EE58}" srcId="{5B0601C4-BBE9-45D0-82AB-0BF070118199}" destId="{C1672A1F-CFC0-4453-88CF-E7A51AECB6A5}" srcOrd="0" destOrd="0" parTransId="{58AA5F59-3589-4459-AB5F-2D8DF87EE26E}" sibTransId="{5B152E68-2437-4909-BADF-534FDF101F4C}"/>
    <dgm:cxn modelId="{D359D264-E0F1-434C-AE76-84D6AAAD2674}" type="presOf" srcId="{283F95FA-D352-49E4-B7C5-B86AA8894263}" destId="{D112D718-893F-4391-9A34-E1DB0BEA8FAE}" srcOrd="0" destOrd="0" presId="urn:microsoft.com/office/officeart/2008/layout/HorizontalMultiLevelHierarchy"/>
    <dgm:cxn modelId="{72F15C47-B000-42AC-8DEE-C54B0BFED45B}" srcId="{B339A164-C624-420D-8B8E-FC2CAC64E3B1}" destId="{7D35FA2C-464D-468B-AC7D-0FA0EF355115}" srcOrd="0" destOrd="0" parTransId="{41803D8A-C6CC-4EE4-9CD6-6AA0EADCE382}" sibTransId="{BB597B1E-B6FF-4EEA-A543-4D7ECF041BB1}"/>
    <dgm:cxn modelId="{80B02E68-949B-4148-A672-6E992D91BCCB}" type="presOf" srcId="{BDE78043-5FA6-49A5-8A80-7687B415DB90}" destId="{035E086C-3496-4A71-9282-97FA457AA9D9}" srcOrd="1" destOrd="0" presId="urn:microsoft.com/office/officeart/2008/layout/HorizontalMultiLevelHierarchy"/>
    <dgm:cxn modelId="{E2B11869-F07B-4FE2-A980-B45C5D94A021}" type="presOf" srcId="{4371DAE7-13AF-43DC-8A54-F1D059714D4B}" destId="{25E2709D-943C-4E4E-9B14-6AE54C049210}" srcOrd="1" destOrd="0" presId="urn:microsoft.com/office/officeart/2008/layout/HorizontalMultiLevelHierarchy"/>
    <dgm:cxn modelId="{8E811750-F40E-4F5C-87B7-1C0CCCB0FA6C}" srcId="{0E00D9A0-7EC6-412C-905C-D3DC02CAB4B4}" destId="{6CEAD945-6F98-4445-B9DA-D887C84FED17}" srcOrd="1" destOrd="0" parTransId="{4FE749F3-3299-4F9A-B847-CDCB18B994F3}" sibTransId="{9AF0E76B-ECA4-4AE2-9AE3-1687BC00AD79}"/>
    <dgm:cxn modelId="{5E36EC74-2238-47FB-9A59-0753BB5D4066}" srcId="{C1672A1F-CFC0-4453-88CF-E7A51AECB6A5}" destId="{E24DC507-788B-4628-A3CA-2C7ABD413EAF}" srcOrd="2" destOrd="0" parTransId="{A70F163C-69CC-4F6B-AD50-535C3137F0F7}" sibTransId="{EE8F055B-EB96-4A09-9B6B-1C1074C53958}"/>
    <dgm:cxn modelId="{E611265A-7FFD-4F7B-A551-2F277BE0297C}" type="presOf" srcId="{3DBB9397-52CE-439A-8664-5C21B538ED6F}" destId="{89E11789-077C-42F0-906B-86775D376882}" srcOrd="0" destOrd="0" presId="urn:microsoft.com/office/officeart/2008/layout/HorizontalMultiLevelHierarchy"/>
    <dgm:cxn modelId="{5D56777B-1274-4F0F-B881-AD9735613221}" type="presOf" srcId="{47443EA7-855C-40E6-9436-D2FE59C79B07}" destId="{81F5EBD3-1B50-41C7-B109-7BCDF91807B7}" srcOrd="1" destOrd="0" presId="urn:microsoft.com/office/officeart/2008/layout/HorizontalMultiLevelHierarchy"/>
    <dgm:cxn modelId="{0B0C4D85-FBAC-4C1C-BFF9-D3AC1BDC0106}" type="presOf" srcId="{4FE7BC40-D887-4D78-BC85-0CA8CEE0D421}" destId="{D6C93CB4-95E7-4147-9CC0-2C768DC27E5C}" srcOrd="0" destOrd="0" presId="urn:microsoft.com/office/officeart/2008/layout/HorizontalMultiLevelHierarchy"/>
    <dgm:cxn modelId="{FB96C386-8508-4278-9270-2B298DBE89BA}" type="presOf" srcId="{5B0601C4-BBE9-45D0-82AB-0BF070118199}" destId="{F8868397-AB93-4332-A204-8845988616D5}" srcOrd="0" destOrd="0" presId="urn:microsoft.com/office/officeart/2008/layout/HorizontalMultiLevelHierarchy"/>
    <dgm:cxn modelId="{2E5A938C-C2B3-4F04-A062-785082225ECC}" type="presOf" srcId="{B9510B80-9D2E-49B4-AF9D-69CFDB6D9DDB}" destId="{0D8B4629-4F49-4E4D-82D2-55FD213FC359}" srcOrd="0" destOrd="0" presId="urn:microsoft.com/office/officeart/2008/layout/HorizontalMultiLevelHierarchy"/>
    <dgm:cxn modelId="{09D13A8E-7A31-4B88-8BF6-23E001994144}" type="presOf" srcId="{2E178B7B-4835-4E5F-B8CC-6E101D093E59}" destId="{3A6A1993-F07E-40C7-88A7-3E8E92E476DC}" srcOrd="0" destOrd="0" presId="urn:microsoft.com/office/officeart/2008/layout/HorizontalMultiLevelHierarchy"/>
    <dgm:cxn modelId="{BF66A597-8C8C-4D6A-AA77-0757E2635B30}" srcId="{0E00D9A0-7EC6-412C-905C-D3DC02CAB4B4}" destId="{2F27901D-815C-436F-B03F-5059F8727A00}" srcOrd="0" destOrd="0" parTransId="{B9510B80-9D2E-49B4-AF9D-69CFDB6D9DDB}" sibTransId="{69BD6FAC-D4DC-496C-B80D-BFF660DA3E6D}"/>
    <dgm:cxn modelId="{28C7BDA2-7489-4BDA-900A-E662237646D9}" type="presOf" srcId="{4FE749F3-3299-4F9A-B847-CDCB18B994F3}" destId="{D85388F8-750B-438E-83FE-369C0C543A91}" srcOrd="1" destOrd="0" presId="urn:microsoft.com/office/officeart/2008/layout/HorizontalMultiLevelHierarchy"/>
    <dgm:cxn modelId="{2969EBA2-FFC3-43DC-B5FB-191A41ADFFBE}" srcId="{D3436511-4C81-4D22-8FDB-D86426498E6D}" destId="{2E178B7B-4835-4E5F-B8CC-6E101D093E59}" srcOrd="1" destOrd="0" parTransId="{4371DAE7-13AF-43DC-8A54-F1D059714D4B}" sibTransId="{ABB4139B-CF3C-4F66-9B7F-486A7932C2D0}"/>
    <dgm:cxn modelId="{943A58A9-FCA5-4ACF-B0C2-3A4742E51731}" type="presOf" srcId="{3DBB9397-52CE-439A-8664-5C21B538ED6F}" destId="{42E836A2-1FA2-4E9E-A098-AD1D23E29F5E}" srcOrd="1" destOrd="0" presId="urn:microsoft.com/office/officeart/2008/layout/HorizontalMultiLevelHierarchy"/>
    <dgm:cxn modelId="{5B4216AB-4303-4640-BA10-45D9E951AE05}" type="presOf" srcId="{283F95FA-D352-49E4-B7C5-B86AA8894263}" destId="{1F0E59A3-E584-4C06-A45D-DCC31B22A2D8}" srcOrd="1" destOrd="0" presId="urn:microsoft.com/office/officeart/2008/layout/HorizontalMultiLevelHierarchy"/>
    <dgm:cxn modelId="{3FC81BB2-BCD4-439E-B5BA-E4046071244C}" srcId="{B339A164-C624-420D-8B8E-FC2CAC64E3B1}" destId="{A9CF5E01-1B01-4681-8001-19DC55B00242}" srcOrd="1" destOrd="0" parTransId="{6CC3E9AE-4E17-4C32-9F96-BD94837AF9D4}" sibTransId="{5BC235CF-6472-4AEE-BCB2-E1452839789E}"/>
    <dgm:cxn modelId="{F07E78B2-A386-40A9-ACFD-54B9C96957DF}" type="presOf" srcId="{D3436511-4C81-4D22-8FDB-D86426498E6D}" destId="{3485433D-A883-47F8-9844-2F3258687D44}" srcOrd="0" destOrd="0" presId="urn:microsoft.com/office/officeart/2008/layout/HorizontalMultiLevelHierarchy"/>
    <dgm:cxn modelId="{5F89BCB7-F3FC-4EFC-B95C-B071A1587EA5}" type="presOf" srcId="{A9CF5E01-1B01-4681-8001-19DC55B00242}" destId="{94C309EB-9721-40E8-A8AE-A17F724FDA5C}" srcOrd="0" destOrd="0" presId="urn:microsoft.com/office/officeart/2008/layout/HorizontalMultiLevelHierarchy"/>
    <dgm:cxn modelId="{3D5527B9-A2B5-4BFB-AC22-4846D80B3096}" type="presOf" srcId="{9F4AC7EC-B1FB-47FC-A764-E148C40B555C}" destId="{FD3C4273-D0F9-473F-96D3-5203F868B1A7}" srcOrd="0" destOrd="0" presId="urn:microsoft.com/office/officeart/2008/layout/HorizontalMultiLevelHierarchy"/>
    <dgm:cxn modelId="{EB009CBA-3258-46C5-9A0C-A11AC12C0F30}" srcId="{D3436511-4C81-4D22-8FDB-D86426498E6D}" destId="{2587F079-27D4-4449-A7BB-B84DDDF2FFAC}" srcOrd="0" destOrd="0" parTransId="{00239F48-280C-44AA-BBFA-F5C7A6F6893C}" sibTransId="{4DC1412D-EA4E-43B2-9D34-2F1883F193F9}"/>
    <dgm:cxn modelId="{43126ABB-FCF0-4D8D-9909-3D5A81658184}" type="presOf" srcId="{6CC3E9AE-4E17-4C32-9F96-BD94837AF9D4}" destId="{63395998-4434-4AC7-A3BE-6F4088E4EB63}" srcOrd="0" destOrd="0" presId="urn:microsoft.com/office/officeart/2008/layout/HorizontalMultiLevelHierarchy"/>
    <dgm:cxn modelId="{798329BD-D5F9-4153-AC21-F9D3341AB6B8}" type="presOf" srcId="{A70F163C-69CC-4F6B-AD50-535C3137F0F7}" destId="{62CE7C5F-4FF4-4506-9CDC-15F851F61AE0}" srcOrd="0" destOrd="0" presId="urn:microsoft.com/office/officeart/2008/layout/HorizontalMultiLevelHierarchy"/>
    <dgm:cxn modelId="{97E2ADBF-9A5E-426E-A7A1-76A9D5B682C3}" type="presOf" srcId="{6CC3E9AE-4E17-4C32-9F96-BD94837AF9D4}" destId="{36D93821-FF92-4349-8FCD-B82CFF915D46}" srcOrd="1" destOrd="0" presId="urn:microsoft.com/office/officeart/2008/layout/HorizontalMultiLevelHierarchy"/>
    <dgm:cxn modelId="{F62CB8C1-37B0-4B51-847C-A6C3BC6A149A}" type="presOf" srcId="{00239F48-280C-44AA-BBFA-F5C7A6F6893C}" destId="{C820BDBE-2830-4F84-9DB0-94B0B922C482}" srcOrd="0" destOrd="0" presId="urn:microsoft.com/office/officeart/2008/layout/HorizontalMultiLevelHierarchy"/>
    <dgm:cxn modelId="{916C30C3-6E57-4584-B82B-CA16623FA08F}" type="presOf" srcId="{B339A164-C624-420D-8B8E-FC2CAC64E3B1}" destId="{5FE94C65-7A8B-40F1-A8B3-5A22AB4F22DE}" srcOrd="0" destOrd="0" presId="urn:microsoft.com/office/officeart/2008/layout/HorizontalMultiLevelHierarchy"/>
    <dgm:cxn modelId="{8A34C1C4-73F8-40BA-96C1-200418644397}" type="presOf" srcId="{DBA555F8-6D39-4D60-9D93-53AC06D32BBE}" destId="{FF559BF6-361E-480F-A6E0-FE9EA48FBC73}" srcOrd="0" destOrd="0" presId="urn:microsoft.com/office/officeart/2008/layout/HorizontalMultiLevelHierarchy"/>
    <dgm:cxn modelId="{2759CDC5-6FC9-4180-BB4E-0DB45732CA7D}" type="presOf" srcId="{BC980CD1-CC9F-4339-865E-E2DBFC452DE4}" destId="{0E30B4F3-EAF7-44D1-B5F4-A6F4E227F0E9}" srcOrd="1" destOrd="0" presId="urn:microsoft.com/office/officeart/2008/layout/HorizontalMultiLevelHierarchy"/>
    <dgm:cxn modelId="{BED434C8-F710-4736-BA6F-788489AB0F72}" type="presOf" srcId="{B9510B80-9D2E-49B4-AF9D-69CFDB6D9DDB}" destId="{633DB98E-036B-4B02-9BA8-DB380699368C}" srcOrd="1" destOrd="0" presId="urn:microsoft.com/office/officeart/2008/layout/HorizontalMultiLevelHierarchy"/>
    <dgm:cxn modelId="{2B1F38CC-C241-4134-924F-B5ECA54AABD2}" srcId="{29804CEB-FAD0-4B08-B02C-B38E80EDCA88}" destId="{AEA22932-E645-488B-8BD9-265F8126390B}" srcOrd="1" destOrd="0" parTransId="{47443EA7-855C-40E6-9436-D2FE59C79B07}" sibTransId="{90971FD0-DCEE-44EF-A701-C773F6C0BAE6}"/>
    <dgm:cxn modelId="{0E3013D1-E333-4875-99D9-8F957C12449F}" type="presOf" srcId="{29804CEB-FAD0-4B08-B02C-B38E80EDCA88}" destId="{5B1F4365-D6A0-46B1-BE5A-6115374187DB}" srcOrd="0" destOrd="0" presId="urn:microsoft.com/office/officeart/2008/layout/HorizontalMultiLevelHierarchy"/>
    <dgm:cxn modelId="{780219D2-D77F-4EAA-98ED-F7322F55EC46}" srcId="{29804CEB-FAD0-4B08-B02C-B38E80EDCA88}" destId="{B339A164-C624-420D-8B8E-FC2CAC64E3B1}" srcOrd="2" destOrd="0" parTransId="{BC980CD1-CC9F-4339-865E-E2DBFC452DE4}" sibTransId="{68D6D15A-5E16-4B40-9CAD-8238BCC67D85}"/>
    <dgm:cxn modelId="{81411BD7-2124-49EE-BBA0-4A9DC71644F9}" type="presOf" srcId="{BDE78043-5FA6-49A5-8A80-7687B415DB90}" destId="{4E103A74-D7CC-4C87-A6AE-58733BE7FB90}" srcOrd="0" destOrd="0" presId="urn:microsoft.com/office/officeart/2008/layout/HorizontalMultiLevelHierarchy"/>
    <dgm:cxn modelId="{1EDEF1D7-3A43-4461-BE35-6D8602BC03A8}" srcId="{E24DC507-788B-4628-A3CA-2C7ABD413EAF}" destId="{9F4AC7EC-B1FB-47FC-A764-E148C40B555C}" srcOrd="1" destOrd="0" parTransId="{ECB686F4-5ABE-4AA8-AB88-96BF15FDCDF4}" sibTransId="{5BD377D5-E637-46EC-8DEC-BBA7421CE302}"/>
    <dgm:cxn modelId="{B92FCFDD-2252-453A-B358-3EF970180A9D}" srcId="{C1672A1F-CFC0-4453-88CF-E7A51AECB6A5}" destId="{0E00D9A0-7EC6-412C-905C-D3DC02CAB4B4}" srcOrd="3" destOrd="0" parTransId="{283F95FA-D352-49E4-B7C5-B86AA8894263}" sibTransId="{52B9380F-C4BC-4B77-B4EE-264EB6811AEC}"/>
    <dgm:cxn modelId="{44A194F6-F848-42C7-9281-0C7AF249BA7C}" type="presOf" srcId="{A70F163C-69CC-4F6B-AD50-535C3137F0F7}" destId="{49FDA616-29E0-4B19-BE84-9FCBB1B3FDDC}" srcOrd="1" destOrd="0" presId="urn:microsoft.com/office/officeart/2008/layout/HorizontalMultiLevelHierarchy"/>
    <dgm:cxn modelId="{C9F62EF7-9DD6-4BF8-B030-86F646BDF4DD}" type="presOf" srcId="{0E00D9A0-7EC6-412C-905C-D3DC02CAB4B4}" destId="{C248D828-5FF3-4B2F-978F-1BB1AA103A39}" srcOrd="0" destOrd="0" presId="urn:microsoft.com/office/officeart/2008/layout/HorizontalMultiLevelHierarchy"/>
    <dgm:cxn modelId="{1E8697F7-5C36-442F-815A-C7880B6935F8}" type="presOf" srcId="{C1672A1F-CFC0-4453-88CF-E7A51AECB6A5}" destId="{0121EEE5-1D0F-4696-8F6A-D70FE51CACBE}" srcOrd="0" destOrd="0" presId="urn:microsoft.com/office/officeart/2008/layout/HorizontalMultiLevelHierarchy"/>
    <dgm:cxn modelId="{EF56A5F9-21F3-4B40-939D-2BBAD93FBCD6}" type="presOf" srcId="{44F4EF33-616D-4E71-B09E-23C7E88A042E}" destId="{5E7E84B3-EAEF-4AAF-A5AB-935270732CB2}" srcOrd="0" destOrd="0" presId="urn:microsoft.com/office/officeart/2008/layout/HorizontalMultiLevelHierarchy"/>
    <dgm:cxn modelId="{34F34FFC-A6F2-4D46-8578-028A6A2EEF49}" type="presOf" srcId="{ECB686F4-5ABE-4AA8-AB88-96BF15FDCDF4}" destId="{59E265B9-A343-436C-9609-52ADEC1E4BA5}" srcOrd="0" destOrd="0" presId="urn:microsoft.com/office/officeart/2008/layout/HorizontalMultiLevelHierarchy"/>
    <dgm:cxn modelId="{ECAFE6FC-16C7-40E3-AF5F-B60B9D9D9F5A}" type="presParOf" srcId="{F8868397-AB93-4332-A204-8845988616D5}" destId="{7C4EA7A9-6CBD-443F-BD63-2A660EC3CB3B}" srcOrd="0" destOrd="0" presId="urn:microsoft.com/office/officeart/2008/layout/HorizontalMultiLevelHierarchy"/>
    <dgm:cxn modelId="{B322BA03-5A9B-4B23-B5BC-FCC7801BF606}" type="presParOf" srcId="{7C4EA7A9-6CBD-443F-BD63-2A660EC3CB3B}" destId="{0121EEE5-1D0F-4696-8F6A-D70FE51CACBE}" srcOrd="0" destOrd="0" presId="urn:microsoft.com/office/officeart/2008/layout/HorizontalMultiLevelHierarchy"/>
    <dgm:cxn modelId="{3A2DF632-969C-4E0B-87EC-E1275423AA31}" type="presParOf" srcId="{7C4EA7A9-6CBD-443F-BD63-2A660EC3CB3B}" destId="{326EAFCF-7D9D-40B4-A10F-AC9DB48BF998}" srcOrd="1" destOrd="0" presId="urn:microsoft.com/office/officeart/2008/layout/HorizontalMultiLevelHierarchy"/>
    <dgm:cxn modelId="{F0326E76-3619-45F1-891D-6790CF9CF43F}" type="presParOf" srcId="{326EAFCF-7D9D-40B4-A10F-AC9DB48BF998}" destId="{4E103A74-D7CC-4C87-A6AE-58733BE7FB90}" srcOrd="0" destOrd="0" presId="urn:microsoft.com/office/officeart/2008/layout/HorizontalMultiLevelHierarchy"/>
    <dgm:cxn modelId="{354D5512-CCCC-4229-B775-8227B6AFC82E}" type="presParOf" srcId="{4E103A74-D7CC-4C87-A6AE-58733BE7FB90}" destId="{035E086C-3496-4A71-9282-97FA457AA9D9}" srcOrd="0" destOrd="0" presId="urn:microsoft.com/office/officeart/2008/layout/HorizontalMultiLevelHierarchy"/>
    <dgm:cxn modelId="{B53027AE-CDBD-4E31-BFEA-B9F1D333CD8B}" type="presParOf" srcId="{326EAFCF-7D9D-40B4-A10F-AC9DB48BF998}" destId="{FA742E13-3238-48F1-AB03-5CC3F1572D6B}" srcOrd="1" destOrd="0" presId="urn:microsoft.com/office/officeart/2008/layout/HorizontalMultiLevelHierarchy"/>
    <dgm:cxn modelId="{5DC55ECD-4918-460A-97C8-01586FA334D9}" type="presParOf" srcId="{FA742E13-3238-48F1-AB03-5CC3F1572D6B}" destId="{5B1F4365-D6A0-46B1-BE5A-6115374187DB}" srcOrd="0" destOrd="0" presId="urn:microsoft.com/office/officeart/2008/layout/HorizontalMultiLevelHierarchy"/>
    <dgm:cxn modelId="{39CB3E0C-8968-4B91-ABEA-6BDB40C953B8}" type="presParOf" srcId="{FA742E13-3238-48F1-AB03-5CC3F1572D6B}" destId="{6DB42B28-AEE7-46B1-AE3E-47449705D32B}" srcOrd="1" destOrd="0" presId="urn:microsoft.com/office/officeart/2008/layout/HorizontalMultiLevelHierarchy"/>
    <dgm:cxn modelId="{A75AAFEA-B95E-4D76-89E8-FF94DACFA7B9}" type="presParOf" srcId="{6DB42B28-AEE7-46B1-AE3E-47449705D32B}" destId="{5E7E84B3-EAEF-4AAF-A5AB-935270732CB2}" srcOrd="0" destOrd="0" presId="urn:microsoft.com/office/officeart/2008/layout/HorizontalMultiLevelHierarchy"/>
    <dgm:cxn modelId="{C59E0B9E-7D97-4644-9CED-79F1CD68C816}" type="presParOf" srcId="{5E7E84B3-EAEF-4AAF-A5AB-935270732CB2}" destId="{D1231A90-C65E-42BA-9078-EF1093044A75}" srcOrd="0" destOrd="0" presId="urn:microsoft.com/office/officeart/2008/layout/HorizontalMultiLevelHierarchy"/>
    <dgm:cxn modelId="{9F8AEE06-3E82-4D32-A34E-32B3E091BB3B}" type="presParOf" srcId="{6DB42B28-AEE7-46B1-AE3E-47449705D32B}" destId="{BBFF1014-052B-419F-A89D-EC1E8D4E8F7B}" srcOrd="1" destOrd="0" presId="urn:microsoft.com/office/officeart/2008/layout/HorizontalMultiLevelHierarchy"/>
    <dgm:cxn modelId="{764119E8-1F97-459D-80D0-BC290C47E68A}" type="presParOf" srcId="{BBFF1014-052B-419F-A89D-EC1E8D4E8F7B}" destId="{7E813957-54BB-4D73-A31C-DA351A18CACD}" srcOrd="0" destOrd="0" presId="urn:microsoft.com/office/officeart/2008/layout/HorizontalMultiLevelHierarchy"/>
    <dgm:cxn modelId="{405B040D-8679-425C-A756-67279B7F3093}" type="presParOf" srcId="{BBFF1014-052B-419F-A89D-EC1E8D4E8F7B}" destId="{1C6CB00B-DB4B-4B9F-8870-68204D7869C0}" srcOrd="1" destOrd="0" presId="urn:microsoft.com/office/officeart/2008/layout/HorizontalMultiLevelHierarchy"/>
    <dgm:cxn modelId="{F3971507-248E-48E4-A34C-21B0ECA10B2F}" type="presParOf" srcId="{6DB42B28-AEE7-46B1-AE3E-47449705D32B}" destId="{43C4AA6D-8CE8-4605-A1AA-CC25A21A5429}" srcOrd="2" destOrd="0" presId="urn:microsoft.com/office/officeart/2008/layout/HorizontalMultiLevelHierarchy"/>
    <dgm:cxn modelId="{77E0AFBB-D0BA-42CB-874B-52B2470BECF3}" type="presParOf" srcId="{43C4AA6D-8CE8-4605-A1AA-CC25A21A5429}" destId="{81F5EBD3-1B50-41C7-B109-7BCDF91807B7}" srcOrd="0" destOrd="0" presId="urn:microsoft.com/office/officeart/2008/layout/HorizontalMultiLevelHierarchy"/>
    <dgm:cxn modelId="{27E44F74-DB4F-40C5-8D21-2D5045C062EE}" type="presParOf" srcId="{6DB42B28-AEE7-46B1-AE3E-47449705D32B}" destId="{D2386FB5-ECCF-46E7-BF8C-EB417724E310}" srcOrd="3" destOrd="0" presId="urn:microsoft.com/office/officeart/2008/layout/HorizontalMultiLevelHierarchy"/>
    <dgm:cxn modelId="{A3488B9E-304F-4E21-AFCD-C1921500C0B2}" type="presParOf" srcId="{D2386FB5-ECCF-46E7-BF8C-EB417724E310}" destId="{61458B95-1CF2-4347-B139-8D42B917736F}" srcOrd="0" destOrd="0" presId="urn:microsoft.com/office/officeart/2008/layout/HorizontalMultiLevelHierarchy"/>
    <dgm:cxn modelId="{CCDA2C44-C5B8-4D47-A5D2-EF3D79A11DD9}" type="presParOf" srcId="{D2386FB5-ECCF-46E7-BF8C-EB417724E310}" destId="{264B8BD2-16B1-4B58-AD13-1FFC29512B0C}" srcOrd="1" destOrd="0" presId="urn:microsoft.com/office/officeart/2008/layout/HorizontalMultiLevelHierarchy"/>
    <dgm:cxn modelId="{405F676E-3D23-40B5-9271-D44CF8C5024A}" type="presParOf" srcId="{6DB42B28-AEE7-46B1-AE3E-47449705D32B}" destId="{03F80F4D-EB1C-4BB6-BD7E-4075D51E601E}" srcOrd="4" destOrd="0" presId="urn:microsoft.com/office/officeart/2008/layout/HorizontalMultiLevelHierarchy"/>
    <dgm:cxn modelId="{04D2DCE2-0663-4CAF-B321-19729D772827}" type="presParOf" srcId="{03F80F4D-EB1C-4BB6-BD7E-4075D51E601E}" destId="{0E30B4F3-EAF7-44D1-B5F4-A6F4E227F0E9}" srcOrd="0" destOrd="0" presId="urn:microsoft.com/office/officeart/2008/layout/HorizontalMultiLevelHierarchy"/>
    <dgm:cxn modelId="{2030D595-B379-4543-8209-7637EE7552BB}" type="presParOf" srcId="{6DB42B28-AEE7-46B1-AE3E-47449705D32B}" destId="{C6DE6982-5D35-460C-8A06-FC1842275EA4}" srcOrd="5" destOrd="0" presId="urn:microsoft.com/office/officeart/2008/layout/HorizontalMultiLevelHierarchy"/>
    <dgm:cxn modelId="{3E3F853C-986E-4FAE-949C-386C7A5F7E62}" type="presParOf" srcId="{C6DE6982-5D35-460C-8A06-FC1842275EA4}" destId="{5FE94C65-7A8B-40F1-A8B3-5A22AB4F22DE}" srcOrd="0" destOrd="0" presId="urn:microsoft.com/office/officeart/2008/layout/HorizontalMultiLevelHierarchy"/>
    <dgm:cxn modelId="{9BE865BD-7B51-4628-B910-BE002FBE3FA5}" type="presParOf" srcId="{C6DE6982-5D35-460C-8A06-FC1842275EA4}" destId="{7FD58929-DB61-4C79-ADC5-776F44613534}" srcOrd="1" destOrd="0" presId="urn:microsoft.com/office/officeart/2008/layout/HorizontalMultiLevelHierarchy"/>
    <dgm:cxn modelId="{E605B61E-A9F9-4B60-A975-E3348BF5A9B8}" type="presParOf" srcId="{7FD58929-DB61-4C79-ADC5-776F44613534}" destId="{D244D8C5-3D05-420B-93CD-98A413E0628D}" srcOrd="0" destOrd="0" presId="urn:microsoft.com/office/officeart/2008/layout/HorizontalMultiLevelHierarchy"/>
    <dgm:cxn modelId="{54779051-95DC-48D7-A4EA-377F6DD41EAB}" type="presParOf" srcId="{D244D8C5-3D05-420B-93CD-98A413E0628D}" destId="{420280C7-7F5F-407F-9B9B-6ABD74FFB3D8}" srcOrd="0" destOrd="0" presId="urn:microsoft.com/office/officeart/2008/layout/HorizontalMultiLevelHierarchy"/>
    <dgm:cxn modelId="{9C96CB51-05AC-4CD3-9D75-199C7C8E10B5}" type="presParOf" srcId="{7FD58929-DB61-4C79-ADC5-776F44613534}" destId="{B98745F5-581D-45E4-8C58-8EC3E26320D0}" srcOrd="1" destOrd="0" presId="urn:microsoft.com/office/officeart/2008/layout/HorizontalMultiLevelHierarchy"/>
    <dgm:cxn modelId="{BDE87B9E-C64E-45A6-B47D-FBF4DED91481}" type="presParOf" srcId="{B98745F5-581D-45E4-8C58-8EC3E26320D0}" destId="{1D7C0658-61BB-4D0F-88EC-3C2C483F6D0F}" srcOrd="0" destOrd="0" presId="urn:microsoft.com/office/officeart/2008/layout/HorizontalMultiLevelHierarchy"/>
    <dgm:cxn modelId="{8D71B43A-6C61-4D3A-A88B-A33771333DF0}" type="presParOf" srcId="{B98745F5-581D-45E4-8C58-8EC3E26320D0}" destId="{CF68C5EB-4610-493A-8F2F-CF785E5D137D}" srcOrd="1" destOrd="0" presId="urn:microsoft.com/office/officeart/2008/layout/HorizontalMultiLevelHierarchy"/>
    <dgm:cxn modelId="{72B2FC53-8A42-4084-BA9D-4D61A90B60EB}" type="presParOf" srcId="{7FD58929-DB61-4C79-ADC5-776F44613534}" destId="{63395998-4434-4AC7-A3BE-6F4088E4EB63}" srcOrd="2" destOrd="0" presId="urn:microsoft.com/office/officeart/2008/layout/HorizontalMultiLevelHierarchy"/>
    <dgm:cxn modelId="{62792838-1E30-4F6B-9A64-41D973330576}" type="presParOf" srcId="{63395998-4434-4AC7-A3BE-6F4088E4EB63}" destId="{36D93821-FF92-4349-8FCD-B82CFF915D46}" srcOrd="0" destOrd="0" presId="urn:microsoft.com/office/officeart/2008/layout/HorizontalMultiLevelHierarchy"/>
    <dgm:cxn modelId="{1C3980D1-6098-4E6B-9EF7-7055060693B2}" type="presParOf" srcId="{7FD58929-DB61-4C79-ADC5-776F44613534}" destId="{FB01EB00-82EF-4FF1-AF73-85F3F6EF76FE}" srcOrd="3" destOrd="0" presId="urn:microsoft.com/office/officeart/2008/layout/HorizontalMultiLevelHierarchy"/>
    <dgm:cxn modelId="{787DE046-39BB-41CC-B5A9-62F71868B104}" type="presParOf" srcId="{FB01EB00-82EF-4FF1-AF73-85F3F6EF76FE}" destId="{94C309EB-9721-40E8-A8AE-A17F724FDA5C}" srcOrd="0" destOrd="0" presId="urn:microsoft.com/office/officeart/2008/layout/HorizontalMultiLevelHierarchy"/>
    <dgm:cxn modelId="{26ED4BC9-A8D9-426D-A3A7-76007CA3A8BF}" type="presParOf" srcId="{FB01EB00-82EF-4FF1-AF73-85F3F6EF76FE}" destId="{47DEE444-1C1F-4320-8DF1-78088008AB2D}" srcOrd="1" destOrd="0" presId="urn:microsoft.com/office/officeart/2008/layout/HorizontalMultiLevelHierarchy"/>
    <dgm:cxn modelId="{5A637B7C-3D28-4466-B486-30ED434A1D62}" type="presParOf" srcId="{326EAFCF-7D9D-40B4-A10F-AC9DB48BF998}" destId="{D6C93CB4-95E7-4147-9CC0-2C768DC27E5C}" srcOrd="2" destOrd="0" presId="urn:microsoft.com/office/officeart/2008/layout/HorizontalMultiLevelHierarchy"/>
    <dgm:cxn modelId="{81870619-4E73-4B93-AC5F-942209CCE22C}" type="presParOf" srcId="{D6C93CB4-95E7-4147-9CC0-2C768DC27E5C}" destId="{3E96AD95-DAA9-4636-A86F-DC4374E3B638}" srcOrd="0" destOrd="0" presId="urn:microsoft.com/office/officeart/2008/layout/HorizontalMultiLevelHierarchy"/>
    <dgm:cxn modelId="{8C5452BD-E273-469E-8D65-5AEBE030D658}" type="presParOf" srcId="{326EAFCF-7D9D-40B4-A10F-AC9DB48BF998}" destId="{A098470D-F2F4-4246-A770-16B8E3D396F2}" srcOrd="3" destOrd="0" presId="urn:microsoft.com/office/officeart/2008/layout/HorizontalMultiLevelHierarchy"/>
    <dgm:cxn modelId="{D3F89E41-AC47-4131-BF7F-652491FD75BE}" type="presParOf" srcId="{A098470D-F2F4-4246-A770-16B8E3D396F2}" destId="{3485433D-A883-47F8-9844-2F3258687D44}" srcOrd="0" destOrd="0" presId="urn:microsoft.com/office/officeart/2008/layout/HorizontalMultiLevelHierarchy"/>
    <dgm:cxn modelId="{1441348D-DFB8-427F-80AE-D01117412799}" type="presParOf" srcId="{A098470D-F2F4-4246-A770-16B8E3D396F2}" destId="{72E5B22D-5319-4652-824E-5F8A9478FFBF}" srcOrd="1" destOrd="0" presId="urn:microsoft.com/office/officeart/2008/layout/HorizontalMultiLevelHierarchy"/>
    <dgm:cxn modelId="{D8C602DF-D374-476E-8544-6F00EAA9BDC3}" type="presParOf" srcId="{72E5B22D-5319-4652-824E-5F8A9478FFBF}" destId="{C820BDBE-2830-4F84-9DB0-94B0B922C482}" srcOrd="0" destOrd="0" presId="urn:microsoft.com/office/officeart/2008/layout/HorizontalMultiLevelHierarchy"/>
    <dgm:cxn modelId="{32ACC058-0233-40B4-8B62-33BD4D723690}" type="presParOf" srcId="{C820BDBE-2830-4F84-9DB0-94B0B922C482}" destId="{4370D2DD-D319-4FEB-8F96-40507572A4A4}" srcOrd="0" destOrd="0" presId="urn:microsoft.com/office/officeart/2008/layout/HorizontalMultiLevelHierarchy"/>
    <dgm:cxn modelId="{7577AEB8-D60B-4272-8381-095CBA4B9D55}" type="presParOf" srcId="{72E5B22D-5319-4652-824E-5F8A9478FFBF}" destId="{378FA88A-A63F-422A-A5B4-CD3D042E6BD1}" srcOrd="1" destOrd="0" presId="urn:microsoft.com/office/officeart/2008/layout/HorizontalMultiLevelHierarchy"/>
    <dgm:cxn modelId="{69D54AB0-F717-4E54-BC33-69D7AB233D95}" type="presParOf" srcId="{378FA88A-A63F-422A-A5B4-CD3D042E6BD1}" destId="{689D817C-A57E-423C-B245-227BDA9D555C}" srcOrd="0" destOrd="0" presId="urn:microsoft.com/office/officeart/2008/layout/HorizontalMultiLevelHierarchy"/>
    <dgm:cxn modelId="{02DA9860-7EF6-4E34-AE01-E18840C82360}" type="presParOf" srcId="{378FA88A-A63F-422A-A5B4-CD3D042E6BD1}" destId="{E164DC83-5B84-45AA-905A-FF8914CDD0B7}" srcOrd="1" destOrd="0" presId="urn:microsoft.com/office/officeart/2008/layout/HorizontalMultiLevelHierarchy"/>
    <dgm:cxn modelId="{5410DA31-4924-4391-9B84-AFFDF42240E2}" type="presParOf" srcId="{72E5B22D-5319-4652-824E-5F8A9478FFBF}" destId="{2E0D32D0-7018-4A0D-A028-53109E1D81A5}" srcOrd="2" destOrd="0" presId="urn:microsoft.com/office/officeart/2008/layout/HorizontalMultiLevelHierarchy"/>
    <dgm:cxn modelId="{2B08B2FE-750C-4064-9A70-2627F4FF08E8}" type="presParOf" srcId="{2E0D32D0-7018-4A0D-A028-53109E1D81A5}" destId="{25E2709D-943C-4E4E-9B14-6AE54C049210}" srcOrd="0" destOrd="0" presId="urn:microsoft.com/office/officeart/2008/layout/HorizontalMultiLevelHierarchy"/>
    <dgm:cxn modelId="{A76CB565-1193-405F-A9BC-8FE0143325BE}" type="presParOf" srcId="{72E5B22D-5319-4652-824E-5F8A9478FFBF}" destId="{60B93582-5BAF-473B-BABA-672324AF20B7}" srcOrd="3" destOrd="0" presId="urn:microsoft.com/office/officeart/2008/layout/HorizontalMultiLevelHierarchy"/>
    <dgm:cxn modelId="{D15909E7-3D4F-4934-BFB8-D179F54C9BCB}" type="presParOf" srcId="{60B93582-5BAF-473B-BABA-672324AF20B7}" destId="{3A6A1993-F07E-40C7-88A7-3E8E92E476DC}" srcOrd="0" destOrd="0" presId="urn:microsoft.com/office/officeart/2008/layout/HorizontalMultiLevelHierarchy"/>
    <dgm:cxn modelId="{3076068A-9BAA-4561-9AF6-AD89E61FD9F4}" type="presParOf" srcId="{60B93582-5BAF-473B-BABA-672324AF20B7}" destId="{700B1E2B-E3CA-4CDF-ABBB-297ADDB1CA01}" srcOrd="1" destOrd="0" presId="urn:microsoft.com/office/officeart/2008/layout/HorizontalMultiLevelHierarchy"/>
    <dgm:cxn modelId="{C012E1A5-9B3B-4D95-BB79-27269290F159}" type="presParOf" srcId="{326EAFCF-7D9D-40B4-A10F-AC9DB48BF998}" destId="{62CE7C5F-4FF4-4506-9CDC-15F851F61AE0}" srcOrd="4" destOrd="0" presId="urn:microsoft.com/office/officeart/2008/layout/HorizontalMultiLevelHierarchy"/>
    <dgm:cxn modelId="{A87D8AFC-5903-44DB-8393-FAE181DE1017}" type="presParOf" srcId="{62CE7C5F-4FF4-4506-9CDC-15F851F61AE0}" destId="{49FDA616-29E0-4B19-BE84-9FCBB1B3FDDC}" srcOrd="0" destOrd="0" presId="urn:microsoft.com/office/officeart/2008/layout/HorizontalMultiLevelHierarchy"/>
    <dgm:cxn modelId="{A4ADF8D8-D8BF-4454-B8E6-A37180E97657}" type="presParOf" srcId="{326EAFCF-7D9D-40B4-A10F-AC9DB48BF998}" destId="{569AD342-2386-4D55-AEC4-5AB9B4E61984}" srcOrd="5" destOrd="0" presId="urn:microsoft.com/office/officeart/2008/layout/HorizontalMultiLevelHierarchy"/>
    <dgm:cxn modelId="{50D0A4B1-BCEE-464F-861D-5BB06199332B}" type="presParOf" srcId="{569AD342-2386-4D55-AEC4-5AB9B4E61984}" destId="{E2D5782B-8E94-410F-9CA2-118D98E61CFB}" srcOrd="0" destOrd="0" presId="urn:microsoft.com/office/officeart/2008/layout/HorizontalMultiLevelHierarchy"/>
    <dgm:cxn modelId="{969D5AF3-70FC-4B62-8229-5E1EBC8527DC}" type="presParOf" srcId="{569AD342-2386-4D55-AEC4-5AB9B4E61984}" destId="{D2F7C36B-1943-4BE3-AD7F-A66E5BE7D5C5}" srcOrd="1" destOrd="0" presId="urn:microsoft.com/office/officeart/2008/layout/HorizontalMultiLevelHierarchy"/>
    <dgm:cxn modelId="{B8E2C18B-F7C0-4B7A-BC49-8EF7932AD794}" type="presParOf" srcId="{D2F7C36B-1943-4BE3-AD7F-A66E5BE7D5C5}" destId="{89E11789-077C-42F0-906B-86775D376882}" srcOrd="0" destOrd="0" presId="urn:microsoft.com/office/officeart/2008/layout/HorizontalMultiLevelHierarchy"/>
    <dgm:cxn modelId="{8DBB15AA-D8B4-4428-A87B-483C0BE957A3}" type="presParOf" srcId="{89E11789-077C-42F0-906B-86775D376882}" destId="{42E836A2-1FA2-4E9E-A098-AD1D23E29F5E}" srcOrd="0" destOrd="0" presId="urn:microsoft.com/office/officeart/2008/layout/HorizontalMultiLevelHierarchy"/>
    <dgm:cxn modelId="{A0F6B7AC-134A-427A-B74E-36DC200B6222}" type="presParOf" srcId="{D2F7C36B-1943-4BE3-AD7F-A66E5BE7D5C5}" destId="{E61DBBB9-0CB3-4629-A7ED-0C77B8057A2E}" srcOrd="1" destOrd="0" presId="urn:microsoft.com/office/officeart/2008/layout/HorizontalMultiLevelHierarchy"/>
    <dgm:cxn modelId="{3C8B8DD0-8468-4804-9290-AD3A5ED270B6}" type="presParOf" srcId="{E61DBBB9-0CB3-4629-A7ED-0C77B8057A2E}" destId="{FF559BF6-361E-480F-A6E0-FE9EA48FBC73}" srcOrd="0" destOrd="0" presId="urn:microsoft.com/office/officeart/2008/layout/HorizontalMultiLevelHierarchy"/>
    <dgm:cxn modelId="{772B0718-A846-44A8-8E0A-7B36D83ABE0D}" type="presParOf" srcId="{E61DBBB9-0CB3-4629-A7ED-0C77B8057A2E}" destId="{6C40AC38-9EE6-43C1-B0A6-05C905BE51DD}" srcOrd="1" destOrd="0" presId="urn:microsoft.com/office/officeart/2008/layout/HorizontalMultiLevelHierarchy"/>
    <dgm:cxn modelId="{02020F59-EE2A-41F9-9CBB-2E70ABD060D9}" type="presParOf" srcId="{D2F7C36B-1943-4BE3-AD7F-A66E5BE7D5C5}" destId="{59E265B9-A343-436C-9609-52ADEC1E4BA5}" srcOrd="2" destOrd="0" presId="urn:microsoft.com/office/officeart/2008/layout/HorizontalMultiLevelHierarchy"/>
    <dgm:cxn modelId="{B13059EE-62E2-4851-9375-26488C7DD0CB}" type="presParOf" srcId="{59E265B9-A343-436C-9609-52ADEC1E4BA5}" destId="{DA8A9185-B923-4156-9B35-D40D2CF0AEB4}" srcOrd="0" destOrd="0" presId="urn:microsoft.com/office/officeart/2008/layout/HorizontalMultiLevelHierarchy"/>
    <dgm:cxn modelId="{9EDBC548-1E14-482E-80A2-C7E987AB37B9}" type="presParOf" srcId="{D2F7C36B-1943-4BE3-AD7F-A66E5BE7D5C5}" destId="{A0BC0353-211C-47BC-9A6C-07A385C4E2C2}" srcOrd="3" destOrd="0" presId="urn:microsoft.com/office/officeart/2008/layout/HorizontalMultiLevelHierarchy"/>
    <dgm:cxn modelId="{3FE633D0-316A-4BD3-97AA-BBDAC58A1D62}" type="presParOf" srcId="{A0BC0353-211C-47BC-9A6C-07A385C4E2C2}" destId="{FD3C4273-D0F9-473F-96D3-5203F868B1A7}" srcOrd="0" destOrd="0" presId="urn:microsoft.com/office/officeart/2008/layout/HorizontalMultiLevelHierarchy"/>
    <dgm:cxn modelId="{76FBBACF-47CE-40F9-9468-9DB4EFBEBF23}" type="presParOf" srcId="{A0BC0353-211C-47BC-9A6C-07A385C4E2C2}" destId="{ED373141-AE58-413C-AF35-F97FE26047AD}" srcOrd="1" destOrd="0" presId="urn:microsoft.com/office/officeart/2008/layout/HorizontalMultiLevelHierarchy"/>
    <dgm:cxn modelId="{CF745C0F-04CE-4931-AE5B-89214CEB717E}" type="presParOf" srcId="{326EAFCF-7D9D-40B4-A10F-AC9DB48BF998}" destId="{D112D718-893F-4391-9A34-E1DB0BEA8FAE}" srcOrd="6" destOrd="0" presId="urn:microsoft.com/office/officeart/2008/layout/HorizontalMultiLevelHierarchy"/>
    <dgm:cxn modelId="{BFBC7D93-E6FA-4CB5-8AF1-E41ADBE3D503}" type="presParOf" srcId="{D112D718-893F-4391-9A34-E1DB0BEA8FAE}" destId="{1F0E59A3-E584-4C06-A45D-DCC31B22A2D8}" srcOrd="0" destOrd="0" presId="urn:microsoft.com/office/officeart/2008/layout/HorizontalMultiLevelHierarchy"/>
    <dgm:cxn modelId="{6C093D4F-443F-46FC-8182-6FF9D66C6B84}" type="presParOf" srcId="{326EAFCF-7D9D-40B4-A10F-AC9DB48BF998}" destId="{034491CB-2F77-4474-B8B8-A7A3973903D3}" srcOrd="7" destOrd="0" presId="urn:microsoft.com/office/officeart/2008/layout/HorizontalMultiLevelHierarchy"/>
    <dgm:cxn modelId="{798CAEEA-E813-441A-9A0F-341373BB0761}" type="presParOf" srcId="{034491CB-2F77-4474-B8B8-A7A3973903D3}" destId="{C248D828-5FF3-4B2F-978F-1BB1AA103A39}" srcOrd="0" destOrd="0" presId="urn:microsoft.com/office/officeart/2008/layout/HorizontalMultiLevelHierarchy"/>
    <dgm:cxn modelId="{6A5A0898-434E-41ED-B697-EE20956FBD04}" type="presParOf" srcId="{034491CB-2F77-4474-B8B8-A7A3973903D3}" destId="{DC3DF31A-A83A-46B6-8E60-3DEE01D01151}" srcOrd="1" destOrd="0" presId="urn:microsoft.com/office/officeart/2008/layout/HorizontalMultiLevelHierarchy"/>
    <dgm:cxn modelId="{F04287AC-3132-4A0A-B651-63F096C23BD3}" type="presParOf" srcId="{DC3DF31A-A83A-46B6-8E60-3DEE01D01151}" destId="{0D8B4629-4F49-4E4D-82D2-55FD213FC359}" srcOrd="0" destOrd="0" presId="urn:microsoft.com/office/officeart/2008/layout/HorizontalMultiLevelHierarchy"/>
    <dgm:cxn modelId="{777DA9E2-FC90-4F19-B435-598AB3AB243A}" type="presParOf" srcId="{0D8B4629-4F49-4E4D-82D2-55FD213FC359}" destId="{633DB98E-036B-4B02-9BA8-DB380699368C}" srcOrd="0" destOrd="0" presId="urn:microsoft.com/office/officeart/2008/layout/HorizontalMultiLevelHierarchy"/>
    <dgm:cxn modelId="{E85019BD-1C91-4A7C-B6E3-8EE54AB6DCBD}" type="presParOf" srcId="{DC3DF31A-A83A-46B6-8E60-3DEE01D01151}" destId="{FEA8DCCC-0997-4517-A727-59DBD500287C}" srcOrd="1" destOrd="0" presId="urn:microsoft.com/office/officeart/2008/layout/HorizontalMultiLevelHierarchy"/>
    <dgm:cxn modelId="{9A55ADD9-E7E3-4485-941B-10D99524ACF4}" type="presParOf" srcId="{FEA8DCCC-0997-4517-A727-59DBD500287C}" destId="{A913ADA7-0038-4024-B336-B449AA3E1C01}" srcOrd="0" destOrd="0" presId="urn:microsoft.com/office/officeart/2008/layout/HorizontalMultiLevelHierarchy"/>
    <dgm:cxn modelId="{F04B6958-2EE4-4D30-8335-5F90F5670E8E}" type="presParOf" srcId="{FEA8DCCC-0997-4517-A727-59DBD500287C}" destId="{44274C32-7EFB-4CCA-9A0C-8CAEABE52C97}" srcOrd="1" destOrd="0" presId="urn:microsoft.com/office/officeart/2008/layout/HorizontalMultiLevelHierarchy"/>
    <dgm:cxn modelId="{D935E489-05C2-4142-8DD9-51366F4C2A0D}" type="presParOf" srcId="{DC3DF31A-A83A-46B6-8E60-3DEE01D01151}" destId="{C7B2BE1F-3EC6-4778-9135-0D17CE9BB3FB}" srcOrd="2" destOrd="0" presId="urn:microsoft.com/office/officeart/2008/layout/HorizontalMultiLevelHierarchy"/>
    <dgm:cxn modelId="{A05F9D39-9BDC-474E-A9E8-870030DD3FB6}" type="presParOf" srcId="{C7B2BE1F-3EC6-4778-9135-0D17CE9BB3FB}" destId="{D85388F8-750B-438E-83FE-369C0C543A91}" srcOrd="0" destOrd="0" presId="urn:microsoft.com/office/officeart/2008/layout/HorizontalMultiLevelHierarchy"/>
    <dgm:cxn modelId="{EAC9C070-57B2-4B78-BEA6-78B1348415FE}" type="presParOf" srcId="{DC3DF31A-A83A-46B6-8E60-3DEE01D01151}" destId="{4916D78E-A5FA-4067-B0B7-D68D910DB311}" srcOrd="3" destOrd="0" presId="urn:microsoft.com/office/officeart/2008/layout/HorizontalMultiLevelHierarchy"/>
    <dgm:cxn modelId="{DAACA2BC-3A79-40EB-9E3D-E92639F63F0B}" type="presParOf" srcId="{4916D78E-A5FA-4067-B0B7-D68D910DB311}" destId="{BFF5FB65-A155-47B4-9D3A-22AF7F98D843}" srcOrd="0" destOrd="0" presId="urn:microsoft.com/office/officeart/2008/layout/HorizontalMultiLevelHierarchy"/>
    <dgm:cxn modelId="{050E2AF2-E88B-4459-95BB-C56D449EB847}" type="presParOf" srcId="{4916D78E-A5FA-4067-B0B7-D68D910DB311}" destId="{01E1C43F-87B0-4BAE-BB0F-14035C04FAA2}"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A89F30-BFCD-4924-B9B2-317089F603F2}">
      <dsp:nvSpPr>
        <dsp:cNvPr id="0" name=""/>
        <dsp:cNvSpPr/>
      </dsp:nvSpPr>
      <dsp:spPr>
        <a:xfrm>
          <a:off x="2813050" y="316060"/>
          <a:ext cx="1811621" cy="231479"/>
        </a:xfrm>
        <a:custGeom>
          <a:avLst/>
          <a:gdLst/>
          <a:ahLst/>
          <a:cxnLst/>
          <a:rect l="0" t="0" r="0" b="0"/>
          <a:pathLst>
            <a:path>
              <a:moveTo>
                <a:pt x="0" y="0"/>
              </a:moveTo>
              <a:lnTo>
                <a:pt x="0" y="115739"/>
              </a:lnTo>
              <a:lnTo>
                <a:pt x="1811621" y="115739"/>
              </a:lnTo>
              <a:lnTo>
                <a:pt x="1811621" y="23147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5F0618-D616-4361-ADE3-A7CD6F42EFB1}">
      <dsp:nvSpPr>
        <dsp:cNvPr id="0" name=""/>
        <dsp:cNvSpPr/>
      </dsp:nvSpPr>
      <dsp:spPr>
        <a:xfrm>
          <a:off x="2735485" y="316060"/>
          <a:ext cx="91440" cy="231479"/>
        </a:xfrm>
        <a:custGeom>
          <a:avLst/>
          <a:gdLst/>
          <a:ahLst/>
          <a:cxnLst/>
          <a:rect l="0" t="0" r="0" b="0"/>
          <a:pathLst>
            <a:path>
              <a:moveTo>
                <a:pt x="77564" y="0"/>
              </a:moveTo>
              <a:lnTo>
                <a:pt x="77564" y="115739"/>
              </a:lnTo>
              <a:lnTo>
                <a:pt x="45720" y="115739"/>
              </a:lnTo>
              <a:lnTo>
                <a:pt x="45720" y="23147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CB44BD-156B-4AB0-BE56-A407C1EF7C7F}">
      <dsp:nvSpPr>
        <dsp:cNvPr id="0" name=""/>
        <dsp:cNvSpPr/>
      </dsp:nvSpPr>
      <dsp:spPr>
        <a:xfrm>
          <a:off x="969583" y="316060"/>
          <a:ext cx="1843466" cy="231479"/>
        </a:xfrm>
        <a:custGeom>
          <a:avLst/>
          <a:gdLst/>
          <a:ahLst/>
          <a:cxnLst/>
          <a:rect l="0" t="0" r="0" b="0"/>
          <a:pathLst>
            <a:path>
              <a:moveTo>
                <a:pt x="1843466" y="0"/>
              </a:moveTo>
              <a:lnTo>
                <a:pt x="1843466" y="115739"/>
              </a:lnTo>
              <a:lnTo>
                <a:pt x="0" y="115739"/>
              </a:lnTo>
              <a:lnTo>
                <a:pt x="0" y="23147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AE3F5-AD3A-4E7B-8B35-938994CD2EE4}">
      <dsp:nvSpPr>
        <dsp:cNvPr id="0" name=""/>
        <dsp:cNvSpPr/>
      </dsp:nvSpPr>
      <dsp:spPr>
        <a:xfrm>
          <a:off x="1833942" y="218"/>
          <a:ext cx="1958214" cy="3158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Efficient Market Hypothesis</a:t>
          </a:r>
        </a:p>
      </dsp:txBody>
      <dsp:txXfrm>
        <a:off x="1833942" y="218"/>
        <a:ext cx="1958214" cy="315842"/>
      </dsp:txXfrm>
    </dsp:sp>
    <dsp:sp modelId="{B1570592-1F74-43F9-B69B-B0ABFAD775C1}">
      <dsp:nvSpPr>
        <dsp:cNvPr id="0" name=""/>
        <dsp:cNvSpPr/>
      </dsp:nvSpPr>
      <dsp:spPr>
        <a:xfrm>
          <a:off x="211963" y="547539"/>
          <a:ext cx="1515240" cy="3158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Weak Form Efficiency</a:t>
          </a:r>
          <a:endParaRPr lang="en-US" sz="1200" kern="1200">
            <a:latin typeface="Times New Roman" panose="02020603050405020304" pitchFamily="18" charset="0"/>
            <a:cs typeface="Times New Roman" panose="02020603050405020304" pitchFamily="18" charset="0"/>
          </a:endParaRPr>
        </a:p>
      </dsp:txBody>
      <dsp:txXfrm>
        <a:off x="211963" y="547539"/>
        <a:ext cx="1515240" cy="315842"/>
      </dsp:txXfrm>
    </dsp:sp>
    <dsp:sp modelId="{24C354B1-59FF-4A3E-AA3A-8367CF5F43AE}">
      <dsp:nvSpPr>
        <dsp:cNvPr id="0" name=""/>
        <dsp:cNvSpPr/>
      </dsp:nvSpPr>
      <dsp:spPr>
        <a:xfrm>
          <a:off x="1958682" y="547539"/>
          <a:ext cx="1645044" cy="3158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Semi-Strong form Efficiency</a:t>
          </a:r>
          <a:endParaRPr lang="en-US" sz="1200" b="1" kern="1200">
            <a:latin typeface="Times New Roman" panose="02020603050405020304" pitchFamily="18" charset="0"/>
            <a:cs typeface="Times New Roman" panose="02020603050405020304" pitchFamily="18" charset="0"/>
          </a:endParaRPr>
        </a:p>
      </dsp:txBody>
      <dsp:txXfrm>
        <a:off x="1958682" y="547539"/>
        <a:ext cx="1645044" cy="315842"/>
      </dsp:txXfrm>
    </dsp:sp>
    <dsp:sp modelId="{B3A34A6E-85CF-4DF2-A719-A737A19B272A}">
      <dsp:nvSpPr>
        <dsp:cNvPr id="0" name=""/>
        <dsp:cNvSpPr/>
      </dsp:nvSpPr>
      <dsp:spPr>
        <a:xfrm>
          <a:off x="3835206" y="547539"/>
          <a:ext cx="1578930" cy="3158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Strong Form Efficiency</a:t>
          </a:r>
          <a:endParaRPr lang="en-US" sz="1200" b="1" kern="1200">
            <a:latin typeface="Times New Roman" panose="02020603050405020304" pitchFamily="18" charset="0"/>
            <a:cs typeface="Times New Roman" panose="02020603050405020304" pitchFamily="18" charset="0"/>
          </a:endParaRPr>
        </a:p>
      </dsp:txBody>
      <dsp:txXfrm>
        <a:off x="3835206" y="547539"/>
        <a:ext cx="1578930" cy="3158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B2BE1F-3EC6-4778-9135-0D17CE9BB3FB}">
      <dsp:nvSpPr>
        <dsp:cNvPr id="0" name=""/>
        <dsp:cNvSpPr/>
      </dsp:nvSpPr>
      <dsp:spPr>
        <a:xfrm>
          <a:off x="2272185" y="5055150"/>
          <a:ext cx="301283" cy="342175"/>
        </a:xfrm>
        <a:custGeom>
          <a:avLst/>
          <a:gdLst/>
          <a:ahLst/>
          <a:cxnLst/>
          <a:rect l="0" t="0" r="0" b="0"/>
          <a:pathLst>
            <a:path>
              <a:moveTo>
                <a:pt x="0" y="0"/>
              </a:moveTo>
              <a:lnTo>
                <a:pt x="150641" y="0"/>
              </a:lnTo>
              <a:lnTo>
                <a:pt x="150641" y="342175"/>
              </a:lnTo>
              <a:lnTo>
                <a:pt x="301283" y="342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1429" y="5214840"/>
        <a:ext cx="22795" cy="22795"/>
      </dsp:txXfrm>
    </dsp:sp>
    <dsp:sp modelId="{0D8B4629-4F49-4E4D-82D2-55FD213FC359}">
      <dsp:nvSpPr>
        <dsp:cNvPr id="0" name=""/>
        <dsp:cNvSpPr/>
      </dsp:nvSpPr>
      <dsp:spPr>
        <a:xfrm>
          <a:off x="2272185" y="4680796"/>
          <a:ext cx="301283" cy="374354"/>
        </a:xfrm>
        <a:custGeom>
          <a:avLst/>
          <a:gdLst/>
          <a:ahLst/>
          <a:cxnLst/>
          <a:rect l="0" t="0" r="0" b="0"/>
          <a:pathLst>
            <a:path>
              <a:moveTo>
                <a:pt x="0" y="374354"/>
              </a:moveTo>
              <a:lnTo>
                <a:pt x="150641" y="374354"/>
              </a:lnTo>
              <a:lnTo>
                <a:pt x="150641" y="0"/>
              </a:lnTo>
              <a:lnTo>
                <a:pt x="30128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0814" y="4855960"/>
        <a:ext cx="24026" cy="24026"/>
      </dsp:txXfrm>
    </dsp:sp>
    <dsp:sp modelId="{D112D718-893F-4391-9A34-E1DB0BEA8FAE}">
      <dsp:nvSpPr>
        <dsp:cNvPr id="0" name=""/>
        <dsp:cNvSpPr/>
      </dsp:nvSpPr>
      <dsp:spPr>
        <a:xfrm>
          <a:off x="459274" y="3075022"/>
          <a:ext cx="306492" cy="1980127"/>
        </a:xfrm>
        <a:custGeom>
          <a:avLst/>
          <a:gdLst/>
          <a:ahLst/>
          <a:cxnLst/>
          <a:rect l="0" t="0" r="0" b="0"/>
          <a:pathLst>
            <a:path>
              <a:moveTo>
                <a:pt x="0" y="0"/>
              </a:moveTo>
              <a:lnTo>
                <a:pt x="153246" y="0"/>
              </a:lnTo>
              <a:lnTo>
                <a:pt x="153246" y="1980127"/>
              </a:lnTo>
              <a:lnTo>
                <a:pt x="306492" y="19801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Times New Roman" panose="02020603050405020304" pitchFamily="18" charset="0"/>
            <a:cs typeface="Times New Roman" panose="02020603050405020304" pitchFamily="18" charset="0"/>
          </a:endParaRPr>
        </a:p>
      </dsp:txBody>
      <dsp:txXfrm>
        <a:off x="562427" y="4014993"/>
        <a:ext cx="100185" cy="100185"/>
      </dsp:txXfrm>
    </dsp:sp>
    <dsp:sp modelId="{59E265B9-A343-436C-9609-52ADEC1E4BA5}">
      <dsp:nvSpPr>
        <dsp:cNvPr id="0" name=""/>
        <dsp:cNvSpPr/>
      </dsp:nvSpPr>
      <dsp:spPr>
        <a:xfrm>
          <a:off x="2272185" y="3764528"/>
          <a:ext cx="301283" cy="287046"/>
        </a:xfrm>
        <a:custGeom>
          <a:avLst/>
          <a:gdLst/>
          <a:ahLst/>
          <a:cxnLst/>
          <a:rect l="0" t="0" r="0" b="0"/>
          <a:pathLst>
            <a:path>
              <a:moveTo>
                <a:pt x="0" y="0"/>
              </a:moveTo>
              <a:lnTo>
                <a:pt x="150641" y="0"/>
              </a:lnTo>
              <a:lnTo>
                <a:pt x="150641" y="287046"/>
              </a:lnTo>
              <a:lnTo>
                <a:pt x="301283" y="2870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2424" y="3897648"/>
        <a:ext cx="20806" cy="20806"/>
      </dsp:txXfrm>
    </dsp:sp>
    <dsp:sp modelId="{89E11789-077C-42F0-906B-86775D376882}">
      <dsp:nvSpPr>
        <dsp:cNvPr id="0" name=""/>
        <dsp:cNvSpPr/>
      </dsp:nvSpPr>
      <dsp:spPr>
        <a:xfrm>
          <a:off x="2272185" y="3477482"/>
          <a:ext cx="301283" cy="287046"/>
        </a:xfrm>
        <a:custGeom>
          <a:avLst/>
          <a:gdLst/>
          <a:ahLst/>
          <a:cxnLst/>
          <a:rect l="0" t="0" r="0" b="0"/>
          <a:pathLst>
            <a:path>
              <a:moveTo>
                <a:pt x="0" y="287046"/>
              </a:moveTo>
              <a:lnTo>
                <a:pt x="150641" y="287046"/>
              </a:lnTo>
              <a:lnTo>
                <a:pt x="150641" y="0"/>
              </a:lnTo>
              <a:lnTo>
                <a:pt x="30128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2424" y="3610601"/>
        <a:ext cx="20806" cy="20806"/>
      </dsp:txXfrm>
    </dsp:sp>
    <dsp:sp modelId="{62CE7C5F-4FF4-4506-9CDC-15F851F61AE0}">
      <dsp:nvSpPr>
        <dsp:cNvPr id="0" name=""/>
        <dsp:cNvSpPr/>
      </dsp:nvSpPr>
      <dsp:spPr>
        <a:xfrm>
          <a:off x="459274" y="3075022"/>
          <a:ext cx="306492" cy="689505"/>
        </a:xfrm>
        <a:custGeom>
          <a:avLst/>
          <a:gdLst/>
          <a:ahLst/>
          <a:cxnLst/>
          <a:rect l="0" t="0" r="0" b="0"/>
          <a:pathLst>
            <a:path>
              <a:moveTo>
                <a:pt x="0" y="0"/>
              </a:moveTo>
              <a:lnTo>
                <a:pt x="153246" y="0"/>
              </a:lnTo>
              <a:lnTo>
                <a:pt x="153246" y="689505"/>
              </a:lnTo>
              <a:lnTo>
                <a:pt x="306492" y="6895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593656" y="3400911"/>
        <a:ext cx="37727" cy="37727"/>
      </dsp:txXfrm>
    </dsp:sp>
    <dsp:sp modelId="{2E0D32D0-7018-4A0D-A028-53109E1D81A5}">
      <dsp:nvSpPr>
        <dsp:cNvPr id="0" name=""/>
        <dsp:cNvSpPr/>
      </dsp:nvSpPr>
      <dsp:spPr>
        <a:xfrm>
          <a:off x="2272185" y="2571559"/>
          <a:ext cx="301283" cy="331830"/>
        </a:xfrm>
        <a:custGeom>
          <a:avLst/>
          <a:gdLst/>
          <a:ahLst/>
          <a:cxnLst/>
          <a:rect l="0" t="0" r="0" b="0"/>
          <a:pathLst>
            <a:path>
              <a:moveTo>
                <a:pt x="0" y="0"/>
              </a:moveTo>
              <a:lnTo>
                <a:pt x="150641" y="0"/>
              </a:lnTo>
              <a:lnTo>
                <a:pt x="150641" y="331830"/>
              </a:lnTo>
              <a:lnTo>
                <a:pt x="301283" y="3318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1622" y="2726269"/>
        <a:ext cx="22409" cy="22409"/>
      </dsp:txXfrm>
    </dsp:sp>
    <dsp:sp modelId="{C820BDBE-2830-4F84-9DB0-94B0B922C482}">
      <dsp:nvSpPr>
        <dsp:cNvPr id="0" name=""/>
        <dsp:cNvSpPr/>
      </dsp:nvSpPr>
      <dsp:spPr>
        <a:xfrm>
          <a:off x="2272185" y="2284513"/>
          <a:ext cx="301283" cy="287046"/>
        </a:xfrm>
        <a:custGeom>
          <a:avLst/>
          <a:gdLst/>
          <a:ahLst/>
          <a:cxnLst/>
          <a:rect l="0" t="0" r="0" b="0"/>
          <a:pathLst>
            <a:path>
              <a:moveTo>
                <a:pt x="0" y="287046"/>
              </a:moveTo>
              <a:lnTo>
                <a:pt x="150641" y="287046"/>
              </a:lnTo>
              <a:lnTo>
                <a:pt x="150641" y="0"/>
              </a:lnTo>
              <a:lnTo>
                <a:pt x="30128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2424" y="2417632"/>
        <a:ext cx="20806" cy="20806"/>
      </dsp:txXfrm>
    </dsp:sp>
    <dsp:sp modelId="{D6C93CB4-95E7-4147-9CC0-2C768DC27E5C}">
      <dsp:nvSpPr>
        <dsp:cNvPr id="0" name=""/>
        <dsp:cNvSpPr/>
      </dsp:nvSpPr>
      <dsp:spPr>
        <a:xfrm>
          <a:off x="459274" y="2571559"/>
          <a:ext cx="306492" cy="503463"/>
        </a:xfrm>
        <a:custGeom>
          <a:avLst/>
          <a:gdLst/>
          <a:ahLst/>
          <a:cxnLst/>
          <a:rect l="0" t="0" r="0" b="0"/>
          <a:pathLst>
            <a:path>
              <a:moveTo>
                <a:pt x="0" y="503463"/>
              </a:moveTo>
              <a:lnTo>
                <a:pt x="153246" y="503463"/>
              </a:lnTo>
              <a:lnTo>
                <a:pt x="153246" y="0"/>
              </a:lnTo>
              <a:lnTo>
                <a:pt x="30649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597784" y="2808555"/>
        <a:ext cx="29470" cy="29470"/>
      </dsp:txXfrm>
    </dsp:sp>
    <dsp:sp modelId="{63395998-4434-4AC7-A3BE-6F4088E4EB63}">
      <dsp:nvSpPr>
        <dsp:cNvPr id="0" name=""/>
        <dsp:cNvSpPr/>
      </dsp:nvSpPr>
      <dsp:spPr>
        <a:xfrm>
          <a:off x="4079888" y="1665636"/>
          <a:ext cx="301283" cy="287046"/>
        </a:xfrm>
        <a:custGeom>
          <a:avLst/>
          <a:gdLst/>
          <a:ahLst/>
          <a:cxnLst/>
          <a:rect l="0" t="0" r="0" b="0"/>
          <a:pathLst>
            <a:path>
              <a:moveTo>
                <a:pt x="0" y="0"/>
              </a:moveTo>
              <a:lnTo>
                <a:pt x="150641" y="0"/>
              </a:lnTo>
              <a:lnTo>
                <a:pt x="150641" y="287046"/>
              </a:lnTo>
              <a:lnTo>
                <a:pt x="301283" y="2870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4220127" y="1798756"/>
        <a:ext cx="20806" cy="20806"/>
      </dsp:txXfrm>
    </dsp:sp>
    <dsp:sp modelId="{D244D8C5-3D05-420B-93CD-98A413E0628D}">
      <dsp:nvSpPr>
        <dsp:cNvPr id="0" name=""/>
        <dsp:cNvSpPr/>
      </dsp:nvSpPr>
      <dsp:spPr>
        <a:xfrm>
          <a:off x="4079888" y="1378590"/>
          <a:ext cx="301283" cy="287046"/>
        </a:xfrm>
        <a:custGeom>
          <a:avLst/>
          <a:gdLst/>
          <a:ahLst/>
          <a:cxnLst/>
          <a:rect l="0" t="0" r="0" b="0"/>
          <a:pathLst>
            <a:path>
              <a:moveTo>
                <a:pt x="0" y="287046"/>
              </a:moveTo>
              <a:lnTo>
                <a:pt x="150641" y="287046"/>
              </a:lnTo>
              <a:lnTo>
                <a:pt x="150641" y="0"/>
              </a:lnTo>
              <a:lnTo>
                <a:pt x="30128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4220127" y="1511710"/>
        <a:ext cx="20806" cy="20806"/>
      </dsp:txXfrm>
    </dsp:sp>
    <dsp:sp modelId="{03F80F4D-EB1C-4BB6-BD7E-4075D51E601E}">
      <dsp:nvSpPr>
        <dsp:cNvPr id="0" name=""/>
        <dsp:cNvSpPr/>
      </dsp:nvSpPr>
      <dsp:spPr>
        <a:xfrm>
          <a:off x="2272185" y="1001976"/>
          <a:ext cx="301283" cy="663660"/>
        </a:xfrm>
        <a:custGeom>
          <a:avLst/>
          <a:gdLst/>
          <a:ahLst/>
          <a:cxnLst/>
          <a:rect l="0" t="0" r="0" b="0"/>
          <a:pathLst>
            <a:path>
              <a:moveTo>
                <a:pt x="0" y="0"/>
              </a:moveTo>
              <a:lnTo>
                <a:pt x="150641" y="0"/>
              </a:lnTo>
              <a:lnTo>
                <a:pt x="150641" y="663660"/>
              </a:lnTo>
              <a:lnTo>
                <a:pt x="301283" y="6636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04606" y="1315585"/>
        <a:ext cx="36442" cy="36442"/>
      </dsp:txXfrm>
    </dsp:sp>
    <dsp:sp modelId="{43C4AA6D-8CE8-4605-A1AA-CC25A21A5429}">
      <dsp:nvSpPr>
        <dsp:cNvPr id="0" name=""/>
        <dsp:cNvSpPr/>
      </dsp:nvSpPr>
      <dsp:spPr>
        <a:xfrm>
          <a:off x="2272185" y="956256"/>
          <a:ext cx="301283" cy="91440"/>
        </a:xfrm>
        <a:custGeom>
          <a:avLst/>
          <a:gdLst/>
          <a:ahLst/>
          <a:cxnLst/>
          <a:rect l="0" t="0" r="0" b="0"/>
          <a:pathLst>
            <a:path>
              <a:moveTo>
                <a:pt x="0" y="45720"/>
              </a:moveTo>
              <a:lnTo>
                <a:pt x="150641" y="45720"/>
              </a:lnTo>
              <a:lnTo>
                <a:pt x="150641" y="90503"/>
              </a:lnTo>
              <a:lnTo>
                <a:pt x="301283" y="905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15212" y="994361"/>
        <a:ext cx="15229" cy="15229"/>
      </dsp:txXfrm>
    </dsp:sp>
    <dsp:sp modelId="{5E7E84B3-EAEF-4AAF-A5AB-935270732CB2}">
      <dsp:nvSpPr>
        <dsp:cNvPr id="0" name=""/>
        <dsp:cNvSpPr/>
      </dsp:nvSpPr>
      <dsp:spPr>
        <a:xfrm>
          <a:off x="2272185" y="383099"/>
          <a:ext cx="301283" cy="618876"/>
        </a:xfrm>
        <a:custGeom>
          <a:avLst/>
          <a:gdLst/>
          <a:ahLst/>
          <a:cxnLst/>
          <a:rect l="0" t="0" r="0" b="0"/>
          <a:pathLst>
            <a:path>
              <a:moveTo>
                <a:pt x="0" y="618876"/>
              </a:moveTo>
              <a:lnTo>
                <a:pt x="150641" y="618876"/>
              </a:lnTo>
              <a:lnTo>
                <a:pt x="150641" y="0"/>
              </a:lnTo>
              <a:lnTo>
                <a:pt x="30128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2405619" y="675330"/>
        <a:ext cx="34415" cy="34415"/>
      </dsp:txXfrm>
    </dsp:sp>
    <dsp:sp modelId="{4E103A74-D7CC-4C87-A6AE-58733BE7FB90}">
      <dsp:nvSpPr>
        <dsp:cNvPr id="0" name=""/>
        <dsp:cNvSpPr/>
      </dsp:nvSpPr>
      <dsp:spPr>
        <a:xfrm>
          <a:off x="459274" y="1001976"/>
          <a:ext cx="306492" cy="2073046"/>
        </a:xfrm>
        <a:custGeom>
          <a:avLst/>
          <a:gdLst/>
          <a:ahLst/>
          <a:cxnLst/>
          <a:rect l="0" t="0" r="0" b="0"/>
          <a:pathLst>
            <a:path>
              <a:moveTo>
                <a:pt x="0" y="2073046"/>
              </a:moveTo>
              <a:lnTo>
                <a:pt x="153246" y="2073046"/>
              </a:lnTo>
              <a:lnTo>
                <a:pt x="153246" y="0"/>
              </a:lnTo>
              <a:lnTo>
                <a:pt x="30649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Times New Roman" panose="02020603050405020304" pitchFamily="18" charset="0"/>
            <a:cs typeface="Times New Roman" panose="02020603050405020304" pitchFamily="18" charset="0"/>
          </a:endParaRPr>
        </a:p>
      </dsp:txBody>
      <dsp:txXfrm>
        <a:off x="560130" y="1986110"/>
        <a:ext cx="104779" cy="104779"/>
      </dsp:txXfrm>
    </dsp:sp>
    <dsp:sp modelId="{0121EEE5-1D0F-4696-8F6A-D70FE51CACBE}">
      <dsp:nvSpPr>
        <dsp:cNvPr id="0" name=""/>
        <dsp:cNvSpPr/>
      </dsp:nvSpPr>
      <dsp:spPr>
        <a:xfrm rot="16200000">
          <a:off x="-1270412" y="2845385"/>
          <a:ext cx="300009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mj-lt"/>
            <a:buNone/>
          </a:pPr>
          <a:r>
            <a:rPr lang="en-IN" sz="1100" b="1" kern="1200">
              <a:latin typeface="Times New Roman" panose="02020603050405020304" pitchFamily="18" charset="0"/>
              <a:cs typeface="Times New Roman" panose="02020603050405020304" pitchFamily="18" charset="0"/>
            </a:rPr>
            <a:t>Argument Against Weak Form EMH </a:t>
          </a:r>
          <a:endParaRPr lang="en-US" sz="1100" b="1" kern="1200">
            <a:latin typeface="Times New Roman" panose="02020603050405020304" pitchFamily="18" charset="0"/>
            <a:cs typeface="Times New Roman" panose="02020603050405020304" pitchFamily="18" charset="0"/>
          </a:endParaRPr>
        </a:p>
      </dsp:txBody>
      <dsp:txXfrm>
        <a:off x="-1270412" y="2845385"/>
        <a:ext cx="3000099" cy="459274"/>
      </dsp:txXfrm>
    </dsp:sp>
    <dsp:sp modelId="{5B1F4365-D6A0-46B1-BE5A-6115374187DB}">
      <dsp:nvSpPr>
        <dsp:cNvPr id="0" name=""/>
        <dsp:cNvSpPr/>
      </dsp:nvSpPr>
      <dsp:spPr>
        <a:xfrm>
          <a:off x="765766" y="772339"/>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Empirical Anomalies</a:t>
          </a:r>
          <a:endParaRPr lang="en-US" sz="1050" kern="1200">
            <a:latin typeface="Times New Roman" panose="02020603050405020304" pitchFamily="18" charset="0"/>
            <a:cs typeface="Times New Roman" panose="02020603050405020304" pitchFamily="18" charset="0"/>
          </a:endParaRPr>
        </a:p>
      </dsp:txBody>
      <dsp:txXfrm>
        <a:off x="765766" y="772339"/>
        <a:ext cx="1506419" cy="459274"/>
      </dsp:txXfrm>
    </dsp:sp>
    <dsp:sp modelId="{7E813957-54BB-4D73-A31C-DA351A18CACD}">
      <dsp:nvSpPr>
        <dsp:cNvPr id="0" name=""/>
        <dsp:cNvSpPr/>
      </dsp:nvSpPr>
      <dsp:spPr>
        <a:xfrm>
          <a:off x="2573469" y="108679"/>
          <a:ext cx="1506419" cy="54884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mj-lt"/>
            <a:buNone/>
          </a:pPr>
          <a:r>
            <a:rPr lang="en-IN" sz="1050" b="1" kern="1200">
              <a:latin typeface="Times New Roman" panose="02020603050405020304" pitchFamily="18" charset="0"/>
              <a:cs typeface="Times New Roman" panose="02020603050405020304" pitchFamily="18" charset="0"/>
            </a:rPr>
            <a:t>Momentum Effect</a:t>
          </a:r>
        </a:p>
        <a:p>
          <a:pPr marL="0" lvl="0" indent="0" algn="ctr" defTabSz="466725">
            <a:lnSpc>
              <a:spcPct val="90000"/>
            </a:lnSpc>
            <a:spcBef>
              <a:spcPct val="0"/>
            </a:spcBef>
            <a:spcAft>
              <a:spcPct val="35000"/>
            </a:spcAft>
            <a:buFont typeface="+mj-lt"/>
            <a:buNone/>
          </a:pPr>
          <a:r>
            <a:rPr lang="en-IN" sz="1050" kern="1200"/>
            <a:t>Jegadeesh and Titman,1993</a:t>
          </a:r>
          <a:r>
            <a:rPr lang="en-IN" sz="1050" b="1" kern="1200">
              <a:latin typeface="Times New Roman" panose="02020603050405020304" pitchFamily="18" charset="0"/>
              <a:cs typeface="Times New Roman" panose="02020603050405020304" pitchFamily="18" charset="0"/>
            </a:rPr>
            <a:t> </a:t>
          </a:r>
          <a:endParaRPr lang="en-US" sz="1050" kern="1200">
            <a:latin typeface="Times New Roman" panose="02020603050405020304" pitchFamily="18" charset="0"/>
            <a:cs typeface="Times New Roman" panose="02020603050405020304" pitchFamily="18" charset="0"/>
          </a:endParaRPr>
        </a:p>
      </dsp:txBody>
      <dsp:txXfrm>
        <a:off x="2573469" y="108679"/>
        <a:ext cx="1506419" cy="548841"/>
      </dsp:txXfrm>
    </dsp:sp>
    <dsp:sp modelId="{61458B95-1CF2-4347-B139-8D42B917736F}">
      <dsp:nvSpPr>
        <dsp:cNvPr id="0" name=""/>
        <dsp:cNvSpPr/>
      </dsp:nvSpPr>
      <dsp:spPr>
        <a:xfrm>
          <a:off x="2573469" y="772339"/>
          <a:ext cx="1506419" cy="54884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mj-lt"/>
            <a:buNone/>
          </a:pPr>
          <a:r>
            <a:rPr lang="en-IN" sz="1050" b="1" kern="1200">
              <a:latin typeface="Times New Roman" panose="02020603050405020304" pitchFamily="18" charset="0"/>
              <a:cs typeface="Times New Roman" panose="02020603050405020304" pitchFamily="18" charset="0"/>
            </a:rPr>
            <a:t>Mean Reversal</a:t>
          </a:r>
          <a:r>
            <a:rPr lang="en-IN" sz="1050" kern="1200">
              <a:latin typeface="Times New Roman" panose="02020603050405020304" pitchFamily="18" charset="0"/>
              <a:cs typeface="Times New Roman" panose="02020603050405020304" pitchFamily="18" charset="0"/>
            </a:rPr>
            <a:t> </a:t>
          </a:r>
          <a:r>
            <a:rPr lang="en-IN" sz="1050" b="1" kern="1200">
              <a:latin typeface="Times New Roman" panose="02020603050405020304" pitchFamily="18" charset="0"/>
              <a:cs typeface="Times New Roman" panose="02020603050405020304" pitchFamily="18" charset="0"/>
            </a:rPr>
            <a:t>Phenomenon</a:t>
          </a:r>
        </a:p>
        <a:p>
          <a:pPr marL="0" lvl="0" indent="0" algn="ctr" defTabSz="466725">
            <a:lnSpc>
              <a:spcPct val="90000"/>
            </a:lnSpc>
            <a:spcBef>
              <a:spcPct val="0"/>
            </a:spcBef>
            <a:spcAft>
              <a:spcPct val="35000"/>
            </a:spcAft>
            <a:buFont typeface="+mj-lt"/>
            <a:buNone/>
          </a:pPr>
          <a:r>
            <a:rPr lang="en-IN" sz="1050" kern="1200"/>
            <a:t>DeBondt and Thaler, 1985</a:t>
          </a:r>
          <a:endParaRPr lang="en-US" sz="1050" kern="1200">
            <a:latin typeface="Times New Roman" panose="02020603050405020304" pitchFamily="18" charset="0"/>
            <a:cs typeface="Times New Roman" panose="02020603050405020304" pitchFamily="18" charset="0"/>
          </a:endParaRPr>
        </a:p>
      </dsp:txBody>
      <dsp:txXfrm>
        <a:off x="2573469" y="772339"/>
        <a:ext cx="1506419" cy="548841"/>
      </dsp:txXfrm>
    </dsp:sp>
    <dsp:sp modelId="{5FE94C65-7A8B-40F1-A8B3-5A22AB4F22DE}">
      <dsp:nvSpPr>
        <dsp:cNvPr id="0" name=""/>
        <dsp:cNvSpPr/>
      </dsp:nvSpPr>
      <dsp:spPr>
        <a:xfrm>
          <a:off x="2573469" y="1435999"/>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mj-lt"/>
            <a:buNone/>
          </a:pPr>
          <a:r>
            <a:rPr lang="en-IN" sz="1050" b="1" kern="1200">
              <a:latin typeface="Times New Roman" panose="02020603050405020304" pitchFamily="18" charset="0"/>
              <a:cs typeface="Times New Roman" panose="02020603050405020304" pitchFamily="18" charset="0"/>
            </a:rPr>
            <a:t>Calendar Affects </a:t>
          </a:r>
        </a:p>
      </dsp:txBody>
      <dsp:txXfrm>
        <a:off x="2573469" y="1435999"/>
        <a:ext cx="1506419" cy="459274"/>
      </dsp:txXfrm>
    </dsp:sp>
    <dsp:sp modelId="{1D7C0658-61BB-4D0F-88EC-3C2C483F6D0F}">
      <dsp:nvSpPr>
        <dsp:cNvPr id="0" name=""/>
        <dsp:cNvSpPr/>
      </dsp:nvSpPr>
      <dsp:spPr>
        <a:xfrm>
          <a:off x="4381172" y="1148953"/>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January Effect </a:t>
          </a:r>
        </a:p>
        <a:p>
          <a:pPr marL="0" lvl="0" indent="0" algn="ctr" defTabSz="466725">
            <a:lnSpc>
              <a:spcPct val="90000"/>
            </a:lnSpc>
            <a:spcBef>
              <a:spcPct val="0"/>
            </a:spcBef>
            <a:spcAft>
              <a:spcPct val="35000"/>
            </a:spcAft>
            <a:buNone/>
          </a:pPr>
          <a:r>
            <a:rPr lang="en-IN" sz="1050" b="0" kern="1200"/>
            <a:t>Rozeff &amp; Kinney, 1976</a:t>
          </a:r>
          <a:r>
            <a:rPr lang="en-IN" sz="1050" b="1" kern="1200">
              <a:latin typeface="Times New Roman" panose="02020603050405020304" pitchFamily="18" charset="0"/>
              <a:cs typeface="Times New Roman" panose="02020603050405020304" pitchFamily="18" charset="0"/>
            </a:rPr>
            <a:t>  </a:t>
          </a:r>
          <a:endParaRPr lang="en-US" sz="1050" kern="1200">
            <a:latin typeface="Times New Roman" panose="02020603050405020304" pitchFamily="18" charset="0"/>
            <a:cs typeface="Times New Roman" panose="02020603050405020304" pitchFamily="18" charset="0"/>
          </a:endParaRPr>
        </a:p>
      </dsp:txBody>
      <dsp:txXfrm>
        <a:off x="4381172" y="1148953"/>
        <a:ext cx="1506419" cy="459274"/>
      </dsp:txXfrm>
    </dsp:sp>
    <dsp:sp modelId="{94C309EB-9721-40E8-A8AE-A17F724FDA5C}">
      <dsp:nvSpPr>
        <dsp:cNvPr id="0" name=""/>
        <dsp:cNvSpPr/>
      </dsp:nvSpPr>
      <dsp:spPr>
        <a:xfrm>
          <a:off x="4381172" y="1723045"/>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Weekend Effect </a:t>
          </a:r>
        </a:p>
        <a:p>
          <a:pPr marL="0" lvl="0" indent="0" algn="ctr" defTabSz="466725">
            <a:lnSpc>
              <a:spcPct val="90000"/>
            </a:lnSpc>
            <a:spcBef>
              <a:spcPct val="0"/>
            </a:spcBef>
            <a:spcAft>
              <a:spcPct val="35000"/>
            </a:spcAft>
            <a:buNone/>
          </a:pPr>
          <a:r>
            <a:rPr lang="en-IN" sz="1050" b="0" kern="1200"/>
            <a:t>French, 1980</a:t>
          </a:r>
          <a:r>
            <a:rPr lang="en-IN" sz="1050" b="0" kern="1200">
              <a:latin typeface="Times New Roman" panose="02020603050405020304" pitchFamily="18" charset="0"/>
              <a:cs typeface="Times New Roman" panose="02020603050405020304" pitchFamily="18" charset="0"/>
            </a:rPr>
            <a:t> </a:t>
          </a:r>
          <a:endParaRPr lang="en-US" sz="1050" b="0" kern="1200">
            <a:latin typeface="Times New Roman" panose="02020603050405020304" pitchFamily="18" charset="0"/>
            <a:cs typeface="Times New Roman" panose="02020603050405020304" pitchFamily="18" charset="0"/>
          </a:endParaRPr>
        </a:p>
      </dsp:txBody>
      <dsp:txXfrm>
        <a:off x="4381172" y="1723045"/>
        <a:ext cx="1506419" cy="459274"/>
      </dsp:txXfrm>
    </dsp:sp>
    <dsp:sp modelId="{3485433D-A883-47F8-9844-2F3258687D44}">
      <dsp:nvSpPr>
        <dsp:cNvPr id="0" name=""/>
        <dsp:cNvSpPr/>
      </dsp:nvSpPr>
      <dsp:spPr>
        <a:xfrm>
          <a:off x="765766" y="2341922"/>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Behavioural Critiques</a:t>
          </a:r>
          <a:endParaRPr lang="en-US" sz="1050" kern="1200">
            <a:latin typeface="Times New Roman" panose="02020603050405020304" pitchFamily="18" charset="0"/>
            <a:cs typeface="Times New Roman" panose="02020603050405020304" pitchFamily="18" charset="0"/>
          </a:endParaRPr>
        </a:p>
      </dsp:txBody>
      <dsp:txXfrm>
        <a:off x="765766" y="2341922"/>
        <a:ext cx="1506419" cy="459274"/>
      </dsp:txXfrm>
    </dsp:sp>
    <dsp:sp modelId="{689D817C-A57E-423C-B245-227BDA9D555C}">
      <dsp:nvSpPr>
        <dsp:cNvPr id="0" name=""/>
        <dsp:cNvSpPr/>
      </dsp:nvSpPr>
      <dsp:spPr>
        <a:xfrm>
          <a:off x="2573469" y="2010092"/>
          <a:ext cx="1504792" cy="54884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Prospect Theory </a:t>
          </a:r>
          <a:r>
            <a:rPr lang="en-IN" sz="1050" b="0" kern="1200"/>
            <a:t>Kahneman &amp; Tversky, 1979</a:t>
          </a:r>
          <a:endParaRPr lang="en-US" sz="1050" b="0" kern="1200">
            <a:latin typeface="Times New Roman" panose="02020603050405020304" pitchFamily="18" charset="0"/>
            <a:cs typeface="Times New Roman" panose="02020603050405020304" pitchFamily="18" charset="0"/>
          </a:endParaRPr>
        </a:p>
      </dsp:txBody>
      <dsp:txXfrm>
        <a:off x="2573469" y="2010092"/>
        <a:ext cx="1504792" cy="548841"/>
      </dsp:txXfrm>
    </dsp:sp>
    <dsp:sp modelId="{3A6A1993-F07E-40C7-88A7-3E8E92E476DC}">
      <dsp:nvSpPr>
        <dsp:cNvPr id="0" name=""/>
        <dsp:cNvSpPr/>
      </dsp:nvSpPr>
      <dsp:spPr>
        <a:xfrm>
          <a:off x="2573469" y="2673752"/>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Excess Volatility</a:t>
          </a:r>
        </a:p>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 </a:t>
          </a:r>
          <a:r>
            <a:rPr lang="en-IN" sz="1050" kern="1200"/>
            <a:t>Robert Shiller, 1981 </a:t>
          </a:r>
          <a:r>
            <a:rPr lang="en-IN" sz="1050" b="1" kern="1200">
              <a:latin typeface="Times New Roman" panose="02020603050405020304" pitchFamily="18" charset="0"/>
              <a:cs typeface="Times New Roman" panose="02020603050405020304" pitchFamily="18" charset="0"/>
            </a:rPr>
            <a:t> </a:t>
          </a:r>
          <a:endParaRPr lang="en-US" sz="1050" kern="1200">
            <a:latin typeface="Times New Roman" panose="02020603050405020304" pitchFamily="18" charset="0"/>
            <a:cs typeface="Times New Roman" panose="02020603050405020304" pitchFamily="18" charset="0"/>
          </a:endParaRPr>
        </a:p>
      </dsp:txBody>
      <dsp:txXfrm>
        <a:off x="2573469" y="2673752"/>
        <a:ext cx="1506419" cy="459274"/>
      </dsp:txXfrm>
    </dsp:sp>
    <dsp:sp modelId="{E2D5782B-8E94-410F-9CA2-118D98E61CFB}">
      <dsp:nvSpPr>
        <dsp:cNvPr id="0" name=""/>
        <dsp:cNvSpPr/>
      </dsp:nvSpPr>
      <dsp:spPr>
        <a:xfrm>
          <a:off x="765766" y="3534891"/>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Structural Constraints</a:t>
          </a:r>
          <a:endParaRPr lang="en-US" sz="1050" kern="1200">
            <a:latin typeface="Times New Roman" panose="02020603050405020304" pitchFamily="18" charset="0"/>
            <a:cs typeface="Times New Roman" panose="02020603050405020304" pitchFamily="18" charset="0"/>
          </a:endParaRPr>
        </a:p>
      </dsp:txBody>
      <dsp:txXfrm>
        <a:off x="765766" y="3534891"/>
        <a:ext cx="1506419" cy="459274"/>
      </dsp:txXfrm>
    </dsp:sp>
    <dsp:sp modelId="{FF559BF6-361E-480F-A6E0-FE9EA48FBC73}">
      <dsp:nvSpPr>
        <dsp:cNvPr id="0" name=""/>
        <dsp:cNvSpPr/>
      </dsp:nvSpPr>
      <dsp:spPr>
        <a:xfrm>
          <a:off x="2573469" y="3247845"/>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Technical Trading Rules </a:t>
          </a:r>
          <a:r>
            <a:rPr lang="en-IN" sz="1050" b="0" kern="1200"/>
            <a:t>Brock et al., 1992</a:t>
          </a:r>
          <a:r>
            <a:rPr lang="en-IN" sz="1050" b="0" kern="1200">
              <a:latin typeface="Times New Roman" panose="02020603050405020304" pitchFamily="18" charset="0"/>
              <a:cs typeface="Times New Roman" panose="02020603050405020304" pitchFamily="18" charset="0"/>
            </a:rPr>
            <a:t> </a:t>
          </a:r>
          <a:endParaRPr lang="en-US" sz="1050" b="0" kern="1200">
            <a:latin typeface="Times New Roman" panose="02020603050405020304" pitchFamily="18" charset="0"/>
            <a:cs typeface="Times New Roman" panose="02020603050405020304" pitchFamily="18" charset="0"/>
          </a:endParaRPr>
        </a:p>
      </dsp:txBody>
      <dsp:txXfrm>
        <a:off x="2573469" y="3247845"/>
        <a:ext cx="1506419" cy="459274"/>
      </dsp:txXfrm>
    </dsp:sp>
    <dsp:sp modelId="{FD3C4273-D0F9-473F-96D3-5203F868B1A7}">
      <dsp:nvSpPr>
        <dsp:cNvPr id="0" name=""/>
        <dsp:cNvSpPr/>
      </dsp:nvSpPr>
      <dsp:spPr>
        <a:xfrm>
          <a:off x="2573469" y="3821937"/>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Restraints on Arbitrage </a:t>
          </a:r>
          <a:r>
            <a:rPr lang="en-IN" sz="1050" b="0" kern="1200"/>
            <a:t>Shleifer &amp; Vishny, 1997</a:t>
          </a:r>
          <a:endParaRPr lang="en-IN" sz="1050" b="0" kern="1200">
            <a:latin typeface="Times New Roman" panose="02020603050405020304" pitchFamily="18" charset="0"/>
            <a:cs typeface="Times New Roman" panose="02020603050405020304" pitchFamily="18" charset="0"/>
          </a:endParaRPr>
        </a:p>
      </dsp:txBody>
      <dsp:txXfrm>
        <a:off x="2573469" y="3821937"/>
        <a:ext cx="1506419" cy="459274"/>
      </dsp:txXfrm>
    </dsp:sp>
    <dsp:sp modelId="{C248D828-5FF3-4B2F-978F-1BB1AA103A39}">
      <dsp:nvSpPr>
        <dsp:cNvPr id="0" name=""/>
        <dsp:cNvSpPr/>
      </dsp:nvSpPr>
      <dsp:spPr>
        <a:xfrm>
          <a:off x="765766" y="4825513"/>
          <a:ext cx="1506419" cy="45927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Predictability and Filter Rules </a:t>
          </a:r>
          <a:endParaRPr lang="en-US" sz="1050" kern="1200">
            <a:latin typeface="Times New Roman" panose="02020603050405020304" pitchFamily="18" charset="0"/>
            <a:cs typeface="Times New Roman" panose="02020603050405020304" pitchFamily="18" charset="0"/>
          </a:endParaRPr>
        </a:p>
      </dsp:txBody>
      <dsp:txXfrm>
        <a:off x="765766" y="4825513"/>
        <a:ext cx="1506419" cy="459274"/>
      </dsp:txXfrm>
    </dsp:sp>
    <dsp:sp modelId="{A913ADA7-0038-4024-B336-B449AA3E1C01}">
      <dsp:nvSpPr>
        <dsp:cNvPr id="0" name=""/>
        <dsp:cNvSpPr/>
      </dsp:nvSpPr>
      <dsp:spPr>
        <a:xfrm>
          <a:off x="2573469" y="4396030"/>
          <a:ext cx="1506419" cy="56953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Effectiveness of Filter Rules in Stock Market </a:t>
          </a:r>
          <a:r>
            <a:rPr lang="en-IN" sz="1050" b="0" kern="1200"/>
            <a:t>Alexander, 1961</a:t>
          </a:r>
          <a:r>
            <a:rPr lang="en-IN" sz="1050" b="0" kern="1200">
              <a:latin typeface="Times New Roman" panose="02020603050405020304" pitchFamily="18" charset="0"/>
              <a:cs typeface="Times New Roman" panose="02020603050405020304" pitchFamily="18" charset="0"/>
            </a:rPr>
            <a:t> </a:t>
          </a:r>
          <a:endParaRPr lang="en-US" sz="1050" b="0" kern="1200">
            <a:latin typeface="Times New Roman" panose="02020603050405020304" pitchFamily="18" charset="0"/>
            <a:cs typeface="Times New Roman" panose="02020603050405020304" pitchFamily="18" charset="0"/>
          </a:endParaRPr>
        </a:p>
      </dsp:txBody>
      <dsp:txXfrm>
        <a:off x="2573469" y="4396030"/>
        <a:ext cx="1506419" cy="569532"/>
      </dsp:txXfrm>
    </dsp:sp>
    <dsp:sp modelId="{BFF5FB65-A155-47B4-9D3A-22AF7F98D843}">
      <dsp:nvSpPr>
        <dsp:cNvPr id="0" name=""/>
        <dsp:cNvSpPr/>
      </dsp:nvSpPr>
      <dsp:spPr>
        <a:xfrm>
          <a:off x="2573469" y="5080380"/>
          <a:ext cx="1506419" cy="6338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Effectiveness of Filter Rule in Foreign Exchange Markets </a:t>
          </a:r>
        </a:p>
        <a:p>
          <a:pPr marL="0" lvl="0" indent="0" algn="ctr" defTabSz="466725">
            <a:lnSpc>
              <a:spcPct val="90000"/>
            </a:lnSpc>
            <a:spcBef>
              <a:spcPct val="0"/>
            </a:spcBef>
            <a:spcAft>
              <a:spcPct val="35000"/>
            </a:spcAft>
            <a:buNone/>
          </a:pPr>
          <a:r>
            <a:rPr lang="en-IN" sz="1050" kern="1200"/>
            <a:t>Richard Sweeney, 1988 </a:t>
          </a:r>
          <a:endParaRPr lang="en-US" sz="1050" kern="1200">
            <a:latin typeface="Times New Roman" panose="02020603050405020304" pitchFamily="18" charset="0"/>
            <a:cs typeface="Times New Roman" panose="02020603050405020304" pitchFamily="18" charset="0"/>
          </a:endParaRPr>
        </a:p>
      </dsp:txBody>
      <dsp:txXfrm>
        <a:off x="2573469" y="5080380"/>
        <a:ext cx="1506419" cy="6338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15</Pages>
  <Words>4758</Words>
  <Characters>27125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32</cp:revision>
  <cp:lastPrinted>2025-03-07T08:38:00Z</cp:lastPrinted>
  <dcterms:created xsi:type="dcterms:W3CDTF">2025-03-05T16:47:00Z</dcterms:created>
  <dcterms:modified xsi:type="dcterms:W3CDTF">2025-04-23T13:22:00Z</dcterms:modified>
</cp:coreProperties>
</file>