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07012" w14:textId="79FB1268" w:rsidR="003D39C8" w:rsidRDefault="003D39C8" w:rsidP="00E17579">
      <w:pPr>
        <w:spacing w:line="480" w:lineRule="auto"/>
        <w:rPr>
          <w:rFonts w:ascii="Times New Roman" w:hAnsi="Times New Roman" w:cs="Times New Roman"/>
        </w:rPr>
      </w:pPr>
      <w:r w:rsidRPr="003D39C8">
        <w:rPr>
          <w:rFonts w:ascii="Times New Roman" w:hAnsi="Times New Roman" w:cs="Times New Roman"/>
          <w:bCs/>
          <w:i/>
          <w:iCs/>
          <w:u w:val="single"/>
          <w:lang w:val="en-US"/>
        </w:rPr>
        <w:t>Original Research Article</w:t>
      </w:r>
    </w:p>
    <w:p w14:paraId="4A044796" w14:textId="6DDFE350" w:rsidR="003D39C8" w:rsidRDefault="00E17579" w:rsidP="00E17579">
      <w:pPr>
        <w:spacing w:line="480" w:lineRule="auto"/>
        <w:rPr>
          <w:rFonts w:ascii="Times New Roman" w:hAnsi="Times New Roman" w:cs="Times New Roman"/>
        </w:rPr>
      </w:pPr>
      <w:r w:rsidRPr="00E17579">
        <w:rPr>
          <w:rFonts w:ascii="Times New Roman" w:hAnsi="Times New Roman" w:cs="Times New Roman"/>
        </w:rPr>
        <w:t>Carbapenem Resistant Enterobacteriaceae Isolates Prevalence in Pregnant Women of Rural Areas from Dehradun, Uttarakhand, India</w:t>
      </w:r>
    </w:p>
    <w:p w14:paraId="216C7824" w14:textId="168B56E2" w:rsidR="00B46CA2" w:rsidRPr="005F4515" w:rsidRDefault="00B46CA2">
      <w:pPr>
        <w:rPr>
          <w:rFonts w:ascii="Times New Roman" w:hAnsi="Times New Roman" w:cs="Times New Roman"/>
          <w:b/>
          <w:bCs/>
        </w:rPr>
      </w:pPr>
    </w:p>
    <w:p w14:paraId="5F89CBCB" w14:textId="79912585" w:rsidR="00B46CA2" w:rsidRPr="00584C73" w:rsidRDefault="00B46CA2" w:rsidP="00B46CA2">
      <w:pPr>
        <w:spacing w:line="480" w:lineRule="auto"/>
        <w:rPr>
          <w:rFonts w:ascii="Times New Roman" w:hAnsi="Times New Roman" w:cs="Times New Roman"/>
          <w:b/>
          <w:bCs/>
          <w:sz w:val="28"/>
          <w:szCs w:val="28"/>
        </w:rPr>
      </w:pPr>
      <w:r w:rsidRPr="00584C73">
        <w:rPr>
          <w:rFonts w:ascii="Times New Roman" w:hAnsi="Times New Roman" w:cs="Times New Roman"/>
          <w:b/>
          <w:bCs/>
          <w:sz w:val="28"/>
          <w:szCs w:val="28"/>
        </w:rPr>
        <w:t xml:space="preserve">Abstract </w:t>
      </w:r>
    </w:p>
    <w:p w14:paraId="445C245B" w14:textId="026B8CBE" w:rsidR="00B46CA2" w:rsidRPr="00B46CA2" w:rsidRDefault="00B46CA2" w:rsidP="00B46CA2">
      <w:pPr>
        <w:spacing w:line="480" w:lineRule="auto"/>
        <w:rPr>
          <w:rFonts w:ascii="Times New Roman" w:hAnsi="Times New Roman" w:cs="Times New Roman"/>
        </w:rPr>
      </w:pPr>
      <w:r w:rsidRPr="00B46CA2">
        <w:rPr>
          <w:rFonts w:ascii="Times New Roman" w:hAnsi="Times New Roman" w:cs="Times New Roman"/>
        </w:rPr>
        <w:t xml:space="preserve">During this study, 250 clinical samples were </w:t>
      </w:r>
      <w:r w:rsidR="008B5DF2" w:rsidRPr="00B46CA2">
        <w:rPr>
          <w:rFonts w:ascii="Times New Roman" w:hAnsi="Times New Roman" w:cs="Times New Roman"/>
        </w:rPr>
        <w:t>gathered 88</w:t>
      </w:r>
      <w:r w:rsidRPr="00B46CA2">
        <w:rPr>
          <w:rFonts w:ascii="Times New Roman" w:hAnsi="Times New Roman" w:cs="Times New Roman"/>
        </w:rPr>
        <w:t xml:space="preserve"> from the outpatient side and 162 from inpatients. Along the way, researchers identified 110 gram-negative bacilli from the Enterobacteriaceae group using a mix of Gram’s stain, a negative stain method, and the standard biochemical tests. Interestingly, these findings generally match earlier work, which points out that specimen types—be it blood, sputum, pus, urine, or bronchoalveolar lavage—often show quite a bit of variability. In this sample set, the bacteria turned out to be 60 Escherichia coli, 29 Klebsiella pneumoniae, 13 Pseudomonas aeruginosa, and 8 Proteus mirabilis, underscoring a pretty mixed picture of infections. Overall, this spread highlights why keeping an ongoing, careful watch and making spot-on identifications is so important, both in outpatient and inpatient settings, to guide effective antimicrobial therapy.</w:t>
      </w:r>
    </w:p>
    <w:p w14:paraId="1F52659D" w14:textId="54FD55B2" w:rsidR="00B46CA2" w:rsidRDefault="008B5DF2" w:rsidP="00E17579">
      <w:pPr>
        <w:spacing w:line="480" w:lineRule="auto"/>
        <w:rPr>
          <w:rFonts w:ascii="Times New Roman" w:hAnsi="Times New Roman" w:cs="Times New Roman"/>
        </w:rPr>
      </w:pPr>
      <w:r w:rsidRPr="00584C73">
        <w:rPr>
          <w:rFonts w:ascii="Times New Roman" w:hAnsi="Times New Roman" w:cs="Times New Roman"/>
          <w:b/>
          <w:bCs/>
          <w:sz w:val="28"/>
          <w:szCs w:val="28"/>
        </w:rPr>
        <w:t>Key-words</w:t>
      </w:r>
      <w:r w:rsidRPr="001C2FDD">
        <w:rPr>
          <w:rFonts w:ascii="Times New Roman" w:hAnsi="Times New Roman" w:cs="Times New Roman"/>
          <w:sz w:val="28"/>
          <w:szCs w:val="28"/>
        </w:rPr>
        <w:t>:</w:t>
      </w:r>
      <w:r w:rsidRPr="008B5DF2">
        <w:rPr>
          <w:rFonts w:ascii="Times New Roman" w:hAnsi="Times New Roman" w:cs="Times New Roman"/>
          <w:sz w:val="28"/>
          <w:szCs w:val="28"/>
        </w:rPr>
        <w:t xml:space="preserve"> </w:t>
      </w:r>
      <w:r w:rsidRPr="008B5DF2">
        <w:rPr>
          <w:rFonts w:ascii="Times New Roman" w:hAnsi="Times New Roman" w:cs="Times New Roman"/>
        </w:rPr>
        <w:t>GNB- Gram negative bacteria; CRE- Carbapenem resistant Enterobacteriaceae; MBL</w:t>
      </w:r>
      <w:r>
        <w:rPr>
          <w:rFonts w:ascii="Times New Roman" w:hAnsi="Times New Roman" w:cs="Times New Roman"/>
        </w:rPr>
        <w:t xml:space="preserve">- </w:t>
      </w:r>
      <w:r w:rsidRPr="008B5DF2">
        <w:rPr>
          <w:rFonts w:ascii="Times New Roman" w:hAnsi="Times New Roman" w:cs="Times New Roman"/>
        </w:rPr>
        <w:t>Metallo-</w:t>
      </w:r>
      <w:r w:rsidRPr="008B5DF2">
        <w:rPr>
          <w:rFonts w:ascii="Cambria Math" w:hAnsi="Cambria Math" w:cs="Cambria Math"/>
        </w:rPr>
        <w:t>𝛽</w:t>
      </w:r>
      <w:r w:rsidRPr="008B5DF2">
        <w:rPr>
          <w:rFonts w:ascii="Times New Roman" w:hAnsi="Times New Roman" w:cs="Times New Roman"/>
        </w:rPr>
        <w:t>-lactamases</w:t>
      </w:r>
    </w:p>
    <w:p w14:paraId="212553F8" w14:textId="561484BE" w:rsidR="008B5DF2" w:rsidRPr="00B576EA" w:rsidRDefault="008B5DF2" w:rsidP="00B576EA">
      <w:pPr>
        <w:pStyle w:val="ListParagraph"/>
        <w:numPr>
          <w:ilvl w:val="0"/>
          <w:numId w:val="3"/>
        </w:numPr>
        <w:rPr>
          <w:rFonts w:ascii="Times New Roman" w:hAnsi="Times New Roman" w:cs="Times New Roman"/>
          <w:b/>
          <w:bCs/>
          <w:sz w:val="28"/>
          <w:szCs w:val="28"/>
        </w:rPr>
      </w:pPr>
      <w:r w:rsidRPr="00B576EA">
        <w:rPr>
          <w:rFonts w:ascii="Times New Roman" w:hAnsi="Times New Roman" w:cs="Times New Roman"/>
          <w:b/>
          <w:bCs/>
          <w:sz w:val="28"/>
          <w:szCs w:val="28"/>
        </w:rPr>
        <w:t>Introduction</w:t>
      </w:r>
    </w:p>
    <w:p w14:paraId="3013108F" w14:textId="4F2F4D3E" w:rsidR="008B5DF2" w:rsidRPr="008B5DF2" w:rsidRDefault="008B5DF2" w:rsidP="008B5DF2">
      <w:pPr>
        <w:spacing w:line="480" w:lineRule="auto"/>
        <w:rPr>
          <w:rFonts w:ascii="Times New Roman" w:hAnsi="Times New Roman" w:cs="Times New Roman"/>
        </w:rPr>
      </w:pPr>
      <w:r w:rsidRPr="008B5DF2">
        <w:rPr>
          <w:rFonts w:ascii="Times New Roman" w:hAnsi="Times New Roman" w:cs="Times New Roman"/>
        </w:rPr>
        <w:t>Over the past decade, there's been a growing worry about gram-negative bacteria—those pesky germs that are increasingly shrugging off most antibiotics</w:t>
      </w:r>
      <w:r w:rsidR="00373EC1">
        <w:rPr>
          <w:rFonts w:ascii="Times New Roman" w:hAnsi="Times New Roman" w:cs="Times New Roman"/>
        </w:rPr>
        <w:t xml:space="preserve"> (Dan et al.,2021)</w:t>
      </w:r>
      <w:r w:rsidRPr="008B5DF2">
        <w:rPr>
          <w:rFonts w:ascii="Times New Roman" w:hAnsi="Times New Roman" w:cs="Times New Roman"/>
        </w:rPr>
        <w:t xml:space="preserve"> (</w:t>
      </w:r>
      <w:r w:rsidR="00380A4A">
        <w:rPr>
          <w:rFonts w:ascii="Times New Roman" w:hAnsi="Times New Roman" w:cs="Times New Roman"/>
        </w:rPr>
        <w:t>CDC,2016</w:t>
      </w:r>
      <w:r w:rsidRPr="008B5DF2">
        <w:rPr>
          <w:rFonts w:ascii="Times New Roman" w:hAnsi="Times New Roman" w:cs="Times New Roman"/>
        </w:rPr>
        <w:t xml:space="preserve">). People in hospitals and researchers have noticed that everyday bacterial infections, which used to be easily managed, are now showing unexpected levels of resistance to conventional treatments (Bielicki et al.). I remember one study from 2011 suggesting that in the USA, the annual price tag for tackling these resistant infections runs </w:t>
      </w:r>
      <w:r w:rsidRPr="008B5DF2">
        <w:rPr>
          <w:rFonts w:ascii="Times New Roman" w:hAnsi="Times New Roman" w:cs="Times New Roman"/>
        </w:rPr>
        <w:lastRenderedPageBreak/>
        <w:t>anywhere between $21 million and $34 million, really underlining the heavy economic impact of this challenge</w:t>
      </w:r>
      <w:r w:rsidR="00380A4A">
        <w:rPr>
          <w:rFonts w:ascii="Times New Roman" w:hAnsi="Times New Roman" w:cs="Times New Roman"/>
        </w:rPr>
        <w:t xml:space="preserve"> (</w:t>
      </w:r>
      <w:proofErr w:type="spellStart"/>
      <w:r w:rsidR="00380A4A">
        <w:rPr>
          <w:rFonts w:ascii="Times New Roman" w:hAnsi="Times New Roman" w:cs="Times New Roman"/>
        </w:rPr>
        <w:t>Spellberg</w:t>
      </w:r>
      <w:proofErr w:type="spellEnd"/>
      <w:r w:rsidR="00380A4A">
        <w:rPr>
          <w:rFonts w:ascii="Times New Roman" w:hAnsi="Times New Roman" w:cs="Times New Roman"/>
        </w:rPr>
        <w:t xml:space="preserve"> et al., 2011)</w:t>
      </w:r>
      <w:r w:rsidRPr="008B5DF2">
        <w:rPr>
          <w:rFonts w:ascii="Times New Roman" w:hAnsi="Times New Roman" w:cs="Times New Roman"/>
        </w:rPr>
        <w:t xml:space="preserve">.  Carbapenems, a group of antibiotics valued for their wide-ranging attack, come with an unusual molecular design. They boast a core structure that's coupled with a protective ring, which helps keep out many beta-lactamases—enzymes like </w:t>
      </w:r>
      <w:r w:rsidR="00FB470F" w:rsidRPr="008B5DF2">
        <w:rPr>
          <w:rFonts w:ascii="Times New Roman" w:hAnsi="Times New Roman" w:cs="Times New Roman"/>
        </w:rPr>
        <w:t>Metallo</w:t>
      </w:r>
      <w:r w:rsidRPr="008B5DF2">
        <w:rPr>
          <w:rFonts w:ascii="Times New Roman" w:hAnsi="Times New Roman" w:cs="Times New Roman"/>
        </w:rPr>
        <w:t>-beta-lactamases and extended-spectrum variants, in most cases</w:t>
      </w:r>
      <w:r w:rsidR="006B7E21">
        <w:rPr>
          <w:rFonts w:ascii="Times New Roman" w:hAnsi="Times New Roman" w:cs="Times New Roman"/>
        </w:rPr>
        <w:t xml:space="preserve"> </w:t>
      </w:r>
      <w:r w:rsidR="00CC51A3">
        <w:rPr>
          <w:rFonts w:ascii="Times New Roman" w:hAnsi="Times New Roman" w:cs="Times New Roman"/>
        </w:rPr>
        <w:t>(Kna</w:t>
      </w:r>
      <w:r w:rsidR="00CC3324">
        <w:rPr>
          <w:rFonts w:ascii="Times New Roman" w:hAnsi="Times New Roman" w:cs="Times New Roman"/>
        </w:rPr>
        <w:t>pp</w:t>
      </w:r>
      <w:r w:rsidR="00CC51A3">
        <w:rPr>
          <w:rFonts w:ascii="Times New Roman" w:hAnsi="Times New Roman" w:cs="Times New Roman"/>
        </w:rPr>
        <w:t>K.M.2011)</w:t>
      </w:r>
      <w:r w:rsidRPr="008B5DF2">
        <w:rPr>
          <w:rFonts w:ascii="Times New Roman" w:hAnsi="Times New Roman" w:cs="Times New Roman"/>
        </w:rPr>
        <w:t>. In simple terms, when bacteria manage to survive in the presence of what would be normally lethal amounts of carbapenems, we call that carbapenem resistance; the same idea applies when tests show these germs simply won't budge against the drugs</w:t>
      </w:r>
      <w:r w:rsidR="006B7E21">
        <w:rPr>
          <w:rFonts w:ascii="Times New Roman" w:hAnsi="Times New Roman" w:cs="Times New Roman"/>
        </w:rPr>
        <w:t xml:space="preserve"> </w:t>
      </w:r>
      <w:r w:rsidR="00CC3324">
        <w:rPr>
          <w:rFonts w:ascii="Times New Roman" w:hAnsi="Times New Roman" w:cs="Times New Roman"/>
        </w:rPr>
        <w:t>(Durante-</w:t>
      </w:r>
      <w:proofErr w:type="spellStart"/>
      <w:r w:rsidR="00CC3324">
        <w:rPr>
          <w:rFonts w:ascii="Times New Roman" w:hAnsi="Times New Roman" w:cs="Times New Roman"/>
        </w:rPr>
        <w:t>Magnoni</w:t>
      </w:r>
      <w:proofErr w:type="spellEnd"/>
      <w:r w:rsidR="00CC3324">
        <w:rPr>
          <w:rFonts w:ascii="Times New Roman" w:hAnsi="Times New Roman" w:cs="Times New Roman"/>
        </w:rPr>
        <w:t xml:space="preserve"> E.2019)</w:t>
      </w:r>
      <w:r w:rsidRPr="008B5DF2">
        <w:rPr>
          <w:rFonts w:ascii="Times New Roman" w:hAnsi="Times New Roman" w:cs="Times New Roman"/>
        </w:rPr>
        <w:t>. Increasingly, the rise of such carbapenem-resistant bugs is seen as one of today's most pressing health concerns (</w:t>
      </w:r>
      <w:r w:rsidR="00CC3324">
        <w:rPr>
          <w:rFonts w:ascii="Times New Roman" w:hAnsi="Times New Roman" w:cs="Times New Roman"/>
        </w:rPr>
        <w:t>The white house 2014</w:t>
      </w:r>
      <w:r w:rsidR="0024544C">
        <w:rPr>
          <w:rFonts w:ascii="Times New Roman" w:hAnsi="Times New Roman" w:cs="Times New Roman"/>
        </w:rPr>
        <w:t>)</w:t>
      </w:r>
      <w:r w:rsidR="006B7E21">
        <w:rPr>
          <w:rFonts w:ascii="Times New Roman" w:hAnsi="Times New Roman" w:cs="Times New Roman"/>
        </w:rPr>
        <w:t xml:space="preserve"> </w:t>
      </w:r>
      <w:r w:rsidR="0024544C">
        <w:rPr>
          <w:rFonts w:ascii="Times New Roman" w:hAnsi="Times New Roman" w:cs="Times New Roman"/>
        </w:rPr>
        <w:t>(</w:t>
      </w:r>
      <w:r w:rsidRPr="008B5DF2">
        <w:rPr>
          <w:rFonts w:ascii="Times New Roman" w:hAnsi="Times New Roman" w:cs="Times New Roman"/>
        </w:rPr>
        <w:t>Bielicki et al.).  Before the year 2000, cases of carbapenem-resistant Enterobacteriaceae (CRE) were pretty uncommon; yet in recent years, especially in healthcare settings, infections—often involving organisms like Escherichia coli and Klebsiella pneumoniae—have spiked noticeably</w:t>
      </w:r>
      <w:r w:rsidR="0024544C">
        <w:rPr>
          <w:rFonts w:ascii="Times New Roman" w:hAnsi="Times New Roman" w:cs="Times New Roman"/>
        </w:rPr>
        <w:t xml:space="preserve"> </w:t>
      </w:r>
      <w:r w:rsidR="0033577C">
        <w:rPr>
          <w:rFonts w:ascii="Times New Roman" w:hAnsi="Times New Roman" w:cs="Times New Roman"/>
        </w:rPr>
        <w:t>(Gupta N et al</w:t>
      </w:r>
      <w:r w:rsidR="0024544C">
        <w:rPr>
          <w:rFonts w:ascii="Times New Roman" w:hAnsi="Times New Roman" w:cs="Times New Roman"/>
        </w:rPr>
        <w:t>.</w:t>
      </w:r>
      <w:r w:rsidR="0033577C">
        <w:rPr>
          <w:rFonts w:ascii="Times New Roman" w:hAnsi="Times New Roman" w:cs="Times New Roman"/>
        </w:rPr>
        <w:t>2011)</w:t>
      </w:r>
      <w:r w:rsidRPr="008B5DF2">
        <w:rPr>
          <w:rFonts w:ascii="Times New Roman" w:hAnsi="Times New Roman" w:cs="Times New Roman"/>
        </w:rPr>
        <w:t xml:space="preserve"> (Dan et al.2021). Alarmingly, mortality rates linked to these infections can hit as high as 50%—a stark outcome due in part to the lack of alternative treatment options </w:t>
      </w:r>
      <w:r w:rsidR="0024544C">
        <w:rPr>
          <w:rFonts w:ascii="Times New Roman" w:hAnsi="Times New Roman" w:cs="Times New Roman"/>
        </w:rPr>
        <w:t xml:space="preserve">(Van Duin D 2013) </w:t>
      </w:r>
      <w:r w:rsidRPr="008B5DF2">
        <w:rPr>
          <w:rFonts w:ascii="Times New Roman" w:hAnsi="Times New Roman" w:cs="Times New Roman"/>
        </w:rPr>
        <w:t>(Bielicki et al.). A comprehensive review even hinted that blending current strategies might keep CRE outbreaks at bay</w:t>
      </w:r>
      <w:r w:rsidR="0024544C">
        <w:rPr>
          <w:rFonts w:ascii="Times New Roman" w:hAnsi="Times New Roman" w:cs="Times New Roman"/>
        </w:rPr>
        <w:t xml:space="preserve"> (French, C et al.2017) </w:t>
      </w:r>
      <w:r w:rsidRPr="008B5DF2">
        <w:rPr>
          <w:rFonts w:ascii="Times New Roman" w:hAnsi="Times New Roman" w:cs="Times New Roman"/>
        </w:rPr>
        <w:t>(Dan et al., 2021). Clearly, prevention strategies—focusing on both reducing transmission and minimizing infections—should be high on our agenda</w:t>
      </w:r>
      <w:r w:rsidR="006B7E21">
        <w:rPr>
          <w:rFonts w:ascii="Times New Roman" w:hAnsi="Times New Roman" w:cs="Times New Roman"/>
        </w:rPr>
        <w:t xml:space="preserve"> </w:t>
      </w:r>
      <w:r w:rsidR="00423A19">
        <w:rPr>
          <w:rFonts w:ascii="Times New Roman" w:hAnsi="Times New Roman" w:cs="Times New Roman"/>
        </w:rPr>
        <w:t>(Papp-Wallace 2011) (</w:t>
      </w:r>
      <w:proofErr w:type="spellStart"/>
      <w:r w:rsidR="00423A19">
        <w:rPr>
          <w:rFonts w:ascii="Times New Roman" w:hAnsi="Times New Roman" w:cs="Times New Roman"/>
        </w:rPr>
        <w:t>Bedenic</w:t>
      </w:r>
      <w:proofErr w:type="spellEnd"/>
      <w:r w:rsidR="006B7E21">
        <w:rPr>
          <w:rFonts w:ascii="Times New Roman" w:hAnsi="Times New Roman" w:cs="Times New Roman"/>
        </w:rPr>
        <w:t xml:space="preserve"> </w:t>
      </w:r>
      <w:r w:rsidR="00423A19">
        <w:rPr>
          <w:rFonts w:ascii="Times New Roman" w:hAnsi="Times New Roman" w:cs="Times New Roman"/>
        </w:rPr>
        <w:t>et</w:t>
      </w:r>
      <w:r w:rsidR="006B7E21">
        <w:rPr>
          <w:rFonts w:ascii="Times New Roman" w:hAnsi="Times New Roman" w:cs="Times New Roman"/>
        </w:rPr>
        <w:t xml:space="preserve"> </w:t>
      </w:r>
      <w:r w:rsidR="00423A19">
        <w:rPr>
          <w:rFonts w:ascii="Times New Roman" w:hAnsi="Times New Roman" w:cs="Times New Roman"/>
        </w:rPr>
        <w:t>al 2014)</w:t>
      </w:r>
      <w:r w:rsidRPr="008B5DF2">
        <w:rPr>
          <w:rFonts w:ascii="Times New Roman" w:hAnsi="Times New Roman" w:cs="Times New Roman"/>
        </w:rPr>
        <w:t>. And while developing new antibiotics remains absolutely critical, it’s equally important to quickly and accurately identify those already infected, as well as individuals who might be quietly carrying these resistant bugs</w:t>
      </w:r>
      <w:r w:rsidR="0024544C">
        <w:rPr>
          <w:rFonts w:ascii="Times New Roman" w:hAnsi="Times New Roman" w:cs="Times New Roman"/>
        </w:rPr>
        <w:t xml:space="preserve"> (P. Nordmann 2014)</w:t>
      </w:r>
      <w:r w:rsidRPr="008B5DF2">
        <w:rPr>
          <w:rFonts w:ascii="Times New Roman" w:hAnsi="Times New Roman" w:cs="Times New Roman"/>
        </w:rPr>
        <w:t xml:space="preserve"> (Bielicki et al.).</w:t>
      </w:r>
    </w:p>
    <w:p w14:paraId="666F1204" w14:textId="4B9131E0" w:rsidR="008B5DF2" w:rsidRPr="00B576EA" w:rsidRDefault="008B5DF2" w:rsidP="00B576EA">
      <w:pPr>
        <w:pStyle w:val="ListParagraph"/>
        <w:numPr>
          <w:ilvl w:val="0"/>
          <w:numId w:val="3"/>
        </w:numPr>
        <w:rPr>
          <w:rFonts w:ascii="Times New Roman" w:hAnsi="Times New Roman" w:cs="Times New Roman"/>
          <w:b/>
          <w:bCs/>
          <w:sz w:val="28"/>
          <w:szCs w:val="28"/>
        </w:rPr>
      </w:pPr>
      <w:r w:rsidRPr="00B576EA">
        <w:rPr>
          <w:rFonts w:ascii="Times New Roman" w:hAnsi="Times New Roman" w:cs="Times New Roman"/>
          <w:b/>
          <w:bCs/>
          <w:sz w:val="28"/>
          <w:szCs w:val="28"/>
        </w:rPr>
        <w:t>Subjects and Methods</w:t>
      </w:r>
    </w:p>
    <w:p w14:paraId="096348F6" w14:textId="40F2BB04" w:rsidR="00B576EA" w:rsidRPr="008B5DF2" w:rsidRDefault="008B5DF2" w:rsidP="008B5DF2">
      <w:pPr>
        <w:spacing w:line="480" w:lineRule="auto"/>
        <w:rPr>
          <w:rFonts w:ascii="Times New Roman" w:hAnsi="Times New Roman" w:cs="Times New Roman"/>
        </w:rPr>
      </w:pPr>
      <w:r w:rsidRPr="008B5DF2">
        <w:rPr>
          <w:rFonts w:ascii="Times New Roman" w:hAnsi="Times New Roman" w:cs="Times New Roman"/>
        </w:rPr>
        <w:t>At the Department of Microbiology at Doon (P.G.) Paramedical College</w:t>
      </w:r>
      <w:r>
        <w:rPr>
          <w:rFonts w:ascii="Times New Roman" w:hAnsi="Times New Roman" w:cs="Times New Roman"/>
        </w:rPr>
        <w:t xml:space="preserve"> &amp; Hospital</w:t>
      </w:r>
      <w:r w:rsidRPr="008B5DF2">
        <w:rPr>
          <w:rFonts w:ascii="Times New Roman" w:hAnsi="Times New Roman" w:cs="Times New Roman"/>
        </w:rPr>
        <w:t xml:space="preserve"> in Dehradun, Uttarakhand, India, an investigation got underway. Over a ten‐month stretch—</w:t>
      </w:r>
      <w:r w:rsidRPr="008B5DF2">
        <w:rPr>
          <w:rFonts w:ascii="Times New Roman" w:hAnsi="Times New Roman" w:cs="Times New Roman"/>
        </w:rPr>
        <w:lastRenderedPageBreak/>
        <w:t xml:space="preserve">from January 2021 until October 2021—we ended up cultivating a mix of gram‐negative Enterobacteriaceae isolates from a variety of clinical specimens. Blood, bronchial wash, pus, sputum, and urine were all thrown into the mix; interestingly, some samples came from pregnant women living in the rural pockets of Dehradun, which helped paint a fuller picture of the local epidemiology. The bacterial isolates were pinned down using everyday biochemical tests that pretty much mirror techniques described in other recent studies (Dan et al., 2021).  We then moved on to checking how these bugs reacted to antibiotics. The Kirby-Bauer disc diffusion test was our tool of choice, with meropenem (10 µg) and imipenem (10 µg) antibiotic discs—sourced from Hi-Media, Mumbai, India—being used to screen for carbapenem resistance. Zone diameters were measured using the CLSI 2017 guidelines </w:t>
      </w:r>
      <w:r w:rsidR="00423A19">
        <w:rPr>
          <w:rFonts w:ascii="Times New Roman" w:hAnsi="Times New Roman" w:cs="Times New Roman"/>
        </w:rPr>
        <w:t xml:space="preserve">(CLSI 2017) </w:t>
      </w:r>
      <w:r w:rsidRPr="008B5DF2">
        <w:rPr>
          <w:rFonts w:ascii="Times New Roman" w:hAnsi="Times New Roman" w:cs="Times New Roman"/>
        </w:rPr>
        <w:t xml:space="preserve">(Bielicki et al.). Generally speaking, zones of 16 mm or more were marked as sensitive; zones of 13 mm or less were labelled resistant, and though a 14 mm zone falls right in between, it was treated as resistant. To keep things honest, E. coli ATCC 25922 was run as the control strain.  Not stopping there, we also explored phenotypic detection for </w:t>
      </w:r>
      <w:proofErr w:type="spellStart"/>
      <w:r w:rsidRPr="008B5DF2">
        <w:rPr>
          <w:rFonts w:ascii="Times New Roman" w:hAnsi="Times New Roman" w:cs="Times New Roman"/>
        </w:rPr>
        <w:t>carbapenemases</w:t>
      </w:r>
      <w:proofErr w:type="spellEnd"/>
      <w:r w:rsidRPr="008B5DF2">
        <w:rPr>
          <w:rFonts w:ascii="Times New Roman" w:hAnsi="Times New Roman" w:cs="Times New Roman"/>
        </w:rPr>
        <w:t>. The Modified Hodge test and the IMP-EDTA disk synergy test were both on the job. In the Modified Hodge test, a positive result showed up as E. coli ATCC 25922 growing alongside the test isolate—producing a sort of cloverleaf indentation within the inhibition zone—whereas a negative result meant no mingling of growth in that zone. Then, the IM</w:t>
      </w:r>
      <w:r w:rsidR="00C43F0E">
        <w:rPr>
          <w:rFonts w:ascii="Times New Roman" w:hAnsi="Times New Roman" w:cs="Times New Roman"/>
        </w:rPr>
        <w:t>P</w:t>
      </w:r>
      <w:r w:rsidRPr="008B5DF2">
        <w:rPr>
          <w:rFonts w:ascii="Times New Roman" w:hAnsi="Times New Roman" w:cs="Times New Roman"/>
        </w:rPr>
        <w:t xml:space="preserve"> EDTA disk synergy test picked up MBL production if there was a 7 mm increase in the zone diameter from the IM</w:t>
      </w:r>
      <w:r w:rsidR="00C43F0E">
        <w:rPr>
          <w:rFonts w:ascii="Times New Roman" w:hAnsi="Times New Roman" w:cs="Times New Roman"/>
        </w:rPr>
        <w:t>P</w:t>
      </w:r>
      <w:r w:rsidRPr="008B5DF2">
        <w:rPr>
          <w:rFonts w:ascii="Times New Roman" w:hAnsi="Times New Roman" w:cs="Times New Roman"/>
        </w:rPr>
        <w:t xml:space="preserve"> EDTA disk compared to the IM</w:t>
      </w:r>
      <w:r w:rsidR="00C43F0E">
        <w:rPr>
          <w:rFonts w:ascii="Times New Roman" w:hAnsi="Times New Roman" w:cs="Times New Roman"/>
        </w:rPr>
        <w:t>P</w:t>
      </w:r>
      <w:r w:rsidRPr="008B5DF2">
        <w:rPr>
          <w:rFonts w:ascii="Times New Roman" w:hAnsi="Times New Roman" w:cs="Times New Roman"/>
        </w:rPr>
        <w:t xml:space="preserve"> disk alone. Finally, the minimal inhibitory concentration (MIC) for each isolate against imipenem was determined via the Agar Dilution Method in keeping with the CLSI guidelines</w:t>
      </w:r>
      <w:r w:rsidR="00423A19">
        <w:rPr>
          <w:rFonts w:ascii="Times New Roman" w:hAnsi="Times New Roman" w:cs="Times New Roman"/>
        </w:rPr>
        <w:t xml:space="preserve"> (CLSI 2017) </w:t>
      </w:r>
      <w:r w:rsidRPr="008B5DF2">
        <w:rPr>
          <w:rFonts w:ascii="Times New Roman" w:hAnsi="Times New Roman" w:cs="Times New Roman"/>
        </w:rPr>
        <w:t>(Bielicki et al.).</w:t>
      </w:r>
    </w:p>
    <w:p w14:paraId="4E2682E5" w14:textId="011AB4CD" w:rsidR="008B5DF2" w:rsidRPr="00B576EA" w:rsidRDefault="008B5DF2" w:rsidP="00B576EA">
      <w:pPr>
        <w:pStyle w:val="ListParagraph"/>
        <w:numPr>
          <w:ilvl w:val="0"/>
          <w:numId w:val="3"/>
        </w:numPr>
        <w:rPr>
          <w:rFonts w:ascii="Times New Roman" w:hAnsi="Times New Roman" w:cs="Times New Roman"/>
          <w:b/>
          <w:bCs/>
          <w:sz w:val="28"/>
          <w:szCs w:val="28"/>
        </w:rPr>
      </w:pPr>
      <w:r w:rsidRPr="00B576EA">
        <w:rPr>
          <w:rFonts w:ascii="Times New Roman" w:hAnsi="Times New Roman" w:cs="Times New Roman"/>
          <w:b/>
          <w:bCs/>
          <w:sz w:val="28"/>
          <w:szCs w:val="28"/>
        </w:rPr>
        <w:t>Result</w:t>
      </w:r>
    </w:p>
    <w:p w14:paraId="7047A293" w14:textId="4337A390" w:rsidR="00CD4436" w:rsidRDefault="008B5DF2" w:rsidP="008B5DF2">
      <w:pPr>
        <w:spacing w:line="480" w:lineRule="auto"/>
        <w:rPr>
          <w:rFonts w:ascii="Times New Roman" w:hAnsi="Times New Roman" w:cs="Times New Roman"/>
        </w:rPr>
      </w:pPr>
      <w:r w:rsidRPr="008B5DF2">
        <w:rPr>
          <w:rFonts w:ascii="Times New Roman" w:hAnsi="Times New Roman" w:cs="Times New Roman"/>
        </w:rPr>
        <w:lastRenderedPageBreak/>
        <w:t xml:space="preserve">We gathered 250 clinical samples – 88 from outpatients and 162 from the inpatient side – in a rather hands-on effort to get a real feel for bacterial isolates across different care settings. Along the way, 110 gram-negative bacilli from the Enterobacteriaceae group were picked out using a mix of Gram staining, negative staining and routine biochemical tests; generally speaking, these methods not only showed what we did but also gave a peek at the array of bugs found in day-to-day practice. It’s also interesting to note that differences emerged in the specimen types – blood, sputum, pus, urine, and even bronchoalveolar lavage – directly linked to these isolates, a reminder that the kind of sample matters a lot when figuring out and treating infections effectively (Dan et al., 2021). The range of gram-negative bacteria turned out quite varied: Escherichia coli appeared 60 times, Klebsiella pneumoniae 29, Pseudomonas aeruginosa 13 and Proteus mirabilis 8, among </w:t>
      </w:r>
      <w:r w:rsidR="000A0DBC" w:rsidRPr="008B5DF2">
        <w:rPr>
          <w:rFonts w:ascii="Times New Roman" w:hAnsi="Times New Roman" w:cs="Times New Roman"/>
        </w:rPr>
        <w:t>others</w:t>
      </w:r>
      <w:r w:rsidR="000A0DBC">
        <w:rPr>
          <w:rFonts w:ascii="Times New Roman" w:hAnsi="Times New Roman" w:cs="Times New Roman"/>
        </w:rPr>
        <w:t xml:space="preserve"> (</w:t>
      </w:r>
      <w:r w:rsidR="000F0B91">
        <w:rPr>
          <w:rFonts w:ascii="Times New Roman" w:hAnsi="Times New Roman" w:cs="Times New Roman"/>
        </w:rPr>
        <w:t>Table 1)</w:t>
      </w:r>
      <w:r w:rsidRPr="008B5DF2">
        <w:rPr>
          <w:rFonts w:ascii="Times New Roman" w:hAnsi="Times New Roman" w:cs="Times New Roman"/>
        </w:rPr>
        <w:t>; this spread really drives home the clinical impact of these pathogens and the ongoing need to keep tabs on their resistance.</w:t>
      </w:r>
    </w:p>
    <w:p w14:paraId="1752EFE2" w14:textId="561F27E7" w:rsidR="00454F93" w:rsidRPr="00F325A5" w:rsidRDefault="00454F93" w:rsidP="00454F93">
      <w:pPr>
        <w:spacing w:line="276" w:lineRule="auto"/>
        <w:rPr>
          <w:rFonts w:ascii="Arial" w:hAnsi="Arial" w:cs="Arial"/>
          <w:b/>
          <w:bCs/>
        </w:rPr>
      </w:pPr>
      <w:r w:rsidRPr="00F325A5">
        <w:rPr>
          <w:rFonts w:ascii="Arial" w:hAnsi="Arial" w:cs="Arial"/>
          <w:b/>
          <w:bCs/>
        </w:rPr>
        <w:t xml:space="preserve">Table </w:t>
      </w:r>
      <w:r>
        <w:rPr>
          <w:rFonts w:ascii="Arial" w:hAnsi="Arial" w:cs="Arial"/>
          <w:b/>
          <w:bCs/>
        </w:rPr>
        <w:t>1</w:t>
      </w:r>
      <w:r w:rsidRPr="00F325A5">
        <w:rPr>
          <w:rFonts w:ascii="Arial" w:hAnsi="Arial" w:cs="Arial"/>
          <w:b/>
          <w:bCs/>
        </w:rPr>
        <w:t>: - Distribution of various Bacterial spp. in different clinical samples.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59"/>
        <w:gridCol w:w="1564"/>
        <w:gridCol w:w="1630"/>
        <w:gridCol w:w="1857"/>
        <w:gridCol w:w="1308"/>
        <w:gridCol w:w="1298"/>
      </w:tblGrid>
      <w:tr w:rsidR="00454F93" w:rsidRPr="00F325A5" w14:paraId="3EE41F43" w14:textId="77777777" w:rsidTr="00340E11">
        <w:tc>
          <w:tcPr>
            <w:tcW w:w="1502"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96061" w14:textId="77777777" w:rsidR="00454F93" w:rsidRPr="00F325A5" w:rsidRDefault="00454F93" w:rsidP="00340E11">
            <w:pPr>
              <w:jc w:val="center"/>
              <w:rPr>
                <w:rFonts w:ascii="Arial" w:hAnsi="Arial" w:cs="Arial"/>
              </w:rPr>
            </w:pPr>
          </w:p>
          <w:p w14:paraId="3F835AAE" w14:textId="77777777" w:rsidR="00454F93" w:rsidRPr="00454F93" w:rsidRDefault="00454F93" w:rsidP="00340E11">
            <w:pPr>
              <w:jc w:val="center"/>
              <w:rPr>
                <w:rFonts w:ascii="Arial" w:hAnsi="Arial" w:cs="Arial"/>
                <w:b/>
                <w:bCs/>
              </w:rPr>
            </w:pPr>
            <w:r w:rsidRPr="00454F93">
              <w:rPr>
                <w:rFonts w:ascii="Arial" w:hAnsi="Arial" w:cs="Arial"/>
                <w:b/>
                <w:bCs/>
              </w:rPr>
              <w:t>Sample Type (Number)</w:t>
            </w:r>
          </w:p>
        </w:tc>
        <w:tc>
          <w:tcPr>
            <w:tcW w:w="6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3A9F34" w14:textId="77777777" w:rsidR="00454F93" w:rsidRPr="00454F93" w:rsidRDefault="00454F93" w:rsidP="00340E11">
            <w:pPr>
              <w:jc w:val="center"/>
              <w:rPr>
                <w:rFonts w:ascii="Arial" w:hAnsi="Arial" w:cs="Arial"/>
                <w:b/>
                <w:bCs/>
              </w:rPr>
            </w:pPr>
            <w:r w:rsidRPr="00454F93">
              <w:rPr>
                <w:rFonts w:ascii="Arial" w:hAnsi="Arial" w:cs="Arial"/>
                <w:b/>
                <w:bCs/>
              </w:rPr>
              <w:t xml:space="preserve">Number of bacterial species isolated </w:t>
            </w:r>
          </w:p>
        </w:tc>
        <w:tc>
          <w:tcPr>
            <w:tcW w:w="150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A4723" w14:textId="77777777" w:rsidR="00454F93" w:rsidRPr="00975CAF" w:rsidRDefault="00454F93" w:rsidP="00340E11">
            <w:pPr>
              <w:jc w:val="center"/>
              <w:rPr>
                <w:rFonts w:ascii="Arial" w:hAnsi="Arial" w:cs="Arial"/>
                <w:b/>
              </w:rPr>
            </w:pPr>
          </w:p>
          <w:p w14:paraId="6887DADC" w14:textId="77777777" w:rsidR="00454F93" w:rsidRPr="00975CAF" w:rsidRDefault="00454F93" w:rsidP="00340E11">
            <w:pPr>
              <w:jc w:val="center"/>
              <w:rPr>
                <w:rFonts w:ascii="Arial" w:hAnsi="Arial" w:cs="Arial"/>
                <w:b/>
              </w:rPr>
            </w:pPr>
            <w:r w:rsidRPr="00975CAF">
              <w:rPr>
                <w:rFonts w:ascii="Arial" w:hAnsi="Arial" w:cs="Arial"/>
                <w:b/>
              </w:rPr>
              <w:t>Positive isolates N (%)</w:t>
            </w:r>
          </w:p>
        </w:tc>
      </w:tr>
      <w:tr w:rsidR="00454F93" w:rsidRPr="00F325A5" w14:paraId="17C6902F" w14:textId="77777777" w:rsidTr="00340E11">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90120C" w14:textId="77777777" w:rsidR="00454F93" w:rsidRPr="00F325A5" w:rsidRDefault="00454F93" w:rsidP="00340E11">
            <w:pPr>
              <w:rPr>
                <w:rFonts w:ascii="Arial" w:hAnsi="Arial" w:cs="Arial"/>
              </w:rPr>
            </w:pP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145DA" w14:textId="77777777" w:rsidR="00454F93" w:rsidRPr="00F325A5" w:rsidRDefault="00454F93" w:rsidP="00340E11">
            <w:pPr>
              <w:jc w:val="center"/>
              <w:rPr>
                <w:rFonts w:ascii="Arial" w:hAnsi="Arial" w:cs="Arial"/>
                <w:b/>
                <w:bCs/>
              </w:rPr>
            </w:pPr>
            <w:r w:rsidRPr="00F325A5">
              <w:rPr>
                <w:rFonts w:ascii="Arial" w:hAnsi="Arial" w:cs="Arial"/>
                <w:b/>
                <w:bCs/>
              </w:rPr>
              <w:t xml:space="preserve">Escherichia coli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B1A0D3" w14:textId="77777777" w:rsidR="00454F93" w:rsidRPr="00F325A5" w:rsidRDefault="00454F93" w:rsidP="00340E11">
            <w:pPr>
              <w:jc w:val="center"/>
              <w:rPr>
                <w:rFonts w:ascii="Arial" w:hAnsi="Arial" w:cs="Arial"/>
                <w:b/>
                <w:bCs/>
              </w:rPr>
            </w:pPr>
            <w:r w:rsidRPr="00F325A5">
              <w:rPr>
                <w:rFonts w:ascii="Arial" w:hAnsi="Arial" w:cs="Arial"/>
                <w:b/>
                <w:bCs/>
              </w:rPr>
              <w:t xml:space="preserve">Klebsiella pneumoniae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739651" w14:textId="77777777" w:rsidR="00454F93" w:rsidRPr="00F325A5" w:rsidRDefault="00454F93" w:rsidP="00340E11">
            <w:pPr>
              <w:jc w:val="center"/>
              <w:rPr>
                <w:rFonts w:ascii="Arial" w:hAnsi="Arial" w:cs="Arial"/>
                <w:b/>
                <w:bCs/>
              </w:rPr>
            </w:pPr>
            <w:r w:rsidRPr="00F325A5">
              <w:rPr>
                <w:rFonts w:ascii="Arial" w:hAnsi="Arial" w:cs="Arial"/>
                <w:b/>
                <w:bCs/>
              </w:rPr>
              <w:t xml:space="preserve">Pseudomonas aeruginosa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5A8F32" w14:textId="77777777" w:rsidR="00454F93" w:rsidRPr="00F325A5" w:rsidRDefault="00454F93" w:rsidP="00340E11">
            <w:pPr>
              <w:jc w:val="center"/>
              <w:rPr>
                <w:rFonts w:ascii="Arial" w:hAnsi="Arial" w:cs="Arial"/>
                <w:b/>
                <w:bCs/>
              </w:rPr>
            </w:pPr>
            <w:r w:rsidRPr="00F325A5">
              <w:rPr>
                <w:rFonts w:ascii="Arial" w:hAnsi="Arial" w:cs="Arial"/>
                <w:b/>
                <w:bCs/>
              </w:rPr>
              <w:t xml:space="preserve">Proteus mirabilis </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344EF9" w14:textId="77777777" w:rsidR="00454F93" w:rsidRPr="00975CAF" w:rsidRDefault="00454F93" w:rsidP="00340E11">
            <w:pPr>
              <w:rPr>
                <w:rFonts w:ascii="Arial" w:hAnsi="Arial" w:cs="Arial"/>
                <w:b/>
                <w:bCs/>
              </w:rPr>
            </w:pPr>
          </w:p>
        </w:tc>
      </w:tr>
      <w:tr w:rsidR="00454F93" w:rsidRPr="00F325A5" w14:paraId="7811C53A"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619DD" w14:textId="77777777" w:rsidR="00454F93" w:rsidRPr="00F325A5" w:rsidRDefault="00454F93" w:rsidP="00340E11">
            <w:pPr>
              <w:jc w:val="center"/>
              <w:rPr>
                <w:rFonts w:ascii="Arial" w:hAnsi="Arial" w:cs="Arial"/>
                <w:b/>
                <w:bCs/>
              </w:rPr>
            </w:pPr>
            <w:r w:rsidRPr="00F325A5">
              <w:rPr>
                <w:rFonts w:ascii="Arial" w:hAnsi="Arial" w:cs="Arial"/>
              </w:rPr>
              <w:t>Urine (90)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B155F" w14:textId="77777777" w:rsidR="00454F93" w:rsidRPr="00F325A5" w:rsidRDefault="00454F93" w:rsidP="00340E11">
            <w:pPr>
              <w:jc w:val="center"/>
              <w:rPr>
                <w:rFonts w:ascii="Arial" w:hAnsi="Arial" w:cs="Arial"/>
              </w:rPr>
            </w:pPr>
            <w:r w:rsidRPr="00F325A5">
              <w:rPr>
                <w:rFonts w:ascii="Arial" w:hAnsi="Arial" w:cs="Arial"/>
              </w:rPr>
              <w:t xml:space="preserve">35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1F8812" w14:textId="77777777" w:rsidR="00454F93" w:rsidRPr="00F325A5" w:rsidRDefault="00454F93" w:rsidP="00340E11">
            <w:pPr>
              <w:jc w:val="center"/>
              <w:rPr>
                <w:rFonts w:ascii="Arial" w:hAnsi="Arial" w:cs="Arial"/>
              </w:rPr>
            </w:pPr>
            <w:r w:rsidRPr="00F325A5">
              <w:rPr>
                <w:rFonts w:ascii="Arial" w:hAnsi="Arial" w:cs="Arial"/>
              </w:rPr>
              <w:t xml:space="preserve">12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3FAF9" w14:textId="77777777" w:rsidR="00454F93" w:rsidRPr="00F325A5" w:rsidRDefault="00454F93" w:rsidP="00340E11">
            <w:pPr>
              <w:jc w:val="center"/>
              <w:rPr>
                <w:rFonts w:ascii="Arial" w:hAnsi="Arial" w:cs="Arial"/>
              </w:rPr>
            </w:pPr>
            <w:r w:rsidRPr="00F325A5">
              <w:rPr>
                <w:rFonts w:ascii="Arial" w:hAnsi="Arial" w:cs="Arial"/>
              </w:rPr>
              <w:t xml:space="preserve">09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FF39B" w14:textId="77777777" w:rsidR="00454F93" w:rsidRPr="00F325A5" w:rsidRDefault="00454F93" w:rsidP="00340E11">
            <w:pPr>
              <w:jc w:val="center"/>
              <w:rPr>
                <w:rFonts w:ascii="Arial" w:hAnsi="Arial" w:cs="Arial"/>
              </w:rPr>
            </w:pPr>
            <w:r w:rsidRPr="00F325A5">
              <w:rPr>
                <w:rFonts w:ascii="Arial" w:hAnsi="Arial" w:cs="Arial"/>
              </w:rPr>
              <w:t xml:space="preserve">08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215048" w14:textId="77777777" w:rsidR="00454F93" w:rsidRPr="00975CAF" w:rsidRDefault="00454F93" w:rsidP="00340E11">
            <w:pPr>
              <w:jc w:val="center"/>
              <w:rPr>
                <w:rFonts w:ascii="Arial" w:hAnsi="Arial" w:cs="Arial"/>
                <w:b/>
              </w:rPr>
            </w:pPr>
            <w:r w:rsidRPr="00975CAF">
              <w:rPr>
                <w:rFonts w:ascii="Arial" w:hAnsi="Arial" w:cs="Arial"/>
                <w:b/>
              </w:rPr>
              <w:t>64 (71.11%)</w:t>
            </w:r>
          </w:p>
        </w:tc>
      </w:tr>
      <w:tr w:rsidR="00454F93" w:rsidRPr="00F325A5" w14:paraId="340001B3"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C831A3" w14:textId="77777777" w:rsidR="00454F93" w:rsidRPr="00F325A5" w:rsidRDefault="00454F93" w:rsidP="00340E11">
            <w:pPr>
              <w:jc w:val="center"/>
              <w:rPr>
                <w:rFonts w:ascii="Arial" w:hAnsi="Arial" w:cs="Arial"/>
                <w:b/>
                <w:bCs/>
              </w:rPr>
            </w:pPr>
            <w:r w:rsidRPr="00F325A5">
              <w:rPr>
                <w:rFonts w:ascii="Arial" w:hAnsi="Arial" w:cs="Arial"/>
              </w:rPr>
              <w:t>Sputum (30)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2525E4" w14:textId="77777777" w:rsidR="00454F93" w:rsidRPr="00F325A5" w:rsidRDefault="00454F93" w:rsidP="00340E11">
            <w:pPr>
              <w:jc w:val="center"/>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B4FFB" w14:textId="77777777" w:rsidR="00454F93" w:rsidRPr="00F325A5" w:rsidRDefault="00454F93" w:rsidP="00340E11">
            <w:pPr>
              <w:jc w:val="center"/>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A813D9"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E2022"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F389F2" w14:textId="77777777" w:rsidR="00454F93" w:rsidRPr="00975CAF" w:rsidRDefault="00454F93" w:rsidP="00340E11">
            <w:pPr>
              <w:jc w:val="center"/>
              <w:rPr>
                <w:rFonts w:ascii="Arial" w:hAnsi="Arial" w:cs="Arial"/>
                <w:b/>
              </w:rPr>
            </w:pPr>
            <w:r w:rsidRPr="00975CAF">
              <w:rPr>
                <w:rFonts w:ascii="Arial" w:hAnsi="Arial" w:cs="Arial"/>
                <w:b/>
              </w:rPr>
              <w:t>08 (26.66%)</w:t>
            </w:r>
          </w:p>
        </w:tc>
      </w:tr>
      <w:tr w:rsidR="00454F93" w:rsidRPr="00F325A5" w14:paraId="073F4E6D"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4E025F" w14:textId="77777777" w:rsidR="00454F93" w:rsidRPr="00F325A5" w:rsidRDefault="00454F93" w:rsidP="00340E11">
            <w:pPr>
              <w:jc w:val="center"/>
              <w:rPr>
                <w:rFonts w:ascii="Arial" w:hAnsi="Arial" w:cs="Arial"/>
                <w:b/>
                <w:bCs/>
              </w:rPr>
            </w:pPr>
            <w:r w:rsidRPr="00F325A5">
              <w:rPr>
                <w:rFonts w:ascii="Arial" w:hAnsi="Arial" w:cs="Arial"/>
              </w:rPr>
              <w:t>Bronchial wash (44)</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BDE840" w14:textId="77777777" w:rsidR="00454F93" w:rsidRPr="00F325A5" w:rsidRDefault="00454F93" w:rsidP="00340E11">
            <w:pPr>
              <w:jc w:val="center"/>
              <w:rPr>
                <w:rFonts w:ascii="Arial" w:hAnsi="Arial" w:cs="Arial"/>
              </w:rPr>
            </w:pPr>
            <w:r w:rsidRPr="00F325A5">
              <w:rPr>
                <w:rFonts w:ascii="Arial" w:hAnsi="Arial" w:cs="Arial"/>
              </w:rPr>
              <w:t>08</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3D544" w14:textId="77777777" w:rsidR="00454F93" w:rsidRPr="00F325A5" w:rsidRDefault="00454F93" w:rsidP="00340E11">
            <w:pPr>
              <w:jc w:val="center"/>
              <w:rPr>
                <w:rFonts w:ascii="Arial" w:hAnsi="Arial" w:cs="Arial"/>
              </w:rPr>
            </w:pPr>
            <w:r w:rsidRPr="00F325A5">
              <w:rPr>
                <w:rFonts w:ascii="Arial" w:hAnsi="Arial" w:cs="Arial"/>
              </w:rPr>
              <w:t>05</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9487B" w14:textId="77777777" w:rsidR="00454F93" w:rsidRPr="00F325A5" w:rsidRDefault="00454F93" w:rsidP="00340E11">
            <w:pPr>
              <w:jc w:val="center"/>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E41B2"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AB072E" w14:textId="77777777" w:rsidR="00454F93" w:rsidRPr="00975CAF" w:rsidRDefault="00454F93" w:rsidP="00340E11">
            <w:pPr>
              <w:jc w:val="center"/>
              <w:rPr>
                <w:rFonts w:ascii="Arial" w:hAnsi="Arial" w:cs="Arial"/>
                <w:b/>
              </w:rPr>
            </w:pPr>
            <w:r w:rsidRPr="00975CAF">
              <w:rPr>
                <w:rFonts w:ascii="Arial" w:hAnsi="Arial" w:cs="Arial"/>
                <w:b/>
              </w:rPr>
              <w:t>17 (38.63%)</w:t>
            </w:r>
          </w:p>
        </w:tc>
      </w:tr>
      <w:tr w:rsidR="00454F93" w:rsidRPr="00F325A5" w14:paraId="644EA0F9"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B04F7E" w14:textId="77777777" w:rsidR="00454F93" w:rsidRPr="00F325A5" w:rsidRDefault="00454F93" w:rsidP="00340E11">
            <w:pPr>
              <w:jc w:val="center"/>
              <w:rPr>
                <w:rFonts w:ascii="Arial" w:hAnsi="Arial" w:cs="Arial"/>
                <w:b/>
                <w:bCs/>
              </w:rPr>
            </w:pPr>
            <w:r w:rsidRPr="00F325A5">
              <w:rPr>
                <w:rFonts w:ascii="Arial" w:hAnsi="Arial" w:cs="Arial"/>
              </w:rPr>
              <w:t>Blood (39)</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E64879" w14:textId="77777777" w:rsidR="00454F93" w:rsidRPr="00F325A5" w:rsidRDefault="00454F93" w:rsidP="00340E11">
            <w:pPr>
              <w:jc w:val="center"/>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773088"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DC4CB"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39576"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49910F" w14:textId="77777777" w:rsidR="00454F93" w:rsidRPr="00975CAF" w:rsidRDefault="00454F93" w:rsidP="00340E11">
            <w:pPr>
              <w:jc w:val="center"/>
              <w:rPr>
                <w:rFonts w:ascii="Arial" w:hAnsi="Arial" w:cs="Arial"/>
                <w:b/>
              </w:rPr>
            </w:pPr>
            <w:r w:rsidRPr="00975CAF">
              <w:rPr>
                <w:rFonts w:ascii="Arial" w:hAnsi="Arial" w:cs="Arial"/>
                <w:b/>
              </w:rPr>
              <w:t>04 (10.25%)</w:t>
            </w:r>
          </w:p>
        </w:tc>
      </w:tr>
      <w:tr w:rsidR="00454F93" w:rsidRPr="00F325A5" w14:paraId="5E18E3C5"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8256F6" w14:textId="77777777" w:rsidR="00454F93" w:rsidRPr="00F325A5" w:rsidRDefault="00454F93" w:rsidP="00340E11">
            <w:pPr>
              <w:jc w:val="center"/>
              <w:rPr>
                <w:rFonts w:ascii="Arial" w:hAnsi="Arial" w:cs="Arial"/>
                <w:b/>
                <w:bCs/>
              </w:rPr>
            </w:pPr>
            <w:r w:rsidRPr="00F325A5">
              <w:rPr>
                <w:rFonts w:ascii="Arial" w:hAnsi="Arial" w:cs="Arial"/>
              </w:rPr>
              <w:t>Pus cell (47)</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EE16D" w14:textId="77777777" w:rsidR="00454F93" w:rsidRPr="00F325A5" w:rsidRDefault="00454F93" w:rsidP="00340E11">
            <w:pPr>
              <w:jc w:val="center"/>
              <w:rPr>
                <w:rFonts w:ascii="Arial" w:hAnsi="Arial" w:cs="Arial"/>
              </w:rPr>
            </w:pPr>
            <w:r w:rsidRPr="00F325A5">
              <w:rPr>
                <w:rFonts w:ascii="Arial" w:hAnsi="Arial" w:cs="Arial"/>
              </w:rPr>
              <w:t>09</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2AE611" w14:textId="77777777" w:rsidR="00454F93" w:rsidRPr="00F325A5" w:rsidRDefault="00454F93" w:rsidP="00340E11">
            <w:pPr>
              <w:jc w:val="center"/>
              <w:rPr>
                <w:rFonts w:ascii="Arial" w:hAnsi="Arial" w:cs="Arial"/>
              </w:rPr>
            </w:pPr>
            <w:r w:rsidRPr="00F325A5">
              <w:rPr>
                <w:rFonts w:ascii="Arial" w:hAnsi="Arial" w:cs="Arial"/>
              </w:rPr>
              <w:t>08</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9015A"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45B81B" w14:textId="77777777" w:rsidR="00454F93" w:rsidRPr="00F325A5" w:rsidRDefault="00454F93" w:rsidP="00340E11">
            <w:pPr>
              <w:jc w:val="center"/>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B4B88E" w14:textId="77777777" w:rsidR="00454F93" w:rsidRPr="00975CAF" w:rsidRDefault="00454F93" w:rsidP="00340E11">
            <w:pPr>
              <w:jc w:val="center"/>
              <w:rPr>
                <w:rFonts w:ascii="Arial" w:hAnsi="Arial" w:cs="Arial"/>
                <w:b/>
              </w:rPr>
            </w:pPr>
            <w:r w:rsidRPr="00975CAF">
              <w:rPr>
                <w:rFonts w:ascii="Arial" w:hAnsi="Arial" w:cs="Arial"/>
                <w:b/>
              </w:rPr>
              <w:t>17 (36.17%)</w:t>
            </w:r>
          </w:p>
        </w:tc>
      </w:tr>
      <w:tr w:rsidR="00454F93" w:rsidRPr="00975CAF" w14:paraId="35C30F92"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E6E1A4" w14:textId="77777777" w:rsidR="00454F93" w:rsidRPr="00975CAF" w:rsidRDefault="00454F93" w:rsidP="00340E11">
            <w:pPr>
              <w:jc w:val="center"/>
              <w:rPr>
                <w:rFonts w:ascii="Arial" w:hAnsi="Arial" w:cs="Arial"/>
                <w:b/>
                <w:bCs/>
              </w:rPr>
            </w:pPr>
            <w:r w:rsidRPr="00975CAF">
              <w:rPr>
                <w:rFonts w:ascii="Arial" w:hAnsi="Arial" w:cs="Arial"/>
                <w:b/>
              </w:rPr>
              <w:t>Total (250)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6B520D" w14:textId="77777777" w:rsidR="00454F93" w:rsidRPr="00975CAF" w:rsidRDefault="00454F93" w:rsidP="00340E11">
            <w:pPr>
              <w:jc w:val="center"/>
              <w:rPr>
                <w:rFonts w:ascii="Arial" w:hAnsi="Arial" w:cs="Arial"/>
                <w:b/>
              </w:rPr>
            </w:pPr>
            <w:r w:rsidRPr="00975CAF">
              <w:rPr>
                <w:rFonts w:ascii="Arial" w:hAnsi="Arial" w:cs="Arial"/>
                <w:b/>
              </w:rPr>
              <w:t>60 (24%)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37B822" w14:textId="77777777" w:rsidR="00454F93" w:rsidRPr="00975CAF" w:rsidRDefault="00454F93" w:rsidP="00340E11">
            <w:pPr>
              <w:jc w:val="center"/>
              <w:rPr>
                <w:rFonts w:ascii="Arial" w:hAnsi="Arial" w:cs="Arial"/>
                <w:b/>
              </w:rPr>
            </w:pPr>
            <w:r w:rsidRPr="00975CAF">
              <w:rPr>
                <w:rFonts w:ascii="Arial" w:hAnsi="Arial" w:cs="Arial"/>
                <w:b/>
              </w:rPr>
              <w:t>29 (11.6%)</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FAA0C" w14:textId="77777777" w:rsidR="00454F93" w:rsidRPr="00975CAF" w:rsidRDefault="00454F93" w:rsidP="00340E11">
            <w:pPr>
              <w:jc w:val="center"/>
              <w:rPr>
                <w:rFonts w:ascii="Arial" w:hAnsi="Arial" w:cs="Arial"/>
                <w:b/>
              </w:rPr>
            </w:pPr>
            <w:r w:rsidRPr="00975CAF">
              <w:rPr>
                <w:rFonts w:ascii="Arial" w:hAnsi="Arial" w:cs="Arial"/>
                <w:b/>
              </w:rPr>
              <w:t>13 (5.2%)</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B62F4" w14:textId="77777777" w:rsidR="00454F93" w:rsidRPr="00975CAF" w:rsidRDefault="00454F93" w:rsidP="00340E11">
            <w:pPr>
              <w:jc w:val="center"/>
              <w:rPr>
                <w:rFonts w:ascii="Arial" w:hAnsi="Arial" w:cs="Arial"/>
                <w:b/>
              </w:rPr>
            </w:pPr>
            <w:r w:rsidRPr="00975CAF">
              <w:rPr>
                <w:rFonts w:ascii="Arial" w:hAnsi="Arial" w:cs="Arial"/>
                <w:b/>
              </w:rPr>
              <w:t>08 (3.2%)</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200741" w14:textId="77777777" w:rsidR="00454F93" w:rsidRPr="00975CAF" w:rsidRDefault="00454F93" w:rsidP="00340E11">
            <w:pPr>
              <w:jc w:val="center"/>
              <w:rPr>
                <w:rFonts w:ascii="Arial" w:hAnsi="Arial" w:cs="Arial"/>
                <w:b/>
              </w:rPr>
            </w:pPr>
            <w:r w:rsidRPr="00975CAF">
              <w:rPr>
                <w:rFonts w:ascii="Arial" w:hAnsi="Arial" w:cs="Arial"/>
                <w:b/>
              </w:rPr>
              <w:t>110 (44%)</w:t>
            </w:r>
          </w:p>
        </w:tc>
      </w:tr>
    </w:tbl>
    <w:p w14:paraId="54929B0C" w14:textId="77777777" w:rsidR="00454F93" w:rsidRPr="008B5DF2" w:rsidRDefault="00454F93" w:rsidP="008B5DF2">
      <w:pPr>
        <w:spacing w:line="480" w:lineRule="auto"/>
        <w:rPr>
          <w:rFonts w:ascii="Times New Roman" w:hAnsi="Times New Roman" w:cs="Times New Roman"/>
        </w:rPr>
      </w:pPr>
    </w:p>
    <w:p w14:paraId="43783933" w14:textId="7C123E21" w:rsidR="008B5DF2" w:rsidRPr="00667591" w:rsidRDefault="008B5DF2" w:rsidP="00B576EA">
      <w:pPr>
        <w:pStyle w:val="ListParagraph"/>
        <w:numPr>
          <w:ilvl w:val="1"/>
          <w:numId w:val="3"/>
        </w:numPr>
        <w:rPr>
          <w:rFonts w:ascii="Times New Roman" w:hAnsi="Times New Roman" w:cs="Times New Roman"/>
          <w:b/>
          <w:bCs/>
        </w:rPr>
      </w:pPr>
      <w:r w:rsidRPr="00667591">
        <w:rPr>
          <w:rFonts w:ascii="Times New Roman" w:hAnsi="Times New Roman" w:cs="Times New Roman"/>
          <w:b/>
          <w:bCs/>
        </w:rPr>
        <w:t>Clinical Sample Analysis</w:t>
      </w:r>
    </w:p>
    <w:p w14:paraId="76373337" w14:textId="33E16829" w:rsidR="008B5DF2" w:rsidRDefault="008B5DF2" w:rsidP="008B5DF2">
      <w:pPr>
        <w:spacing w:line="480" w:lineRule="auto"/>
        <w:rPr>
          <w:rFonts w:ascii="Times New Roman" w:hAnsi="Times New Roman" w:cs="Times New Roman"/>
        </w:rPr>
      </w:pPr>
      <w:r w:rsidRPr="008B5DF2">
        <w:rPr>
          <w:rFonts w:ascii="Times New Roman" w:hAnsi="Times New Roman" w:cs="Times New Roman"/>
        </w:rPr>
        <w:t xml:space="preserve">We looked at a mix of clinical samples—bronchial wash, blood, pus cells, and other biological materials—to get at the heart of antibiotic resistance among pathogens. The table below shows a rundown of what we found from this rather informal yet extensive study. Carbapenem resistance turned up in roughly 25.0% of E. coli isolates, about 37.93% of Klebsiella pneumoniae ones, and close to 15.38% in Pseudomonas aeruginosa, hinting that available treatments might not always do the trick. Out of a total of 110 isolates, a notable 28 (25.4 %) ended up resisting carbapenems, which really flags the growing problem in clinical </w:t>
      </w:r>
      <w:r w:rsidR="00F613C3" w:rsidRPr="008B5DF2">
        <w:rPr>
          <w:rFonts w:ascii="Times New Roman" w:hAnsi="Times New Roman" w:cs="Times New Roman"/>
        </w:rPr>
        <w:t>settings</w:t>
      </w:r>
      <w:r w:rsidR="00F613C3">
        <w:rPr>
          <w:rFonts w:ascii="Times New Roman" w:hAnsi="Times New Roman" w:cs="Times New Roman"/>
        </w:rPr>
        <w:t xml:space="preserve"> (</w:t>
      </w:r>
      <w:r w:rsidR="000F0B91">
        <w:rPr>
          <w:rFonts w:ascii="Times New Roman" w:hAnsi="Times New Roman" w:cs="Times New Roman"/>
        </w:rPr>
        <w:t>Table 2)</w:t>
      </w:r>
      <w:r w:rsidRPr="008B5DF2">
        <w:rPr>
          <w:rFonts w:ascii="Times New Roman" w:hAnsi="Times New Roman" w:cs="Times New Roman"/>
        </w:rPr>
        <w:t>. Clearly, these results point to a need for ongoing checks and custom antimicrobial strategies, as noted in related studies (Dan et al., 2021), (Bielicki et al.).</w:t>
      </w:r>
    </w:p>
    <w:p w14:paraId="0DA32E95" w14:textId="54D78824" w:rsidR="000F0B91" w:rsidRPr="000F0B91" w:rsidRDefault="000F0B91" w:rsidP="000F0B91">
      <w:pPr>
        <w:spacing w:line="276" w:lineRule="auto"/>
        <w:rPr>
          <w:rFonts w:ascii="Arial" w:hAnsi="Arial" w:cs="Arial"/>
          <w:b/>
          <w:bCs/>
        </w:rPr>
      </w:pPr>
      <w:r w:rsidRPr="00F325A5">
        <w:rPr>
          <w:rFonts w:ascii="Arial" w:hAnsi="Arial" w:cs="Arial"/>
          <w:b/>
          <w:bCs/>
        </w:rPr>
        <w:t xml:space="preserve">Table </w:t>
      </w:r>
      <w:r>
        <w:rPr>
          <w:rFonts w:ascii="Arial" w:hAnsi="Arial" w:cs="Arial"/>
          <w:b/>
          <w:bCs/>
        </w:rPr>
        <w:t>2</w:t>
      </w:r>
      <w:r w:rsidRPr="00F325A5">
        <w:rPr>
          <w:rFonts w:ascii="Arial" w:hAnsi="Arial" w:cs="Arial"/>
          <w:b/>
          <w:bCs/>
        </w:rPr>
        <w:t>: - Species wise distribution of carbapenem resistant isolates</w:t>
      </w:r>
    </w:p>
    <w:tbl>
      <w:tblPr>
        <w:tblpPr w:leftFromText="180" w:rightFromText="180" w:vertAnchor="text" w:horzAnchor="margin" w:tblpY="12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4"/>
        <w:gridCol w:w="2254"/>
        <w:gridCol w:w="2254"/>
        <w:gridCol w:w="2254"/>
      </w:tblGrid>
      <w:tr w:rsidR="00454F93" w:rsidRPr="00D24A21" w14:paraId="545235FC"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76EDC" w14:textId="77777777" w:rsidR="00454F93" w:rsidRPr="00D24A21" w:rsidRDefault="00454F93" w:rsidP="00340E11">
            <w:pPr>
              <w:spacing w:line="276" w:lineRule="auto"/>
              <w:jc w:val="center"/>
              <w:rPr>
                <w:rFonts w:ascii="Arial" w:hAnsi="Arial" w:cs="Arial"/>
                <w:b/>
              </w:rPr>
            </w:pPr>
            <w:r w:rsidRPr="00D24A21">
              <w:rPr>
                <w:rFonts w:ascii="Arial" w:hAnsi="Arial" w:cs="Arial"/>
                <w:b/>
              </w:rPr>
              <w:t>Species</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D4E3B5" w14:textId="77777777" w:rsidR="00454F93" w:rsidRPr="00D24A21" w:rsidRDefault="00454F93" w:rsidP="00340E11">
            <w:pPr>
              <w:spacing w:line="276" w:lineRule="auto"/>
              <w:jc w:val="center"/>
              <w:rPr>
                <w:rFonts w:ascii="Arial" w:hAnsi="Arial" w:cs="Arial"/>
                <w:b/>
              </w:rPr>
            </w:pPr>
            <w:r w:rsidRPr="00D24A21">
              <w:rPr>
                <w:rFonts w:ascii="Arial" w:hAnsi="Arial" w:cs="Arial"/>
                <w:b/>
              </w:rPr>
              <w:t>Total</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308545" w14:textId="77777777" w:rsidR="00454F93" w:rsidRPr="00D24A21" w:rsidRDefault="00454F93" w:rsidP="00340E11">
            <w:pPr>
              <w:spacing w:line="276" w:lineRule="auto"/>
              <w:jc w:val="center"/>
              <w:rPr>
                <w:rFonts w:ascii="Arial" w:hAnsi="Arial" w:cs="Arial"/>
                <w:b/>
              </w:rPr>
            </w:pPr>
            <w:r w:rsidRPr="00D24A21">
              <w:rPr>
                <w:rFonts w:ascii="Arial" w:hAnsi="Arial" w:cs="Arial"/>
                <w:b/>
              </w:rPr>
              <w:t>CRE</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75A545" w14:textId="77777777" w:rsidR="00454F93" w:rsidRPr="00D24A21" w:rsidRDefault="00454F93" w:rsidP="00340E11">
            <w:pPr>
              <w:spacing w:line="276" w:lineRule="auto"/>
              <w:jc w:val="center"/>
              <w:rPr>
                <w:rFonts w:ascii="Arial" w:hAnsi="Arial" w:cs="Arial"/>
                <w:b/>
              </w:rPr>
            </w:pPr>
            <w:r w:rsidRPr="00D24A21">
              <w:rPr>
                <w:rFonts w:ascii="Arial" w:hAnsi="Arial" w:cs="Arial"/>
                <w:b/>
              </w:rPr>
              <w:t>Percentage</w:t>
            </w:r>
          </w:p>
        </w:tc>
      </w:tr>
      <w:tr w:rsidR="00454F93" w:rsidRPr="00D24A21" w14:paraId="603A4EBB"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DF05E" w14:textId="77777777" w:rsidR="00454F93" w:rsidRPr="00F325A5" w:rsidRDefault="00454F93" w:rsidP="00340E11">
            <w:pPr>
              <w:spacing w:line="276" w:lineRule="auto"/>
              <w:jc w:val="center"/>
              <w:rPr>
                <w:rFonts w:ascii="Arial" w:hAnsi="Arial" w:cs="Arial"/>
              </w:rPr>
            </w:pPr>
            <w:r w:rsidRPr="00F325A5">
              <w:rPr>
                <w:rFonts w:ascii="Arial" w:hAnsi="Arial" w:cs="Arial"/>
              </w:rPr>
              <w:t>Escherichia coli</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B2E98" w14:textId="77777777" w:rsidR="00454F93" w:rsidRPr="00F325A5" w:rsidRDefault="00454F93" w:rsidP="00340E11">
            <w:pPr>
              <w:spacing w:line="276" w:lineRule="auto"/>
              <w:jc w:val="center"/>
              <w:rPr>
                <w:rFonts w:ascii="Arial" w:hAnsi="Arial" w:cs="Arial"/>
              </w:rPr>
            </w:pPr>
            <w:r w:rsidRPr="00F325A5">
              <w:rPr>
                <w:rFonts w:ascii="Arial" w:hAnsi="Arial" w:cs="Arial"/>
              </w:rPr>
              <w:t>60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78583" w14:textId="77777777" w:rsidR="00454F93" w:rsidRPr="00F325A5" w:rsidRDefault="00454F93" w:rsidP="00340E11">
            <w:pPr>
              <w:spacing w:line="276" w:lineRule="auto"/>
              <w:jc w:val="center"/>
              <w:rPr>
                <w:rFonts w:ascii="Arial" w:hAnsi="Arial" w:cs="Arial"/>
              </w:rPr>
            </w:pPr>
            <w:r w:rsidRPr="00F325A5">
              <w:rPr>
                <w:rFonts w:ascii="Arial" w:hAnsi="Arial" w:cs="Arial"/>
              </w:rPr>
              <w:t>15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B9DC03" w14:textId="77777777" w:rsidR="00454F93" w:rsidRPr="00D24A21" w:rsidRDefault="00454F93" w:rsidP="00340E11">
            <w:pPr>
              <w:spacing w:line="276" w:lineRule="auto"/>
              <w:jc w:val="center"/>
              <w:rPr>
                <w:rFonts w:ascii="Arial" w:hAnsi="Arial" w:cs="Arial"/>
                <w:b/>
              </w:rPr>
            </w:pPr>
            <w:r w:rsidRPr="00D24A21">
              <w:rPr>
                <w:rFonts w:ascii="Arial" w:hAnsi="Arial" w:cs="Arial"/>
                <w:b/>
              </w:rPr>
              <w:t>25.0%</w:t>
            </w:r>
          </w:p>
        </w:tc>
      </w:tr>
      <w:tr w:rsidR="00454F93" w:rsidRPr="00D24A21" w14:paraId="21137F1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EB4E80" w14:textId="77777777" w:rsidR="00454F93" w:rsidRPr="00F325A5" w:rsidRDefault="00454F93" w:rsidP="00340E11">
            <w:pPr>
              <w:spacing w:line="276" w:lineRule="auto"/>
              <w:jc w:val="center"/>
              <w:rPr>
                <w:rFonts w:ascii="Arial" w:hAnsi="Arial" w:cs="Arial"/>
              </w:rPr>
            </w:pPr>
            <w:r w:rsidRPr="00F325A5">
              <w:rPr>
                <w:rFonts w:ascii="Arial" w:hAnsi="Arial" w:cs="Arial"/>
              </w:rPr>
              <w:t>Klebsiella pneumoniae</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2F53EC" w14:textId="77777777" w:rsidR="00454F93" w:rsidRPr="00F325A5" w:rsidRDefault="00454F93" w:rsidP="00340E11">
            <w:pPr>
              <w:spacing w:line="276" w:lineRule="auto"/>
              <w:jc w:val="center"/>
              <w:rPr>
                <w:rFonts w:ascii="Arial" w:hAnsi="Arial" w:cs="Arial"/>
              </w:rPr>
            </w:pPr>
            <w:r w:rsidRPr="00F325A5">
              <w:rPr>
                <w:rFonts w:ascii="Arial" w:hAnsi="Arial" w:cs="Arial"/>
              </w:rPr>
              <w:t>29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37342" w14:textId="77777777" w:rsidR="00454F93" w:rsidRPr="00F325A5" w:rsidRDefault="00454F93" w:rsidP="00340E11">
            <w:pPr>
              <w:spacing w:line="276" w:lineRule="auto"/>
              <w:jc w:val="center"/>
              <w:rPr>
                <w:rFonts w:ascii="Arial" w:hAnsi="Arial" w:cs="Arial"/>
              </w:rPr>
            </w:pPr>
            <w:r w:rsidRPr="00F325A5">
              <w:rPr>
                <w:rFonts w:ascii="Arial" w:hAnsi="Arial" w:cs="Arial"/>
              </w:rPr>
              <w:t>11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595B62" w14:textId="77777777" w:rsidR="00454F93" w:rsidRPr="00D24A21" w:rsidRDefault="00454F93" w:rsidP="00340E11">
            <w:pPr>
              <w:spacing w:line="276" w:lineRule="auto"/>
              <w:jc w:val="center"/>
              <w:rPr>
                <w:rFonts w:ascii="Arial" w:hAnsi="Arial" w:cs="Arial"/>
                <w:b/>
              </w:rPr>
            </w:pPr>
            <w:r w:rsidRPr="00D24A21">
              <w:rPr>
                <w:rFonts w:ascii="Arial" w:hAnsi="Arial" w:cs="Arial"/>
                <w:b/>
              </w:rPr>
              <w:t>37.93%</w:t>
            </w:r>
          </w:p>
        </w:tc>
      </w:tr>
      <w:tr w:rsidR="00454F93" w:rsidRPr="00D24A21" w14:paraId="173CBB3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006470" w14:textId="77777777" w:rsidR="00454F93" w:rsidRPr="00F325A5" w:rsidRDefault="00454F93" w:rsidP="00340E11">
            <w:pPr>
              <w:spacing w:line="276" w:lineRule="auto"/>
              <w:jc w:val="center"/>
              <w:rPr>
                <w:rFonts w:ascii="Arial" w:hAnsi="Arial" w:cs="Arial"/>
              </w:rPr>
            </w:pPr>
            <w:r w:rsidRPr="00F325A5">
              <w:rPr>
                <w:rFonts w:ascii="Arial" w:hAnsi="Arial" w:cs="Arial"/>
              </w:rPr>
              <w:t>Pseudomonas aeruginosa</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19DB8E" w14:textId="77777777" w:rsidR="00454F93" w:rsidRPr="00F325A5" w:rsidRDefault="00454F93" w:rsidP="00340E11">
            <w:pPr>
              <w:spacing w:line="276" w:lineRule="auto"/>
              <w:jc w:val="center"/>
              <w:rPr>
                <w:rFonts w:ascii="Arial" w:hAnsi="Arial" w:cs="Arial"/>
              </w:rPr>
            </w:pPr>
            <w:r w:rsidRPr="00F325A5">
              <w:rPr>
                <w:rFonts w:ascii="Arial" w:hAnsi="Arial" w:cs="Arial"/>
              </w:rPr>
              <w:t>13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089945" w14:textId="77777777" w:rsidR="00454F93" w:rsidRPr="00F325A5" w:rsidRDefault="00454F93" w:rsidP="00340E11">
            <w:pPr>
              <w:spacing w:line="276" w:lineRule="auto"/>
              <w:jc w:val="center"/>
              <w:rPr>
                <w:rFonts w:ascii="Arial" w:hAnsi="Arial" w:cs="Arial"/>
              </w:rPr>
            </w:pPr>
            <w:r w:rsidRPr="00F325A5">
              <w:rPr>
                <w:rFonts w:ascii="Arial" w:hAnsi="Arial" w:cs="Arial"/>
              </w:rPr>
              <w:t>02</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CDF3C" w14:textId="77777777" w:rsidR="00454F93" w:rsidRPr="00D24A21" w:rsidRDefault="00454F93" w:rsidP="00340E11">
            <w:pPr>
              <w:spacing w:line="276" w:lineRule="auto"/>
              <w:jc w:val="center"/>
              <w:rPr>
                <w:rFonts w:ascii="Arial" w:hAnsi="Arial" w:cs="Arial"/>
                <w:b/>
              </w:rPr>
            </w:pPr>
            <w:r w:rsidRPr="00D24A21">
              <w:rPr>
                <w:rFonts w:ascii="Arial" w:hAnsi="Arial" w:cs="Arial"/>
                <w:b/>
              </w:rPr>
              <w:t>15.38%</w:t>
            </w:r>
          </w:p>
        </w:tc>
      </w:tr>
      <w:tr w:rsidR="00454F93" w:rsidRPr="00D24A21" w14:paraId="0FAC901D"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E80714" w14:textId="77777777" w:rsidR="00454F93" w:rsidRPr="00F325A5" w:rsidRDefault="00454F93" w:rsidP="00340E11">
            <w:pPr>
              <w:spacing w:line="276" w:lineRule="auto"/>
              <w:jc w:val="center"/>
              <w:rPr>
                <w:rFonts w:ascii="Arial" w:hAnsi="Arial" w:cs="Arial"/>
              </w:rPr>
            </w:pPr>
            <w:r w:rsidRPr="00F325A5">
              <w:rPr>
                <w:rFonts w:ascii="Arial" w:hAnsi="Arial" w:cs="Arial"/>
              </w:rPr>
              <w:t>Proteus mirabilis</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643DAA" w14:textId="77777777" w:rsidR="00454F93" w:rsidRPr="00F325A5" w:rsidRDefault="00454F93" w:rsidP="00340E11">
            <w:pPr>
              <w:spacing w:line="276" w:lineRule="auto"/>
              <w:jc w:val="center"/>
              <w:rPr>
                <w:rFonts w:ascii="Arial" w:hAnsi="Arial" w:cs="Arial"/>
              </w:rPr>
            </w:pPr>
            <w:r w:rsidRPr="00F325A5">
              <w:rPr>
                <w:rFonts w:ascii="Arial" w:hAnsi="Arial" w:cs="Arial"/>
              </w:rPr>
              <w:t>08</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9E93D3" w14:textId="77777777" w:rsidR="00454F93" w:rsidRPr="00F325A5" w:rsidRDefault="00454F93" w:rsidP="00340E11">
            <w:pPr>
              <w:spacing w:line="276" w:lineRule="auto"/>
              <w:jc w:val="center"/>
              <w:rPr>
                <w:rFonts w:ascii="Arial" w:hAnsi="Arial" w:cs="Arial"/>
              </w:rPr>
            </w:pPr>
            <w:r w:rsidRPr="00F325A5">
              <w:rPr>
                <w:rFonts w:ascii="Arial" w:hAnsi="Arial" w:cs="Arial"/>
              </w:rPr>
              <w:t>00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99E32A" w14:textId="77777777" w:rsidR="00454F93" w:rsidRPr="00D24A21" w:rsidRDefault="00454F93" w:rsidP="00340E11">
            <w:pPr>
              <w:spacing w:line="276" w:lineRule="auto"/>
              <w:jc w:val="center"/>
              <w:rPr>
                <w:rFonts w:ascii="Arial" w:hAnsi="Arial" w:cs="Arial"/>
                <w:b/>
              </w:rPr>
            </w:pPr>
            <w:r w:rsidRPr="00D24A21">
              <w:rPr>
                <w:rFonts w:ascii="Arial" w:hAnsi="Arial" w:cs="Arial"/>
                <w:b/>
              </w:rPr>
              <w:t>0%</w:t>
            </w:r>
          </w:p>
        </w:tc>
      </w:tr>
      <w:tr w:rsidR="00454F93" w:rsidRPr="00D24A21" w14:paraId="54DF031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215172" w14:textId="77777777" w:rsidR="00454F93" w:rsidRPr="00D24A21" w:rsidRDefault="00454F93" w:rsidP="00340E11">
            <w:pPr>
              <w:spacing w:line="276" w:lineRule="auto"/>
              <w:jc w:val="center"/>
              <w:rPr>
                <w:rFonts w:ascii="Arial" w:hAnsi="Arial" w:cs="Arial"/>
                <w:b/>
              </w:rPr>
            </w:pPr>
            <w:r w:rsidRPr="00D24A21">
              <w:rPr>
                <w:rFonts w:ascii="Arial" w:hAnsi="Arial" w:cs="Arial"/>
                <w:b/>
              </w:rPr>
              <w:t>Total</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3E6300" w14:textId="77777777" w:rsidR="00454F93" w:rsidRPr="00D24A21" w:rsidRDefault="00454F93" w:rsidP="00340E11">
            <w:pPr>
              <w:spacing w:line="276" w:lineRule="auto"/>
              <w:jc w:val="center"/>
              <w:rPr>
                <w:rFonts w:ascii="Arial" w:hAnsi="Arial" w:cs="Arial"/>
                <w:b/>
              </w:rPr>
            </w:pPr>
            <w:r w:rsidRPr="00D24A21">
              <w:rPr>
                <w:rFonts w:ascii="Arial" w:hAnsi="Arial" w:cs="Arial"/>
                <w:b/>
              </w:rPr>
              <w:t>110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8AFA5" w14:textId="77777777" w:rsidR="00454F93" w:rsidRPr="00D24A21" w:rsidRDefault="00454F93" w:rsidP="00340E11">
            <w:pPr>
              <w:spacing w:line="276" w:lineRule="auto"/>
              <w:jc w:val="center"/>
              <w:rPr>
                <w:rFonts w:ascii="Arial" w:hAnsi="Arial" w:cs="Arial"/>
                <w:b/>
              </w:rPr>
            </w:pPr>
            <w:r w:rsidRPr="00D24A21">
              <w:rPr>
                <w:rFonts w:ascii="Arial" w:hAnsi="Arial" w:cs="Arial"/>
                <w:b/>
              </w:rPr>
              <w:t>28</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273312" w14:textId="77777777" w:rsidR="00454F93" w:rsidRPr="00D24A21" w:rsidRDefault="00454F93" w:rsidP="00340E11">
            <w:pPr>
              <w:spacing w:line="276" w:lineRule="auto"/>
              <w:jc w:val="center"/>
              <w:rPr>
                <w:rFonts w:ascii="Arial" w:hAnsi="Arial" w:cs="Arial"/>
                <w:b/>
              </w:rPr>
            </w:pPr>
            <w:r w:rsidRPr="00D24A21">
              <w:rPr>
                <w:rFonts w:ascii="Arial" w:hAnsi="Arial" w:cs="Arial"/>
                <w:b/>
              </w:rPr>
              <w:t>25.45%</w:t>
            </w:r>
          </w:p>
        </w:tc>
      </w:tr>
    </w:tbl>
    <w:p w14:paraId="016400F8" w14:textId="77777777" w:rsidR="00771AD6" w:rsidRDefault="00771AD6" w:rsidP="008B5DF2">
      <w:pPr>
        <w:spacing w:line="480" w:lineRule="auto"/>
        <w:rPr>
          <w:rFonts w:ascii="Times New Roman" w:hAnsi="Times New Roman" w:cs="Times New Roman"/>
        </w:rPr>
      </w:pPr>
    </w:p>
    <w:p w14:paraId="3EB4AF14" w14:textId="57E13E8F" w:rsidR="008B5DF2" w:rsidRPr="008B5DF2" w:rsidRDefault="00771AD6" w:rsidP="00771AD6">
      <w:pPr>
        <w:spacing w:line="480" w:lineRule="auto"/>
        <w:ind w:firstLine="720"/>
        <w:rPr>
          <w:rFonts w:ascii="Times New Roman" w:hAnsi="Times New Roman" w:cs="Times New Roman"/>
        </w:rPr>
      </w:pPr>
      <w:r>
        <w:rPr>
          <w:rFonts w:ascii="Times New Roman" w:hAnsi="Times New Roman" w:cs="Times New Roman"/>
        </w:rPr>
        <w:t xml:space="preserve">3.2 </w:t>
      </w:r>
      <w:r w:rsidR="008B5DF2" w:rsidRPr="00667591">
        <w:rPr>
          <w:rFonts w:ascii="Times New Roman" w:hAnsi="Times New Roman" w:cs="Times New Roman"/>
          <w:b/>
          <w:bCs/>
        </w:rPr>
        <w:t>Species-wise Distribution of Carbapenem Resistant Isolates</w:t>
      </w:r>
    </w:p>
    <w:p w14:paraId="34AD73E6" w14:textId="0E7467BF" w:rsidR="008B5DF2" w:rsidRPr="008B5DF2" w:rsidRDefault="008B5DF2" w:rsidP="008B5DF2">
      <w:pPr>
        <w:spacing w:line="480" w:lineRule="auto"/>
        <w:rPr>
          <w:rFonts w:ascii="Times New Roman" w:hAnsi="Times New Roman" w:cs="Times New Roman"/>
        </w:rPr>
      </w:pPr>
      <w:r w:rsidRPr="008B5DF2">
        <w:rPr>
          <w:rFonts w:ascii="Times New Roman" w:hAnsi="Times New Roman" w:cs="Times New Roman"/>
        </w:rPr>
        <w:t xml:space="preserve">110 bacterial isolates underwent testing with two antibiotics—one being meropenem, a drug that's key for tackling tough infections from multidrug-resistant bugs. Out of these samples, roughly 25.45% (28 isolates) showed resistance against meropenem, while about 23.63% (26 isolates) resisted imipenem; this, in most cases, hints at a notable presence of carbapenem </w:t>
      </w:r>
      <w:r w:rsidRPr="008B5DF2">
        <w:rPr>
          <w:rFonts w:ascii="Times New Roman" w:hAnsi="Times New Roman" w:cs="Times New Roman"/>
        </w:rPr>
        <w:lastRenderedPageBreak/>
        <w:t xml:space="preserve">resistance in the group. Digging a little deeper, among those hardy strains, 14 turned out to be E. coli, 7 were flagged as Klebsiella pneumoniae, and 5 were identified as Pseudomonas aeruginosa—together making up the 26 imipenem-resistant entries, which underscores the mix of species involved. The Minimum Inhibitory Concentrations (MICs) for imipenem ranged widely from 0.5 to 64 </w:t>
      </w:r>
      <w:proofErr w:type="spellStart"/>
      <w:r w:rsidRPr="008B5DF2">
        <w:rPr>
          <w:rFonts w:ascii="Times New Roman" w:hAnsi="Times New Roman" w:cs="Times New Roman"/>
        </w:rPr>
        <w:t>μg</w:t>
      </w:r>
      <w:proofErr w:type="spellEnd"/>
      <w:r w:rsidRPr="008B5DF2">
        <w:rPr>
          <w:rFonts w:ascii="Times New Roman" w:hAnsi="Times New Roman" w:cs="Times New Roman"/>
        </w:rPr>
        <w:t>/ml</w:t>
      </w:r>
      <w:r>
        <w:rPr>
          <w:rFonts w:ascii="Times New Roman" w:hAnsi="Times New Roman" w:cs="Times New Roman"/>
        </w:rPr>
        <w:t xml:space="preserve"> </w:t>
      </w:r>
      <w:r w:rsidRPr="008B5DF2">
        <w:rPr>
          <w:rFonts w:ascii="Times New Roman" w:hAnsi="Times New Roman" w:cs="Times New Roman"/>
        </w:rPr>
        <w:t>among these isolates, showing varied levels of resistance. Interestingly, every one of the 26 isolates checked out phenotypically was confirmed as a Metallo-beta-lactamase (MBL) producer using the IM</w:t>
      </w:r>
      <w:r w:rsidR="00B47E7A">
        <w:rPr>
          <w:rFonts w:ascii="Times New Roman" w:hAnsi="Times New Roman" w:cs="Times New Roman"/>
        </w:rPr>
        <w:t>P</w:t>
      </w:r>
      <w:r w:rsidRPr="008B5DF2">
        <w:rPr>
          <w:rFonts w:ascii="Times New Roman" w:hAnsi="Times New Roman" w:cs="Times New Roman"/>
        </w:rPr>
        <w:t xml:space="preserve">-EDTA disk synergy method; they were also tagged as </w:t>
      </w:r>
      <w:proofErr w:type="spellStart"/>
      <w:r w:rsidRPr="008B5DF2">
        <w:rPr>
          <w:rFonts w:ascii="Times New Roman" w:hAnsi="Times New Roman" w:cs="Times New Roman"/>
        </w:rPr>
        <w:t>carbapenemase</w:t>
      </w:r>
      <w:proofErr w:type="spellEnd"/>
      <w:r w:rsidRPr="008B5DF2">
        <w:rPr>
          <w:rFonts w:ascii="Times New Roman" w:hAnsi="Times New Roman" w:cs="Times New Roman"/>
        </w:rPr>
        <w:t xml:space="preserve"> producers based on regular microbiological tests—like the Modified Hodge test—which generally syncs with reports suggesting that clinical settings are facing an increasing challenge from carbapenem-resistant organisms ((Dan et al., 2021), (Bielicki et al.)).</w:t>
      </w:r>
    </w:p>
    <w:p w14:paraId="7D440C07" w14:textId="2CE46CE6" w:rsidR="008B5DF2" w:rsidRPr="00771AD6" w:rsidRDefault="008B5DF2" w:rsidP="00771AD6">
      <w:pPr>
        <w:pStyle w:val="ListParagraph"/>
        <w:numPr>
          <w:ilvl w:val="0"/>
          <w:numId w:val="3"/>
        </w:numPr>
        <w:spacing w:line="480" w:lineRule="auto"/>
        <w:rPr>
          <w:rFonts w:ascii="Times New Roman" w:hAnsi="Times New Roman" w:cs="Times New Roman"/>
          <w:b/>
          <w:bCs/>
          <w:sz w:val="28"/>
          <w:szCs w:val="28"/>
        </w:rPr>
      </w:pPr>
      <w:r w:rsidRPr="00771AD6">
        <w:rPr>
          <w:rFonts w:ascii="Times New Roman" w:hAnsi="Times New Roman" w:cs="Times New Roman"/>
          <w:b/>
          <w:bCs/>
          <w:sz w:val="28"/>
          <w:szCs w:val="28"/>
        </w:rPr>
        <w:t>Discussion</w:t>
      </w:r>
    </w:p>
    <w:p w14:paraId="2A78762A" w14:textId="31401F60" w:rsidR="008B5DF2" w:rsidRPr="008B5DF2" w:rsidRDefault="008B5DF2" w:rsidP="008B5DF2">
      <w:pPr>
        <w:spacing w:line="480" w:lineRule="auto"/>
        <w:rPr>
          <w:rFonts w:ascii="Times New Roman" w:hAnsi="Times New Roman" w:cs="Times New Roman"/>
        </w:rPr>
      </w:pPr>
      <w:r w:rsidRPr="008B5DF2">
        <w:rPr>
          <w:rFonts w:ascii="Times New Roman" w:hAnsi="Times New Roman" w:cs="Times New Roman"/>
        </w:rPr>
        <w:t xml:space="preserve">In Indian healthcare settings, gram-negative bacterial infections are showing an ever-growing resistance to carbapenems, and this trend is a real cause for concern. Many believe this surge is largely due to the careless, widespread use of antibiotics—often given without strict adherence to proper guidelines—which has led to a rapid rise in multidrug-resistant bugs. Treatment options are now few and far between, making routine clinical management a tricky affair. Interestingly, a good number of these bacteria come equipped with mobile genetic elements, like transposons carrying drug-resistant genes, that make it surprisingly easy for resistance to jump from one organism to another—sometimes sparking dangerous </w:t>
      </w:r>
      <w:r w:rsidR="006B7E21" w:rsidRPr="008B5DF2">
        <w:rPr>
          <w:rFonts w:ascii="Times New Roman" w:hAnsi="Times New Roman" w:cs="Times New Roman"/>
        </w:rPr>
        <w:t>outbreaks</w:t>
      </w:r>
      <w:r w:rsidR="006B7E21">
        <w:rPr>
          <w:rFonts w:ascii="Times New Roman" w:hAnsi="Times New Roman" w:cs="Times New Roman"/>
        </w:rPr>
        <w:t xml:space="preserve"> (</w:t>
      </w:r>
      <w:r w:rsidR="00077076">
        <w:rPr>
          <w:rFonts w:ascii="Times New Roman" w:hAnsi="Times New Roman" w:cs="Times New Roman"/>
        </w:rPr>
        <w:t>Verma, Sukanya &amp; S 2018)</w:t>
      </w:r>
      <w:r w:rsidRPr="008B5DF2">
        <w:rPr>
          <w:rFonts w:ascii="Times New Roman" w:hAnsi="Times New Roman" w:cs="Times New Roman"/>
        </w:rPr>
        <w:t xml:space="preserve">. Researchers across various countries have noted that these infections can spiral into outbreaks that are not only severe but, in most cases, deadly, calling for urgent interventions. One major concern, as noted in current literature (Dan et al., 2021), is the emergence of carbapenem resistance, which demands immediate </w:t>
      </w:r>
      <w:r w:rsidR="006B7E21" w:rsidRPr="008B5DF2">
        <w:rPr>
          <w:rFonts w:ascii="Times New Roman" w:hAnsi="Times New Roman" w:cs="Times New Roman"/>
        </w:rPr>
        <w:t>attention</w:t>
      </w:r>
      <w:r w:rsidR="006B7E21">
        <w:rPr>
          <w:rFonts w:ascii="Times New Roman" w:hAnsi="Times New Roman" w:cs="Times New Roman"/>
        </w:rPr>
        <w:t xml:space="preserve"> (</w:t>
      </w:r>
      <w:r w:rsidR="00077076">
        <w:rPr>
          <w:rFonts w:ascii="Times New Roman" w:hAnsi="Times New Roman" w:cs="Times New Roman"/>
        </w:rPr>
        <w:t>Shorr AF 2009)</w:t>
      </w:r>
      <w:r w:rsidRPr="008B5DF2">
        <w:rPr>
          <w:rFonts w:ascii="Times New Roman" w:hAnsi="Times New Roman" w:cs="Times New Roman"/>
        </w:rPr>
        <w:t xml:space="preserve">. The Clinical and Laboratory Standards Institute (CLSI) has outlined several methods </w:t>
      </w:r>
      <w:r w:rsidRPr="008B5DF2">
        <w:rPr>
          <w:rFonts w:ascii="Times New Roman" w:hAnsi="Times New Roman" w:cs="Times New Roman"/>
        </w:rPr>
        <w:lastRenderedPageBreak/>
        <w:t>to detect this resistance, tools that are indispensable for hospitals these days. For example, a study led by Sukanya Verma and S. Thorat et al. reported that 25.45% of Enterobacteriaceae were resistant to carbapenems. In another recent investigation, researchers found that patients in long-term acute care rehabilitation facilities (LTACRF) in central Italy showed a 28.4% rate of carbapenem-resistant Enterobacteriaceae (CRE)—a figure that mirrors alarming trends seen all over the world</w:t>
      </w:r>
      <w:r w:rsidR="00077076">
        <w:rPr>
          <w:rFonts w:ascii="Times New Roman" w:hAnsi="Times New Roman" w:cs="Times New Roman"/>
        </w:rPr>
        <w:t xml:space="preserve"> (Arena </w:t>
      </w:r>
      <w:proofErr w:type="spellStart"/>
      <w:r w:rsidR="00077076">
        <w:rPr>
          <w:rFonts w:ascii="Times New Roman" w:hAnsi="Times New Roman" w:cs="Times New Roman"/>
        </w:rPr>
        <w:t>Fetal</w:t>
      </w:r>
      <w:proofErr w:type="spellEnd"/>
      <w:r w:rsidR="00077076">
        <w:rPr>
          <w:rFonts w:ascii="Times New Roman" w:hAnsi="Times New Roman" w:cs="Times New Roman"/>
        </w:rPr>
        <w:t xml:space="preserve"> 2018)</w:t>
      </w:r>
      <w:r w:rsidRPr="008B5DF2">
        <w:rPr>
          <w:rFonts w:ascii="Times New Roman" w:hAnsi="Times New Roman" w:cs="Times New Roman"/>
        </w:rPr>
        <w:t>. And if that isn’t enough, other studies have shown a wild variation in prevalence: 12.26% in Mumbai, a staggering 71.25% in Delhi, and 7.87% in Chandigarh (Bielicki et al.), highlighting the pressing need for region-specific strategies to tackle these resistant pathogens</w:t>
      </w:r>
      <w:r w:rsidR="007368A0">
        <w:rPr>
          <w:rFonts w:ascii="Times New Roman" w:hAnsi="Times New Roman" w:cs="Times New Roman"/>
        </w:rPr>
        <w:t xml:space="preserve"> </w:t>
      </w:r>
      <w:r w:rsidR="00077076">
        <w:rPr>
          <w:rFonts w:ascii="Times New Roman" w:hAnsi="Times New Roman" w:cs="Times New Roman"/>
        </w:rPr>
        <w:t>(Nair PK 2013) (Kumar S 2014)</w:t>
      </w:r>
      <w:r w:rsidR="006B7E21">
        <w:rPr>
          <w:rFonts w:ascii="Times New Roman" w:hAnsi="Times New Roman" w:cs="Times New Roman"/>
        </w:rPr>
        <w:t xml:space="preserve"> </w:t>
      </w:r>
      <w:r w:rsidR="00077076">
        <w:rPr>
          <w:rFonts w:ascii="Times New Roman" w:hAnsi="Times New Roman" w:cs="Times New Roman"/>
        </w:rPr>
        <w:t>(Datta P et al. 2012)</w:t>
      </w:r>
      <w:r w:rsidRPr="008B5DF2">
        <w:rPr>
          <w:rFonts w:ascii="Times New Roman" w:hAnsi="Times New Roman" w:cs="Times New Roman"/>
        </w:rPr>
        <w:t>.</w:t>
      </w:r>
    </w:p>
    <w:p w14:paraId="6A59E725" w14:textId="72B2AA4C" w:rsidR="008B5DF2" w:rsidRPr="00771AD6" w:rsidRDefault="008B5DF2" w:rsidP="00771AD6">
      <w:pPr>
        <w:pStyle w:val="ListParagraph"/>
        <w:numPr>
          <w:ilvl w:val="0"/>
          <w:numId w:val="3"/>
        </w:numPr>
        <w:spacing w:line="480" w:lineRule="auto"/>
        <w:rPr>
          <w:rFonts w:ascii="Times New Roman" w:hAnsi="Times New Roman" w:cs="Times New Roman"/>
          <w:b/>
          <w:bCs/>
          <w:sz w:val="28"/>
          <w:szCs w:val="28"/>
        </w:rPr>
      </w:pPr>
      <w:r w:rsidRPr="00771AD6">
        <w:rPr>
          <w:rFonts w:ascii="Times New Roman" w:hAnsi="Times New Roman" w:cs="Times New Roman"/>
          <w:b/>
          <w:bCs/>
          <w:sz w:val="28"/>
          <w:szCs w:val="28"/>
        </w:rPr>
        <w:t>Conclusion</w:t>
      </w:r>
    </w:p>
    <w:p w14:paraId="06D45156" w14:textId="1094A075" w:rsidR="008B5DF2" w:rsidRDefault="008B5DF2" w:rsidP="008B5DF2">
      <w:pPr>
        <w:spacing w:line="480" w:lineRule="auto"/>
        <w:rPr>
          <w:rFonts w:ascii="Times New Roman" w:hAnsi="Times New Roman" w:cs="Times New Roman"/>
        </w:rPr>
      </w:pPr>
      <w:r w:rsidRPr="008B5DF2">
        <w:rPr>
          <w:rFonts w:ascii="Times New Roman" w:hAnsi="Times New Roman" w:cs="Times New Roman"/>
        </w:rPr>
        <w:t xml:space="preserve">Carbapenem resistance pops up in about 25.45 </w:t>
      </w:r>
      <w:r w:rsidR="003A08E7">
        <w:rPr>
          <w:rFonts w:ascii="Times New Roman" w:hAnsi="Times New Roman" w:cs="Times New Roman"/>
        </w:rPr>
        <w:t>%</w:t>
      </w:r>
      <w:r w:rsidRPr="008B5DF2">
        <w:rPr>
          <w:rFonts w:ascii="Times New Roman" w:hAnsi="Times New Roman" w:cs="Times New Roman"/>
        </w:rPr>
        <w:t xml:space="preserve"> of patients, a fact that immediately grabs attention from a public health standpoint. There isn’t clear evidence in the studies pointing to one specific </w:t>
      </w:r>
      <w:proofErr w:type="spellStart"/>
      <w:r w:rsidRPr="008B5DF2">
        <w:rPr>
          <w:rFonts w:ascii="Times New Roman" w:hAnsi="Times New Roman" w:cs="Times New Roman"/>
        </w:rPr>
        <w:t>carbapenemase</w:t>
      </w:r>
      <w:proofErr w:type="spellEnd"/>
      <w:r w:rsidRPr="008B5DF2">
        <w:rPr>
          <w:rFonts w:ascii="Times New Roman" w:hAnsi="Times New Roman" w:cs="Times New Roman"/>
        </w:rPr>
        <w:t xml:space="preserve"> type being solely behind Gram-negative bacterial infections (Ebenezer et al., 2018). You see, the limited options for strong antimicrobial drugs force us to rethink how these bugs make infections tougher to treat—it’s not that they show off any one unique trick, but rather they add up to create a heavier overall burden on our health systems (Bielicki et al.). In India, there’s been a noticeable uptick in reports of carbapenem-resistant Gram-negative infections in clinical settings, which clearly signals that our infection control efforts need a major boost. Cutting down on these dangerous infections really hinges on putting a well-rounded strategy in place. This plan should mix active monitoring with everyday measures like diligent handwashing, strict contact precautions, and a careful, almost artful use of antibiotics so that we can keep resistant bugs under control and look after patient wellbeing.</w:t>
      </w:r>
    </w:p>
    <w:p w14:paraId="37E183FA" w14:textId="77777777" w:rsidR="006137C4" w:rsidRPr="006137C4" w:rsidRDefault="006137C4" w:rsidP="006137C4">
      <w:pPr>
        <w:spacing w:line="480" w:lineRule="auto"/>
        <w:rPr>
          <w:rFonts w:ascii="Times New Roman" w:hAnsi="Times New Roman" w:cs="Times New Roman"/>
          <w:b/>
          <w:bCs/>
        </w:rPr>
      </w:pPr>
    </w:p>
    <w:p w14:paraId="523A585C" w14:textId="648A100D" w:rsidR="003A08E7" w:rsidRPr="00771AD6" w:rsidRDefault="006B7E21" w:rsidP="00771AD6">
      <w:pPr>
        <w:pStyle w:val="ListParagraph"/>
        <w:numPr>
          <w:ilvl w:val="0"/>
          <w:numId w:val="3"/>
        </w:numPr>
        <w:spacing w:line="480" w:lineRule="auto"/>
        <w:rPr>
          <w:rFonts w:ascii="Times New Roman" w:hAnsi="Times New Roman" w:cs="Times New Roman"/>
        </w:rPr>
      </w:pPr>
      <w:bookmarkStart w:id="0" w:name="_GoBack"/>
      <w:bookmarkEnd w:id="0"/>
      <w:r w:rsidRPr="00771AD6">
        <w:rPr>
          <w:rFonts w:ascii="Times New Roman" w:hAnsi="Times New Roman" w:cs="Times New Roman"/>
          <w:b/>
          <w:bCs/>
        </w:rPr>
        <w:lastRenderedPageBreak/>
        <w:t>REFERENCES</w:t>
      </w:r>
      <w:r w:rsidRPr="00771AD6">
        <w:rPr>
          <w:rFonts w:ascii="Times New Roman" w:hAnsi="Times New Roman" w:cs="Times New Roman"/>
        </w:rPr>
        <w:t xml:space="preserve">: </w:t>
      </w:r>
    </w:p>
    <w:p w14:paraId="527FFDA1" w14:textId="77777777" w:rsidR="006B7E21" w:rsidRPr="00C263F3" w:rsidRDefault="006B7E21" w:rsidP="006B7E21">
      <w:pPr>
        <w:pStyle w:val="ListParagraph"/>
        <w:numPr>
          <w:ilvl w:val="0"/>
          <w:numId w:val="2"/>
        </w:numPr>
        <w:spacing w:line="480" w:lineRule="auto"/>
        <w:jc w:val="both"/>
        <w:rPr>
          <w:rFonts w:ascii="Arial" w:hAnsi="Arial" w:cs="Arial"/>
          <w:b/>
          <w:bCs/>
          <w:u w:val="single"/>
        </w:rPr>
      </w:pPr>
      <w:r w:rsidRPr="00C263F3">
        <w:rPr>
          <w:rFonts w:ascii="Arial" w:hAnsi="Arial" w:cs="Arial"/>
        </w:rPr>
        <w:t xml:space="preserve">US </w:t>
      </w:r>
      <w:proofErr w:type="spellStart"/>
      <w:r w:rsidRPr="00C263F3">
        <w:rPr>
          <w:rFonts w:ascii="Arial" w:hAnsi="Arial" w:cs="Arial"/>
        </w:rPr>
        <w:t>Centers</w:t>
      </w:r>
      <w:proofErr w:type="spellEnd"/>
      <w:r w:rsidRPr="00C263F3">
        <w:rPr>
          <w:rFonts w:ascii="Arial" w:hAnsi="Arial" w:cs="Arial"/>
        </w:rPr>
        <w:t xml:space="preserve"> for Disease Control and Prevention (CDC). Antibiotic resistance threats in the United States; 2013. Available from: http://www.cdc.gov/ </w:t>
      </w:r>
      <w:proofErr w:type="spellStart"/>
      <w:r w:rsidRPr="00C263F3">
        <w:rPr>
          <w:rFonts w:ascii="Arial" w:hAnsi="Arial" w:cs="Arial"/>
        </w:rPr>
        <w:t>drugresistance</w:t>
      </w:r>
      <w:proofErr w:type="spellEnd"/>
      <w:r w:rsidRPr="00C263F3">
        <w:rPr>
          <w:rFonts w:ascii="Arial" w:hAnsi="Arial" w:cs="Arial"/>
        </w:rPr>
        <w:t>/threat-report-2013/ [Accessed 4 June 2016].</w:t>
      </w:r>
    </w:p>
    <w:p w14:paraId="1331F876" w14:textId="77777777" w:rsidR="006B7E21" w:rsidRPr="00C263F3" w:rsidRDefault="006B7E21" w:rsidP="006B7E21">
      <w:pPr>
        <w:pStyle w:val="ListParagraph"/>
        <w:numPr>
          <w:ilvl w:val="0"/>
          <w:numId w:val="2"/>
        </w:numPr>
        <w:spacing w:line="480" w:lineRule="auto"/>
        <w:jc w:val="both"/>
        <w:rPr>
          <w:rFonts w:ascii="Arial" w:hAnsi="Arial" w:cs="Arial"/>
          <w:b/>
          <w:bCs/>
          <w:u w:val="single"/>
        </w:rPr>
      </w:pPr>
      <w:proofErr w:type="spellStart"/>
      <w:r w:rsidRPr="00C263F3">
        <w:rPr>
          <w:rFonts w:ascii="Arial" w:hAnsi="Arial" w:cs="Arial"/>
        </w:rPr>
        <w:t>Spellberg</w:t>
      </w:r>
      <w:proofErr w:type="spellEnd"/>
      <w:r w:rsidRPr="00C263F3">
        <w:rPr>
          <w:rFonts w:ascii="Arial" w:hAnsi="Arial" w:cs="Arial"/>
        </w:rPr>
        <w:t xml:space="preserve">, B.; Blaser, M.; Guidos, R.J.; Boucher, H.W.; Bradley, J.S.; Eisenstein, B.I.; Gerding, D.; </w:t>
      </w:r>
      <w:proofErr w:type="spellStart"/>
      <w:r w:rsidRPr="00C263F3">
        <w:rPr>
          <w:rFonts w:ascii="Arial" w:hAnsi="Arial" w:cs="Arial"/>
        </w:rPr>
        <w:t>Lynfield</w:t>
      </w:r>
      <w:proofErr w:type="spellEnd"/>
      <w:r w:rsidRPr="00C263F3">
        <w:rPr>
          <w:rFonts w:ascii="Arial" w:hAnsi="Arial" w:cs="Arial"/>
        </w:rPr>
        <w:t>, R.; Reller, L.B.; Rex, J.; et al. Combating antimicrobial resistance: Policy recommendations to save lives. Clin. Infect. Dis. 2011, 52, S397-S428.</w:t>
      </w:r>
    </w:p>
    <w:p w14:paraId="7F157AB7" w14:textId="77777777" w:rsidR="006B7E21" w:rsidRPr="00C263F3" w:rsidRDefault="006B7E21" w:rsidP="006B7E21">
      <w:pPr>
        <w:pStyle w:val="ListParagraph"/>
        <w:numPr>
          <w:ilvl w:val="0"/>
          <w:numId w:val="2"/>
        </w:numPr>
        <w:spacing w:line="480" w:lineRule="auto"/>
        <w:jc w:val="both"/>
        <w:rPr>
          <w:rFonts w:ascii="Arial" w:hAnsi="Arial" w:cs="Arial"/>
          <w:b/>
          <w:bCs/>
          <w:u w:val="single"/>
        </w:rPr>
      </w:pPr>
      <w:r w:rsidRPr="00C263F3">
        <w:rPr>
          <w:rFonts w:ascii="Arial" w:hAnsi="Arial" w:cs="Arial"/>
        </w:rPr>
        <w:t xml:space="preserve">Knapp, K.M.; English, B.K. Carbapenems. Semin. </w:t>
      </w:r>
      <w:proofErr w:type="spellStart"/>
      <w:r w:rsidRPr="00C263F3">
        <w:rPr>
          <w:rFonts w:ascii="Arial" w:hAnsi="Arial" w:cs="Arial"/>
        </w:rPr>
        <w:t>Pediatr</w:t>
      </w:r>
      <w:proofErr w:type="spellEnd"/>
      <w:r w:rsidRPr="00C263F3">
        <w:rPr>
          <w:rFonts w:ascii="Arial" w:hAnsi="Arial" w:cs="Arial"/>
        </w:rPr>
        <w:t>. Infect. Dis. 2001, 12, 175-185.</w:t>
      </w:r>
    </w:p>
    <w:p w14:paraId="7611B2FE"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Durante-</w:t>
      </w:r>
      <w:proofErr w:type="spellStart"/>
      <w:r w:rsidRPr="00C263F3">
        <w:rPr>
          <w:rFonts w:ascii="Arial" w:hAnsi="Arial" w:cs="Arial"/>
        </w:rPr>
        <w:t>Mangoni</w:t>
      </w:r>
      <w:proofErr w:type="spellEnd"/>
      <w:r w:rsidRPr="00C263F3">
        <w:rPr>
          <w:rFonts w:ascii="Arial" w:hAnsi="Arial" w:cs="Arial"/>
        </w:rPr>
        <w:t xml:space="preserve"> E, </w:t>
      </w:r>
      <w:proofErr w:type="spellStart"/>
      <w:r w:rsidRPr="00C263F3">
        <w:rPr>
          <w:rFonts w:ascii="Arial" w:hAnsi="Arial" w:cs="Arial"/>
        </w:rPr>
        <w:t>Andini</w:t>
      </w:r>
      <w:proofErr w:type="spellEnd"/>
      <w:r w:rsidRPr="00C263F3">
        <w:rPr>
          <w:rFonts w:ascii="Arial" w:hAnsi="Arial" w:cs="Arial"/>
        </w:rPr>
        <w:t xml:space="preserve"> R, Zampino R. Management of carbapenem-resistant Enterobacteriaceae infections. Clin </w:t>
      </w:r>
      <w:proofErr w:type="spellStart"/>
      <w:r w:rsidRPr="00C263F3">
        <w:rPr>
          <w:rFonts w:ascii="Arial" w:hAnsi="Arial" w:cs="Arial"/>
        </w:rPr>
        <w:t>Microbiol</w:t>
      </w:r>
      <w:proofErr w:type="spellEnd"/>
      <w:r w:rsidRPr="00C263F3">
        <w:rPr>
          <w:rFonts w:ascii="Arial" w:hAnsi="Arial" w:cs="Arial"/>
        </w:rPr>
        <w:t xml:space="preserve"> Infect. 2019 Aug;25(8):943-950. </w:t>
      </w:r>
      <w:proofErr w:type="spellStart"/>
      <w:r w:rsidRPr="00C263F3">
        <w:rPr>
          <w:rFonts w:ascii="Arial" w:hAnsi="Arial" w:cs="Arial"/>
        </w:rPr>
        <w:t>doi</w:t>
      </w:r>
      <w:proofErr w:type="spellEnd"/>
      <w:r w:rsidRPr="00C263F3">
        <w:rPr>
          <w:rFonts w:ascii="Arial" w:hAnsi="Arial" w:cs="Arial"/>
        </w:rPr>
        <w:t xml:space="preserve">: 10.1016/j.cmi.2019.04.013. </w:t>
      </w:r>
      <w:proofErr w:type="spellStart"/>
      <w:r w:rsidRPr="00C263F3">
        <w:rPr>
          <w:rFonts w:ascii="Arial" w:hAnsi="Arial" w:cs="Arial"/>
        </w:rPr>
        <w:t>Epub</w:t>
      </w:r>
      <w:proofErr w:type="spellEnd"/>
      <w:r w:rsidRPr="00C263F3">
        <w:rPr>
          <w:rFonts w:ascii="Arial" w:hAnsi="Arial" w:cs="Arial"/>
        </w:rPr>
        <w:t xml:space="preserve"> 2019 Apr 18. PMID: 31004767.</w:t>
      </w:r>
    </w:p>
    <w:p w14:paraId="200CA580"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The White House. Report to the president on combating antibiotic resistance: executive order of the president. President’s Council of Advisors on Science and Technology; 2014. Available from: https://www.whitehouse.gov/the-press -office/2015/03/27/fact-sheet-obama-administration-releases-national -action-plan-combat-ant [Accessed 4 June 2016].</w:t>
      </w:r>
    </w:p>
    <w:p w14:paraId="2035D048"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Gupta N, </w:t>
      </w:r>
      <w:proofErr w:type="spellStart"/>
      <w:r w:rsidRPr="00C263F3">
        <w:rPr>
          <w:rFonts w:ascii="Arial" w:hAnsi="Arial" w:cs="Arial"/>
        </w:rPr>
        <w:t>Limbago</w:t>
      </w:r>
      <w:proofErr w:type="spellEnd"/>
      <w:r w:rsidRPr="00C263F3">
        <w:rPr>
          <w:rFonts w:ascii="Arial" w:hAnsi="Arial" w:cs="Arial"/>
        </w:rPr>
        <w:t xml:space="preserve"> BM, Patel JB, Kallen AJ. Carbapenem-resistant Enterobacteriaceae: epidemiology and prevention. Clin Infect Dis </w:t>
      </w:r>
      <w:proofErr w:type="gramStart"/>
      <w:r w:rsidRPr="00C263F3">
        <w:rPr>
          <w:rFonts w:ascii="Arial" w:hAnsi="Arial" w:cs="Arial"/>
        </w:rPr>
        <w:t>2011;53:60</w:t>
      </w:r>
      <w:proofErr w:type="gramEnd"/>
      <w:r w:rsidRPr="00C263F3">
        <w:rPr>
          <w:rFonts w:ascii="Arial" w:hAnsi="Arial" w:cs="Arial"/>
        </w:rPr>
        <w:t>–7.</w:t>
      </w:r>
    </w:p>
    <w:p w14:paraId="4B841726"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Van Duin D, Kaye KS, Neuner EA, Bonomo RA. Carbapenem-resistant Enterobacteriaceae: a review of treatment and outcomes. Diagn </w:t>
      </w:r>
      <w:proofErr w:type="spellStart"/>
      <w:r w:rsidRPr="00C263F3">
        <w:rPr>
          <w:rFonts w:ascii="Arial" w:hAnsi="Arial" w:cs="Arial"/>
        </w:rPr>
        <w:t>Microbiol</w:t>
      </w:r>
      <w:proofErr w:type="spellEnd"/>
      <w:r w:rsidRPr="00C263F3">
        <w:rPr>
          <w:rFonts w:ascii="Arial" w:hAnsi="Arial" w:cs="Arial"/>
        </w:rPr>
        <w:t xml:space="preserve"> Infect Dis </w:t>
      </w:r>
      <w:proofErr w:type="gramStart"/>
      <w:r w:rsidRPr="00C263F3">
        <w:rPr>
          <w:rFonts w:ascii="Arial" w:hAnsi="Arial" w:cs="Arial"/>
        </w:rPr>
        <w:t>2013;75:115</w:t>
      </w:r>
      <w:proofErr w:type="gramEnd"/>
      <w:r w:rsidRPr="00C263F3">
        <w:rPr>
          <w:rFonts w:ascii="Arial" w:hAnsi="Arial" w:cs="Arial"/>
        </w:rPr>
        <w:t>–20.</w:t>
      </w:r>
    </w:p>
    <w:p w14:paraId="2578E11A"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lastRenderedPageBreak/>
        <w:t xml:space="preserve">French, C.; Coope, C.; Conway, L.; McCulloch, J.; Okoli, G.; Patel, B.C.; Oliver, I. Control of </w:t>
      </w:r>
      <w:proofErr w:type="spellStart"/>
      <w:r w:rsidRPr="00C263F3">
        <w:rPr>
          <w:rFonts w:ascii="Arial" w:hAnsi="Arial" w:cs="Arial"/>
        </w:rPr>
        <w:t>carbapenemase</w:t>
      </w:r>
      <w:proofErr w:type="spellEnd"/>
      <w:r w:rsidRPr="00C263F3">
        <w:rPr>
          <w:rFonts w:ascii="Arial" w:hAnsi="Arial" w:cs="Arial"/>
        </w:rPr>
        <w:t>-producing Enterobacteriaceae outbreaks in acute settings: An evidence review. J. Hosp. Infect. 2017, 95, 3-45.</w:t>
      </w:r>
    </w:p>
    <w:p w14:paraId="2960632F"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Papp-Wallace, K.M.; </w:t>
      </w:r>
      <w:proofErr w:type="spellStart"/>
      <w:r w:rsidRPr="00C263F3">
        <w:rPr>
          <w:rFonts w:ascii="Arial" w:hAnsi="Arial" w:cs="Arial"/>
        </w:rPr>
        <w:t>Endimiani</w:t>
      </w:r>
      <w:proofErr w:type="spellEnd"/>
      <w:r w:rsidRPr="00C263F3">
        <w:rPr>
          <w:rFonts w:ascii="Arial" w:hAnsi="Arial" w:cs="Arial"/>
        </w:rPr>
        <w:t xml:space="preserve">, A.; </w:t>
      </w:r>
      <w:proofErr w:type="spellStart"/>
      <w:r w:rsidRPr="00C263F3">
        <w:rPr>
          <w:rFonts w:ascii="Arial" w:hAnsi="Arial" w:cs="Arial"/>
        </w:rPr>
        <w:t>Taracila</w:t>
      </w:r>
      <w:proofErr w:type="spellEnd"/>
      <w:r w:rsidRPr="00C263F3">
        <w:rPr>
          <w:rFonts w:ascii="Arial" w:hAnsi="Arial" w:cs="Arial"/>
        </w:rPr>
        <w:t xml:space="preserve">, M.A.; </w:t>
      </w:r>
      <w:proofErr w:type="spellStart"/>
      <w:r w:rsidRPr="00C263F3">
        <w:rPr>
          <w:rFonts w:ascii="Arial" w:hAnsi="Arial" w:cs="Arial"/>
        </w:rPr>
        <w:t>Bonomo</w:t>
      </w:r>
      <w:proofErr w:type="spellEnd"/>
      <w:r w:rsidRPr="00C263F3">
        <w:rPr>
          <w:rFonts w:ascii="Arial" w:hAnsi="Arial" w:cs="Arial"/>
        </w:rPr>
        <w:t xml:space="preserve">, R.A. Carbapenems: Past, present, and future. </w:t>
      </w:r>
      <w:proofErr w:type="spellStart"/>
      <w:r w:rsidRPr="00C263F3">
        <w:rPr>
          <w:rFonts w:ascii="Arial" w:hAnsi="Arial" w:cs="Arial"/>
        </w:rPr>
        <w:t>Antimicrob</w:t>
      </w:r>
      <w:proofErr w:type="spellEnd"/>
      <w:r w:rsidRPr="00C263F3">
        <w:rPr>
          <w:rFonts w:ascii="Arial" w:hAnsi="Arial" w:cs="Arial"/>
        </w:rPr>
        <w:t>. Agents Chemother. 2011, 55, 4943-4960.</w:t>
      </w:r>
    </w:p>
    <w:p w14:paraId="71C9D983" w14:textId="77777777" w:rsidR="006B7E21" w:rsidRPr="00C263F3" w:rsidRDefault="006B7E21" w:rsidP="006B7E21">
      <w:pPr>
        <w:pStyle w:val="ListParagraph"/>
        <w:numPr>
          <w:ilvl w:val="0"/>
          <w:numId w:val="2"/>
        </w:numPr>
        <w:spacing w:line="480" w:lineRule="auto"/>
        <w:jc w:val="both"/>
        <w:rPr>
          <w:rFonts w:ascii="Arial" w:hAnsi="Arial" w:cs="Arial"/>
        </w:rPr>
      </w:pPr>
      <w:proofErr w:type="spellStart"/>
      <w:r w:rsidRPr="00C263F3">
        <w:rPr>
          <w:rFonts w:ascii="Arial" w:hAnsi="Arial" w:cs="Arial"/>
        </w:rPr>
        <w:t>Bedeni´c</w:t>
      </w:r>
      <w:proofErr w:type="spellEnd"/>
      <w:r w:rsidRPr="00C263F3">
        <w:rPr>
          <w:rFonts w:ascii="Arial" w:hAnsi="Arial" w:cs="Arial"/>
        </w:rPr>
        <w:t xml:space="preserve">, B.; </w:t>
      </w:r>
      <w:proofErr w:type="spellStart"/>
      <w:r w:rsidRPr="00C263F3">
        <w:rPr>
          <w:rFonts w:ascii="Arial" w:hAnsi="Arial" w:cs="Arial"/>
        </w:rPr>
        <w:t>Pleˇcko</w:t>
      </w:r>
      <w:proofErr w:type="spellEnd"/>
      <w:r w:rsidRPr="00C263F3">
        <w:rPr>
          <w:rFonts w:ascii="Arial" w:hAnsi="Arial" w:cs="Arial"/>
        </w:rPr>
        <w:t xml:space="preserve">, V.; </w:t>
      </w:r>
      <w:proofErr w:type="spellStart"/>
      <w:r w:rsidRPr="00C263F3">
        <w:rPr>
          <w:rFonts w:ascii="Arial" w:hAnsi="Arial" w:cs="Arial"/>
        </w:rPr>
        <w:t>Sardeli´c</w:t>
      </w:r>
      <w:proofErr w:type="spellEnd"/>
      <w:r w:rsidRPr="00C263F3">
        <w:rPr>
          <w:rFonts w:ascii="Arial" w:hAnsi="Arial" w:cs="Arial"/>
        </w:rPr>
        <w:t xml:space="preserve">, S.; </w:t>
      </w:r>
      <w:proofErr w:type="spellStart"/>
      <w:r w:rsidRPr="00C263F3">
        <w:rPr>
          <w:rFonts w:ascii="Arial" w:hAnsi="Arial" w:cs="Arial"/>
        </w:rPr>
        <w:t>Uzunovi´c</w:t>
      </w:r>
      <w:proofErr w:type="spellEnd"/>
      <w:r w:rsidRPr="00C263F3">
        <w:rPr>
          <w:rFonts w:ascii="Arial" w:hAnsi="Arial" w:cs="Arial"/>
        </w:rPr>
        <w:t xml:space="preserve">, S.; Torkar, K.G. 51 </w:t>
      </w:r>
      <w:proofErr w:type="spellStart"/>
      <w:r w:rsidRPr="00C263F3">
        <w:rPr>
          <w:rFonts w:ascii="Arial" w:hAnsi="Arial" w:cs="Arial"/>
        </w:rPr>
        <w:t>Carbapenemases</w:t>
      </w:r>
      <w:proofErr w:type="spellEnd"/>
      <w:r w:rsidRPr="00C263F3">
        <w:rPr>
          <w:rFonts w:ascii="Arial" w:hAnsi="Arial" w:cs="Arial"/>
        </w:rPr>
        <w:t xml:space="preserve"> in Gram-negative bacteria: Laboratory detection and clinical significance. BioMed Res. Int. 2014, 2014, 841951.</w:t>
      </w:r>
    </w:p>
    <w:p w14:paraId="67AA75D1"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P. </w:t>
      </w:r>
      <w:proofErr w:type="spellStart"/>
      <w:r w:rsidRPr="00C263F3">
        <w:rPr>
          <w:rFonts w:ascii="Arial" w:hAnsi="Arial" w:cs="Arial"/>
        </w:rPr>
        <w:t>Nordmann</w:t>
      </w:r>
      <w:proofErr w:type="spellEnd"/>
      <w:r w:rsidRPr="00C263F3">
        <w:rPr>
          <w:rFonts w:ascii="Arial" w:hAnsi="Arial" w:cs="Arial"/>
        </w:rPr>
        <w:t xml:space="preserve">, </w:t>
      </w:r>
      <w:proofErr w:type="spellStart"/>
      <w:r w:rsidRPr="00C263F3">
        <w:rPr>
          <w:rFonts w:ascii="Arial" w:hAnsi="Arial" w:cs="Arial"/>
        </w:rPr>
        <w:t>Carbapenemase</w:t>
      </w:r>
      <w:proofErr w:type="spellEnd"/>
      <w:r w:rsidRPr="00C263F3">
        <w:rPr>
          <w:rFonts w:ascii="Arial" w:hAnsi="Arial" w:cs="Arial"/>
        </w:rPr>
        <w:t xml:space="preserve">-producing Enterobacteriaceae: Overview of a major public health challenge, </w:t>
      </w:r>
      <w:proofErr w:type="spellStart"/>
      <w:r w:rsidRPr="00C263F3">
        <w:rPr>
          <w:rFonts w:ascii="Arial" w:hAnsi="Arial" w:cs="Arial"/>
        </w:rPr>
        <w:t>Medecine</w:t>
      </w:r>
      <w:proofErr w:type="spellEnd"/>
      <w:r w:rsidRPr="00C263F3">
        <w:rPr>
          <w:rFonts w:ascii="Arial" w:hAnsi="Arial" w:cs="Arial"/>
        </w:rPr>
        <w:t xml:space="preserve"> et Maladies </w:t>
      </w:r>
      <w:proofErr w:type="spellStart"/>
      <w:r w:rsidRPr="00C263F3">
        <w:rPr>
          <w:rFonts w:ascii="Arial" w:hAnsi="Arial" w:cs="Arial"/>
        </w:rPr>
        <w:t>Infectieuses</w:t>
      </w:r>
      <w:proofErr w:type="spellEnd"/>
      <w:r w:rsidRPr="00C263F3">
        <w:rPr>
          <w:rFonts w:ascii="Arial" w:hAnsi="Arial" w:cs="Arial"/>
        </w:rPr>
        <w:t>, Volume 44, Issue 2,</w:t>
      </w:r>
    </w:p>
    <w:p w14:paraId="1176BD41" w14:textId="77777777" w:rsidR="006B7E21" w:rsidRPr="00C263F3" w:rsidRDefault="006B7E21" w:rsidP="006B7E21">
      <w:pPr>
        <w:pStyle w:val="ListParagraph"/>
        <w:spacing w:line="480" w:lineRule="auto"/>
        <w:ind w:left="770"/>
        <w:jc w:val="both"/>
        <w:rPr>
          <w:rFonts w:ascii="Arial" w:hAnsi="Arial" w:cs="Arial"/>
        </w:rPr>
      </w:pPr>
      <w:r w:rsidRPr="00C263F3">
        <w:rPr>
          <w:rFonts w:ascii="Arial" w:hAnsi="Arial" w:cs="Arial"/>
        </w:rPr>
        <w:t>2014, Pages 51-56.</w:t>
      </w:r>
    </w:p>
    <w:p w14:paraId="1347106D"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Clinical and Laboratory Standard Institute (CLSI) (2017) Performance Standards for Antimicrobial Disk Susceptibility Tests. 12</w:t>
      </w:r>
      <w:r w:rsidRPr="00C263F3">
        <w:rPr>
          <w:rFonts w:ascii="Arial" w:hAnsi="Arial" w:cs="Arial"/>
          <w:vertAlign w:val="superscript"/>
        </w:rPr>
        <w:t>th</w:t>
      </w:r>
      <w:r w:rsidRPr="00C263F3">
        <w:rPr>
          <w:rFonts w:ascii="Arial" w:hAnsi="Arial" w:cs="Arial"/>
        </w:rPr>
        <w:t xml:space="preserve"> Edition, Clinical and Laboratory Standard Institute, Wayne, PA.</w:t>
      </w:r>
    </w:p>
    <w:p w14:paraId="284DE6B6"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Verma, Sukanya &amp; S, </w:t>
      </w:r>
      <w:proofErr w:type="spellStart"/>
      <w:r w:rsidRPr="00C263F3">
        <w:rPr>
          <w:rFonts w:ascii="Arial" w:hAnsi="Arial" w:cs="Arial"/>
        </w:rPr>
        <w:t>Thorat</w:t>
      </w:r>
      <w:proofErr w:type="spellEnd"/>
      <w:r w:rsidRPr="00C263F3">
        <w:rPr>
          <w:rFonts w:ascii="Arial" w:hAnsi="Arial" w:cs="Arial"/>
        </w:rPr>
        <w:t xml:space="preserve"> &amp; </w:t>
      </w:r>
      <w:proofErr w:type="spellStart"/>
      <w:r w:rsidRPr="00C263F3">
        <w:rPr>
          <w:rFonts w:ascii="Arial" w:hAnsi="Arial" w:cs="Arial"/>
        </w:rPr>
        <w:t>Bisure</w:t>
      </w:r>
      <w:proofErr w:type="spellEnd"/>
      <w:r w:rsidRPr="00C263F3">
        <w:rPr>
          <w:rFonts w:ascii="Arial" w:hAnsi="Arial" w:cs="Arial"/>
        </w:rPr>
        <w:t xml:space="preserve">, Kishore. (2018). Prevalence of carbapenem resistant </w:t>
      </w:r>
      <w:proofErr w:type="spellStart"/>
      <w:r w:rsidRPr="00C263F3">
        <w:rPr>
          <w:rFonts w:ascii="Arial" w:hAnsi="Arial" w:cs="Arial"/>
        </w:rPr>
        <w:t>enterobacteriaceae</w:t>
      </w:r>
      <w:proofErr w:type="spellEnd"/>
      <w:r w:rsidRPr="00C263F3">
        <w:rPr>
          <w:rFonts w:ascii="Arial" w:hAnsi="Arial" w:cs="Arial"/>
        </w:rPr>
        <w:t xml:space="preserve">- a study in a tertiary care hospital in </w:t>
      </w:r>
      <w:proofErr w:type="spellStart"/>
      <w:r w:rsidRPr="00C263F3">
        <w:rPr>
          <w:rFonts w:ascii="Arial" w:hAnsi="Arial" w:cs="Arial"/>
        </w:rPr>
        <w:t>mumbai</w:t>
      </w:r>
      <w:proofErr w:type="spellEnd"/>
      <w:r w:rsidRPr="00C263F3">
        <w:rPr>
          <w:rFonts w:ascii="Arial" w:hAnsi="Arial" w:cs="Arial"/>
        </w:rPr>
        <w:t>. Journal of Evolution of Medical and Dental Sciences. 7. 4909-4912. 10.14260/</w:t>
      </w:r>
      <w:proofErr w:type="spellStart"/>
      <w:r w:rsidRPr="00C263F3">
        <w:rPr>
          <w:rFonts w:ascii="Arial" w:hAnsi="Arial" w:cs="Arial"/>
        </w:rPr>
        <w:t>jemds</w:t>
      </w:r>
      <w:proofErr w:type="spellEnd"/>
      <w:r w:rsidRPr="00C263F3">
        <w:rPr>
          <w:rFonts w:ascii="Arial" w:hAnsi="Arial" w:cs="Arial"/>
        </w:rPr>
        <w:t>/2018/1093.</w:t>
      </w:r>
    </w:p>
    <w:p w14:paraId="4F98A809"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Shorr AF. Review of studies of the impact on Gram–negative bacterial resistance on outcomes in the intensive care unit. Crit Care Med. 2009;37(4):1463–1469.</w:t>
      </w:r>
    </w:p>
    <w:p w14:paraId="2E734BE5"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Arena F, </w:t>
      </w:r>
      <w:proofErr w:type="spellStart"/>
      <w:r w:rsidRPr="00C263F3">
        <w:rPr>
          <w:rFonts w:ascii="Arial" w:hAnsi="Arial" w:cs="Arial"/>
        </w:rPr>
        <w:t>Vannetti</w:t>
      </w:r>
      <w:proofErr w:type="spellEnd"/>
      <w:r w:rsidRPr="00C263F3">
        <w:rPr>
          <w:rFonts w:ascii="Arial" w:hAnsi="Arial" w:cs="Arial"/>
        </w:rPr>
        <w:t xml:space="preserve"> F, Di Pilato V, Fabbri L, Colavecchio OL, Giani T, et al. Diversity of the epidemiology of </w:t>
      </w:r>
      <w:proofErr w:type="spellStart"/>
      <w:r w:rsidRPr="00C263F3">
        <w:rPr>
          <w:rFonts w:ascii="Arial" w:hAnsi="Arial" w:cs="Arial"/>
        </w:rPr>
        <w:t>carbapenemase</w:t>
      </w:r>
      <w:proofErr w:type="spellEnd"/>
      <w:r w:rsidRPr="00C263F3">
        <w:rPr>
          <w:rFonts w:ascii="Arial" w:hAnsi="Arial" w:cs="Arial"/>
        </w:rPr>
        <w:t xml:space="preserve">-producing </w:t>
      </w:r>
      <w:r w:rsidRPr="00C263F3">
        <w:rPr>
          <w:rFonts w:ascii="Arial" w:hAnsi="Arial" w:cs="Arial"/>
        </w:rPr>
        <w:lastRenderedPageBreak/>
        <w:t>Enterobacteriaceae in long-term acute care rehabilitation settings from an area of hyperendemicity, and evaluation of an intervention bundle. Journal of Hospital Infection 2018; 100: 29–34.</w:t>
      </w:r>
    </w:p>
    <w:p w14:paraId="183355E1" w14:textId="77777777" w:rsidR="006B7E21" w:rsidRPr="00C263F3" w:rsidRDefault="006B7E21" w:rsidP="006B7E21">
      <w:pPr>
        <w:pStyle w:val="ListParagraph"/>
        <w:numPr>
          <w:ilvl w:val="0"/>
          <w:numId w:val="2"/>
        </w:numPr>
        <w:spacing w:line="480" w:lineRule="auto"/>
        <w:ind w:left="709" w:hanging="425"/>
        <w:jc w:val="both"/>
        <w:rPr>
          <w:rFonts w:ascii="Arial" w:hAnsi="Arial" w:cs="Arial"/>
        </w:rPr>
      </w:pPr>
      <w:r w:rsidRPr="00C263F3">
        <w:rPr>
          <w:rFonts w:ascii="Arial" w:hAnsi="Arial" w:cs="Arial"/>
        </w:rPr>
        <w:t xml:space="preserve">Nair PK, Vaz MS. Prevalence of carbapenem resistant Enterobacteriaceae from a tertiary care hospital in Mumbai, India. J of Microbiology &amp; Infectious Diseases (JMID) 2013;3(4):207-10. </w:t>
      </w:r>
    </w:p>
    <w:p w14:paraId="0472495F"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 Kumar S, </w:t>
      </w:r>
      <w:proofErr w:type="spellStart"/>
      <w:r w:rsidRPr="00C263F3">
        <w:rPr>
          <w:rFonts w:ascii="Arial" w:hAnsi="Arial" w:cs="Arial"/>
        </w:rPr>
        <w:t>Bahdauria</w:t>
      </w:r>
      <w:proofErr w:type="spellEnd"/>
      <w:r w:rsidRPr="00C263F3">
        <w:rPr>
          <w:rFonts w:ascii="Arial" w:hAnsi="Arial" w:cs="Arial"/>
        </w:rPr>
        <w:t xml:space="preserve"> S. Leading trend of carbapenem resistance in </w:t>
      </w:r>
      <w:proofErr w:type="spellStart"/>
      <w:r w:rsidRPr="00C263F3">
        <w:rPr>
          <w:rFonts w:ascii="Arial" w:hAnsi="Arial" w:cs="Arial"/>
        </w:rPr>
        <w:t>enterobacteriaceae</w:t>
      </w:r>
      <w:proofErr w:type="spellEnd"/>
      <w:r w:rsidRPr="00C263F3">
        <w:rPr>
          <w:rFonts w:ascii="Arial" w:hAnsi="Arial" w:cs="Arial"/>
        </w:rPr>
        <w:t xml:space="preserve"> in India. Int J Basic Appl Med Res 2014;4(2):205-8. </w:t>
      </w:r>
    </w:p>
    <w:p w14:paraId="2F757091" w14:textId="77777777" w:rsidR="006B7E21" w:rsidRPr="00C263F3" w:rsidRDefault="006B7E21" w:rsidP="006B7E21">
      <w:pPr>
        <w:pStyle w:val="ListParagraph"/>
        <w:numPr>
          <w:ilvl w:val="0"/>
          <w:numId w:val="2"/>
        </w:numPr>
        <w:spacing w:line="480" w:lineRule="auto"/>
        <w:jc w:val="both"/>
        <w:rPr>
          <w:rFonts w:ascii="Arial" w:hAnsi="Arial" w:cs="Arial"/>
        </w:rPr>
      </w:pPr>
      <w:r w:rsidRPr="00C263F3">
        <w:rPr>
          <w:rFonts w:ascii="Arial" w:hAnsi="Arial" w:cs="Arial"/>
        </w:rPr>
        <w:t xml:space="preserve"> Datta P, Gupta V, Garg S, et al. Phenotypic method for differentiation of </w:t>
      </w:r>
      <w:proofErr w:type="spellStart"/>
      <w:r w:rsidRPr="00C263F3">
        <w:rPr>
          <w:rFonts w:ascii="Arial" w:hAnsi="Arial" w:cs="Arial"/>
        </w:rPr>
        <w:t>carbapenemases</w:t>
      </w:r>
      <w:proofErr w:type="spellEnd"/>
      <w:r w:rsidRPr="00C263F3">
        <w:rPr>
          <w:rFonts w:ascii="Arial" w:hAnsi="Arial" w:cs="Arial"/>
        </w:rPr>
        <w:t xml:space="preserve"> in Enterobacteriaceae: study from north India. Indian J </w:t>
      </w:r>
      <w:proofErr w:type="spellStart"/>
      <w:r w:rsidRPr="00C263F3">
        <w:rPr>
          <w:rFonts w:ascii="Arial" w:hAnsi="Arial" w:cs="Arial"/>
        </w:rPr>
        <w:t>Pathol</w:t>
      </w:r>
      <w:proofErr w:type="spellEnd"/>
      <w:r w:rsidRPr="00C263F3">
        <w:rPr>
          <w:rFonts w:ascii="Arial" w:hAnsi="Arial" w:cs="Arial"/>
        </w:rPr>
        <w:t xml:space="preserve"> </w:t>
      </w:r>
      <w:proofErr w:type="spellStart"/>
      <w:r w:rsidRPr="00C263F3">
        <w:rPr>
          <w:rFonts w:ascii="Arial" w:hAnsi="Arial" w:cs="Arial"/>
        </w:rPr>
        <w:t>Microbiol</w:t>
      </w:r>
      <w:proofErr w:type="spellEnd"/>
      <w:r w:rsidRPr="00C263F3">
        <w:rPr>
          <w:rFonts w:ascii="Arial" w:hAnsi="Arial" w:cs="Arial"/>
        </w:rPr>
        <w:t xml:space="preserve"> 2012;55(3):357-60</w:t>
      </w:r>
    </w:p>
    <w:p w14:paraId="476C4736" w14:textId="77777777" w:rsidR="006B7E21" w:rsidRPr="00C263F3" w:rsidRDefault="006B7E21" w:rsidP="006B7E21">
      <w:pPr>
        <w:pStyle w:val="ListParagraph"/>
        <w:numPr>
          <w:ilvl w:val="0"/>
          <w:numId w:val="2"/>
        </w:numPr>
        <w:spacing w:line="480" w:lineRule="auto"/>
        <w:jc w:val="both"/>
        <w:rPr>
          <w:rFonts w:ascii="Arial" w:hAnsi="Arial" w:cs="Arial"/>
        </w:rPr>
      </w:pPr>
      <w:proofErr w:type="spellStart"/>
      <w:r w:rsidRPr="00C263F3">
        <w:rPr>
          <w:rFonts w:ascii="Arial" w:hAnsi="Arial" w:cs="Arial"/>
        </w:rPr>
        <w:t>Gunjal</w:t>
      </w:r>
      <w:proofErr w:type="spellEnd"/>
      <w:r w:rsidRPr="00C263F3">
        <w:rPr>
          <w:rFonts w:ascii="Arial" w:hAnsi="Arial" w:cs="Arial"/>
        </w:rPr>
        <w:t xml:space="preserve"> SP, </w:t>
      </w:r>
      <w:proofErr w:type="spellStart"/>
      <w:r w:rsidRPr="00C263F3">
        <w:rPr>
          <w:rFonts w:ascii="Arial" w:hAnsi="Arial" w:cs="Arial"/>
        </w:rPr>
        <w:t>Gunjal</w:t>
      </w:r>
      <w:proofErr w:type="spellEnd"/>
      <w:r w:rsidRPr="00C263F3">
        <w:rPr>
          <w:rFonts w:ascii="Arial" w:hAnsi="Arial" w:cs="Arial"/>
        </w:rPr>
        <w:t xml:space="preserve"> PN, </w:t>
      </w:r>
      <w:proofErr w:type="spellStart"/>
      <w:r w:rsidRPr="00C263F3">
        <w:rPr>
          <w:rFonts w:ascii="Arial" w:hAnsi="Arial" w:cs="Arial"/>
        </w:rPr>
        <w:t>Vanaparthi</w:t>
      </w:r>
      <w:proofErr w:type="spellEnd"/>
      <w:r w:rsidRPr="00C263F3">
        <w:rPr>
          <w:rFonts w:ascii="Arial" w:hAnsi="Arial" w:cs="Arial"/>
        </w:rPr>
        <w:t xml:space="preserve"> N, et al. Carbapenem resistance profile amongst Escherichia coli and Klebsiella pneumoniae in a tertiary care hospital in Ahmednagar, Maharashtra. Int J Med Res Heal Sci 2014;3(2):424-7. http://www.indianjournals.com/ijor.aspx?target=ijor:ij </w:t>
      </w:r>
      <w:proofErr w:type="spellStart"/>
      <w:r w:rsidRPr="00C263F3">
        <w:rPr>
          <w:rFonts w:ascii="Arial" w:hAnsi="Arial" w:cs="Arial"/>
        </w:rPr>
        <w:t>mrhs&amp;volume</w:t>
      </w:r>
      <w:proofErr w:type="spellEnd"/>
      <w:r w:rsidRPr="00C263F3">
        <w:rPr>
          <w:rFonts w:ascii="Arial" w:hAnsi="Arial" w:cs="Arial"/>
        </w:rPr>
        <w:t>=3&amp;issue=2&amp;article=037</w:t>
      </w:r>
    </w:p>
    <w:p w14:paraId="35F6A7A5" w14:textId="75D976F0" w:rsidR="003A08E7" w:rsidRPr="00B46CA2" w:rsidRDefault="003A08E7" w:rsidP="003A08E7">
      <w:pPr>
        <w:rPr>
          <w:rFonts w:ascii="Times New Roman" w:hAnsi="Times New Roman" w:cs="Times New Roman"/>
        </w:rPr>
      </w:pPr>
    </w:p>
    <w:sectPr w:rsidR="003A08E7" w:rsidRPr="00B46C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BA75" w14:textId="77777777" w:rsidR="00DF5B9C" w:rsidRDefault="00DF5B9C" w:rsidP="003543A6">
      <w:pPr>
        <w:spacing w:after="0" w:line="240" w:lineRule="auto"/>
      </w:pPr>
      <w:r>
        <w:separator/>
      </w:r>
    </w:p>
  </w:endnote>
  <w:endnote w:type="continuationSeparator" w:id="0">
    <w:p w14:paraId="118ABC68" w14:textId="77777777" w:rsidR="00DF5B9C" w:rsidRDefault="00DF5B9C" w:rsidP="0035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623F" w14:textId="77777777" w:rsidR="003543A6" w:rsidRDefault="00354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99EF" w14:textId="77777777" w:rsidR="003543A6" w:rsidRDefault="00354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7C2C" w14:textId="77777777" w:rsidR="003543A6" w:rsidRDefault="0035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C9110" w14:textId="77777777" w:rsidR="00DF5B9C" w:rsidRDefault="00DF5B9C" w:rsidP="003543A6">
      <w:pPr>
        <w:spacing w:after="0" w:line="240" w:lineRule="auto"/>
      </w:pPr>
      <w:r>
        <w:separator/>
      </w:r>
    </w:p>
  </w:footnote>
  <w:footnote w:type="continuationSeparator" w:id="0">
    <w:p w14:paraId="66FF4CB9" w14:textId="77777777" w:rsidR="00DF5B9C" w:rsidRDefault="00DF5B9C" w:rsidP="0035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B343" w14:textId="78BC9FC6" w:rsidR="003543A6" w:rsidRDefault="003543A6">
    <w:pPr>
      <w:pStyle w:val="Header"/>
    </w:pPr>
    <w:r>
      <w:rPr>
        <w:noProof/>
      </w:rPr>
      <w:pict w14:anchorId="4B543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AA98" w14:textId="0457D354" w:rsidR="003543A6" w:rsidRDefault="003543A6">
    <w:pPr>
      <w:pStyle w:val="Header"/>
    </w:pPr>
    <w:r>
      <w:rPr>
        <w:noProof/>
      </w:rPr>
      <w:pict w14:anchorId="2D5A8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E2CA" w14:textId="432FC6C7" w:rsidR="003543A6" w:rsidRDefault="003543A6">
    <w:pPr>
      <w:pStyle w:val="Header"/>
    </w:pPr>
    <w:r>
      <w:rPr>
        <w:noProof/>
      </w:rPr>
      <w:pict w14:anchorId="31592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054F"/>
    <w:multiLevelType w:val="multilevel"/>
    <w:tmpl w:val="B5180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994E0E"/>
    <w:multiLevelType w:val="hybridMultilevel"/>
    <w:tmpl w:val="82406DBE"/>
    <w:lvl w:ilvl="0" w:tplc="6C72AFE0">
      <w:start w:val="1"/>
      <w:numFmt w:val="upperRoman"/>
      <w:lvlText w:val="%1."/>
      <w:lvlJc w:val="left"/>
      <w:pPr>
        <w:ind w:left="300" w:hanging="360"/>
      </w:pPr>
    </w:lvl>
    <w:lvl w:ilvl="1" w:tplc="BE6831A0">
      <w:start w:val="1"/>
      <w:numFmt w:val="upperLetter"/>
      <w:lvlText w:val="%2."/>
      <w:lvlJc w:val="left"/>
      <w:pPr>
        <w:ind w:left="600" w:hanging="360"/>
      </w:pPr>
    </w:lvl>
    <w:lvl w:ilvl="2" w:tplc="36FE0070">
      <w:start w:val="1"/>
      <w:numFmt w:val="decimal"/>
      <w:lvlText w:val="%3."/>
      <w:lvlJc w:val="left"/>
      <w:pPr>
        <w:ind w:left="900" w:hanging="360"/>
      </w:pPr>
    </w:lvl>
    <w:lvl w:ilvl="3" w:tplc="0FD6D418">
      <w:start w:val="1"/>
      <w:numFmt w:val="lowerLetter"/>
      <w:lvlText w:val="%4)"/>
      <w:lvlJc w:val="left"/>
      <w:pPr>
        <w:ind w:left="1200" w:hanging="360"/>
      </w:pPr>
    </w:lvl>
    <w:lvl w:ilvl="4" w:tplc="19A2A7C0">
      <w:numFmt w:val="decimal"/>
      <w:lvlText w:val=""/>
      <w:lvlJc w:val="left"/>
      <w:pPr>
        <w:ind w:left="0" w:firstLine="0"/>
      </w:pPr>
    </w:lvl>
    <w:lvl w:ilvl="5" w:tplc="FA948884">
      <w:numFmt w:val="decimal"/>
      <w:lvlText w:val=""/>
      <w:lvlJc w:val="left"/>
      <w:pPr>
        <w:ind w:left="0" w:firstLine="0"/>
      </w:pPr>
    </w:lvl>
    <w:lvl w:ilvl="6" w:tplc="C6D80948">
      <w:numFmt w:val="decimal"/>
      <w:lvlText w:val=""/>
      <w:lvlJc w:val="left"/>
      <w:pPr>
        <w:ind w:left="0" w:firstLine="0"/>
      </w:pPr>
    </w:lvl>
    <w:lvl w:ilvl="7" w:tplc="902A1B6E">
      <w:numFmt w:val="decimal"/>
      <w:lvlText w:val=""/>
      <w:lvlJc w:val="left"/>
      <w:pPr>
        <w:ind w:left="0" w:firstLine="0"/>
      </w:pPr>
    </w:lvl>
    <w:lvl w:ilvl="8" w:tplc="AF5ABB8A">
      <w:numFmt w:val="decimal"/>
      <w:lvlText w:val=""/>
      <w:lvlJc w:val="left"/>
      <w:pPr>
        <w:ind w:left="0" w:firstLine="0"/>
      </w:pPr>
    </w:lvl>
  </w:abstractNum>
  <w:abstractNum w:abstractNumId="2" w15:restartNumberingAfterBreak="0">
    <w:nsid w:val="72C00266"/>
    <w:multiLevelType w:val="hybridMultilevel"/>
    <w:tmpl w:val="1FF0BEAA"/>
    <w:lvl w:ilvl="0" w:tplc="4009000F">
      <w:start w:val="1"/>
      <w:numFmt w:val="decimal"/>
      <w:lvlText w:val="%1."/>
      <w:lvlJc w:val="left"/>
      <w:pPr>
        <w:ind w:left="770" w:hanging="360"/>
      </w:pPr>
    </w:lvl>
    <w:lvl w:ilvl="1" w:tplc="40090019">
      <w:start w:val="1"/>
      <w:numFmt w:val="lowerLetter"/>
      <w:lvlText w:val="%2."/>
      <w:lvlJc w:val="left"/>
      <w:pPr>
        <w:ind w:left="1490" w:hanging="360"/>
      </w:pPr>
    </w:lvl>
    <w:lvl w:ilvl="2" w:tplc="4009001B">
      <w:start w:val="1"/>
      <w:numFmt w:val="lowerRoman"/>
      <w:lvlText w:val="%3."/>
      <w:lvlJc w:val="right"/>
      <w:pPr>
        <w:ind w:left="2210" w:hanging="180"/>
      </w:pPr>
    </w:lvl>
    <w:lvl w:ilvl="3" w:tplc="4009000F">
      <w:start w:val="1"/>
      <w:numFmt w:val="decimal"/>
      <w:lvlText w:val="%4."/>
      <w:lvlJc w:val="left"/>
      <w:pPr>
        <w:ind w:left="2930" w:hanging="360"/>
      </w:pPr>
    </w:lvl>
    <w:lvl w:ilvl="4" w:tplc="40090019">
      <w:start w:val="1"/>
      <w:numFmt w:val="lowerLetter"/>
      <w:lvlText w:val="%5."/>
      <w:lvlJc w:val="left"/>
      <w:pPr>
        <w:ind w:left="3650" w:hanging="360"/>
      </w:pPr>
    </w:lvl>
    <w:lvl w:ilvl="5" w:tplc="4009001B">
      <w:start w:val="1"/>
      <w:numFmt w:val="lowerRoman"/>
      <w:lvlText w:val="%6."/>
      <w:lvlJc w:val="right"/>
      <w:pPr>
        <w:ind w:left="4370" w:hanging="180"/>
      </w:pPr>
    </w:lvl>
    <w:lvl w:ilvl="6" w:tplc="4009000F">
      <w:start w:val="1"/>
      <w:numFmt w:val="decimal"/>
      <w:lvlText w:val="%7."/>
      <w:lvlJc w:val="left"/>
      <w:pPr>
        <w:ind w:left="5090" w:hanging="360"/>
      </w:pPr>
    </w:lvl>
    <w:lvl w:ilvl="7" w:tplc="40090019">
      <w:start w:val="1"/>
      <w:numFmt w:val="lowerLetter"/>
      <w:lvlText w:val="%8."/>
      <w:lvlJc w:val="left"/>
      <w:pPr>
        <w:ind w:left="5810" w:hanging="360"/>
      </w:pPr>
    </w:lvl>
    <w:lvl w:ilvl="8" w:tplc="4009001B">
      <w:start w:val="1"/>
      <w:numFmt w:val="lowerRoman"/>
      <w:lvlText w:val="%9."/>
      <w:lvlJc w:val="right"/>
      <w:pPr>
        <w:ind w:left="65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F3"/>
    <w:rsid w:val="00050FEB"/>
    <w:rsid w:val="00077076"/>
    <w:rsid w:val="000A0DBC"/>
    <w:rsid w:val="000F0B91"/>
    <w:rsid w:val="00194F7B"/>
    <w:rsid w:val="001C2FDD"/>
    <w:rsid w:val="0024544C"/>
    <w:rsid w:val="0033577C"/>
    <w:rsid w:val="003543A6"/>
    <w:rsid w:val="00373EC1"/>
    <w:rsid w:val="00380A4A"/>
    <w:rsid w:val="003A08E7"/>
    <w:rsid w:val="003D39C8"/>
    <w:rsid w:val="00423A19"/>
    <w:rsid w:val="00454F93"/>
    <w:rsid w:val="00472EE2"/>
    <w:rsid w:val="0057715A"/>
    <w:rsid w:val="00584C73"/>
    <w:rsid w:val="005D617F"/>
    <w:rsid w:val="005F4515"/>
    <w:rsid w:val="006137C4"/>
    <w:rsid w:val="0062221D"/>
    <w:rsid w:val="00667591"/>
    <w:rsid w:val="00673749"/>
    <w:rsid w:val="00674C9D"/>
    <w:rsid w:val="006A224C"/>
    <w:rsid w:val="006B7E21"/>
    <w:rsid w:val="00724CF3"/>
    <w:rsid w:val="007368A0"/>
    <w:rsid w:val="00771AD6"/>
    <w:rsid w:val="00785299"/>
    <w:rsid w:val="008B5DF2"/>
    <w:rsid w:val="009012E3"/>
    <w:rsid w:val="0097550C"/>
    <w:rsid w:val="00984683"/>
    <w:rsid w:val="009F2627"/>
    <w:rsid w:val="00AD7451"/>
    <w:rsid w:val="00AF45BC"/>
    <w:rsid w:val="00B3163C"/>
    <w:rsid w:val="00B412D4"/>
    <w:rsid w:val="00B46CA2"/>
    <w:rsid w:val="00B47E7A"/>
    <w:rsid w:val="00B576EA"/>
    <w:rsid w:val="00C23540"/>
    <w:rsid w:val="00C43F0E"/>
    <w:rsid w:val="00CC3324"/>
    <w:rsid w:val="00CC51A3"/>
    <w:rsid w:val="00CD4436"/>
    <w:rsid w:val="00DF5B9C"/>
    <w:rsid w:val="00E17579"/>
    <w:rsid w:val="00EC5B32"/>
    <w:rsid w:val="00F613C3"/>
    <w:rsid w:val="00F635B4"/>
    <w:rsid w:val="00F96BFD"/>
    <w:rsid w:val="00FB47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795936"/>
  <w15:chartTrackingRefBased/>
  <w15:docId w15:val="{3640B180-E6FE-4D89-A470-1CF54DF3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CF3"/>
    <w:rPr>
      <w:rFonts w:eastAsiaTheme="majorEastAsia" w:cstheme="majorBidi"/>
      <w:color w:val="272727" w:themeColor="text1" w:themeTint="D8"/>
    </w:rPr>
  </w:style>
  <w:style w:type="paragraph" w:styleId="Title">
    <w:name w:val="Title"/>
    <w:basedOn w:val="Normal"/>
    <w:next w:val="Normal"/>
    <w:link w:val="TitleChar"/>
    <w:uiPriority w:val="10"/>
    <w:qFormat/>
    <w:rsid w:val="0072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CF3"/>
    <w:pPr>
      <w:spacing w:before="160"/>
      <w:jc w:val="center"/>
    </w:pPr>
    <w:rPr>
      <w:i/>
      <w:iCs/>
      <w:color w:val="404040" w:themeColor="text1" w:themeTint="BF"/>
    </w:rPr>
  </w:style>
  <w:style w:type="character" w:customStyle="1" w:styleId="QuoteChar">
    <w:name w:val="Quote Char"/>
    <w:basedOn w:val="DefaultParagraphFont"/>
    <w:link w:val="Quote"/>
    <w:uiPriority w:val="29"/>
    <w:rsid w:val="00724CF3"/>
    <w:rPr>
      <w:i/>
      <w:iCs/>
      <w:color w:val="404040" w:themeColor="text1" w:themeTint="BF"/>
    </w:rPr>
  </w:style>
  <w:style w:type="paragraph" w:styleId="ListParagraph">
    <w:name w:val="List Paragraph"/>
    <w:basedOn w:val="Normal"/>
    <w:uiPriority w:val="34"/>
    <w:qFormat/>
    <w:rsid w:val="00724CF3"/>
    <w:pPr>
      <w:ind w:left="720"/>
      <w:contextualSpacing/>
    </w:pPr>
  </w:style>
  <w:style w:type="character" w:styleId="IntenseEmphasis">
    <w:name w:val="Intense Emphasis"/>
    <w:basedOn w:val="DefaultParagraphFont"/>
    <w:uiPriority w:val="21"/>
    <w:qFormat/>
    <w:rsid w:val="00724CF3"/>
    <w:rPr>
      <w:i/>
      <w:iCs/>
      <w:color w:val="0F4761" w:themeColor="accent1" w:themeShade="BF"/>
    </w:rPr>
  </w:style>
  <w:style w:type="paragraph" w:styleId="IntenseQuote">
    <w:name w:val="Intense Quote"/>
    <w:basedOn w:val="Normal"/>
    <w:next w:val="Normal"/>
    <w:link w:val="IntenseQuoteChar"/>
    <w:uiPriority w:val="30"/>
    <w:qFormat/>
    <w:rsid w:val="0072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CF3"/>
    <w:rPr>
      <w:i/>
      <w:iCs/>
      <w:color w:val="0F4761" w:themeColor="accent1" w:themeShade="BF"/>
    </w:rPr>
  </w:style>
  <w:style w:type="character" w:styleId="IntenseReference">
    <w:name w:val="Intense Reference"/>
    <w:basedOn w:val="DefaultParagraphFont"/>
    <w:uiPriority w:val="32"/>
    <w:qFormat/>
    <w:rsid w:val="00724CF3"/>
    <w:rPr>
      <w:b/>
      <w:bCs/>
      <w:smallCaps/>
      <w:color w:val="0F4761" w:themeColor="accent1" w:themeShade="BF"/>
      <w:spacing w:val="5"/>
    </w:rPr>
  </w:style>
  <w:style w:type="character" w:styleId="Hyperlink">
    <w:name w:val="Hyperlink"/>
    <w:basedOn w:val="DefaultParagraphFont"/>
    <w:uiPriority w:val="99"/>
    <w:unhideWhenUsed/>
    <w:rsid w:val="00B46CA2"/>
    <w:rPr>
      <w:color w:val="467886" w:themeColor="hyperlink"/>
      <w:u w:val="single"/>
    </w:rPr>
  </w:style>
  <w:style w:type="character" w:styleId="UnresolvedMention">
    <w:name w:val="Unresolved Mention"/>
    <w:basedOn w:val="DefaultParagraphFont"/>
    <w:uiPriority w:val="99"/>
    <w:semiHidden/>
    <w:unhideWhenUsed/>
    <w:rsid w:val="00B46CA2"/>
    <w:rPr>
      <w:color w:val="605E5C"/>
      <w:shd w:val="clear" w:color="auto" w:fill="E1DFDD"/>
    </w:rPr>
  </w:style>
  <w:style w:type="paragraph" w:styleId="Header">
    <w:name w:val="header"/>
    <w:basedOn w:val="Normal"/>
    <w:link w:val="HeaderChar"/>
    <w:uiPriority w:val="99"/>
    <w:unhideWhenUsed/>
    <w:rsid w:val="0035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A6"/>
  </w:style>
  <w:style w:type="paragraph" w:styleId="Footer">
    <w:name w:val="footer"/>
    <w:basedOn w:val="Normal"/>
    <w:link w:val="FooterChar"/>
    <w:uiPriority w:val="99"/>
    <w:unhideWhenUsed/>
    <w:rsid w:val="0035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9545">
      <w:bodyDiv w:val="1"/>
      <w:marLeft w:val="0"/>
      <w:marRight w:val="0"/>
      <w:marTop w:val="0"/>
      <w:marBottom w:val="0"/>
      <w:divBdr>
        <w:top w:val="none" w:sz="0" w:space="0" w:color="auto"/>
        <w:left w:val="none" w:sz="0" w:space="0" w:color="auto"/>
        <w:bottom w:val="none" w:sz="0" w:space="0" w:color="auto"/>
        <w:right w:val="none" w:sz="0" w:space="0" w:color="auto"/>
      </w:divBdr>
    </w:div>
    <w:div w:id="260139069">
      <w:bodyDiv w:val="1"/>
      <w:marLeft w:val="0"/>
      <w:marRight w:val="0"/>
      <w:marTop w:val="0"/>
      <w:marBottom w:val="0"/>
      <w:divBdr>
        <w:top w:val="none" w:sz="0" w:space="0" w:color="auto"/>
        <w:left w:val="none" w:sz="0" w:space="0" w:color="auto"/>
        <w:bottom w:val="none" w:sz="0" w:space="0" w:color="auto"/>
        <w:right w:val="none" w:sz="0" w:space="0" w:color="auto"/>
      </w:divBdr>
    </w:div>
    <w:div w:id="324357118">
      <w:bodyDiv w:val="1"/>
      <w:marLeft w:val="0"/>
      <w:marRight w:val="0"/>
      <w:marTop w:val="0"/>
      <w:marBottom w:val="0"/>
      <w:divBdr>
        <w:top w:val="none" w:sz="0" w:space="0" w:color="auto"/>
        <w:left w:val="none" w:sz="0" w:space="0" w:color="auto"/>
        <w:bottom w:val="none" w:sz="0" w:space="0" w:color="auto"/>
        <w:right w:val="none" w:sz="0" w:space="0" w:color="auto"/>
      </w:divBdr>
    </w:div>
    <w:div w:id="406808117">
      <w:bodyDiv w:val="1"/>
      <w:marLeft w:val="0"/>
      <w:marRight w:val="0"/>
      <w:marTop w:val="0"/>
      <w:marBottom w:val="0"/>
      <w:divBdr>
        <w:top w:val="none" w:sz="0" w:space="0" w:color="auto"/>
        <w:left w:val="none" w:sz="0" w:space="0" w:color="auto"/>
        <w:bottom w:val="none" w:sz="0" w:space="0" w:color="auto"/>
        <w:right w:val="none" w:sz="0" w:space="0" w:color="auto"/>
      </w:divBdr>
    </w:div>
    <w:div w:id="511606587">
      <w:bodyDiv w:val="1"/>
      <w:marLeft w:val="0"/>
      <w:marRight w:val="0"/>
      <w:marTop w:val="0"/>
      <w:marBottom w:val="0"/>
      <w:divBdr>
        <w:top w:val="none" w:sz="0" w:space="0" w:color="auto"/>
        <w:left w:val="none" w:sz="0" w:space="0" w:color="auto"/>
        <w:bottom w:val="none" w:sz="0" w:space="0" w:color="auto"/>
        <w:right w:val="none" w:sz="0" w:space="0" w:color="auto"/>
      </w:divBdr>
    </w:div>
    <w:div w:id="732392915">
      <w:bodyDiv w:val="1"/>
      <w:marLeft w:val="0"/>
      <w:marRight w:val="0"/>
      <w:marTop w:val="0"/>
      <w:marBottom w:val="0"/>
      <w:divBdr>
        <w:top w:val="none" w:sz="0" w:space="0" w:color="auto"/>
        <w:left w:val="none" w:sz="0" w:space="0" w:color="auto"/>
        <w:bottom w:val="none" w:sz="0" w:space="0" w:color="auto"/>
        <w:right w:val="none" w:sz="0" w:space="0" w:color="auto"/>
      </w:divBdr>
    </w:div>
    <w:div w:id="1139617707">
      <w:bodyDiv w:val="1"/>
      <w:marLeft w:val="0"/>
      <w:marRight w:val="0"/>
      <w:marTop w:val="0"/>
      <w:marBottom w:val="0"/>
      <w:divBdr>
        <w:top w:val="none" w:sz="0" w:space="0" w:color="auto"/>
        <w:left w:val="none" w:sz="0" w:space="0" w:color="auto"/>
        <w:bottom w:val="none" w:sz="0" w:space="0" w:color="auto"/>
        <w:right w:val="none" w:sz="0" w:space="0" w:color="auto"/>
      </w:divBdr>
    </w:div>
    <w:div w:id="1548032468">
      <w:bodyDiv w:val="1"/>
      <w:marLeft w:val="0"/>
      <w:marRight w:val="0"/>
      <w:marTop w:val="0"/>
      <w:marBottom w:val="0"/>
      <w:divBdr>
        <w:top w:val="none" w:sz="0" w:space="0" w:color="auto"/>
        <w:left w:val="none" w:sz="0" w:space="0" w:color="auto"/>
        <w:bottom w:val="none" w:sz="0" w:space="0" w:color="auto"/>
        <w:right w:val="none" w:sz="0" w:space="0" w:color="auto"/>
      </w:divBdr>
    </w:div>
    <w:div w:id="1847943492">
      <w:bodyDiv w:val="1"/>
      <w:marLeft w:val="0"/>
      <w:marRight w:val="0"/>
      <w:marTop w:val="0"/>
      <w:marBottom w:val="0"/>
      <w:divBdr>
        <w:top w:val="none" w:sz="0" w:space="0" w:color="auto"/>
        <w:left w:val="none" w:sz="0" w:space="0" w:color="auto"/>
        <w:bottom w:val="none" w:sz="0" w:space="0" w:color="auto"/>
        <w:right w:val="none" w:sz="0" w:space="0" w:color="auto"/>
      </w:divBdr>
    </w:div>
    <w:div w:id="1919902591">
      <w:bodyDiv w:val="1"/>
      <w:marLeft w:val="0"/>
      <w:marRight w:val="0"/>
      <w:marTop w:val="0"/>
      <w:marBottom w:val="0"/>
      <w:divBdr>
        <w:top w:val="none" w:sz="0" w:space="0" w:color="auto"/>
        <w:left w:val="none" w:sz="0" w:space="0" w:color="auto"/>
        <w:bottom w:val="none" w:sz="0" w:space="0" w:color="auto"/>
        <w:right w:val="none" w:sz="0" w:space="0" w:color="auto"/>
      </w:divBdr>
    </w:div>
    <w:div w:id="19303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Prakhar Singh</dc:creator>
  <cp:keywords/>
  <dc:description/>
  <cp:lastModifiedBy>SDI 1084</cp:lastModifiedBy>
  <cp:revision>58</cp:revision>
  <dcterms:created xsi:type="dcterms:W3CDTF">2025-04-10T12:53:00Z</dcterms:created>
  <dcterms:modified xsi:type="dcterms:W3CDTF">2025-04-12T05:57:00Z</dcterms:modified>
</cp:coreProperties>
</file>