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27DD" w14:textId="3C3CF585" w:rsidR="007B7FF5" w:rsidRPr="003429C2" w:rsidRDefault="007B7FF5" w:rsidP="002A7A4B">
      <w:pPr>
        <w:pStyle w:val="NoSpacing"/>
        <w:ind w:left="0"/>
        <w:jc w:val="right"/>
        <w:rPr>
          <w:rFonts w:ascii="Arial" w:hAnsi="Arial" w:cs="Arial"/>
          <w:b/>
          <w:i/>
          <w:sz w:val="32"/>
          <w:szCs w:val="32"/>
          <w:highlight w:val="yellow"/>
          <w:u w:val="single"/>
        </w:rPr>
      </w:pPr>
      <w:r w:rsidRPr="003429C2">
        <w:rPr>
          <w:rFonts w:ascii="Arial" w:hAnsi="Arial" w:cs="Arial"/>
          <w:b/>
          <w:i/>
          <w:sz w:val="32"/>
          <w:szCs w:val="32"/>
          <w:highlight w:val="yellow"/>
          <w:u w:val="single"/>
        </w:rPr>
        <w:t>Review Article</w:t>
      </w:r>
    </w:p>
    <w:p w14:paraId="7205D1EB" w14:textId="77777777" w:rsidR="007B7FF5" w:rsidRPr="003429C2" w:rsidRDefault="007B7FF5" w:rsidP="002A7A4B">
      <w:pPr>
        <w:pStyle w:val="NoSpacing"/>
        <w:rPr>
          <w:highlight w:val="yellow"/>
        </w:rPr>
      </w:pPr>
    </w:p>
    <w:p w14:paraId="5F2008F9" w14:textId="33AAD937" w:rsidR="007B7FF5" w:rsidRPr="003429C2" w:rsidRDefault="007B7FF5" w:rsidP="002A7A4B">
      <w:pPr>
        <w:pStyle w:val="NoSpacing"/>
        <w:jc w:val="right"/>
        <w:rPr>
          <w:rFonts w:ascii="Arial" w:hAnsi="Arial" w:cs="Arial"/>
          <w:b/>
          <w:sz w:val="32"/>
          <w:szCs w:val="32"/>
          <w:highlight w:val="yellow"/>
        </w:rPr>
      </w:pPr>
      <w:r w:rsidRPr="003429C2">
        <w:rPr>
          <w:rFonts w:ascii="Arial" w:hAnsi="Arial" w:cs="Arial"/>
          <w:b/>
          <w:sz w:val="32"/>
          <w:szCs w:val="32"/>
          <w:highlight w:val="yellow"/>
        </w:rPr>
        <w:t>Breeding Grain Sorghum for Resilience and Quality: Progress in Yield, Stress Tolerance and Grain Traits</w:t>
      </w:r>
    </w:p>
    <w:p w14:paraId="098DCA58" w14:textId="77777777" w:rsidR="00922178" w:rsidRPr="003429C2" w:rsidRDefault="00922178" w:rsidP="002A7A4B">
      <w:pPr>
        <w:pStyle w:val="NoSpacing"/>
        <w:jc w:val="right"/>
        <w:rPr>
          <w:rFonts w:ascii="Arial" w:hAnsi="Arial" w:cs="Arial"/>
          <w:b/>
          <w:sz w:val="32"/>
          <w:szCs w:val="32"/>
          <w:highlight w:val="yellow"/>
        </w:rPr>
      </w:pPr>
    </w:p>
    <w:p w14:paraId="1E171B09" w14:textId="77777777" w:rsidR="003429C2" w:rsidRPr="003429C2" w:rsidRDefault="003429C2" w:rsidP="003429C2">
      <w:pPr>
        <w:pStyle w:val="NoSpacing"/>
        <w:ind w:left="0"/>
        <w:jc w:val="right"/>
        <w:rPr>
          <w:rFonts w:ascii="Arial" w:hAnsi="Arial" w:cs="Arial"/>
          <w:b/>
          <w:sz w:val="24"/>
        </w:rPr>
      </w:pPr>
    </w:p>
    <w:p w14:paraId="5C77FFA3" w14:textId="77777777" w:rsidR="007B7FF5" w:rsidRPr="00937534" w:rsidRDefault="007B7FF5" w:rsidP="002A7A4B">
      <w:pPr>
        <w:pStyle w:val="NoSpacing"/>
        <w:tabs>
          <w:tab w:val="left" w:pos="2268"/>
        </w:tabs>
        <w:ind w:left="0"/>
        <w:jc w:val="center"/>
        <w:rPr>
          <w:rFonts w:ascii="Arial" w:hAnsi="Arial" w:cs="Arial"/>
          <w:b/>
          <w:sz w:val="24"/>
          <w:szCs w:val="24"/>
        </w:rPr>
      </w:pPr>
      <w:r w:rsidRPr="00937534">
        <w:rPr>
          <w:rFonts w:ascii="Arial" w:hAnsi="Arial" w:cs="Arial"/>
          <w:b/>
          <w:sz w:val="24"/>
          <w:szCs w:val="24"/>
        </w:rPr>
        <w:t>ABSTRACT</w:t>
      </w:r>
    </w:p>
    <w:p w14:paraId="16B918CD" w14:textId="70ED334B" w:rsidR="009006A4" w:rsidRPr="009006A4" w:rsidRDefault="009006A4" w:rsidP="002A7A4B">
      <w:pPr>
        <w:pStyle w:val="NoSpacing"/>
        <w:ind w:left="0"/>
        <w:rPr>
          <w:rFonts w:ascii="Arial" w:hAnsi="Arial" w:cs="Arial"/>
          <w:sz w:val="20"/>
        </w:rPr>
      </w:pPr>
      <w:r w:rsidRPr="009006A4">
        <w:rPr>
          <w:rFonts w:ascii="Arial" w:hAnsi="Arial" w:cs="Arial"/>
          <w:sz w:val="20"/>
        </w:rPr>
        <w:t>Sorghum (</w:t>
      </w:r>
      <w:r w:rsidRPr="009006A4">
        <w:rPr>
          <w:rStyle w:val="Emphasis"/>
          <w:rFonts w:ascii="Arial" w:hAnsi="Arial" w:cs="Arial"/>
          <w:sz w:val="20"/>
        </w:rPr>
        <w:t>Sorghum bicolor</w:t>
      </w:r>
      <w:r w:rsidRPr="009006A4">
        <w:rPr>
          <w:rFonts w:ascii="Arial" w:hAnsi="Arial" w:cs="Arial"/>
          <w:sz w:val="20"/>
        </w:rPr>
        <w:t xml:space="preserve"> L. Moench) has emerged as a model crop for functional genetics and genomics among tropical grasses due to its adaptability, drought resilience, and multifunctional applications in food, feed, and bioenergy production. As the fifth most important cereal crop globally, sorghum plays a vital role in ensuring food and nutritional security, particularly in arid and semi-arid regions. However, its productivity is frequently challenged by numerous biotic and abiotic stresses. To address these constraints, significant advances have been made in breeding strategies aimed at improving yield potential, enhancing stress tolerance, and refining grain quality traits. The integration of conventional breeding with modern molecular tools</w:t>
      </w:r>
      <w:r>
        <w:rPr>
          <w:rFonts w:ascii="Arial" w:hAnsi="Arial" w:cs="Arial"/>
          <w:sz w:val="20"/>
        </w:rPr>
        <w:t xml:space="preserve"> </w:t>
      </w:r>
      <w:r w:rsidRPr="009006A4">
        <w:rPr>
          <w:rFonts w:ascii="Arial" w:hAnsi="Arial" w:cs="Arial"/>
          <w:sz w:val="20"/>
        </w:rPr>
        <w:t>particularly marker-assisted selection (MAS), genomic selection, and genome editing</w:t>
      </w:r>
      <w:r>
        <w:rPr>
          <w:rFonts w:ascii="Arial" w:hAnsi="Arial" w:cs="Arial"/>
          <w:sz w:val="20"/>
        </w:rPr>
        <w:t xml:space="preserve"> </w:t>
      </w:r>
      <w:r w:rsidRPr="009006A4">
        <w:rPr>
          <w:rFonts w:ascii="Arial" w:hAnsi="Arial" w:cs="Arial"/>
          <w:sz w:val="20"/>
        </w:rPr>
        <w:t>has significantly accelerated the development of superior sorghum cultivars. These technologies enable precise identification and introgression of desirable alleles associated with key agronomic traits, thus shortening the breeding cycle and increasing the efficiency of selection. Furthermore, progress in understanding the sorghum genome and the development of high-throughput genotyping platforms has provided deeper insights into genetic diversity and trait architecture. In addition, transcriptomics and functional genomics studies have revealed key regulatory pathways and genes governing stress responses and grain development. Integration of multi-omics data with phenotypic screening is now enabling predictive breeding. Public-private partnerships and international research collaborations have also played a critical role in driving sorghum improvement programs. With continued innovations in molecular breeding and data-driven crop improvement, sorghum holds great promise in meeting the future demands of sustainable agriculture and climate resilience.</w:t>
      </w:r>
    </w:p>
    <w:p w14:paraId="6D3DDDEF" w14:textId="77777777" w:rsidR="009006A4" w:rsidRPr="009006A4" w:rsidRDefault="009006A4" w:rsidP="002A7A4B">
      <w:pPr>
        <w:pStyle w:val="NoSpacing"/>
        <w:ind w:left="0"/>
        <w:rPr>
          <w:rStyle w:val="Strong"/>
          <w:rFonts w:ascii="Arial" w:hAnsi="Arial" w:cs="Arial"/>
          <w:sz w:val="20"/>
        </w:rPr>
      </w:pPr>
    </w:p>
    <w:p w14:paraId="55F92572" w14:textId="358FEB2D" w:rsidR="009006A4" w:rsidRPr="009006A4" w:rsidRDefault="009006A4" w:rsidP="002A7A4B">
      <w:pPr>
        <w:pStyle w:val="NoSpacing"/>
        <w:ind w:left="0"/>
        <w:rPr>
          <w:rFonts w:ascii="Arial" w:hAnsi="Arial" w:cs="Arial"/>
          <w:i/>
          <w:sz w:val="20"/>
        </w:rPr>
      </w:pPr>
      <w:r w:rsidRPr="009006A4">
        <w:rPr>
          <w:rStyle w:val="Strong"/>
          <w:rFonts w:ascii="Arial" w:hAnsi="Arial" w:cs="Arial"/>
          <w:i/>
          <w:sz w:val="20"/>
        </w:rPr>
        <w:t>Keywords</w:t>
      </w:r>
      <w:r w:rsidRPr="009006A4">
        <w:rPr>
          <w:rFonts w:ascii="Arial" w:hAnsi="Arial" w:cs="Arial"/>
          <w:i/>
          <w:sz w:val="20"/>
        </w:rPr>
        <w:t>: Sorghum breeding, marker-assisted selection, abiotic stress tolerance, biotic stress resistance, grain quality, genomic selection.</w:t>
      </w:r>
    </w:p>
    <w:p w14:paraId="1E5C9A8D" w14:textId="06C5017C" w:rsidR="00B43974" w:rsidRPr="00647A63" w:rsidRDefault="00B43974" w:rsidP="002A7A4B">
      <w:pPr>
        <w:pStyle w:val="NoSpacing"/>
        <w:rPr>
          <w:rFonts w:ascii="Arial" w:hAnsi="Arial" w:cs="Arial"/>
          <w:b/>
          <w:sz w:val="24"/>
        </w:rPr>
      </w:pPr>
    </w:p>
    <w:p w14:paraId="06E59526" w14:textId="102A368E" w:rsidR="00C767D8" w:rsidRDefault="00815B07" w:rsidP="002A7A4B">
      <w:pPr>
        <w:pStyle w:val="NoSpacing"/>
        <w:numPr>
          <w:ilvl w:val="0"/>
          <w:numId w:val="13"/>
        </w:numPr>
        <w:rPr>
          <w:rFonts w:ascii="Arial" w:hAnsi="Arial" w:cs="Arial"/>
          <w:b/>
          <w:sz w:val="24"/>
        </w:rPr>
      </w:pPr>
      <w:r w:rsidRPr="00647A63">
        <w:rPr>
          <w:rFonts w:ascii="Arial" w:hAnsi="Arial" w:cs="Arial"/>
          <w:b/>
          <w:sz w:val="24"/>
        </w:rPr>
        <w:t>INTRODUCTION</w:t>
      </w:r>
    </w:p>
    <w:p w14:paraId="3E7BAFEA" w14:textId="77777777" w:rsidR="00647A63" w:rsidRPr="00647A63" w:rsidRDefault="00647A63" w:rsidP="002A7A4B">
      <w:pPr>
        <w:pStyle w:val="NoSpacing"/>
      </w:pPr>
    </w:p>
    <w:p w14:paraId="72F90C50" w14:textId="42C5319E" w:rsidR="00815B07" w:rsidRPr="003429C2" w:rsidRDefault="00815B07" w:rsidP="002A7A4B">
      <w:pPr>
        <w:spacing w:line="240" w:lineRule="auto"/>
        <w:ind w:left="0"/>
        <w:rPr>
          <w:rFonts w:ascii="Arial" w:hAnsi="Arial" w:cs="Arial"/>
          <w:sz w:val="20"/>
          <w:szCs w:val="20"/>
          <w:lang w:eastAsia="en-IN"/>
        </w:rPr>
      </w:pPr>
      <w:r w:rsidRPr="003429C2">
        <w:rPr>
          <w:rFonts w:ascii="Arial" w:hAnsi="Arial" w:cs="Arial"/>
          <w:sz w:val="20"/>
          <w:szCs w:val="20"/>
          <w:lang w:eastAsia="en-IN"/>
        </w:rPr>
        <w:t>Sorghum (</w:t>
      </w:r>
      <w:r w:rsidRPr="003429C2">
        <w:rPr>
          <w:rFonts w:ascii="Arial" w:hAnsi="Arial" w:cs="Arial"/>
          <w:i/>
          <w:iCs/>
          <w:sz w:val="20"/>
          <w:szCs w:val="20"/>
          <w:lang w:eastAsia="en-IN"/>
        </w:rPr>
        <w:t>Sorghum bicolor</w:t>
      </w:r>
      <w:r w:rsidRPr="003429C2">
        <w:rPr>
          <w:rFonts w:ascii="Arial" w:hAnsi="Arial" w:cs="Arial"/>
          <w:sz w:val="20"/>
          <w:szCs w:val="20"/>
          <w:lang w:eastAsia="en-IN"/>
        </w:rPr>
        <w:t xml:space="preserve"> L. Moench), commonly referred to as the "camel of crops," has emerged as one of the most valuable cereal grains in the global agricultural </w:t>
      </w:r>
      <w:r w:rsidRPr="003E72B6">
        <w:rPr>
          <w:rFonts w:ascii="Arial" w:hAnsi="Arial" w:cs="Arial"/>
          <w:sz w:val="20"/>
          <w:szCs w:val="20"/>
          <w:highlight w:val="yellow"/>
          <w:lang w:eastAsia="en-IN"/>
        </w:rPr>
        <w:t>landscape</w:t>
      </w:r>
      <w:r w:rsidR="00F02451" w:rsidRPr="003E72B6">
        <w:rPr>
          <w:rFonts w:ascii="Arial" w:hAnsi="Arial" w:cs="Arial"/>
          <w:sz w:val="20"/>
          <w:szCs w:val="20"/>
          <w:highlight w:val="yellow"/>
          <w:lang w:eastAsia="en-IN"/>
        </w:rPr>
        <w:t xml:space="preserve"> </w:t>
      </w:r>
      <w:r w:rsidR="00F02451" w:rsidRPr="003E72B6">
        <w:rPr>
          <w:rFonts w:ascii="Arial" w:hAnsi="Arial" w:cs="Arial"/>
          <w:bCs/>
          <w:sz w:val="20"/>
          <w:szCs w:val="20"/>
          <w:highlight w:val="yellow"/>
          <w:lang w:eastAsia="en-IN"/>
        </w:rPr>
        <w:t>(</w:t>
      </w:r>
      <w:r w:rsidR="00F02451" w:rsidRPr="003E72B6">
        <w:rPr>
          <w:rFonts w:ascii="Arial" w:hAnsi="Arial" w:cs="Arial"/>
          <w:bCs/>
          <w:sz w:val="20"/>
          <w:szCs w:val="20"/>
          <w:highlight w:val="yellow"/>
        </w:rPr>
        <w:t>Gorthy et al., 2024)</w:t>
      </w:r>
      <w:r w:rsidRPr="003E72B6">
        <w:rPr>
          <w:rFonts w:ascii="Arial" w:hAnsi="Arial" w:cs="Arial"/>
          <w:bCs/>
          <w:sz w:val="20"/>
          <w:szCs w:val="20"/>
          <w:highlight w:val="yellow"/>
          <w:lang w:eastAsia="en-IN"/>
        </w:rPr>
        <w:t xml:space="preserve">. </w:t>
      </w:r>
      <w:r w:rsidRPr="003E72B6">
        <w:rPr>
          <w:rFonts w:ascii="Arial" w:hAnsi="Arial" w:cs="Arial"/>
          <w:sz w:val="20"/>
          <w:szCs w:val="20"/>
          <w:highlight w:val="yellow"/>
          <w:lang w:eastAsia="en-IN"/>
        </w:rPr>
        <w:t xml:space="preserve">Ranked as the </w:t>
      </w:r>
      <w:r w:rsidRPr="003E72B6">
        <w:rPr>
          <w:rFonts w:ascii="Arial" w:hAnsi="Arial" w:cs="Arial"/>
          <w:bCs/>
          <w:sz w:val="20"/>
          <w:szCs w:val="20"/>
          <w:highlight w:val="yellow"/>
          <w:lang w:eastAsia="en-IN"/>
        </w:rPr>
        <w:t>fifth most important cereal crop in the world</w:t>
      </w:r>
      <w:r w:rsidRPr="003E72B6">
        <w:rPr>
          <w:rFonts w:ascii="Arial" w:hAnsi="Arial" w:cs="Arial"/>
          <w:sz w:val="20"/>
          <w:szCs w:val="20"/>
          <w:highlight w:val="yellow"/>
          <w:lang w:eastAsia="en-IN"/>
        </w:rPr>
        <w:t>, after maize, wheat, rice, and barley</w:t>
      </w:r>
      <w:r w:rsidRPr="003429C2">
        <w:rPr>
          <w:rFonts w:ascii="Arial" w:hAnsi="Arial" w:cs="Arial"/>
          <w:sz w:val="20"/>
          <w:szCs w:val="20"/>
          <w:lang w:eastAsia="en-IN"/>
        </w:rPr>
        <w:t xml:space="preserve">, sorghum is cultivated over 42 million hectares globally, contributing more than 60 million metric tons to annual food and feed </w:t>
      </w:r>
      <w:r w:rsidRPr="003E72B6">
        <w:rPr>
          <w:rFonts w:ascii="Arial" w:hAnsi="Arial" w:cs="Arial"/>
          <w:sz w:val="20"/>
          <w:szCs w:val="20"/>
          <w:highlight w:val="yellow"/>
          <w:lang w:eastAsia="en-IN"/>
        </w:rPr>
        <w:t>production</w:t>
      </w:r>
      <w:r w:rsidR="00F02451" w:rsidRPr="003E72B6">
        <w:rPr>
          <w:rFonts w:ascii="Arial" w:hAnsi="Arial" w:cs="Arial"/>
          <w:sz w:val="20"/>
          <w:szCs w:val="20"/>
          <w:highlight w:val="yellow"/>
          <w:lang w:eastAsia="en-IN"/>
        </w:rPr>
        <w:t xml:space="preserve"> (</w:t>
      </w:r>
      <w:proofErr w:type="spellStart"/>
      <w:r w:rsidR="00F02451" w:rsidRPr="003E72B6">
        <w:rPr>
          <w:rFonts w:ascii="Arial" w:hAnsi="Arial" w:cs="Arial"/>
          <w:bCs/>
          <w:sz w:val="20"/>
          <w:szCs w:val="20"/>
          <w:highlight w:val="yellow"/>
        </w:rPr>
        <w:t>Tonapi</w:t>
      </w:r>
      <w:proofErr w:type="spellEnd"/>
      <w:r w:rsidR="00F02451" w:rsidRPr="003E72B6">
        <w:rPr>
          <w:rFonts w:ascii="Arial" w:hAnsi="Arial" w:cs="Arial"/>
          <w:bCs/>
          <w:sz w:val="20"/>
          <w:szCs w:val="20"/>
          <w:highlight w:val="yellow"/>
        </w:rPr>
        <w:t xml:space="preserve"> et al., 2020)</w:t>
      </w:r>
      <w:r w:rsidRPr="003E72B6">
        <w:rPr>
          <w:rFonts w:ascii="Arial" w:hAnsi="Arial" w:cs="Arial"/>
          <w:bCs/>
          <w:sz w:val="20"/>
          <w:szCs w:val="20"/>
          <w:highlight w:val="yellow"/>
          <w:lang w:eastAsia="en-IN"/>
        </w:rPr>
        <w:t>.</w:t>
      </w:r>
      <w:r w:rsidRPr="003E72B6">
        <w:rPr>
          <w:rFonts w:ascii="Arial" w:hAnsi="Arial" w:cs="Arial"/>
          <w:sz w:val="20"/>
          <w:szCs w:val="20"/>
          <w:highlight w:val="yellow"/>
          <w:lang w:eastAsia="en-IN"/>
        </w:rPr>
        <w:t xml:space="preserve"> </w:t>
      </w:r>
      <w:r w:rsidRPr="003429C2">
        <w:rPr>
          <w:rFonts w:ascii="Arial" w:hAnsi="Arial" w:cs="Arial"/>
          <w:sz w:val="20"/>
          <w:szCs w:val="20"/>
          <w:lang w:eastAsia="en-IN"/>
        </w:rPr>
        <w:t xml:space="preserve">Its wide cultivation range, resilience under extreme environmental conditions, and multiple end uses have made it an increasingly strategic crop in the context of food and energy security, especially in arid and semi-arid regions of </w:t>
      </w:r>
      <w:r w:rsidRPr="003E72B6">
        <w:rPr>
          <w:rFonts w:ascii="Arial" w:hAnsi="Arial" w:cs="Arial"/>
          <w:sz w:val="20"/>
          <w:szCs w:val="20"/>
          <w:highlight w:val="yellow"/>
          <w:lang w:eastAsia="en-IN"/>
        </w:rPr>
        <w:t>the world</w:t>
      </w:r>
      <w:r w:rsidR="00F02451" w:rsidRPr="003E72B6">
        <w:rPr>
          <w:rFonts w:ascii="Arial" w:hAnsi="Arial" w:cs="Arial"/>
          <w:sz w:val="20"/>
          <w:szCs w:val="20"/>
          <w:highlight w:val="yellow"/>
          <w:lang w:eastAsia="en-IN"/>
        </w:rPr>
        <w:t xml:space="preserve"> </w:t>
      </w:r>
      <w:r w:rsidR="00F02451" w:rsidRPr="003E72B6">
        <w:rPr>
          <w:rFonts w:ascii="Arial" w:hAnsi="Arial" w:cs="Arial"/>
          <w:bCs/>
          <w:sz w:val="20"/>
          <w:szCs w:val="20"/>
          <w:highlight w:val="yellow"/>
          <w:lang w:eastAsia="en-IN"/>
        </w:rPr>
        <w:t>(</w:t>
      </w:r>
      <w:r w:rsidR="00F02451" w:rsidRPr="003E72B6">
        <w:rPr>
          <w:rFonts w:ascii="Arial" w:hAnsi="Arial" w:cs="Arial"/>
          <w:bCs/>
          <w:sz w:val="20"/>
          <w:szCs w:val="20"/>
          <w:highlight w:val="yellow"/>
        </w:rPr>
        <w:t>El et al., 2024)</w:t>
      </w:r>
      <w:r w:rsidRPr="003E72B6">
        <w:rPr>
          <w:rFonts w:ascii="Arial" w:hAnsi="Arial" w:cs="Arial"/>
          <w:sz w:val="20"/>
          <w:szCs w:val="20"/>
          <w:highlight w:val="yellow"/>
          <w:lang w:eastAsia="en-IN"/>
        </w:rPr>
        <w:t>.</w:t>
      </w:r>
      <w:r w:rsidR="00647A63" w:rsidRPr="003E72B6">
        <w:rPr>
          <w:rFonts w:ascii="Arial" w:hAnsi="Arial" w:cs="Arial"/>
          <w:sz w:val="20"/>
          <w:szCs w:val="20"/>
          <w:highlight w:val="yellow"/>
          <w:lang w:eastAsia="en-IN"/>
        </w:rPr>
        <w:t xml:space="preserve"> </w:t>
      </w:r>
      <w:r w:rsidRPr="003E72B6">
        <w:rPr>
          <w:rFonts w:ascii="Arial" w:hAnsi="Arial" w:cs="Arial"/>
          <w:sz w:val="20"/>
          <w:szCs w:val="20"/>
          <w:highlight w:val="yellow"/>
          <w:lang w:eastAsia="en-IN"/>
        </w:rPr>
        <w:t xml:space="preserve">The crop's global importance lies not only in its production volume but also in its role as a </w:t>
      </w:r>
      <w:r w:rsidRPr="003E72B6">
        <w:rPr>
          <w:rFonts w:ascii="Arial" w:hAnsi="Arial" w:cs="Arial"/>
          <w:bCs/>
          <w:sz w:val="20"/>
          <w:szCs w:val="20"/>
          <w:highlight w:val="yellow"/>
          <w:lang w:eastAsia="en-IN"/>
        </w:rPr>
        <w:t>staple food and feed grain</w:t>
      </w:r>
      <w:r w:rsidRPr="003E72B6">
        <w:rPr>
          <w:rFonts w:ascii="Arial" w:hAnsi="Arial" w:cs="Arial"/>
          <w:sz w:val="20"/>
          <w:szCs w:val="20"/>
          <w:highlight w:val="yellow"/>
          <w:lang w:eastAsia="en-IN"/>
        </w:rPr>
        <w:t xml:space="preserve"> for over half a billion people, particularly in Asia and Africa</w:t>
      </w:r>
      <w:r w:rsidR="00F02451" w:rsidRPr="003E72B6">
        <w:rPr>
          <w:rFonts w:ascii="Arial" w:hAnsi="Arial" w:cs="Arial"/>
          <w:bCs/>
          <w:sz w:val="20"/>
          <w:szCs w:val="20"/>
          <w:highlight w:val="yellow"/>
          <w:lang w:eastAsia="en-IN"/>
        </w:rPr>
        <w:t xml:space="preserve"> (</w:t>
      </w:r>
      <w:r w:rsidR="00F02451" w:rsidRPr="003E72B6">
        <w:rPr>
          <w:rFonts w:ascii="Arial" w:hAnsi="Arial" w:cs="Arial"/>
          <w:bCs/>
          <w:sz w:val="20"/>
          <w:szCs w:val="20"/>
          <w:highlight w:val="yellow"/>
        </w:rPr>
        <w:t>Seck et al., 2012)</w:t>
      </w:r>
      <w:r w:rsidRPr="003E72B6">
        <w:rPr>
          <w:rFonts w:ascii="Arial" w:hAnsi="Arial" w:cs="Arial"/>
          <w:sz w:val="20"/>
          <w:szCs w:val="20"/>
          <w:highlight w:val="yellow"/>
          <w:lang w:eastAsia="en-IN"/>
        </w:rPr>
        <w:t xml:space="preserve">. </w:t>
      </w:r>
      <w:r w:rsidRPr="003429C2">
        <w:rPr>
          <w:rFonts w:ascii="Arial" w:hAnsi="Arial" w:cs="Arial"/>
          <w:sz w:val="20"/>
          <w:szCs w:val="20"/>
          <w:lang w:eastAsia="en-IN"/>
        </w:rPr>
        <w:t>In regions with erratic rainfall, poor soil fertility, and minimal access to irrigation, sorghum thrives where other major cereals struggle</w:t>
      </w:r>
      <w:r w:rsidR="00CB7F11" w:rsidRPr="003429C2">
        <w:rPr>
          <w:rFonts w:ascii="Arial" w:hAnsi="Arial" w:cs="Arial"/>
          <w:sz w:val="20"/>
          <w:szCs w:val="20"/>
          <w:lang w:eastAsia="en-IN"/>
        </w:rPr>
        <w:t xml:space="preserve"> </w:t>
      </w:r>
      <w:r w:rsidR="00CB7F11" w:rsidRPr="003E72B6">
        <w:rPr>
          <w:rFonts w:ascii="Arial" w:hAnsi="Arial" w:cs="Arial"/>
          <w:bCs/>
          <w:sz w:val="20"/>
          <w:szCs w:val="20"/>
          <w:highlight w:val="yellow"/>
          <w:lang w:eastAsia="en-IN"/>
        </w:rPr>
        <w:t>(</w:t>
      </w:r>
      <w:r w:rsidR="00CB7F11" w:rsidRPr="003E72B6">
        <w:rPr>
          <w:rFonts w:ascii="Arial" w:hAnsi="Arial" w:cs="Arial"/>
          <w:bCs/>
          <w:sz w:val="20"/>
          <w:szCs w:val="20"/>
          <w:highlight w:val="yellow"/>
        </w:rPr>
        <w:t>Nkosi et al., 2024)</w:t>
      </w:r>
      <w:r w:rsidRPr="003E72B6">
        <w:rPr>
          <w:rFonts w:ascii="Arial" w:hAnsi="Arial" w:cs="Arial"/>
          <w:sz w:val="20"/>
          <w:szCs w:val="20"/>
          <w:highlight w:val="yellow"/>
          <w:lang w:eastAsia="en-IN"/>
        </w:rPr>
        <w:t>. Its adaptability to marginal lands, low-input conditions, and climate extremes makes it a dependable food source for small</w:t>
      </w:r>
      <w:r w:rsidR="00CB7F11" w:rsidRPr="003E72B6">
        <w:rPr>
          <w:rFonts w:ascii="Arial" w:hAnsi="Arial" w:cs="Arial"/>
          <w:sz w:val="20"/>
          <w:szCs w:val="20"/>
          <w:highlight w:val="yellow"/>
          <w:lang w:eastAsia="en-IN"/>
        </w:rPr>
        <w:t xml:space="preserve"> </w:t>
      </w:r>
      <w:r w:rsidRPr="003E72B6">
        <w:rPr>
          <w:rFonts w:ascii="Arial" w:hAnsi="Arial" w:cs="Arial"/>
          <w:sz w:val="20"/>
          <w:szCs w:val="20"/>
          <w:highlight w:val="yellow"/>
          <w:lang w:eastAsia="en-IN"/>
        </w:rPr>
        <w:t>holder farmers and pastoral communities in developing countries</w:t>
      </w:r>
      <w:r w:rsidR="00CB7F11" w:rsidRPr="003E72B6">
        <w:rPr>
          <w:rFonts w:ascii="Arial" w:hAnsi="Arial" w:cs="Arial"/>
          <w:sz w:val="20"/>
          <w:szCs w:val="20"/>
          <w:highlight w:val="yellow"/>
          <w:lang w:eastAsia="en-IN"/>
        </w:rPr>
        <w:t xml:space="preserve"> </w:t>
      </w:r>
      <w:r w:rsidR="00CB7F11" w:rsidRPr="003E72B6">
        <w:rPr>
          <w:rFonts w:ascii="Arial" w:hAnsi="Arial" w:cs="Arial"/>
          <w:bCs/>
          <w:sz w:val="20"/>
          <w:szCs w:val="20"/>
          <w:highlight w:val="yellow"/>
          <w:lang w:eastAsia="en-IN"/>
        </w:rPr>
        <w:t>(</w:t>
      </w:r>
      <w:r w:rsidR="00CB7F11" w:rsidRPr="003E72B6">
        <w:rPr>
          <w:rFonts w:ascii="Arial" w:hAnsi="Arial" w:cs="Arial"/>
          <w:bCs/>
          <w:sz w:val="20"/>
          <w:szCs w:val="20"/>
          <w:highlight w:val="yellow"/>
        </w:rPr>
        <w:t>Bellon, 2006)</w:t>
      </w:r>
      <w:r w:rsidRPr="003E72B6">
        <w:rPr>
          <w:rFonts w:ascii="Arial" w:hAnsi="Arial" w:cs="Arial"/>
          <w:sz w:val="20"/>
          <w:szCs w:val="20"/>
          <w:highlight w:val="yellow"/>
          <w:lang w:eastAsia="en-IN"/>
        </w:rPr>
        <w:t>. Countries such as India, Nigeria, Sudan, Ethiopia, and the United States dominate global sorghum production</w:t>
      </w:r>
      <w:r w:rsidR="00CB7F11" w:rsidRPr="003E72B6">
        <w:rPr>
          <w:rFonts w:ascii="Arial" w:hAnsi="Arial" w:cs="Arial"/>
          <w:sz w:val="20"/>
          <w:szCs w:val="20"/>
          <w:highlight w:val="yellow"/>
          <w:lang w:eastAsia="en-IN"/>
        </w:rPr>
        <w:t xml:space="preserve"> </w:t>
      </w:r>
      <w:r w:rsidR="00CB7F11" w:rsidRPr="003E72B6">
        <w:rPr>
          <w:rFonts w:ascii="Arial" w:hAnsi="Arial" w:cs="Arial"/>
          <w:bCs/>
          <w:sz w:val="20"/>
          <w:szCs w:val="20"/>
          <w:highlight w:val="yellow"/>
          <w:lang w:eastAsia="en-IN"/>
        </w:rPr>
        <w:t>(</w:t>
      </w:r>
      <w:r w:rsidR="00CB7F11" w:rsidRPr="003E72B6">
        <w:rPr>
          <w:rFonts w:ascii="Arial" w:hAnsi="Arial" w:cs="Arial"/>
          <w:bCs/>
          <w:sz w:val="20"/>
          <w:szCs w:val="20"/>
          <w:highlight w:val="yellow"/>
        </w:rPr>
        <w:t>Mundia et al., 2019)</w:t>
      </w:r>
      <w:r w:rsidRPr="003E72B6">
        <w:rPr>
          <w:rFonts w:ascii="Arial" w:hAnsi="Arial" w:cs="Arial"/>
          <w:bCs/>
          <w:sz w:val="20"/>
          <w:szCs w:val="20"/>
          <w:highlight w:val="yellow"/>
          <w:lang w:eastAsia="en-IN"/>
        </w:rPr>
        <w:t>.</w:t>
      </w:r>
      <w:r w:rsidRPr="003E72B6">
        <w:rPr>
          <w:rFonts w:ascii="Arial" w:hAnsi="Arial" w:cs="Arial"/>
          <w:sz w:val="20"/>
          <w:szCs w:val="20"/>
          <w:highlight w:val="yellow"/>
          <w:lang w:eastAsia="en-IN"/>
        </w:rPr>
        <w:t xml:space="preserve"> In these regions, the crop plays a key role in stabilizing rural incomes and livelihoods, especially where agriculture is highly vulnerable to climatic shocks</w:t>
      </w:r>
      <w:r w:rsidR="00CB7F11" w:rsidRPr="003E72B6">
        <w:rPr>
          <w:rFonts w:ascii="Arial" w:hAnsi="Arial" w:cs="Arial"/>
          <w:sz w:val="20"/>
          <w:szCs w:val="20"/>
          <w:highlight w:val="yellow"/>
          <w:lang w:eastAsia="en-IN"/>
        </w:rPr>
        <w:t xml:space="preserve"> </w:t>
      </w:r>
      <w:r w:rsidR="00CB7F11" w:rsidRPr="003E72B6">
        <w:rPr>
          <w:rFonts w:ascii="Arial" w:hAnsi="Arial" w:cs="Arial"/>
          <w:bCs/>
          <w:sz w:val="20"/>
          <w:szCs w:val="20"/>
          <w:highlight w:val="yellow"/>
          <w:lang w:eastAsia="en-IN"/>
        </w:rPr>
        <w:t>(</w:t>
      </w:r>
      <w:r w:rsidR="00CB7F11" w:rsidRPr="003E72B6">
        <w:rPr>
          <w:rFonts w:ascii="Arial" w:hAnsi="Arial" w:cs="Arial"/>
          <w:bCs/>
          <w:sz w:val="20"/>
          <w:szCs w:val="20"/>
          <w:highlight w:val="yellow"/>
        </w:rPr>
        <w:t>Zeleke et al., 2021)</w:t>
      </w:r>
      <w:r w:rsidRPr="003E72B6">
        <w:rPr>
          <w:rFonts w:ascii="Arial" w:hAnsi="Arial" w:cs="Arial"/>
          <w:bCs/>
          <w:sz w:val="20"/>
          <w:szCs w:val="20"/>
          <w:highlight w:val="yellow"/>
          <w:lang w:eastAsia="en-IN"/>
        </w:rPr>
        <w:t>.</w:t>
      </w:r>
    </w:p>
    <w:p w14:paraId="3D92D4BB" w14:textId="04660B78" w:rsidR="00815B07" w:rsidRPr="003429C2" w:rsidRDefault="00815B07" w:rsidP="002A7A4B">
      <w:pPr>
        <w:spacing w:line="240" w:lineRule="auto"/>
        <w:ind w:left="0" w:firstLine="720"/>
        <w:rPr>
          <w:rFonts w:ascii="Arial" w:hAnsi="Arial" w:cs="Arial"/>
          <w:sz w:val="20"/>
          <w:szCs w:val="20"/>
          <w:lang w:eastAsia="en-IN"/>
        </w:rPr>
      </w:pPr>
      <w:r w:rsidRPr="003429C2">
        <w:rPr>
          <w:rFonts w:ascii="Arial" w:hAnsi="Arial" w:cs="Arial"/>
          <w:sz w:val="20"/>
          <w:szCs w:val="20"/>
          <w:lang w:eastAsia="en-IN"/>
        </w:rPr>
        <w:t xml:space="preserve">One of the most compelling aspects of sorghum is its </w:t>
      </w:r>
      <w:r w:rsidRPr="003429C2">
        <w:rPr>
          <w:rFonts w:ascii="Arial" w:hAnsi="Arial" w:cs="Arial"/>
          <w:bCs/>
          <w:sz w:val="20"/>
          <w:szCs w:val="20"/>
          <w:lang w:eastAsia="en-IN"/>
        </w:rPr>
        <w:t>multi-purpose utility</w:t>
      </w:r>
      <w:r w:rsidRPr="003429C2">
        <w:rPr>
          <w:rFonts w:ascii="Arial" w:hAnsi="Arial" w:cs="Arial"/>
          <w:sz w:val="20"/>
          <w:szCs w:val="20"/>
          <w:lang w:eastAsia="en-IN"/>
        </w:rPr>
        <w:t>. Unlike other cereals that are typically limited to human consumption, sorghum finds broad applications across various domains</w:t>
      </w:r>
      <w:r w:rsidR="00647A63" w:rsidRPr="003429C2">
        <w:rPr>
          <w:rFonts w:ascii="Arial" w:hAnsi="Arial" w:cs="Arial"/>
          <w:sz w:val="20"/>
          <w:szCs w:val="20"/>
          <w:lang w:eastAsia="en-IN"/>
        </w:rPr>
        <w:t xml:space="preserve"> </w:t>
      </w:r>
      <w:r w:rsidRPr="003429C2">
        <w:rPr>
          <w:rFonts w:ascii="Arial" w:hAnsi="Arial" w:cs="Arial"/>
          <w:bCs/>
          <w:sz w:val="20"/>
          <w:szCs w:val="20"/>
          <w:lang w:eastAsia="en-IN"/>
        </w:rPr>
        <w:t xml:space="preserve">food, feed, fodder, and </w:t>
      </w:r>
      <w:r w:rsidRPr="003E72B6">
        <w:rPr>
          <w:rFonts w:ascii="Arial" w:hAnsi="Arial" w:cs="Arial"/>
          <w:bCs/>
          <w:sz w:val="20"/>
          <w:szCs w:val="20"/>
          <w:highlight w:val="yellow"/>
          <w:lang w:eastAsia="en-IN"/>
        </w:rPr>
        <w:t>bioenergy</w:t>
      </w:r>
      <w:r w:rsidR="00CB7F11" w:rsidRPr="003E72B6">
        <w:rPr>
          <w:rFonts w:ascii="Arial" w:hAnsi="Arial" w:cs="Arial"/>
          <w:sz w:val="20"/>
          <w:szCs w:val="20"/>
          <w:highlight w:val="yellow"/>
          <w:lang w:eastAsia="en-IN"/>
        </w:rPr>
        <w:t xml:space="preserve"> (</w:t>
      </w:r>
      <w:r w:rsidR="00CB7F11" w:rsidRPr="003E72B6">
        <w:rPr>
          <w:rFonts w:ascii="Arial" w:hAnsi="Arial" w:cs="Arial"/>
          <w:sz w:val="20"/>
          <w:szCs w:val="20"/>
          <w:highlight w:val="yellow"/>
        </w:rPr>
        <w:t>Khawaja et al., 2014)</w:t>
      </w:r>
      <w:r w:rsidRPr="003E72B6">
        <w:rPr>
          <w:rFonts w:ascii="Arial" w:hAnsi="Arial" w:cs="Arial"/>
          <w:sz w:val="20"/>
          <w:szCs w:val="20"/>
          <w:highlight w:val="yellow"/>
          <w:lang w:eastAsia="en-IN"/>
        </w:rPr>
        <w:t xml:space="preserve">. </w:t>
      </w:r>
      <w:r w:rsidRPr="003429C2">
        <w:rPr>
          <w:rFonts w:ascii="Arial" w:hAnsi="Arial" w:cs="Arial"/>
          <w:sz w:val="20"/>
          <w:szCs w:val="20"/>
          <w:lang w:eastAsia="en-IN"/>
        </w:rPr>
        <w:t xml:space="preserve">The grain serves as a dietary staple in many rural households, being processed into flatbreads, porridges, beverages, and </w:t>
      </w:r>
      <w:r w:rsidRPr="003E72B6">
        <w:rPr>
          <w:rFonts w:ascii="Arial" w:hAnsi="Arial" w:cs="Arial"/>
          <w:sz w:val="20"/>
          <w:szCs w:val="20"/>
          <w:highlight w:val="yellow"/>
          <w:lang w:eastAsia="en-IN"/>
        </w:rPr>
        <w:t>snacks</w:t>
      </w:r>
      <w:r w:rsidR="00CB7F11" w:rsidRPr="003E72B6">
        <w:rPr>
          <w:rFonts w:ascii="Arial" w:hAnsi="Arial" w:cs="Arial"/>
          <w:sz w:val="20"/>
          <w:szCs w:val="20"/>
          <w:highlight w:val="yellow"/>
          <w:lang w:eastAsia="en-IN"/>
        </w:rPr>
        <w:t xml:space="preserve"> </w:t>
      </w:r>
      <w:r w:rsidR="00CB7F11" w:rsidRPr="003E72B6">
        <w:rPr>
          <w:rFonts w:ascii="Arial" w:hAnsi="Arial" w:cs="Arial"/>
          <w:bCs/>
          <w:sz w:val="20"/>
          <w:szCs w:val="20"/>
          <w:highlight w:val="yellow"/>
          <w:lang w:eastAsia="en-IN"/>
        </w:rPr>
        <w:t>(</w:t>
      </w:r>
      <w:r w:rsidR="00CB7F11" w:rsidRPr="003E72B6">
        <w:rPr>
          <w:rFonts w:ascii="Arial" w:hAnsi="Arial" w:cs="Arial"/>
          <w:bCs/>
          <w:sz w:val="20"/>
          <w:szCs w:val="20"/>
          <w:highlight w:val="yellow"/>
        </w:rPr>
        <w:t>Pingali et al., 2019)</w:t>
      </w:r>
      <w:r w:rsidRPr="003E72B6">
        <w:rPr>
          <w:rFonts w:ascii="Arial" w:hAnsi="Arial" w:cs="Arial"/>
          <w:sz w:val="20"/>
          <w:szCs w:val="20"/>
          <w:highlight w:val="yellow"/>
          <w:lang w:eastAsia="en-IN"/>
        </w:rPr>
        <w:t xml:space="preserve">. </w:t>
      </w:r>
      <w:r w:rsidRPr="003429C2">
        <w:rPr>
          <w:rFonts w:ascii="Arial" w:hAnsi="Arial" w:cs="Arial"/>
          <w:sz w:val="20"/>
          <w:szCs w:val="20"/>
          <w:lang w:eastAsia="en-IN"/>
        </w:rPr>
        <w:t xml:space="preserve">In Western countries, sorghum is gaining popularity in health-conscious consumer markets as a gluten-free alternative due to its high </w:t>
      </w:r>
      <w:proofErr w:type="spellStart"/>
      <w:r w:rsidRPr="003429C2">
        <w:rPr>
          <w:rFonts w:ascii="Arial" w:hAnsi="Arial" w:cs="Arial"/>
          <w:sz w:val="20"/>
          <w:szCs w:val="20"/>
          <w:lang w:eastAsia="en-IN"/>
        </w:rPr>
        <w:t>fiber</w:t>
      </w:r>
      <w:proofErr w:type="spellEnd"/>
      <w:r w:rsidRPr="003429C2">
        <w:rPr>
          <w:rFonts w:ascii="Arial" w:hAnsi="Arial" w:cs="Arial"/>
          <w:sz w:val="20"/>
          <w:szCs w:val="20"/>
          <w:lang w:eastAsia="en-IN"/>
        </w:rPr>
        <w:t xml:space="preserve"> content and antioxidant-rich composition</w:t>
      </w:r>
      <w:r w:rsidR="00CB7F11" w:rsidRPr="003429C2">
        <w:rPr>
          <w:rFonts w:ascii="Arial" w:hAnsi="Arial" w:cs="Arial"/>
          <w:sz w:val="20"/>
          <w:szCs w:val="20"/>
          <w:lang w:eastAsia="en-IN"/>
        </w:rPr>
        <w:t xml:space="preserve"> </w:t>
      </w:r>
      <w:r w:rsidR="00CB7F11" w:rsidRPr="003E72B6">
        <w:rPr>
          <w:rFonts w:ascii="Arial" w:hAnsi="Arial" w:cs="Arial"/>
          <w:bCs/>
          <w:sz w:val="20"/>
          <w:szCs w:val="20"/>
          <w:highlight w:val="yellow"/>
          <w:lang w:eastAsia="en-IN"/>
        </w:rPr>
        <w:t>(</w:t>
      </w:r>
      <w:proofErr w:type="spellStart"/>
      <w:r w:rsidR="00CB7F11" w:rsidRPr="003E72B6">
        <w:rPr>
          <w:rFonts w:ascii="Arial" w:hAnsi="Arial" w:cs="Arial"/>
          <w:bCs/>
          <w:sz w:val="20"/>
          <w:szCs w:val="20"/>
          <w:highlight w:val="yellow"/>
        </w:rPr>
        <w:t>Santoshet</w:t>
      </w:r>
      <w:proofErr w:type="spellEnd"/>
      <w:r w:rsidR="00CB7F11" w:rsidRPr="003E72B6">
        <w:rPr>
          <w:rFonts w:ascii="Arial" w:hAnsi="Arial" w:cs="Arial"/>
          <w:bCs/>
          <w:sz w:val="20"/>
          <w:szCs w:val="20"/>
          <w:highlight w:val="yellow"/>
        </w:rPr>
        <w:t xml:space="preserve"> a</w:t>
      </w:r>
      <w:r w:rsidR="003E72B6">
        <w:rPr>
          <w:rFonts w:ascii="Arial" w:hAnsi="Arial" w:cs="Arial"/>
          <w:bCs/>
          <w:sz w:val="20"/>
          <w:szCs w:val="20"/>
          <w:highlight w:val="yellow"/>
        </w:rPr>
        <w:t>l</w:t>
      </w:r>
      <w:r w:rsidR="00CB7F11" w:rsidRPr="003E72B6">
        <w:rPr>
          <w:rFonts w:ascii="Arial" w:hAnsi="Arial" w:cs="Arial"/>
          <w:bCs/>
          <w:sz w:val="20"/>
          <w:szCs w:val="20"/>
          <w:highlight w:val="yellow"/>
        </w:rPr>
        <w:t>., 2024)</w:t>
      </w:r>
      <w:r w:rsidRPr="003E72B6">
        <w:rPr>
          <w:rFonts w:ascii="Arial" w:hAnsi="Arial" w:cs="Arial"/>
          <w:sz w:val="20"/>
          <w:szCs w:val="20"/>
          <w:highlight w:val="yellow"/>
          <w:lang w:eastAsia="en-IN"/>
        </w:rPr>
        <w:t xml:space="preserve">. </w:t>
      </w:r>
      <w:r w:rsidRPr="003429C2">
        <w:rPr>
          <w:rFonts w:ascii="Arial" w:hAnsi="Arial" w:cs="Arial"/>
          <w:sz w:val="20"/>
          <w:szCs w:val="20"/>
          <w:lang w:eastAsia="en-IN"/>
        </w:rPr>
        <w:t>Meanwhile, in the livestock industry, both the grain and the vegetative parts are used as high-quality feed for cattle, poultry, and goats.</w:t>
      </w:r>
      <w:r w:rsidR="00647A63" w:rsidRPr="003429C2">
        <w:rPr>
          <w:rFonts w:ascii="Arial" w:hAnsi="Arial" w:cs="Arial"/>
          <w:sz w:val="20"/>
          <w:szCs w:val="20"/>
          <w:lang w:eastAsia="en-IN"/>
        </w:rPr>
        <w:t xml:space="preserve"> </w:t>
      </w:r>
      <w:r w:rsidRPr="003429C2">
        <w:rPr>
          <w:rFonts w:ascii="Arial" w:hAnsi="Arial" w:cs="Arial"/>
          <w:sz w:val="20"/>
          <w:szCs w:val="20"/>
          <w:lang w:eastAsia="en-IN"/>
        </w:rPr>
        <w:t xml:space="preserve">In recent </w:t>
      </w:r>
      <w:r w:rsidRPr="003429C2">
        <w:rPr>
          <w:rFonts w:ascii="Arial" w:hAnsi="Arial" w:cs="Arial"/>
          <w:sz w:val="20"/>
          <w:szCs w:val="20"/>
          <w:lang w:eastAsia="en-IN"/>
        </w:rPr>
        <w:lastRenderedPageBreak/>
        <w:t xml:space="preserve">years, the </w:t>
      </w:r>
      <w:r w:rsidRPr="003429C2">
        <w:rPr>
          <w:rFonts w:ascii="Arial" w:hAnsi="Arial" w:cs="Arial"/>
          <w:bCs/>
          <w:sz w:val="20"/>
          <w:szCs w:val="20"/>
          <w:lang w:eastAsia="en-IN"/>
        </w:rPr>
        <w:t>bioenergy potential</w:t>
      </w:r>
      <w:r w:rsidRPr="003429C2">
        <w:rPr>
          <w:rFonts w:ascii="Arial" w:hAnsi="Arial" w:cs="Arial"/>
          <w:sz w:val="20"/>
          <w:szCs w:val="20"/>
          <w:lang w:eastAsia="en-IN"/>
        </w:rPr>
        <w:t xml:space="preserve"> of sorghum has sparked considerable </w:t>
      </w:r>
      <w:r w:rsidRPr="003E72B6">
        <w:rPr>
          <w:rFonts w:ascii="Arial" w:hAnsi="Arial" w:cs="Arial"/>
          <w:sz w:val="20"/>
          <w:szCs w:val="20"/>
          <w:highlight w:val="yellow"/>
          <w:lang w:eastAsia="en-IN"/>
        </w:rPr>
        <w:t>interest</w:t>
      </w:r>
      <w:r w:rsidR="00CB7F11" w:rsidRPr="003E72B6">
        <w:rPr>
          <w:rFonts w:ascii="Arial" w:hAnsi="Arial" w:cs="Arial"/>
          <w:sz w:val="20"/>
          <w:szCs w:val="20"/>
          <w:highlight w:val="yellow"/>
          <w:lang w:eastAsia="en-IN"/>
        </w:rPr>
        <w:t xml:space="preserve"> </w:t>
      </w:r>
      <w:r w:rsidR="00CB7F11" w:rsidRPr="003E72B6">
        <w:rPr>
          <w:rFonts w:ascii="Arial" w:hAnsi="Arial" w:cs="Arial"/>
          <w:bCs/>
          <w:sz w:val="20"/>
          <w:szCs w:val="20"/>
          <w:highlight w:val="yellow"/>
          <w:lang w:eastAsia="en-IN"/>
        </w:rPr>
        <w:t>(</w:t>
      </w:r>
      <w:r w:rsidR="00CB7F11" w:rsidRPr="003E72B6">
        <w:rPr>
          <w:rFonts w:ascii="Arial" w:hAnsi="Arial" w:cs="Arial"/>
          <w:bCs/>
          <w:sz w:val="20"/>
          <w:szCs w:val="20"/>
          <w:highlight w:val="yellow"/>
        </w:rPr>
        <w:t>Ameen et al., 2024)</w:t>
      </w:r>
      <w:r w:rsidRPr="003E72B6">
        <w:rPr>
          <w:rFonts w:ascii="Arial" w:hAnsi="Arial" w:cs="Arial"/>
          <w:sz w:val="20"/>
          <w:szCs w:val="20"/>
          <w:highlight w:val="yellow"/>
          <w:lang w:eastAsia="en-IN"/>
        </w:rPr>
        <w:t>. Sweet sorghum, a distinct type of the crop, is cultivated primarily for its juicy stalks rich in</w:t>
      </w:r>
      <w:r w:rsidRPr="003429C2">
        <w:rPr>
          <w:rFonts w:ascii="Arial" w:hAnsi="Arial" w:cs="Arial"/>
          <w:sz w:val="20"/>
          <w:szCs w:val="20"/>
          <w:lang w:eastAsia="en-IN"/>
        </w:rPr>
        <w:t xml:space="preserve"> fermentable sugars</w:t>
      </w:r>
      <w:r w:rsidR="00946A8F" w:rsidRPr="003429C2">
        <w:rPr>
          <w:rFonts w:ascii="Arial" w:hAnsi="Arial" w:cs="Arial"/>
          <w:sz w:val="20"/>
          <w:szCs w:val="20"/>
          <w:lang w:eastAsia="en-IN"/>
        </w:rPr>
        <w:t xml:space="preserve"> </w:t>
      </w:r>
      <w:r w:rsidR="00946A8F" w:rsidRPr="003429C2">
        <w:rPr>
          <w:rFonts w:ascii="Arial" w:hAnsi="Arial" w:cs="Arial"/>
          <w:bCs/>
          <w:sz w:val="20"/>
          <w:szCs w:val="20"/>
          <w:lang w:eastAsia="en-IN"/>
        </w:rPr>
        <w:t>(</w:t>
      </w:r>
      <w:proofErr w:type="spellStart"/>
      <w:r w:rsidR="00946A8F" w:rsidRPr="003429C2">
        <w:rPr>
          <w:rFonts w:ascii="Arial" w:hAnsi="Arial" w:cs="Arial"/>
          <w:bCs/>
          <w:sz w:val="20"/>
          <w:szCs w:val="20"/>
        </w:rPr>
        <w:t>Zegada</w:t>
      </w:r>
      <w:proofErr w:type="spellEnd"/>
      <w:r w:rsidR="00946A8F" w:rsidRPr="003429C2">
        <w:rPr>
          <w:rFonts w:ascii="Arial" w:hAnsi="Arial" w:cs="Arial"/>
          <w:bCs/>
          <w:sz w:val="20"/>
          <w:szCs w:val="20"/>
        </w:rPr>
        <w:t>-Lizarazu et al., 2012)</w:t>
      </w:r>
      <w:r w:rsidRPr="003429C2">
        <w:rPr>
          <w:rFonts w:ascii="Arial" w:hAnsi="Arial" w:cs="Arial"/>
          <w:sz w:val="20"/>
          <w:szCs w:val="20"/>
          <w:lang w:eastAsia="en-IN"/>
        </w:rPr>
        <w:t>. These stalks are processed into bioethanol, an alternative to fossil fuels. Additionally, biomass sorghum varieties, characterized by their robust stalks and rapid growth rates, are used in producing lignocellulosic biofuels</w:t>
      </w:r>
      <w:r w:rsidR="00946A8F" w:rsidRPr="003429C2">
        <w:rPr>
          <w:rFonts w:ascii="Arial" w:hAnsi="Arial" w:cs="Arial"/>
          <w:bCs/>
          <w:sz w:val="20"/>
          <w:szCs w:val="20"/>
          <w:lang w:eastAsia="en-IN"/>
        </w:rPr>
        <w:t xml:space="preserve"> (</w:t>
      </w:r>
      <w:r w:rsidR="00946A8F" w:rsidRPr="003429C2">
        <w:rPr>
          <w:rFonts w:ascii="Arial" w:hAnsi="Arial" w:cs="Arial"/>
          <w:bCs/>
          <w:sz w:val="20"/>
          <w:szCs w:val="20"/>
        </w:rPr>
        <w:t>Mathur et al., 2017)</w:t>
      </w:r>
      <w:r w:rsidRPr="003429C2">
        <w:rPr>
          <w:rFonts w:ascii="Arial" w:hAnsi="Arial" w:cs="Arial"/>
          <w:sz w:val="20"/>
          <w:szCs w:val="20"/>
          <w:lang w:eastAsia="en-IN"/>
        </w:rPr>
        <w:t>. As the world continues to grapple with the challenges of climate change and fossil fuel dependency, sorghum's role as a renewable energy source becomes increasingly relevant</w:t>
      </w:r>
      <w:r w:rsidR="00946A8F" w:rsidRPr="003429C2">
        <w:rPr>
          <w:rFonts w:ascii="Arial" w:hAnsi="Arial" w:cs="Arial"/>
          <w:sz w:val="20"/>
          <w:szCs w:val="20"/>
          <w:lang w:eastAsia="en-IN"/>
        </w:rPr>
        <w:t xml:space="preserve"> </w:t>
      </w:r>
      <w:r w:rsidR="00946A8F" w:rsidRPr="003429C2">
        <w:rPr>
          <w:rFonts w:ascii="Arial" w:hAnsi="Arial" w:cs="Arial"/>
          <w:bCs/>
          <w:sz w:val="20"/>
          <w:szCs w:val="20"/>
          <w:lang w:eastAsia="en-IN"/>
        </w:rPr>
        <w:t>(</w:t>
      </w:r>
      <w:r w:rsidR="00946A8F" w:rsidRPr="003429C2">
        <w:rPr>
          <w:rFonts w:ascii="Arial" w:hAnsi="Arial" w:cs="Arial"/>
          <w:bCs/>
          <w:sz w:val="20"/>
          <w:szCs w:val="20"/>
        </w:rPr>
        <w:t>Liaqat et al., 2024)</w:t>
      </w:r>
      <w:r w:rsidRPr="003429C2">
        <w:rPr>
          <w:rFonts w:ascii="Arial" w:hAnsi="Arial" w:cs="Arial"/>
          <w:sz w:val="20"/>
          <w:szCs w:val="20"/>
          <w:lang w:eastAsia="en-IN"/>
        </w:rPr>
        <w:t>. It offers a sustainable alternative in tropical and subtropical regions where biofuel feedstocks must tolerate heat and water stress.</w:t>
      </w:r>
    </w:p>
    <w:p w14:paraId="426A87EA" w14:textId="5EDEF967" w:rsidR="00946A8F" w:rsidRPr="003429C2" w:rsidRDefault="00815B07" w:rsidP="002A7A4B">
      <w:pPr>
        <w:spacing w:line="240" w:lineRule="auto"/>
        <w:ind w:left="0" w:firstLine="720"/>
        <w:rPr>
          <w:rFonts w:ascii="Arial" w:hAnsi="Arial" w:cs="Arial"/>
          <w:sz w:val="20"/>
          <w:szCs w:val="20"/>
          <w:lang w:eastAsia="en-IN"/>
        </w:rPr>
      </w:pPr>
      <w:r w:rsidRPr="003429C2">
        <w:rPr>
          <w:rFonts w:ascii="Arial" w:hAnsi="Arial" w:cs="Arial"/>
          <w:sz w:val="20"/>
          <w:szCs w:val="20"/>
          <w:lang w:eastAsia="en-IN"/>
        </w:rPr>
        <w:t xml:space="preserve">Sorghum's </w:t>
      </w:r>
      <w:r w:rsidRPr="003429C2">
        <w:rPr>
          <w:rFonts w:ascii="Arial" w:hAnsi="Arial" w:cs="Arial"/>
          <w:bCs/>
          <w:sz w:val="20"/>
          <w:szCs w:val="20"/>
          <w:lang w:eastAsia="en-IN"/>
        </w:rPr>
        <w:t>natural tolerance to abiotic stresses</w:t>
      </w:r>
      <w:r w:rsidR="00647A63" w:rsidRPr="003429C2">
        <w:rPr>
          <w:rFonts w:ascii="Arial" w:hAnsi="Arial" w:cs="Arial"/>
          <w:sz w:val="20"/>
          <w:szCs w:val="20"/>
          <w:lang w:eastAsia="en-IN"/>
        </w:rPr>
        <w:t xml:space="preserve"> </w:t>
      </w:r>
      <w:r w:rsidRPr="003429C2">
        <w:rPr>
          <w:rFonts w:ascii="Arial" w:hAnsi="Arial" w:cs="Arial"/>
          <w:sz w:val="20"/>
          <w:szCs w:val="20"/>
          <w:lang w:eastAsia="en-IN"/>
        </w:rPr>
        <w:t>including drought, salinity, and heat</w:t>
      </w:r>
      <w:r w:rsidR="00647A63" w:rsidRPr="003429C2">
        <w:rPr>
          <w:rFonts w:ascii="Arial" w:hAnsi="Arial" w:cs="Arial"/>
          <w:sz w:val="20"/>
          <w:szCs w:val="20"/>
          <w:lang w:eastAsia="en-IN"/>
        </w:rPr>
        <w:t xml:space="preserve"> </w:t>
      </w:r>
      <w:r w:rsidRPr="003429C2">
        <w:rPr>
          <w:rFonts w:ascii="Arial" w:hAnsi="Arial" w:cs="Arial"/>
          <w:sz w:val="20"/>
          <w:szCs w:val="20"/>
          <w:lang w:eastAsia="en-IN"/>
        </w:rPr>
        <w:t xml:space="preserve">confers a strategic advantage in the face of climate </w:t>
      </w:r>
      <w:r w:rsidRPr="003E72B6">
        <w:rPr>
          <w:rFonts w:ascii="Arial" w:hAnsi="Arial" w:cs="Arial"/>
          <w:sz w:val="20"/>
          <w:szCs w:val="20"/>
          <w:highlight w:val="yellow"/>
          <w:lang w:eastAsia="en-IN"/>
        </w:rPr>
        <w:t>change</w:t>
      </w:r>
      <w:r w:rsidR="00946A8F" w:rsidRPr="003E72B6">
        <w:rPr>
          <w:rFonts w:ascii="Arial" w:hAnsi="Arial" w:cs="Arial"/>
          <w:sz w:val="20"/>
          <w:szCs w:val="20"/>
          <w:highlight w:val="yellow"/>
          <w:lang w:eastAsia="en-IN"/>
        </w:rPr>
        <w:t xml:space="preserve"> </w:t>
      </w:r>
      <w:r w:rsidR="00946A8F" w:rsidRPr="003E72B6">
        <w:rPr>
          <w:rFonts w:ascii="Arial" w:hAnsi="Arial" w:cs="Arial"/>
          <w:bCs/>
          <w:sz w:val="20"/>
          <w:szCs w:val="20"/>
          <w:highlight w:val="yellow"/>
          <w:lang w:eastAsia="en-IN"/>
        </w:rPr>
        <w:t>(</w:t>
      </w:r>
      <w:r w:rsidR="00946A8F" w:rsidRPr="003E72B6">
        <w:rPr>
          <w:rFonts w:ascii="Arial" w:hAnsi="Arial" w:cs="Arial"/>
          <w:bCs/>
          <w:sz w:val="20"/>
          <w:szCs w:val="20"/>
          <w:highlight w:val="yellow"/>
        </w:rPr>
        <w:t>Behera et al., 2022)</w:t>
      </w:r>
      <w:r w:rsidRPr="003E72B6">
        <w:rPr>
          <w:rFonts w:ascii="Arial" w:hAnsi="Arial" w:cs="Arial"/>
          <w:sz w:val="20"/>
          <w:szCs w:val="20"/>
          <w:highlight w:val="yellow"/>
          <w:lang w:eastAsia="en-IN"/>
        </w:rPr>
        <w:t xml:space="preserve">. </w:t>
      </w:r>
      <w:r w:rsidRPr="003429C2">
        <w:rPr>
          <w:rFonts w:ascii="Arial" w:hAnsi="Arial" w:cs="Arial"/>
          <w:sz w:val="20"/>
          <w:szCs w:val="20"/>
          <w:lang w:eastAsia="en-IN"/>
        </w:rPr>
        <w:t>Unlike water-intensive crops such as rice and sugarcane, sorghum requires significantly less water to reach maturity</w:t>
      </w:r>
      <w:r w:rsidR="00946A8F" w:rsidRPr="003429C2">
        <w:rPr>
          <w:rFonts w:ascii="Arial" w:hAnsi="Arial" w:cs="Arial"/>
          <w:bCs/>
          <w:sz w:val="20"/>
          <w:szCs w:val="20"/>
          <w:lang w:eastAsia="en-IN"/>
        </w:rPr>
        <w:t xml:space="preserve"> (</w:t>
      </w:r>
      <w:r w:rsidR="00946A8F" w:rsidRPr="003429C2">
        <w:rPr>
          <w:rFonts w:ascii="Arial" w:hAnsi="Arial" w:cs="Arial"/>
          <w:bCs/>
          <w:sz w:val="20"/>
          <w:szCs w:val="20"/>
        </w:rPr>
        <w:t>Hoekstra et al., 2005)</w:t>
      </w:r>
      <w:r w:rsidRPr="003429C2">
        <w:rPr>
          <w:rFonts w:ascii="Arial" w:hAnsi="Arial" w:cs="Arial"/>
          <w:sz w:val="20"/>
          <w:szCs w:val="20"/>
          <w:lang w:eastAsia="en-IN"/>
        </w:rPr>
        <w:t xml:space="preserve">. It can complete its life cycle with as little as 350–400 mm of annual rainfall and continues to yield under erratic monsoon </w:t>
      </w:r>
      <w:r w:rsidRPr="003E72B6">
        <w:rPr>
          <w:rFonts w:ascii="Arial" w:hAnsi="Arial" w:cs="Arial"/>
          <w:sz w:val="20"/>
          <w:szCs w:val="20"/>
          <w:highlight w:val="yellow"/>
          <w:lang w:eastAsia="en-IN"/>
        </w:rPr>
        <w:t>conditions</w:t>
      </w:r>
      <w:r w:rsidR="00946A8F" w:rsidRPr="003E72B6">
        <w:rPr>
          <w:rFonts w:ascii="Arial" w:hAnsi="Arial" w:cs="Arial"/>
          <w:sz w:val="20"/>
          <w:szCs w:val="20"/>
          <w:highlight w:val="yellow"/>
          <w:lang w:eastAsia="en-IN"/>
        </w:rPr>
        <w:t xml:space="preserve"> </w:t>
      </w:r>
      <w:r w:rsidR="00946A8F" w:rsidRPr="003E72B6">
        <w:rPr>
          <w:rFonts w:ascii="Arial" w:hAnsi="Arial" w:cs="Arial"/>
          <w:bCs/>
          <w:sz w:val="20"/>
          <w:szCs w:val="20"/>
          <w:highlight w:val="yellow"/>
          <w:lang w:eastAsia="en-IN"/>
        </w:rPr>
        <w:t>(</w:t>
      </w:r>
      <w:r w:rsidR="00946A8F" w:rsidRPr="003E72B6">
        <w:rPr>
          <w:rFonts w:ascii="Arial" w:hAnsi="Arial" w:cs="Arial"/>
          <w:bCs/>
          <w:sz w:val="20"/>
          <w:szCs w:val="20"/>
          <w:highlight w:val="yellow"/>
        </w:rPr>
        <w:t>Prasad et al., 2020)</w:t>
      </w:r>
      <w:r w:rsidRPr="003E72B6">
        <w:rPr>
          <w:rFonts w:ascii="Arial" w:hAnsi="Arial" w:cs="Arial"/>
          <w:sz w:val="20"/>
          <w:szCs w:val="20"/>
          <w:highlight w:val="yellow"/>
          <w:lang w:eastAsia="en-IN"/>
        </w:rPr>
        <w:t xml:space="preserve">. </w:t>
      </w:r>
      <w:r w:rsidRPr="003429C2">
        <w:rPr>
          <w:rFonts w:ascii="Arial" w:hAnsi="Arial" w:cs="Arial"/>
          <w:sz w:val="20"/>
          <w:szCs w:val="20"/>
          <w:lang w:eastAsia="en-IN"/>
        </w:rPr>
        <w:t xml:space="preserve">Furthermore, its deep rooting system and ability to enter dormancy during prolonged dry periods allow the plant to survive and resume growth when moisture becomes </w:t>
      </w:r>
      <w:r w:rsidRPr="003E72B6">
        <w:rPr>
          <w:rFonts w:ascii="Arial" w:hAnsi="Arial" w:cs="Arial"/>
          <w:sz w:val="20"/>
          <w:szCs w:val="20"/>
          <w:highlight w:val="yellow"/>
          <w:lang w:eastAsia="en-IN"/>
        </w:rPr>
        <w:t>available</w:t>
      </w:r>
      <w:r w:rsidR="00946A8F" w:rsidRPr="003E72B6">
        <w:rPr>
          <w:rFonts w:ascii="Arial" w:hAnsi="Arial" w:cs="Arial"/>
          <w:sz w:val="20"/>
          <w:szCs w:val="20"/>
          <w:highlight w:val="yellow"/>
          <w:lang w:eastAsia="en-IN"/>
        </w:rPr>
        <w:t xml:space="preserve"> </w:t>
      </w:r>
      <w:r w:rsidR="00946A8F" w:rsidRPr="003E72B6">
        <w:rPr>
          <w:rFonts w:ascii="Arial" w:hAnsi="Arial" w:cs="Arial"/>
          <w:bCs/>
          <w:sz w:val="20"/>
          <w:szCs w:val="20"/>
          <w:highlight w:val="yellow"/>
          <w:lang w:eastAsia="en-IN"/>
        </w:rPr>
        <w:t>(</w:t>
      </w:r>
      <w:r w:rsidR="00946A8F" w:rsidRPr="003E72B6">
        <w:rPr>
          <w:rFonts w:ascii="Arial" w:hAnsi="Arial" w:cs="Arial"/>
          <w:bCs/>
          <w:sz w:val="20"/>
          <w:szCs w:val="20"/>
          <w:highlight w:val="yellow"/>
        </w:rPr>
        <w:t>Amelework et al., 2015)</w:t>
      </w:r>
      <w:r w:rsidRPr="003E72B6">
        <w:rPr>
          <w:rFonts w:ascii="Arial" w:hAnsi="Arial" w:cs="Arial"/>
          <w:sz w:val="20"/>
          <w:szCs w:val="20"/>
          <w:highlight w:val="yellow"/>
          <w:lang w:eastAsia="en-IN"/>
        </w:rPr>
        <w:t xml:space="preserve">. </w:t>
      </w:r>
      <w:r w:rsidRPr="003429C2">
        <w:rPr>
          <w:rFonts w:ascii="Arial" w:hAnsi="Arial" w:cs="Arial"/>
          <w:sz w:val="20"/>
          <w:szCs w:val="20"/>
          <w:lang w:eastAsia="en-IN"/>
        </w:rPr>
        <w:t>This drought-resilience trait makes sorghum a vital crop in dryland agriculture systems and an insurance crop during rainfall-deficient years.</w:t>
      </w:r>
      <w:r w:rsidR="00647A63" w:rsidRPr="003429C2">
        <w:rPr>
          <w:rFonts w:ascii="Arial" w:hAnsi="Arial" w:cs="Arial"/>
          <w:sz w:val="20"/>
          <w:szCs w:val="20"/>
          <w:lang w:eastAsia="en-IN"/>
        </w:rPr>
        <w:t xml:space="preserve"> </w:t>
      </w:r>
      <w:r w:rsidRPr="003429C2">
        <w:rPr>
          <w:rFonts w:ascii="Arial" w:hAnsi="Arial" w:cs="Arial"/>
          <w:sz w:val="20"/>
          <w:szCs w:val="20"/>
          <w:lang w:eastAsia="en-IN"/>
        </w:rPr>
        <w:t xml:space="preserve">The </w:t>
      </w:r>
      <w:r w:rsidRPr="003429C2">
        <w:rPr>
          <w:rFonts w:ascii="Arial" w:hAnsi="Arial" w:cs="Arial"/>
          <w:bCs/>
          <w:sz w:val="20"/>
          <w:szCs w:val="20"/>
          <w:lang w:eastAsia="en-IN"/>
        </w:rPr>
        <w:t>genetic diversity</w:t>
      </w:r>
      <w:r w:rsidRPr="003429C2">
        <w:rPr>
          <w:rFonts w:ascii="Arial" w:hAnsi="Arial" w:cs="Arial"/>
          <w:sz w:val="20"/>
          <w:szCs w:val="20"/>
          <w:lang w:eastAsia="en-IN"/>
        </w:rPr>
        <w:t xml:space="preserve"> found within sorghum germplasm collections worldwide provides a rich resource base for breeding programs aimed at improving yield potential and climate </w:t>
      </w:r>
      <w:r w:rsidRPr="003E72B6">
        <w:rPr>
          <w:rFonts w:ascii="Arial" w:hAnsi="Arial" w:cs="Arial"/>
          <w:sz w:val="20"/>
          <w:szCs w:val="20"/>
          <w:highlight w:val="yellow"/>
          <w:lang w:eastAsia="en-IN"/>
        </w:rPr>
        <w:t>resilience</w:t>
      </w:r>
      <w:r w:rsidR="00946A8F" w:rsidRPr="003E72B6">
        <w:rPr>
          <w:rFonts w:ascii="Arial" w:hAnsi="Arial" w:cs="Arial"/>
          <w:sz w:val="20"/>
          <w:szCs w:val="20"/>
          <w:highlight w:val="yellow"/>
          <w:lang w:eastAsia="en-IN"/>
        </w:rPr>
        <w:t xml:space="preserve"> </w:t>
      </w:r>
      <w:r w:rsidR="00946A8F" w:rsidRPr="003E72B6">
        <w:rPr>
          <w:rFonts w:ascii="Arial" w:hAnsi="Arial" w:cs="Arial"/>
          <w:bCs/>
          <w:sz w:val="20"/>
          <w:szCs w:val="20"/>
          <w:highlight w:val="yellow"/>
          <w:lang w:eastAsia="en-IN"/>
        </w:rPr>
        <w:t>(</w:t>
      </w:r>
      <w:r w:rsidR="00946A8F" w:rsidRPr="003E72B6">
        <w:rPr>
          <w:rFonts w:ascii="Arial" w:hAnsi="Arial" w:cs="Arial"/>
          <w:bCs/>
          <w:sz w:val="20"/>
          <w:szCs w:val="20"/>
          <w:highlight w:val="yellow"/>
        </w:rPr>
        <w:t>Upadhyaya et al., 2014)</w:t>
      </w:r>
      <w:r w:rsidRPr="003E72B6">
        <w:rPr>
          <w:rFonts w:ascii="Arial" w:hAnsi="Arial" w:cs="Arial"/>
          <w:sz w:val="20"/>
          <w:szCs w:val="20"/>
          <w:highlight w:val="yellow"/>
          <w:lang w:eastAsia="en-IN"/>
        </w:rPr>
        <w:t>. Sorghum’s cytoplasmic-nuclear male sterility (CMS) system has enabled the successful development of high-yielding hybrids, especially in India and the United States</w:t>
      </w:r>
      <w:r w:rsidR="00946A8F" w:rsidRPr="003E72B6">
        <w:rPr>
          <w:rFonts w:ascii="Arial" w:hAnsi="Arial" w:cs="Arial"/>
          <w:sz w:val="20"/>
          <w:szCs w:val="20"/>
          <w:highlight w:val="yellow"/>
          <w:lang w:eastAsia="en-IN"/>
        </w:rPr>
        <w:t xml:space="preserve"> </w:t>
      </w:r>
      <w:r w:rsidR="00946A8F" w:rsidRPr="003E72B6">
        <w:rPr>
          <w:rFonts w:ascii="Arial" w:hAnsi="Arial" w:cs="Arial"/>
          <w:bCs/>
          <w:sz w:val="20"/>
          <w:szCs w:val="20"/>
          <w:highlight w:val="yellow"/>
          <w:lang w:eastAsia="en-IN"/>
        </w:rPr>
        <w:t>(</w:t>
      </w:r>
      <w:r w:rsidR="00946A8F" w:rsidRPr="003E72B6">
        <w:rPr>
          <w:rFonts w:ascii="Arial" w:hAnsi="Arial" w:cs="Arial"/>
          <w:bCs/>
          <w:sz w:val="20"/>
          <w:szCs w:val="20"/>
          <w:highlight w:val="yellow"/>
        </w:rPr>
        <w:t>Begna et al., 2022)</w:t>
      </w:r>
      <w:r w:rsidRPr="003E72B6">
        <w:rPr>
          <w:rFonts w:ascii="Arial" w:hAnsi="Arial" w:cs="Arial"/>
          <w:sz w:val="20"/>
          <w:szCs w:val="20"/>
          <w:highlight w:val="yellow"/>
          <w:lang w:eastAsia="en-IN"/>
        </w:rPr>
        <w:t>.</w:t>
      </w:r>
    </w:p>
    <w:p w14:paraId="53193532" w14:textId="0C6F3987" w:rsidR="00815B07" w:rsidRPr="003429C2" w:rsidRDefault="00815B07" w:rsidP="002A7A4B">
      <w:pPr>
        <w:spacing w:line="240" w:lineRule="auto"/>
        <w:ind w:left="0" w:firstLine="720"/>
        <w:rPr>
          <w:rFonts w:ascii="Arial" w:hAnsi="Arial" w:cs="Arial"/>
          <w:sz w:val="20"/>
          <w:szCs w:val="20"/>
          <w:lang w:eastAsia="en-IN"/>
        </w:rPr>
      </w:pPr>
      <w:r w:rsidRPr="002A7A4B">
        <w:rPr>
          <w:rFonts w:ascii="Arial" w:hAnsi="Arial" w:cs="Arial"/>
          <w:sz w:val="20"/>
          <w:szCs w:val="20"/>
          <w:lang w:eastAsia="en-IN"/>
        </w:rPr>
        <w:t xml:space="preserve"> </w:t>
      </w:r>
      <w:r w:rsidRPr="003429C2">
        <w:rPr>
          <w:rFonts w:ascii="Arial" w:hAnsi="Arial" w:cs="Arial"/>
          <w:sz w:val="20"/>
          <w:szCs w:val="20"/>
          <w:lang w:eastAsia="en-IN"/>
        </w:rPr>
        <w:t xml:space="preserve">These hybrids have led to significant productivity gains, especially under </w:t>
      </w:r>
      <w:proofErr w:type="spellStart"/>
      <w:r w:rsidRPr="003429C2">
        <w:rPr>
          <w:rFonts w:ascii="Arial" w:hAnsi="Arial" w:cs="Arial"/>
          <w:sz w:val="20"/>
          <w:szCs w:val="20"/>
          <w:lang w:eastAsia="en-IN"/>
        </w:rPr>
        <w:t>favorable</w:t>
      </w:r>
      <w:proofErr w:type="spellEnd"/>
      <w:r w:rsidRPr="003429C2">
        <w:rPr>
          <w:rFonts w:ascii="Arial" w:hAnsi="Arial" w:cs="Arial"/>
          <w:sz w:val="20"/>
          <w:szCs w:val="20"/>
          <w:lang w:eastAsia="en-IN"/>
        </w:rPr>
        <w:t xml:space="preserve"> conditions. However, their expansion into drought-prone areas remains constrained by genotype × environment interactions, highlighting the need for continued breeding of region-specific cultivars</w:t>
      </w:r>
      <w:r w:rsidR="00C9442E" w:rsidRPr="003429C2">
        <w:rPr>
          <w:rFonts w:ascii="Arial" w:hAnsi="Arial" w:cs="Arial"/>
          <w:sz w:val="20"/>
          <w:szCs w:val="20"/>
          <w:lang w:eastAsia="en-IN"/>
        </w:rPr>
        <w:t xml:space="preserve"> </w:t>
      </w:r>
      <w:proofErr w:type="gramStart"/>
      <w:r w:rsidR="00C9442E" w:rsidRPr="003429C2">
        <w:rPr>
          <w:rFonts w:ascii="Arial" w:hAnsi="Arial" w:cs="Arial"/>
          <w:sz w:val="20"/>
          <w:szCs w:val="20"/>
          <w:lang w:eastAsia="en-IN"/>
        </w:rPr>
        <w:t>( et</w:t>
      </w:r>
      <w:proofErr w:type="gramEnd"/>
      <w:r w:rsidR="00C9442E" w:rsidRPr="003429C2">
        <w:rPr>
          <w:rFonts w:ascii="Arial" w:hAnsi="Arial" w:cs="Arial"/>
          <w:sz w:val="20"/>
          <w:szCs w:val="20"/>
          <w:lang w:eastAsia="en-IN"/>
        </w:rPr>
        <w:t xml:space="preserve"> </w:t>
      </w:r>
      <w:proofErr w:type="gramStart"/>
      <w:r w:rsidR="00C9442E" w:rsidRPr="003429C2">
        <w:rPr>
          <w:rFonts w:ascii="Arial" w:hAnsi="Arial" w:cs="Arial"/>
          <w:sz w:val="20"/>
          <w:szCs w:val="20"/>
          <w:lang w:eastAsia="en-IN"/>
        </w:rPr>
        <w:t>a;.,</w:t>
      </w:r>
      <w:proofErr w:type="gramEnd"/>
      <w:r w:rsidR="00C9442E" w:rsidRPr="003429C2">
        <w:rPr>
          <w:rFonts w:ascii="Arial" w:hAnsi="Arial" w:cs="Arial"/>
          <w:sz w:val="20"/>
          <w:szCs w:val="20"/>
          <w:lang w:eastAsia="en-IN"/>
        </w:rPr>
        <w:t xml:space="preserve"> 2006)</w:t>
      </w:r>
      <w:r w:rsidRPr="003429C2">
        <w:rPr>
          <w:rFonts w:ascii="Arial" w:hAnsi="Arial" w:cs="Arial"/>
          <w:sz w:val="20"/>
          <w:szCs w:val="20"/>
          <w:lang w:eastAsia="en-IN"/>
        </w:rPr>
        <w:t>.</w:t>
      </w:r>
      <w:r w:rsidR="00C9442E" w:rsidRPr="003429C2">
        <w:rPr>
          <w:rFonts w:ascii="Arial" w:hAnsi="Arial" w:cs="Arial"/>
          <w:sz w:val="20"/>
          <w:szCs w:val="20"/>
          <w:lang w:eastAsia="en-IN"/>
        </w:rPr>
        <w:t xml:space="preserve"> </w:t>
      </w:r>
      <w:r w:rsidRPr="003429C2">
        <w:rPr>
          <w:rFonts w:ascii="Arial" w:hAnsi="Arial" w:cs="Arial"/>
          <w:sz w:val="20"/>
          <w:szCs w:val="20"/>
          <w:lang w:eastAsia="en-IN"/>
        </w:rPr>
        <w:t xml:space="preserve">In addition to its agronomic advantages, sorghum is increasingly being recognized as a </w:t>
      </w:r>
      <w:r w:rsidRPr="003429C2">
        <w:rPr>
          <w:rFonts w:ascii="Arial" w:hAnsi="Arial" w:cs="Arial"/>
          <w:bCs/>
          <w:sz w:val="20"/>
          <w:szCs w:val="20"/>
          <w:lang w:eastAsia="en-IN"/>
        </w:rPr>
        <w:t>model crop for functional genomics and molecular breeding</w:t>
      </w:r>
      <w:r w:rsidRPr="003429C2">
        <w:rPr>
          <w:rFonts w:ascii="Arial" w:hAnsi="Arial" w:cs="Arial"/>
          <w:sz w:val="20"/>
          <w:szCs w:val="20"/>
          <w:lang w:eastAsia="en-IN"/>
        </w:rPr>
        <w:t xml:space="preserve"> among tropical grasses</w:t>
      </w:r>
      <w:r w:rsidR="00C9442E" w:rsidRPr="003429C2">
        <w:rPr>
          <w:rFonts w:ascii="Arial" w:hAnsi="Arial" w:cs="Arial"/>
          <w:sz w:val="20"/>
          <w:szCs w:val="20"/>
          <w:lang w:eastAsia="en-IN"/>
        </w:rPr>
        <w:t xml:space="preserve"> </w:t>
      </w:r>
      <w:r w:rsidR="00C9442E" w:rsidRPr="003429C2">
        <w:rPr>
          <w:rFonts w:ascii="Arial" w:hAnsi="Arial" w:cs="Arial"/>
          <w:bCs/>
          <w:sz w:val="20"/>
          <w:szCs w:val="20"/>
          <w:lang w:eastAsia="en-IN"/>
        </w:rPr>
        <w:t>(</w:t>
      </w:r>
      <w:r w:rsidR="00C9442E" w:rsidRPr="003429C2">
        <w:rPr>
          <w:rFonts w:ascii="Arial" w:hAnsi="Arial" w:cs="Arial"/>
          <w:bCs/>
          <w:sz w:val="20"/>
          <w:szCs w:val="20"/>
        </w:rPr>
        <w:t>Asfaw et al., 2025)</w:t>
      </w:r>
      <w:r w:rsidRPr="003429C2">
        <w:rPr>
          <w:rFonts w:ascii="Arial" w:hAnsi="Arial" w:cs="Arial"/>
          <w:sz w:val="20"/>
          <w:szCs w:val="20"/>
          <w:lang w:eastAsia="en-IN"/>
        </w:rPr>
        <w:t>. Its relatively small genome size, high level of genetic variation, and ease of transformation make it a valuable species for studying complex traits such as stress tolerance, grain quality, and nutrient use efficiency</w:t>
      </w:r>
      <w:r w:rsidR="00C9442E" w:rsidRPr="003429C2">
        <w:rPr>
          <w:rFonts w:ascii="Arial" w:hAnsi="Arial" w:cs="Arial"/>
          <w:sz w:val="20"/>
          <w:szCs w:val="20"/>
          <w:lang w:eastAsia="en-IN"/>
        </w:rPr>
        <w:t xml:space="preserve"> </w:t>
      </w:r>
      <w:r w:rsidR="00C9442E" w:rsidRPr="003429C2">
        <w:rPr>
          <w:rFonts w:ascii="Arial" w:hAnsi="Arial" w:cs="Arial"/>
          <w:bCs/>
          <w:sz w:val="20"/>
          <w:szCs w:val="20"/>
          <w:lang w:eastAsia="en-IN"/>
        </w:rPr>
        <w:t>(</w:t>
      </w:r>
      <w:r w:rsidR="00C9442E" w:rsidRPr="003429C2">
        <w:rPr>
          <w:rFonts w:ascii="Arial" w:hAnsi="Arial" w:cs="Arial"/>
          <w:bCs/>
          <w:sz w:val="20"/>
          <w:szCs w:val="20"/>
        </w:rPr>
        <w:t>Altaf et al., 2024)</w:t>
      </w:r>
      <w:r w:rsidRPr="003429C2">
        <w:rPr>
          <w:rFonts w:ascii="Arial" w:hAnsi="Arial" w:cs="Arial"/>
          <w:sz w:val="20"/>
          <w:szCs w:val="20"/>
          <w:lang w:eastAsia="en-IN"/>
        </w:rPr>
        <w:t>. Advances in molecular biology, including genome-wide association studies (GWAS), marker-assisted selection (MAS), and genomic selection (GS), have enabled researchers to dissect the genetic basis of key traits and accelerate breeding cycles</w:t>
      </w:r>
      <w:r w:rsidR="00C9442E" w:rsidRPr="003429C2">
        <w:rPr>
          <w:rFonts w:ascii="Arial" w:hAnsi="Arial" w:cs="Arial"/>
          <w:sz w:val="20"/>
          <w:szCs w:val="20"/>
          <w:lang w:eastAsia="en-IN"/>
        </w:rPr>
        <w:t xml:space="preserve"> </w:t>
      </w:r>
      <w:r w:rsidR="00C9442E" w:rsidRPr="003429C2">
        <w:rPr>
          <w:rFonts w:ascii="Arial" w:hAnsi="Arial" w:cs="Arial"/>
          <w:bCs/>
          <w:sz w:val="20"/>
          <w:szCs w:val="20"/>
          <w:lang w:eastAsia="en-IN"/>
        </w:rPr>
        <w:t>(</w:t>
      </w:r>
      <w:proofErr w:type="spellStart"/>
      <w:r w:rsidR="00C9442E" w:rsidRPr="003429C2">
        <w:rPr>
          <w:rFonts w:ascii="Arial" w:hAnsi="Arial" w:cs="Arial"/>
          <w:bCs/>
          <w:sz w:val="20"/>
          <w:szCs w:val="20"/>
        </w:rPr>
        <w:t>Mwamahonje</w:t>
      </w:r>
      <w:proofErr w:type="spellEnd"/>
      <w:r w:rsidR="00C9442E" w:rsidRPr="003429C2">
        <w:rPr>
          <w:rFonts w:ascii="Arial" w:hAnsi="Arial" w:cs="Arial"/>
          <w:bCs/>
          <w:sz w:val="20"/>
          <w:szCs w:val="20"/>
        </w:rPr>
        <w:t xml:space="preserve"> et al., 2024)</w:t>
      </w:r>
      <w:r w:rsidRPr="003429C2">
        <w:rPr>
          <w:rFonts w:ascii="Arial" w:hAnsi="Arial" w:cs="Arial"/>
          <w:sz w:val="20"/>
          <w:szCs w:val="20"/>
          <w:lang w:eastAsia="en-IN"/>
        </w:rPr>
        <w:t>. Sorghum was also among the first C4 grasses to have its genome fully sequenced, which has provided insights into the physiological mechanisms that confer its resilience under adverse environmental conditions</w:t>
      </w:r>
      <w:r w:rsidR="00C9442E" w:rsidRPr="003429C2">
        <w:rPr>
          <w:rFonts w:ascii="Arial" w:hAnsi="Arial" w:cs="Arial"/>
          <w:sz w:val="20"/>
          <w:szCs w:val="20"/>
          <w:lang w:eastAsia="en-IN"/>
        </w:rPr>
        <w:t xml:space="preserve"> </w:t>
      </w:r>
      <w:r w:rsidR="00C9442E" w:rsidRPr="003429C2">
        <w:rPr>
          <w:rFonts w:ascii="Arial" w:hAnsi="Arial" w:cs="Arial"/>
          <w:bCs/>
          <w:sz w:val="20"/>
          <w:szCs w:val="20"/>
          <w:lang w:eastAsia="en-IN"/>
        </w:rPr>
        <w:t>(</w:t>
      </w:r>
      <w:proofErr w:type="spellStart"/>
      <w:r w:rsidR="00C9442E" w:rsidRPr="003429C2">
        <w:rPr>
          <w:rFonts w:ascii="Arial" w:hAnsi="Arial" w:cs="Arial"/>
          <w:bCs/>
          <w:sz w:val="20"/>
          <w:szCs w:val="20"/>
        </w:rPr>
        <w:t>Kuyyamudi</w:t>
      </w:r>
      <w:proofErr w:type="spellEnd"/>
      <w:r w:rsidR="00C9442E" w:rsidRPr="003429C2">
        <w:rPr>
          <w:rFonts w:ascii="Arial" w:hAnsi="Arial" w:cs="Arial"/>
          <w:bCs/>
          <w:sz w:val="20"/>
          <w:szCs w:val="20"/>
        </w:rPr>
        <w:t xml:space="preserve"> et al., 2020)</w:t>
      </w:r>
      <w:r w:rsidRPr="003429C2">
        <w:rPr>
          <w:rFonts w:ascii="Arial" w:hAnsi="Arial" w:cs="Arial"/>
          <w:sz w:val="20"/>
          <w:szCs w:val="20"/>
          <w:lang w:eastAsia="en-IN"/>
        </w:rPr>
        <w:t>.</w:t>
      </w:r>
      <w:r w:rsidR="00647A63" w:rsidRPr="003429C2">
        <w:rPr>
          <w:rFonts w:ascii="Arial" w:hAnsi="Arial" w:cs="Arial"/>
          <w:sz w:val="20"/>
          <w:szCs w:val="20"/>
          <w:lang w:eastAsia="en-IN"/>
        </w:rPr>
        <w:t xml:space="preserve"> </w:t>
      </w:r>
      <w:r w:rsidRPr="003429C2">
        <w:rPr>
          <w:rFonts w:ascii="Arial" w:hAnsi="Arial" w:cs="Arial"/>
          <w:sz w:val="20"/>
          <w:szCs w:val="20"/>
          <w:lang w:eastAsia="en-IN"/>
        </w:rPr>
        <w:t>In recent years, biotechnological approaches such as gene editing using CRISPR/Cas9 have further expanded the possibilities of trait-specific improvements in sorghum</w:t>
      </w:r>
      <w:r w:rsidR="00C9442E" w:rsidRPr="003429C2">
        <w:rPr>
          <w:rFonts w:ascii="Arial" w:hAnsi="Arial" w:cs="Arial"/>
          <w:sz w:val="20"/>
          <w:szCs w:val="20"/>
          <w:lang w:eastAsia="en-IN"/>
        </w:rPr>
        <w:t xml:space="preserve"> </w:t>
      </w:r>
      <w:r w:rsidR="00C9442E" w:rsidRPr="003429C2">
        <w:rPr>
          <w:rFonts w:ascii="Arial" w:hAnsi="Arial" w:cs="Arial"/>
          <w:bCs/>
          <w:sz w:val="20"/>
          <w:szCs w:val="20"/>
          <w:lang w:eastAsia="en-IN"/>
        </w:rPr>
        <w:t>(</w:t>
      </w:r>
      <w:proofErr w:type="spellStart"/>
      <w:r w:rsidR="00C9442E" w:rsidRPr="003429C2">
        <w:rPr>
          <w:rFonts w:ascii="Arial" w:hAnsi="Arial" w:cs="Arial"/>
          <w:bCs/>
          <w:sz w:val="20"/>
          <w:szCs w:val="20"/>
        </w:rPr>
        <w:t>Mwamahonje</w:t>
      </w:r>
      <w:proofErr w:type="spellEnd"/>
      <w:r w:rsidR="00C9442E" w:rsidRPr="003429C2">
        <w:rPr>
          <w:rFonts w:ascii="Arial" w:hAnsi="Arial" w:cs="Arial"/>
          <w:bCs/>
          <w:sz w:val="20"/>
          <w:szCs w:val="20"/>
        </w:rPr>
        <w:t xml:space="preserve"> et al. 2024)</w:t>
      </w:r>
      <w:r w:rsidRPr="003429C2">
        <w:rPr>
          <w:rFonts w:ascii="Arial" w:hAnsi="Arial" w:cs="Arial"/>
          <w:sz w:val="20"/>
          <w:szCs w:val="20"/>
          <w:lang w:eastAsia="en-IN"/>
        </w:rPr>
        <w:t>. These tools have allowed researchers to target genes responsible for drought tolerance, disease resistance, and improved nutritional profiles. Moreover, transcriptomic and proteomic studies are shedding light on gene expression patterns and metabolic responses under stress, offering new pathways for designing climate-resilient cultivars</w:t>
      </w:r>
      <w:r w:rsidR="00C9442E" w:rsidRPr="003429C2">
        <w:rPr>
          <w:rFonts w:ascii="Arial" w:hAnsi="Arial" w:cs="Arial"/>
          <w:sz w:val="20"/>
          <w:szCs w:val="20"/>
          <w:lang w:eastAsia="en-IN"/>
        </w:rPr>
        <w:t xml:space="preserve"> </w:t>
      </w:r>
      <w:r w:rsidR="00C9442E" w:rsidRPr="003429C2">
        <w:rPr>
          <w:rFonts w:ascii="Arial" w:hAnsi="Arial" w:cs="Arial"/>
          <w:bCs/>
          <w:sz w:val="20"/>
          <w:szCs w:val="20"/>
          <w:lang w:eastAsia="en-IN"/>
        </w:rPr>
        <w:t>(</w:t>
      </w:r>
      <w:r w:rsidR="00C9442E" w:rsidRPr="003429C2">
        <w:rPr>
          <w:rFonts w:ascii="Arial" w:hAnsi="Arial" w:cs="Arial"/>
          <w:bCs/>
          <w:sz w:val="20"/>
          <w:szCs w:val="20"/>
        </w:rPr>
        <w:t>Mukherjee et al., 2024)</w:t>
      </w:r>
      <w:r w:rsidRPr="003429C2">
        <w:rPr>
          <w:rFonts w:ascii="Arial" w:hAnsi="Arial" w:cs="Arial"/>
          <w:sz w:val="20"/>
          <w:szCs w:val="20"/>
          <w:lang w:eastAsia="en-IN"/>
        </w:rPr>
        <w:t xml:space="preserve">. The integration of high-throughput phenotyping platforms and machine learning algorithms into sorghum research is also paving the way for data-driven </w:t>
      </w:r>
      <w:r w:rsidRPr="003E72B6">
        <w:rPr>
          <w:rFonts w:ascii="Arial" w:hAnsi="Arial" w:cs="Arial"/>
          <w:sz w:val="20"/>
          <w:szCs w:val="20"/>
          <w:highlight w:val="yellow"/>
          <w:lang w:eastAsia="en-IN"/>
        </w:rPr>
        <w:t>breeding decisions.</w:t>
      </w:r>
      <w:r w:rsidR="00C9442E" w:rsidRPr="003E72B6">
        <w:rPr>
          <w:rFonts w:ascii="Arial" w:hAnsi="Arial" w:cs="Arial"/>
          <w:sz w:val="20"/>
          <w:szCs w:val="20"/>
          <w:highlight w:val="yellow"/>
          <w:lang w:eastAsia="en-IN"/>
        </w:rPr>
        <w:t xml:space="preserve"> </w:t>
      </w:r>
      <w:r w:rsidR="00C9442E" w:rsidRPr="003E72B6">
        <w:rPr>
          <w:rFonts w:ascii="Arial" w:hAnsi="Arial" w:cs="Arial"/>
          <w:bCs/>
          <w:sz w:val="20"/>
          <w:szCs w:val="20"/>
          <w:highlight w:val="yellow"/>
          <w:lang w:eastAsia="en-IN"/>
        </w:rPr>
        <w:t>(</w:t>
      </w:r>
      <w:proofErr w:type="spellStart"/>
      <w:r w:rsidR="00C9442E" w:rsidRPr="003E72B6">
        <w:rPr>
          <w:rFonts w:ascii="Arial" w:hAnsi="Arial" w:cs="Arial"/>
          <w:bCs/>
          <w:sz w:val="20"/>
          <w:szCs w:val="20"/>
          <w:highlight w:val="yellow"/>
        </w:rPr>
        <w:t>Hivare</w:t>
      </w:r>
      <w:proofErr w:type="spellEnd"/>
      <w:r w:rsidR="00C9442E" w:rsidRPr="003E72B6">
        <w:rPr>
          <w:rFonts w:ascii="Arial" w:hAnsi="Arial" w:cs="Arial"/>
          <w:bCs/>
          <w:sz w:val="20"/>
          <w:szCs w:val="20"/>
          <w:highlight w:val="yellow"/>
        </w:rPr>
        <w:t xml:space="preserve"> et al., 2024)</w:t>
      </w:r>
    </w:p>
    <w:p w14:paraId="091A9CD4" w14:textId="79E31DE8" w:rsidR="00815B07" w:rsidRPr="003429C2" w:rsidRDefault="00815B07" w:rsidP="002A7A4B">
      <w:pPr>
        <w:spacing w:line="240" w:lineRule="auto"/>
        <w:ind w:left="0" w:firstLine="720"/>
        <w:rPr>
          <w:rFonts w:ascii="Arial" w:hAnsi="Arial" w:cs="Arial"/>
          <w:sz w:val="20"/>
          <w:szCs w:val="20"/>
          <w:lang w:eastAsia="en-IN"/>
        </w:rPr>
      </w:pPr>
      <w:r w:rsidRPr="003429C2">
        <w:rPr>
          <w:rFonts w:ascii="Arial" w:hAnsi="Arial" w:cs="Arial"/>
          <w:sz w:val="20"/>
          <w:szCs w:val="20"/>
          <w:lang w:eastAsia="en-IN"/>
        </w:rPr>
        <w:t xml:space="preserve">Sorghum’s nutritional profile adds another layer to its global relevance. It is a rich source of complex carbohydrates, dietary </w:t>
      </w:r>
      <w:proofErr w:type="spellStart"/>
      <w:r w:rsidRPr="003429C2">
        <w:rPr>
          <w:rFonts w:ascii="Arial" w:hAnsi="Arial" w:cs="Arial"/>
          <w:sz w:val="20"/>
          <w:szCs w:val="20"/>
          <w:lang w:eastAsia="en-IN"/>
        </w:rPr>
        <w:t>fiber</w:t>
      </w:r>
      <w:proofErr w:type="spellEnd"/>
      <w:r w:rsidRPr="003429C2">
        <w:rPr>
          <w:rFonts w:ascii="Arial" w:hAnsi="Arial" w:cs="Arial"/>
          <w:sz w:val="20"/>
          <w:szCs w:val="20"/>
          <w:lang w:eastAsia="en-IN"/>
        </w:rPr>
        <w:t xml:space="preserve">, protein, and essential minerals such as iron, zinc, and </w:t>
      </w:r>
      <w:r w:rsidRPr="003E72B6">
        <w:rPr>
          <w:rFonts w:ascii="Arial" w:hAnsi="Arial" w:cs="Arial"/>
          <w:sz w:val="20"/>
          <w:szCs w:val="20"/>
          <w:highlight w:val="yellow"/>
          <w:lang w:eastAsia="en-IN"/>
        </w:rPr>
        <w:t>phosphorus</w:t>
      </w:r>
      <w:r w:rsidR="00C9442E" w:rsidRPr="003E72B6">
        <w:rPr>
          <w:rFonts w:ascii="Arial" w:hAnsi="Arial" w:cs="Arial"/>
          <w:sz w:val="20"/>
          <w:szCs w:val="20"/>
          <w:highlight w:val="yellow"/>
          <w:lang w:eastAsia="en-IN"/>
        </w:rPr>
        <w:t xml:space="preserve"> </w:t>
      </w:r>
      <w:r w:rsidR="00C9442E" w:rsidRPr="003E72B6">
        <w:rPr>
          <w:rFonts w:ascii="Arial" w:hAnsi="Arial" w:cs="Arial"/>
          <w:bCs/>
          <w:sz w:val="20"/>
          <w:szCs w:val="20"/>
          <w:highlight w:val="yellow"/>
        </w:rPr>
        <w:t>(Proietti et al., 2015)</w:t>
      </w:r>
      <w:r w:rsidRPr="003E72B6">
        <w:rPr>
          <w:rFonts w:ascii="Arial" w:hAnsi="Arial" w:cs="Arial"/>
          <w:sz w:val="20"/>
          <w:szCs w:val="20"/>
          <w:highlight w:val="yellow"/>
          <w:lang w:eastAsia="en-IN"/>
        </w:rPr>
        <w:t xml:space="preserve">. </w:t>
      </w:r>
      <w:r w:rsidRPr="003429C2">
        <w:rPr>
          <w:rFonts w:ascii="Arial" w:hAnsi="Arial" w:cs="Arial"/>
          <w:sz w:val="20"/>
          <w:szCs w:val="20"/>
          <w:lang w:eastAsia="en-IN"/>
        </w:rPr>
        <w:t>The grain also contains phenolic compounds and antioxidants, which contribute to various health benefits including improved digestion, reduced inflammation, and better blood sugar control. With growing concerns about malnutrition and hidden hunger in developing countries, biofortified sorghum varieties enriched with iron and zinc are being promoted to address micronutrient deficiencies among vulnerable populations</w:t>
      </w:r>
      <w:r w:rsidR="003F0112" w:rsidRPr="003429C2">
        <w:rPr>
          <w:rFonts w:ascii="Arial" w:hAnsi="Arial" w:cs="Arial"/>
          <w:sz w:val="20"/>
          <w:szCs w:val="20"/>
          <w:lang w:eastAsia="en-IN"/>
        </w:rPr>
        <w:t xml:space="preserve"> </w:t>
      </w:r>
      <w:r w:rsidR="003F0112" w:rsidRPr="003429C2">
        <w:rPr>
          <w:rFonts w:ascii="Arial" w:hAnsi="Arial" w:cs="Arial"/>
          <w:bCs/>
          <w:sz w:val="20"/>
          <w:szCs w:val="20"/>
          <w:lang w:eastAsia="en-IN"/>
        </w:rPr>
        <w:t>(</w:t>
      </w:r>
      <w:r w:rsidR="003F0112" w:rsidRPr="003429C2">
        <w:rPr>
          <w:rFonts w:ascii="Arial" w:hAnsi="Arial" w:cs="Arial"/>
          <w:bCs/>
          <w:sz w:val="20"/>
          <w:szCs w:val="20"/>
        </w:rPr>
        <w:t>Kumar et al., 2015)</w:t>
      </w:r>
      <w:r w:rsidRPr="003429C2">
        <w:rPr>
          <w:rFonts w:ascii="Arial" w:hAnsi="Arial" w:cs="Arial"/>
          <w:sz w:val="20"/>
          <w:szCs w:val="20"/>
          <w:lang w:eastAsia="en-IN"/>
        </w:rPr>
        <w:t>. Sorghum is not just a staple crop for the semi-arid tropics it is an agricultural powerhouse with immense potential in the era of climate change, food insecurity, and energy transition</w:t>
      </w:r>
      <w:r w:rsidR="003F0112" w:rsidRPr="003429C2">
        <w:rPr>
          <w:rFonts w:ascii="Arial" w:hAnsi="Arial" w:cs="Arial"/>
          <w:sz w:val="20"/>
          <w:szCs w:val="20"/>
          <w:lang w:eastAsia="en-IN"/>
        </w:rPr>
        <w:t xml:space="preserve"> </w:t>
      </w:r>
      <w:r w:rsidR="003F0112" w:rsidRPr="003429C2">
        <w:rPr>
          <w:rFonts w:ascii="Arial" w:hAnsi="Arial" w:cs="Arial"/>
          <w:bCs/>
          <w:sz w:val="20"/>
          <w:szCs w:val="20"/>
        </w:rPr>
        <w:t>(Hossain et al., 2022)</w:t>
      </w:r>
      <w:r w:rsidRPr="003429C2">
        <w:rPr>
          <w:rFonts w:ascii="Arial" w:hAnsi="Arial" w:cs="Arial"/>
          <w:sz w:val="20"/>
          <w:szCs w:val="20"/>
          <w:lang w:eastAsia="en-IN"/>
        </w:rPr>
        <w:t>. Its ability to perform in resource-constrained environments, coupled with its multifunctionality and amenability to modern genomic tools, positions sorghum as a keystone species for sustainable agriculture</w:t>
      </w:r>
      <w:r w:rsidR="003F0112" w:rsidRPr="003429C2">
        <w:rPr>
          <w:rFonts w:ascii="Arial" w:hAnsi="Arial" w:cs="Arial"/>
          <w:sz w:val="20"/>
          <w:szCs w:val="20"/>
          <w:lang w:eastAsia="en-IN"/>
        </w:rPr>
        <w:t xml:space="preserve"> (</w:t>
      </w:r>
      <w:proofErr w:type="spellStart"/>
      <w:r w:rsidR="003F0112" w:rsidRPr="003429C2">
        <w:rPr>
          <w:rFonts w:ascii="Arial" w:hAnsi="Arial" w:cs="Arial"/>
          <w:bCs/>
          <w:sz w:val="20"/>
          <w:szCs w:val="20"/>
        </w:rPr>
        <w:t>Pancaldi</w:t>
      </w:r>
      <w:proofErr w:type="spellEnd"/>
      <w:r w:rsidR="003F0112" w:rsidRPr="003429C2">
        <w:rPr>
          <w:rFonts w:ascii="Arial" w:hAnsi="Arial" w:cs="Arial"/>
          <w:bCs/>
          <w:sz w:val="20"/>
          <w:szCs w:val="20"/>
        </w:rPr>
        <w:t>, 2023)</w:t>
      </w:r>
      <w:r w:rsidRPr="003429C2">
        <w:rPr>
          <w:rFonts w:ascii="Arial" w:hAnsi="Arial" w:cs="Arial"/>
          <w:sz w:val="20"/>
          <w:szCs w:val="20"/>
          <w:lang w:eastAsia="en-IN"/>
        </w:rPr>
        <w:t>. As breeding programs become increasingly genomics-informed and climate-smart, sorghum stands poised to lead the next generation of resilient and nutritious crop solutions for the global south and beyond</w:t>
      </w:r>
      <w:r w:rsidR="003F0112" w:rsidRPr="003429C2">
        <w:rPr>
          <w:rFonts w:ascii="Arial" w:hAnsi="Arial" w:cs="Arial"/>
          <w:sz w:val="20"/>
          <w:szCs w:val="20"/>
          <w:lang w:eastAsia="en-IN"/>
        </w:rPr>
        <w:t xml:space="preserve"> (</w:t>
      </w:r>
      <w:r w:rsidR="003F0112" w:rsidRPr="003429C2">
        <w:rPr>
          <w:rFonts w:ascii="Arial" w:hAnsi="Arial" w:cs="Arial"/>
          <w:bCs/>
          <w:sz w:val="20"/>
          <w:szCs w:val="20"/>
        </w:rPr>
        <w:t>Tsutsumi-Morita, 2023)</w:t>
      </w:r>
      <w:r w:rsidRPr="003429C2">
        <w:rPr>
          <w:rFonts w:ascii="Arial" w:hAnsi="Arial" w:cs="Arial"/>
          <w:sz w:val="20"/>
          <w:szCs w:val="20"/>
          <w:lang w:eastAsia="en-IN"/>
        </w:rPr>
        <w:t>.</w:t>
      </w:r>
    </w:p>
    <w:p w14:paraId="58369F27" w14:textId="77777777" w:rsidR="00815B07" w:rsidRPr="00815B07" w:rsidRDefault="00815B07" w:rsidP="002A7A4B">
      <w:pPr>
        <w:pStyle w:val="NoSpacing"/>
        <w:rPr>
          <w:lang w:eastAsia="en-IN"/>
        </w:rPr>
      </w:pPr>
    </w:p>
    <w:p w14:paraId="5356FB8F" w14:textId="77777777" w:rsidR="00647A63" w:rsidRPr="00647A63" w:rsidRDefault="00647A63" w:rsidP="002A7A4B">
      <w:pPr>
        <w:pStyle w:val="Heading2"/>
        <w:spacing w:line="240" w:lineRule="auto"/>
        <w:rPr>
          <w:rFonts w:ascii="Arial" w:hAnsi="Arial" w:cs="Arial"/>
          <w:color w:val="auto"/>
          <w:sz w:val="24"/>
          <w:szCs w:val="20"/>
        </w:rPr>
      </w:pPr>
      <w:r w:rsidRPr="00647A63">
        <w:rPr>
          <w:rStyle w:val="Strong"/>
          <w:rFonts w:ascii="Arial" w:hAnsi="Arial" w:cs="Arial"/>
          <w:bCs w:val="0"/>
          <w:color w:val="auto"/>
          <w:sz w:val="24"/>
          <w:szCs w:val="20"/>
        </w:rPr>
        <w:lastRenderedPageBreak/>
        <w:t>2. PRODUCTION CONSTRAINTS AND BREEDING OBJECTIVES</w:t>
      </w:r>
    </w:p>
    <w:p w14:paraId="2EC251FC" w14:textId="0CC31D10" w:rsidR="006D4DB5" w:rsidRPr="003429C2" w:rsidRDefault="00647A63" w:rsidP="002A7A4B">
      <w:pPr>
        <w:pStyle w:val="NormalWeb"/>
        <w:jc w:val="both"/>
        <w:rPr>
          <w:rFonts w:ascii="Arial" w:hAnsi="Arial" w:cs="Arial"/>
          <w:sz w:val="20"/>
          <w:szCs w:val="20"/>
        </w:rPr>
      </w:pPr>
      <w:r w:rsidRPr="003429C2">
        <w:rPr>
          <w:rFonts w:ascii="Arial" w:hAnsi="Arial" w:cs="Arial"/>
          <w:sz w:val="20"/>
          <w:szCs w:val="20"/>
        </w:rPr>
        <w:t>Despite its resilience and adaptability, grain sorghum production is subject to a variety of constraints that limit its full yield potential</w:t>
      </w:r>
      <w:r w:rsidR="003F0112" w:rsidRPr="003429C2">
        <w:rPr>
          <w:rFonts w:ascii="Arial" w:hAnsi="Arial" w:cs="Arial"/>
          <w:sz w:val="20"/>
          <w:szCs w:val="20"/>
        </w:rPr>
        <w:t xml:space="preserve"> </w:t>
      </w:r>
      <w:r w:rsidR="003F0112" w:rsidRPr="003429C2">
        <w:rPr>
          <w:rFonts w:ascii="Arial" w:hAnsi="Arial" w:cs="Arial"/>
          <w:bCs/>
          <w:sz w:val="20"/>
          <w:szCs w:val="20"/>
        </w:rPr>
        <w:t xml:space="preserve">(Khalifa &amp; </w:t>
      </w:r>
      <w:proofErr w:type="spellStart"/>
      <w:r w:rsidR="003F0112" w:rsidRPr="003429C2">
        <w:rPr>
          <w:rFonts w:ascii="Arial" w:hAnsi="Arial" w:cs="Arial"/>
          <w:bCs/>
          <w:sz w:val="20"/>
          <w:szCs w:val="20"/>
        </w:rPr>
        <w:t>Eltahit</w:t>
      </w:r>
      <w:proofErr w:type="spellEnd"/>
      <w:r w:rsidR="003F0112" w:rsidRPr="003429C2">
        <w:rPr>
          <w:rFonts w:ascii="Arial" w:hAnsi="Arial" w:cs="Arial"/>
          <w:bCs/>
          <w:sz w:val="20"/>
          <w:szCs w:val="20"/>
        </w:rPr>
        <w:t>, 2023)</w:t>
      </w:r>
      <w:r w:rsidRPr="003429C2">
        <w:rPr>
          <w:rFonts w:ascii="Arial" w:hAnsi="Arial" w:cs="Arial"/>
          <w:sz w:val="20"/>
          <w:szCs w:val="20"/>
        </w:rPr>
        <w:t>. These challenges can be broadly categorized into abiotic and biotic stresses, along with issues related to grain quality and end-use traits</w:t>
      </w:r>
      <w:r w:rsidR="003F0112" w:rsidRPr="003429C2">
        <w:rPr>
          <w:rFonts w:ascii="Arial" w:hAnsi="Arial" w:cs="Arial"/>
          <w:sz w:val="20"/>
          <w:szCs w:val="20"/>
        </w:rPr>
        <w:t xml:space="preserve"> </w:t>
      </w:r>
      <w:r w:rsidR="003F0112" w:rsidRPr="003429C2">
        <w:rPr>
          <w:rFonts w:ascii="Arial" w:hAnsi="Arial" w:cs="Arial"/>
          <w:bCs/>
          <w:sz w:val="20"/>
          <w:szCs w:val="20"/>
        </w:rPr>
        <w:t>(Ashok et al., 2014)</w:t>
      </w:r>
      <w:r w:rsidRPr="003429C2">
        <w:rPr>
          <w:rFonts w:ascii="Arial" w:hAnsi="Arial" w:cs="Arial"/>
          <w:sz w:val="20"/>
          <w:szCs w:val="20"/>
        </w:rPr>
        <w:t>. Understanding and addressing these constraints is critical for formulating effective breeding strategies aimed at yield enhancement, climate resilience, and market-driven quality improvements</w:t>
      </w:r>
      <w:r w:rsidR="003F0112" w:rsidRPr="003429C2">
        <w:rPr>
          <w:rFonts w:ascii="Arial" w:hAnsi="Arial" w:cs="Arial"/>
          <w:sz w:val="20"/>
          <w:szCs w:val="20"/>
        </w:rPr>
        <w:t xml:space="preserve"> </w:t>
      </w:r>
      <w:r w:rsidR="003F0112" w:rsidRPr="003429C2">
        <w:rPr>
          <w:rFonts w:ascii="Arial" w:hAnsi="Arial" w:cs="Arial"/>
          <w:bCs/>
          <w:sz w:val="20"/>
          <w:szCs w:val="20"/>
        </w:rPr>
        <w:t>(Singh et al., 2024)</w:t>
      </w:r>
      <w:r w:rsidRPr="003429C2">
        <w:rPr>
          <w:rFonts w:ascii="Arial" w:hAnsi="Arial" w:cs="Arial"/>
          <w:sz w:val="20"/>
          <w:szCs w:val="20"/>
        </w:rPr>
        <w:t>.</w:t>
      </w:r>
      <w:r w:rsidR="006D4DB5" w:rsidRPr="003429C2">
        <w:rPr>
          <w:rFonts w:ascii="Arial" w:hAnsi="Arial" w:cs="Arial"/>
          <w:sz w:val="20"/>
          <w:szCs w:val="20"/>
        </w:rPr>
        <w:t xml:space="preserve"> </w:t>
      </w:r>
      <w:r w:rsidR="006D4DB5" w:rsidRPr="003429C2">
        <w:rPr>
          <w:rStyle w:val="Strong"/>
          <w:rFonts w:ascii="Arial" w:hAnsi="Arial" w:cs="Arial"/>
          <w:bCs w:val="0"/>
          <w:sz w:val="20"/>
          <w:szCs w:val="20"/>
        </w:rPr>
        <w:t>Fig</w:t>
      </w:r>
      <w:r w:rsidR="008F3CA6" w:rsidRPr="003429C2">
        <w:rPr>
          <w:rStyle w:val="Strong"/>
          <w:rFonts w:ascii="Arial" w:hAnsi="Arial" w:cs="Arial"/>
          <w:bCs w:val="0"/>
          <w:sz w:val="20"/>
          <w:szCs w:val="20"/>
        </w:rPr>
        <w:t>.</w:t>
      </w:r>
      <w:r w:rsidR="006D4DB5" w:rsidRPr="003429C2">
        <w:rPr>
          <w:rStyle w:val="Strong"/>
          <w:rFonts w:ascii="Arial" w:hAnsi="Arial" w:cs="Arial"/>
          <w:bCs w:val="0"/>
          <w:sz w:val="20"/>
          <w:szCs w:val="20"/>
        </w:rPr>
        <w:t>1</w:t>
      </w:r>
      <w:r w:rsidR="006D4DB5" w:rsidRPr="003429C2">
        <w:rPr>
          <w:rFonts w:ascii="Arial" w:hAnsi="Arial" w:cs="Arial"/>
          <w:sz w:val="20"/>
          <w:szCs w:val="20"/>
        </w:rPr>
        <w:t xml:space="preserve"> illustrates the taxonomic classification of the genus </w:t>
      </w:r>
      <w:r w:rsidR="006D4DB5" w:rsidRPr="003429C2">
        <w:rPr>
          <w:rStyle w:val="Emphasis"/>
          <w:rFonts w:ascii="Arial" w:hAnsi="Arial" w:cs="Arial"/>
          <w:i w:val="0"/>
          <w:iCs w:val="0"/>
          <w:sz w:val="20"/>
          <w:szCs w:val="20"/>
        </w:rPr>
        <w:t>Sorghum</w:t>
      </w:r>
      <w:r w:rsidR="006D4DB5" w:rsidRPr="003429C2">
        <w:rPr>
          <w:rFonts w:ascii="Arial" w:hAnsi="Arial" w:cs="Arial"/>
          <w:sz w:val="20"/>
          <w:szCs w:val="20"/>
        </w:rPr>
        <w:t xml:space="preserve">, divided into five subgenera: </w:t>
      </w:r>
      <w:proofErr w:type="spellStart"/>
      <w:r w:rsidR="006D4DB5" w:rsidRPr="003429C2">
        <w:rPr>
          <w:rStyle w:val="Emphasis"/>
          <w:rFonts w:ascii="Arial" w:hAnsi="Arial" w:cs="Arial"/>
          <w:iCs w:val="0"/>
          <w:sz w:val="20"/>
          <w:szCs w:val="20"/>
        </w:rPr>
        <w:t>Stiposorghum</w:t>
      </w:r>
      <w:proofErr w:type="spellEnd"/>
      <w:r w:rsidR="006D4DB5" w:rsidRPr="003429C2">
        <w:rPr>
          <w:rFonts w:ascii="Arial" w:hAnsi="Arial" w:cs="Arial"/>
          <w:sz w:val="20"/>
          <w:szCs w:val="20"/>
        </w:rPr>
        <w:t xml:space="preserve">, </w:t>
      </w:r>
      <w:proofErr w:type="spellStart"/>
      <w:r w:rsidR="006D4DB5" w:rsidRPr="003429C2">
        <w:rPr>
          <w:rStyle w:val="Emphasis"/>
          <w:rFonts w:ascii="Arial" w:hAnsi="Arial" w:cs="Arial"/>
          <w:iCs w:val="0"/>
          <w:sz w:val="20"/>
          <w:szCs w:val="20"/>
        </w:rPr>
        <w:t>Parasorghum</w:t>
      </w:r>
      <w:proofErr w:type="spellEnd"/>
      <w:r w:rsidR="006D4DB5" w:rsidRPr="003429C2">
        <w:rPr>
          <w:rFonts w:ascii="Arial" w:hAnsi="Arial" w:cs="Arial"/>
          <w:sz w:val="20"/>
          <w:szCs w:val="20"/>
        </w:rPr>
        <w:t xml:space="preserve">, </w:t>
      </w:r>
      <w:proofErr w:type="spellStart"/>
      <w:r w:rsidR="006D4DB5" w:rsidRPr="003429C2">
        <w:rPr>
          <w:rStyle w:val="Emphasis"/>
          <w:rFonts w:ascii="Arial" w:hAnsi="Arial" w:cs="Arial"/>
          <w:iCs w:val="0"/>
          <w:sz w:val="20"/>
          <w:szCs w:val="20"/>
        </w:rPr>
        <w:t>Heterosorghum</w:t>
      </w:r>
      <w:proofErr w:type="spellEnd"/>
      <w:r w:rsidR="006D4DB5" w:rsidRPr="003429C2">
        <w:rPr>
          <w:rFonts w:ascii="Arial" w:hAnsi="Arial" w:cs="Arial"/>
          <w:sz w:val="20"/>
          <w:szCs w:val="20"/>
        </w:rPr>
        <w:t xml:space="preserve">, </w:t>
      </w:r>
      <w:proofErr w:type="spellStart"/>
      <w:r w:rsidR="006D4DB5" w:rsidRPr="003429C2">
        <w:rPr>
          <w:rStyle w:val="Emphasis"/>
          <w:rFonts w:ascii="Arial" w:hAnsi="Arial" w:cs="Arial"/>
          <w:iCs w:val="0"/>
          <w:sz w:val="20"/>
          <w:szCs w:val="20"/>
        </w:rPr>
        <w:t>Chaetosorghum</w:t>
      </w:r>
      <w:proofErr w:type="spellEnd"/>
      <w:r w:rsidR="006D4DB5" w:rsidRPr="003429C2">
        <w:rPr>
          <w:rFonts w:ascii="Arial" w:hAnsi="Arial" w:cs="Arial"/>
          <w:sz w:val="20"/>
          <w:szCs w:val="20"/>
        </w:rPr>
        <w:t xml:space="preserve">, and </w:t>
      </w:r>
      <w:r w:rsidR="006D4DB5" w:rsidRPr="003429C2">
        <w:rPr>
          <w:rStyle w:val="Emphasis"/>
          <w:rFonts w:ascii="Arial" w:hAnsi="Arial" w:cs="Arial"/>
          <w:iCs w:val="0"/>
          <w:sz w:val="20"/>
          <w:szCs w:val="20"/>
        </w:rPr>
        <w:t>Eu-Sorghum</w:t>
      </w:r>
      <w:r w:rsidR="006D4DB5" w:rsidRPr="003429C2">
        <w:rPr>
          <w:rFonts w:ascii="Arial" w:hAnsi="Arial" w:cs="Arial"/>
          <w:sz w:val="20"/>
          <w:szCs w:val="20"/>
        </w:rPr>
        <w:t xml:space="preserve">. Among these, </w:t>
      </w:r>
      <w:r w:rsidR="006D4DB5" w:rsidRPr="003429C2">
        <w:rPr>
          <w:rStyle w:val="Emphasis"/>
          <w:rFonts w:ascii="Arial" w:hAnsi="Arial" w:cs="Arial"/>
          <w:iCs w:val="0"/>
          <w:sz w:val="20"/>
          <w:szCs w:val="20"/>
        </w:rPr>
        <w:t>Eu-Sorghum</w:t>
      </w:r>
      <w:r w:rsidR="006D4DB5" w:rsidRPr="003429C2">
        <w:rPr>
          <w:rFonts w:ascii="Arial" w:hAnsi="Arial" w:cs="Arial"/>
          <w:sz w:val="20"/>
          <w:szCs w:val="20"/>
        </w:rPr>
        <w:t xml:space="preserve"> includes the most economically important cultivated species </w:t>
      </w:r>
      <w:r w:rsidR="006D4DB5" w:rsidRPr="003429C2">
        <w:rPr>
          <w:rStyle w:val="Emphasis"/>
          <w:rFonts w:ascii="Arial" w:hAnsi="Arial" w:cs="Arial"/>
          <w:i w:val="0"/>
          <w:iCs w:val="0"/>
          <w:sz w:val="20"/>
          <w:szCs w:val="20"/>
        </w:rPr>
        <w:t>Sorghum bicolor</w:t>
      </w:r>
      <w:r w:rsidR="006D4DB5" w:rsidRPr="003429C2">
        <w:rPr>
          <w:rFonts w:ascii="Arial" w:hAnsi="Arial" w:cs="Arial"/>
          <w:sz w:val="20"/>
          <w:szCs w:val="20"/>
        </w:rPr>
        <w:t xml:space="preserve">, further categorized into subspecies and races such as </w:t>
      </w:r>
      <w:proofErr w:type="spellStart"/>
      <w:r w:rsidR="006D4DB5" w:rsidRPr="003429C2">
        <w:rPr>
          <w:rFonts w:ascii="Arial" w:hAnsi="Arial" w:cs="Arial"/>
          <w:i/>
          <w:sz w:val="20"/>
          <w:szCs w:val="20"/>
        </w:rPr>
        <w:t>Bicolor</w:t>
      </w:r>
      <w:proofErr w:type="spellEnd"/>
      <w:r w:rsidR="006D4DB5" w:rsidRPr="003429C2">
        <w:rPr>
          <w:rFonts w:ascii="Arial" w:hAnsi="Arial" w:cs="Arial"/>
          <w:i/>
          <w:sz w:val="20"/>
          <w:szCs w:val="20"/>
        </w:rPr>
        <w:t>, Guinea, Caudatum</w:t>
      </w:r>
      <w:r w:rsidR="006D4DB5" w:rsidRPr="003429C2">
        <w:rPr>
          <w:rFonts w:ascii="Arial" w:hAnsi="Arial" w:cs="Arial"/>
          <w:sz w:val="20"/>
          <w:szCs w:val="20"/>
        </w:rPr>
        <w:t xml:space="preserve">, and </w:t>
      </w:r>
      <w:r w:rsidR="006D4DB5" w:rsidRPr="003429C2">
        <w:rPr>
          <w:rFonts w:ascii="Arial" w:hAnsi="Arial" w:cs="Arial"/>
          <w:i/>
          <w:sz w:val="20"/>
          <w:szCs w:val="20"/>
        </w:rPr>
        <w:t>Durra</w:t>
      </w:r>
      <w:r w:rsidR="006D4DB5" w:rsidRPr="003429C2">
        <w:rPr>
          <w:rFonts w:ascii="Arial" w:hAnsi="Arial" w:cs="Arial"/>
          <w:sz w:val="20"/>
          <w:szCs w:val="20"/>
        </w:rPr>
        <w:t>. This classification highlights the genetic diversity within the genus and its relevance for sorghum improvement programs.</w:t>
      </w:r>
    </w:p>
    <w:p w14:paraId="765EB0F0" w14:textId="52759A61" w:rsidR="006D4DB5" w:rsidRPr="002A7A4B" w:rsidRDefault="006D4DB5" w:rsidP="002A7A4B">
      <w:pPr>
        <w:pStyle w:val="NormalWeb"/>
        <w:jc w:val="both"/>
        <w:rPr>
          <w:rFonts w:ascii="Arial" w:hAnsi="Arial" w:cs="Arial"/>
          <w:sz w:val="20"/>
          <w:szCs w:val="20"/>
        </w:rPr>
      </w:pPr>
      <w:r w:rsidRPr="002A7A4B">
        <w:rPr>
          <w:rFonts w:ascii="Arial" w:hAnsi="Arial" w:cs="Arial"/>
          <w:noProof/>
          <w:sz w:val="20"/>
          <w:szCs w:val="20"/>
        </w:rPr>
        <w:drawing>
          <wp:inline distT="0" distB="0" distL="0" distR="0" wp14:anchorId="448EA228" wp14:editId="5B712C5A">
            <wp:extent cx="5500755" cy="2540000"/>
            <wp:effectExtent l="19050" t="19050" r="2413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gene-14-1150616-g001.jpg"/>
                    <pic:cNvPicPr/>
                  </pic:nvPicPr>
                  <pic:blipFill>
                    <a:blip r:embed="rId7">
                      <a:extLst>
                        <a:ext uri="{28A0092B-C50C-407E-A947-70E740481C1C}">
                          <a14:useLocalDpi xmlns:a14="http://schemas.microsoft.com/office/drawing/2010/main" val="0"/>
                        </a:ext>
                      </a:extLst>
                    </a:blip>
                    <a:stretch>
                      <a:fillRect/>
                    </a:stretch>
                  </pic:blipFill>
                  <pic:spPr>
                    <a:xfrm>
                      <a:off x="0" y="0"/>
                      <a:ext cx="5520133" cy="2548948"/>
                    </a:xfrm>
                    <a:prstGeom prst="rect">
                      <a:avLst/>
                    </a:prstGeom>
                    <a:ln w="3175">
                      <a:solidFill>
                        <a:schemeClr val="tx1"/>
                      </a:solidFill>
                    </a:ln>
                  </pic:spPr>
                </pic:pic>
              </a:graphicData>
            </a:graphic>
          </wp:inline>
        </w:drawing>
      </w:r>
    </w:p>
    <w:p w14:paraId="04B06737" w14:textId="2BDEDAE8" w:rsidR="006D4DB5" w:rsidRPr="002A7A4B" w:rsidRDefault="006D4DB5" w:rsidP="002A7A4B">
      <w:pPr>
        <w:pStyle w:val="NoSpacing"/>
        <w:jc w:val="center"/>
        <w:rPr>
          <w:rFonts w:ascii="Arial" w:hAnsi="Arial" w:cs="Arial"/>
          <w:b/>
          <w:sz w:val="20"/>
          <w:szCs w:val="20"/>
        </w:rPr>
      </w:pPr>
      <w:r w:rsidRPr="002A7A4B">
        <w:rPr>
          <w:rFonts w:ascii="Arial" w:hAnsi="Arial" w:cs="Arial"/>
          <w:b/>
          <w:sz w:val="20"/>
          <w:szCs w:val="20"/>
        </w:rPr>
        <w:t>Fig. 1.</w:t>
      </w:r>
      <w:r w:rsidR="008F3CA6" w:rsidRPr="002A7A4B">
        <w:rPr>
          <w:rFonts w:ascii="Arial" w:hAnsi="Arial" w:cs="Arial"/>
          <w:sz w:val="20"/>
          <w:szCs w:val="20"/>
        </w:rPr>
        <w:t xml:space="preserve"> </w:t>
      </w:r>
      <w:r w:rsidR="008F3CA6" w:rsidRPr="002A7A4B">
        <w:rPr>
          <w:rFonts w:ascii="Arial" w:hAnsi="Arial" w:cs="Arial"/>
          <w:b/>
          <w:sz w:val="20"/>
          <w:szCs w:val="20"/>
        </w:rPr>
        <w:t xml:space="preserve">Taxonomic classification of the genus </w:t>
      </w:r>
      <w:r w:rsidR="008F3CA6" w:rsidRPr="002A7A4B">
        <w:rPr>
          <w:rStyle w:val="Emphasis"/>
          <w:rFonts w:ascii="Arial" w:hAnsi="Arial" w:cs="Arial"/>
          <w:b/>
          <w:i w:val="0"/>
          <w:iCs w:val="0"/>
          <w:sz w:val="20"/>
          <w:szCs w:val="20"/>
        </w:rPr>
        <w:t>Sorghum</w:t>
      </w:r>
      <w:r w:rsidR="008F3CA6" w:rsidRPr="002A7A4B">
        <w:rPr>
          <w:rFonts w:ascii="Arial" w:hAnsi="Arial" w:cs="Arial"/>
          <w:b/>
          <w:sz w:val="20"/>
          <w:szCs w:val="20"/>
        </w:rPr>
        <w:t>, divided into five subgenera</w:t>
      </w:r>
    </w:p>
    <w:p w14:paraId="794CEED8" w14:textId="77777777" w:rsidR="00647A63" w:rsidRPr="002A7A4B" w:rsidRDefault="00647A63" w:rsidP="002A7A4B">
      <w:pPr>
        <w:pStyle w:val="Heading3"/>
        <w:jc w:val="both"/>
        <w:rPr>
          <w:rFonts w:ascii="Arial" w:hAnsi="Arial" w:cs="Arial"/>
          <w:sz w:val="20"/>
          <w:szCs w:val="20"/>
        </w:rPr>
      </w:pPr>
      <w:r w:rsidRPr="002A7A4B">
        <w:rPr>
          <w:rFonts w:ascii="Arial" w:hAnsi="Arial" w:cs="Arial"/>
          <w:sz w:val="20"/>
          <w:szCs w:val="20"/>
        </w:rPr>
        <w:t>2.1 Abiotic Stress Constraints: Drought, Heat, and Salinity</w:t>
      </w:r>
    </w:p>
    <w:p w14:paraId="1773CE3B" w14:textId="34AE16FE" w:rsidR="00647A63" w:rsidRPr="003429C2" w:rsidRDefault="00647A63" w:rsidP="002A7A4B">
      <w:pPr>
        <w:pStyle w:val="NormalWeb"/>
        <w:jc w:val="both"/>
        <w:rPr>
          <w:rFonts w:ascii="Arial" w:hAnsi="Arial" w:cs="Arial"/>
          <w:sz w:val="20"/>
          <w:szCs w:val="20"/>
        </w:rPr>
      </w:pPr>
      <w:r w:rsidRPr="003429C2">
        <w:rPr>
          <w:rFonts w:ascii="Arial" w:hAnsi="Arial" w:cs="Arial"/>
          <w:sz w:val="20"/>
          <w:szCs w:val="20"/>
        </w:rPr>
        <w:t xml:space="preserve">One of the most formidable challenges in sorghum production is its exposure to </w:t>
      </w:r>
      <w:r w:rsidRPr="003E72B6">
        <w:rPr>
          <w:rStyle w:val="Strong"/>
          <w:rFonts w:ascii="Arial" w:hAnsi="Arial" w:cs="Arial"/>
          <w:b w:val="0"/>
          <w:sz w:val="20"/>
          <w:szCs w:val="20"/>
          <w:highlight w:val="yellow"/>
        </w:rPr>
        <w:t>abiotic stresses</w:t>
      </w:r>
      <w:r w:rsidRPr="003E72B6">
        <w:rPr>
          <w:rFonts w:ascii="Arial" w:hAnsi="Arial" w:cs="Arial"/>
          <w:b/>
          <w:sz w:val="20"/>
          <w:szCs w:val="20"/>
          <w:highlight w:val="yellow"/>
        </w:rPr>
        <w:t xml:space="preserve">, </w:t>
      </w:r>
      <w:r w:rsidRPr="003429C2">
        <w:rPr>
          <w:rFonts w:ascii="Arial" w:hAnsi="Arial" w:cs="Arial"/>
          <w:sz w:val="20"/>
          <w:szCs w:val="20"/>
        </w:rPr>
        <w:t>particularly in arid and semi-arid environments where the crop is predominantly cultivated</w:t>
      </w:r>
      <w:r w:rsidR="003F0112" w:rsidRPr="003429C2">
        <w:rPr>
          <w:rFonts w:ascii="Arial" w:hAnsi="Arial" w:cs="Arial"/>
          <w:sz w:val="20"/>
          <w:szCs w:val="20"/>
        </w:rPr>
        <w:t xml:space="preserve"> </w:t>
      </w:r>
      <w:r w:rsidR="003F0112" w:rsidRPr="003429C2">
        <w:rPr>
          <w:rFonts w:ascii="Arial" w:hAnsi="Arial" w:cs="Arial"/>
          <w:bCs/>
          <w:sz w:val="20"/>
          <w:szCs w:val="20"/>
        </w:rPr>
        <w:t>(Hussain et al., 2019)</w:t>
      </w:r>
      <w:r w:rsidRPr="003429C2">
        <w:rPr>
          <w:rFonts w:ascii="Arial" w:hAnsi="Arial" w:cs="Arial"/>
          <w:sz w:val="20"/>
          <w:szCs w:val="20"/>
        </w:rPr>
        <w:t xml:space="preserve">. Among these, </w:t>
      </w:r>
      <w:r w:rsidRPr="003E72B6">
        <w:rPr>
          <w:rStyle w:val="Strong"/>
          <w:rFonts w:ascii="Arial" w:hAnsi="Arial" w:cs="Arial"/>
          <w:b w:val="0"/>
          <w:sz w:val="20"/>
          <w:szCs w:val="20"/>
          <w:highlight w:val="yellow"/>
        </w:rPr>
        <w:t>drought</w:t>
      </w:r>
      <w:r w:rsidRPr="003E72B6">
        <w:rPr>
          <w:rFonts w:ascii="Arial" w:hAnsi="Arial" w:cs="Arial"/>
          <w:b/>
          <w:sz w:val="20"/>
          <w:szCs w:val="20"/>
          <w:highlight w:val="yellow"/>
        </w:rPr>
        <w:t xml:space="preserve"> </w:t>
      </w:r>
      <w:r w:rsidRPr="003429C2">
        <w:rPr>
          <w:rFonts w:ascii="Arial" w:hAnsi="Arial" w:cs="Arial"/>
          <w:sz w:val="20"/>
          <w:szCs w:val="20"/>
        </w:rPr>
        <w:t>is the most common and severe constraint. Sorghum, while inherently drought-tolerant compared to other cereals, still suffers significant yield losses when water stress coincides with sensitive growth stages such as flowering and grain filling</w:t>
      </w:r>
      <w:r w:rsidR="003F0112" w:rsidRPr="003429C2">
        <w:rPr>
          <w:rFonts w:ascii="Arial" w:hAnsi="Arial" w:cs="Arial"/>
          <w:bCs/>
          <w:sz w:val="20"/>
          <w:szCs w:val="20"/>
        </w:rPr>
        <w:t xml:space="preserve"> (Abreha et al., 2022)</w:t>
      </w:r>
      <w:r w:rsidRPr="003429C2">
        <w:rPr>
          <w:rFonts w:ascii="Arial" w:hAnsi="Arial" w:cs="Arial"/>
          <w:sz w:val="20"/>
          <w:szCs w:val="20"/>
        </w:rPr>
        <w:t xml:space="preserve">. The impact of drought is exacerbated by shallow soils, poor organic matter, and erratic rainfall patterns, all of which are prevalent in the tropics and subtropics. </w:t>
      </w:r>
      <w:r w:rsidRPr="003E72B6">
        <w:rPr>
          <w:rStyle w:val="Strong"/>
          <w:rFonts w:ascii="Arial" w:hAnsi="Arial" w:cs="Arial"/>
          <w:b w:val="0"/>
          <w:sz w:val="20"/>
          <w:szCs w:val="20"/>
          <w:highlight w:val="yellow"/>
        </w:rPr>
        <w:t>Heat stress</w:t>
      </w:r>
      <w:r w:rsidRPr="003E72B6">
        <w:rPr>
          <w:rFonts w:ascii="Arial" w:hAnsi="Arial" w:cs="Arial"/>
          <w:b/>
          <w:sz w:val="20"/>
          <w:szCs w:val="20"/>
          <w:highlight w:val="yellow"/>
        </w:rPr>
        <w:t xml:space="preserve"> </w:t>
      </w:r>
      <w:r w:rsidRPr="003429C2">
        <w:rPr>
          <w:rFonts w:ascii="Arial" w:hAnsi="Arial" w:cs="Arial"/>
          <w:sz w:val="20"/>
          <w:szCs w:val="20"/>
        </w:rPr>
        <w:t xml:space="preserve">represents another growing threat to sorghum productivity, especially under the intensifying effects of climate change. High temperatures during flowering can impair pollen viability, disrupt fertilization, and ultimately reduce grain set. Terminal heat stress, occurring during the grain development phase, can accelerate maturity and compromise grain weight and nutritional content. In addition to drought and heat, </w:t>
      </w:r>
      <w:r w:rsidRPr="003E72B6">
        <w:rPr>
          <w:rStyle w:val="Strong"/>
          <w:rFonts w:ascii="Arial" w:hAnsi="Arial" w:cs="Arial"/>
          <w:b w:val="0"/>
          <w:sz w:val="20"/>
          <w:szCs w:val="20"/>
          <w:highlight w:val="yellow"/>
        </w:rPr>
        <w:t>salinity</w:t>
      </w:r>
      <w:r w:rsidRPr="003429C2">
        <w:rPr>
          <w:rFonts w:ascii="Arial" w:hAnsi="Arial" w:cs="Arial"/>
          <w:sz w:val="20"/>
          <w:szCs w:val="20"/>
        </w:rPr>
        <w:t xml:space="preserve"> is emerging as a constraint in coastal areas and regions affected by poor irrigation practices</w:t>
      </w:r>
      <w:r w:rsidR="00B0509E" w:rsidRPr="003429C2">
        <w:rPr>
          <w:rFonts w:ascii="Arial" w:hAnsi="Arial" w:cs="Arial"/>
          <w:sz w:val="20"/>
          <w:szCs w:val="20"/>
        </w:rPr>
        <w:t xml:space="preserve"> </w:t>
      </w:r>
      <w:r w:rsidR="00B0509E" w:rsidRPr="003429C2">
        <w:rPr>
          <w:rFonts w:ascii="Arial" w:hAnsi="Arial" w:cs="Arial"/>
          <w:bCs/>
          <w:sz w:val="20"/>
          <w:szCs w:val="20"/>
        </w:rPr>
        <w:t>(Corwin, 2021)</w:t>
      </w:r>
      <w:r w:rsidRPr="003429C2">
        <w:rPr>
          <w:rFonts w:ascii="Arial" w:hAnsi="Arial" w:cs="Arial"/>
          <w:sz w:val="20"/>
          <w:szCs w:val="20"/>
        </w:rPr>
        <w:t>. Accumulation of salts in the root zone interferes with water uptake, nutrient absorption, and root metabolism, leading to reduced growth and productivity</w:t>
      </w:r>
      <w:r w:rsidR="00B0509E" w:rsidRPr="003429C2">
        <w:rPr>
          <w:rFonts w:ascii="Arial" w:hAnsi="Arial" w:cs="Arial"/>
          <w:sz w:val="20"/>
          <w:szCs w:val="20"/>
        </w:rPr>
        <w:t xml:space="preserve"> </w:t>
      </w:r>
      <w:r w:rsidR="00B0509E" w:rsidRPr="003429C2">
        <w:rPr>
          <w:rFonts w:ascii="Arial" w:hAnsi="Arial" w:cs="Arial"/>
          <w:bCs/>
          <w:sz w:val="20"/>
          <w:szCs w:val="20"/>
        </w:rPr>
        <w:t>(de et al., 2023)</w:t>
      </w:r>
      <w:r w:rsidRPr="003429C2">
        <w:rPr>
          <w:rFonts w:ascii="Arial" w:hAnsi="Arial" w:cs="Arial"/>
          <w:sz w:val="20"/>
          <w:szCs w:val="20"/>
        </w:rPr>
        <w:t>. Although sorghum displays moderate salinity tolerance, there is considerable genetic variability within the species that can be harnessed through breeding to improve salt tolerance in elite lines</w:t>
      </w:r>
      <w:r w:rsidR="00B0509E" w:rsidRPr="003429C2">
        <w:rPr>
          <w:rFonts w:ascii="Arial" w:hAnsi="Arial" w:cs="Arial"/>
          <w:sz w:val="20"/>
          <w:szCs w:val="20"/>
        </w:rPr>
        <w:t xml:space="preserve"> </w:t>
      </w:r>
      <w:r w:rsidR="00B0509E" w:rsidRPr="003429C2">
        <w:rPr>
          <w:rFonts w:ascii="Arial" w:hAnsi="Arial" w:cs="Arial"/>
          <w:bCs/>
          <w:sz w:val="20"/>
          <w:szCs w:val="20"/>
        </w:rPr>
        <w:t>(Thakur, et al., 2024)</w:t>
      </w:r>
      <w:r w:rsidRPr="003429C2">
        <w:rPr>
          <w:rFonts w:ascii="Arial" w:hAnsi="Arial" w:cs="Arial"/>
          <w:sz w:val="20"/>
          <w:szCs w:val="20"/>
        </w:rPr>
        <w:t>.</w:t>
      </w:r>
    </w:p>
    <w:p w14:paraId="50BB675A" w14:textId="77777777" w:rsidR="00647A63" w:rsidRPr="002A7A4B" w:rsidRDefault="00647A63" w:rsidP="002A7A4B">
      <w:pPr>
        <w:pStyle w:val="Heading3"/>
        <w:jc w:val="both"/>
        <w:rPr>
          <w:rFonts w:ascii="Arial" w:hAnsi="Arial" w:cs="Arial"/>
          <w:sz w:val="20"/>
          <w:szCs w:val="20"/>
        </w:rPr>
      </w:pPr>
      <w:r w:rsidRPr="002A7A4B">
        <w:rPr>
          <w:rFonts w:ascii="Arial" w:hAnsi="Arial" w:cs="Arial"/>
          <w:sz w:val="20"/>
          <w:szCs w:val="20"/>
        </w:rPr>
        <w:t>2.2 Biotic Stress Constraints: Insect Pests and Diseases</w:t>
      </w:r>
    </w:p>
    <w:p w14:paraId="4078D132" w14:textId="514BDEC1" w:rsidR="00647A63" w:rsidRPr="003429C2" w:rsidRDefault="00647A63" w:rsidP="002A7A4B">
      <w:pPr>
        <w:pStyle w:val="NormalWeb"/>
        <w:jc w:val="both"/>
        <w:rPr>
          <w:rFonts w:ascii="Arial" w:hAnsi="Arial" w:cs="Arial"/>
          <w:sz w:val="20"/>
          <w:szCs w:val="20"/>
        </w:rPr>
      </w:pPr>
      <w:r w:rsidRPr="003429C2">
        <w:rPr>
          <w:rFonts w:ascii="Arial" w:hAnsi="Arial" w:cs="Arial"/>
          <w:sz w:val="20"/>
          <w:szCs w:val="20"/>
        </w:rPr>
        <w:t xml:space="preserve">Sorghum is also vulnerable to a range of </w:t>
      </w:r>
      <w:r w:rsidRPr="003429C2">
        <w:rPr>
          <w:rStyle w:val="Strong"/>
          <w:rFonts w:ascii="Arial" w:hAnsi="Arial" w:cs="Arial"/>
          <w:b w:val="0"/>
          <w:sz w:val="20"/>
          <w:szCs w:val="20"/>
        </w:rPr>
        <w:t>biotic stresses</w:t>
      </w:r>
      <w:r w:rsidRPr="003429C2">
        <w:rPr>
          <w:rFonts w:ascii="Arial" w:hAnsi="Arial" w:cs="Arial"/>
          <w:b/>
          <w:sz w:val="20"/>
          <w:szCs w:val="20"/>
        </w:rPr>
        <w:t xml:space="preserve">, </w:t>
      </w:r>
      <w:r w:rsidRPr="003429C2">
        <w:rPr>
          <w:rFonts w:ascii="Arial" w:hAnsi="Arial" w:cs="Arial"/>
          <w:sz w:val="20"/>
          <w:szCs w:val="20"/>
        </w:rPr>
        <w:t>primarily insect pests and fungal, bacterial, and viral diseases</w:t>
      </w:r>
      <w:r w:rsidR="00B0509E" w:rsidRPr="003429C2">
        <w:rPr>
          <w:rFonts w:ascii="Arial" w:hAnsi="Arial" w:cs="Arial"/>
          <w:sz w:val="20"/>
          <w:szCs w:val="20"/>
        </w:rPr>
        <w:t xml:space="preserve"> </w:t>
      </w:r>
      <w:r w:rsidR="00B0509E" w:rsidRPr="003429C2">
        <w:rPr>
          <w:rFonts w:ascii="Arial" w:hAnsi="Arial" w:cs="Arial"/>
          <w:bCs/>
          <w:sz w:val="20"/>
          <w:szCs w:val="20"/>
        </w:rPr>
        <w:t>(Sharma et al., 2015)</w:t>
      </w:r>
      <w:r w:rsidRPr="003429C2">
        <w:rPr>
          <w:rFonts w:ascii="Arial" w:hAnsi="Arial" w:cs="Arial"/>
          <w:sz w:val="20"/>
          <w:szCs w:val="20"/>
        </w:rPr>
        <w:t xml:space="preserve">. </w:t>
      </w:r>
      <w:r w:rsidRPr="003429C2">
        <w:rPr>
          <w:rStyle w:val="Strong"/>
          <w:rFonts w:ascii="Arial" w:hAnsi="Arial" w:cs="Arial"/>
          <w:b w:val="0"/>
          <w:sz w:val="20"/>
          <w:szCs w:val="20"/>
        </w:rPr>
        <w:t>Insect pests</w:t>
      </w:r>
      <w:r w:rsidRPr="003429C2">
        <w:rPr>
          <w:rFonts w:ascii="Arial" w:hAnsi="Arial" w:cs="Arial"/>
          <w:b/>
          <w:sz w:val="20"/>
          <w:szCs w:val="20"/>
        </w:rPr>
        <w:t xml:space="preserve"> </w:t>
      </w:r>
      <w:r w:rsidRPr="003429C2">
        <w:rPr>
          <w:rFonts w:ascii="Arial" w:hAnsi="Arial" w:cs="Arial"/>
          <w:sz w:val="20"/>
          <w:szCs w:val="20"/>
        </w:rPr>
        <w:t xml:space="preserve">such as the sorghum shoot fly, stem borer, </w:t>
      </w:r>
      <w:r w:rsidRPr="003429C2">
        <w:rPr>
          <w:rFonts w:ascii="Arial" w:hAnsi="Arial" w:cs="Arial"/>
          <w:sz w:val="20"/>
          <w:szCs w:val="20"/>
        </w:rPr>
        <w:lastRenderedPageBreak/>
        <w:t>sorghum midge, aphids, and head bugs cause considerable damage to different plant parts at various growth stages</w:t>
      </w:r>
      <w:r w:rsidR="00B0509E" w:rsidRPr="003429C2">
        <w:rPr>
          <w:rFonts w:ascii="Arial" w:hAnsi="Arial" w:cs="Arial"/>
          <w:sz w:val="20"/>
          <w:szCs w:val="20"/>
        </w:rPr>
        <w:t xml:space="preserve"> </w:t>
      </w:r>
      <w:r w:rsidR="00B0509E" w:rsidRPr="003429C2">
        <w:rPr>
          <w:rFonts w:ascii="Arial" w:hAnsi="Arial" w:cs="Arial"/>
          <w:bCs/>
          <w:sz w:val="20"/>
          <w:szCs w:val="20"/>
        </w:rPr>
        <w:t>(Prasad et al., 2021)</w:t>
      </w:r>
      <w:r w:rsidRPr="003429C2">
        <w:rPr>
          <w:rFonts w:ascii="Arial" w:hAnsi="Arial" w:cs="Arial"/>
          <w:sz w:val="20"/>
          <w:szCs w:val="20"/>
        </w:rPr>
        <w:t>. The shoot fly, for instance, affects seedlings by boring into the central shoot and killing the apical meristem, resulting in "dead hearts." Stem borers weaken the plant structure and disrupt nutrient flow, leading to lodging and poor grain filling</w:t>
      </w:r>
      <w:r w:rsidR="00B0509E" w:rsidRPr="003429C2">
        <w:rPr>
          <w:rFonts w:ascii="Arial" w:hAnsi="Arial" w:cs="Arial"/>
          <w:sz w:val="20"/>
          <w:szCs w:val="20"/>
        </w:rPr>
        <w:t xml:space="preserve"> </w:t>
      </w:r>
      <w:r w:rsidR="00B0509E" w:rsidRPr="003429C2">
        <w:rPr>
          <w:rFonts w:ascii="Arial" w:hAnsi="Arial" w:cs="Arial"/>
          <w:bCs/>
          <w:sz w:val="20"/>
          <w:szCs w:val="20"/>
        </w:rPr>
        <w:t>(Dale, 1994)</w:t>
      </w:r>
      <w:r w:rsidRPr="003429C2">
        <w:rPr>
          <w:rFonts w:ascii="Arial" w:hAnsi="Arial" w:cs="Arial"/>
          <w:sz w:val="20"/>
          <w:szCs w:val="20"/>
        </w:rPr>
        <w:t xml:space="preserve">. Among </w:t>
      </w:r>
      <w:r w:rsidRPr="003429C2">
        <w:rPr>
          <w:rStyle w:val="Strong"/>
          <w:rFonts w:ascii="Arial" w:hAnsi="Arial" w:cs="Arial"/>
          <w:b w:val="0"/>
          <w:sz w:val="20"/>
          <w:szCs w:val="20"/>
        </w:rPr>
        <w:t>diseases</w:t>
      </w:r>
      <w:r w:rsidRPr="003429C2">
        <w:rPr>
          <w:rFonts w:ascii="Arial" w:hAnsi="Arial" w:cs="Arial"/>
          <w:b/>
          <w:sz w:val="20"/>
          <w:szCs w:val="20"/>
        </w:rPr>
        <w:t xml:space="preserve">, </w:t>
      </w:r>
      <w:r w:rsidRPr="003429C2">
        <w:rPr>
          <w:rStyle w:val="Strong"/>
          <w:rFonts w:ascii="Arial" w:hAnsi="Arial" w:cs="Arial"/>
          <w:b w:val="0"/>
          <w:sz w:val="20"/>
          <w:szCs w:val="20"/>
        </w:rPr>
        <w:t xml:space="preserve">grain </w:t>
      </w:r>
      <w:proofErr w:type="spellStart"/>
      <w:r w:rsidRPr="003429C2">
        <w:rPr>
          <w:rStyle w:val="Strong"/>
          <w:rFonts w:ascii="Arial" w:hAnsi="Arial" w:cs="Arial"/>
          <w:b w:val="0"/>
          <w:sz w:val="20"/>
          <w:szCs w:val="20"/>
        </w:rPr>
        <w:t>mold</w:t>
      </w:r>
      <w:proofErr w:type="spellEnd"/>
      <w:r w:rsidRPr="003429C2">
        <w:rPr>
          <w:rFonts w:ascii="Arial" w:hAnsi="Arial" w:cs="Arial"/>
          <w:b/>
          <w:sz w:val="20"/>
          <w:szCs w:val="20"/>
        </w:rPr>
        <w:t xml:space="preserve"> </w:t>
      </w:r>
      <w:r w:rsidRPr="003429C2">
        <w:rPr>
          <w:rFonts w:ascii="Arial" w:hAnsi="Arial" w:cs="Arial"/>
          <w:sz w:val="20"/>
          <w:szCs w:val="20"/>
        </w:rPr>
        <w:t>is a particularly severe problem, especially under humid conditions during grain maturity</w:t>
      </w:r>
      <w:r w:rsidR="00B0509E" w:rsidRPr="003429C2">
        <w:rPr>
          <w:rFonts w:ascii="Arial" w:hAnsi="Arial" w:cs="Arial"/>
          <w:bCs/>
          <w:sz w:val="20"/>
          <w:szCs w:val="20"/>
        </w:rPr>
        <w:t xml:space="preserve"> (Navi et al</w:t>
      </w:r>
      <w:r w:rsidR="003429C2">
        <w:rPr>
          <w:rFonts w:ascii="Arial" w:hAnsi="Arial" w:cs="Arial"/>
          <w:bCs/>
          <w:sz w:val="20"/>
          <w:szCs w:val="20"/>
        </w:rPr>
        <w:t>.</w:t>
      </w:r>
      <w:r w:rsidR="00B0509E" w:rsidRPr="003429C2">
        <w:rPr>
          <w:rFonts w:ascii="Arial" w:hAnsi="Arial" w:cs="Arial"/>
          <w:bCs/>
          <w:sz w:val="20"/>
          <w:szCs w:val="20"/>
        </w:rPr>
        <w:t>, 2005)</w:t>
      </w:r>
      <w:r w:rsidRPr="003429C2">
        <w:rPr>
          <w:rFonts w:ascii="Arial" w:hAnsi="Arial" w:cs="Arial"/>
          <w:sz w:val="20"/>
          <w:szCs w:val="20"/>
        </w:rPr>
        <w:t>. This complex disease, caused by a consortium of fungal pathogens, leads to grain discoloration, poor germination, and reduced marketability</w:t>
      </w:r>
      <w:r w:rsidR="00B0509E" w:rsidRPr="003429C2">
        <w:rPr>
          <w:rFonts w:ascii="Arial" w:hAnsi="Arial" w:cs="Arial"/>
          <w:sz w:val="20"/>
          <w:szCs w:val="20"/>
        </w:rPr>
        <w:t xml:space="preserve"> </w:t>
      </w:r>
      <w:r w:rsidR="00B0509E" w:rsidRPr="003429C2">
        <w:rPr>
          <w:rFonts w:ascii="Arial" w:hAnsi="Arial" w:cs="Arial"/>
          <w:bCs/>
          <w:sz w:val="20"/>
          <w:szCs w:val="20"/>
        </w:rPr>
        <w:t>(Little &amp; Perumal, 2019)</w:t>
      </w:r>
      <w:r w:rsidRPr="003429C2">
        <w:rPr>
          <w:rFonts w:ascii="Arial" w:hAnsi="Arial" w:cs="Arial"/>
          <w:sz w:val="20"/>
          <w:szCs w:val="20"/>
        </w:rPr>
        <w:t xml:space="preserve">. Other notable diseases include </w:t>
      </w:r>
      <w:r w:rsidRPr="003429C2">
        <w:rPr>
          <w:rStyle w:val="Strong"/>
          <w:rFonts w:ascii="Arial" w:hAnsi="Arial" w:cs="Arial"/>
          <w:b w:val="0"/>
          <w:sz w:val="20"/>
          <w:szCs w:val="20"/>
        </w:rPr>
        <w:t>anthracnose</w:t>
      </w:r>
      <w:r w:rsidRPr="003429C2">
        <w:rPr>
          <w:rFonts w:ascii="Arial" w:hAnsi="Arial" w:cs="Arial"/>
          <w:b/>
          <w:sz w:val="20"/>
          <w:szCs w:val="20"/>
        </w:rPr>
        <w:t xml:space="preserve">, </w:t>
      </w:r>
      <w:r w:rsidRPr="003429C2">
        <w:rPr>
          <w:rStyle w:val="Strong"/>
          <w:rFonts w:ascii="Arial" w:hAnsi="Arial" w:cs="Arial"/>
          <w:b w:val="0"/>
          <w:sz w:val="20"/>
          <w:szCs w:val="20"/>
        </w:rPr>
        <w:t>downy mildew</w:t>
      </w:r>
      <w:r w:rsidRPr="003429C2">
        <w:rPr>
          <w:rFonts w:ascii="Arial" w:hAnsi="Arial" w:cs="Arial"/>
          <w:b/>
          <w:sz w:val="20"/>
          <w:szCs w:val="20"/>
        </w:rPr>
        <w:t xml:space="preserve">, </w:t>
      </w:r>
      <w:r w:rsidRPr="003429C2">
        <w:rPr>
          <w:rStyle w:val="Strong"/>
          <w:rFonts w:ascii="Arial" w:hAnsi="Arial" w:cs="Arial"/>
          <w:b w:val="0"/>
          <w:sz w:val="20"/>
          <w:szCs w:val="20"/>
        </w:rPr>
        <w:t>charcoal rot</w:t>
      </w:r>
      <w:r w:rsidRPr="003429C2">
        <w:rPr>
          <w:rFonts w:ascii="Arial" w:hAnsi="Arial" w:cs="Arial"/>
          <w:b/>
          <w:sz w:val="20"/>
          <w:szCs w:val="20"/>
        </w:rPr>
        <w:t xml:space="preserve">, </w:t>
      </w:r>
      <w:r w:rsidRPr="003429C2">
        <w:rPr>
          <w:rFonts w:ascii="Arial" w:hAnsi="Arial" w:cs="Arial"/>
          <w:sz w:val="20"/>
          <w:szCs w:val="20"/>
        </w:rPr>
        <w:t>and</w:t>
      </w:r>
      <w:r w:rsidRPr="003429C2">
        <w:rPr>
          <w:rFonts w:ascii="Arial" w:hAnsi="Arial" w:cs="Arial"/>
          <w:b/>
          <w:sz w:val="20"/>
          <w:szCs w:val="20"/>
        </w:rPr>
        <w:t xml:space="preserve"> </w:t>
      </w:r>
      <w:r w:rsidRPr="003429C2">
        <w:rPr>
          <w:rStyle w:val="Strong"/>
          <w:rFonts w:ascii="Arial" w:hAnsi="Arial" w:cs="Arial"/>
          <w:b w:val="0"/>
          <w:sz w:val="20"/>
          <w:szCs w:val="20"/>
        </w:rPr>
        <w:t>leaf</w:t>
      </w:r>
      <w:r w:rsidRPr="003429C2">
        <w:rPr>
          <w:rStyle w:val="Strong"/>
          <w:rFonts w:ascii="Arial" w:hAnsi="Arial" w:cs="Arial"/>
          <w:sz w:val="20"/>
          <w:szCs w:val="20"/>
        </w:rPr>
        <w:t xml:space="preserve"> </w:t>
      </w:r>
      <w:r w:rsidRPr="003429C2">
        <w:rPr>
          <w:rStyle w:val="Strong"/>
          <w:rFonts w:ascii="Arial" w:hAnsi="Arial" w:cs="Arial"/>
          <w:b w:val="0"/>
          <w:sz w:val="20"/>
          <w:szCs w:val="20"/>
        </w:rPr>
        <w:t>blight</w:t>
      </w:r>
      <w:r w:rsidRPr="003429C2">
        <w:rPr>
          <w:rFonts w:ascii="Arial" w:hAnsi="Arial" w:cs="Arial"/>
          <w:b/>
          <w:sz w:val="20"/>
          <w:szCs w:val="20"/>
        </w:rPr>
        <w:t>.</w:t>
      </w:r>
      <w:r w:rsidRPr="003429C2">
        <w:rPr>
          <w:rFonts w:ascii="Arial" w:hAnsi="Arial" w:cs="Arial"/>
          <w:sz w:val="20"/>
          <w:szCs w:val="20"/>
        </w:rPr>
        <w:t xml:space="preserve"> These pathogens not only reduce yield but also compromise fodder quality, further affecting livestock productivity in integrated farming systems. Compounding these challenges is the evolving </w:t>
      </w:r>
      <w:r w:rsidRPr="003429C2">
        <w:rPr>
          <w:rStyle w:val="Strong"/>
          <w:rFonts w:ascii="Arial" w:hAnsi="Arial" w:cs="Arial"/>
          <w:b w:val="0"/>
          <w:sz w:val="20"/>
          <w:szCs w:val="20"/>
        </w:rPr>
        <w:t>pathogen and pest diversity</w:t>
      </w:r>
      <w:r w:rsidRPr="003429C2">
        <w:rPr>
          <w:rFonts w:ascii="Arial" w:hAnsi="Arial" w:cs="Arial"/>
          <w:b/>
          <w:sz w:val="20"/>
          <w:szCs w:val="20"/>
        </w:rPr>
        <w:t>,</w:t>
      </w:r>
      <w:r w:rsidRPr="003429C2">
        <w:rPr>
          <w:rFonts w:ascii="Arial" w:hAnsi="Arial" w:cs="Arial"/>
          <w:sz w:val="20"/>
          <w:szCs w:val="20"/>
        </w:rPr>
        <w:t xml:space="preserve"> often driven by changing climatic patterns and cropping practices. Many traditional landraces and even some improved cultivars have shown increasing vulnerability, necessitating constant breeding for resistance using diverse germplasm sources and molecular tools</w:t>
      </w:r>
      <w:r w:rsidR="001845CF" w:rsidRPr="003429C2">
        <w:rPr>
          <w:rFonts w:ascii="Arial" w:hAnsi="Arial" w:cs="Arial"/>
          <w:sz w:val="20"/>
          <w:szCs w:val="20"/>
        </w:rPr>
        <w:t xml:space="preserve"> </w:t>
      </w:r>
      <w:r w:rsidR="001845CF" w:rsidRPr="003429C2">
        <w:rPr>
          <w:rFonts w:ascii="Arial" w:hAnsi="Arial" w:cs="Arial"/>
          <w:bCs/>
          <w:sz w:val="20"/>
          <w:szCs w:val="20"/>
        </w:rPr>
        <w:t>(Hao et al., 2021)</w:t>
      </w:r>
      <w:r w:rsidRPr="003429C2">
        <w:rPr>
          <w:rFonts w:ascii="Arial" w:hAnsi="Arial" w:cs="Arial"/>
          <w:sz w:val="20"/>
          <w:szCs w:val="20"/>
        </w:rPr>
        <w:t>.</w:t>
      </w:r>
    </w:p>
    <w:p w14:paraId="75FE3B69" w14:textId="77777777" w:rsidR="00647A63" w:rsidRPr="002A7A4B" w:rsidRDefault="00647A63" w:rsidP="002A7A4B">
      <w:pPr>
        <w:pStyle w:val="Heading3"/>
        <w:jc w:val="both"/>
        <w:rPr>
          <w:rFonts w:ascii="Arial" w:hAnsi="Arial" w:cs="Arial"/>
          <w:sz w:val="20"/>
          <w:szCs w:val="20"/>
        </w:rPr>
      </w:pPr>
      <w:r w:rsidRPr="002A7A4B">
        <w:rPr>
          <w:rFonts w:ascii="Arial" w:hAnsi="Arial" w:cs="Arial"/>
          <w:sz w:val="20"/>
          <w:szCs w:val="20"/>
        </w:rPr>
        <w:t>2.3 Nutritional and Industrial Quality Considerations</w:t>
      </w:r>
    </w:p>
    <w:p w14:paraId="353A1997" w14:textId="66AD6941" w:rsidR="00647A63" w:rsidRPr="003429C2" w:rsidRDefault="00647A63" w:rsidP="002A7A4B">
      <w:pPr>
        <w:pStyle w:val="NormalWeb"/>
        <w:jc w:val="both"/>
        <w:rPr>
          <w:rFonts w:ascii="Arial" w:hAnsi="Arial" w:cs="Arial"/>
          <w:sz w:val="20"/>
          <w:szCs w:val="20"/>
        </w:rPr>
      </w:pPr>
      <w:r w:rsidRPr="003429C2">
        <w:rPr>
          <w:rFonts w:ascii="Arial" w:hAnsi="Arial" w:cs="Arial"/>
          <w:sz w:val="20"/>
          <w:szCs w:val="20"/>
        </w:rPr>
        <w:t xml:space="preserve">Apart from combating stresses, modern sorghum breeding must also address </w:t>
      </w:r>
      <w:r w:rsidRPr="003429C2">
        <w:rPr>
          <w:rStyle w:val="Strong"/>
          <w:rFonts w:ascii="Arial" w:hAnsi="Arial" w:cs="Arial"/>
          <w:b w:val="0"/>
          <w:sz w:val="20"/>
          <w:szCs w:val="20"/>
        </w:rPr>
        <w:t>quality traits</w:t>
      </w:r>
      <w:r w:rsidRPr="003429C2">
        <w:rPr>
          <w:rFonts w:ascii="Arial" w:hAnsi="Arial" w:cs="Arial"/>
          <w:sz w:val="20"/>
          <w:szCs w:val="20"/>
        </w:rPr>
        <w:t xml:space="preserve"> that influence the grain’s acceptability for food, feed, and industrial applications</w:t>
      </w:r>
      <w:r w:rsidR="001845CF" w:rsidRPr="003429C2">
        <w:rPr>
          <w:rFonts w:ascii="Arial" w:hAnsi="Arial" w:cs="Arial"/>
          <w:sz w:val="20"/>
          <w:szCs w:val="20"/>
        </w:rPr>
        <w:t xml:space="preserve"> (</w:t>
      </w:r>
      <w:proofErr w:type="spellStart"/>
      <w:r w:rsidR="001845CF" w:rsidRPr="003429C2">
        <w:rPr>
          <w:rFonts w:ascii="Arial" w:hAnsi="Arial" w:cs="Arial"/>
          <w:bCs/>
          <w:sz w:val="20"/>
          <w:szCs w:val="20"/>
        </w:rPr>
        <w:t>Mwamahonje</w:t>
      </w:r>
      <w:proofErr w:type="spellEnd"/>
      <w:r w:rsidR="001845CF" w:rsidRPr="003429C2">
        <w:rPr>
          <w:rFonts w:ascii="Arial" w:hAnsi="Arial" w:cs="Arial"/>
          <w:bCs/>
          <w:sz w:val="20"/>
          <w:szCs w:val="20"/>
        </w:rPr>
        <w:t xml:space="preserve"> et al., 2024)</w:t>
      </w:r>
      <w:r w:rsidRPr="003429C2">
        <w:rPr>
          <w:rFonts w:ascii="Arial" w:hAnsi="Arial" w:cs="Arial"/>
          <w:sz w:val="20"/>
          <w:szCs w:val="20"/>
        </w:rPr>
        <w:t xml:space="preserve">. For human consumption, especially in regions where sorghum is a dietary staple, </w:t>
      </w:r>
      <w:r w:rsidRPr="003429C2">
        <w:rPr>
          <w:rStyle w:val="Strong"/>
          <w:rFonts w:ascii="Arial" w:hAnsi="Arial" w:cs="Arial"/>
          <w:b w:val="0"/>
          <w:sz w:val="20"/>
          <w:szCs w:val="20"/>
        </w:rPr>
        <w:t>grain quality traits</w:t>
      </w:r>
      <w:r w:rsidRPr="003429C2">
        <w:rPr>
          <w:rFonts w:ascii="Arial" w:hAnsi="Arial" w:cs="Arial"/>
          <w:sz w:val="20"/>
          <w:szCs w:val="20"/>
        </w:rPr>
        <w:t xml:space="preserve"> such as kernel size, endosperm texture, starch composition, protein content, and anti-nutritional factors are of paramount importance</w:t>
      </w:r>
      <w:r w:rsidR="001845CF" w:rsidRPr="003429C2">
        <w:rPr>
          <w:rFonts w:ascii="Arial" w:hAnsi="Arial" w:cs="Arial"/>
          <w:sz w:val="20"/>
          <w:szCs w:val="20"/>
        </w:rPr>
        <w:t xml:space="preserve"> </w:t>
      </w:r>
      <w:r w:rsidR="001845CF" w:rsidRPr="003429C2">
        <w:rPr>
          <w:rFonts w:ascii="Arial" w:hAnsi="Arial" w:cs="Arial"/>
          <w:bCs/>
          <w:sz w:val="20"/>
          <w:szCs w:val="20"/>
        </w:rPr>
        <w:t>(</w:t>
      </w:r>
      <w:proofErr w:type="spellStart"/>
      <w:r w:rsidR="001845CF" w:rsidRPr="003429C2">
        <w:rPr>
          <w:rFonts w:ascii="Arial" w:hAnsi="Arial" w:cs="Arial"/>
          <w:bCs/>
          <w:sz w:val="20"/>
          <w:szCs w:val="20"/>
        </w:rPr>
        <w:t>Endalamaw</w:t>
      </w:r>
      <w:proofErr w:type="spellEnd"/>
      <w:r w:rsidR="001845CF" w:rsidRPr="003429C2">
        <w:rPr>
          <w:rFonts w:ascii="Arial" w:hAnsi="Arial" w:cs="Arial"/>
          <w:bCs/>
          <w:sz w:val="20"/>
          <w:szCs w:val="20"/>
        </w:rPr>
        <w:t xml:space="preserve"> et al., 2025)</w:t>
      </w:r>
      <w:r w:rsidRPr="003429C2">
        <w:rPr>
          <w:rFonts w:ascii="Arial" w:hAnsi="Arial" w:cs="Arial"/>
          <w:sz w:val="20"/>
          <w:szCs w:val="20"/>
        </w:rPr>
        <w:t xml:space="preserve">. Consumer preferences often </w:t>
      </w:r>
      <w:proofErr w:type="spellStart"/>
      <w:r w:rsidRPr="003429C2">
        <w:rPr>
          <w:rFonts w:ascii="Arial" w:hAnsi="Arial" w:cs="Arial"/>
          <w:sz w:val="20"/>
          <w:szCs w:val="20"/>
        </w:rPr>
        <w:t>favor</w:t>
      </w:r>
      <w:proofErr w:type="spellEnd"/>
      <w:r w:rsidRPr="003429C2">
        <w:rPr>
          <w:rFonts w:ascii="Arial" w:hAnsi="Arial" w:cs="Arial"/>
          <w:sz w:val="20"/>
          <w:szCs w:val="20"/>
        </w:rPr>
        <w:t xml:space="preserve"> bold, white, and lustrous grains that are easy to dehull and process. Sorghum's </w:t>
      </w:r>
      <w:r w:rsidRPr="003429C2">
        <w:rPr>
          <w:rStyle w:val="Strong"/>
          <w:rFonts w:ascii="Arial" w:hAnsi="Arial" w:cs="Arial"/>
          <w:b w:val="0"/>
          <w:sz w:val="20"/>
          <w:szCs w:val="20"/>
        </w:rPr>
        <w:t>nutritional profile</w:t>
      </w:r>
      <w:r w:rsidRPr="003429C2">
        <w:rPr>
          <w:rFonts w:ascii="Arial" w:hAnsi="Arial" w:cs="Arial"/>
          <w:sz w:val="20"/>
          <w:szCs w:val="20"/>
        </w:rPr>
        <w:t xml:space="preserve"> including its richness in complex carbohydrates, iron, zinc, and antioxidants makes it a promising crop for addressing micronutrient malnutrition</w:t>
      </w:r>
      <w:r w:rsidR="001845CF" w:rsidRPr="003429C2">
        <w:rPr>
          <w:rFonts w:ascii="Arial" w:hAnsi="Arial" w:cs="Arial"/>
          <w:bCs/>
          <w:sz w:val="20"/>
          <w:szCs w:val="20"/>
        </w:rPr>
        <w:t xml:space="preserve"> (More et al., 2024)</w:t>
      </w:r>
      <w:r w:rsidRPr="003429C2">
        <w:rPr>
          <w:rFonts w:ascii="Arial" w:hAnsi="Arial" w:cs="Arial"/>
          <w:sz w:val="20"/>
          <w:szCs w:val="20"/>
        </w:rPr>
        <w:t xml:space="preserve">. However, the presence of </w:t>
      </w:r>
      <w:r w:rsidRPr="003429C2">
        <w:rPr>
          <w:rStyle w:val="Strong"/>
          <w:rFonts w:ascii="Arial" w:hAnsi="Arial" w:cs="Arial"/>
          <w:b w:val="0"/>
          <w:sz w:val="20"/>
          <w:szCs w:val="20"/>
        </w:rPr>
        <w:t>anti-nutritional factors</w:t>
      </w:r>
      <w:r w:rsidRPr="003429C2">
        <w:rPr>
          <w:rFonts w:ascii="Arial" w:hAnsi="Arial" w:cs="Arial"/>
          <w:sz w:val="20"/>
          <w:szCs w:val="20"/>
        </w:rPr>
        <w:t xml:space="preserve"> such as tannins and phytates in certain genotypes can limit nutrient bioavailability. Thus, breeding programs aim to balance nutritional enhancement with reductions in these compounds. In the </w:t>
      </w:r>
      <w:r w:rsidRPr="003429C2">
        <w:rPr>
          <w:rStyle w:val="Strong"/>
          <w:rFonts w:ascii="Arial" w:hAnsi="Arial" w:cs="Arial"/>
          <w:b w:val="0"/>
          <w:sz w:val="20"/>
          <w:szCs w:val="20"/>
        </w:rPr>
        <w:t>industrial sector</w:t>
      </w:r>
      <w:r w:rsidRPr="003429C2">
        <w:rPr>
          <w:rFonts w:ascii="Arial" w:hAnsi="Arial" w:cs="Arial"/>
          <w:b/>
          <w:sz w:val="20"/>
          <w:szCs w:val="20"/>
        </w:rPr>
        <w:t>,</w:t>
      </w:r>
      <w:r w:rsidRPr="003429C2">
        <w:rPr>
          <w:rFonts w:ascii="Arial" w:hAnsi="Arial" w:cs="Arial"/>
          <w:sz w:val="20"/>
          <w:szCs w:val="20"/>
        </w:rPr>
        <w:t xml:space="preserve"> sorghum serves as a key raw material for bioethanol production, brewing, and starch manufacturing</w:t>
      </w:r>
      <w:r w:rsidR="001845CF" w:rsidRPr="003429C2">
        <w:rPr>
          <w:rFonts w:ascii="Arial" w:hAnsi="Arial" w:cs="Arial"/>
          <w:sz w:val="20"/>
          <w:szCs w:val="20"/>
        </w:rPr>
        <w:t xml:space="preserve"> </w:t>
      </w:r>
      <w:r w:rsidR="001845CF" w:rsidRPr="003429C2">
        <w:rPr>
          <w:rFonts w:ascii="Arial" w:hAnsi="Arial" w:cs="Arial"/>
          <w:bCs/>
          <w:sz w:val="20"/>
          <w:szCs w:val="20"/>
        </w:rPr>
        <w:t>(Dabija et al</w:t>
      </w:r>
      <w:r w:rsidR="003429C2">
        <w:rPr>
          <w:rFonts w:ascii="Arial" w:hAnsi="Arial" w:cs="Arial"/>
          <w:bCs/>
          <w:sz w:val="20"/>
          <w:szCs w:val="20"/>
        </w:rPr>
        <w:t>.</w:t>
      </w:r>
      <w:r w:rsidR="001845CF" w:rsidRPr="003429C2">
        <w:rPr>
          <w:rFonts w:ascii="Arial" w:hAnsi="Arial" w:cs="Arial"/>
          <w:bCs/>
          <w:sz w:val="20"/>
          <w:szCs w:val="20"/>
        </w:rPr>
        <w:t>, 2021)</w:t>
      </w:r>
      <w:r w:rsidRPr="003429C2">
        <w:rPr>
          <w:rFonts w:ascii="Arial" w:hAnsi="Arial" w:cs="Arial"/>
          <w:sz w:val="20"/>
          <w:szCs w:val="20"/>
        </w:rPr>
        <w:t xml:space="preserve">. For these uses, traits such as </w:t>
      </w:r>
      <w:r w:rsidRPr="003429C2">
        <w:rPr>
          <w:rStyle w:val="Strong"/>
          <w:rFonts w:ascii="Arial" w:hAnsi="Arial" w:cs="Arial"/>
          <w:b w:val="0"/>
          <w:sz w:val="20"/>
          <w:szCs w:val="20"/>
        </w:rPr>
        <w:t>high biomass</w:t>
      </w:r>
      <w:r w:rsidRPr="003429C2">
        <w:rPr>
          <w:rFonts w:ascii="Arial" w:hAnsi="Arial" w:cs="Arial"/>
          <w:b/>
          <w:sz w:val="20"/>
          <w:szCs w:val="20"/>
        </w:rPr>
        <w:t xml:space="preserve">, </w:t>
      </w:r>
      <w:r w:rsidRPr="003429C2">
        <w:rPr>
          <w:rStyle w:val="Strong"/>
          <w:rFonts w:ascii="Arial" w:hAnsi="Arial" w:cs="Arial"/>
          <w:b w:val="0"/>
          <w:sz w:val="20"/>
          <w:szCs w:val="20"/>
        </w:rPr>
        <w:t>sugar-rich stalks</w:t>
      </w:r>
      <w:r w:rsidRPr="003429C2">
        <w:rPr>
          <w:rFonts w:ascii="Arial" w:hAnsi="Arial" w:cs="Arial"/>
          <w:b/>
          <w:sz w:val="20"/>
          <w:szCs w:val="20"/>
        </w:rPr>
        <w:t xml:space="preserve">, </w:t>
      </w:r>
      <w:r w:rsidRPr="003429C2">
        <w:rPr>
          <w:rStyle w:val="Strong"/>
          <w:rFonts w:ascii="Arial" w:hAnsi="Arial" w:cs="Arial"/>
          <w:b w:val="0"/>
          <w:sz w:val="20"/>
          <w:szCs w:val="20"/>
        </w:rPr>
        <w:t>low lignin content</w:t>
      </w:r>
      <w:r w:rsidRPr="003429C2">
        <w:rPr>
          <w:rFonts w:ascii="Arial" w:hAnsi="Arial" w:cs="Arial"/>
          <w:b/>
          <w:sz w:val="20"/>
          <w:szCs w:val="20"/>
        </w:rPr>
        <w:t>,</w:t>
      </w:r>
      <w:r w:rsidRPr="003429C2">
        <w:rPr>
          <w:rFonts w:ascii="Arial" w:hAnsi="Arial" w:cs="Arial"/>
          <w:sz w:val="20"/>
          <w:szCs w:val="20"/>
        </w:rPr>
        <w:t xml:space="preserve"> and </w:t>
      </w:r>
      <w:r w:rsidRPr="003429C2">
        <w:rPr>
          <w:rStyle w:val="Strong"/>
          <w:rFonts w:ascii="Arial" w:hAnsi="Arial" w:cs="Arial"/>
          <w:b w:val="0"/>
          <w:sz w:val="20"/>
          <w:szCs w:val="20"/>
        </w:rPr>
        <w:t>fermentation efficiency</w:t>
      </w:r>
      <w:r w:rsidRPr="003429C2">
        <w:rPr>
          <w:rFonts w:ascii="Arial" w:hAnsi="Arial" w:cs="Arial"/>
          <w:sz w:val="20"/>
          <w:szCs w:val="20"/>
        </w:rPr>
        <w:t xml:space="preserve"> are highly desirable. Breeding for industrial end-use traits is particularly relevant in countries that have prioritized renewable energy sources and are expanding biofuel infrastructure.</w:t>
      </w:r>
    </w:p>
    <w:p w14:paraId="10F485CF" w14:textId="77777777" w:rsidR="00647A63" w:rsidRPr="002A7A4B" w:rsidRDefault="00647A63" w:rsidP="002A7A4B">
      <w:pPr>
        <w:pStyle w:val="Heading3"/>
        <w:jc w:val="both"/>
        <w:rPr>
          <w:rFonts w:ascii="Arial" w:hAnsi="Arial" w:cs="Arial"/>
          <w:sz w:val="20"/>
          <w:szCs w:val="20"/>
        </w:rPr>
      </w:pPr>
      <w:r w:rsidRPr="002A7A4B">
        <w:rPr>
          <w:rFonts w:ascii="Arial" w:hAnsi="Arial" w:cs="Arial"/>
          <w:sz w:val="20"/>
          <w:szCs w:val="20"/>
        </w:rPr>
        <w:t>2.4 Breeding Goals and Strategic Objectives</w:t>
      </w:r>
    </w:p>
    <w:p w14:paraId="0FBE0269" w14:textId="77777777" w:rsidR="00647A63" w:rsidRPr="002A7A4B" w:rsidRDefault="00647A63" w:rsidP="002A7A4B">
      <w:pPr>
        <w:pStyle w:val="NormalWeb"/>
        <w:jc w:val="both"/>
        <w:rPr>
          <w:rFonts w:ascii="Arial" w:hAnsi="Arial" w:cs="Arial"/>
          <w:sz w:val="20"/>
          <w:szCs w:val="20"/>
        </w:rPr>
      </w:pPr>
      <w:r w:rsidRPr="002A7A4B">
        <w:rPr>
          <w:rFonts w:ascii="Arial" w:hAnsi="Arial" w:cs="Arial"/>
          <w:sz w:val="20"/>
          <w:szCs w:val="20"/>
        </w:rPr>
        <w:t xml:space="preserve">Given the wide spectrum of constraints and evolving demands, sorghum breeding programs have adopted a </w:t>
      </w:r>
      <w:r w:rsidRPr="002A7A4B">
        <w:rPr>
          <w:rStyle w:val="Strong"/>
          <w:rFonts w:ascii="Arial" w:hAnsi="Arial" w:cs="Arial"/>
          <w:b w:val="0"/>
          <w:sz w:val="20"/>
          <w:szCs w:val="20"/>
        </w:rPr>
        <w:t>multi-dimensional approach</w:t>
      </w:r>
      <w:r w:rsidRPr="002A7A4B">
        <w:rPr>
          <w:rFonts w:ascii="Arial" w:hAnsi="Arial" w:cs="Arial"/>
          <w:sz w:val="20"/>
          <w:szCs w:val="20"/>
        </w:rPr>
        <w:t xml:space="preserve"> with the following primary objectives:</w:t>
      </w:r>
    </w:p>
    <w:p w14:paraId="076F3011" w14:textId="7564CB3A"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t>Yield Improvement</w:t>
      </w:r>
      <w:r w:rsidRPr="002A7A4B">
        <w:rPr>
          <w:rFonts w:ascii="Arial" w:hAnsi="Arial" w:cs="Arial"/>
          <w:sz w:val="20"/>
          <w:szCs w:val="20"/>
        </w:rPr>
        <w:t xml:space="preserve">: The fundamental goal of any breeding program is to develop high-yielding cultivars that outperform existing varieties under both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and stress-prone environments. This includes maximizing grain yield potential as well as stability across diverse </w:t>
      </w:r>
      <w:proofErr w:type="spellStart"/>
      <w:r w:rsidRPr="002A7A4B">
        <w:rPr>
          <w:rFonts w:ascii="Arial" w:hAnsi="Arial" w:cs="Arial"/>
          <w:sz w:val="20"/>
          <w:szCs w:val="20"/>
        </w:rPr>
        <w:t>agro</w:t>
      </w:r>
      <w:proofErr w:type="spellEnd"/>
      <w:r w:rsidRPr="002A7A4B">
        <w:rPr>
          <w:rFonts w:ascii="Arial" w:hAnsi="Arial" w:cs="Arial"/>
          <w:sz w:val="20"/>
          <w:szCs w:val="20"/>
        </w:rPr>
        <w:t>-</w:t>
      </w:r>
      <w:r w:rsidRPr="003429C2">
        <w:rPr>
          <w:rFonts w:ascii="Arial" w:hAnsi="Arial" w:cs="Arial"/>
          <w:sz w:val="20"/>
          <w:szCs w:val="20"/>
        </w:rPr>
        <w:t>ecological zones</w:t>
      </w:r>
      <w:r w:rsidR="00E40CF2" w:rsidRPr="003429C2">
        <w:rPr>
          <w:rFonts w:ascii="Arial" w:hAnsi="Arial" w:cs="Arial"/>
          <w:sz w:val="20"/>
          <w:szCs w:val="20"/>
        </w:rPr>
        <w:t xml:space="preserve"> </w:t>
      </w:r>
      <w:r w:rsidR="00E40CF2" w:rsidRPr="003429C2">
        <w:rPr>
          <w:rFonts w:ascii="Arial" w:hAnsi="Arial" w:cs="Arial"/>
          <w:bCs/>
          <w:sz w:val="20"/>
          <w:szCs w:val="20"/>
        </w:rPr>
        <w:t>(Singh, 2014)</w:t>
      </w:r>
      <w:r w:rsidRPr="003429C2">
        <w:rPr>
          <w:rFonts w:ascii="Arial" w:hAnsi="Arial" w:cs="Arial"/>
          <w:sz w:val="20"/>
          <w:szCs w:val="20"/>
        </w:rPr>
        <w:t>.</w:t>
      </w:r>
    </w:p>
    <w:p w14:paraId="4F93BF50" w14:textId="6897B2D9"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t>Abiotic Stress Resilience</w:t>
      </w:r>
      <w:r w:rsidRPr="002A7A4B">
        <w:rPr>
          <w:rFonts w:ascii="Arial" w:hAnsi="Arial" w:cs="Arial"/>
          <w:sz w:val="20"/>
          <w:szCs w:val="20"/>
        </w:rPr>
        <w:t>: Breeders aim to enhance tolerance to drought, heat, and salinity by identifying and incorporating genes or quantitative trait loci (QTLs) that regulate root architecture, transpiration efficiency, stay-green traits, and osmotic adjustment</w:t>
      </w:r>
      <w:r w:rsidR="00E40CF2" w:rsidRPr="002A7A4B">
        <w:rPr>
          <w:rFonts w:ascii="Arial" w:hAnsi="Arial" w:cs="Arial"/>
          <w:sz w:val="20"/>
          <w:szCs w:val="20"/>
        </w:rPr>
        <w:t xml:space="preserve"> </w:t>
      </w:r>
      <w:r w:rsidR="00E40CF2" w:rsidRPr="003429C2">
        <w:rPr>
          <w:rFonts w:ascii="Arial" w:hAnsi="Arial" w:cs="Arial"/>
          <w:bCs/>
          <w:sz w:val="20"/>
          <w:szCs w:val="20"/>
        </w:rPr>
        <w:t>(Prasad et al., 2021)</w:t>
      </w:r>
      <w:r w:rsidRPr="003429C2">
        <w:rPr>
          <w:rFonts w:ascii="Arial" w:hAnsi="Arial" w:cs="Arial"/>
          <w:sz w:val="20"/>
          <w:szCs w:val="20"/>
        </w:rPr>
        <w:t>.</w:t>
      </w:r>
      <w:r w:rsidRPr="002A7A4B">
        <w:rPr>
          <w:rFonts w:ascii="Arial" w:hAnsi="Arial" w:cs="Arial"/>
          <w:sz w:val="20"/>
          <w:szCs w:val="20"/>
        </w:rPr>
        <w:t xml:space="preserve"> The development of resilient genotypes ensures sustainable yields under climate variability.</w:t>
      </w:r>
    </w:p>
    <w:p w14:paraId="721F304F" w14:textId="152B984F"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t>Biotic Stress Resistance</w:t>
      </w:r>
      <w:r w:rsidRPr="002A7A4B">
        <w:rPr>
          <w:rFonts w:ascii="Arial" w:hAnsi="Arial" w:cs="Arial"/>
          <w:sz w:val="20"/>
          <w:szCs w:val="20"/>
        </w:rPr>
        <w:t xml:space="preserve">: Enhancing resistance to insect pests and diseases through host plant resistance is a cornerstone of sorghum improvement. Breeding strategies now incorporate marker-assisted selection to </w:t>
      </w:r>
      <w:proofErr w:type="spellStart"/>
      <w:r w:rsidRPr="002A7A4B">
        <w:rPr>
          <w:rFonts w:ascii="Arial" w:hAnsi="Arial" w:cs="Arial"/>
          <w:sz w:val="20"/>
          <w:szCs w:val="20"/>
        </w:rPr>
        <w:t>introgress</w:t>
      </w:r>
      <w:proofErr w:type="spellEnd"/>
      <w:r w:rsidRPr="002A7A4B">
        <w:rPr>
          <w:rFonts w:ascii="Arial" w:hAnsi="Arial" w:cs="Arial"/>
          <w:sz w:val="20"/>
          <w:szCs w:val="20"/>
        </w:rPr>
        <w:t xml:space="preserve"> resistance genes more precisely and </w:t>
      </w:r>
      <w:r w:rsidRPr="003429C2">
        <w:rPr>
          <w:rFonts w:ascii="Arial" w:hAnsi="Arial" w:cs="Arial"/>
          <w:sz w:val="20"/>
          <w:szCs w:val="20"/>
        </w:rPr>
        <w:t>efficiently</w:t>
      </w:r>
      <w:r w:rsidR="00E40CF2" w:rsidRPr="003429C2">
        <w:rPr>
          <w:rFonts w:ascii="Arial" w:hAnsi="Arial" w:cs="Arial"/>
          <w:sz w:val="20"/>
          <w:szCs w:val="20"/>
        </w:rPr>
        <w:t xml:space="preserve"> </w:t>
      </w:r>
      <w:r w:rsidR="00E40CF2" w:rsidRPr="003429C2">
        <w:rPr>
          <w:rFonts w:ascii="Arial" w:hAnsi="Arial" w:cs="Arial"/>
          <w:bCs/>
          <w:sz w:val="20"/>
          <w:szCs w:val="20"/>
        </w:rPr>
        <w:t>(</w:t>
      </w:r>
      <w:proofErr w:type="spellStart"/>
      <w:r w:rsidR="00E40CF2" w:rsidRPr="003429C2">
        <w:rPr>
          <w:rFonts w:ascii="Arial" w:hAnsi="Arial" w:cs="Arial"/>
          <w:bCs/>
          <w:sz w:val="20"/>
          <w:szCs w:val="20"/>
        </w:rPr>
        <w:t>Onkarappa</w:t>
      </w:r>
      <w:proofErr w:type="spellEnd"/>
      <w:r w:rsidR="00E40CF2" w:rsidRPr="003429C2">
        <w:rPr>
          <w:rFonts w:ascii="Arial" w:hAnsi="Arial" w:cs="Arial"/>
          <w:bCs/>
          <w:sz w:val="20"/>
          <w:szCs w:val="20"/>
        </w:rPr>
        <w:t xml:space="preserve"> et al., 2024)</w:t>
      </w:r>
      <w:r w:rsidRPr="003429C2">
        <w:rPr>
          <w:rFonts w:ascii="Arial" w:hAnsi="Arial" w:cs="Arial"/>
          <w:sz w:val="20"/>
          <w:szCs w:val="20"/>
        </w:rPr>
        <w:t>.</w:t>
      </w:r>
    </w:p>
    <w:p w14:paraId="318D3525" w14:textId="012C28B7"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t>Grain Quality and Nutritional Enhancement</w:t>
      </w:r>
      <w:r w:rsidRPr="002A7A4B">
        <w:rPr>
          <w:rFonts w:ascii="Arial" w:hAnsi="Arial" w:cs="Arial"/>
          <w:sz w:val="20"/>
          <w:szCs w:val="20"/>
        </w:rPr>
        <w:t xml:space="preserve">: Improving grain palatability, appearance, and processing attributes while enhancing micronutrient content remains a core breeding goal, especially for food-grade sorghum. This also includes breeding for low-tannin and digestible protein </w:t>
      </w:r>
      <w:r w:rsidRPr="003429C2">
        <w:rPr>
          <w:rFonts w:ascii="Arial" w:hAnsi="Arial" w:cs="Arial"/>
          <w:sz w:val="20"/>
          <w:szCs w:val="20"/>
        </w:rPr>
        <w:t>genotypes</w:t>
      </w:r>
      <w:r w:rsidR="00E40CF2" w:rsidRPr="003429C2">
        <w:rPr>
          <w:rFonts w:ascii="Arial" w:hAnsi="Arial" w:cs="Arial"/>
          <w:sz w:val="20"/>
          <w:szCs w:val="20"/>
        </w:rPr>
        <w:t xml:space="preserve"> </w:t>
      </w:r>
      <w:r w:rsidR="00E40CF2" w:rsidRPr="003429C2">
        <w:rPr>
          <w:rFonts w:ascii="Arial" w:hAnsi="Arial" w:cs="Arial"/>
          <w:bCs/>
          <w:sz w:val="20"/>
          <w:szCs w:val="20"/>
        </w:rPr>
        <w:t>(Rooney, 2000)</w:t>
      </w:r>
      <w:r w:rsidRPr="003429C2">
        <w:rPr>
          <w:rFonts w:ascii="Arial" w:hAnsi="Arial" w:cs="Arial"/>
          <w:sz w:val="20"/>
          <w:szCs w:val="20"/>
        </w:rPr>
        <w:t>.</w:t>
      </w:r>
    </w:p>
    <w:p w14:paraId="113C9C65" w14:textId="5C09F0E5"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t>Suitability for Industrial Applications</w:t>
      </w:r>
      <w:r w:rsidRPr="002A7A4B">
        <w:rPr>
          <w:rFonts w:ascii="Arial" w:hAnsi="Arial" w:cs="Arial"/>
          <w:sz w:val="20"/>
          <w:szCs w:val="20"/>
        </w:rPr>
        <w:t xml:space="preserve">: In regions where sorghum is used for alcohol, feed, or energy production, breeders focus on traits such as sugar content, fermentable biomass, and low-lignin stems. High biomass sorghum hybrids are particularly sought after for second-generation biofuel </w:t>
      </w:r>
      <w:r w:rsidRPr="003429C2">
        <w:rPr>
          <w:rFonts w:ascii="Arial" w:hAnsi="Arial" w:cs="Arial"/>
          <w:sz w:val="20"/>
          <w:szCs w:val="20"/>
        </w:rPr>
        <w:t>platforms</w:t>
      </w:r>
      <w:r w:rsidR="00E40CF2" w:rsidRPr="003429C2">
        <w:rPr>
          <w:rFonts w:ascii="Arial" w:hAnsi="Arial" w:cs="Arial"/>
          <w:sz w:val="20"/>
          <w:szCs w:val="20"/>
        </w:rPr>
        <w:t xml:space="preserve"> </w:t>
      </w:r>
      <w:r w:rsidR="00E40CF2" w:rsidRPr="003429C2">
        <w:rPr>
          <w:rFonts w:ascii="Arial" w:hAnsi="Arial" w:cs="Arial"/>
          <w:bCs/>
          <w:sz w:val="20"/>
          <w:szCs w:val="20"/>
        </w:rPr>
        <w:t>(Reddy, 2021</w:t>
      </w:r>
      <w:r w:rsidR="00E40CF2" w:rsidRPr="003429C2">
        <w:rPr>
          <w:rFonts w:ascii="Arial" w:hAnsi="Arial" w:cs="Arial"/>
          <w:sz w:val="20"/>
          <w:szCs w:val="20"/>
        </w:rPr>
        <w:t>)</w:t>
      </w:r>
      <w:r w:rsidRPr="003429C2">
        <w:rPr>
          <w:rFonts w:ascii="Arial" w:hAnsi="Arial" w:cs="Arial"/>
          <w:sz w:val="20"/>
          <w:szCs w:val="20"/>
        </w:rPr>
        <w:t>.</w:t>
      </w:r>
    </w:p>
    <w:p w14:paraId="5D487AE6" w14:textId="41D29737" w:rsidR="00647A63" w:rsidRPr="002A7A4B" w:rsidRDefault="00647A63" w:rsidP="002A7A4B">
      <w:pPr>
        <w:pStyle w:val="NormalWeb"/>
        <w:numPr>
          <w:ilvl w:val="0"/>
          <w:numId w:val="14"/>
        </w:numPr>
        <w:jc w:val="both"/>
        <w:rPr>
          <w:rFonts w:ascii="Arial" w:hAnsi="Arial" w:cs="Arial"/>
          <w:sz w:val="20"/>
          <w:szCs w:val="20"/>
        </w:rPr>
      </w:pPr>
      <w:r w:rsidRPr="002A7A4B">
        <w:rPr>
          <w:rStyle w:val="Strong"/>
          <w:rFonts w:ascii="Arial" w:hAnsi="Arial" w:cs="Arial"/>
          <w:sz w:val="20"/>
          <w:szCs w:val="20"/>
        </w:rPr>
        <w:lastRenderedPageBreak/>
        <w:t>Adaptation to Cropping Systems</w:t>
      </w:r>
      <w:r w:rsidRPr="002A7A4B">
        <w:rPr>
          <w:rFonts w:ascii="Arial" w:hAnsi="Arial" w:cs="Arial"/>
          <w:sz w:val="20"/>
          <w:szCs w:val="20"/>
        </w:rPr>
        <w:t xml:space="preserve">: Breeding for early maturity, photoperiod insensitivity, and compatibility with intercropping or double cropping systems is essential for integration into diverse farming </w:t>
      </w:r>
      <w:r w:rsidRPr="003429C2">
        <w:rPr>
          <w:rFonts w:ascii="Arial" w:hAnsi="Arial" w:cs="Arial"/>
          <w:sz w:val="20"/>
          <w:szCs w:val="20"/>
        </w:rPr>
        <w:t>models</w:t>
      </w:r>
      <w:r w:rsidR="00E40CF2" w:rsidRPr="003429C2">
        <w:rPr>
          <w:rFonts w:ascii="Arial" w:hAnsi="Arial" w:cs="Arial"/>
          <w:sz w:val="20"/>
          <w:szCs w:val="20"/>
        </w:rPr>
        <w:t xml:space="preserve"> (</w:t>
      </w:r>
      <w:proofErr w:type="spellStart"/>
      <w:r w:rsidR="00E40CF2" w:rsidRPr="003429C2">
        <w:rPr>
          <w:rFonts w:ascii="Arial" w:hAnsi="Arial" w:cs="Arial"/>
          <w:bCs/>
          <w:sz w:val="20"/>
          <w:szCs w:val="20"/>
        </w:rPr>
        <w:t>Chimonyo</w:t>
      </w:r>
      <w:proofErr w:type="spellEnd"/>
      <w:r w:rsidR="00E40CF2" w:rsidRPr="003429C2">
        <w:rPr>
          <w:rFonts w:ascii="Arial" w:hAnsi="Arial" w:cs="Arial"/>
          <w:bCs/>
          <w:sz w:val="20"/>
          <w:szCs w:val="20"/>
        </w:rPr>
        <w:t>, 2015)</w:t>
      </w:r>
      <w:r w:rsidRPr="003429C2">
        <w:rPr>
          <w:rFonts w:ascii="Arial" w:hAnsi="Arial" w:cs="Arial"/>
          <w:sz w:val="20"/>
          <w:szCs w:val="20"/>
        </w:rPr>
        <w:t>.</w:t>
      </w:r>
    </w:p>
    <w:p w14:paraId="409FA9D6" w14:textId="408600D3" w:rsidR="00647A63" w:rsidRPr="002A7A4B" w:rsidRDefault="00647A63" w:rsidP="002A7A4B">
      <w:pPr>
        <w:pStyle w:val="NormalWeb"/>
        <w:ind w:firstLine="720"/>
        <w:jc w:val="both"/>
        <w:rPr>
          <w:rFonts w:ascii="Arial" w:hAnsi="Arial" w:cs="Arial"/>
          <w:sz w:val="20"/>
          <w:szCs w:val="20"/>
        </w:rPr>
      </w:pPr>
      <w:r w:rsidRPr="002A7A4B">
        <w:rPr>
          <w:rFonts w:ascii="Arial" w:hAnsi="Arial" w:cs="Arial"/>
          <w:sz w:val="20"/>
          <w:szCs w:val="20"/>
        </w:rPr>
        <w:t xml:space="preserve">Modern breeding programs combine </w:t>
      </w:r>
      <w:r w:rsidRPr="002A7A4B">
        <w:rPr>
          <w:rStyle w:val="Strong"/>
          <w:rFonts w:ascii="Arial" w:hAnsi="Arial" w:cs="Arial"/>
          <w:b w:val="0"/>
          <w:sz w:val="20"/>
          <w:szCs w:val="20"/>
        </w:rPr>
        <w:t>conventional methods</w:t>
      </w:r>
      <w:r w:rsidRPr="002A7A4B">
        <w:rPr>
          <w:rFonts w:ascii="Arial" w:hAnsi="Arial" w:cs="Arial"/>
          <w:sz w:val="20"/>
          <w:szCs w:val="20"/>
        </w:rPr>
        <w:t xml:space="preserve"> such as pedigree selection and backcrossing with </w:t>
      </w:r>
      <w:r w:rsidRPr="002A7A4B">
        <w:rPr>
          <w:rStyle w:val="Strong"/>
          <w:rFonts w:ascii="Arial" w:hAnsi="Arial" w:cs="Arial"/>
          <w:b w:val="0"/>
          <w:sz w:val="20"/>
          <w:szCs w:val="20"/>
        </w:rPr>
        <w:t>molecular techniques</w:t>
      </w:r>
      <w:r w:rsidRPr="002A7A4B">
        <w:rPr>
          <w:rFonts w:ascii="Arial" w:hAnsi="Arial" w:cs="Arial"/>
          <w:b/>
          <w:sz w:val="20"/>
          <w:szCs w:val="20"/>
        </w:rPr>
        <w:t>,</w:t>
      </w:r>
      <w:r w:rsidRPr="002A7A4B">
        <w:rPr>
          <w:rFonts w:ascii="Arial" w:hAnsi="Arial" w:cs="Arial"/>
          <w:sz w:val="20"/>
          <w:szCs w:val="20"/>
        </w:rPr>
        <w:t xml:space="preserve"> including genomic selection and genome editing. The increasing use of </w:t>
      </w:r>
      <w:r w:rsidRPr="002A7A4B">
        <w:rPr>
          <w:rStyle w:val="Strong"/>
          <w:rFonts w:ascii="Arial" w:hAnsi="Arial" w:cs="Arial"/>
          <w:b w:val="0"/>
          <w:sz w:val="20"/>
          <w:szCs w:val="20"/>
        </w:rPr>
        <w:t>high-throughput phenotyping</w:t>
      </w:r>
      <w:r w:rsidRPr="002A7A4B">
        <w:rPr>
          <w:rFonts w:ascii="Arial" w:hAnsi="Arial" w:cs="Arial"/>
          <w:sz w:val="20"/>
          <w:szCs w:val="20"/>
        </w:rPr>
        <w:t xml:space="preserve"> and </w:t>
      </w:r>
      <w:r w:rsidRPr="002A7A4B">
        <w:rPr>
          <w:rStyle w:val="Strong"/>
          <w:rFonts w:ascii="Arial" w:hAnsi="Arial" w:cs="Arial"/>
          <w:b w:val="0"/>
          <w:sz w:val="20"/>
          <w:szCs w:val="20"/>
        </w:rPr>
        <w:t>digital breeding tools</w:t>
      </w:r>
      <w:r w:rsidRPr="002A7A4B">
        <w:rPr>
          <w:rFonts w:ascii="Arial" w:hAnsi="Arial" w:cs="Arial"/>
          <w:sz w:val="20"/>
          <w:szCs w:val="20"/>
        </w:rPr>
        <w:t xml:space="preserve"> is enabling faster selection of superior genotypes and more efficient decision-making. The complex array of abiotic and biotic constraints, coupled with the need for diverse end-use quality traits, presents both challenges and opportunities for sorghum </w:t>
      </w:r>
      <w:r w:rsidRPr="003429C2">
        <w:rPr>
          <w:rFonts w:ascii="Arial" w:hAnsi="Arial" w:cs="Arial"/>
          <w:sz w:val="20"/>
          <w:szCs w:val="20"/>
        </w:rPr>
        <w:t>breeders</w:t>
      </w:r>
      <w:r w:rsidR="00E40CF2" w:rsidRPr="003429C2">
        <w:rPr>
          <w:rFonts w:ascii="Arial" w:hAnsi="Arial" w:cs="Arial"/>
          <w:bCs/>
          <w:sz w:val="20"/>
          <w:szCs w:val="20"/>
        </w:rPr>
        <w:t xml:space="preserve"> (Boyles et al., 2019)</w:t>
      </w:r>
      <w:r w:rsidRPr="003429C2">
        <w:rPr>
          <w:rFonts w:ascii="Arial" w:hAnsi="Arial" w:cs="Arial"/>
          <w:sz w:val="20"/>
          <w:szCs w:val="20"/>
        </w:rPr>
        <w:t>.</w:t>
      </w:r>
      <w:r w:rsidRPr="002A7A4B">
        <w:rPr>
          <w:rFonts w:ascii="Arial" w:hAnsi="Arial" w:cs="Arial"/>
          <w:sz w:val="20"/>
          <w:szCs w:val="20"/>
        </w:rPr>
        <w:t xml:space="preserve"> By clearly defining breeding goals and leveraging advancements in plant science and technology, it is now possible to develop sorghum varieties that are not only high-yielding and climate-resilient but also tailored for specific nutritional and industrial demands. These efforts are crucial for enhancing the crop’s role in global food systems and for realizing its full potential as a climate-smart, multi-use cereal of the future.</w:t>
      </w:r>
    </w:p>
    <w:p w14:paraId="7A7F7005" w14:textId="77777777" w:rsidR="00DD5D03" w:rsidRPr="00DD5D03" w:rsidRDefault="00DD5D03" w:rsidP="002A7A4B">
      <w:pPr>
        <w:pStyle w:val="Heading2"/>
        <w:spacing w:line="240" w:lineRule="auto"/>
        <w:rPr>
          <w:rFonts w:ascii="Arial" w:hAnsi="Arial" w:cs="Arial"/>
          <w:color w:val="auto"/>
          <w:sz w:val="24"/>
          <w:szCs w:val="20"/>
        </w:rPr>
      </w:pPr>
      <w:r w:rsidRPr="00DD5D03">
        <w:rPr>
          <w:rStyle w:val="Strong"/>
          <w:rFonts w:ascii="Arial" w:hAnsi="Arial" w:cs="Arial"/>
          <w:bCs w:val="0"/>
          <w:color w:val="auto"/>
          <w:sz w:val="24"/>
          <w:szCs w:val="20"/>
        </w:rPr>
        <w:t>3. BREEDING FOR YIELD IMPROVEMENT</w:t>
      </w:r>
    </w:p>
    <w:p w14:paraId="05F96528" w14:textId="6AD6CD36" w:rsidR="00DD5D03" w:rsidRPr="003429C2" w:rsidRDefault="00DD5D03" w:rsidP="002A7A4B">
      <w:pPr>
        <w:pStyle w:val="NormalWeb"/>
        <w:jc w:val="both"/>
        <w:rPr>
          <w:rFonts w:ascii="Arial" w:hAnsi="Arial" w:cs="Arial"/>
          <w:sz w:val="20"/>
          <w:szCs w:val="20"/>
        </w:rPr>
      </w:pPr>
      <w:r w:rsidRPr="002A7A4B">
        <w:rPr>
          <w:rFonts w:ascii="Arial" w:hAnsi="Arial" w:cs="Arial"/>
          <w:sz w:val="20"/>
          <w:szCs w:val="20"/>
        </w:rPr>
        <w:t>Achieving higher and stable grain yields in sorghum has been a primary objective of breeding programs worldwide. As sorghum is predominantly grown in low-input, rainfed environments prone to biotic and abiotic stress, improving yield potential must be approached alongside enhancement of resilience</w:t>
      </w:r>
      <w:r w:rsidR="00E40CF2" w:rsidRPr="002A7A4B">
        <w:rPr>
          <w:rFonts w:ascii="Arial" w:hAnsi="Arial" w:cs="Arial"/>
          <w:sz w:val="20"/>
          <w:szCs w:val="20"/>
        </w:rPr>
        <w:t xml:space="preserve"> </w:t>
      </w:r>
      <w:r w:rsidR="00E40CF2" w:rsidRPr="003429C2">
        <w:rPr>
          <w:rFonts w:ascii="Arial" w:hAnsi="Arial" w:cs="Arial"/>
          <w:bCs/>
          <w:sz w:val="20"/>
          <w:szCs w:val="20"/>
        </w:rPr>
        <w:t>(</w:t>
      </w:r>
      <w:proofErr w:type="spellStart"/>
      <w:r w:rsidR="00E40CF2" w:rsidRPr="003429C2">
        <w:rPr>
          <w:rFonts w:ascii="Arial" w:hAnsi="Arial" w:cs="Arial"/>
          <w:bCs/>
          <w:sz w:val="20"/>
          <w:szCs w:val="20"/>
        </w:rPr>
        <w:t>Muitire</w:t>
      </w:r>
      <w:proofErr w:type="spellEnd"/>
      <w:r w:rsidR="00E40CF2" w:rsidRPr="003429C2">
        <w:rPr>
          <w:rFonts w:ascii="Arial" w:hAnsi="Arial" w:cs="Arial"/>
          <w:bCs/>
          <w:sz w:val="20"/>
          <w:szCs w:val="20"/>
        </w:rPr>
        <w:t xml:space="preserve"> et al., 2021)</w:t>
      </w:r>
      <w:r w:rsidRPr="003429C2">
        <w:rPr>
          <w:rFonts w:ascii="Arial" w:hAnsi="Arial" w:cs="Arial"/>
          <w:sz w:val="20"/>
          <w:szCs w:val="20"/>
        </w:rPr>
        <w:t>.</w:t>
      </w:r>
      <w:r w:rsidRPr="002A7A4B">
        <w:rPr>
          <w:rFonts w:ascii="Arial" w:hAnsi="Arial" w:cs="Arial"/>
          <w:sz w:val="20"/>
          <w:szCs w:val="20"/>
        </w:rPr>
        <w:t xml:space="preserve"> Yield, being a complex quantitative trait, is influenced by multiple components such as panicle size, grain number, grain weight, plant height, and maturity. Over the decades, sorghum breeders have relied on a combination of </w:t>
      </w:r>
      <w:r w:rsidRPr="002A7A4B">
        <w:rPr>
          <w:rStyle w:val="Strong"/>
          <w:rFonts w:ascii="Arial" w:hAnsi="Arial" w:cs="Arial"/>
          <w:b w:val="0"/>
          <w:sz w:val="20"/>
          <w:szCs w:val="20"/>
        </w:rPr>
        <w:t>conventional breeding techniques</w:t>
      </w:r>
      <w:r w:rsidRPr="002A7A4B">
        <w:rPr>
          <w:rFonts w:ascii="Arial" w:hAnsi="Arial" w:cs="Arial"/>
          <w:b/>
          <w:sz w:val="20"/>
          <w:szCs w:val="20"/>
        </w:rPr>
        <w:t xml:space="preserve">, </w:t>
      </w:r>
      <w:r w:rsidRPr="002A7A4B">
        <w:rPr>
          <w:rStyle w:val="Strong"/>
          <w:rFonts w:ascii="Arial" w:hAnsi="Arial" w:cs="Arial"/>
          <w:b w:val="0"/>
          <w:sz w:val="20"/>
          <w:szCs w:val="20"/>
        </w:rPr>
        <w:t>hybrid development</w:t>
      </w:r>
      <w:r w:rsidRPr="002A7A4B">
        <w:rPr>
          <w:rFonts w:ascii="Arial" w:hAnsi="Arial" w:cs="Arial"/>
          <w:b/>
          <w:sz w:val="20"/>
          <w:szCs w:val="20"/>
        </w:rPr>
        <w:t>,</w:t>
      </w:r>
      <w:r w:rsidRPr="002A7A4B">
        <w:rPr>
          <w:rFonts w:ascii="Arial" w:hAnsi="Arial" w:cs="Arial"/>
          <w:sz w:val="20"/>
          <w:szCs w:val="20"/>
        </w:rPr>
        <w:t xml:space="preserve"> and </w:t>
      </w:r>
      <w:r w:rsidRPr="002A7A4B">
        <w:rPr>
          <w:rStyle w:val="Strong"/>
          <w:rFonts w:ascii="Arial" w:hAnsi="Arial" w:cs="Arial"/>
          <w:b w:val="0"/>
          <w:sz w:val="20"/>
          <w:szCs w:val="20"/>
        </w:rPr>
        <w:t>exploitation of heterosis</w:t>
      </w:r>
      <w:r w:rsidRPr="002A7A4B">
        <w:rPr>
          <w:rFonts w:ascii="Arial" w:hAnsi="Arial" w:cs="Arial"/>
          <w:sz w:val="20"/>
          <w:szCs w:val="20"/>
        </w:rPr>
        <w:t xml:space="preserve"> to make significant progress in grain yield improvement</w:t>
      </w:r>
      <w:r w:rsidR="00E40CF2" w:rsidRPr="002A7A4B">
        <w:rPr>
          <w:rFonts w:ascii="Arial" w:hAnsi="Arial" w:cs="Arial"/>
          <w:sz w:val="20"/>
          <w:szCs w:val="20"/>
        </w:rPr>
        <w:t xml:space="preserve"> </w:t>
      </w:r>
      <w:r w:rsidR="00E40CF2" w:rsidRPr="003429C2">
        <w:rPr>
          <w:rFonts w:ascii="Arial" w:hAnsi="Arial" w:cs="Arial"/>
          <w:bCs/>
          <w:sz w:val="20"/>
          <w:szCs w:val="20"/>
        </w:rPr>
        <w:t>(Nguyen, 2024)</w:t>
      </w:r>
      <w:r w:rsidRPr="003429C2">
        <w:rPr>
          <w:rFonts w:ascii="Arial" w:hAnsi="Arial" w:cs="Arial"/>
          <w:sz w:val="20"/>
          <w:szCs w:val="20"/>
        </w:rPr>
        <w:t>.</w:t>
      </w:r>
    </w:p>
    <w:p w14:paraId="4BAA7464"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3.1 Conventional Breeding Approaches and Achievements</w:t>
      </w:r>
    </w:p>
    <w:p w14:paraId="6202BA14" w14:textId="4EA3CE29"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Conventional breeding has laid the foundation for genetic enhancement in sorghum. Early breeding efforts were primarily based on </w:t>
      </w:r>
      <w:r w:rsidRPr="002A7A4B">
        <w:rPr>
          <w:rStyle w:val="Strong"/>
          <w:rFonts w:ascii="Arial" w:hAnsi="Arial" w:cs="Arial"/>
          <w:b w:val="0"/>
          <w:sz w:val="20"/>
          <w:szCs w:val="20"/>
        </w:rPr>
        <w:t>mass selection and pure line selection</w:t>
      </w:r>
      <w:r w:rsidRPr="002A7A4B">
        <w:rPr>
          <w:rFonts w:ascii="Arial" w:hAnsi="Arial" w:cs="Arial"/>
          <w:sz w:val="20"/>
          <w:szCs w:val="20"/>
        </w:rPr>
        <w:t xml:space="preserve"> from local landraces and traditional cultivars</w:t>
      </w:r>
      <w:r w:rsidR="00E40CF2" w:rsidRPr="002A7A4B">
        <w:rPr>
          <w:rFonts w:ascii="Arial" w:hAnsi="Arial" w:cs="Arial"/>
          <w:sz w:val="20"/>
          <w:szCs w:val="20"/>
        </w:rPr>
        <w:t xml:space="preserve"> </w:t>
      </w:r>
      <w:r w:rsidR="00E40CF2" w:rsidRPr="003429C2">
        <w:rPr>
          <w:rFonts w:ascii="Arial" w:hAnsi="Arial" w:cs="Arial"/>
          <w:bCs/>
          <w:sz w:val="20"/>
          <w:szCs w:val="20"/>
        </w:rPr>
        <w:t>(Reddy et al., 2004)</w:t>
      </w:r>
      <w:r w:rsidRPr="003429C2">
        <w:rPr>
          <w:rFonts w:ascii="Arial" w:hAnsi="Arial" w:cs="Arial"/>
          <w:sz w:val="20"/>
          <w:szCs w:val="20"/>
        </w:rPr>
        <w:t xml:space="preserve">. </w:t>
      </w:r>
      <w:r w:rsidRPr="002A7A4B">
        <w:rPr>
          <w:rFonts w:ascii="Arial" w:hAnsi="Arial" w:cs="Arial"/>
          <w:sz w:val="20"/>
          <w:szCs w:val="20"/>
        </w:rPr>
        <w:t xml:space="preserve">These methods helped in isolating better-performing lines that were locally adapted, uniform, and stable. However, since landraces typically have low yield potential, breeders gradually shifted towards </w:t>
      </w:r>
      <w:r w:rsidRPr="002A7A4B">
        <w:rPr>
          <w:rStyle w:val="Strong"/>
          <w:rFonts w:ascii="Arial" w:hAnsi="Arial" w:cs="Arial"/>
          <w:b w:val="0"/>
          <w:sz w:val="20"/>
          <w:szCs w:val="20"/>
        </w:rPr>
        <w:t>pedigree selection</w:t>
      </w:r>
      <w:r w:rsidRPr="002A7A4B">
        <w:rPr>
          <w:rFonts w:ascii="Arial" w:hAnsi="Arial" w:cs="Arial"/>
          <w:b/>
          <w:sz w:val="20"/>
          <w:szCs w:val="20"/>
        </w:rPr>
        <w:t xml:space="preserve">, </w:t>
      </w:r>
      <w:r w:rsidRPr="002A7A4B">
        <w:rPr>
          <w:rStyle w:val="Strong"/>
          <w:rFonts w:ascii="Arial" w:hAnsi="Arial" w:cs="Arial"/>
          <w:b w:val="0"/>
          <w:sz w:val="20"/>
          <w:szCs w:val="20"/>
        </w:rPr>
        <w:t>bulk breeding</w:t>
      </w:r>
      <w:r w:rsidRPr="002A7A4B">
        <w:rPr>
          <w:rFonts w:ascii="Arial" w:hAnsi="Arial" w:cs="Arial"/>
          <w:sz w:val="20"/>
          <w:szCs w:val="20"/>
        </w:rPr>
        <w:t xml:space="preserve">, and </w:t>
      </w:r>
      <w:r w:rsidRPr="002A7A4B">
        <w:rPr>
          <w:rStyle w:val="Strong"/>
          <w:rFonts w:ascii="Arial" w:hAnsi="Arial" w:cs="Arial"/>
          <w:b w:val="0"/>
          <w:sz w:val="20"/>
          <w:szCs w:val="20"/>
        </w:rPr>
        <w:t>modified backcrossing</w:t>
      </w:r>
      <w:r w:rsidRPr="002A7A4B">
        <w:rPr>
          <w:rFonts w:ascii="Arial" w:hAnsi="Arial" w:cs="Arial"/>
          <w:sz w:val="20"/>
          <w:szCs w:val="20"/>
        </w:rPr>
        <w:t xml:space="preserve"> strategies to develop varieties with improved productivity and stress tolerance. Pedigree breeding has been particularly effective in combining desirable traits from two or more parents, allowing the selection of superior recombinants over successive generations</w:t>
      </w:r>
      <w:r w:rsidR="00E40CF2" w:rsidRPr="002A7A4B">
        <w:rPr>
          <w:rFonts w:ascii="Arial" w:hAnsi="Arial" w:cs="Arial"/>
          <w:b/>
          <w:bCs/>
          <w:sz w:val="20"/>
          <w:szCs w:val="20"/>
        </w:rPr>
        <w:t xml:space="preserve"> </w:t>
      </w:r>
      <w:r w:rsidR="00E40CF2" w:rsidRPr="003429C2">
        <w:rPr>
          <w:rFonts w:ascii="Arial" w:hAnsi="Arial" w:cs="Arial"/>
          <w:bCs/>
          <w:sz w:val="20"/>
          <w:szCs w:val="20"/>
        </w:rPr>
        <w:t>(</w:t>
      </w:r>
      <w:proofErr w:type="spellStart"/>
      <w:r w:rsidR="00E40CF2" w:rsidRPr="003429C2">
        <w:rPr>
          <w:rFonts w:ascii="Arial" w:hAnsi="Arial" w:cs="Arial"/>
          <w:bCs/>
          <w:sz w:val="20"/>
          <w:szCs w:val="20"/>
        </w:rPr>
        <w:t>Dweikat</w:t>
      </w:r>
      <w:proofErr w:type="spellEnd"/>
      <w:r w:rsidR="00E40CF2" w:rsidRPr="003429C2">
        <w:rPr>
          <w:rFonts w:ascii="Arial" w:hAnsi="Arial" w:cs="Arial"/>
          <w:bCs/>
          <w:sz w:val="20"/>
          <w:szCs w:val="20"/>
        </w:rPr>
        <w:t>, 2014)</w:t>
      </w:r>
      <w:r w:rsidRPr="003429C2">
        <w:rPr>
          <w:rFonts w:ascii="Arial" w:hAnsi="Arial" w:cs="Arial"/>
          <w:sz w:val="20"/>
          <w:szCs w:val="20"/>
        </w:rPr>
        <w:t xml:space="preserve">. </w:t>
      </w:r>
      <w:r w:rsidRPr="002A7A4B">
        <w:rPr>
          <w:rFonts w:ascii="Arial" w:hAnsi="Arial" w:cs="Arial"/>
          <w:sz w:val="20"/>
          <w:szCs w:val="20"/>
        </w:rPr>
        <w:t xml:space="preserve">This approach facilitated the transfer of traits such as dwarf stature, early maturity, stay-green, and panicle compactness into elite lines, which in turn contributed to enhanced yield under various </w:t>
      </w:r>
      <w:proofErr w:type="spellStart"/>
      <w:r w:rsidRPr="002A7A4B">
        <w:rPr>
          <w:rFonts w:ascii="Arial" w:hAnsi="Arial" w:cs="Arial"/>
          <w:sz w:val="20"/>
          <w:szCs w:val="20"/>
        </w:rPr>
        <w:t>agro</w:t>
      </w:r>
      <w:proofErr w:type="spellEnd"/>
      <w:r w:rsidRPr="002A7A4B">
        <w:rPr>
          <w:rFonts w:ascii="Arial" w:hAnsi="Arial" w:cs="Arial"/>
          <w:sz w:val="20"/>
          <w:szCs w:val="20"/>
        </w:rPr>
        <w:t>-ecological conditions.</w:t>
      </w:r>
    </w:p>
    <w:p w14:paraId="07481EF1" w14:textId="6881C215"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One of the major achievements of conventional breeding has been the development of </w:t>
      </w:r>
      <w:r w:rsidRPr="002A7A4B">
        <w:rPr>
          <w:rStyle w:val="Strong"/>
          <w:rFonts w:ascii="Arial" w:hAnsi="Arial" w:cs="Arial"/>
          <w:b w:val="0"/>
          <w:sz w:val="20"/>
          <w:szCs w:val="20"/>
        </w:rPr>
        <w:t>open-pollinated varieties (OPVs)</w:t>
      </w:r>
      <w:r w:rsidRPr="002A7A4B">
        <w:rPr>
          <w:rFonts w:ascii="Arial" w:hAnsi="Arial" w:cs="Arial"/>
          <w:sz w:val="20"/>
          <w:szCs w:val="20"/>
        </w:rPr>
        <w:t xml:space="preserve"> that exhibit broad adaptation and yield stability across multiple environments</w:t>
      </w:r>
      <w:r w:rsidR="00E40CF2" w:rsidRPr="002A7A4B">
        <w:rPr>
          <w:rFonts w:ascii="Arial" w:hAnsi="Arial" w:cs="Arial"/>
          <w:sz w:val="20"/>
          <w:szCs w:val="20"/>
        </w:rPr>
        <w:t xml:space="preserve"> </w:t>
      </w:r>
      <w:r w:rsidR="00E40CF2" w:rsidRPr="003429C2">
        <w:rPr>
          <w:rFonts w:ascii="Arial" w:hAnsi="Arial" w:cs="Arial"/>
          <w:sz w:val="20"/>
          <w:szCs w:val="20"/>
        </w:rPr>
        <w:t>(</w:t>
      </w:r>
      <w:r w:rsidR="00E40CF2" w:rsidRPr="003429C2">
        <w:rPr>
          <w:rFonts w:ascii="Arial" w:hAnsi="Arial" w:cs="Arial"/>
          <w:bCs/>
          <w:sz w:val="20"/>
          <w:szCs w:val="20"/>
        </w:rPr>
        <w:t>Badu-</w:t>
      </w:r>
      <w:proofErr w:type="spellStart"/>
      <w:r w:rsidR="00E40CF2" w:rsidRPr="003429C2">
        <w:rPr>
          <w:rFonts w:ascii="Arial" w:hAnsi="Arial" w:cs="Arial"/>
          <w:bCs/>
          <w:sz w:val="20"/>
          <w:szCs w:val="20"/>
        </w:rPr>
        <w:t>Apraku</w:t>
      </w:r>
      <w:proofErr w:type="spellEnd"/>
      <w:r w:rsidR="00E40CF2" w:rsidRPr="003429C2">
        <w:rPr>
          <w:rFonts w:ascii="Arial" w:hAnsi="Arial" w:cs="Arial"/>
          <w:bCs/>
          <w:sz w:val="20"/>
          <w:szCs w:val="20"/>
        </w:rPr>
        <w:t xml:space="preserve"> et al., 2017)</w:t>
      </w:r>
      <w:r w:rsidRPr="003429C2">
        <w:rPr>
          <w:rFonts w:ascii="Arial" w:hAnsi="Arial" w:cs="Arial"/>
          <w:sz w:val="20"/>
          <w:szCs w:val="20"/>
        </w:rPr>
        <w:t>.</w:t>
      </w:r>
      <w:r w:rsidRPr="002A7A4B">
        <w:rPr>
          <w:rFonts w:ascii="Arial" w:hAnsi="Arial" w:cs="Arial"/>
          <w:sz w:val="20"/>
          <w:szCs w:val="20"/>
        </w:rPr>
        <w:t xml:space="preserve"> These varieties have been widely adopted in sub-Saharan Africa and parts of India, where access to hybrid seed and input-intensive cultivation is limited. In several breeding programs, recurrent selection cycles have been employed to gradually improve populations by enhancing the frequency of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alleles associated with yield and stress tolerance. Despite the gains made through these methods, progress in yield improvement using conventional breeding alone has often been incremental due to the complexity of yield as a trait and strong genotype × environment interactions</w:t>
      </w:r>
      <w:r w:rsidR="00FA0EBD" w:rsidRPr="002A7A4B">
        <w:rPr>
          <w:rFonts w:ascii="Arial" w:hAnsi="Arial" w:cs="Arial"/>
          <w:b/>
          <w:bCs/>
          <w:sz w:val="20"/>
          <w:szCs w:val="20"/>
        </w:rPr>
        <w:t xml:space="preserve"> </w:t>
      </w:r>
      <w:r w:rsidR="00FA0EBD" w:rsidRPr="003429C2">
        <w:rPr>
          <w:rFonts w:ascii="Arial" w:hAnsi="Arial" w:cs="Arial"/>
          <w:bCs/>
          <w:sz w:val="20"/>
          <w:szCs w:val="20"/>
        </w:rPr>
        <w:t>(</w:t>
      </w:r>
      <w:proofErr w:type="spellStart"/>
      <w:r w:rsidR="00FA0EBD" w:rsidRPr="003429C2">
        <w:rPr>
          <w:rFonts w:ascii="Arial" w:hAnsi="Arial" w:cs="Arial"/>
          <w:bCs/>
          <w:sz w:val="20"/>
          <w:szCs w:val="20"/>
        </w:rPr>
        <w:t>Mwamahonje</w:t>
      </w:r>
      <w:proofErr w:type="spellEnd"/>
      <w:r w:rsidR="00FA0EBD" w:rsidRPr="003429C2">
        <w:rPr>
          <w:rFonts w:ascii="Arial" w:hAnsi="Arial" w:cs="Arial"/>
          <w:bCs/>
          <w:sz w:val="20"/>
          <w:szCs w:val="20"/>
        </w:rPr>
        <w:t>, et al., 2024)</w:t>
      </w:r>
      <w:r w:rsidRPr="003429C2">
        <w:rPr>
          <w:rFonts w:ascii="Arial" w:hAnsi="Arial" w:cs="Arial"/>
          <w:sz w:val="20"/>
          <w:szCs w:val="20"/>
        </w:rPr>
        <w:t>.</w:t>
      </w:r>
      <w:r w:rsidRPr="002A7A4B">
        <w:rPr>
          <w:rFonts w:ascii="Arial" w:hAnsi="Arial" w:cs="Arial"/>
          <w:sz w:val="20"/>
          <w:szCs w:val="20"/>
        </w:rPr>
        <w:t xml:space="preserve"> This has necessitated a paradigm shift towards hybrid technology and exploitation of heterosis to realize higher productivity.</w:t>
      </w:r>
    </w:p>
    <w:p w14:paraId="74D7B826" w14:textId="57B58D18"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3.2 Hybrid Development and the Role of CMS Systems</w:t>
      </w:r>
    </w:p>
    <w:p w14:paraId="7CACA0CD" w14:textId="5BF2A261"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A major breakthrough in sorghum yield improvement came with the </w:t>
      </w:r>
      <w:r w:rsidRPr="002A7A4B">
        <w:rPr>
          <w:rStyle w:val="Strong"/>
          <w:rFonts w:ascii="Arial" w:hAnsi="Arial" w:cs="Arial"/>
          <w:b w:val="0"/>
          <w:sz w:val="20"/>
          <w:szCs w:val="20"/>
        </w:rPr>
        <w:t>introduction of hybrid breeding</w:t>
      </w:r>
      <w:r w:rsidRPr="002A7A4B">
        <w:rPr>
          <w:rFonts w:ascii="Arial" w:hAnsi="Arial" w:cs="Arial"/>
          <w:b/>
          <w:sz w:val="20"/>
          <w:szCs w:val="20"/>
        </w:rPr>
        <w:t>,</w:t>
      </w:r>
      <w:r w:rsidRPr="002A7A4B">
        <w:rPr>
          <w:rFonts w:ascii="Arial" w:hAnsi="Arial" w:cs="Arial"/>
          <w:sz w:val="20"/>
          <w:szCs w:val="20"/>
        </w:rPr>
        <w:t xml:space="preserve"> which significantly boosted grain productivity through the exploitation of </w:t>
      </w:r>
      <w:r w:rsidRPr="002A7A4B">
        <w:rPr>
          <w:rStyle w:val="Strong"/>
          <w:rFonts w:ascii="Arial" w:hAnsi="Arial" w:cs="Arial"/>
          <w:b w:val="0"/>
          <w:sz w:val="20"/>
          <w:szCs w:val="20"/>
        </w:rPr>
        <w:t>heterosis</w:t>
      </w:r>
      <w:r w:rsidRPr="002A7A4B">
        <w:rPr>
          <w:rStyle w:val="Strong"/>
          <w:rFonts w:ascii="Arial" w:hAnsi="Arial" w:cs="Arial"/>
          <w:sz w:val="20"/>
          <w:szCs w:val="20"/>
        </w:rPr>
        <w:t xml:space="preserve"> </w:t>
      </w:r>
      <w:r w:rsidRPr="002A7A4B">
        <w:rPr>
          <w:rStyle w:val="Strong"/>
          <w:rFonts w:ascii="Arial" w:hAnsi="Arial" w:cs="Arial"/>
          <w:b w:val="0"/>
          <w:sz w:val="20"/>
          <w:szCs w:val="20"/>
        </w:rPr>
        <w:t xml:space="preserve">(hybrid </w:t>
      </w:r>
      <w:proofErr w:type="spellStart"/>
      <w:r w:rsidRPr="002A7A4B">
        <w:rPr>
          <w:rStyle w:val="Strong"/>
          <w:rFonts w:ascii="Arial" w:hAnsi="Arial" w:cs="Arial"/>
          <w:b w:val="0"/>
          <w:sz w:val="20"/>
          <w:szCs w:val="20"/>
        </w:rPr>
        <w:t>vigor</w:t>
      </w:r>
      <w:proofErr w:type="spellEnd"/>
      <w:r w:rsidRPr="002A7A4B">
        <w:rPr>
          <w:rStyle w:val="Strong"/>
          <w:rFonts w:ascii="Arial" w:hAnsi="Arial" w:cs="Arial"/>
          <w:b w:val="0"/>
          <w:sz w:val="20"/>
          <w:szCs w:val="20"/>
        </w:rPr>
        <w:t>)</w:t>
      </w:r>
      <w:r w:rsidR="00FA0EBD" w:rsidRPr="002A7A4B">
        <w:rPr>
          <w:rStyle w:val="Strong"/>
          <w:rFonts w:ascii="Arial" w:hAnsi="Arial" w:cs="Arial"/>
          <w:b w:val="0"/>
          <w:sz w:val="20"/>
          <w:szCs w:val="20"/>
        </w:rPr>
        <w:t xml:space="preserve"> </w:t>
      </w:r>
      <w:r w:rsidR="00FA0EBD" w:rsidRPr="002A7A4B">
        <w:rPr>
          <w:rStyle w:val="Strong"/>
          <w:rFonts w:ascii="Arial" w:hAnsi="Arial" w:cs="Arial"/>
          <w:bCs w:val="0"/>
          <w:sz w:val="20"/>
          <w:szCs w:val="20"/>
        </w:rPr>
        <w:t>(</w:t>
      </w:r>
      <w:r w:rsidR="00FA0EBD" w:rsidRPr="002A7A4B">
        <w:rPr>
          <w:rFonts w:ascii="Arial" w:hAnsi="Arial" w:cs="Arial"/>
          <w:bCs/>
          <w:sz w:val="20"/>
          <w:szCs w:val="20"/>
        </w:rPr>
        <w:t>Choudhary et al., 2025)</w:t>
      </w:r>
      <w:r w:rsidRPr="002A7A4B">
        <w:rPr>
          <w:rFonts w:ascii="Arial" w:hAnsi="Arial" w:cs="Arial"/>
          <w:b/>
          <w:sz w:val="20"/>
          <w:szCs w:val="20"/>
        </w:rPr>
        <w:t>.</w:t>
      </w:r>
      <w:r w:rsidRPr="002A7A4B">
        <w:rPr>
          <w:rFonts w:ascii="Arial" w:hAnsi="Arial" w:cs="Arial"/>
          <w:sz w:val="20"/>
          <w:szCs w:val="20"/>
        </w:rPr>
        <w:t xml:space="preserve"> The development of </w:t>
      </w:r>
      <w:r w:rsidRPr="002A7A4B">
        <w:rPr>
          <w:rStyle w:val="Strong"/>
          <w:rFonts w:ascii="Arial" w:hAnsi="Arial" w:cs="Arial"/>
          <w:b w:val="0"/>
          <w:sz w:val="20"/>
          <w:szCs w:val="20"/>
        </w:rPr>
        <w:t>cytoplasmic male sterility (CMS) systems</w:t>
      </w:r>
      <w:r w:rsidRPr="002A7A4B">
        <w:rPr>
          <w:rFonts w:ascii="Arial" w:hAnsi="Arial" w:cs="Arial"/>
          <w:sz w:val="20"/>
          <w:szCs w:val="20"/>
        </w:rPr>
        <w:t xml:space="preserve"> was a turning point in this regard. CMS enables large-scale hybrid seed production by eliminating the </w:t>
      </w:r>
      <w:r w:rsidRPr="002A7A4B">
        <w:rPr>
          <w:rFonts w:ascii="Arial" w:hAnsi="Arial" w:cs="Arial"/>
          <w:sz w:val="20"/>
          <w:szCs w:val="20"/>
        </w:rPr>
        <w:lastRenderedPageBreak/>
        <w:t xml:space="preserve">need for manual emasculation, thereby facilitating the use of male-sterile female lines crossed with fertile male lines to produce high-yielding </w:t>
      </w:r>
      <w:proofErr w:type="spellStart"/>
      <w:proofErr w:type="gramStart"/>
      <w:r w:rsidRPr="002A7A4B">
        <w:rPr>
          <w:rFonts w:ascii="Arial" w:hAnsi="Arial" w:cs="Arial"/>
          <w:sz w:val="20"/>
          <w:szCs w:val="20"/>
        </w:rPr>
        <w:t>hybrids.India</w:t>
      </w:r>
      <w:proofErr w:type="spellEnd"/>
      <w:proofErr w:type="gramEnd"/>
      <w:r w:rsidRPr="002A7A4B">
        <w:rPr>
          <w:rFonts w:ascii="Arial" w:hAnsi="Arial" w:cs="Arial"/>
          <w:sz w:val="20"/>
          <w:szCs w:val="20"/>
        </w:rPr>
        <w:t xml:space="preserve"> pioneered the use of CMS in sorghum breeding during the 1960s, with the release of the first commercial hybrid, CSH 1, marking the beginning of a new era. The A1 cytoplasm, derived from </w:t>
      </w:r>
      <w:r w:rsidRPr="002A7A4B">
        <w:rPr>
          <w:rStyle w:val="Emphasis"/>
          <w:rFonts w:ascii="Arial" w:hAnsi="Arial" w:cs="Arial"/>
          <w:sz w:val="20"/>
          <w:szCs w:val="20"/>
        </w:rPr>
        <w:t xml:space="preserve">Sorghum </w:t>
      </w:r>
      <w:proofErr w:type="spellStart"/>
      <w:r w:rsidRPr="002A7A4B">
        <w:rPr>
          <w:rStyle w:val="Emphasis"/>
          <w:rFonts w:ascii="Arial" w:hAnsi="Arial" w:cs="Arial"/>
          <w:sz w:val="20"/>
          <w:szCs w:val="20"/>
        </w:rPr>
        <w:t>bicolor</w:t>
      </w:r>
      <w:proofErr w:type="spellEnd"/>
      <w:r w:rsidRPr="002A7A4B">
        <w:rPr>
          <w:rFonts w:ascii="Arial" w:hAnsi="Arial" w:cs="Arial"/>
          <w:sz w:val="20"/>
          <w:szCs w:val="20"/>
        </w:rPr>
        <w:t xml:space="preserve"> subspecies </w:t>
      </w:r>
      <w:proofErr w:type="spellStart"/>
      <w:r w:rsidRPr="002A7A4B">
        <w:rPr>
          <w:rStyle w:val="Emphasis"/>
          <w:rFonts w:ascii="Arial" w:hAnsi="Arial" w:cs="Arial"/>
          <w:sz w:val="20"/>
          <w:szCs w:val="20"/>
        </w:rPr>
        <w:t>arundinaceum</w:t>
      </w:r>
      <w:proofErr w:type="spellEnd"/>
      <w:r w:rsidRPr="002A7A4B">
        <w:rPr>
          <w:rFonts w:ascii="Arial" w:hAnsi="Arial" w:cs="Arial"/>
          <w:sz w:val="20"/>
          <w:szCs w:val="20"/>
        </w:rPr>
        <w:t xml:space="preserve">, became the standard source of male sterility. It was later supplemented by other cytoplasmic sources such as A2, A3, and A4 to diversify the genetic base and improve resistance to diseases like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and downy mildew.</w:t>
      </w:r>
    </w:p>
    <w:p w14:paraId="2D2794D7" w14:textId="2A24EA99"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Hybrid sorghum varieties exhibit significant yield advantages over OPVs due to enhanced biomass accumulation, efficient resource use, and increased reproductive </w:t>
      </w:r>
      <w:proofErr w:type="spellStart"/>
      <w:r w:rsidRPr="002A7A4B">
        <w:rPr>
          <w:rFonts w:ascii="Arial" w:hAnsi="Arial" w:cs="Arial"/>
          <w:sz w:val="20"/>
          <w:szCs w:val="20"/>
        </w:rPr>
        <w:t>vigor</w:t>
      </w:r>
      <w:proofErr w:type="spellEnd"/>
      <w:r w:rsidRPr="002A7A4B">
        <w:rPr>
          <w:rFonts w:ascii="Arial" w:hAnsi="Arial" w:cs="Arial"/>
          <w:sz w:val="20"/>
          <w:szCs w:val="20"/>
        </w:rPr>
        <w:t xml:space="preserve">. In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environments, sorghum hybrids have shown yield gains of 20–40% compared to improved varieties</w:t>
      </w:r>
      <w:r w:rsidR="00FA0EBD" w:rsidRPr="002A7A4B">
        <w:rPr>
          <w:rFonts w:ascii="Arial" w:hAnsi="Arial" w:cs="Arial"/>
          <w:sz w:val="20"/>
          <w:szCs w:val="20"/>
        </w:rPr>
        <w:t xml:space="preserve"> </w:t>
      </w:r>
      <w:r w:rsidR="00FA0EBD" w:rsidRPr="003429C2">
        <w:rPr>
          <w:rFonts w:ascii="Arial" w:hAnsi="Arial" w:cs="Arial"/>
          <w:bCs/>
          <w:sz w:val="20"/>
          <w:szCs w:val="20"/>
        </w:rPr>
        <w:t>(Demisse, 2023</w:t>
      </w:r>
      <w:r w:rsidR="00FA0EBD" w:rsidRPr="003429C2">
        <w:rPr>
          <w:rFonts w:ascii="Arial" w:hAnsi="Arial" w:cs="Arial"/>
          <w:sz w:val="20"/>
          <w:szCs w:val="20"/>
        </w:rPr>
        <w:t>)</w:t>
      </w:r>
      <w:r w:rsidRPr="003429C2">
        <w:rPr>
          <w:rFonts w:ascii="Arial" w:hAnsi="Arial" w:cs="Arial"/>
          <w:sz w:val="20"/>
          <w:szCs w:val="20"/>
        </w:rPr>
        <w:t>.</w:t>
      </w:r>
      <w:r w:rsidRPr="002A7A4B">
        <w:rPr>
          <w:rFonts w:ascii="Arial" w:hAnsi="Arial" w:cs="Arial"/>
          <w:sz w:val="20"/>
          <w:szCs w:val="20"/>
        </w:rPr>
        <w:t xml:space="preserve"> The superior performance of hybrids is attributed not only to heterosis but also to the strategic combination of complementary parental lines that express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gene combinations for yield-contributing traits</w:t>
      </w:r>
      <w:r w:rsidR="00FA0EBD" w:rsidRPr="002A7A4B">
        <w:rPr>
          <w:rFonts w:ascii="Arial" w:hAnsi="Arial" w:cs="Arial"/>
          <w:b/>
          <w:bCs/>
          <w:sz w:val="20"/>
          <w:szCs w:val="20"/>
        </w:rPr>
        <w:t xml:space="preserve"> </w:t>
      </w:r>
      <w:r w:rsidR="00FA0EBD" w:rsidRPr="003429C2">
        <w:rPr>
          <w:rFonts w:ascii="Arial" w:hAnsi="Arial" w:cs="Arial"/>
          <w:bCs/>
          <w:sz w:val="20"/>
          <w:szCs w:val="20"/>
        </w:rPr>
        <w:t>(Demisse, 2023)</w:t>
      </w:r>
      <w:r w:rsidRPr="003429C2">
        <w:rPr>
          <w:rFonts w:ascii="Arial" w:hAnsi="Arial" w:cs="Arial"/>
          <w:sz w:val="20"/>
          <w:szCs w:val="20"/>
        </w:rPr>
        <w:t>.</w:t>
      </w:r>
      <w:r w:rsidRPr="002A7A4B">
        <w:rPr>
          <w:rFonts w:ascii="Arial" w:hAnsi="Arial" w:cs="Arial"/>
          <w:sz w:val="20"/>
          <w:szCs w:val="20"/>
        </w:rPr>
        <w:t xml:space="preserve"> The adoption of hybrid sorghum has been particularly successful in India and the United States, where formal seed systems and commercial partnerships support large-scale seed multiplication and distribution. In sub-Saharan Africa, where seed access and affordability remain challenging, public breeding institutions and international research </w:t>
      </w:r>
      <w:proofErr w:type="spellStart"/>
      <w:r w:rsidRPr="002A7A4B">
        <w:rPr>
          <w:rFonts w:ascii="Arial" w:hAnsi="Arial" w:cs="Arial"/>
          <w:sz w:val="20"/>
          <w:szCs w:val="20"/>
        </w:rPr>
        <w:t>centers</w:t>
      </w:r>
      <w:proofErr w:type="spellEnd"/>
      <w:r w:rsidRPr="002A7A4B">
        <w:rPr>
          <w:rFonts w:ascii="Arial" w:hAnsi="Arial" w:cs="Arial"/>
          <w:sz w:val="20"/>
          <w:szCs w:val="20"/>
        </w:rPr>
        <w:t xml:space="preserve"> such as ICRISAT are promoting hybrid-based systems tailored to low-input farming contexts.</w:t>
      </w:r>
    </w:p>
    <w:p w14:paraId="6285C648" w14:textId="186AE82F"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3.3 Use of Heterosis and Recurrent Selection Strategies</w:t>
      </w:r>
    </w:p>
    <w:p w14:paraId="51EEBEBB" w14:textId="281EDA47" w:rsidR="00DD5D03" w:rsidRPr="002A7A4B" w:rsidRDefault="00DD5D03" w:rsidP="002A7A4B">
      <w:pPr>
        <w:pStyle w:val="NormalWeb"/>
        <w:jc w:val="both"/>
        <w:rPr>
          <w:rFonts w:ascii="Arial" w:hAnsi="Arial" w:cs="Arial"/>
          <w:sz w:val="20"/>
          <w:szCs w:val="20"/>
        </w:rPr>
      </w:pPr>
      <w:r w:rsidRPr="002A7A4B">
        <w:rPr>
          <w:rStyle w:val="Strong"/>
          <w:rFonts w:ascii="Arial" w:hAnsi="Arial" w:cs="Arial"/>
          <w:b w:val="0"/>
          <w:sz w:val="20"/>
          <w:szCs w:val="20"/>
        </w:rPr>
        <w:t>Heterosis</w:t>
      </w:r>
      <w:r w:rsidRPr="002A7A4B">
        <w:rPr>
          <w:rFonts w:ascii="Arial" w:hAnsi="Arial" w:cs="Arial"/>
          <w:b/>
          <w:sz w:val="20"/>
          <w:szCs w:val="20"/>
        </w:rPr>
        <w:t>,</w:t>
      </w:r>
      <w:r w:rsidRPr="002A7A4B">
        <w:rPr>
          <w:rFonts w:ascii="Arial" w:hAnsi="Arial" w:cs="Arial"/>
          <w:sz w:val="20"/>
          <w:szCs w:val="20"/>
        </w:rPr>
        <w:t xml:space="preserve"> or hybrid </w:t>
      </w:r>
      <w:proofErr w:type="spellStart"/>
      <w:r w:rsidRPr="002A7A4B">
        <w:rPr>
          <w:rFonts w:ascii="Arial" w:hAnsi="Arial" w:cs="Arial"/>
          <w:sz w:val="20"/>
          <w:szCs w:val="20"/>
        </w:rPr>
        <w:t>vigor</w:t>
      </w:r>
      <w:proofErr w:type="spellEnd"/>
      <w:r w:rsidRPr="002A7A4B">
        <w:rPr>
          <w:rFonts w:ascii="Arial" w:hAnsi="Arial" w:cs="Arial"/>
          <w:sz w:val="20"/>
          <w:szCs w:val="20"/>
        </w:rPr>
        <w:t xml:space="preserve">, remains a powerful tool in sorghum yield improvement. It has been most effectively exploited in </w:t>
      </w:r>
      <w:r w:rsidRPr="002A7A4B">
        <w:rPr>
          <w:rStyle w:val="Strong"/>
          <w:rFonts w:ascii="Arial" w:hAnsi="Arial" w:cs="Arial"/>
          <w:b w:val="0"/>
          <w:sz w:val="20"/>
          <w:szCs w:val="20"/>
        </w:rPr>
        <w:t>grain sorghum hybrids</w:t>
      </w:r>
      <w:r w:rsidRPr="002A7A4B">
        <w:rPr>
          <w:rFonts w:ascii="Arial" w:hAnsi="Arial" w:cs="Arial"/>
          <w:b/>
          <w:sz w:val="20"/>
          <w:szCs w:val="20"/>
        </w:rPr>
        <w:t>,</w:t>
      </w:r>
      <w:r w:rsidRPr="002A7A4B">
        <w:rPr>
          <w:rFonts w:ascii="Arial" w:hAnsi="Arial" w:cs="Arial"/>
          <w:sz w:val="20"/>
          <w:szCs w:val="20"/>
        </w:rPr>
        <w:t xml:space="preserve"> where the offspring from genetically divergent parents outperform both parents in traits such as plant height, panicle size, grain weight, and total biomass</w:t>
      </w:r>
      <w:r w:rsidR="00FA0EBD" w:rsidRPr="002A7A4B">
        <w:rPr>
          <w:rFonts w:ascii="Arial" w:hAnsi="Arial" w:cs="Arial"/>
          <w:sz w:val="20"/>
          <w:szCs w:val="20"/>
        </w:rPr>
        <w:t xml:space="preserve"> </w:t>
      </w:r>
      <w:r w:rsidR="00FA0EBD" w:rsidRPr="003429C2">
        <w:rPr>
          <w:rFonts w:ascii="Arial" w:hAnsi="Arial" w:cs="Arial"/>
          <w:bCs/>
          <w:sz w:val="20"/>
          <w:szCs w:val="20"/>
        </w:rPr>
        <w:t>(Begna, 2022)</w:t>
      </w:r>
      <w:r w:rsidRPr="003429C2">
        <w:rPr>
          <w:rFonts w:ascii="Arial" w:hAnsi="Arial" w:cs="Arial"/>
          <w:sz w:val="20"/>
          <w:szCs w:val="20"/>
        </w:rPr>
        <w:t>.</w:t>
      </w:r>
      <w:r w:rsidRPr="002A7A4B">
        <w:rPr>
          <w:rFonts w:ascii="Arial" w:hAnsi="Arial" w:cs="Arial"/>
          <w:sz w:val="20"/>
          <w:szCs w:val="20"/>
        </w:rPr>
        <w:t xml:space="preserve"> The success of hybrid breeding depends on the identification of </w:t>
      </w:r>
      <w:r w:rsidRPr="002A7A4B">
        <w:rPr>
          <w:rStyle w:val="Strong"/>
          <w:rFonts w:ascii="Arial" w:hAnsi="Arial" w:cs="Arial"/>
          <w:b w:val="0"/>
          <w:sz w:val="20"/>
          <w:szCs w:val="20"/>
        </w:rPr>
        <w:t>heterotic gene pools</w:t>
      </w:r>
      <w:r w:rsidRPr="002A7A4B">
        <w:rPr>
          <w:rFonts w:ascii="Arial" w:hAnsi="Arial" w:cs="Arial"/>
          <w:b/>
          <w:sz w:val="20"/>
          <w:szCs w:val="20"/>
        </w:rPr>
        <w:t>,</w:t>
      </w:r>
      <w:r w:rsidRPr="002A7A4B">
        <w:rPr>
          <w:rFonts w:ascii="Arial" w:hAnsi="Arial" w:cs="Arial"/>
          <w:sz w:val="20"/>
          <w:szCs w:val="20"/>
        </w:rPr>
        <w:t xml:space="preserve"> which are groups of genetically diverse lines that consistently produce superior hybrids when crossed. To sustain heterosis and continually improve hybrid performance, </w:t>
      </w:r>
      <w:r w:rsidRPr="002A7A4B">
        <w:rPr>
          <w:rStyle w:val="Strong"/>
          <w:rFonts w:ascii="Arial" w:hAnsi="Arial" w:cs="Arial"/>
          <w:b w:val="0"/>
          <w:sz w:val="20"/>
          <w:szCs w:val="20"/>
        </w:rPr>
        <w:t>recurrent selection</w:t>
      </w:r>
      <w:r w:rsidRPr="002A7A4B">
        <w:rPr>
          <w:rFonts w:ascii="Arial" w:hAnsi="Arial" w:cs="Arial"/>
          <w:b/>
          <w:sz w:val="20"/>
          <w:szCs w:val="20"/>
        </w:rPr>
        <w:t xml:space="preserve"> </w:t>
      </w:r>
      <w:r w:rsidRPr="002A7A4B">
        <w:rPr>
          <w:rFonts w:ascii="Arial" w:hAnsi="Arial" w:cs="Arial"/>
          <w:sz w:val="20"/>
          <w:szCs w:val="20"/>
        </w:rPr>
        <w:t xml:space="preserve">strategies have been employed to refine both male and female parental lines. This involves repeatedly selecting and recombining individuals with desirable traits over successive generations, thus enriching the population with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alleles. Techniques such as </w:t>
      </w:r>
      <w:r w:rsidRPr="002A7A4B">
        <w:rPr>
          <w:rStyle w:val="Strong"/>
          <w:rFonts w:ascii="Arial" w:hAnsi="Arial" w:cs="Arial"/>
          <w:b w:val="0"/>
          <w:sz w:val="20"/>
          <w:szCs w:val="20"/>
        </w:rPr>
        <w:t>reciprocal recurrent selection</w:t>
      </w:r>
      <w:r w:rsidRPr="002A7A4B">
        <w:rPr>
          <w:rFonts w:ascii="Arial" w:hAnsi="Arial" w:cs="Arial"/>
          <w:sz w:val="20"/>
          <w:szCs w:val="20"/>
        </w:rPr>
        <w:t xml:space="preserve"> (RRS) allow simultaneous improvement of both parental pools and help maintain heterotic potential.</w:t>
      </w:r>
    </w:p>
    <w:p w14:paraId="669C8325" w14:textId="1DEA3411"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In breeding programs focused on hybrid development, </w:t>
      </w:r>
      <w:r w:rsidRPr="002A7A4B">
        <w:rPr>
          <w:rStyle w:val="Strong"/>
          <w:rFonts w:ascii="Arial" w:hAnsi="Arial" w:cs="Arial"/>
          <w:b w:val="0"/>
          <w:sz w:val="20"/>
          <w:szCs w:val="20"/>
        </w:rPr>
        <w:t>combining ability analysis</w:t>
      </w:r>
      <w:r w:rsidRPr="002A7A4B">
        <w:rPr>
          <w:rFonts w:ascii="Arial" w:hAnsi="Arial" w:cs="Arial"/>
          <w:sz w:val="20"/>
          <w:szCs w:val="20"/>
        </w:rPr>
        <w:t xml:space="preserve"> including general combining ability (GCA) and specific combining ability (SCA) is used to assess the performance of lines in different hybrid combinations</w:t>
      </w:r>
      <w:r w:rsidR="00FA0EBD" w:rsidRPr="002A7A4B">
        <w:rPr>
          <w:rFonts w:ascii="Arial" w:hAnsi="Arial" w:cs="Arial"/>
          <w:sz w:val="20"/>
          <w:szCs w:val="20"/>
        </w:rPr>
        <w:t xml:space="preserve"> </w:t>
      </w:r>
      <w:r w:rsidR="00FA0EBD" w:rsidRPr="003429C2">
        <w:rPr>
          <w:rFonts w:ascii="Arial" w:hAnsi="Arial" w:cs="Arial"/>
          <w:bCs/>
          <w:sz w:val="20"/>
          <w:szCs w:val="20"/>
        </w:rPr>
        <w:t>(Kenga et al., 2004)</w:t>
      </w:r>
      <w:r w:rsidRPr="003429C2">
        <w:rPr>
          <w:rFonts w:ascii="Arial" w:hAnsi="Arial" w:cs="Arial"/>
          <w:sz w:val="20"/>
          <w:szCs w:val="20"/>
        </w:rPr>
        <w:t>.</w:t>
      </w:r>
      <w:r w:rsidRPr="002A7A4B">
        <w:rPr>
          <w:rFonts w:ascii="Arial" w:hAnsi="Arial" w:cs="Arial"/>
          <w:sz w:val="20"/>
          <w:szCs w:val="20"/>
        </w:rPr>
        <w:t xml:space="preserve"> High GCA indicates additive genetic effects, which are desirable for developing stable inbred lines, while high SCA reflects non-additive effects, essential for selecting optimal hybrid crosses. Advanced breeding efforts also include </w:t>
      </w:r>
      <w:r w:rsidRPr="002A7A4B">
        <w:rPr>
          <w:rStyle w:val="Strong"/>
          <w:rFonts w:ascii="Arial" w:hAnsi="Arial" w:cs="Arial"/>
          <w:b w:val="0"/>
          <w:sz w:val="20"/>
          <w:szCs w:val="20"/>
        </w:rPr>
        <w:t>early generation selection</w:t>
      </w:r>
      <w:r w:rsidRPr="002A7A4B">
        <w:rPr>
          <w:rFonts w:ascii="Arial" w:hAnsi="Arial" w:cs="Arial"/>
          <w:sz w:val="20"/>
          <w:szCs w:val="20"/>
        </w:rPr>
        <w:t xml:space="preserve"> to reduce the breeding cycle time, and </w:t>
      </w:r>
      <w:r w:rsidRPr="002A7A4B">
        <w:rPr>
          <w:rStyle w:val="Strong"/>
          <w:rFonts w:ascii="Arial" w:hAnsi="Arial" w:cs="Arial"/>
          <w:b w:val="0"/>
          <w:sz w:val="20"/>
          <w:szCs w:val="20"/>
        </w:rPr>
        <w:t>doubled haploid techniques</w:t>
      </w:r>
      <w:r w:rsidRPr="002A7A4B">
        <w:rPr>
          <w:rFonts w:ascii="Arial" w:hAnsi="Arial" w:cs="Arial"/>
          <w:sz w:val="20"/>
          <w:szCs w:val="20"/>
        </w:rPr>
        <w:t xml:space="preserve"> are being explored to rapidly fix homozygosity in elite lines. Although not yet widely adopted in sorghum due to technical constraints, these tools hold promise for accelerating the development of superior parental lines. In recent years, </w:t>
      </w:r>
      <w:r w:rsidRPr="002A7A4B">
        <w:rPr>
          <w:rStyle w:val="Strong"/>
          <w:rFonts w:ascii="Arial" w:hAnsi="Arial" w:cs="Arial"/>
          <w:b w:val="0"/>
          <w:sz w:val="20"/>
          <w:szCs w:val="20"/>
        </w:rPr>
        <w:t>molecular markers and genomic selection</w:t>
      </w:r>
      <w:r w:rsidRPr="002A7A4B">
        <w:rPr>
          <w:rFonts w:ascii="Arial" w:hAnsi="Arial" w:cs="Arial"/>
          <w:sz w:val="20"/>
          <w:szCs w:val="20"/>
        </w:rPr>
        <w:t xml:space="preserve"> have enhanced the efficiency of selection within recurrent populations</w:t>
      </w:r>
      <w:r w:rsidR="00FA0EBD" w:rsidRPr="002A7A4B">
        <w:rPr>
          <w:rFonts w:ascii="Arial" w:hAnsi="Arial" w:cs="Arial"/>
          <w:sz w:val="20"/>
          <w:szCs w:val="20"/>
        </w:rPr>
        <w:t xml:space="preserve"> </w:t>
      </w:r>
      <w:r w:rsidR="00FA0EBD" w:rsidRPr="003429C2">
        <w:rPr>
          <w:rFonts w:ascii="Arial" w:hAnsi="Arial" w:cs="Arial"/>
          <w:sz w:val="20"/>
          <w:szCs w:val="20"/>
        </w:rPr>
        <w:t>(</w:t>
      </w:r>
      <w:r w:rsidR="00FA0EBD" w:rsidRPr="003429C2">
        <w:rPr>
          <w:rFonts w:ascii="Arial" w:hAnsi="Arial" w:cs="Arial"/>
          <w:bCs/>
          <w:sz w:val="20"/>
          <w:szCs w:val="20"/>
        </w:rPr>
        <w:t>Altaf et al., 2024)</w:t>
      </w:r>
      <w:r w:rsidRPr="003429C2">
        <w:rPr>
          <w:rFonts w:ascii="Arial" w:hAnsi="Arial" w:cs="Arial"/>
          <w:sz w:val="20"/>
          <w:szCs w:val="20"/>
        </w:rPr>
        <w:t>.</w:t>
      </w:r>
      <w:r w:rsidRPr="002A7A4B">
        <w:rPr>
          <w:rFonts w:ascii="Arial" w:hAnsi="Arial" w:cs="Arial"/>
          <w:sz w:val="20"/>
          <w:szCs w:val="20"/>
        </w:rPr>
        <w:t xml:space="preserve"> Marker-assisted recurrent selection (MARS) and genomic selection (GS) enable breeders to estimate breeding values with higher precision and select parents with high potential before phenotypic evaluation, thereby saving time and resources. Collectively, the integration of hybrid breeding, heterosis exploitation, and recurrent selection has led to a substantial transformation in sorghum yield potential. However, the full realization of hybrid technology, especially in resource-constrained regions, depends on strengthening seed systems, farmer awareness, and affordability</w:t>
      </w:r>
      <w:r w:rsidR="00FA0EBD" w:rsidRPr="002A7A4B">
        <w:rPr>
          <w:rFonts w:ascii="Arial" w:hAnsi="Arial" w:cs="Arial"/>
          <w:sz w:val="20"/>
          <w:szCs w:val="20"/>
        </w:rPr>
        <w:t xml:space="preserve"> </w:t>
      </w:r>
      <w:r w:rsidR="00FA0EBD" w:rsidRPr="003429C2">
        <w:rPr>
          <w:rFonts w:ascii="Arial" w:hAnsi="Arial" w:cs="Arial"/>
          <w:bCs/>
          <w:sz w:val="20"/>
          <w:szCs w:val="20"/>
        </w:rPr>
        <w:t>(</w:t>
      </w:r>
      <w:proofErr w:type="spellStart"/>
      <w:r w:rsidR="00FA0EBD" w:rsidRPr="003429C2">
        <w:rPr>
          <w:rFonts w:ascii="Arial" w:hAnsi="Arial" w:cs="Arial"/>
          <w:bCs/>
          <w:sz w:val="20"/>
          <w:szCs w:val="20"/>
        </w:rPr>
        <w:t>Marenya</w:t>
      </w:r>
      <w:proofErr w:type="spellEnd"/>
      <w:r w:rsidR="00FA0EBD" w:rsidRPr="003429C2">
        <w:rPr>
          <w:rFonts w:ascii="Arial" w:hAnsi="Arial" w:cs="Arial"/>
          <w:bCs/>
          <w:sz w:val="20"/>
          <w:szCs w:val="20"/>
        </w:rPr>
        <w:t xml:space="preserve"> et al., 2024)</w:t>
      </w:r>
      <w:r w:rsidRPr="003429C2">
        <w:rPr>
          <w:rFonts w:ascii="Arial" w:hAnsi="Arial" w:cs="Arial"/>
          <w:sz w:val="20"/>
          <w:szCs w:val="20"/>
        </w:rPr>
        <w:t>.</w:t>
      </w:r>
      <w:r w:rsidRPr="002A7A4B">
        <w:rPr>
          <w:rFonts w:ascii="Arial" w:hAnsi="Arial" w:cs="Arial"/>
          <w:sz w:val="20"/>
          <w:szCs w:val="20"/>
        </w:rPr>
        <w:t xml:space="preserve"> As such, breeding programs must adopt a holistic approach—linking genetic gains with delivery mechanisms to ensure that yield improvements translate into enhanced food security and rural livelihoods.</w:t>
      </w:r>
    </w:p>
    <w:p w14:paraId="2F1313C4" w14:textId="77777777" w:rsidR="00DD5D03" w:rsidRPr="00DD5D03" w:rsidRDefault="00DD5D03" w:rsidP="002A7A4B">
      <w:pPr>
        <w:pStyle w:val="Heading2"/>
        <w:spacing w:line="240" w:lineRule="auto"/>
        <w:rPr>
          <w:rFonts w:ascii="Arial" w:hAnsi="Arial" w:cs="Arial"/>
          <w:color w:val="auto"/>
          <w:sz w:val="24"/>
          <w:szCs w:val="20"/>
        </w:rPr>
      </w:pPr>
      <w:r w:rsidRPr="00DD5D03">
        <w:rPr>
          <w:rStyle w:val="Strong"/>
          <w:rFonts w:ascii="Arial" w:hAnsi="Arial" w:cs="Arial"/>
          <w:bCs w:val="0"/>
          <w:color w:val="auto"/>
          <w:sz w:val="24"/>
          <w:szCs w:val="20"/>
        </w:rPr>
        <w:t>4. BREEDING FOR ABIOTIC STRESS TOLERANCE</w:t>
      </w:r>
    </w:p>
    <w:p w14:paraId="09EA0646" w14:textId="39179134" w:rsidR="00DD5D03" w:rsidRPr="003429C2" w:rsidRDefault="00DD5D03" w:rsidP="002A7A4B">
      <w:pPr>
        <w:pStyle w:val="NormalWeb"/>
        <w:jc w:val="both"/>
        <w:rPr>
          <w:rFonts w:ascii="Arial" w:hAnsi="Arial" w:cs="Arial"/>
          <w:sz w:val="20"/>
          <w:szCs w:val="20"/>
        </w:rPr>
      </w:pPr>
      <w:r w:rsidRPr="003429C2">
        <w:rPr>
          <w:rFonts w:ascii="Arial" w:hAnsi="Arial" w:cs="Arial"/>
          <w:sz w:val="20"/>
          <w:szCs w:val="20"/>
        </w:rPr>
        <w:t xml:space="preserve">Abiotic stresses pose a significant threat to sorghum productivity, particularly in the dryland and semi-arid regions where it is predominantly cultivated. Among these stresses, </w:t>
      </w:r>
      <w:r w:rsidRPr="003429C2">
        <w:rPr>
          <w:rStyle w:val="Strong"/>
          <w:rFonts w:ascii="Arial" w:hAnsi="Arial" w:cs="Arial"/>
          <w:b w:val="0"/>
          <w:sz w:val="20"/>
          <w:szCs w:val="20"/>
        </w:rPr>
        <w:t>drought</w:t>
      </w:r>
      <w:r w:rsidRPr="003429C2">
        <w:rPr>
          <w:rFonts w:ascii="Arial" w:hAnsi="Arial" w:cs="Arial"/>
          <w:b/>
          <w:sz w:val="20"/>
          <w:szCs w:val="20"/>
        </w:rPr>
        <w:t xml:space="preserve">, </w:t>
      </w:r>
      <w:r w:rsidRPr="003429C2">
        <w:rPr>
          <w:rStyle w:val="Strong"/>
          <w:rFonts w:ascii="Arial" w:hAnsi="Arial" w:cs="Arial"/>
          <w:b w:val="0"/>
          <w:sz w:val="20"/>
          <w:szCs w:val="20"/>
        </w:rPr>
        <w:t>heat</w:t>
      </w:r>
      <w:r w:rsidRPr="003429C2">
        <w:rPr>
          <w:rFonts w:ascii="Arial" w:hAnsi="Arial" w:cs="Arial"/>
          <w:b/>
          <w:sz w:val="20"/>
          <w:szCs w:val="20"/>
        </w:rPr>
        <w:t xml:space="preserve">, </w:t>
      </w:r>
      <w:r w:rsidRPr="003429C2">
        <w:rPr>
          <w:rFonts w:ascii="Arial" w:hAnsi="Arial" w:cs="Arial"/>
          <w:sz w:val="20"/>
          <w:szCs w:val="20"/>
        </w:rPr>
        <w:t xml:space="preserve">and </w:t>
      </w:r>
      <w:r w:rsidRPr="003429C2">
        <w:rPr>
          <w:rStyle w:val="Strong"/>
          <w:rFonts w:ascii="Arial" w:hAnsi="Arial" w:cs="Arial"/>
          <w:b w:val="0"/>
          <w:sz w:val="20"/>
          <w:szCs w:val="20"/>
        </w:rPr>
        <w:t>salinity</w:t>
      </w:r>
      <w:r w:rsidRPr="003429C2">
        <w:rPr>
          <w:rFonts w:ascii="Arial" w:hAnsi="Arial" w:cs="Arial"/>
          <w:b/>
          <w:sz w:val="20"/>
          <w:szCs w:val="20"/>
        </w:rPr>
        <w:t xml:space="preserve"> </w:t>
      </w:r>
      <w:r w:rsidRPr="003429C2">
        <w:rPr>
          <w:rFonts w:ascii="Arial" w:hAnsi="Arial" w:cs="Arial"/>
          <w:sz w:val="20"/>
          <w:szCs w:val="20"/>
        </w:rPr>
        <w:t>are the most critical environmental challenges that limit growth, development, and yield</w:t>
      </w:r>
      <w:r w:rsidR="00FA0EBD" w:rsidRPr="003429C2">
        <w:rPr>
          <w:rFonts w:ascii="Arial" w:hAnsi="Arial" w:cs="Arial"/>
          <w:sz w:val="20"/>
          <w:szCs w:val="20"/>
        </w:rPr>
        <w:t xml:space="preserve"> </w:t>
      </w:r>
      <w:r w:rsidR="00FA0EBD" w:rsidRPr="003429C2">
        <w:rPr>
          <w:rFonts w:ascii="Arial" w:hAnsi="Arial" w:cs="Arial"/>
          <w:bCs/>
          <w:sz w:val="20"/>
          <w:szCs w:val="20"/>
        </w:rPr>
        <w:lastRenderedPageBreak/>
        <w:t>(Abreha et al., 2022)</w:t>
      </w:r>
      <w:r w:rsidRPr="003429C2">
        <w:rPr>
          <w:rFonts w:ascii="Arial" w:hAnsi="Arial" w:cs="Arial"/>
          <w:sz w:val="20"/>
          <w:szCs w:val="20"/>
        </w:rPr>
        <w:t>. Sorghum’s inherent resilience to such stresses gives it a unique advantage over other cereals, but breeding efforts are essential to further enhance its adaptability and stability under intensifying climate variability. Modern breeding strategies have evolved to incorporate physiological screening, genetic variability exploration, and molecular tools to develop cultivars that are better equipped to withstand abiotic pressures</w:t>
      </w:r>
      <w:r w:rsidR="00FA0EBD" w:rsidRPr="003429C2">
        <w:rPr>
          <w:rFonts w:ascii="Arial" w:hAnsi="Arial" w:cs="Arial"/>
          <w:sz w:val="20"/>
          <w:szCs w:val="20"/>
        </w:rPr>
        <w:t xml:space="preserve"> </w:t>
      </w:r>
      <w:r w:rsidR="00FA0EBD" w:rsidRPr="003429C2">
        <w:rPr>
          <w:rFonts w:ascii="Arial" w:hAnsi="Arial" w:cs="Arial"/>
          <w:bCs/>
          <w:sz w:val="20"/>
          <w:szCs w:val="20"/>
        </w:rPr>
        <w:t>(Altaf et al., 2025)</w:t>
      </w:r>
      <w:r w:rsidRPr="003429C2">
        <w:rPr>
          <w:rFonts w:ascii="Arial" w:hAnsi="Arial" w:cs="Arial"/>
          <w:sz w:val="20"/>
          <w:szCs w:val="20"/>
        </w:rPr>
        <w:t>.</w:t>
      </w:r>
    </w:p>
    <w:p w14:paraId="71FF5B28"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4.1 Drought Tolerance: Physiological and Root Traits</w:t>
      </w:r>
    </w:p>
    <w:p w14:paraId="2DBEAA80" w14:textId="51322543" w:rsidR="00DD5D03" w:rsidRPr="003429C2" w:rsidRDefault="00DD5D03" w:rsidP="002A7A4B">
      <w:pPr>
        <w:pStyle w:val="NormalWeb"/>
        <w:jc w:val="both"/>
        <w:rPr>
          <w:rFonts w:ascii="Arial" w:hAnsi="Arial" w:cs="Arial"/>
          <w:sz w:val="20"/>
          <w:szCs w:val="20"/>
        </w:rPr>
      </w:pPr>
      <w:r w:rsidRPr="003429C2">
        <w:rPr>
          <w:rFonts w:ascii="Arial" w:hAnsi="Arial" w:cs="Arial"/>
          <w:sz w:val="20"/>
          <w:szCs w:val="20"/>
        </w:rPr>
        <w:t xml:space="preserve">Drought is the most widespread and detrimental abiotic stress affecting sorghum across its growing regions. Although sorghum is considered a drought-hardy crop, substantial variability exists among genotypes in terms of their ability to maintain productivity under limited water availability. Breeding for drought tolerance focuses on identifying and integrating specific </w:t>
      </w:r>
      <w:r w:rsidRPr="003E72B6">
        <w:rPr>
          <w:rStyle w:val="Strong"/>
          <w:rFonts w:ascii="Arial" w:hAnsi="Arial" w:cs="Arial"/>
          <w:b w:val="0"/>
          <w:sz w:val="20"/>
          <w:szCs w:val="20"/>
        </w:rPr>
        <w:t>physiological traits</w:t>
      </w:r>
      <w:r w:rsidRPr="003429C2">
        <w:rPr>
          <w:rFonts w:ascii="Arial" w:hAnsi="Arial" w:cs="Arial"/>
          <w:sz w:val="20"/>
          <w:szCs w:val="20"/>
        </w:rPr>
        <w:t xml:space="preserve"> and </w:t>
      </w:r>
      <w:r w:rsidRPr="003E72B6">
        <w:rPr>
          <w:rStyle w:val="Strong"/>
          <w:rFonts w:ascii="Arial" w:hAnsi="Arial" w:cs="Arial"/>
          <w:b w:val="0"/>
          <w:sz w:val="20"/>
          <w:szCs w:val="20"/>
        </w:rPr>
        <w:t>root system characteristics</w:t>
      </w:r>
      <w:r w:rsidRPr="003E72B6">
        <w:rPr>
          <w:rFonts w:ascii="Arial" w:hAnsi="Arial" w:cs="Arial"/>
          <w:b/>
          <w:sz w:val="20"/>
          <w:szCs w:val="20"/>
        </w:rPr>
        <w:t xml:space="preserve"> </w:t>
      </w:r>
      <w:r w:rsidRPr="003429C2">
        <w:rPr>
          <w:rFonts w:ascii="Arial" w:hAnsi="Arial" w:cs="Arial"/>
          <w:sz w:val="20"/>
          <w:szCs w:val="20"/>
        </w:rPr>
        <w:t>that contribute to improved water use efficiency and yield stability</w:t>
      </w:r>
      <w:r w:rsidR="00FA0EBD" w:rsidRPr="003429C2">
        <w:rPr>
          <w:rFonts w:ascii="Arial" w:hAnsi="Arial" w:cs="Arial"/>
          <w:bCs/>
          <w:sz w:val="20"/>
          <w:szCs w:val="20"/>
        </w:rPr>
        <w:t xml:space="preserve"> (Prasad et al., 2021)</w:t>
      </w:r>
      <w:r w:rsidRPr="003429C2">
        <w:rPr>
          <w:rFonts w:ascii="Arial" w:hAnsi="Arial" w:cs="Arial"/>
          <w:sz w:val="20"/>
          <w:szCs w:val="20"/>
        </w:rPr>
        <w:t xml:space="preserve">. One of the most prominent physiological traits used in drought tolerance breeding is the </w:t>
      </w:r>
      <w:r w:rsidRPr="003429C2">
        <w:rPr>
          <w:rStyle w:val="Strong"/>
          <w:rFonts w:ascii="Arial" w:hAnsi="Arial" w:cs="Arial"/>
          <w:b w:val="0"/>
          <w:sz w:val="20"/>
          <w:szCs w:val="20"/>
        </w:rPr>
        <w:t>stay-green</w:t>
      </w:r>
      <w:r w:rsidRPr="003429C2">
        <w:rPr>
          <w:rFonts w:ascii="Arial" w:hAnsi="Arial" w:cs="Arial"/>
          <w:sz w:val="20"/>
          <w:szCs w:val="20"/>
        </w:rPr>
        <w:t xml:space="preserve"> character. This trait enables the plant to maintain green leaf area and photosynthetic activity during the post-anthesis period, even under terminal drought. Stay-green genotypes exhibit delayed leaf senescence, improved grain filling, and higher harvest index under moisture stress conditions. The physiological basis of stay-green includes enhanced osmotic adjustment, better water retention in leaves, and robust antioxidative systems that prevent premature aging.</w:t>
      </w:r>
    </w:p>
    <w:p w14:paraId="3698F187" w14:textId="242C4B6D" w:rsidR="00DD5D03" w:rsidRPr="003429C2" w:rsidRDefault="00DD5D03" w:rsidP="002A7A4B">
      <w:pPr>
        <w:pStyle w:val="NormalWeb"/>
        <w:ind w:firstLine="720"/>
        <w:jc w:val="both"/>
        <w:rPr>
          <w:rFonts w:ascii="Arial" w:hAnsi="Arial" w:cs="Arial"/>
          <w:sz w:val="20"/>
          <w:szCs w:val="20"/>
        </w:rPr>
      </w:pPr>
      <w:r w:rsidRPr="003429C2">
        <w:rPr>
          <w:rFonts w:ascii="Arial" w:hAnsi="Arial" w:cs="Arial"/>
          <w:sz w:val="20"/>
          <w:szCs w:val="20"/>
        </w:rPr>
        <w:t xml:space="preserve">Another critical trait is </w:t>
      </w:r>
      <w:r w:rsidRPr="003429C2">
        <w:rPr>
          <w:rStyle w:val="Strong"/>
          <w:rFonts w:ascii="Arial" w:hAnsi="Arial" w:cs="Arial"/>
          <w:b w:val="0"/>
          <w:sz w:val="20"/>
          <w:szCs w:val="20"/>
        </w:rPr>
        <w:t>transpiration efficiency</w:t>
      </w:r>
      <w:r w:rsidRPr="003429C2">
        <w:rPr>
          <w:rFonts w:ascii="Arial" w:hAnsi="Arial" w:cs="Arial"/>
          <w:sz w:val="20"/>
          <w:szCs w:val="20"/>
        </w:rPr>
        <w:t>, which refers to the ratio of biomass production to water transpired</w:t>
      </w:r>
      <w:r w:rsidR="00895CA2" w:rsidRPr="003429C2">
        <w:rPr>
          <w:rFonts w:ascii="Arial" w:hAnsi="Arial" w:cs="Arial"/>
          <w:bCs/>
          <w:sz w:val="20"/>
          <w:szCs w:val="20"/>
        </w:rPr>
        <w:t xml:space="preserve"> (Xin et al., 2009)</w:t>
      </w:r>
      <w:r w:rsidRPr="003429C2">
        <w:rPr>
          <w:rFonts w:ascii="Arial" w:hAnsi="Arial" w:cs="Arial"/>
          <w:sz w:val="20"/>
          <w:szCs w:val="20"/>
        </w:rPr>
        <w:t xml:space="preserve">. Genotypes with higher transpiration efficiency conserve soil moisture and sustain growth under water-limited environments. In addition, </w:t>
      </w:r>
      <w:r w:rsidRPr="003429C2">
        <w:rPr>
          <w:rStyle w:val="Strong"/>
          <w:rFonts w:ascii="Arial" w:hAnsi="Arial" w:cs="Arial"/>
          <w:b w:val="0"/>
          <w:sz w:val="20"/>
          <w:szCs w:val="20"/>
        </w:rPr>
        <w:t>stomatal conductance</w:t>
      </w:r>
      <w:r w:rsidRPr="003429C2">
        <w:rPr>
          <w:rFonts w:ascii="Arial" w:hAnsi="Arial" w:cs="Arial"/>
          <w:sz w:val="20"/>
          <w:szCs w:val="20"/>
        </w:rPr>
        <w:t xml:space="preserve"> and </w:t>
      </w:r>
      <w:r w:rsidRPr="003429C2">
        <w:rPr>
          <w:rStyle w:val="Strong"/>
          <w:rFonts w:ascii="Arial" w:hAnsi="Arial" w:cs="Arial"/>
          <w:b w:val="0"/>
          <w:sz w:val="20"/>
          <w:szCs w:val="20"/>
        </w:rPr>
        <w:t>canopy temperature depression</w:t>
      </w:r>
      <w:r w:rsidRPr="003429C2">
        <w:rPr>
          <w:rFonts w:ascii="Arial" w:hAnsi="Arial" w:cs="Arial"/>
          <w:sz w:val="20"/>
          <w:szCs w:val="20"/>
        </w:rPr>
        <w:t xml:space="preserve"> are used as indirect measures for drought adaptability, with cooler canopies often associated with better transpiration control and root activity. The </w:t>
      </w:r>
      <w:r w:rsidRPr="003429C2">
        <w:rPr>
          <w:rStyle w:val="Strong"/>
          <w:rFonts w:ascii="Arial" w:hAnsi="Arial" w:cs="Arial"/>
          <w:b w:val="0"/>
          <w:sz w:val="20"/>
          <w:szCs w:val="20"/>
        </w:rPr>
        <w:t>root system architecture</w:t>
      </w:r>
      <w:r w:rsidRPr="003429C2">
        <w:rPr>
          <w:rFonts w:ascii="Arial" w:hAnsi="Arial" w:cs="Arial"/>
          <w:sz w:val="20"/>
          <w:szCs w:val="20"/>
        </w:rPr>
        <w:t xml:space="preserve"> plays an equally vital role in drought resilience. Deep and prolific root systems enable sorghum plants to access moisture from deeper soil layers, especially during periods of surface drying. Breeding efforts have increasingly emphasized selecting genotypes with longer root lengths, greater root density, and enhanced hydraulic conductance. Root phenotyping, although </w:t>
      </w:r>
      <w:proofErr w:type="spellStart"/>
      <w:r w:rsidRPr="003429C2">
        <w:rPr>
          <w:rFonts w:ascii="Arial" w:hAnsi="Arial" w:cs="Arial"/>
          <w:sz w:val="20"/>
          <w:szCs w:val="20"/>
        </w:rPr>
        <w:t>labor-intensive</w:t>
      </w:r>
      <w:proofErr w:type="spellEnd"/>
      <w:r w:rsidRPr="003429C2">
        <w:rPr>
          <w:rFonts w:ascii="Arial" w:hAnsi="Arial" w:cs="Arial"/>
          <w:sz w:val="20"/>
          <w:szCs w:val="20"/>
        </w:rPr>
        <w:t>, is being augmented through the use of digital imaging and rhizotron-based systems, which allow non-destructive evaluation of root traits</w:t>
      </w:r>
      <w:r w:rsidR="00895CA2" w:rsidRPr="003429C2">
        <w:rPr>
          <w:rFonts w:ascii="Arial" w:hAnsi="Arial" w:cs="Arial"/>
          <w:sz w:val="20"/>
          <w:szCs w:val="20"/>
        </w:rPr>
        <w:t xml:space="preserve"> </w:t>
      </w:r>
      <w:r w:rsidR="00895CA2" w:rsidRPr="003429C2">
        <w:rPr>
          <w:rFonts w:ascii="Arial" w:hAnsi="Arial" w:cs="Arial"/>
          <w:bCs/>
          <w:sz w:val="20"/>
          <w:szCs w:val="20"/>
        </w:rPr>
        <w:t>(Martins et al., 2019)</w:t>
      </w:r>
      <w:r w:rsidRPr="003429C2">
        <w:rPr>
          <w:rFonts w:ascii="Arial" w:hAnsi="Arial" w:cs="Arial"/>
          <w:sz w:val="20"/>
          <w:szCs w:val="20"/>
        </w:rPr>
        <w:t>.</w:t>
      </w:r>
    </w:p>
    <w:p w14:paraId="24768A5B"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4.2 Heat and Salinity Tolerance: Genetic Variability and Screening Methods</w:t>
      </w:r>
    </w:p>
    <w:p w14:paraId="7BBD9FA6" w14:textId="197C8864" w:rsidR="00DD5D03" w:rsidRPr="003429C2" w:rsidRDefault="00DD5D03" w:rsidP="002A7A4B">
      <w:pPr>
        <w:pStyle w:val="NormalWeb"/>
        <w:jc w:val="both"/>
        <w:rPr>
          <w:rFonts w:ascii="Arial" w:hAnsi="Arial" w:cs="Arial"/>
          <w:sz w:val="20"/>
          <w:szCs w:val="20"/>
        </w:rPr>
      </w:pPr>
      <w:r w:rsidRPr="003429C2">
        <w:rPr>
          <w:rStyle w:val="Strong"/>
          <w:rFonts w:ascii="Arial" w:hAnsi="Arial" w:cs="Arial"/>
          <w:b w:val="0"/>
          <w:sz w:val="20"/>
          <w:szCs w:val="20"/>
        </w:rPr>
        <w:t>Heat stress</w:t>
      </w:r>
      <w:r w:rsidRPr="003429C2">
        <w:rPr>
          <w:rFonts w:ascii="Arial" w:hAnsi="Arial" w:cs="Arial"/>
          <w:sz w:val="20"/>
          <w:szCs w:val="20"/>
        </w:rPr>
        <w:t xml:space="preserve"> is becoming an increasingly common constraint in sorghum-growing areas due to rising global temperatures and the expansion of cultivation into warmer zones</w:t>
      </w:r>
      <w:r w:rsidR="00895CA2" w:rsidRPr="003429C2">
        <w:rPr>
          <w:rFonts w:ascii="Arial" w:hAnsi="Arial" w:cs="Arial"/>
          <w:sz w:val="20"/>
          <w:szCs w:val="20"/>
        </w:rPr>
        <w:t xml:space="preserve"> </w:t>
      </w:r>
      <w:r w:rsidR="00895CA2" w:rsidRPr="003429C2">
        <w:rPr>
          <w:rFonts w:ascii="Arial" w:hAnsi="Arial" w:cs="Arial"/>
          <w:bCs/>
          <w:sz w:val="20"/>
          <w:szCs w:val="20"/>
        </w:rPr>
        <w:t>(Chadalavada et al., 2021)</w:t>
      </w:r>
      <w:r w:rsidRPr="003429C2">
        <w:rPr>
          <w:rFonts w:ascii="Arial" w:hAnsi="Arial" w:cs="Arial"/>
          <w:sz w:val="20"/>
          <w:szCs w:val="20"/>
        </w:rPr>
        <w:t xml:space="preserve">. High temperatures during flowering and grain development can cause pollen sterility, reduced seed set, and shrunken grains. Sorghum is relatively more tolerant to heat than many other cereals, but significant </w:t>
      </w:r>
      <w:r w:rsidRPr="003429C2">
        <w:rPr>
          <w:rStyle w:val="Strong"/>
          <w:rFonts w:ascii="Arial" w:hAnsi="Arial" w:cs="Arial"/>
          <w:b w:val="0"/>
          <w:sz w:val="20"/>
          <w:szCs w:val="20"/>
        </w:rPr>
        <w:t>genotypic differences</w:t>
      </w:r>
      <w:r w:rsidRPr="003429C2">
        <w:rPr>
          <w:rFonts w:ascii="Arial" w:hAnsi="Arial" w:cs="Arial"/>
          <w:sz w:val="20"/>
          <w:szCs w:val="20"/>
        </w:rPr>
        <w:t xml:space="preserve"> exist in heat tolerance mechanisms, which breeders aim to exploit. Traits such as </w:t>
      </w:r>
      <w:r w:rsidRPr="003429C2">
        <w:rPr>
          <w:rStyle w:val="Strong"/>
          <w:rFonts w:ascii="Arial" w:hAnsi="Arial" w:cs="Arial"/>
          <w:b w:val="0"/>
          <w:sz w:val="20"/>
          <w:szCs w:val="20"/>
        </w:rPr>
        <w:t>membrane thermostability</w:t>
      </w:r>
      <w:r w:rsidRPr="003429C2">
        <w:rPr>
          <w:rFonts w:ascii="Arial" w:hAnsi="Arial" w:cs="Arial"/>
          <w:b/>
          <w:sz w:val="20"/>
          <w:szCs w:val="20"/>
        </w:rPr>
        <w:t xml:space="preserve">, </w:t>
      </w:r>
      <w:r w:rsidRPr="003429C2">
        <w:rPr>
          <w:rStyle w:val="Strong"/>
          <w:rFonts w:ascii="Arial" w:hAnsi="Arial" w:cs="Arial"/>
          <w:b w:val="0"/>
          <w:sz w:val="20"/>
          <w:szCs w:val="20"/>
        </w:rPr>
        <w:t>pollen viability</w:t>
      </w:r>
      <w:r w:rsidRPr="003429C2">
        <w:rPr>
          <w:rFonts w:ascii="Arial" w:hAnsi="Arial" w:cs="Arial"/>
          <w:sz w:val="20"/>
          <w:szCs w:val="20"/>
        </w:rPr>
        <w:t xml:space="preserve">, and </w:t>
      </w:r>
      <w:r w:rsidRPr="003429C2">
        <w:rPr>
          <w:rStyle w:val="Strong"/>
          <w:rFonts w:ascii="Arial" w:hAnsi="Arial" w:cs="Arial"/>
          <w:b w:val="0"/>
          <w:sz w:val="20"/>
          <w:szCs w:val="20"/>
        </w:rPr>
        <w:t>heat shock protein expression</w:t>
      </w:r>
      <w:r w:rsidRPr="003429C2">
        <w:rPr>
          <w:rFonts w:ascii="Arial" w:hAnsi="Arial" w:cs="Arial"/>
          <w:sz w:val="20"/>
          <w:szCs w:val="20"/>
        </w:rPr>
        <w:t xml:space="preserve"> have been identified as important indicators of heat tolerance</w:t>
      </w:r>
      <w:r w:rsidR="00895CA2" w:rsidRPr="003429C2">
        <w:rPr>
          <w:rFonts w:ascii="Arial" w:hAnsi="Arial" w:cs="Arial"/>
          <w:bCs/>
          <w:sz w:val="20"/>
          <w:szCs w:val="20"/>
        </w:rPr>
        <w:t xml:space="preserve"> (</w:t>
      </w:r>
      <w:proofErr w:type="spellStart"/>
      <w:r w:rsidR="00895CA2" w:rsidRPr="003429C2">
        <w:rPr>
          <w:rFonts w:ascii="Arial" w:hAnsi="Arial" w:cs="Arial"/>
          <w:bCs/>
          <w:sz w:val="20"/>
          <w:szCs w:val="20"/>
        </w:rPr>
        <w:t>Sunoj</w:t>
      </w:r>
      <w:proofErr w:type="spellEnd"/>
      <w:r w:rsidR="00895CA2" w:rsidRPr="003429C2">
        <w:rPr>
          <w:rFonts w:ascii="Arial" w:hAnsi="Arial" w:cs="Arial"/>
          <w:bCs/>
          <w:sz w:val="20"/>
          <w:szCs w:val="20"/>
        </w:rPr>
        <w:t xml:space="preserve"> et al., 2017)</w:t>
      </w:r>
      <w:r w:rsidRPr="003429C2">
        <w:rPr>
          <w:rFonts w:ascii="Arial" w:hAnsi="Arial" w:cs="Arial"/>
          <w:sz w:val="20"/>
          <w:szCs w:val="20"/>
        </w:rPr>
        <w:t>. Screening under controlled environments using heat chambers or under natural hot-spot locations enables the selection of heat-resilient genotypes. Maintenance of grain yield, pollen germination rate, and panicle exertion under high temperatures are among the key selection criteria in breeding programs targeting thermal stress.</w:t>
      </w:r>
    </w:p>
    <w:p w14:paraId="5C4B1C49" w14:textId="60AEBF6A" w:rsidR="00DD5D03" w:rsidRPr="003429C2"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In coastal and irrigated areas with saline soils, </w:t>
      </w:r>
      <w:r w:rsidRPr="003429C2">
        <w:rPr>
          <w:rStyle w:val="Strong"/>
          <w:rFonts w:ascii="Arial" w:hAnsi="Arial" w:cs="Arial"/>
          <w:b w:val="0"/>
          <w:sz w:val="20"/>
          <w:szCs w:val="20"/>
        </w:rPr>
        <w:t>salinity</w:t>
      </w:r>
      <w:r w:rsidRPr="002A7A4B">
        <w:rPr>
          <w:rFonts w:ascii="Arial" w:hAnsi="Arial" w:cs="Arial"/>
          <w:sz w:val="20"/>
          <w:szCs w:val="20"/>
        </w:rPr>
        <w:t xml:space="preserve"> emerges as a limiting factor for sorghum production</w:t>
      </w:r>
      <w:r w:rsidR="00895CA2" w:rsidRPr="002A7A4B">
        <w:rPr>
          <w:rFonts w:ascii="Arial" w:hAnsi="Arial" w:cs="Arial"/>
          <w:sz w:val="20"/>
          <w:szCs w:val="20"/>
        </w:rPr>
        <w:t xml:space="preserve"> </w:t>
      </w:r>
      <w:r w:rsidR="00895CA2" w:rsidRPr="003429C2">
        <w:rPr>
          <w:rFonts w:ascii="Arial" w:hAnsi="Arial" w:cs="Arial"/>
          <w:sz w:val="20"/>
          <w:szCs w:val="20"/>
        </w:rPr>
        <w:t>(</w:t>
      </w:r>
      <w:r w:rsidR="00895CA2" w:rsidRPr="003429C2">
        <w:rPr>
          <w:rFonts w:ascii="Arial" w:hAnsi="Arial" w:cs="Arial"/>
          <w:bCs/>
          <w:sz w:val="20"/>
          <w:szCs w:val="20"/>
        </w:rPr>
        <w:t>Calone et al., 2020)</w:t>
      </w:r>
      <w:r w:rsidRPr="003429C2">
        <w:rPr>
          <w:rFonts w:ascii="Arial" w:hAnsi="Arial" w:cs="Arial"/>
          <w:sz w:val="20"/>
          <w:szCs w:val="20"/>
        </w:rPr>
        <w:t>.</w:t>
      </w:r>
      <w:r w:rsidRPr="002A7A4B">
        <w:rPr>
          <w:rFonts w:ascii="Arial" w:hAnsi="Arial" w:cs="Arial"/>
          <w:sz w:val="20"/>
          <w:szCs w:val="20"/>
        </w:rPr>
        <w:t xml:space="preserve"> Although the crop shows moderate tolerance, continuous exposure to saline conditions affects germination, tillering, and grain development. Salinity impedes water uptake due to osmotic stress and causes ion toxicity, particularly from sodium and chloride ions. Breeding for salinity tolerance involves identifying genotypes that can maintain cellular ion homeostasis, sequester toxic ions, and synthesize </w:t>
      </w:r>
      <w:proofErr w:type="spellStart"/>
      <w:r w:rsidRPr="002A7A4B">
        <w:rPr>
          <w:rFonts w:ascii="Arial" w:hAnsi="Arial" w:cs="Arial"/>
          <w:sz w:val="20"/>
          <w:szCs w:val="20"/>
        </w:rPr>
        <w:t>osmoprotectants</w:t>
      </w:r>
      <w:proofErr w:type="spellEnd"/>
      <w:r w:rsidRPr="002A7A4B">
        <w:rPr>
          <w:rFonts w:ascii="Arial" w:hAnsi="Arial" w:cs="Arial"/>
          <w:sz w:val="20"/>
          <w:szCs w:val="20"/>
        </w:rPr>
        <w:t xml:space="preserve"> such as proline and glycine betaine. </w:t>
      </w:r>
      <w:r w:rsidRPr="003429C2">
        <w:rPr>
          <w:rStyle w:val="Strong"/>
          <w:rFonts w:ascii="Arial" w:hAnsi="Arial" w:cs="Arial"/>
          <w:b w:val="0"/>
          <w:sz w:val="20"/>
          <w:szCs w:val="20"/>
        </w:rPr>
        <w:t>Germplasm screening</w:t>
      </w:r>
      <w:r w:rsidRPr="002A7A4B">
        <w:rPr>
          <w:rFonts w:ascii="Arial" w:hAnsi="Arial" w:cs="Arial"/>
          <w:sz w:val="20"/>
          <w:szCs w:val="20"/>
        </w:rPr>
        <w:t xml:space="preserve"> under saline hydroponic systems and salt-affected field sites helps identify tolerant lines. Key physiological indicators include higher K</w:t>
      </w:r>
      <w:r w:rsidRPr="002A7A4B">
        <w:rPr>
          <w:rFonts w:ascii="Cambria Math" w:hAnsi="Cambria Math" w:cs="Cambria Math"/>
          <w:sz w:val="20"/>
          <w:szCs w:val="20"/>
        </w:rPr>
        <w:t>⁺</w:t>
      </w:r>
      <w:r w:rsidRPr="002A7A4B">
        <w:rPr>
          <w:rFonts w:ascii="Arial" w:hAnsi="Arial" w:cs="Arial"/>
          <w:sz w:val="20"/>
          <w:szCs w:val="20"/>
        </w:rPr>
        <w:t>/Na</w:t>
      </w:r>
      <w:r w:rsidRPr="002A7A4B">
        <w:rPr>
          <w:rFonts w:ascii="Cambria Math" w:hAnsi="Cambria Math" w:cs="Cambria Math"/>
          <w:sz w:val="20"/>
          <w:szCs w:val="20"/>
        </w:rPr>
        <w:t>⁺</w:t>
      </w:r>
      <w:r w:rsidRPr="002A7A4B">
        <w:rPr>
          <w:rFonts w:ascii="Arial" w:hAnsi="Arial" w:cs="Arial"/>
          <w:sz w:val="20"/>
          <w:szCs w:val="20"/>
        </w:rPr>
        <w:t xml:space="preserve"> ratios in leaf tissues, sustained chlorophyll content, and minimal reduction in biomass under salt stress</w:t>
      </w:r>
      <w:r w:rsidR="00895CA2" w:rsidRPr="002A7A4B">
        <w:rPr>
          <w:rFonts w:ascii="Arial" w:hAnsi="Arial" w:cs="Arial"/>
          <w:sz w:val="20"/>
          <w:szCs w:val="20"/>
        </w:rPr>
        <w:t xml:space="preserve"> </w:t>
      </w:r>
      <w:r w:rsidR="00895CA2" w:rsidRPr="003429C2">
        <w:rPr>
          <w:rFonts w:ascii="Arial" w:hAnsi="Arial" w:cs="Arial"/>
          <w:sz w:val="20"/>
          <w:szCs w:val="20"/>
        </w:rPr>
        <w:t>(</w:t>
      </w:r>
      <w:r w:rsidR="00895CA2" w:rsidRPr="003429C2">
        <w:rPr>
          <w:rFonts w:ascii="Arial" w:hAnsi="Arial" w:cs="Arial"/>
          <w:bCs/>
          <w:sz w:val="20"/>
          <w:szCs w:val="20"/>
        </w:rPr>
        <w:t>Chisela Kaite, 2022)</w:t>
      </w:r>
      <w:r w:rsidRPr="003429C2">
        <w:rPr>
          <w:rFonts w:ascii="Arial" w:hAnsi="Arial" w:cs="Arial"/>
          <w:sz w:val="20"/>
          <w:szCs w:val="20"/>
        </w:rPr>
        <w:t>.</w:t>
      </w:r>
    </w:p>
    <w:p w14:paraId="4889045F"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4.3 Marker-Assisted Breeding for Stress-Resilient Lines</w:t>
      </w:r>
    </w:p>
    <w:p w14:paraId="0F5340AA" w14:textId="182CF8C3" w:rsidR="00DD5D03" w:rsidRPr="003429C2" w:rsidRDefault="00DD5D03" w:rsidP="002A7A4B">
      <w:pPr>
        <w:pStyle w:val="NormalWeb"/>
        <w:jc w:val="both"/>
        <w:rPr>
          <w:rFonts w:ascii="Arial" w:hAnsi="Arial" w:cs="Arial"/>
          <w:sz w:val="20"/>
          <w:szCs w:val="20"/>
        </w:rPr>
      </w:pPr>
      <w:r w:rsidRPr="003429C2">
        <w:rPr>
          <w:rFonts w:ascii="Arial" w:hAnsi="Arial" w:cs="Arial"/>
          <w:sz w:val="20"/>
          <w:szCs w:val="20"/>
        </w:rPr>
        <w:lastRenderedPageBreak/>
        <w:t xml:space="preserve">The integration of </w:t>
      </w:r>
      <w:r w:rsidRPr="003429C2">
        <w:rPr>
          <w:rStyle w:val="Strong"/>
          <w:rFonts w:ascii="Arial" w:hAnsi="Arial" w:cs="Arial"/>
          <w:b w:val="0"/>
          <w:sz w:val="20"/>
          <w:szCs w:val="20"/>
        </w:rPr>
        <w:t>molecular markers</w:t>
      </w:r>
      <w:r w:rsidRPr="003429C2">
        <w:rPr>
          <w:rFonts w:ascii="Arial" w:hAnsi="Arial" w:cs="Arial"/>
          <w:b/>
          <w:sz w:val="20"/>
          <w:szCs w:val="20"/>
        </w:rPr>
        <w:t xml:space="preserve"> </w:t>
      </w:r>
      <w:r w:rsidRPr="003429C2">
        <w:rPr>
          <w:rFonts w:ascii="Arial" w:hAnsi="Arial" w:cs="Arial"/>
          <w:sz w:val="20"/>
          <w:szCs w:val="20"/>
        </w:rPr>
        <w:t xml:space="preserve">into sorghum breeding has revolutionized the efficiency and precision with which stress tolerance traits can be selected and </w:t>
      </w:r>
      <w:proofErr w:type="spellStart"/>
      <w:r w:rsidRPr="003429C2">
        <w:rPr>
          <w:rFonts w:ascii="Arial" w:hAnsi="Arial" w:cs="Arial"/>
          <w:sz w:val="20"/>
          <w:szCs w:val="20"/>
        </w:rPr>
        <w:t>introgressed</w:t>
      </w:r>
      <w:proofErr w:type="spellEnd"/>
      <w:r w:rsidRPr="003429C2">
        <w:rPr>
          <w:rFonts w:ascii="Arial" w:hAnsi="Arial" w:cs="Arial"/>
          <w:sz w:val="20"/>
          <w:szCs w:val="20"/>
        </w:rPr>
        <w:t xml:space="preserve"> into elite cultivar</w:t>
      </w:r>
      <w:r w:rsidRPr="003429C2">
        <w:rPr>
          <w:rFonts w:ascii="Arial" w:hAnsi="Arial" w:cs="Arial"/>
          <w:bCs/>
          <w:sz w:val="20"/>
          <w:szCs w:val="20"/>
        </w:rPr>
        <w:t>s</w:t>
      </w:r>
      <w:r w:rsidR="00895CA2" w:rsidRPr="003429C2">
        <w:rPr>
          <w:rFonts w:ascii="Arial" w:hAnsi="Arial" w:cs="Arial"/>
          <w:bCs/>
          <w:sz w:val="20"/>
          <w:szCs w:val="20"/>
        </w:rPr>
        <w:t xml:space="preserve"> (</w:t>
      </w:r>
      <w:proofErr w:type="spellStart"/>
      <w:r w:rsidR="00895CA2" w:rsidRPr="003429C2">
        <w:rPr>
          <w:rFonts w:ascii="Arial" w:hAnsi="Arial" w:cs="Arial"/>
          <w:bCs/>
          <w:sz w:val="20"/>
          <w:szCs w:val="20"/>
        </w:rPr>
        <w:t>Mwamahonje</w:t>
      </w:r>
      <w:proofErr w:type="spellEnd"/>
      <w:r w:rsidR="00895CA2" w:rsidRPr="003429C2">
        <w:rPr>
          <w:rFonts w:ascii="Arial" w:hAnsi="Arial" w:cs="Arial"/>
          <w:bCs/>
          <w:sz w:val="20"/>
          <w:szCs w:val="20"/>
        </w:rPr>
        <w:t xml:space="preserve"> et al., 2024)</w:t>
      </w:r>
      <w:r w:rsidRPr="003429C2">
        <w:rPr>
          <w:rFonts w:ascii="Arial" w:hAnsi="Arial" w:cs="Arial"/>
          <w:sz w:val="20"/>
          <w:szCs w:val="20"/>
        </w:rPr>
        <w:t xml:space="preserve">. With the identification of </w:t>
      </w:r>
      <w:r w:rsidRPr="003429C2">
        <w:rPr>
          <w:rStyle w:val="Strong"/>
          <w:rFonts w:ascii="Arial" w:hAnsi="Arial" w:cs="Arial"/>
          <w:b w:val="0"/>
          <w:sz w:val="20"/>
          <w:szCs w:val="20"/>
        </w:rPr>
        <w:t>quantitative trait loci (QTLs)</w:t>
      </w:r>
      <w:r w:rsidRPr="003429C2">
        <w:rPr>
          <w:rFonts w:ascii="Arial" w:hAnsi="Arial" w:cs="Arial"/>
          <w:sz w:val="20"/>
          <w:szCs w:val="20"/>
        </w:rPr>
        <w:t xml:space="preserve"> associated with drought, heat, and salinity tolerance, </w:t>
      </w:r>
      <w:r w:rsidRPr="003429C2">
        <w:rPr>
          <w:rStyle w:val="Strong"/>
          <w:rFonts w:ascii="Arial" w:hAnsi="Arial" w:cs="Arial"/>
          <w:b w:val="0"/>
          <w:sz w:val="20"/>
          <w:szCs w:val="20"/>
        </w:rPr>
        <w:t>marker-assisted selection (MAS)</w:t>
      </w:r>
      <w:r w:rsidRPr="003429C2">
        <w:rPr>
          <w:rFonts w:ascii="Arial" w:hAnsi="Arial" w:cs="Arial"/>
          <w:sz w:val="20"/>
          <w:szCs w:val="20"/>
        </w:rPr>
        <w:t xml:space="preserve"> has become a reliable tool for enhancing abiotic stress resistance. One of the most successful applications of MAS in sorghum has been the identification and deployment of </w:t>
      </w:r>
      <w:r w:rsidRPr="003429C2">
        <w:rPr>
          <w:rStyle w:val="Strong"/>
          <w:rFonts w:ascii="Arial" w:hAnsi="Arial" w:cs="Arial"/>
          <w:b w:val="0"/>
          <w:sz w:val="20"/>
          <w:szCs w:val="20"/>
        </w:rPr>
        <w:t>stay-green QTLs</w:t>
      </w:r>
      <w:r w:rsidRPr="003429C2">
        <w:rPr>
          <w:rFonts w:ascii="Arial" w:hAnsi="Arial" w:cs="Arial"/>
          <w:sz w:val="20"/>
          <w:szCs w:val="20"/>
        </w:rPr>
        <w:t xml:space="preserve">—such as </w:t>
      </w:r>
      <w:r w:rsidRPr="003429C2">
        <w:rPr>
          <w:rStyle w:val="Emphasis"/>
          <w:rFonts w:ascii="Arial" w:hAnsi="Arial" w:cs="Arial"/>
          <w:sz w:val="20"/>
          <w:szCs w:val="20"/>
        </w:rPr>
        <w:t>Stg1</w:t>
      </w:r>
      <w:r w:rsidRPr="003429C2">
        <w:rPr>
          <w:rFonts w:ascii="Arial" w:hAnsi="Arial" w:cs="Arial"/>
          <w:sz w:val="20"/>
          <w:szCs w:val="20"/>
        </w:rPr>
        <w:t xml:space="preserve">, </w:t>
      </w:r>
      <w:r w:rsidRPr="003429C2">
        <w:rPr>
          <w:rStyle w:val="Emphasis"/>
          <w:rFonts w:ascii="Arial" w:hAnsi="Arial" w:cs="Arial"/>
          <w:sz w:val="20"/>
          <w:szCs w:val="20"/>
        </w:rPr>
        <w:t>Stg2</w:t>
      </w:r>
      <w:r w:rsidRPr="003429C2">
        <w:rPr>
          <w:rFonts w:ascii="Arial" w:hAnsi="Arial" w:cs="Arial"/>
          <w:sz w:val="20"/>
          <w:szCs w:val="20"/>
        </w:rPr>
        <w:t xml:space="preserve">, </w:t>
      </w:r>
      <w:r w:rsidRPr="003429C2">
        <w:rPr>
          <w:rStyle w:val="Emphasis"/>
          <w:rFonts w:ascii="Arial" w:hAnsi="Arial" w:cs="Arial"/>
          <w:sz w:val="20"/>
          <w:szCs w:val="20"/>
        </w:rPr>
        <w:t>Stg3</w:t>
      </w:r>
      <w:r w:rsidRPr="003429C2">
        <w:rPr>
          <w:rFonts w:ascii="Arial" w:hAnsi="Arial" w:cs="Arial"/>
          <w:sz w:val="20"/>
          <w:szCs w:val="20"/>
        </w:rPr>
        <w:t xml:space="preserve">, and </w:t>
      </w:r>
      <w:r w:rsidRPr="003429C2">
        <w:rPr>
          <w:rStyle w:val="Emphasis"/>
          <w:rFonts w:ascii="Arial" w:hAnsi="Arial" w:cs="Arial"/>
          <w:sz w:val="20"/>
          <w:szCs w:val="20"/>
        </w:rPr>
        <w:t>Stg4</w:t>
      </w:r>
      <w:r w:rsidR="003429C2">
        <w:rPr>
          <w:rFonts w:ascii="Arial" w:hAnsi="Arial" w:cs="Arial"/>
          <w:sz w:val="20"/>
          <w:szCs w:val="20"/>
        </w:rPr>
        <w:t xml:space="preserve"> </w:t>
      </w:r>
      <w:r w:rsidRPr="003429C2">
        <w:rPr>
          <w:rFonts w:ascii="Arial" w:hAnsi="Arial" w:cs="Arial"/>
          <w:sz w:val="20"/>
          <w:szCs w:val="20"/>
        </w:rPr>
        <w:t xml:space="preserve">which are located on different chromosomes and contribute additively to delayed leaf senescence under drought. These QTLs have been </w:t>
      </w:r>
      <w:proofErr w:type="spellStart"/>
      <w:r w:rsidRPr="003429C2">
        <w:rPr>
          <w:rFonts w:ascii="Arial" w:hAnsi="Arial" w:cs="Arial"/>
          <w:sz w:val="20"/>
          <w:szCs w:val="20"/>
        </w:rPr>
        <w:t>introgressed</w:t>
      </w:r>
      <w:proofErr w:type="spellEnd"/>
      <w:r w:rsidRPr="003429C2">
        <w:rPr>
          <w:rFonts w:ascii="Arial" w:hAnsi="Arial" w:cs="Arial"/>
          <w:sz w:val="20"/>
          <w:szCs w:val="20"/>
        </w:rPr>
        <w:t xml:space="preserve"> into several elite backgrounds, resulting in hybrids with improved post-flowering drought tolerance and yield stability. Marker-assisted backcrossing (MABC) has been particularly useful in combining stay-green with other desirable agronomic traits. For heat tolerance, QTLs governing </w:t>
      </w:r>
      <w:r w:rsidRPr="003429C2">
        <w:rPr>
          <w:rStyle w:val="Strong"/>
          <w:rFonts w:ascii="Arial" w:hAnsi="Arial" w:cs="Arial"/>
          <w:b w:val="0"/>
          <w:sz w:val="20"/>
          <w:szCs w:val="20"/>
        </w:rPr>
        <w:t>pollen fertility</w:t>
      </w:r>
      <w:r w:rsidRPr="003429C2">
        <w:rPr>
          <w:rFonts w:ascii="Arial" w:hAnsi="Arial" w:cs="Arial"/>
          <w:b/>
          <w:sz w:val="20"/>
          <w:szCs w:val="20"/>
        </w:rPr>
        <w:t xml:space="preserve"> </w:t>
      </w:r>
      <w:r w:rsidRPr="003429C2">
        <w:rPr>
          <w:rFonts w:ascii="Arial" w:hAnsi="Arial" w:cs="Arial"/>
          <w:sz w:val="20"/>
          <w:szCs w:val="20"/>
        </w:rPr>
        <w:t xml:space="preserve">and </w:t>
      </w:r>
      <w:r w:rsidRPr="003429C2">
        <w:rPr>
          <w:rStyle w:val="Strong"/>
          <w:rFonts w:ascii="Arial" w:hAnsi="Arial" w:cs="Arial"/>
          <w:b w:val="0"/>
          <w:sz w:val="20"/>
          <w:szCs w:val="20"/>
        </w:rPr>
        <w:t>canopy temperature regulation</w:t>
      </w:r>
      <w:r w:rsidRPr="003429C2">
        <w:rPr>
          <w:rFonts w:ascii="Arial" w:hAnsi="Arial" w:cs="Arial"/>
          <w:b/>
          <w:sz w:val="20"/>
          <w:szCs w:val="20"/>
        </w:rPr>
        <w:t xml:space="preserve"> </w:t>
      </w:r>
      <w:r w:rsidRPr="003429C2">
        <w:rPr>
          <w:rFonts w:ascii="Arial" w:hAnsi="Arial" w:cs="Arial"/>
          <w:sz w:val="20"/>
          <w:szCs w:val="20"/>
        </w:rPr>
        <w:t>have been identified and validated in different sorghum populations</w:t>
      </w:r>
      <w:r w:rsidR="00895CA2" w:rsidRPr="003429C2">
        <w:rPr>
          <w:rFonts w:ascii="Arial" w:hAnsi="Arial" w:cs="Arial"/>
          <w:sz w:val="20"/>
          <w:szCs w:val="20"/>
        </w:rPr>
        <w:t xml:space="preserve"> </w:t>
      </w:r>
      <w:r w:rsidR="00895CA2" w:rsidRPr="003429C2">
        <w:rPr>
          <w:rFonts w:ascii="Arial" w:hAnsi="Arial" w:cs="Arial"/>
          <w:bCs/>
          <w:sz w:val="20"/>
          <w:szCs w:val="20"/>
        </w:rPr>
        <w:t>(Linders, 2023)</w:t>
      </w:r>
      <w:r w:rsidRPr="003429C2">
        <w:rPr>
          <w:rFonts w:ascii="Arial" w:hAnsi="Arial" w:cs="Arial"/>
          <w:sz w:val="20"/>
          <w:szCs w:val="20"/>
        </w:rPr>
        <w:t>. The deployment of these QTLs into breeding lines is ongoing, with promising results observed in field evaluations under heat-stress-prone environments.</w:t>
      </w:r>
    </w:p>
    <w:p w14:paraId="6441C5CF" w14:textId="17832560"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Efforts to map and utilize QTLs for </w:t>
      </w:r>
      <w:r w:rsidRPr="003429C2">
        <w:rPr>
          <w:rStyle w:val="Strong"/>
          <w:rFonts w:ascii="Arial" w:hAnsi="Arial" w:cs="Arial"/>
          <w:b w:val="0"/>
          <w:sz w:val="20"/>
          <w:szCs w:val="20"/>
        </w:rPr>
        <w:t>salinity tolerance</w:t>
      </w:r>
      <w:r w:rsidRPr="002A7A4B">
        <w:rPr>
          <w:rFonts w:ascii="Arial" w:hAnsi="Arial" w:cs="Arial"/>
          <w:sz w:val="20"/>
          <w:szCs w:val="20"/>
        </w:rPr>
        <w:t xml:space="preserve"> are also underway. Studies have identified genomic regions associated with seedling </w:t>
      </w:r>
      <w:proofErr w:type="spellStart"/>
      <w:r w:rsidRPr="002A7A4B">
        <w:rPr>
          <w:rFonts w:ascii="Arial" w:hAnsi="Arial" w:cs="Arial"/>
          <w:sz w:val="20"/>
          <w:szCs w:val="20"/>
        </w:rPr>
        <w:t>vigor</w:t>
      </w:r>
      <w:proofErr w:type="spellEnd"/>
      <w:r w:rsidRPr="002A7A4B">
        <w:rPr>
          <w:rFonts w:ascii="Arial" w:hAnsi="Arial" w:cs="Arial"/>
          <w:sz w:val="20"/>
          <w:szCs w:val="20"/>
        </w:rPr>
        <w:t xml:space="preserve">, ion regulation, and salt exclusion mechanisms. The use of </w:t>
      </w:r>
      <w:r w:rsidRPr="003429C2">
        <w:rPr>
          <w:rStyle w:val="Strong"/>
          <w:rFonts w:ascii="Arial" w:hAnsi="Arial" w:cs="Arial"/>
          <w:b w:val="0"/>
          <w:sz w:val="20"/>
          <w:szCs w:val="20"/>
        </w:rPr>
        <w:t>single nucleotide polymorphism (SNP)</w:t>
      </w:r>
      <w:r w:rsidRPr="002A7A4B">
        <w:rPr>
          <w:rFonts w:ascii="Arial" w:hAnsi="Arial" w:cs="Arial"/>
          <w:sz w:val="20"/>
          <w:szCs w:val="20"/>
        </w:rPr>
        <w:t xml:space="preserve"> markers and </w:t>
      </w:r>
      <w:r w:rsidRPr="003429C2">
        <w:rPr>
          <w:rStyle w:val="Strong"/>
          <w:rFonts w:ascii="Arial" w:hAnsi="Arial" w:cs="Arial"/>
          <w:b w:val="0"/>
          <w:sz w:val="20"/>
          <w:szCs w:val="20"/>
        </w:rPr>
        <w:t>genotyping-by-sequencing (GBS)</w:t>
      </w:r>
      <w:r w:rsidRPr="002A7A4B">
        <w:rPr>
          <w:rFonts w:ascii="Arial" w:hAnsi="Arial" w:cs="Arial"/>
          <w:sz w:val="20"/>
          <w:szCs w:val="20"/>
        </w:rPr>
        <w:t xml:space="preserve"> platforms has enhanced the resolution and efficiency of identifying salinity-related genomic regions. Beyond QTL mapping, </w:t>
      </w:r>
      <w:r w:rsidRPr="003429C2">
        <w:rPr>
          <w:rStyle w:val="Strong"/>
          <w:rFonts w:ascii="Arial" w:hAnsi="Arial" w:cs="Arial"/>
          <w:b w:val="0"/>
          <w:sz w:val="20"/>
          <w:szCs w:val="20"/>
        </w:rPr>
        <w:t>genomic selection (GS)</w:t>
      </w:r>
      <w:r w:rsidRPr="002A7A4B">
        <w:rPr>
          <w:rFonts w:ascii="Arial" w:hAnsi="Arial" w:cs="Arial"/>
          <w:sz w:val="20"/>
          <w:szCs w:val="20"/>
        </w:rPr>
        <w:t xml:space="preserve"> is being increasingly adopted in sorghum breeding programs for complex traits like drought and heat tolerance. GS uses genome-wide marker data to predict the breeding value of individuals, allowing early selection without the need for extensive phenotyping. This approach is especially useful for traits with low heritability and high environmental interaction, which are typical of abiotic stress responses. In addition to marker-based methods, </w:t>
      </w:r>
      <w:r w:rsidRPr="003429C2">
        <w:rPr>
          <w:rStyle w:val="Strong"/>
          <w:rFonts w:ascii="Arial" w:hAnsi="Arial" w:cs="Arial"/>
          <w:b w:val="0"/>
          <w:sz w:val="20"/>
          <w:szCs w:val="20"/>
        </w:rPr>
        <w:t>transcriptomic</w:t>
      </w:r>
      <w:r w:rsidRPr="002A7A4B">
        <w:rPr>
          <w:rFonts w:ascii="Arial" w:hAnsi="Arial" w:cs="Arial"/>
          <w:sz w:val="20"/>
          <w:szCs w:val="20"/>
        </w:rPr>
        <w:t xml:space="preserve"> and </w:t>
      </w:r>
      <w:r w:rsidRPr="003429C2">
        <w:rPr>
          <w:rStyle w:val="Strong"/>
          <w:rFonts w:ascii="Arial" w:hAnsi="Arial" w:cs="Arial"/>
          <w:b w:val="0"/>
          <w:sz w:val="20"/>
          <w:szCs w:val="20"/>
        </w:rPr>
        <w:t>metabolomic analyses</w:t>
      </w:r>
      <w:r w:rsidRPr="002A7A4B">
        <w:rPr>
          <w:rFonts w:ascii="Arial" w:hAnsi="Arial" w:cs="Arial"/>
          <w:sz w:val="20"/>
          <w:szCs w:val="20"/>
        </w:rPr>
        <w:t xml:space="preserve"> are providing insights into gene expression patterns and metabolic adjustments under stress conditions. These omics approaches are enabling the discovery of new candidate genes and regulatory networks that can be targeted through gene editing and advanced molecular breeding. Breeding for abiotic stress tolerance in sorghum has progressed significantly through the integration of physiological understanding, genetic screening, and molecular tools. As climate challenges intensify, future strategies must focus on stacking multiple stress-resistance traits, utilizing high-throughput phenotyping platforms, and ensuring that stress-resilient cultivars are well-adapted to farmer-preferred conditions. Such holistic and targeted breeding approaches are essential for developing robust sorghum varieties capable of sustaining productivity under future environmental uncertainties.</w:t>
      </w:r>
    </w:p>
    <w:p w14:paraId="4AEFBF09" w14:textId="77777777" w:rsidR="00DD5D03" w:rsidRPr="009667D5" w:rsidRDefault="00DD5D03" w:rsidP="002A7A4B">
      <w:pPr>
        <w:pStyle w:val="Heading2"/>
        <w:spacing w:line="240" w:lineRule="auto"/>
        <w:rPr>
          <w:rFonts w:ascii="Arial" w:hAnsi="Arial" w:cs="Arial"/>
          <w:color w:val="auto"/>
          <w:sz w:val="24"/>
          <w:szCs w:val="20"/>
        </w:rPr>
      </w:pPr>
      <w:r w:rsidRPr="009667D5">
        <w:rPr>
          <w:rStyle w:val="Strong"/>
          <w:rFonts w:ascii="Arial" w:hAnsi="Arial" w:cs="Arial"/>
          <w:bCs w:val="0"/>
          <w:color w:val="auto"/>
          <w:sz w:val="24"/>
          <w:szCs w:val="20"/>
        </w:rPr>
        <w:t>5. BREEDING FOR BIOTIC STRESS RESISTANCE</w:t>
      </w:r>
    </w:p>
    <w:p w14:paraId="6A808998" w14:textId="77777777"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Sorghum production is significantly hampered by various biotic stresses, including a range of </w:t>
      </w:r>
      <w:r w:rsidRPr="003429C2">
        <w:rPr>
          <w:rStyle w:val="Strong"/>
          <w:rFonts w:ascii="Arial" w:hAnsi="Arial" w:cs="Arial"/>
          <w:b w:val="0"/>
          <w:sz w:val="20"/>
          <w:szCs w:val="20"/>
        </w:rPr>
        <w:t>fungal diseases</w:t>
      </w:r>
      <w:r w:rsidRPr="003429C2">
        <w:rPr>
          <w:rFonts w:ascii="Arial" w:hAnsi="Arial" w:cs="Arial"/>
          <w:b/>
          <w:sz w:val="20"/>
          <w:szCs w:val="20"/>
        </w:rPr>
        <w:t xml:space="preserve">, </w:t>
      </w:r>
      <w:r w:rsidRPr="003429C2">
        <w:rPr>
          <w:rStyle w:val="Strong"/>
          <w:rFonts w:ascii="Arial" w:hAnsi="Arial" w:cs="Arial"/>
          <w:b w:val="0"/>
          <w:sz w:val="20"/>
          <w:szCs w:val="20"/>
        </w:rPr>
        <w:t>bacterial and viral infections</w:t>
      </w:r>
      <w:r w:rsidRPr="003429C2">
        <w:rPr>
          <w:rFonts w:ascii="Arial" w:hAnsi="Arial" w:cs="Arial"/>
          <w:b/>
          <w:sz w:val="20"/>
          <w:szCs w:val="20"/>
        </w:rPr>
        <w:t>,</w:t>
      </w:r>
      <w:r w:rsidRPr="002A7A4B">
        <w:rPr>
          <w:rFonts w:ascii="Arial" w:hAnsi="Arial" w:cs="Arial"/>
          <w:sz w:val="20"/>
          <w:szCs w:val="20"/>
        </w:rPr>
        <w:t xml:space="preserve"> and </w:t>
      </w:r>
      <w:r w:rsidRPr="003429C2">
        <w:rPr>
          <w:rStyle w:val="Strong"/>
          <w:rFonts w:ascii="Arial" w:hAnsi="Arial" w:cs="Arial"/>
          <w:b w:val="0"/>
          <w:sz w:val="20"/>
          <w:szCs w:val="20"/>
        </w:rPr>
        <w:t>insect pests</w:t>
      </w:r>
      <w:r w:rsidRPr="002A7A4B">
        <w:rPr>
          <w:rFonts w:ascii="Arial" w:hAnsi="Arial" w:cs="Arial"/>
          <w:sz w:val="20"/>
          <w:szCs w:val="20"/>
        </w:rPr>
        <w:t>. These biological constraints not only reduce grain yield and fodder quality but also threaten the long-term sustainability of sorghum-based farming systems. In rainfed and high-humidity environments, biotic stress often occurs in tandem with abiotic stress, compounding the impact on productivity. Breeding for resistance to key pests and diseases remains a central objective of sorghum improvement programs, as it reduces dependence on chemical control, lowers production costs, and promotes environmentally sustainable agriculture.</w:t>
      </w:r>
    </w:p>
    <w:p w14:paraId="602B7771"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5.1 Major Diseases: Grain Mold, Anthracnose, and Downy Mildew</w:t>
      </w:r>
    </w:p>
    <w:p w14:paraId="7E92011D" w14:textId="77777777"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Among sorghum diseases, </w:t>
      </w:r>
      <w:r w:rsidRPr="003429C2">
        <w:rPr>
          <w:rStyle w:val="Strong"/>
          <w:rFonts w:ascii="Arial" w:hAnsi="Arial" w:cs="Arial"/>
          <w:b w:val="0"/>
          <w:sz w:val="20"/>
          <w:szCs w:val="20"/>
        </w:rPr>
        <w:t xml:space="preserve">grain </w:t>
      </w:r>
      <w:proofErr w:type="spellStart"/>
      <w:r w:rsidRPr="003429C2">
        <w:rPr>
          <w:rStyle w:val="Strong"/>
          <w:rFonts w:ascii="Arial" w:hAnsi="Arial" w:cs="Arial"/>
          <w:b w:val="0"/>
          <w:sz w:val="20"/>
          <w:szCs w:val="20"/>
        </w:rPr>
        <w:t>mold</w:t>
      </w:r>
      <w:proofErr w:type="spellEnd"/>
      <w:r w:rsidRPr="002A7A4B">
        <w:rPr>
          <w:rFonts w:ascii="Arial" w:hAnsi="Arial" w:cs="Arial"/>
          <w:sz w:val="20"/>
          <w:szCs w:val="20"/>
        </w:rPr>
        <w:t xml:space="preserve"> is one of the most destructive, especially in tropical and subtropical regions where high humidity and rainfall coincide with the grain filling and maturation stages.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is a </w:t>
      </w:r>
      <w:r w:rsidRPr="003429C2">
        <w:rPr>
          <w:rStyle w:val="Strong"/>
          <w:rFonts w:ascii="Arial" w:hAnsi="Arial" w:cs="Arial"/>
          <w:b w:val="0"/>
          <w:sz w:val="20"/>
          <w:szCs w:val="20"/>
        </w:rPr>
        <w:t>complex disease</w:t>
      </w:r>
      <w:r w:rsidRPr="002A7A4B">
        <w:rPr>
          <w:rFonts w:ascii="Arial" w:hAnsi="Arial" w:cs="Arial"/>
          <w:sz w:val="20"/>
          <w:szCs w:val="20"/>
        </w:rPr>
        <w:t xml:space="preserve"> caused by a mixture of fungal species, predominantly </w:t>
      </w:r>
      <w:r w:rsidRPr="002A7A4B">
        <w:rPr>
          <w:rStyle w:val="Emphasis"/>
          <w:rFonts w:ascii="Arial" w:hAnsi="Arial" w:cs="Arial"/>
          <w:sz w:val="20"/>
          <w:szCs w:val="20"/>
        </w:rPr>
        <w:t>Fusarium</w:t>
      </w:r>
      <w:r w:rsidRPr="002A7A4B">
        <w:rPr>
          <w:rFonts w:ascii="Arial" w:hAnsi="Arial" w:cs="Arial"/>
          <w:sz w:val="20"/>
          <w:szCs w:val="20"/>
        </w:rPr>
        <w:t xml:space="preserve">, </w:t>
      </w:r>
      <w:proofErr w:type="spellStart"/>
      <w:r w:rsidRPr="002A7A4B">
        <w:rPr>
          <w:rStyle w:val="Emphasis"/>
          <w:rFonts w:ascii="Arial" w:hAnsi="Arial" w:cs="Arial"/>
          <w:sz w:val="20"/>
          <w:szCs w:val="20"/>
        </w:rPr>
        <w:t>Curvularia</w:t>
      </w:r>
      <w:proofErr w:type="spellEnd"/>
      <w:r w:rsidRPr="002A7A4B">
        <w:rPr>
          <w:rFonts w:ascii="Arial" w:hAnsi="Arial" w:cs="Arial"/>
          <w:sz w:val="20"/>
          <w:szCs w:val="20"/>
        </w:rPr>
        <w:t xml:space="preserve">, </w:t>
      </w:r>
      <w:r w:rsidRPr="002A7A4B">
        <w:rPr>
          <w:rStyle w:val="Emphasis"/>
          <w:rFonts w:ascii="Arial" w:hAnsi="Arial" w:cs="Arial"/>
          <w:sz w:val="20"/>
          <w:szCs w:val="20"/>
        </w:rPr>
        <w:t>Alternaria</w:t>
      </w:r>
      <w:r w:rsidRPr="002A7A4B">
        <w:rPr>
          <w:rFonts w:ascii="Arial" w:hAnsi="Arial" w:cs="Arial"/>
          <w:sz w:val="20"/>
          <w:szCs w:val="20"/>
        </w:rPr>
        <w:t xml:space="preserve">, and </w:t>
      </w:r>
      <w:proofErr w:type="spellStart"/>
      <w:r w:rsidRPr="002A7A4B">
        <w:rPr>
          <w:rStyle w:val="Emphasis"/>
          <w:rFonts w:ascii="Arial" w:hAnsi="Arial" w:cs="Arial"/>
          <w:sz w:val="20"/>
          <w:szCs w:val="20"/>
        </w:rPr>
        <w:t>Phoma</w:t>
      </w:r>
      <w:proofErr w:type="spellEnd"/>
      <w:r w:rsidRPr="002A7A4B">
        <w:rPr>
          <w:rFonts w:ascii="Arial" w:hAnsi="Arial" w:cs="Arial"/>
          <w:sz w:val="20"/>
          <w:szCs w:val="20"/>
        </w:rPr>
        <w:t xml:space="preserve">. It leads to grain discoloration, reduced germination, and compromised grain quality, thereby affecting both seed viability and market value. Susceptibility to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is influenced by several plant traits including pericarp </w:t>
      </w:r>
      <w:proofErr w:type="spellStart"/>
      <w:r w:rsidRPr="002A7A4B">
        <w:rPr>
          <w:rFonts w:ascii="Arial" w:hAnsi="Arial" w:cs="Arial"/>
          <w:sz w:val="20"/>
          <w:szCs w:val="20"/>
        </w:rPr>
        <w:t>color</w:t>
      </w:r>
      <w:proofErr w:type="spellEnd"/>
      <w:r w:rsidRPr="002A7A4B">
        <w:rPr>
          <w:rFonts w:ascii="Arial" w:hAnsi="Arial" w:cs="Arial"/>
          <w:sz w:val="20"/>
          <w:szCs w:val="20"/>
        </w:rPr>
        <w:t xml:space="preserve">, grain hardness, glume coverage, and panicle compactness. Breeding for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resistance involves selecting genotypes with loose panicle architecture, pigmented pericarp, and high grain density.</w:t>
      </w:r>
    </w:p>
    <w:p w14:paraId="6E47A102" w14:textId="2BCDB701" w:rsidR="00DD5D03" w:rsidRPr="002A7A4B" w:rsidRDefault="00DD5D03" w:rsidP="002A7A4B">
      <w:pPr>
        <w:pStyle w:val="NormalWeb"/>
        <w:ind w:firstLine="720"/>
        <w:jc w:val="both"/>
        <w:rPr>
          <w:rFonts w:ascii="Arial" w:hAnsi="Arial" w:cs="Arial"/>
          <w:sz w:val="20"/>
          <w:szCs w:val="20"/>
        </w:rPr>
      </w:pPr>
      <w:r w:rsidRPr="003429C2">
        <w:rPr>
          <w:rStyle w:val="Strong"/>
          <w:rFonts w:ascii="Arial" w:hAnsi="Arial" w:cs="Arial"/>
          <w:b w:val="0"/>
          <w:sz w:val="20"/>
          <w:szCs w:val="20"/>
        </w:rPr>
        <w:lastRenderedPageBreak/>
        <w:t>Anthracnose</w:t>
      </w:r>
      <w:r w:rsidRPr="003429C2">
        <w:rPr>
          <w:rFonts w:ascii="Arial" w:hAnsi="Arial" w:cs="Arial"/>
          <w:b/>
          <w:sz w:val="20"/>
          <w:szCs w:val="20"/>
        </w:rPr>
        <w:t>,</w:t>
      </w:r>
      <w:r w:rsidRPr="003429C2">
        <w:rPr>
          <w:rFonts w:ascii="Arial" w:hAnsi="Arial" w:cs="Arial"/>
          <w:sz w:val="20"/>
          <w:szCs w:val="20"/>
        </w:rPr>
        <w:t xml:space="preserve"> caused by </w:t>
      </w:r>
      <w:r w:rsidRPr="003429C2">
        <w:rPr>
          <w:rStyle w:val="Emphasis"/>
          <w:rFonts w:ascii="Arial" w:hAnsi="Arial" w:cs="Arial"/>
          <w:sz w:val="20"/>
          <w:szCs w:val="20"/>
        </w:rPr>
        <w:t xml:space="preserve">Colletotrichum </w:t>
      </w:r>
      <w:proofErr w:type="spellStart"/>
      <w:r w:rsidRPr="003429C2">
        <w:rPr>
          <w:rStyle w:val="Emphasis"/>
          <w:rFonts w:ascii="Arial" w:hAnsi="Arial" w:cs="Arial"/>
          <w:sz w:val="20"/>
          <w:szCs w:val="20"/>
        </w:rPr>
        <w:t>sublineolum</w:t>
      </w:r>
      <w:proofErr w:type="spellEnd"/>
      <w:r w:rsidRPr="003429C2">
        <w:rPr>
          <w:rFonts w:ascii="Arial" w:hAnsi="Arial" w:cs="Arial"/>
          <w:sz w:val="20"/>
          <w:szCs w:val="20"/>
        </w:rPr>
        <w:t xml:space="preserve">, is another widespread and economically important disease affecting both foliage and panicles. It can cause up to 50% yield loss under severe infestation. The pathogen’s ability to evolve rapidly has led to the emergence of new pathotypes, necessitating continuous monitoring and incorporation of </w:t>
      </w:r>
      <w:r w:rsidRPr="003429C2">
        <w:rPr>
          <w:rStyle w:val="Strong"/>
          <w:rFonts w:ascii="Arial" w:hAnsi="Arial" w:cs="Arial"/>
          <w:b w:val="0"/>
          <w:sz w:val="20"/>
          <w:szCs w:val="20"/>
        </w:rPr>
        <w:t>durable resistance genes</w:t>
      </w:r>
      <w:r w:rsidRPr="003429C2">
        <w:rPr>
          <w:rFonts w:ascii="Arial" w:hAnsi="Arial" w:cs="Arial"/>
          <w:b/>
          <w:sz w:val="20"/>
          <w:szCs w:val="20"/>
        </w:rPr>
        <w:t>.</w:t>
      </w:r>
      <w:r w:rsidRPr="003429C2">
        <w:rPr>
          <w:rFonts w:ascii="Arial" w:hAnsi="Arial" w:cs="Arial"/>
          <w:sz w:val="20"/>
          <w:szCs w:val="20"/>
        </w:rPr>
        <w:t xml:space="preserve"> Resistant genotypes often exhibit hypersensitive reactions or necrotic lesions that limit fungal spread. Resistance is governed by both major and minor genes, and efforts have been made to identify genotypes with broad-spectrum resistance effective across environments and pathotypes. </w:t>
      </w:r>
      <w:r w:rsidRPr="003429C2">
        <w:rPr>
          <w:rStyle w:val="Strong"/>
          <w:rFonts w:ascii="Arial" w:hAnsi="Arial" w:cs="Arial"/>
          <w:b w:val="0"/>
          <w:sz w:val="20"/>
          <w:szCs w:val="20"/>
        </w:rPr>
        <w:t>Downy mildew</w:t>
      </w:r>
      <w:r w:rsidRPr="003429C2">
        <w:rPr>
          <w:rFonts w:ascii="Arial" w:hAnsi="Arial" w:cs="Arial"/>
          <w:b/>
          <w:sz w:val="20"/>
          <w:szCs w:val="20"/>
        </w:rPr>
        <w:t>,</w:t>
      </w:r>
      <w:r w:rsidRPr="003429C2">
        <w:rPr>
          <w:rFonts w:ascii="Arial" w:hAnsi="Arial" w:cs="Arial"/>
          <w:sz w:val="20"/>
          <w:szCs w:val="20"/>
        </w:rPr>
        <w:t xml:space="preserve"> caused by </w:t>
      </w:r>
      <w:proofErr w:type="spellStart"/>
      <w:r w:rsidRPr="003429C2">
        <w:rPr>
          <w:rStyle w:val="Emphasis"/>
          <w:rFonts w:ascii="Arial" w:hAnsi="Arial" w:cs="Arial"/>
          <w:sz w:val="20"/>
          <w:szCs w:val="20"/>
        </w:rPr>
        <w:t>Peronosclerospora</w:t>
      </w:r>
      <w:proofErr w:type="spellEnd"/>
      <w:r w:rsidRPr="003429C2">
        <w:rPr>
          <w:rStyle w:val="Emphasis"/>
          <w:rFonts w:ascii="Arial" w:hAnsi="Arial" w:cs="Arial"/>
          <w:sz w:val="20"/>
          <w:szCs w:val="20"/>
        </w:rPr>
        <w:t xml:space="preserve"> </w:t>
      </w:r>
      <w:proofErr w:type="spellStart"/>
      <w:r w:rsidRPr="003429C2">
        <w:rPr>
          <w:rStyle w:val="Emphasis"/>
          <w:rFonts w:ascii="Arial" w:hAnsi="Arial" w:cs="Arial"/>
          <w:sz w:val="20"/>
          <w:szCs w:val="20"/>
        </w:rPr>
        <w:t>sorghi</w:t>
      </w:r>
      <w:proofErr w:type="spellEnd"/>
      <w:r w:rsidRPr="003429C2">
        <w:rPr>
          <w:rFonts w:ascii="Arial" w:hAnsi="Arial" w:cs="Arial"/>
          <w:sz w:val="20"/>
          <w:szCs w:val="20"/>
        </w:rPr>
        <w:t>, is particularly devastating in sorghum-growing areas with high humidity. It leads to systemic infection, resulting in chlorosis, stunted growth, and malformed inflorescences. The disease is soil- and seed-borne, making it difficult to eradicate once established. Resistance</w:t>
      </w:r>
      <w:r w:rsidRPr="002A7A4B">
        <w:rPr>
          <w:rFonts w:ascii="Arial" w:hAnsi="Arial" w:cs="Arial"/>
          <w:sz w:val="20"/>
          <w:szCs w:val="20"/>
        </w:rPr>
        <w:t xml:space="preserve"> breeding remains the most cost-effective strategy to control downy mildew. Resistance is often qualitative and race-specific, and durable resistance can be achieved by pyramiding multiple resistance genes. Breeding lines with resistance to multiple pathotypes have been developed through field screening and controlled inoculation techniques.</w:t>
      </w:r>
    </w:p>
    <w:p w14:paraId="4CF8B76C"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5.2 Insect Pests: Shoot Fly, Stem Borer, Midge, and Aphids</w:t>
      </w:r>
    </w:p>
    <w:p w14:paraId="5AE1A3BF" w14:textId="71E5D783"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Insect pests are equally significant in limiting sorghum productivity, especially in regions with limited access to integrated pest management systems</w:t>
      </w:r>
      <w:r w:rsidRPr="003429C2">
        <w:rPr>
          <w:rFonts w:ascii="Arial" w:hAnsi="Arial" w:cs="Arial"/>
          <w:sz w:val="20"/>
          <w:szCs w:val="20"/>
        </w:rPr>
        <w:t xml:space="preserve">. </w:t>
      </w:r>
      <w:r w:rsidRPr="003429C2">
        <w:rPr>
          <w:rStyle w:val="Strong"/>
          <w:rFonts w:ascii="Arial" w:hAnsi="Arial" w:cs="Arial"/>
          <w:b w:val="0"/>
          <w:sz w:val="20"/>
          <w:szCs w:val="20"/>
        </w:rPr>
        <w:t>Shoot fly</w:t>
      </w:r>
      <w:r w:rsidRPr="002A7A4B">
        <w:rPr>
          <w:rFonts w:ascii="Arial" w:hAnsi="Arial" w:cs="Arial"/>
          <w:sz w:val="20"/>
          <w:szCs w:val="20"/>
        </w:rPr>
        <w:t xml:space="preserve"> (</w:t>
      </w:r>
      <w:proofErr w:type="spellStart"/>
      <w:r w:rsidRPr="002A7A4B">
        <w:rPr>
          <w:rStyle w:val="Emphasis"/>
          <w:rFonts w:ascii="Arial" w:hAnsi="Arial" w:cs="Arial"/>
          <w:sz w:val="20"/>
          <w:szCs w:val="20"/>
        </w:rPr>
        <w:t>Atherigona</w:t>
      </w:r>
      <w:proofErr w:type="spellEnd"/>
      <w:r w:rsidRPr="002A7A4B">
        <w:rPr>
          <w:rStyle w:val="Emphasis"/>
          <w:rFonts w:ascii="Arial" w:hAnsi="Arial" w:cs="Arial"/>
          <w:sz w:val="20"/>
          <w:szCs w:val="20"/>
        </w:rPr>
        <w:t xml:space="preserve"> </w:t>
      </w:r>
      <w:proofErr w:type="spellStart"/>
      <w:r w:rsidRPr="002A7A4B">
        <w:rPr>
          <w:rStyle w:val="Emphasis"/>
          <w:rFonts w:ascii="Arial" w:hAnsi="Arial" w:cs="Arial"/>
          <w:sz w:val="20"/>
          <w:szCs w:val="20"/>
        </w:rPr>
        <w:t>soccata</w:t>
      </w:r>
      <w:proofErr w:type="spellEnd"/>
      <w:r w:rsidRPr="002A7A4B">
        <w:rPr>
          <w:rFonts w:ascii="Arial" w:hAnsi="Arial" w:cs="Arial"/>
          <w:sz w:val="20"/>
          <w:szCs w:val="20"/>
        </w:rPr>
        <w:t xml:space="preserve">) is the most serious early-stage pest, particularly in late-sown crops. It damages seedlings by laying eggs at the leaf axil, and the resulting maggots feed on the growing point, leading to the characteristic "dead heart" symptom. Tolerance to shoot fly is associated with traits such as early seedling </w:t>
      </w:r>
      <w:proofErr w:type="spellStart"/>
      <w:r w:rsidRPr="002A7A4B">
        <w:rPr>
          <w:rFonts w:ascii="Arial" w:hAnsi="Arial" w:cs="Arial"/>
          <w:sz w:val="20"/>
          <w:szCs w:val="20"/>
        </w:rPr>
        <w:t>vigor</w:t>
      </w:r>
      <w:proofErr w:type="spellEnd"/>
      <w:r w:rsidRPr="002A7A4B">
        <w:rPr>
          <w:rFonts w:ascii="Arial" w:hAnsi="Arial" w:cs="Arial"/>
          <w:sz w:val="20"/>
          <w:szCs w:val="20"/>
        </w:rPr>
        <w:t xml:space="preserve">, glossy leaves, trichome density, and low oviposition rates. Breeding for shoot fly resistance requires both field-based screening and laboratory confirmation. </w:t>
      </w:r>
      <w:r w:rsidRPr="003429C2">
        <w:rPr>
          <w:rStyle w:val="Strong"/>
          <w:rFonts w:ascii="Arial" w:hAnsi="Arial" w:cs="Arial"/>
          <w:b w:val="0"/>
          <w:sz w:val="20"/>
          <w:szCs w:val="20"/>
        </w:rPr>
        <w:t>Stem borers</w:t>
      </w:r>
      <w:r w:rsidRPr="003429C2">
        <w:rPr>
          <w:rFonts w:ascii="Arial" w:hAnsi="Arial" w:cs="Arial"/>
          <w:b/>
          <w:sz w:val="20"/>
          <w:szCs w:val="20"/>
        </w:rPr>
        <w:t>,</w:t>
      </w:r>
      <w:r w:rsidRPr="002A7A4B">
        <w:rPr>
          <w:rFonts w:ascii="Arial" w:hAnsi="Arial" w:cs="Arial"/>
          <w:sz w:val="20"/>
          <w:szCs w:val="20"/>
        </w:rPr>
        <w:t xml:space="preserve"> mainly </w:t>
      </w:r>
      <w:r w:rsidRPr="002A7A4B">
        <w:rPr>
          <w:rStyle w:val="Emphasis"/>
          <w:rFonts w:ascii="Arial" w:hAnsi="Arial" w:cs="Arial"/>
          <w:sz w:val="20"/>
          <w:szCs w:val="20"/>
        </w:rPr>
        <w:t xml:space="preserve">Chilo </w:t>
      </w:r>
      <w:proofErr w:type="spellStart"/>
      <w:r w:rsidRPr="002A7A4B">
        <w:rPr>
          <w:rStyle w:val="Emphasis"/>
          <w:rFonts w:ascii="Arial" w:hAnsi="Arial" w:cs="Arial"/>
          <w:sz w:val="20"/>
          <w:szCs w:val="20"/>
        </w:rPr>
        <w:t>partellus</w:t>
      </w:r>
      <w:proofErr w:type="spellEnd"/>
      <w:r w:rsidRPr="002A7A4B">
        <w:rPr>
          <w:rFonts w:ascii="Arial" w:hAnsi="Arial" w:cs="Arial"/>
          <w:sz w:val="20"/>
          <w:szCs w:val="20"/>
        </w:rPr>
        <w:t>, are another major pest, affecting plants at later growth stages. They tunnel into stems and disrupt vascular tissues, resulting in plant lodging, reduced grain filling, and increased vulnerability to secondary infections. Resistant genotypes often exhibit thick stem tissues, silica deposition, and anti-</w:t>
      </w:r>
      <w:proofErr w:type="spellStart"/>
      <w:r w:rsidRPr="002A7A4B">
        <w:rPr>
          <w:rFonts w:ascii="Arial" w:hAnsi="Arial" w:cs="Arial"/>
          <w:sz w:val="20"/>
          <w:szCs w:val="20"/>
        </w:rPr>
        <w:t>feedant</w:t>
      </w:r>
      <w:proofErr w:type="spellEnd"/>
      <w:r w:rsidRPr="002A7A4B">
        <w:rPr>
          <w:rFonts w:ascii="Arial" w:hAnsi="Arial" w:cs="Arial"/>
          <w:sz w:val="20"/>
          <w:szCs w:val="20"/>
        </w:rPr>
        <w:t xml:space="preserve"> secondary metabolites. Because stem borer pressure is variable across locations and seasons, multilocation screening and use of infested hot-spots are essential for reliable selection.</w:t>
      </w:r>
    </w:p>
    <w:p w14:paraId="3045DF9A" w14:textId="5011CEFA" w:rsidR="00DD5D03" w:rsidRPr="002A7A4B" w:rsidRDefault="00DD5D03" w:rsidP="002A7A4B">
      <w:pPr>
        <w:pStyle w:val="NormalWeb"/>
        <w:ind w:firstLine="720"/>
        <w:jc w:val="both"/>
        <w:rPr>
          <w:rFonts w:ascii="Arial" w:hAnsi="Arial" w:cs="Arial"/>
          <w:sz w:val="20"/>
          <w:szCs w:val="20"/>
        </w:rPr>
      </w:pPr>
      <w:r w:rsidRPr="003429C2">
        <w:rPr>
          <w:rStyle w:val="Strong"/>
          <w:rFonts w:ascii="Arial" w:hAnsi="Arial" w:cs="Arial"/>
          <w:b w:val="0"/>
          <w:sz w:val="20"/>
          <w:szCs w:val="20"/>
        </w:rPr>
        <w:t>Sorghum midge</w:t>
      </w:r>
      <w:r w:rsidRPr="002A7A4B">
        <w:rPr>
          <w:rFonts w:ascii="Arial" w:hAnsi="Arial" w:cs="Arial"/>
          <w:sz w:val="20"/>
          <w:szCs w:val="20"/>
        </w:rPr>
        <w:t xml:space="preserve"> (</w:t>
      </w:r>
      <w:proofErr w:type="spellStart"/>
      <w:r w:rsidRPr="002A7A4B">
        <w:rPr>
          <w:rStyle w:val="Emphasis"/>
          <w:rFonts w:ascii="Arial" w:hAnsi="Arial" w:cs="Arial"/>
          <w:sz w:val="20"/>
          <w:szCs w:val="20"/>
        </w:rPr>
        <w:t>Stenodiplosis</w:t>
      </w:r>
      <w:proofErr w:type="spellEnd"/>
      <w:r w:rsidRPr="002A7A4B">
        <w:rPr>
          <w:rStyle w:val="Emphasis"/>
          <w:rFonts w:ascii="Arial" w:hAnsi="Arial" w:cs="Arial"/>
          <w:sz w:val="20"/>
          <w:szCs w:val="20"/>
        </w:rPr>
        <w:t xml:space="preserve"> </w:t>
      </w:r>
      <w:proofErr w:type="spellStart"/>
      <w:r w:rsidRPr="002A7A4B">
        <w:rPr>
          <w:rStyle w:val="Emphasis"/>
          <w:rFonts w:ascii="Arial" w:hAnsi="Arial" w:cs="Arial"/>
          <w:sz w:val="20"/>
          <w:szCs w:val="20"/>
        </w:rPr>
        <w:t>sorghicola</w:t>
      </w:r>
      <w:proofErr w:type="spellEnd"/>
      <w:r w:rsidRPr="002A7A4B">
        <w:rPr>
          <w:rFonts w:ascii="Arial" w:hAnsi="Arial" w:cs="Arial"/>
          <w:sz w:val="20"/>
          <w:szCs w:val="20"/>
        </w:rPr>
        <w:t xml:space="preserve">) targets the flowering stage, feeding on developing grains and causing empty or </w:t>
      </w:r>
      <w:proofErr w:type="spellStart"/>
      <w:r w:rsidRPr="002A7A4B">
        <w:rPr>
          <w:rFonts w:ascii="Arial" w:hAnsi="Arial" w:cs="Arial"/>
          <w:sz w:val="20"/>
          <w:szCs w:val="20"/>
        </w:rPr>
        <w:t>shriveled</w:t>
      </w:r>
      <w:proofErr w:type="spellEnd"/>
      <w:r w:rsidRPr="002A7A4B">
        <w:rPr>
          <w:rFonts w:ascii="Arial" w:hAnsi="Arial" w:cs="Arial"/>
          <w:sz w:val="20"/>
          <w:szCs w:val="20"/>
        </w:rPr>
        <w:t xml:space="preserve"> </w:t>
      </w:r>
      <w:proofErr w:type="spellStart"/>
      <w:r w:rsidRPr="002A7A4B">
        <w:rPr>
          <w:rFonts w:ascii="Arial" w:hAnsi="Arial" w:cs="Arial"/>
          <w:sz w:val="20"/>
          <w:szCs w:val="20"/>
        </w:rPr>
        <w:t>spikelets</w:t>
      </w:r>
      <w:proofErr w:type="spellEnd"/>
      <w:r w:rsidRPr="002A7A4B">
        <w:rPr>
          <w:rFonts w:ascii="Arial" w:hAnsi="Arial" w:cs="Arial"/>
          <w:sz w:val="20"/>
          <w:szCs w:val="20"/>
        </w:rPr>
        <w:t xml:space="preserve">. Its sporadic yet destructive nature makes resistance breeding a high priority in regions where the pest is endemic. Resistance is linked to compact panicles, synchronized flowering, and tight glume closure, which physically prevent larval penetration. </w:t>
      </w:r>
      <w:r w:rsidRPr="003429C2">
        <w:rPr>
          <w:rStyle w:val="Strong"/>
          <w:rFonts w:ascii="Arial" w:hAnsi="Arial" w:cs="Arial"/>
          <w:b w:val="0"/>
          <w:sz w:val="20"/>
          <w:szCs w:val="20"/>
        </w:rPr>
        <w:t>Aphids</w:t>
      </w:r>
      <w:r w:rsidRPr="003429C2">
        <w:rPr>
          <w:rFonts w:ascii="Arial" w:hAnsi="Arial" w:cs="Arial"/>
          <w:b/>
          <w:sz w:val="20"/>
          <w:szCs w:val="20"/>
        </w:rPr>
        <w:t>,</w:t>
      </w:r>
      <w:r w:rsidRPr="002A7A4B">
        <w:rPr>
          <w:rFonts w:ascii="Arial" w:hAnsi="Arial" w:cs="Arial"/>
          <w:sz w:val="20"/>
          <w:szCs w:val="20"/>
        </w:rPr>
        <w:t xml:space="preserve"> particularly the sugarcane aphid (</w:t>
      </w:r>
      <w:proofErr w:type="spellStart"/>
      <w:r w:rsidRPr="002A7A4B">
        <w:rPr>
          <w:rStyle w:val="Emphasis"/>
          <w:rFonts w:ascii="Arial" w:hAnsi="Arial" w:cs="Arial"/>
          <w:sz w:val="20"/>
          <w:szCs w:val="20"/>
        </w:rPr>
        <w:t>Melanaphis</w:t>
      </w:r>
      <w:proofErr w:type="spellEnd"/>
      <w:r w:rsidRPr="002A7A4B">
        <w:rPr>
          <w:rStyle w:val="Emphasis"/>
          <w:rFonts w:ascii="Arial" w:hAnsi="Arial" w:cs="Arial"/>
          <w:sz w:val="20"/>
          <w:szCs w:val="20"/>
        </w:rPr>
        <w:t xml:space="preserve"> </w:t>
      </w:r>
      <w:proofErr w:type="spellStart"/>
      <w:r w:rsidRPr="002A7A4B">
        <w:rPr>
          <w:rStyle w:val="Emphasis"/>
          <w:rFonts w:ascii="Arial" w:hAnsi="Arial" w:cs="Arial"/>
          <w:sz w:val="20"/>
          <w:szCs w:val="20"/>
        </w:rPr>
        <w:t>sacchari</w:t>
      </w:r>
      <w:proofErr w:type="spellEnd"/>
      <w:r w:rsidRPr="002A7A4B">
        <w:rPr>
          <w:rFonts w:ascii="Arial" w:hAnsi="Arial" w:cs="Arial"/>
          <w:sz w:val="20"/>
          <w:szCs w:val="20"/>
        </w:rPr>
        <w:t xml:space="preserve">), have emerged as major pests in recent years, especially in the Americas. They suck plant sap, reduce </w:t>
      </w:r>
      <w:proofErr w:type="spellStart"/>
      <w:r w:rsidRPr="002A7A4B">
        <w:rPr>
          <w:rFonts w:ascii="Arial" w:hAnsi="Arial" w:cs="Arial"/>
          <w:sz w:val="20"/>
          <w:szCs w:val="20"/>
        </w:rPr>
        <w:t>vigor</w:t>
      </w:r>
      <w:proofErr w:type="spellEnd"/>
      <w:r w:rsidRPr="002A7A4B">
        <w:rPr>
          <w:rFonts w:ascii="Arial" w:hAnsi="Arial" w:cs="Arial"/>
          <w:sz w:val="20"/>
          <w:szCs w:val="20"/>
        </w:rPr>
        <w:t xml:space="preserve">, and excrete honeydew that promotes sooty </w:t>
      </w:r>
      <w:proofErr w:type="spellStart"/>
      <w:r w:rsidRPr="002A7A4B">
        <w:rPr>
          <w:rFonts w:ascii="Arial" w:hAnsi="Arial" w:cs="Arial"/>
          <w:sz w:val="20"/>
          <w:szCs w:val="20"/>
        </w:rPr>
        <w:t>mold</w:t>
      </w:r>
      <w:proofErr w:type="spellEnd"/>
      <w:r w:rsidRPr="002A7A4B">
        <w:rPr>
          <w:rFonts w:ascii="Arial" w:hAnsi="Arial" w:cs="Arial"/>
          <w:sz w:val="20"/>
          <w:szCs w:val="20"/>
        </w:rPr>
        <w:t>. The rapid spread and adaptation of this pest underscore the need for high-throughput screening and resistance breeding. Genotypes with high leaf toughness, rapid regrowth, and antibiosis properties are under evaluation in several breeding programs.</w:t>
      </w:r>
    </w:p>
    <w:p w14:paraId="039FF43C"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5.3 Sources of Resistance and Breeding Methodologies</w:t>
      </w:r>
    </w:p>
    <w:p w14:paraId="55CB60DA" w14:textId="3DEB2FD5" w:rsidR="00DD5D03" w:rsidRPr="002A7A4B" w:rsidRDefault="00DD5D03" w:rsidP="002A7A4B">
      <w:pPr>
        <w:pStyle w:val="NormalWeb"/>
        <w:jc w:val="both"/>
        <w:rPr>
          <w:rFonts w:ascii="Arial" w:hAnsi="Arial" w:cs="Arial"/>
          <w:sz w:val="20"/>
          <w:szCs w:val="20"/>
        </w:rPr>
      </w:pPr>
      <w:r w:rsidRPr="002A7A4B">
        <w:rPr>
          <w:rFonts w:ascii="Arial" w:hAnsi="Arial" w:cs="Arial"/>
          <w:sz w:val="20"/>
          <w:szCs w:val="20"/>
        </w:rPr>
        <w:t xml:space="preserve">Identifying and utilizing diverse </w:t>
      </w:r>
      <w:r w:rsidRPr="003429C2">
        <w:rPr>
          <w:rStyle w:val="Strong"/>
          <w:rFonts w:ascii="Arial" w:hAnsi="Arial" w:cs="Arial"/>
          <w:b w:val="0"/>
          <w:sz w:val="20"/>
          <w:szCs w:val="20"/>
        </w:rPr>
        <w:t>germplasm sources</w:t>
      </w:r>
      <w:r w:rsidRPr="002A7A4B">
        <w:rPr>
          <w:rFonts w:ascii="Arial" w:hAnsi="Arial" w:cs="Arial"/>
          <w:sz w:val="20"/>
          <w:szCs w:val="20"/>
        </w:rPr>
        <w:t xml:space="preserve"> is critical for breeding durable resistance. Landraces, wild relatives, and traditional cultivars serve as rich reservoirs of resistance genes. Pre-breeding efforts are often required to transfer resistance traits from exotic or </w:t>
      </w:r>
      <w:proofErr w:type="spellStart"/>
      <w:r w:rsidRPr="002A7A4B">
        <w:rPr>
          <w:rFonts w:ascii="Arial" w:hAnsi="Arial" w:cs="Arial"/>
          <w:sz w:val="20"/>
          <w:szCs w:val="20"/>
        </w:rPr>
        <w:t>unadapted</w:t>
      </w:r>
      <w:proofErr w:type="spellEnd"/>
      <w:r w:rsidRPr="002A7A4B">
        <w:rPr>
          <w:rFonts w:ascii="Arial" w:hAnsi="Arial" w:cs="Arial"/>
          <w:sz w:val="20"/>
          <w:szCs w:val="20"/>
        </w:rPr>
        <w:t xml:space="preserve"> sources into agronomically suitable backgrounds. </w:t>
      </w:r>
      <w:r w:rsidRPr="003429C2">
        <w:rPr>
          <w:rStyle w:val="Strong"/>
          <w:rFonts w:ascii="Arial" w:hAnsi="Arial" w:cs="Arial"/>
          <w:b w:val="0"/>
          <w:sz w:val="20"/>
          <w:szCs w:val="20"/>
        </w:rPr>
        <w:t>Introgression breeding</w:t>
      </w:r>
      <w:r w:rsidRPr="002A7A4B">
        <w:rPr>
          <w:rFonts w:ascii="Arial" w:hAnsi="Arial" w:cs="Arial"/>
          <w:sz w:val="20"/>
          <w:szCs w:val="20"/>
        </w:rPr>
        <w:t xml:space="preserve"> using backcrossing and marker-assisted selection has been employed to incorporate resistance to shoot fly,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and other major pests and diseases. </w:t>
      </w:r>
      <w:r w:rsidRPr="003429C2">
        <w:rPr>
          <w:rStyle w:val="Strong"/>
          <w:rFonts w:ascii="Arial" w:hAnsi="Arial" w:cs="Arial"/>
          <w:b w:val="0"/>
          <w:sz w:val="20"/>
          <w:szCs w:val="20"/>
        </w:rPr>
        <w:t>Field screening</w:t>
      </w:r>
      <w:r w:rsidRPr="002A7A4B">
        <w:rPr>
          <w:rFonts w:ascii="Arial" w:hAnsi="Arial" w:cs="Arial"/>
          <w:sz w:val="20"/>
          <w:szCs w:val="20"/>
        </w:rPr>
        <w:t xml:space="preserve"> remains a cornerstone of resistance evaluation. However, for certain pests and diseases, </w:t>
      </w:r>
      <w:r w:rsidRPr="003429C2">
        <w:rPr>
          <w:rStyle w:val="Strong"/>
          <w:rFonts w:ascii="Arial" w:hAnsi="Arial" w:cs="Arial"/>
          <w:b w:val="0"/>
          <w:sz w:val="20"/>
          <w:szCs w:val="20"/>
        </w:rPr>
        <w:t>artificial screening techniques</w:t>
      </w:r>
      <w:r w:rsidRPr="002A7A4B">
        <w:rPr>
          <w:rFonts w:ascii="Arial" w:hAnsi="Arial" w:cs="Arial"/>
          <w:sz w:val="20"/>
          <w:szCs w:val="20"/>
        </w:rPr>
        <w:t xml:space="preserve"> such as whorl inoculation, seedling cage infestation, and spore spraying under controlled conditions are used to ensure uniform and reliable selection. These techniques improve the efficiency of identifying resistant genotypes, particularly for early-generation material. </w:t>
      </w:r>
      <w:r w:rsidRPr="003429C2">
        <w:rPr>
          <w:rStyle w:val="Strong"/>
          <w:rFonts w:ascii="Arial" w:hAnsi="Arial" w:cs="Arial"/>
          <w:b w:val="0"/>
          <w:sz w:val="20"/>
          <w:szCs w:val="20"/>
        </w:rPr>
        <w:t>Participatory plant breeding</w:t>
      </w:r>
      <w:r w:rsidRPr="002A7A4B">
        <w:rPr>
          <w:rFonts w:ascii="Arial" w:hAnsi="Arial" w:cs="Arial"/>
          <w:sz w:val="20"/>
          <w:szCs w:val="20"/>
        </w:rPr>
        <w:t xml:space="preserve"> approaches have also gained traction, where farmer preferences and local knowledge are integrated into selection, especially for biotic stresses with localized prevalence. Such approaches ensure the acceptability and adoption of resistant cultivars in diverse </w:t>
      </w:r>
      <w:proofErr w:type="spellStart"/>
      <w:r w:rsidRPr="002A7A4B">
        <w:rPr>
          <w:rFonts w:ascii="Arial" w:hAnsi="Arial" w:cs="Arial"/>
          <w:sz w:val="20"/>
          <w:szCs w:val="20"/>
        </w:rPr>
        <w:t>agro</w:t>
      </w:r>
      <w:proofErr w:type="spellEnd"/>
      <w:r w:rsidRPr="002A7A4B">
        <w:rPr>
          <w:rFonts w:ascii="Arial" w:hAnsi="Arial" w:cs="Arial"/>
          <w:sz w:val="20"/>
          <w:szCs w:val="20"/>
        </w:rPr>
        <w:t>-ecological zones.</w:t>
      </w:r>
    </w:p>
    <w:p w14:paraId="764F74C4" w14:textId="77777777" w:rsidR="00DD5D03" w:rsidRPr="002A7A4B" w:rsidRDefault="00DD5D03" w:rsidP="002A7A4B">
      <w:pPr>
        <w:pStyle w:val="Heading3"/>
        <w:jc w:val="both"/>
        <w:rPr>
          <w:rFonts w:ascii="Arial" w:hAnsi="Arial" w:cs="Arial"/>
          <w:sz w:val="20"/>
          <w:szCs w:val="20"/>
        </w:rPr>
      </w:pPr>
      <w:r w:rsidRPr="002A7A4B">
        <w:rPr>
          <w:rFonts w:ascii="Arial" w:hAnsi="Arial" w:cs="Arial"/>
          <w:sz w:val="20"/>
          <w:szCs w:val="20"/>
        </w:rPr>
        <w:t>5.4 Role of Molecular Markers and QTL Mapping</w:t>
      </w:r>
    </w:p>
    <w:p w14:paraId="5C3C62FA" w14:textId="549249D1" w:rsidR="00DD5D03" w:rsidRPr="003E72B6" w:rsidRDefault="00DD5D03" w:rsidP="002A7A4B">
      <w:pPr>
        <w:pStyle w:val="NormalWeb"/>
        <w:jc w:val="both"/>
        <w:rPr>
          <w:rFonts w:ascii="Arial" w:hAnsi="Arial" w:cs="Arial"/>
          <w:sz w:val="20"/>
          <w:szCs w:val="20"/>
        </w:rPr>
      </w:pPr>
      <w:r w:rsidRPr="003E72B6">
        <w:rPr>
          <w:rFonts w:ascii="Arial" w:hAnsi="Arial" w:cs="Arial"/>
          <w:sz w:val="20"/>
          <w:szCs w:val="20"/>
        </w:rPr>
        <w:lastRenderedPageBreak/>
        <w:t xml:space="preserve">The advancement of </w:t>
      </w:r>
      <w:r w:rsidRPr="003E72B6">
        <w:rPr>
          <w:rStyle w:val="Strong"/>
          <w:rFonts w:ascii="Arial" w:hAnsi="Arial" w:cs="Arial"/>
          <w:b w:val="0"/>
          <w:sz w:val="20"/>
          <w:szCs w:val="20"/>
          <w:highlight w:val="yellow"/>
        </w:rPr>
        <w:t>molecular tools</w:t>
      </w:r>
      <w:r w:rsidRPr="003E72B6">
        <w:rPr>
          <w:rFonts w:ascii="Arial" w:hAnsi="Arial" w:cs="Arial"/>
          <w:sz w:val="20"/>
          <w:szCs w:val="20"/>
          <w:highlight w:val="yellow"/>
        </w:rPr>
        <w:t xml:space="preserve"> </w:t>
      </w:r>
      <w:r w:rsidRPr="003E72B6">
        <w:rPr>
          <w:rFonts w:ascii="Arial" w:hAnsi="Arial" w:cs="Arial"/>
          <w:sz w:val="20"/>
          <w:szCs w:val="20"/>
        </w:rPr>
        <w:t xml:space="preserve">has revolutionized the breeding of sorghum for biotic stress resistance. </w:t>
      </w:r>
      <w:r w:rsidRPr="003E72B6">
        <w:rPr>
          <w:rStyle w:val="Strong"/>
          <w:rFonts w:ascii="Arial" w:hAnsi="Arial" w:cs="Arial"/>
          <w:b w:val="0"/>
          <w:sz w:val="20"/>
          <w:szCs w:val="20"/>
          <w:highlight w:val="yellow"/>
        </w:rPr>
        <w:t>Marker-assisted selection (MAS)</w:t>
      </w:r>
      <w:r w:rsidRPr="003E72B6">
        <w:rPr>
          <w:rFonts w:ascii="Arial" w:hAnsi="Arial" w:cs="Arial"/>
          <w:sz w:val="20"/>
          <w:szCs w:val="20"/>
          <w:highlight w:val="yellow"/>
        </w:rPr>
        <w:t xml:space="preserve"> </w:t>
      </w:r>
      <w:r w:rsidRPr="003E72B6">
        <w:rPr>
          <w:rFonts w:ascii="Arial" w:hAnsi="Arial" w:cs="Arial"/>
          <w:sz w:val="20"/>
          <w:szCs w:val="20"/>
        </w:rPr>
        <w:t xml:space="preserve">enables precise introgression of resistance genes and accelerates the breeding process by reducing reliance on phenotypic selection alone. For example, QTLs for shoot fly resistance have been mapped on several chromosomes, with markers linked to traits such as leaf glossiness, trichome density, and seedling </w:t>
      </w:r>
      <w:proofErr w:type="spellStart"/>
      <w:r w:rsidRPr="003E72B6">
        <w:rPr>
          <w:rFonts w:ascii="Arial" w:hAnsi="Arial" w:cs="Arial"/>
          <w:sz w:val="20"/>
          <w:szCs w:val="20"/>
        </w:rPr>
        <w:t>vigor</w:t>
      </w:r>
      <w:proofErr w:type="spellEnd"/>
      <w:r w:rsidRPr="003E72B6">
        <w:rPr>
          <w:rFonts w:ascii="Arial" w:hAnsi="Arial" w:cs="Arial"/>
          <w:sz w:val="20"/>
          <w:szCs w:val="20"/>
        </w:rPr>
        <w:t xml:space="preserve">. </w:t>
      </w:r>
      <w:r w:rsidRPr="003E72B6">
        <w:rPr>
          <w:rStyle w:val="Strong"/>
          <w:rFonts w:ascii="Arial" w:hAnsi="Arial" w:cs="Arial"/>
          <w:b w:val="0"/>
          <w:sz w:val="20"/>
          <w:szCs w:val="20"/>
          <w:highlight w:val="yellow"/>
        </w:rPr>
        <w:t>QTL mapping</w:t>
      </w:r>
      <w:r w:rsidRPr="003E72B6">
        <w:rPr>
          <w:rFonts w:ascii="Arial" w:hAnsi="Arial" w:cs="Arial"/>
          <w:sz w:val="20"/>
          <w:szCs w:val="20"/>
          <w:highlight w:val="yellow"/>
        </w:rPr>
        <w:t xml:space="preserve"> </w:t>
      </w:r>
      <w:r w:rsidRPr="003E72B6">
        <w:rPr>
          <w:rFonts w:ascii="Arial" w:hAnsi="Arial" w:cs="Arial"/>
          <w:sz w:val="20"/>
          <w:szCs w:val="20"/>
        </w:rPr>
        <w:t xml:space="preserve">has also been successful in identifying genomic regions associated with resistance to grain </w:t>
      </w:r>
      <w:proofErr w:type="spellStart"/>
      <w:r w:rsidRPr="003E72B6">
        <w:rPr>
          <w:rFonts w:ascii="Arial" w:hAnsi="Arial" w:cs="Arial"/>
          <w:sz w:val="20"/>
          <w:szCs w:val="20"/>
        </w:rPr>
        <w:t>mold</w:t>
      </w:r>
      <w:proofErr w:type="spellEnd"/>
      <w:r w:rsidRPr="003E72B6">
        <w:rPr>
          <w:rFonts w:ascii="Arial" w:hAnsi="Arial" w:cs="Arial"/>
          <w:sz w:val="20"/>
          <w:szCs w:val="20"/>
        </w:rPr>
        <w:t xml:space="preserve"> and anthracnose. These QTLs are being validated across environments and genetic backgrounds to ensure consistency. Markers tightly linked to resistance genes, once validated, are deployed in </w:t>
      </w:r>
      <w:r w:rsidRPr="003E72B6">
        <w:rPr>
          <w:rStyle w:val="Strong"/>
          <w:rFonts w:ascii="Arial" w:hAnsi="Arial" w:cs="Arial"/>
          <w:b w:val="0"/>
          <w:sz w:val="20"/>
          <w:szCs w:val="20"/>
          <w:highlight w:val="yellow"/>
        </w:rPr>
        <w:t>marker-assisted backcrossing (MABC)</w:t>
      </w:r>
      <w:r w:rsidRPr="003E72B6">
        <w:rPr>
          <w:rFonts w:ascii="Arial" w:hAnsi="Arial" w:cs="Arial"/>
          <w:sz w:val="20"/>
          <w:szCs w:val="20"/>
          <w:highlight w:val="yellow"/>
        </w:rPr>
        <w:t xml:space="preserve"> </w:t>
      </w:r>
      <w:r w:rsidRPr="003E72B6">
        <w:rPr>
          <w:rFonts w:ascii="Arial" w:hAnsi="Arial" w:cs="Arial"/>
          <w:sz w:val="20"/>
          <w:szCs w:val="20"/>
        </w:rPr>
        <w:t>to develop improved lines with minimal linkage drag.</w:t>
      </w:r>
    </w:p>
    <w:p w14:paraId="165D158A" w14:textId="68382B47" w:rsidR="00DD5D03" w:rsidRPr="002A7A4B" w:rsidRDefault="00DD5D03" w:rsidP="002A7A4B">
      <w:pPr>
        <w:pStyle w:val="NormalWeb"/>
        <w:ind w:firstLine="720"/>
        <w:jc w:val="both"/>
        <w:rPr>
          <w:rFonts w:ascii="Arial" w:hAnsi="Arial" w:cs="Arial"/>
          <w:sz w:val="20"/>
          <w:szCs w:val="20"/>
        </w:rPr>
      </w:pPr>
      <w:r w:rsidRPr="002A7A4B">
        <w:rPr>
          <w:rFonts w:ascii="Arial" w:hAnsi="Arial" w:cs="Arial"/>
          <w:sz w:val="20"/>
          <w:szCs w:val="20"/>
        </w:rPr>
        <w:t xml:space="preserve">The use of </w:t>
      </w:r>
      <w:r w:rsidRPr="003E72B6">
        <w:rPr>
          <w:rStyle w:val="Strong"/>
          <w:rFonts w:ascii="Arial" w:hAnsi="Arial" w:cs="Arial"/>
          <w:b w:val="0"/>
          <w:sz w:val="20"/>
          <w:szCs w:val="20"/>
          <w:highlight w:val="yellow"/>
        </w:rPr>
        <w:t>genomic selection (GS)</w:t>
      </w:r>
      <w:r w:rsidRPr="003E72B6">
        <w:rPr>
          <w:rFonts w:ascii="Arial" w:hAnsi="Arial" w:cs="Arial"/>
          <w:sz w:val="20"/>
          <w:szCs w:val="20"/>
          <w:highlight w:val="yellow"/>
        </w:rPr>
        <w:t xml:space="preserve"> </w:t>
      </w:r>
      <w:r w:rsidRPr="002A7A4B">
        <w:rPr>
          <w:rFonts w:ascii="Arial" w:hAnsi="Arial" w:cs="Arial"/>
          <w:sz w:val="20"/>
          <w:szCs w:val="20"/>
        </w:rPr>
        <w:t xml:space="preserve">is gaining attention, particularly for complex traits like multiple pest resistance. GS models utilize genome-wide marker information to predict resistance potential, enabling early selection and reducing breeding cycle time. </w:t>
      </w:r>
      <w:r w:rsidRPr="003E72B6">
        <w:rPr>
          <w:rStyle w:val="Strong"/>
          <w:rFonts w:ascii="Arial" w:hAnsi="Arial" w:cs="Arial"/>
          <w:b w:val="0"/>
          <w:sz w:val="20"/>
          <w:szCs w:val="20"/>
          <w:highlight w:val="yellow"/>
        </w:rPr>
        <w:t>High-throughput genotyping platforms</w:t>
      </w:r>
      <w:r w:rsidRPr="003E72B6">
        <w:rPr>
          <w:rFonts w:ascii="Arial" w:hAnsi="Arial" w:cs="Arial"/>
          <w:sz w:val="20"/>
          <w:szCs w:val="20"/>
          <w:highlight w:val="yellow"/>
        </w:rPr>
        <w:t xml:space="preserve"> </w:t>
      </w:r>
      <w:r w:rsidRPr="002A7A4B">
        <w:rPr>
          <w:rFonts w:ascii="Arial" w:hAnsi="Arial" w:cs="Arial"/>
          <w:sz w:val="20"/>
          <w:szCs w:val="20"/>
        </w:rPr>
        <w:t xml:space="preserve">such as genotyping-by-sequencing (GBS) and SNP arrays have improved the resolution and speed of QTL identification. Additionally, </w:t>
      </w:r>
      <w:r w:rsidRPr="003E72B6">
        <w:rPr>
          <w:rStyle w:val="Strong"/>
          <w:rFonts w:ascii="Arial" w:hAnsi="Arial" w:cs="Arial"/>
          <w:b w:val="0"/>
          <w:sz w:val="20"/>
          <w:szCs w:val="20"/>
          <w:highlight w:val="yellow"/>
        </w:rPr>
        <w:t>functional genomics</w:t>
      </w:r>
      <w:r w:rsidRPr="003E72B6">
        <w:rPr>
          <w:rFonts w:ascii="Arial" w:hAnsi="Arial" w:cs="Arial"/>
          <w:sz w:val="20"/>
          <w:szCs w:val="20"/>
          <w:highlight w:val="yellow"/>
        </w:rPr>
        <w:t xml:space="preserve"> </w:t>
      </w:r>
      <w:r w:rsidRPr="002A7A4B">
        <w:rPr>
          <w:rFonts w:ascii="Arial" w:hAnsi="Arial" w:cs="Arial"/>
          <w:sz w:val="20"/>
          <w:szCs w:val="20"/>
        </w:rPr>
        <w:t>is being leveraged to understand the expression patterns and regulatory networks involved in host-pathogen and host-insect interactions. Transcriptome profiling, gene silencing, and CRISPR-based editing of susceptibility genes are being explored as frontier tools to engineer broad-spectrum and durable resistance. In conclusion, breeding for biotic stress resistance in sorghum has evolved from basic field selection to sophisticated molecular and genomic approaches. The integration of diverse resistance sources, efficient phenotyping, and molecular breeding has led to the development of resilient cultivars that can thrive in pest- and disease-prone environments. Moving forward, combining resistance traits with high yield and quality parameters will be key to ensuring sustainable and productive sorghum farming systems under a changing climate.</w:t>
      </w:r>
    </w:p>
    <w:p w14:paraId="163CEC28" w14:textId="77777777" w:rsidR="00D206D6" w:rsidRPr="00D206D6" w:rsidRDefault="00D206D6" w:rsidP="002A7A4B">
      <w:pPr>
        <w:pStyle w:val="Heading2"/>
        <w:spacing w:line="240" w:lineRule="auto"/>
        <w:rPr>
          <w:rFonts w:ascii="Arial" w:hAnsi="Arial" w:cs="Arial"/>
          <w:sz w:val="24"/>
          <w:szCs w:val="20"/>
        </w:rPr>
      </w:pPr>
      <w:r w:rsidRPr="00D206D6">
        <w:rPr>
          <w:rStyle w:val="Strong"/>
          <w:rFonts w:ascii="Arial" w:hAnsi="Arial" w:cs="Arial"/>
          <w:bCs w:val="0"/>
          <w:color w:val="auto"/>
          <w:sz w:val="24"/>
          <w:szCs w:val="20"/>
        </w:rPr>
        <w:t>6. BREEDING FOR GRAIN QUALITY</w:t>
      </w:r>
    </w:p>
    <w:p w14:paraId="3A3C8922" w14:textId="77777777"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While grain yield and stress resilience remain central to sorghum improvement programs, </w:t>
      </w:r>
      <w:r w:rsidRPr="002A7A4B">
        <w:rPr>
          <w:rStyle w:val="Strong"/>
          <w:rFonts w:ascii="Arial" w:hAnsi="Arial" w:cs="Arial"/>
          <w:sz w:val="20"/>
          <w:szCs w:val="20"/>
        </w:rPr>
        <w:t>grain quality</w:t>
      </w:r>
      <w:r w:rsidRPr="002A7A4B">
        <w:rPr>
          <w:rFonts w:ascii="Arial" w:hAnsi="Arial" w:cs="Arial"/>
          <w:sz w:val="20"/>
          <w:szCs w:val="20"/>
        </w:rPr>
        <w:t xml:space="preserve"> has gained increasing attention due to its vital role in nutrition, processing, and industrial utilization. Sorghum serves as both a staple food and a valuable feed and industrial raw material across the globe. The diversity in sorghum grain </w:t>
      </w:r>
      <w:proofErr w:type="spellStart"/>
      <w:r w:rsidRPr="002A7A4B">
        <w:rPr>
          <w:rFonts w:ascii="Arial" w:hAnsi="Arial" w:cs="Arial"/>
          <w:sz w:val="20"/>
          <w:szCs w:val="20"/>
        </w:rPr>
        <w:t>color</w:t>
      </w:r>
      <w:proofErr w:type="spellEnd"/>
      <w:r w:rsidRPr="002A7A4B">
        <w:rPr>
          <w:rFonts w:ascii="Arial" w:hAnsi="Arial" w:cs="Arial"/>
          <w:sz w:val="20"/>
          <w:szCs w:val="20"/>
        </w:rPr>
        <w:t>, size, composition, and biochemical properties offers a rich opportunity for tailoring varieties to specific end uses. Consequently, breeding for grain quality in sorghum requires a multidimensional approach that encompasses nutritional enhancement, industrial utility, and consumer preference.</w:t>
      </w:r>
    </w:p>
    <w:p w14:paraId="3F65A595" w14:textId="77777777" w:rsidR="00D206D6" w:rsidRPr="002A7A4B" w:rsidRDefault="00D206D6" w:rsidP="002A7A4B">
      <w:pPr>
        <w:pStyle w:val="Heading3"/>
        <w:jc w:val="both"/>
        <w:rPr>
          <w:rFonts w:ascii="Arial" w:hAnsi="Arial" w:cs="Arial"/>
          <w:sz w:val="20"/>
          <w:szCs w:val="20"/>
        </w:rPr>
      </w:pPr>
      <w:r w:rsidRPr="002A7A4B">
        <w:rPr>
          <w:rFonts w:ascii="Arial" w:hAnsi="Arial" w:cs="Arial"/>
          <w:sz w:val="20"/>
          <w:szCs w:val="20"/>
        </w:rPr>
        <w:t>6.1 Nutritional Components: Protein, Fiber, and Micronutrients</w:t>
      </w:r>
    </w:p>
    <w:p w14:paraId="398E22DD" w14:textId="77777777"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Sorghum is a rich source of complex carbohydrates and dietary </w:t>
      </w:r>
      <w:proofErr w:type="spellStart"/>
      <w:r w:rsidRPr="002A7A4B">
        <w:rPr>
          <w:rFonts w:ascii="Arial" w:hAnsi="Arial" w:cs="Arial"/>
          <w:sz w:val="20"/>
          <w:szCs w:val="20"/>
        </w:rPr>
        <w:t>fiber</w:t>
      </w:r>
      <w:proofErr w:type="spellEnd"/>
      <w:r w:rsidRPr="002A7A4B">
        <w:rPr>
          <w:rFonts w:ascii="Arial" w:hAnsi="Arial" w:cs="Arial"/>
          <w:sz w:val="20"/>
          <w:szCs w:val="20"/>
        </w:rPr>
        <w:t xml:space="preserve">, and it contributes significantly to caloric intake in subsistence farming communities. However, its </w:t>
      </w:r>
      <w:r w:rsidRPr="002A7A4B">
        <w:rPr>
          <w:rStyle w:val="Strong"/>
          <w:rFonts w:ascii="Arial" w:hAnsi="Arial" w:cs="Arial"/>
          <w:sz w:val="20"/>
          <w:szCs w:val="20"/>
        </w:rPr>
        <w:t>nutritional profile</w:t>
      </w:r>
      <w:r w:rsidRPr="002A7A4B">
        <w:rPr>
          <w:rFonts w:ascii="Arial" w:hAnsi="Arial" w:cs="Arial"/>
          <w:sz w:val="20"/>
          <w:szCs w:val="20"/>
        </w:rPr>
        <w:t xml:space="preserve">, especially regarding </w:t>
      </w:r>
      <w:r w:rsidRPr="002A7A4B">
        <w:rPr>
          <w:rStyle w:val="Strong"/>
          <w:rFonts w:ascii="Arial" w:hAnsi="Arial" w:cs="Arial"/>
          <w:sz w:val="20"/>
          <w:szCs w:val="20"/>
        </w:rPr>
        <w:t>protein quality and micronutrient content</w:t>
      </w:r>
      <w:r w:rsidRPr="002A7A4B">
        <w:rPr>
          <w:rFonts w:ascii="Arial" w:hAnsi="Arial" w:cs="Arial"/>
          <w:sz w:val="20"/>
          <w:szCs w:val="20"/>
        </w:rPr>
        <w:t xml:space="preserve">, varies widely across genotypes and growing environments. The grain typically contains </w:t>
      </w:r>
      <w:r w:rsidRPr="002A7A4B">
        <w:rPr>
          <w:rStyle w:val="Strong"/>
          <w:rFonts w:ascii="Arial" w:hAnsi="Arial" w:cs="Arial"/>
          <w:sz w:val="20"/>
          <w:szCs w:val="20"/>
        </w:rPr>
        <w:t>10–12% crude protein</w:t>
      </w:r>
      <w:r w:rsidRPr="002A7A4B">
        <w:rPr>
          <w:rFonts w:ascii="Arial" w:hAnsi="Arial" w:cs="Arial"/>
          <w:sz w:val="20"/>
          <w:szCs w:val="20"/>
        </w:rPr>
        <w:t xml:space="preserve">, which is comparable to other cereals. However, the quality of sorghum protein is constrained by the predominance of </w:t>
      </w:r>
      <w:proofErr w:type="spellStart"/>
      <w:r w:rsidRPr="002A7A4B">
        <w:rPr>
          <w:rStyle w:val="Strong"/>
          <w:rFonts w:ascii="Arial" w:hAnsi="Arial" w:cs="Arial"/>
          <w:sz w:val="20"/>
          <w:szCs w:val="20"/>
        </w:rPr>
        <w:t>kafirin</w:t>
      </w:r>
      <w:proofErr w:type="spellEnd"/>
      <w:r w:rsidRPr="002A7A4B">
        <w:rPr>
          <w:rFonts w:ascii="Arial" w:hAnsi="Arial" w:cs="Arial"/>
          <w:sz w:val="20"/>
          <w:szCs w:val="20"/>
        </w:rPr>
        <w:t xml:space="preserve">, a prolamin-type protein that is poorly digestible due to its hydrophobic nature and tight embedding in protein bodies. This low digestibility is further compounded by cross-linking during cooking, particularly in wet-cooked dishes like porridge and roti. Breeding programs have targeted </w:t>
      </w:r>
      <w:r w:rsidRPr="002A7A4B">
        <w:rPr>
          <w:rStyle w:val="Strong"/>
          <w:rFonts w:ascii="Arial" w:hAnsi="Arial" w:cs="Arial"/>
          <w:sz w:val="20"/>
          <w:szCs w:val="20"/>
        </w:rPr>
        <w:t>low-</w:t>
      </w:r>
      <w:proofErr w:type="spellStart"/>
      <w:r w:rsidRPr="002A7A4B">
        <w:rPr>
          <w:rStyle w:val="Strong"/>
          <w:rFonts w:ascii="Arial" w:hAnsi="Arial" w:cs="Arial"/>
          <w:sz w:val="20"/>
          <w:szCs w:val="20"/>
        </w:rPr>
        <w:t>kafirin</w:t>
      </w:r>
      <w:proofErr w:type="spellEnd"/>
      <w:r w:rsidRPr="002A7A4B">
        <w:rPr>
          <w:rStyle w:val="Strong"/>
          <w:rFonts w:ascii="Arial" w:hAnsi="Arial" w:cs="Arial"/>
          <w:sz w:val="20"/>
          <w:szCs w:val="20"/>
        </w:rPr>
        <w:t xml:space="preserve"> or high-lysine mutants</w:t>
      </w:r>
      <w:r w:rsidRPr="002A7A4B">
        <w:rPr>
          <w:rFonts w:ascii="Arial" w:hAnsi="Arial" w:cs="Arial"/>
          <w:sz w:val="20"/>
          <w:szCs w:val="20"/>
        </w:rPr>
        <w:t xml:space="preserve">, which exhibit better digestibility and improved amino acid balance. </w:t>
      </w:r>
      <w:r w:rsidRPr="002A7A4B">
        <w:rPr>
          <w:rStyle w:val="Strong"/>
          <w:rFonts w:ascii="Arial" w:hAnsi="Arial" w:cs="Arial"/>
          <w:sz w:val="20"/>
          <w:szCs w:val="20"/>
        </w:rPr>
        <w:t xml:space="preserve">Dietary </w:t>
      </w:r>
      <w:proofErr w:type="spellStart"/>
      <w:r w:rsidRPr="002A7A4B">
        <w:rPr>
          <w:rStyle w:val="Strong"/>
          <w:rFonts w:ascii="Arial" w:hAnsi="Arial" w:cs="Arial"/>
          <w:sz w:val="20"/>
          <w:szCs w:val="20"/>
        </w:rPr>
        <w:t>fiber</w:t>
      </w:r>
      <w:proofErr w:type="spellEnd"/>
      <w:r w:rsidRPr="002A7A4B">
        <w:rPr>
          <w:rFonts w:ascii="Arial" w:hAnsi="Arial" w:cs="Arial"/>
          <w:sz w:val="20"/>
          <w:szCs w:val="20"/>
        </w:rPr>
        <w:t xml:space="preserve"> is another important component of sorghum grain. Whole grain sorghum contains significant amounts of insoluble </w:t>
      </w:r>
      <w:proofErr w:type="spellStart"/>
      <w:r w:rsidRPr="002A7A4B">
        <w:rPr>
          <w:rFonts w:ascii="Arial" w:hAnsi="Arial" w:cs="Arial"/>
          <w:sz w:val="20"/>
          <w:szCs w:val="20"/>
        </w:rPr>
        <w:t>fiber</w:t>
      </w:r>
      <w:proofErr w:type="spellEnd"/>
      <w:r w:rsidRPr="002A7A4B">
        <w:rPr>
          <w:rFonts w:ascii="Arial" w:hAnsi="Arial" w:cs="Arial"/>
          <w:sz w:val="20"/>
          <w:szCs w:val="20"/>
        </w:rPr>
        <w:t xml:space="preserve">, contributing to gut health and lowering the </w:t>
      </w:r>
      <w:proofErr w:type="spellStart"/>
      <w:r w:rsidRPr="002A7A4B">
        <w:rPr>
          <w:rFonts w:ascii="Arial" w:hAnsi="Arial" w:cs="Arial"/>
          <w:sz w:val="20"/>
          <w:szCs w:val="20"/>
        </w:rPr>
        <w:t>glycemic</w:t>
      </w:r>
      <w:proofErr w:type="spellEnd"/>
      <w:r w:rsidRPr="002A7A4B">
        <w:rPr>
          <w:rFonts w:ascii="Arial" w:hAnsi="Arial" w:cs="Arial"/>
          <w:sz w:val="20"/>
          <w:szCs w:val="20"/>
        </w:rPr>
        <w:t xml:space="preserve"> index of sorghum-based foods. However, dehulling processes may remove some of this </w:t>
      </w:r>
      <w:proofErr w:type="spellStart"/>
      <w:r w:rsidRPr="002A7A4B">
        <w:rPr>
          <w:rFonts w:ascii="Arial" w:hAnsi="Arial" w:cs="Arial"/>
          <w:sz w:val="20"/>
          <w:szCs w:val="20"/>
        </w:rPr>
        <w:t>fiber</w:t>
      </w:r>
      <w:proofErr w:type="spellEnd"/>
      <w:r w:rsidRPr="002A7A4B">
        <w:rPr>
          <w:rFonts w:ascii="Arial" w:hAnsi="Arial" w:cs="Arial"/>
          <w:sz w:val="20"/>
          <w:szCs w:val="20"/>
        </w:rPr>
        <w:t>, which must be considered in breeding for processing quality.</w:t>
      </w:r>
    </w:p>
    <w:p w14:paraId="1CDC5B0B" w14:textId="5E7DDAC1" w:rsidR="00D206D6" w:rsidRPr="002A7A4B" w:rsidRDefault="00D206D6" w:rsidP="002A7A4B">
      <w:pPr>
        <w:pStyle w:val="NormalWeb"/>
        <w:ind w:firstLine="720"/>
        <w:jc w:val="both"/>
        <w:rPr>
          <w:rFonts w:ascii="Arial" w:hAnsi="Arial" w:cs="Arial"/>
          <w:sz w:val="20"/>
          <w:szCs w:val="20"/>
        </w:rPr>
      </w:pPr>
      <w:r w:rsidRPr="002A7A4B">
        <w:rPr>
          <w:rFonts w:ascii="Arial" w:hAnsi="Arial" w:cs="Arial"/>
          <w:sz w:val="20"/>
          <w:szCs w:val="20"/>
        </w:rPr>
        <w:t xml:space="preserve">In addition to macronutrients, sorghum contains essential </w:t>
      </w:r>
      <w:r w:rsidRPr="002A7A4B">
        <w:rPr>
          <w:rStyle w:val="Strong"/>
          <w:rFonts w:ascii="Arial" w:hAnsi="Arial" w:cs="Arial"/>
          <w:b w:val="0"/>
          <w:sz w:val="20"/>
          <w:szCs w:val="20"/>
        </w:rPr>
        <w:t>micronutrients</w:t>
      </w:r>
      <w:r w:rsidRPr="002A7A4B">
        <w:rPr>
          <w:rFonts w:ascii="Arial" w:hAnsi="Arial" w:cs="Arial"/>
          <w:sz w:val="20"/>
          <w:szCs w:val="20"/>
        </w:rPr>
        <w:t xml:space="preserve"> such as </w:t>
      </w:r>
      <w:r w:rsidRPr="002A7A4B">
        <w:rPr>
          <w:rStyle w:val="Strong"/>
          <w:rFonts w:ascii="Arial" w:hAnsi="Arial" w:cs="Arial"/>
          <w:b w:val="0"/>
          <w:sz w:val="20"/>
          <w:szCs w:val="20"/>
        </w:rPr>
        <w:t>iron,</w:t>
      </w:r>
      <w:r w:rsidRPr="002A7A4B">
        <w:rPr>
          <w:rStyle w:val="Strong"/>
          <w:rFonts w:ascii="Arial" w:hAnsi="Arial" w:cs="Arial"/>
          <w:sz w:val="20"/>
          <w:szCs w:val="20"/>
        </w:rPr>
        <w:t xml:space="preserve"> </w:t>
      </w:r>
      <w:r w:rsidRPr="002A7A4B">
        <w:rPr>
          <w:rStyle w:val="Strong"/>
          <w:rFonts w:ascii="Arial" w:hAnsi="Arial" w:cs="Arial"/>
          <w:b w:val="0"/>
          <w:sz w:val="20"/>
          <w:szCs w:val="20"/>
        </w:rPr>
        <w:t>zinc, phosphorus</w:t>
      </w:r>
      <w:r w:rsidRPr="002A7A4B">
        <w:rPr>
          <w:rFonts w:ascii="Arial" w:hAnsi="Arial" w:cs="Arial"/>
          <w:b/>
          <w:sz w:val="20"/>
          <w:szCs w:val="20"/>
        </w:rPr>
        <w:t>,</w:t>
      </w:r>
      <w:r w:rsidRPr="002A7A4B">
        <w:rPr>
          <w:rFonts w:ascii="Arial" w:hAnsi="Arial" w:cs="Arial"/>
          <w:sz w:val="20"/>
          <w:szCs w:val="20"/>
        </w:rPr>
        <w:t xml:space="preserve"> and </w:t>
      </w:r>
      <w:r w:rsidRPr="002A7A4B">
        <w:rPr>
          <w:rStyle w:val="Strong"/>
          <w:rFonts w:ascii="Arial" w:hAnsi="Arial" w:cs="Arial"/>
          <w:b w:val="0"/>
          <w:sz w:val="20"/>
          <w:szCs w:val="20"/>
        </w:rPr>
        <w:t>B-complex vitamins</w:t>
      </w:r>
      <w:r w:rsidRPr="002A7A4B">
        <w:rPr>
          <w:rFonts w:ascii="Arial" w:hAnsi="Arial" w:cs="Arial"/>
          <w:b/>
          <w:sz w:val="20"/>
          <w:szCs w:val="20"/>
        </w:rPr>
        <w:t>.</w:t>
      </w:r>
      <w:r w:rsidRPr="002A7A4B">
        <w:rPr>
          <w:rFonts w:ascii="Arial" w:hAnsi="Arial" w:cs="Arial"/>
          <w:sz w:val="20"/>
          <w:szCs w:val="20"/>
        </w:rPr>
        <w:t xml:space="preserve"> These micronutrients are especially important in regions where sorghum constitutes a dietary staple, and malnutrition—particularly </w:t>
      </w:r>
      <w:r w:rsidRPr="002A7A4B">
        <w:rPr>
          <w:rStyle w:val="Strong"/>
          <w:rFonts w:ascii="Arial" w:hAnsi="Arial" w:cs="Arial"/>
          <w:b w:val="0"/>
          <w:sz w:val="20"/>
          <w:szCs w:val="20"/>
        </w:rPr>
        <w:t>iron-deficiency</w:t>
      </w:r>
      <w:r w:rsidRPr="002A7A4B">
        <w:rPr>
          <w:rStyle w:val="Strong"/>
          <w:rFonts w:ascii="Arial" w:hAnsi="Arial" w:cs="Arial"/>
          <w:sz w:val="20"/>
          <w:szCs w:val="20"/>
        </w:rPr>
        <w:t xml:space="preserve"> </w:t>
      </w:r>
      <w:proofErr w:type="spellStart"/>
      <w:r w:rsidRPr="002A7A4B">
        <w:rPr>
          <w:rStyle w:val="Strong"/>
          <w:rFonts w:ascii="Arial" w:hAnsi="Arial" w:cs="Arial"/>
          <w:b w:val="0"/>
          <w:sz w:val="20"/>
          <w:szCs w:val="20"/>
        </w:rPr>
        <w:t>anemia</w:t>
      </w:r>
      <w:proofErr w:type="spellEnd"/>
      <w:r w:rsidRPr="002A7A4B">
        <w:rPr>
          <w:rStyle w:val="Strong"/>
          <w:rFonts w:ascii="Arial" w:hAnsi="Arial" w:cs="Arial"/>
          <w:b w:val="0"/>
          <w:sz w:val="20"/>
          <w:szCs w:val="20"/>
        </w:rPr>
        <w:t xml:space="preserve"> and zinc deficiency</w:t>
      </w:r>
      <w:r w:rsidRPr="002A7A4B">
        <w:rPr>
          <w:rFonts w:ascii="Arial" w:hAnsi="Arial" w:cs="Arial"/>
          <w:b/>
          <w:sz w:val="20"/>
          <w:szCs w:val="20"/>
        </w:rPr>
        <w:t>—</w:t>
      </w:r>
      <w:r w:rsidRPr="002A7A4B">
        <w:rPr>
          <w:rFonts w:ascii="Arial" w:hAnsi="Arial" w:cs="Arial"/>
          <w:sz w:val="20"/>
          <w:szCs w:val="20"/>
        </w:rPr>
        <w:t>is prevalent</w:t>
      </w:r>
      <w:r w:rsidR="000849A9" w:rsidRPr="002A7A4B">
        <w:rPr>
          <w:rFonts w:ascii="Arial" w:hAnsi="Arial" w:cs="Arial"/>
          <w:b/>
          <w:bCs/>
          <w:sz w:val="20"/>
          <w:szCs w:val="20"/>
        </w:rPr>
        <w:t xml:space="preserve"> (</w:t>
      </w:r>
      <w:proofErr w:type="spellStart"/>
      <w:r w:rsidR="000849A9" w:rsidRPr="002A7A4B">
        <w:rPr>
          <w:rFonts w:ascii="Arial" w:hAnsi="Arial" w:cs="Arial"/>
          <w:b/>
          <w:bCs/>
          <w:sz w:val="20"/>
          <w:szCs w:val="20"/>
        </w:rPr>
        <w:t>Mitchikpe</w:t>
      </w:r>
      <w:proofErr w:type="spellEnd"/>
      <w:r w:rsidR="000849A9" w:rsidRPr="002A7A4B">
        <w:rPr>
          <w:rFonts w:ascii="Arial" w:hAnsi="Arial" w:cs="Arial"/>
          <w:b/>
          <w:bCs/>
          <w:sz w:val="20"/>
          <w:szCs w:val="20"/>
        </w:rPr>
        <w:t>, 2007)</w:t>
      </w:r>
      <w:r w:rsidRPr="002A7A4B">
        <w:rPr>
          <w:rFonts w:ascii="Arial" w:hAnsi="Arial" w:cs="Arial"/>
          <w:sz w:val="20"/>
          <w:szCs w:val="20"/>
        </w:rPr>
        <w:t xml:space="preserve">. However, the bioavailability of these micronutrients is often limited by the presence of </w:t>
      </w:r>
      <w:r w:rsidRPr="002A7A4B">
        <w:rPr>
          <w:rStyle w:val="Strong"/>
          <w:rFonts w:ascii="Arial" w:hAnsi="Arial" w:cs="Arial"/>
          <w:b w:val="0"/>
          <w:sz w:val="20"/>
          <w:szCs w:val="20"/>
        </w:rPr>
        <w:t>anti-nutritional factors</w:t>
      </w:r>
      <w:r w:rsidRPr="002A7A4B">
        <w:rPr>
          <w:rFonts w:ascii="Arial" w:hAnsi="Arial" w:cs="Arial"/>
          <w:sz w:val="20"/>
          <w:szCs w:val="20"/>
        </w:rPr>
        <w:t xml:space="preserve"> like phytates and tannins. Hence, breeding strategies are increasingly focusing on reducing these inhibitors while simultaneously enhancing micronutrient density. The development of </w:t>
      </w:r>
      <w:r w:rsidRPr="002A7A4B">
        <w:rPr>
          <w:rStyle w:val="Strong"/>
          <w:rFonts w:ascii="Arial" w:hAnsi="Arial" w:cs="Arial"/>
          <w:b w:val="0"/>
          <w:sz w:val="20"/>
          <w:szCs w:val="20"/>
        </w:rPr>
        <w:t>biofortified sorghum lines</w:t>
      </w:r>
      <w:r w:rsidRPr="002A7A4B">
        <w:rPr>
          <w:rFonts w:ascii="Arial" w:hAnsi="Arial" w:cs="Arial"/>
          <w:sz w:val="20"/>
          <w:szCs w:val="20"/>
        </w:rPr>
        <w:t xml:space="preserve"> with higher iron and zinc content has been a key milestone in this context. Genetic variability for </w:t>
      </w:r>
      <w:r w:rsidRPr="002A7A4B">
        <w:rPr>
          <w:rFonts w:ascii="Arial" w:hAnsi="Arial" w:cs="Arial"/>
          <w:sz w:val="20"/>
          <w:szCs w:val="20"/>
        </w:rPr>
        <w:lastRenderedPageBreak/>
        <w:t>micronutrient content exists in landraces and traditional cultivars, and several breeding programs are now incorporating these traits into elite lines. The goal is to deliver nutritionally enhanced sorghum that retains agronomic performance and consumer acceptability</w:t>
      </w:r>
      <w:r w:rsidR="000849A9" w:rsidRPr="002A7A4B">
        <w:rPr>
          <w:rFonts w:ascii="Arial" w:hAnsi="Arial" w:cs="Arial"/>
          <w:sz w:val="20"/>
          <w:szCs w:val="20"/>
        </w:rPr>
        <w:t xml:space="preserve"> </w:t>
      </w:r>
      <w:r w:rsidR="000849A9" w:rsidRPr="002A7A4B">
        <w:rPr>
          <w:rFonts w:ascii="Arial" w:hAnsi="Arial" w:cs="Arial"/>
          <w:b/>
          <w:bCs/>
          <w:sz w:val="20"/>
          <w:szCs w:val="20"/>
        </w:rPr>
        <w:t>(Nesbitt, 2023)</w:t>
      </w:r>
      <w:r w:rsidRPr="002A7A4B">
        <w:rPr>
          <w:rFonts w:ascii="Arial" w:hAnsi="Arial" w:cs="Arial"/>
          <w:sz w:val="20"/>
          <w:szCs w:val="20"/>
        </w:rPr>
        <w:t>.</w:t>
      </w:r>
    </w:p>
    <w:p w14:paraId="4C9D77E8" w14:textId="77777777" w:rsidR="00D206D6" w:rsidRPr="00D206D6" w:rsidRDefault="00D206D6" w:rsidP="002A7A4B">
      <w:pPr>
        <w:pStyle w:val="Heading3"/>
        <w:jc w:val="both"/>
        <w:rPr>
          <w:rFonts w:ascii="Arial" w:hAnsi="Arial" w:cs="Arial"/>
          <w:sz w:val="22"/>
          <w:szCs w:val="22"/>
        </w:rPr>
      </w:pPr>
      <w:r w:rsidRPr="00D206D6">
        <w:rPr>
          <w:rFonts w:ascii="Arial" w:hAnsi="Arial" w:cs="Arial"/>
          <w:sz w:val="22"/>
          <w:szCs w:val="22"/>
        </w:rPr>
        <w:t>6.2 Industrial Traits: Starch Composition and Tannins</w:t>
      </w:r>
    </w:p>
    <w:p w14:paraId="500DE0FD" w14:textId="5A3CF6A1"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Sorghum is widely used in </w:t>
      </w:r>
      <w:r w:rsidRPr="002A7A4B">
        <w:rPr>
          <w:rStyle w:val="Strong"/>
          <w:rFonts w:ascii="Arial" w:hAnsi="Arial" w:cs="Arial"/>
          <w:sz w:val="20"/>
          <w:szCs w:val="20"/>
        </w:rPr>
        <w:t>industrial applications</w:t>
      </w:r>
      <w:r w:rsidRPr="002A7A4B">
        <w:rPr>
          <w:rFonts w:ascii="Arial" w:hAnsi="Arial" w:cs="Arial"/>
          <w:sz w:val="20"/>
          <w:szCs w:val="20"/>
        </w:rPr>
        <w:t xml:space="preserve">, including starch extraction, brewing, and ethanol production. The </w:t>
      </w:r>
      <w:r w:rsidRPr="002A7A4B">
        <w:rPr>
          <w:rStyle w:val="Strong"/>
          <w:rFonts w:ascii="Arial" w:hAnsi="Arial" w:cs="Arial"/>
          <w:sz w:val="20"/>
          <w:szCs w:val="20"/>
        </w:rPr>
        <w:t>starch content and composition</w:t>
      </w:r>
      <w:r w:rsidRPr="002A7A4B">
        <w:rPr>
          <w:rFonts w:ascii="Arial" w:hAnsi="Arial" w:cs="Arial"/>
          <w:sz w:val="20"/>
          <w:szCs w:val="20"/>
        </w:rPr>
        <w:t xml:space="preserve"> of the grain play a critical role in determining its industrial utility. Sorghum starch generally consists of </w:t>
      </w:r>
      <w:r w:rsidRPr="002A7A4B">
        <w:rPr>
          <w:rStyle w:val="Strong"/>
          <w:rFonts w:ascii="Arial" w:hAnsi="Arial" w:cs="Arial"/>
          <w:sz w:val="20"/>
          <w:szCs w:val="20"/>
        </w:rPr>
        <w:t>amylose and amylopectin</w:t>
      </w:r>
      <w:r w:rsidRPr="002A7A4B">
        <w:rPr>
          <w:rFonts w:ascii="Arial" w:hAnsi="Arial" w:cs="Arial"/>
          <w:sz w:val="20"/>
          <w:szCs w:val="20"/>
        </w:rPr>
        <w:t xml:space="preserve">, with amylose content ranging between 20–30%. Starch digestibility and gelatinization </w:t>
      </w:r>
      <w:proofErr w:type="spellStart"/>
      <w:r w:rsidRPr="002A7A4B">
        <w:rPr>
          <w:rFonts w:ascii="Arial" w:hAnsi="Arial" w:cs="Arial"/>
          <w:sz w:val="20"/>
          <w:szCs w:val="20"/>
        </w:rPr>
        <w:t>behavior</w:t>
      </w:r>
      <w:proofErr w:type="spellEnd"/>
      <w:r w:rsidRPr="002A7A4B">
        <w:rPr>
          <w:rFonts w:ascii="Arial" w:hAnsi="Arial" w:cs="Arial"/>
          <w:sz w:val="20"/>
          <w:szCs w:val="20"/>
        </w:rPr>
        <w:t xml:space="preserve"> are influenced by both genetic and environmental factors</w:t>
      </w:r>
      <w:r w:rsidR="000849A9" w:rsidRPr="002A7A4B">
        <w:rPr>
          <w:rFonts w:ascii="Arial" w:hAnsi="Arial" w:cs="Arial"/>
          <w:sz w:val="20"/>
          <w:szCs w:val="20"/>
        </w:rPr>
        <w:t xml:space="preserve"> </w:t>
      </w:r>
      <w:r w:rsidR="000849A9" w:rsidRPr="002A7A4B">
        <w:rPr>
          <w:rFonts w:ascii="Arial" w:hAnsi="Arial" w:cs="Arial"/>
          <w:b/>
          <w:bCs/>
          <w:sz w:val="20"/>
          <w:szCs w:val="20"/>
        </w:rPr>
        <w:t>(Zahid et al., 2025)</w:t>
      </w:r>
      <w:r w:rsidRPr="002A7A4B">
        <w:rPr>
          <w:rFonts w:ascii="Arial" w:hAnsi="Arial" w:cs="Arial"/>
          <w:sz w:val="20"/>
          <w:szCs w:val="20"/>
        </w:rPr>
        <w:t xml:space="preserve">. Varieties with high starch content and </w:t>
      </w:r>
      <w:proofErr w:type="spellStart"/>
      <w:r w:rsidRPr="002A7A4B">
        <w:rPr>
          <w:rFonts w:ascii="Arial" w:hAnsi="Arial" w:cs="Arial"/>
          <w:sz w:val="20"/>
          <w:szCs w:val="20"/>
        </w:rPr>
        <w:t>favorable</w:t>
      </w:r>
      <w:proofErr w:type="spellEnd"/>
      <w:r w:rsidRPr="002A7A4B">
        <w:rPr>
          <w:rFonts w:ascii="Arial" w:hAnsi="Arial" w:cs="Arial"/>
          <w:sz w:val="20"/>
          <w:szCs w:val="20"/>
        </w:rPr>
        <w:t xml:space="preserve"> gelatinization temperatures are preferred for brewing and ethanol production, as they improve fermentation efficiency and product yield.</w:t>
      </w:r>
    </w:p>
    <w:p w14:paraId="3F7D1E5B" w14:textId="19BF3B10" w:rsidR="00D206D6" w:rsidRPr="002A7A4B" w:rsidRDefault="00D206D6" w:rsidP="002A7A4B">
      <w:pPr>
        <w:pStyle w:val="NormalWeb"/>
        <w:jc w:val="both"/>
        <w:rPr>
          <w:rFonts w:ascii="Arial" w:hAnsi="Arial" w:cs="Arial"/>
          <w:sz w:val="20"/>
          <w:szCs w:val="20"/>
        </w:rPr>
      </w:pPr>
      <w:r w:rsidRPr="002A7A4B">
        <w:rPr>
          <w:rStyle w:val="Strong"/>
          <w:rFonts w:ascii="Arial" w:hAnsi="Arial" w:cs="Arial"/>
          <w:sz w:val="20"/>
          <w:szCs w:val="20"/>
        </w:rPr>
        <w:t>Waxy sorghum</w:t>
      </w:r>
      <w:r w:rsidRPr="002A7A4B">
        <w:rPr>
          <w:rFonts w:ascii="Arial" w:hAnsi="Arial" w:cs="Arial"/>
          <w:sz w:val="20"/>
          <w:szCs w:val="20"/>
        </w:rPr>
        <w:t>, which contains nearly 100% amylopectin, has gained popularity in the food and ethanol industries due to its enhanced swelling properties and faster gelatinization</w:t>
      </w:r>
      <w:r w:rsidR="000849A9" w:rsidRPr="002A7A4B">
        <w:rPr>
          <w:rFonts w:ascii="Arial" w:hAnsi="Arial" w:cs="Arial"/>
          <w:sz w:val="20"/>
          <w:szCs w:val="20"/>
        </w:rPr>
        <w:t xml:space="preserve"> (</w:t>
      </w:r>
      <w:r w:rsidR="000849A9" w:rsidRPr="002A7A4B">
        <w:rPr>
          <w:rFonts w:ascii="Arial" w:hAnsi="Arial" w:cs="Arial"/>
          <w:b/>
          <w:bCs/>
          <w:sz w:val="20"/>
          <w:szCs w:val="20"/>
        </w:rPr>
        <w:t>Kang et al., 2023)</w:t>
      </w:r>
      <w:r w:rsidRPr="002A7A4B">
        <w:rPr>
          <w:rFonts w:ascii="Arial" w:hAnsi="Arial" w:cs="Arial"/>
          <w:sz w:val="20"/>
          <w:szCs w:val="20"/>
        </w:rPr>
        <w:t>. Waxy genotypes are being actively developed through both conventional and molecular breeding. These types are particularly useful in brewing and adhesive production industries, where starch functionality is critical.</w:t>
      </w:r>
    </w:p>
    <w:p w14:paraId="3E0257BC" w14:textId="72C117D2" w:rsidR="00D206D6" w:rsidRPr="002A7A4B" w:rsidRDefault="00D206D6" w:rsidP="002A7A4B">
      <w:pPr>
        <w:pStyle w:val="NormalWeb"/>
        <w:jc w:val="both"/>
        <w:rPr>
          <w:rFonts w:ascii="Arial" w:hAnsi="Arial" w:cs="Arial"/>
          <w:sz w:val="20"/>
          <w:szCs w:val="20"/>
        </w:rPr>
      </w:pPr>
      <w:r w:rsidRPr="002A7A4B">
        <w:rPr>
          <w:rStyle w:val="Strong"/>
          <w:rFonts w:ascii="Arial" w:hAnsi="Arial" w:cs="Arial"/>
          <w:sz w:val="20"/>
          <w:szCs w:val="20"/>
        </w:rPr>
        <w:t>Tannins</w:t>
      </w:r>
      <w:r w:rsidRPr="002A7A4B">
        <w:rPr>
          <w:rFonts w:ascii="Arial" w:hAnsi="Arial" w:cs="Arial"/>
          <w:sz w:val="20"/>
          <w:szCs w:val="20"/>
        </w:rPr>
        <w:t xml:space="preserve">, predominantly found in brown and red pericarp sorghums, affect both nutrition and processing. While high-tannin sorghum is beneficial in poultry feed to reduce energy availability and prevent coccidiosis, it is undesirable in human diets due to its interference with protein and iron absorption. Tannins also reduce starch digestibility, leading to lower metabolizable energy. Breeding programs aimed at food-grade sorghum prioritize </w:t>
      </w:r>
      <w:r w:rsidRPr="002A7A4B">
        <w:rPr>
          <w:rStyle w:val="Strong"/>
          <w:rFonts w:ascii="Arial" w:hAnsi="Arial" w:cs="Arial"/>
          <w:sz w:val="20"/>
          <w:szCs w:val="20"/>
        </w:rPr>
        <w:t>low-tannin white or yellow pericarp types</w:t>
      </w:r>
      <w:r w:rsidRPr="002A7A4B">
        <w:rPr>
          <w:rFonts w:ascii="Arial" w:hAnsi="Arial" w:cs="Arial"/>
          <w:sz w:val="20"/>
          <w:szCs w:val="20"/>
        </w:rPr>
        <w:t>, which are better suited for milling, cooking, and direct consumption</w:t>
      </w:r>
      <w:r w:rsidR="000849A9" w:rsidRPr="002A7A4B">
        <w:rPr>
          <w:rFonts w:ascii="Arial" w:hAnsi="Arial" w:cs="Arial"/>
          <w:sz w:val="20"/>
          <w:szCs w:val="20"/>
        </w:rPr>
        <w:t xml:space="preserve"> (</w:t>
      </w:r>
      <w:r w:rsidR="000849A9" w:rsidRPr="002A7A4B">
        <w:rPr>
          <w:rFonts w:ascii="Arial" w:hAnsi="Arial" w:cs="Arial"/>
          <w:b/>
          <w:bCs/>
          <w:sz w:val="20"/>
          <w:szCs w:val="20"/>
        </w:rPr>
        <w:t>Rather et al., 2023)</w:t>
      </w:r>
    </w:p>
    <w:p w14:paraId="7AEC967E" w14:textId="7383C8AF"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However, tannins also provide </w:t>
      </w:r>
      <w:r w:rsidRPr="002A7A4B">
        <w:rPr>
          <w:rStyle w:val="Strong"/>
          <w:rFonts w:ascii="Arial" w:hAnsi="Arial" w:cs="Arial"/>
          <w:sz w:val="20"/>
          <w:szCs w:val="20"/>
        </w:rPr>
        <w:t xml:space="preserve">natural </w:t>
      </w:r>
      <w:proofErr w:type="spellStart"/>
      <w:r w:rsidRPr="002A7A4B">
        <w:rPr>
          <w:rStyle w:val="Strong"/>
          <w:rFonts w:ascii="Arial" w:hAnsi="Arial" w:cs="Arial"/>
          <w:sz w:val="20"/>
          <w:szCs w:val="20"/>
        </w:rPr>
        <w:t>defense</w:t>
      </w:r>
      <w:proofErr w:type="spellEnd"/>
      <w:r w:rsidRPr="002A7A4B">
        <w:rPr>
          <w:rFonts w:ascii="Arial" w:hAnsi="Arial" w:cs="Arial"/>
          <w:sz w:val="20"/>
          <w:szCs w:val="20"/>
        </w:rPr>
        <w:t xml:space="preserve"> against birds and some insect pests. This trade-off requires breeders to strike a balance between minimizing anti-nutritional effects and maintaining agronomic robustness. In some regions, especially where bird predation is a serious problem, moderately pigmented varieties with acceptable tannin levels are still preferred by farmers</w:t>
      </w:r>
      <w:r w:rsidR="000849A9" w:rsidRPr="002A7A4B">
        <w:rPr>
          <w:rFonts w:ascii="Arial" w:hAnsi="Arial" w:cs="Arial"/>
          <w:b/>
          <w:bCs/>
          <w:sz w:val="20"/>
          <w:szCs w:val="20"/>
        </w:rPr>
        <w:t xml:space="preserve"> (Mofokeng et al., 2016)</w:t>
      </w:r>
      <w:r w:rsidRPr="002A7A4B">
        <w:rPr>
          <w:rFonts w:ascii="Arial" w:hAnsi="Arial" w:cs="Arial"/>
          <w:sz w:val="20"/>
          <w:szCs w:val="20"/>
        </w:rPr>
        <w:t>.</w:t>
      </w:r>
    </w:p>
    <w:p w14:paraId="61565FC0" w14:textId="77777777" w:rsidR="00D206D6" w:rsidRPr="00D206D6" w:rsidRDefault="00D206D6" w:rsidP="002A7A4B">
      <w:pPr>
        <w:pStyle w:val="Heading3"/>
        <w:jc w:val="both"/>
        <w:rPr>
          <w:rFonts w:ascii="Arial" w:hAnsi="Arial" w:cs="Arial"/>
          <w:sz w:val="22"/>
          <w:szCs w:val="22"/>
        </w:rPr>
      </w:pPr>
      <w:r w:rsidRPr="00D206D6">
        <w:rPr>
          <w:rFonts w:ascii="Arial" w:hAnsi="Arial" w:cs="Arial"/>
          <w:sz w:val="22"/>
          <w:szCs w:val="22"/>
        </w:rPr>
        <w:t>6.3 Biofortification and Quality Trait Inheritance</w:t>
      </w:r>
    </w:p>
    <w:p w14:paraId="49A42BE1" w14:textId="4706CCA4" w:rsidR="00D206D6" w:rsidRPr="002A7A4B" w:rsidRDefault="00D206D6" w:rsidP="002A7A4B">
      <w:pPr>
        <w:pStyle w:val="NormalWeb"/>
        <w:jc w:val="both"/>
        <w:rPr>
          <w:rFonts w:ascii="Arial" w:hAnsi="Arial" w:cs="Arial"/>
          <w:sz w:val="20"/>
          <w:szCs w:val="20"/>
        </w:rPr>
      </w:pPr>
      <w:r w:rsidRPr="002A7A4B">
        <w:rPr>
          <w:rStyle w:val="Strong"/>
          <w:rFonts w:ascii="Arial" w:hAnsi="Arial" w:cs="Arial"/>
          <w:sz w:val="20"/>
          <w:szCs w:val="20"/>
        </w:rPr>
        <w:t>Biofortification</w:t>
      </w:r>
      <w:r w:rsidRPr="002A7A4B">
        <w:rPr>
          <w:rFonts w:ascii="Arial" w:hAnsi="Arial" w:cs="Arial"/>
          <w:sz w:val="20"/>
          <w:szCs w:val="20"/>
        </w:rPr>
        <w:t xml:space="preserve">, or the enhancement of nutrient content through genetic improvement, has become a central theme in grain quality improvement. In sorghum, biofortification efforts have focused primarily on </w:t>
      </w:r>
      <w:r w:rsidRPr="002A7A4B">
        <w:rPr>
          <w:rStyle w:val="Strong"/>
          <w:rFonts w:ascii="Arial" w:hAnsi="Arial" w:cs="Arial"/>
          <w:sz w:val="20"/>
          <w:szCs w:val="20"/>
        </w:rPr>
        <w:t>increasing levels of iron, zinc, and provitamin A</w:t>
      </w:r>
      <w:r w:rsidRPr="002A7A4B">
        <w:rPr>
          <w:rFonts w:ascii="Arial" w:hAnsi="Arial" w:cs="Arial"/>
          <w:sz w:val="20"/>
          <w:szCs w:val="20"/>
        </w:rPr>
        <w:t>, as well as enhancing protein quality</w:t>
      </w:r>
      <w:r w:rsidR="000849A9" w:rsidRPr="002A7A4B">
        <w:rPr>
          <w:rFonts w:ascii="Arial" w:hAnsi="Arial" w:cs="Arial"/>
          <w:sz w:val="20"/>
          <w:szCs w:val="20"/>
        </w:rPr>
        <w:t xml:space="preserve"> </w:t>
      </w:r>
      <w:r w:rsidR="000849A9" w:rsidRPr="002A7A4B">
        <w:rPr>
          <w:rFonts w:ascii="Arial" w:hAnsi="Arial" w:cs="Arial"/>
          <w:b/>
          <w:bCs/>
          <w:sz w:val="20"/>
          <w:szCs w:val="20"/>
        </w:rPr>
        <w:t>(</w:t>
      </w:r>
      <w:proofErr w:type="spellStart"/>
      <w:r w:rsidR="000849A9" w:rsidRPr="002A7A4B">
        <w:rPr>
          <w:rFonts w:ascii="Arial" w:hAnsi="Arial" w:cs="Arial"/>
          <w:b/>
          <w:bCs/>
          <w:sz w:val="20"/>
          <w:szCs w:val="20"/>
        </w:rPr>
        <w:t>Kudapaet</w:t>
      </w:r>
      <w:proofErr w:type="spellEnd"/>
      <w:r w:rsidR="000849A9" w:rsidRPr="002A7A4B">
        <w:rPr>
          <w:rFonts w:ascii="Arial" w:hAnsi="Arial" w:cs="Arial"/>
          <w:b/>
          <w:bCs/>
          <w:sz w:val="20"/>
          <w:szCs w:val="20"/>
        </w:rPr>
        <w:t xml:space="preserve"> at al., 2023</w:t>
      </w:r>
      <w:proofErr w:type="gramStart"/>
      <w:r w:rsidR="000849A9" w:rsidRPr="002A7A4B">
        <w:rPr>
          <w:rFonts w:ascii="Arial" w:hAnsi="Arial" w:cs="Arial"/>
          <w:b/>
          <w:bCs/>
          <w:sz w:val="20"/>
          <w:szCs w:val="20"/>
        </w:rPr>
        <w:t>)</w:t>
      </w:r>
      <w:r w:rsidR="000849A9" w:rsidRPr="002A7A4B">
        <w:rPr>
          <w:rFonts w:ascii="Arial" w:hAnsi="Arial" w:cs="Arial"/>
          <w:sz w:val="20"/>
          <w:szCs w:val="20"/>
        </w:rPr>
        <w:t xml:space="preserve"> </w:t>
      </w:r>
      <w:r w:rsidRPr="002A7A4B">
        <w:rPr>
          <w:rFonts w:ascii="Arial" w:hAnsi="Arial" w:cs="Arial"/>
          <w:sz w:val="20"/>
          <w:szCs w:val="20"/>
        </w:rPr>
        <w:t>.</w:t>
      </w:r>
      <w:proofErr w:type="gramEnd"/>
      <w:r w:rsidRPr="002A7A4B">
        <w:rPr>
          <w:rFonts w:ascii="Arial" w:hAnsi="Arial" w:cs="Arial"/>
          <w:sz w:val="20"/>
          <w:szCs w:val="20"/>
        </w:rPr>
        <w:t xml:space="preserve"> Significant genetic variation for these traits exists within global sorghum germplasm collections. Crosses involving nutrient-dense landraces and high-yielding elite lines have led to promising progenies that combine both yield and nutritional advantage. The inheritance of quality traits in sorghum is complex and often influenced by multiple genes with additive and non-additive effects. For example, </w:t>
      </w:r>
      <w:r w:rsidRPr="002A7A4B">
        <w:rPr>
          <w:rStyle w:val="Strong"/>
          <w:rFonts w:ascii="Arial" w:hAnsi="Arial" w:cs="Arial"/>
          <w:sz w:val="20"/>
          <w:szCs w:val="20"/>
        </w:rPr>
        <w:t>starch composition</w:t>
      </w:r>
      <w:r w:rsidRPr="002A7A4B">
        <w:rPr>
          <w:rFonts w:ascii="Arial" w:hAnsi="Arial" w:cs="Arial"/>
          <w:sz w:val="20"/>
          <w:szCs w:val="20"/>
        </w:rPr>
        <w:t xml:space="preserve">, </w:t>
      </w:r>
      <w:r w:rsidRPr="002A7A4B">
        <w:rPr>
          <w:rStyle w:val="Strong"/>
          <w:rFonts w:ascii="Arial" w:hAnsi="Arial" w:cs="Arial"/>
          <w:sz w:val="20"/>
          <w:szCs w:val="20"/>
        </w:rPr>
        <w:t>tannin levels</w:t>
      </w:r>
      <w:r w:rsidRPr="002A7A4B">
        <w:rPr>
          <w:rFonts w:ascii="Arial" w:hAnsi="Arial" w:cs="Arial"/>
          <w:sz w:val="20"/>
          <w:szCs w:val="20"/>
        </w:rPr>
        <w:t xml:space="preserve">, and </w:t>
      </w:r>
      <w:r w:rsidRPr="002A7A4B">
        <w:rPr>
          <w:rStyle w:val="Strong"/>
          <w:rFonts w:ascii="Arial" w:hAnsi="Arial" w:cs="Arial"/>
          <w:sz w:val="20"/>
          <w:szCs w:val="20"/>
        </w:rPr>
        <w:t>micronutrient concentrations</w:t>
      </w:r>
      <w:r w:rsidRPr="002A7A4B">
        <w:rPr>
          <w:rFonts w:ascii="Arial" w:hAnsi="Arial" w:cs="Arial"/>
          <w:sz w:val="20"/>
          <w:szCs w:val="20"/>
        </w:rPr>
        <w:t xml:space="preserve"> are quantitatively inherited, making phenotypic selection laborious and time-consuming. Breeding programs are increasingly relying on </w:t>
      </w:r>
      <w:r w:rsidRPr="002A7A4B">
        <w:rPr>
          <w:rStyle w:val="Strong"/>
          <w:rFonts w:ascii="Arial" w:hAnsi="Arial" w:cs="Arial"/>
          <w:sz w:val="20"/>
          <w:szCs w:val="20"/>
        </w:rPr>
        <w:t>molecular markers</w:t>
      </w:r>
      <w:r w:rsidRPr="002A7A4B">
        <w:rPr>
          <w:rFonts w:ascii="Arial" w:hAnsi="Arial" w:cs="Arial"/>
          <w:sz w:val="20"/>
          <w:szCs w:val="20"/>
        </w:rPr>
        <w:t xml:space="preserve"> linked to key quality traits, allowing for early selection and pyramiding of desirable alleles</w:t>
      </w:r>
      <w:r w:rsidR="00201A63" w:rsidRPr="002A7A4B">
        <w:rPr>
          <w:rFonts w:ascii="Arial" w:hAnsi="Arial" w:cs="Arial"/>
          <w:sz w:val="20"/>
          <w:szCs w:val="20"/>
        </w:rPr>
        <w:t xml:space="preserve"> </w:t>
      </w:r>
      <w:r w:rsidR="00201A63" w:rsidRPr="002A7A4B">
        <w:rPr>
          <w:rFonts w:ascii="Arial" w:hAnsi="Arial" w:cs="Arial"/>
          <w:b/>
          <w:bCs/>
          <w:sz w:val="20"/>
          <w:szCs w:val="20"/>
        </w:rPr>
        <w:t>(Singh et al., 2020)</w:t>
      </w:r>
      <w:r w:rsidRPr="002A7A4B">
        <w:rPr>
          <w:rFonts w:ascii="Arial" w:hAnsi="Arial" w:cs="Arial"/>
          <w:sz w:val="20"/>
          <w:szCs w:val="20"/>
        </w:rPr>
        <w:t>.</w:t>
      </w:r>
    </w:p>
    <w:p w14:paraId="3A343C7E" w14:textId="66A65423" w:rsidR="00D206D6" w:rsidRPr="002A7A4B" w:rsidRDefault="00D206D6" w:rsidP="002A7A4B">
      <w:pPr>
        <w:pStyle w:val="NormalWeb"/>
        <w:ind w:firstLine="720"/>
        <w:jc w:val="both"/>
        <w:rPr>
          <w:rFonts w:ascii="Arial" w:hAnsi="Arial" w:cs="Arial"/>
          <w:sz w:val="20"/>
          <w:szCs w:val="20"/>
        </w:rPr>
      </w:pPr>
      <w:r w:rsidRPr="002A7A4B">
        <w:rPr>
          <w:rFonts w:ascii="Arial" w:hAnsi="Arial" w:cs="Arial"/>
          <w:sz w:val="20"/>
          <w:szCs w:val="20"/>
        </w:rPr>
        <w:t xml:space="preserve">For protein quality, studies have identified </w:t>
      </w:r>
      <w:r w:rsidRPr="002A7A4B">
        <w:rPr>
          <w:rStyle w:val="Strong"/>
          <w:rFonts w:ascii="Arial" w:hAnsi="Arial" w:cs="Arial"/>
          <w:sz w:val="20"/>
          <w:szCs w:val="20"/>
        </w:rPr>
        <w:t>opaque and floury endosperm mutants</w:t>
      </w:r>
      <w:r w:rsidRPr="002A7A4B">
        <w:rPr>
          <w:rFonts w:ascii="Arial" w:hAnsi="Arial" w:cs="Arial"/>
          <w:sz w:val="20"/>
          <w:szCs w:val="20"/>
        </w:rPr>
        <w:t xml:space="preserve"> with improved lysine content. These are being integrated into breeding lines using marker-assisted selection and recurrent selection cycles. Similarly, </w:t>
      </w:r>
      <w:r w:rsidRPr="002A7A4B">
        <w:rPr>
          <w:rStyle w:val="Strong"/>
          <w:rFonts w:ascii="Arial" w:hAnsi="Arial" w:cs="Arial"/>
          <w:sz w:val="20"/>
          <w:szCs w:val="20"/>
        </w:rPr>
        <w:t>QTLs associated with iron and zinc accumulation</w:t>
      </w:r>
      <w:r w:rsidRPr="002A7A4B">
        <w:rPr>
          <w:rFonts w:ascii="Arial" w:hAnsi="Arial" w:cs="Arial"/>
          <w:sz w:val="20"/>
          <w:szCs w:val="20"/>
        </w:rPr>
        <w:t xml:space="preserve"> have been mapped on various chromosomes, and ongoing efforts aim to validate these across diverse environments. New tools such as </w:t>
      </w:r>
      <w:r w:rsidRPr="002A7A4B">
        <w:rPr>
          <w:rStyle w:val="Strong"/>
          <w:rFonts w:ascii="Arial" w:hAnsi="Arial" w:cs="Arial"/>
          <w:sz w:val="20"/>
          <w:szCs w:val="20"/>
        </w:rPr>
        <w:t>genomic selection (GS)</w:t>
      </w:r>
      <w:r w:rsidRPr="002A7A4B">
        <w:rPr>
          <w:rFonts w:ascii="Arial" w:hAnsi="Arial" w:cs="Arial"/>
          <w:sz w:val="20"/>
          <w:szCs w:val="20"/>
        </w:rPr>
        <w:t xml:space="preserve"> and </w:t>
      </w:r>
      <w:r w:rsidRPr="002A7A4B">
        <w:rPr>
          <w:rStyle w:val="Strong"/>
          <w:rFonts w:ascii="Arial" w:hAnsi="Arial" w:cs="Arial"/>
          <w:sz w:val="20"/>
          <w:szCs w:val="20"/>
        </w:rPr>
        <w:t>gene editing</w:t>
      </w:r>
      <w:r w:rsidRPr="002A7A4B">
        <w:rPr>
          <w:rFonts w:ascii="Arial" w:hAnsi="Arial" w:cs="Arial"/>
          <w:sz w:val="20"/>
          <w:szCs w:val="20"/>
        </w:rPr>
        <w:t xml:space="preserve"> are also being explored to accelerate quality trait improvement</w:t>
      </w:r>
      <w:r w:rsidR="00201A63" w:rsidRPr="002A7A4B">
        <w:rPr>
          <w:rFonts w:ascii="Arial" w:hAnsi="Arial" w:cs="Arial"/>
          <w:sz w:val="20"/>
          <w:szCs w:val="20"/>
        </w:rPr>
        <w:t xml:space="preserve"> </w:t>
      </w:r>
      <w:r w:rsidR="00201A63" w:rsidRPr="002A7A4B">
        <w:rPr>
          <w:rFonts w:ascii="Arial" w:hAnsi="Arial" w:cs="Arial"/>
          <w:b/>
          <w:bCs/>
          <w:sz w:val="20"/>
          <w:szCs w:val="20"/>
        </w:rPr>
        <w:t>(</w:t>
      </w:r>
      <w:proofErr w:type="spellStart"/>
      <w:r w:rsidR="00201A63" w:rsidRPr="002A7A4B">
        <w:rPr>
          <w:rFonts w:ascii="Arial" w:hAnsi="Arial" w:cs="Arial"/>
          <w:b/>
          <w:bCs/>
          <w:sz w:val="20"/>
          <w:szCs w:val="20"/>
        </w:rPr>
        <w:t>Senguttuvel</w:t>
      </w:r>
      <w:proofErr w:type="spellEnd"/>
      <w:r w:rsidR="00201A63" w:rsidRPr="002A7A4B">
        <w:rPr>
          <w:rFonts w:ascii="Arial" w:hAnsi="Arial" w:cs="Arial"/>
          <w:b/>
          <w:bCs/>
          <w:sz w:val="20"/>
          <w:szCs w:val="20"/>
        </w:rPr>
        <w:t xml:space="preserve"> et al., 2023)</w:t>
      </w:r>
      <w:r w:rsidRPr="002A7A4B">
        <w:rPr>
          <w:rFonts w:ascii="Arial" w:hAnsi="Arial" w:cs="Arial"/>
          <w:sz w:val="20"/>
          <w:szCs w:val="20"/>
        </w:rPr>
        <w:t xml:space="preserve">. Genomic prediction models help in selecting for hard-to-measure traits like protein digestibility or iron bioavailability, while CRISPR-based gene editing allows for precise modification of biosynthetic pathways without introducing foreign DNA. In parallel, </w:t>
      </w:r>
      <w:r w:rsidRPr="002A7A4B">
        <w:rPr>
          <w:rStyle w:val="Strong"/>
          <w:rFonts w:ascii="Arial" w:hAnsi="Arial" w:cs="Arial"/>
          <w:sz w:val="20"/>
          <w:szCs w:val="20"/>
        </w:rPr>
        <w:t>consumer preference studies</w:t>
      </w:r>
      <w:r w:rsidRPr="002A7A4B">
        <w:rPr>
          <w:rFonts w:ascii="Arial" w:hAnsi="Arial" w:cs="Arial"/>
          <w:sz w:val="20"/>
          <w:szCs w:val="20"/>
        </w:rPr>
        <w:t xml:space="preserve"> and </w:t>
      </w:r>
      <w:r w:rsidRPr="002A7A4B">
        <w:rPr>
          <w:rStyle w:val="Strong"/>
          <w:rFonts w:ascii="Arial" w:hAnsi="Arial" w:cs="Arial"/>
          <w:sz w:val="20"/>
          <w:szCs w:val="20"/>
        </w:rPr>
        <w:t>participatory varietal selection</w:t>
      </w:r>
      <w:r w:rsidRPr="002A7A4B">
        <w:rPr>
          <w:rFonts w:ascii="Arial" w:hAnsi="Arial" w:cs="Arial"/>
          <w:sz w:val="20"/>
          <w:szCs w:val="20"/>
        </w:rPr>
        <w:t xml:space="preserve"> are helping breeders align their efforts with market demands. </w:t>
      </w:r>
      <w:r w:rsidRPr="002A7A4B">
        <w:rPr>
          <w:rFonts w:ascii="Arial" w:hAnsi="Arial" w:cs="Arial"/>
          <w:sz w:val="20"/>
          <w:szCs w:val="20"/>
        </w:rPr>
        <w:lastRenderedPageBreak/>
        <w:t>Texture, taste, aroma, and ease of cooking are increasingly being incorporated into selection indices, especially in regions where sorghum is consumed in traditional forms such as flatbreads, porridge, and fermented foods</w:t>
      </w:r>
      <w:r w:rsidR="00201A63" w:rsidRPr="002A7A4B">
        <w:rPr>
          <w:rFonts w:ascii="Arial" w:hAnsi="Arial" w:cs="Arial"/>
          <w:b/>
          <w:bCs/>
          <w:sz w:val="20"/>
          <w:szCs w:val="20"/>
        </w:rPr>
        <w:t xml:space="preserve"> (Rai et al., 2008)</w:t>
      </w:r>
      <w:r w:rsidRPr="002A7A4B">
        <w:rPr>
          <w:rFonts w:ascii="Arial" w:hAnsi="Arial" w:cs="Arial"/>
          <w:sz w:val="20"/>
          <w:szCs w:val="20"/>
        </w:rPr>
        <w:t>.</w:t>
      </w:r>
    </w:p>
    <w:p w14:paraId="03B33701" w14:textId="47FDCBA3" w:rsidR="00D206D6" w:rsidRPr="00D206D6" w:rsidRDefault="00D206D6" w:rsidP="002A7A4B">
      <w:pPr>
        <w:pStyle w:val="Heading2"/>
        <w:spacing w:line="240" w:lineRule="auto"/>
        <w:rPr>
          <w:rFonts w:ascii="Arial" w:hAnsi="Arial" w:cs="Arial"/>
          <w:color w:val="auto"/>
          <w:sz w:val="24"/>
          <w:szCs w:val="20"/>
        </w:rPr>
      </w:pPr>
      <w:r w:rsidRPr="00D206D6">
        <w:rPr>
          <w:rStyle w:val="Strong"/>
          <w:rFonts w:ascii="Arial" w:hAnsi="Arial" w:cs="Arial"/>
          <w:bCs w:val="0"/>
          <w:color w:val="auto"/>
          <w:sz w:val="24"/>
          <w:szCs w:val="20"/>
        </w:rPr>
        <w:t>7. ROLE OF GENOMIC AND MOLECULAR TOOLS</w:t>
      </w:r>
    </w:p>
    <w:p w14:paraId="0D51C1BC" w14:textId="7C32CF72"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The integration of genomics and molecular tools has transformed the landscape of modern plant breeding, offering unprecedented opportunities to accelerate genetic gain, dissect complex traits, and develop climate-resilient, high-yielding cultivars. In sorghum, the application of </w:t>
      </w:r>
      <w:r w:rsidRPr="002A7A4B">
        <w:rPr>
          <w:rStyle w:val="Strong"/>
          <w:rFonts w:ascii="Arial" w:hAnsi="Arial" w:cs="Arial"/>
          <w:sz w:val="20"/>
          <w:szCs w:val="20"/>
        </w:rPr>
        <w:t>molecular markers, genome sequencing, association mapping, and gene-editing technologies</w:t>
      </w:r>
      <w:r w:rsidRPr="002A7A4B">
        <w:rPr>
          <w:rFonts w:ascii="Arial" w:hAnsi="Arial" w:cs="Arial"/>
          <w:sz w:val="20"/>
          <w:szCs w:val="20"/>
        </w:rPr>
        <w:t xml:space="preserve"> has brought a paradigm shift in the way breeders understand and manipulate genetic diversity</w:t>
      </w:r>
      <w:r w:rsidR="00201A63" w:rsidRPr="002A7A4B">
        <w:rPr>
          <w:rFonts w:ascii="Arial" w:hAnsi="Arial" w:cs="Arial"/>
          <w:sz w:val="20"/>
          <w:szCs w:val="20"/>
        </w:rPr>
        <w:t xml:space="preserve"> </w:t>
      </w:r>
      <w:r w:rsidR="00201A63" w:rsidRPr="002A7A4B">
        <w:rPr>
          <w:rFonts w:ascii="Arial" w:hAnsi="Arial" w:cs="Arial"/>
          <w:b/>
          <w:bCs/>
          <w:sz w:val="20"/>
          <w:szCs w:val="20"/>
        </w:rPr>
        <w:t>(Elango et al., 2024)</w:t>
      </w:r>
      <w:r w:rsidRPr="002A7A4B">
        <w:rPr>
          <w:rFonts w:ascii="Arial" w:hAnsi="Arial" w:cs="Arial"/>
          <w:sz w:val="20"/>
          <w:szCs w:val="20"/>
        </w:rPr>
        <w:t>. These tools have enhanced the precision, speed, and efficiency of breeding programs aimed at improving yield, stress tolerance, grain quality, and adaptation to climate change.</w:t>
      </w:r>
    </w:p>
    <w:p w14:paraId="14820EC2" w14:textId="381E75A3" w:rsidR="00D206D6" w:rsidRPr="002A7A4B" w:rsidRDefault="00D206D6" w:rsidP="002A7A4B">
      <w:pPr>
        <w:pStyle w:val="Heading3"/>
        <w:jc w:val="both"/>
        <w:rPr>
          <w:rFonts w:ascii="Arial" w:hAnsi="Arial" w:cs="Arial"/>
          <w:sz w:val="20"/>
          <w:szCs w:val="20"/>
        </w:rPr>
      </w:pPr>
      <w:r w:rsidRPr="002A7A4B">
        <w:rPr>
          <w:rFonts w:ascii="Arial" w:hAnsi="Arial" w:cs="Arial"/>
          <w:sz w:val="20"/>
          <w:szCs w:val="20"/>
        </w:rPr>
        <w:t>7.1 Marker-Assisted Selection (MAS) and Genomic Selection</w:t>
      </w:r>
    </w:p>
    <w:p w14:paraId="3F3F7818" w14:textId="79E6A0BD" w:rsidR="00D206D6" w:rsidRPr="002A7A4B" w:rsidRDefault="00D206D6" w:rsidP="002A7A4B">
      <w:pPr>
        <w:spacing w:line="240" w:lineRule="auto"/>
        <w:rPr>
          <w:rFonts w:ascii="Arial" w:hAnsi="Arial" w:cs="Arial"/>
          <w:sz w:val="20"/>
          <w:szCs w:val="20"/>
        </w:rPr>
      </w:pPr>
      <w:r w:rsidRPr="002A7A4B">
        <w:rPr>
          <w:rStyle w:val="Strong"/>
          <w:rFonts w:ascii="Arial" w:hAnsi="Arial" w:cs="Arial"/>
          <w:sz w:val="20"/>
          <w:szCs w:val="20"/>
        </w:rPr>
        <w:t>Marker-assisted selection (MAS)</w:t>
      </w:r>
      <w:r w:rsidRPr="002A7A4B">
        <w:rPr>
          <w:rFonts w:ascii="Arial" w:hAnsi="Arial" w:cs="Arial"/>
          <w:sz w:val="20"/>
          <w:szCs w:val="20"/>
        </w:rPr>
        <w:t xml:space="preserve"> is one of the most widely adopted molecular breeding approaches in sorghum improvement</w:t>
      </w:r>
      <w:r w:rsidR="00201A63" w:rsidRPr="002A7A4B">
        <w:rPr>
          <w:rFonts w:ascii="Arial" w:hAnsi="Arial" w:cs="Arial"/>
          <w:sz w:val="20"/>
          <w:szCs w:val="20"/>
        </w:rPr>
        <w:t xml:space="preserve"> </w:t>
      </w:r>
      <w:r w:rsidR="00201A63" w:rsidRPr="002A7A4B">
        <w:rPr>
          <w:rFonts w:ascii="Arial" w:hAnsi="Arial" w:cs="Arial"/>
          <w:b/>
          <w:bCs/>
          <w:sz w:val="20"/>
          <w:szCs w:val="20"/>
        </w:rPr>
        <w:t>(</w:t>
      </w:r>
      <w:proofErr w:type="spellStart"/>
      <w:r w:rsidR="00201A63" w:rsidRPr="002A7A4B">
        <w:rPr>
          <w:rFonts w:ascii="Arial" w:hAnsi="Arial" w:cs="Arial"/>
          <w:b/>
          <w:bCs/>
          <w:sz w:val="20"/>
          <w:szCs w:val="20"/>
        </w:rPr>
        <w:t>Ejeta</w:t>
      </w:r>
      <w:proofErr w:type="spellEnd"/>
      <w:r w:rsidR="00201A63" w:rsidRPr="002A7A4B">
        <w:rPr>
          <w:rFonts w:ascii="Arial" w:hAnsi="Arial" w:cs="Arial"/>
          <w:b/>
          <w:bCs/>
          <w:sz w:val="20"/>
          <w:szCs w:val="20"/>
        </w:rPr>
        <w:t xml:space="preserve"> &amp; Knoll, 2008)</w:t>
      </w:r>
      <w:r w:rsidRPr="002A7A4B">
        <w:rPr>
          <w:rFonts w:ascii="Arial" w:hAnsi="Arial" w:cs="Arial"/>
          <w:sz w:val="20"/>
          <w:szCs w:val="20"/>
        </w:rPr>
        <w:t>. MAS allows breeders to track desirable genes or quantitative trait loci (QTLs) using molecular markers, significantly reducing the reliance on laborious phenotypic evaluations. It is particularly useful for traits that are difficult to score in the field, have low heritability, or are expressed late in the plant's development.</w:t>
      </w:r>
      <w:r w:rsidR="00813828" w:rsidRPr="002A7A4B">
        <w:rPr>
          <w:rFonts w:ascii="Arial" w:hAnsi="Arial" w:cs="Arial"/>
          <w:sz w:val="20"/>
          <w:szCs w:val="20"/>
        </w:rPr>
        <w:t xml:space="preserve"> </w:t>
      </w:r>
      <w:r w:rsidRPr="002A7A4B">
        <w:rPr>
          <w:rFonts w:ascii="Arial" w:hAnsi="Arial" w:cs="Arial"/>
          <w:sz w:val="20"/>
          <w:szCs w:val="20"/>
        </w:rPr>
        <w:t xml:space="preserve">In sorghum, MAS has been successfully applied for traits such as </w:t>
      </w:r>
      <w:r w:rsidRPr="002A7A4B">
        <w:rPr>
          <w:rStyle w:val="Strong"/>
          <w:rFonts w:ascii="Arial" w:hAnsi="Arial" w:cs="Arial"/>
          <w:sz w:val="20"/>
          <w:szCs w:val="20"/>
        </w:rPr>
        <w:t>stay-green for post-flowering drought tolerance</w:t>
      </w:r>
      <w:r w:rsidRPr="002A7A4B">
        <w:rPr>
          <w:rFonts w:ascii="Arial" w:hAnsi="Arial" w:cs="Arial"/>
          <w:sz w:val="20"/>
          <w:szCs w:val="20"/>
        </w:rPr>
        <w:t xml:space="preserve">, </w:t>
      </w:r>
      <w:r w:rsidRPr="002A7A4B">
        <w:rPr>
          <w:rStyle w:val="Strong"/>
          <w:rFonts w:ascii="Arial" w:hAnsi="Arial" w:cs="Arial"/>
          <w:sz w:val="20"/>
          <w:szCs w:val="20"/>
        </w:rPr>
        <w:t>shoot fly resistance</w:t>
      </w:r>
      <w:r w:rsidRPr="002A7A4B">
        <w:rPr>
          <w:rFonts w:ascii="Arial" w:hAnsi="Arial" w:cs="Arial"/>
          <w:sz w:val="20"/>
          <w:szCs w:val="20"/>
        </w:rPr>
        <w:t xml:space="preserve">, </w:t>
      </w:r>
      <w:r w:rsidRPr="002A7A4B">
        <w:rPr>
          <w:rStyle w:val="Strong"/>
          <w:rFonts w:ascii="Arial" w:hAnsi="Arial" w:cs="Arial"/>
          <w:sz w:val="20"/>
          <w:szCs w:val="20"/>
        </w:rPr>
        <w:t xml:space="preserve">grain </w:t>
      </w:r>
      <w:proofErr w:type="spellStart"/>
      <w:r w:rsidRPr="002A7A4B">
        <w:rPr>
          <w:rStyle w:val="Strong"/>
          <w:rFonts w:ascii="Arial" w:hAnsi="Arial" w:cs="Arial"/>
          <w:sz w:val="20"/>
          <w:szCs w:val="20"/>
        </w:rPr>
        <w:t>mold</w:t>
      </w:r>
      <w:proofErr w:type="spellEnd"/>
      <w:r w:rsidRPr="002A7A4B">
        <w:rPr>
          <w:rStyle w:val="Strong"/>
          <w:rFonts w:ascii="Arial" w:hAnsi="Arial" w:cs="Arial"/>
          <w:sz w:val="20"/>
          <w:szCs w:val="20"/>
        </w:rPr>
        <w:t xml:space="preserve"> resistance</w:t>
      </w:r>
      <w:r w:rsidRPr="002A7A4B">
        <w:rPr>
          <w:rFonts w:ascii="Arial" w:hAnsi="Arial" w:cs="Arial"/>
          <w:sz w:val="20"/>
          <w:szCs w:val="20"/>
        </w:rPr>
        <w:t xml:space="preserve">, and </w:t>
      </w:r>
      <w:r w:rsidRPr="002A7A4B">
        <w:rPr>
          <w:rStyle w:val="Strong"/>
          <w:rFonts w:ascii="Arial" w:hAnsi="Arial" w:cs="Arial"/>
          <w:sz w:val="20"/>
          <w:szCs w:val="20"/>
        </w:rPr>
        <w:t>downy mildew resistance</w:t>
      </w:r>
      <w:r w:rsidR="00201A63" w:rsidRPr="002A7A4B">
        <w:rPr>
          <w:rStyle w:val="Strong"/>
          <w:rFonts w:ascii="Arial" w:hAnsi="Arial" w:cs="Arial"/>
          <w:sz w:val="20"/>
          <w:szCs w:val="20"/>
        </w:rPr>
        <w:t xml:space="preserve"> </w:t>
      </w:r>
      <w:r w:rsidR="00201A63" w:rsidRPr="002A7A4B">
        <w:rPr>
          <w:rStyle w:val="Strong"/>
          <w:rFonts w:ascii="Arial" w:hAnsi="Arial" w:cs="Arial"/>
          <w:b w:val="0"/>
          <w:bCs w:val="0"/>
          <w:sz w:val="20"/>
          <w:szCs w:val="20"/>
        </w:rPr>
        <w:t>(</w:t>
      </w:r>
      <w:r w:rsidR="00201A63" w:rsidRPr="002A7A4B">
        <w:rPr>
          <w:rFonts w:ascii="Arial" w:hAnsi="Arial" w:cs="Arial"/>
          <w:b/>
          <w:bCs/>
          <w:sz w:val="20"/>
          <w:szCs w:val="20"/>
        </w:rPr>
        <w:t>Thakur et al., 2024</w:t>
      </w:r>
      <w:r w:rsidR="00201A63" w:rsidRPr="002A7A4B">
        <w:rPr>
          <w:rFonts w:ascii="Arial" w:hAnsi="Arial" w:cs="Arial"/>
          <w:sz w:val="20"/>
          <w:szCs w:val="20"/>
        </w:rPr>
        <w:t>)</w:t>
      </w:r>
      <w:r w:rsidRPr="002A7A4B">
        <w:rPr>
          <w:rFonts w:ascii="Arial" w:hAnsi="Arial" w:cs="Arial"/>
          <w:sz w:val="20"/>
          <w:szCs w:val="20"/>
        </w:rPr>
        <w:t>. Markers tightly linked to key QTLs for these traits enable early and efficient selection in breeding populations. For example, stay-green QTLs (Stg1–Stg4) have been extensively utilized to improve drought resilience in elite backgrounds without compromising yield.</w:t>
      </w:r>
    </w:p>
    <w:p w14:paraId="6DB13EE7" w14:textId="02768371" w:rsidR="00D206D6" w:rsidRPr="002A7A4B" w:rsidRDefault="00D206D6" w:rsidP="002A7A4B">
      <w:pPr>
        <w:pStyle w:val="NormalWeb"/>
        <w:ind w:firstLine="720"/>
        <w:jc w:val="both"/>
        <w:rPr>
          <w:rFonts w:ascii="Arial" w:hAnsi="Arial" w:cs="Arial"/>
          <w:sz w:val="20"/>
          <w:szCs w:val="20"/>
        </w:rPr>
      </w:pPr>
      <w:r w:rsidRPr="002A7A4B">
        <w:rPr>
          <w:rFonts w:ascii="Arial" w:hAnsi="Arial" w:cs="Arial"/>
          <w:sz w:val="20"/>
          <w:szCs w:val="20"/>
        </w:rPr>
        <w:t xml:space="preserve">In parallel, </w:t>
      </w:r>
      <w:r w:rsidRPr="002A7A4B">
        <w:rPr>
          <w:rStyle w:val="Strong"/>
          <w:rFonts w:ascii="Arial" w:hAnsi="Arial" w:cs="Arial"/>
          <w:sz w:val="20"/>
          <w:szCs w:val="20"/>
        </w:rPr>
        <w:t>genomic selection (GS)</w:t>
      </w:r>
      <w:r w:rsidRPr="002A7A4B">
        <w:rPr>
          <w:rFonts w:ascii="Arial" w:hAnsi="Arial" w:cs="Arial"/>
          <w:sz w:val="20"/>
          <w:szCs w:val="20"/>
        </w:rPr>
        <w:t xml:space="preserve"> has emerged as a next-generation breeding strategy that leverages genome-wide marker information to predict the genetic potential of breeding lines</w:t>
      </w:r>
      <w:r w:rsidR="00201A63" w:rsidRPr="002A7A4B">
        <w:rPr>
          <w:rFonts w:ascii="Arial" w:hAnsi="Arial" w:cs="Arial"/>
          <w:sz w:val="20"/>
          <w:szCs w:val="20"/>
        </w:rPr>
        <w:t xml:space="preserve"> </w:t>
      </w:r>
      <w:r w:rsidR="00201A63" w:rsidRPr="002A7A4B">
        <w:rPr>
          <w:rFonts w:ascii="Arial" w:hAnsi="Arial" w:cs="Arial"/>
          <w:b/>
          <w:bCs/>
          <w:sz w:val="20"/>
          <w:szCs w:val="20"/>
        </w:rPr>
        <w:t>(Sapkota, 2021)</w:t>
      </w:r>
      <w:r w:rsidRPr="002A7A4B">
        <w:rPr>
          <w:rFonts w:ascii="Arial" w:hAnsi="Arial" w:cs="Arial"/>
          <w:sz w:val="20"/>
          <w:szCs w:val="20"/>
        </w:rPr>
        <w:t>. Unlike MAS, which relies on a few known markers, GS uses statistical models trained on dense marker datasets to estimate genomic estimated breeding values (GEBVs). This approach is particularly effective for complex, polygenic traits such as grain yield, biomass, and stress tolerance, where numerous small-effect loci contribute to trait expression.</w:t>
      </w:r>
      <w:r w:rsidR="00813828" w:rsidRPr="002A7A4B">
        <w:rPr>
          <w:rFonts w:ascii="Arial" w:hAnsi="Arial" w:cs="Arial"/>
          <w:sz w:val="20"/>
          <w:szCs w:val="20"/>
        </w:rPr>
        <w:t xml:space="preserve"> </w:t>
      </w:r>
      <w:r w:rsidRPr="002A7A4B">
        <w:rPr>
          <w:rFonts w:ascii="Arial" w:hAnsi="Arial" w:cs="Arial"/>
          <w:sz w:val="20"/>
          <w:szCs w:val="20"/>
        </w:rPr>
        <w:t>GS shortens the breeding cycle by enabling selection at the seedling stage without the need for extensive field trials. In sorghum, GS is being applied in several national and international programs to increase selection intensity and accelerate the development of improved cultivars suited to diverse environments</w:t>
      </w:r>
      <w:r w:rsidR="00201A63" w:rsidRPr="002A7A4B">
        <w:rPr>
          <w:rFonts w:ascii="Arial" w:hAnsi="Arial" w:cs="Arial"/>
          <w:sz w:val="20"/>
          <w:szCs w:val="20"/>
        </w:rPr>
        <w:t xml:space="preserve"> </w:t>
      </w:r>
      <w:r w:rsidR="00201A63" w:rsidRPr="002A7A4B">
        <w:rPr>
          <w:rFonts w:ascii="Arial" w:hAnsi="Arial" w:cs="Arial"/>
          <w:b/>
          <w:bCs/>
          <w:sz w:val="20"/>
          <w:szCs w:val="20"/>
        </w:rPr>
        <w:t>(</w:t>
      </w:r>
      <w:proofErr w:type="spellStart"/>
      <w:r w:rsidR="00201A63" w:rsidRPr="002A7A4B">
        <w:rPr>
          <w:rFonts w:ascii="Arial" w:hAnsi="Arial" w:cs="Arial"/>
          <w:b/>
          <w:bCs/>
          <w:sz w:val="20"/>
          <w:szCs w:val="20"/>
        </w:rPr>
        <w:t>Mwamahonje</w:t>
      </w:r>
      <w:proofErr w:type="spellEnd"/>
      <w:r w:rsidR="00201A63" w:rsidRPr="002A7A4B">
        <w:rPr>
          <w:rFonts w:ascii="Arial" w:hAnsi="Arial" w:cs="Arial"/>
          <w:b/>
          <w:bCs/>
          <w:sz w:val="20"/>
          <w:szCs w:val="20"/>
        </w:rPr>
        <w:t xml:space="preserve"> et al., 2024)</w:t>
      </w:r>
      <w:r w:rsidRPr="002A7A4B">
        <w:rPr>
          <w:rFonts w:ascii="Arial" w:hAnsi="Arial" w:cs="Arial"/>
          <w:sz w:val="20"/>
          <w:szCs w:val="20"/>
        </w:rPr>
        <w:t>.</w:t>
      </w:r>
    </w:p>
    <w:p w14:paraId="43C719DB" w14:textId="5EF6CC80" w:rsidR="00D206D6" w:rsidRPr="002A7A4B" w:rsidRDefault="00D206D6" w:rsidP="002A7A4B">
      <w:pPr>
        <w:pStyle w:val="Heading3"/>
        <w:jc w:val="both"/>
        <w:rPr>
          <w:rFonts w:ascii="Arial" w:hAnsi="Arial" w:cs="Arial"/>
          <w:sz w:val="20"/>
          <w:szCs w:val="20"/>
        </w:rPr>
      </w:pPr>
      <w:r w:rsidRPr="002A7A4B">
        <w:rPr>
          <w:rFonts w:ascii="Arial" w:hAnsi="Arial" w:cs="Arial"/>
          <w:sz w:val="20"/>
          <w:szCs w:val="20"/>
        </w:rPr>
        <w:t>7.2 QTL Mapping and Genome-Wide Association Studies (GWAS)</w:t>
      </w:r>
    </w:p>
    <w:p w14:paraId="7381DAE0" w14:textId="77777777" w:rsidR="0087630D" w:rsidRPr="002A7A4B" w:rsidRDefault="00D206D6" w:rsidP="002A7A4B">
      <w:pPr>
        <w:pStyle w:val="NormalWeb"/>
        <w:jc w:val="both"/>
        <w:rPr>
          <w:rFonts w:ascii="Arial" w:hAnsi="Arial" w:cs="Arial"/>
          <w:sz w:val="20"/>
          <w:szCs w:val="20"/>
        </w:rPr>
      </w:pPr>
      <w:r w:rsidRPr="002A7A4B">
        <w:rPr>
          <w:rStyle w:val="Strong"/>
          <w:rFonts w:ascii="Arial" w:hAnsi="Arial" w:cs="Arial"/>
          <w:sz w:val="20"/>
          <w:szCs w:val="20"/>
        </w:rPr>
        <w:t>Quantitative trait loci (QTL) mapping</w:t>
      </w:r>
      <w:r w:rsidRPr="002A7A4B">
        <w:rPr>
          <w:rFonts w:ascii="Arial" w:hAnsi="Arial" w:cs="Arial"/>
          <w:sz w:val="20"/>
          <w:szCs w:val="20"/>
        </w:rPr>
        <w:t xml:space="preserve"> has played a foundational role in uncovering the genetic architecture of important agronomic traits in sorghum</w:t>
      </w:r>
      <w:r w:rsidR="00201A63" w:rsidRPr="002A7A4B">
        <w:rPr>
          <w:rFonts w:ascii="Arial" w:hAnsi="Arial" w:cs="Arial"/>
          <w:sz w:val="20"/>
          <w:szCs w:val="20"/>
        </w:rPr>
        <w:t xml:space="preserve"> </w:t>
      </w:r>
      <w:r w:rsidR="00201A63" w:rsidRPr="002A7A4B">
        <w:rPr>
          <w:rFonts w:ascii="Arial" w:hAnsi="Arial" w:cs="Arial"/>
          <w:b/>
          <w:bCs/>
          <w:sz w:val="20"/>
          <w:szCs w:val="20"/>
        </w:rPr>
        <w:t>(Getahun et al., 2025)</w:t>
      </w:r>
      <w:r w:rsidRPr="002A7A4B">
        <w:rPr>
          <w:rFonts w:ascii="Arial" w:hAnsi="Arial" w:cs="Arial"/>
          <w:sz w:val="20"/>
          <w:szCs w:val="20"/>
        </w:rPr>
        <w:t xml:space="preserve">. Using biparental populations such as recombinant inbred lines (RILs), backcrosses, and nested association mapping populations, researchers have identified QTLs associated with yield components, stress responses, flowering time, plant height, and grain quality </w:t>
      </w:r>
      <w:proofErr w:type="spellStart"/>
      <w:proofErr w:type="gramStart"/>
      <w:r w:rsidRPr="002A7A4B">
        <w:rPr>
          <w:rFonts w:ascii="Arial" w:hAnsi="Arial" w:cs="Arial"/>
          <w:sz w:val="20"/>
          <w:szCs w:val="20"/>
        </w:rPr>
        <w:t>traits.Notably</w:t>
      </w:r>
      <w:proofErr w:type="spellEnd"/>
      <w:proofErr w:type="gramEnd"/>
      <w:r w:rsidRPr="002A7A4B">
        <w:rPr>
          <w:rFonts w:ascii="Arial" w:hAnsi="Arial" w:cs="Arial"/>
          <w:sz w:val="20"/>
          <w:szCs w:val="20"/>
        </w:rPr>
        <w:t xml:space="preserve">, QTLs for </w:t>
      </w:r>
      <w:r w:rsidRPr="002A7A4B">
        <w:rPr>
          <w:rStyle w:val="Strong"/>
          <w:rFonts w:ascii="Arial" w:hAnsi="Arial" w:cs="Arial"/>
          <w:sz w:val="20"/>
          <w:szCs w:val="20"/>
        </w:rPr>
        <w:t>drought tolerance</w:t>
      </w:r>
      <w:r w:rsidRPr="002A7A4B">
        <w:rPr>
          <w:rFonts w:ascii="Arial" w:hAnsi="Arial" w:cs="Arial"/>
          <w:sz w:val="20"/>
          <w:szCs w:val="20"/>
        </w:rPr>
        <w:t xml:space="preserve">, </w:t>
      </w:r>
      <w:r w:rsidRPr="002A7A4B">
        <w:rPr>
          <w:rStyle w:val="Strong"/>
          <w:rFonts w:ascii="Arial" w:hAnsi="Arial" w:cs="Arial"/>
          <w:sz w:val="20"/>
          <w:szCs w:val="20"/>
        </w:rPr>
        <w:t>stay-green</w:t>
      </w:r>
      <w:r w:rsidRPr="002A7A4B">
        <w:rPr>
          <w:rFonts w:ascii="Arial" w:hAnsi="Arial" w:cs="Arial"/>
          <w:sz w:val="20"/>
          <w:szCs w:val="20"/>
        </w:rPr>
        <w:t xml:space="preserve">, </w:t>
      </w:r>
      <w:r w:rsidRPr="002A7A4B">
        <w:rPr>
          <w:rStyle w:val="Strong"/>
          <w:rFonts w:ascii="Arial" w:hAnsi="Arial" w:cs="Arial"/>
          <w:sz w:val="20"/>
          <w:szCs w:val="20"/>
        </w:rPr>
        <w:t>heat resilience</w:t>
      </w:r>
      <w:r w:rsidRPr="002A7A4B">
        <w:rPr>
          <w:rFonts w:ascii="Arial" w:hAnsi="Arial" w:cs="Arial"/>
          <w:sz w:val="20"/>
          <w:szCs w:val="20"/>
        </w:rPr>
        <w:t xml:space="preserve">, and </w:t>
      </w:r>
      <w:r w:rsidRPr="002A7A4B">
        <w:rPr>
          <w:rStyle w:val="Strong"/>
          <w:rFonts w:ascii="Arial" w:hAnsi="Arial" w:cs="Arial"/>
          <w:sz w:val="20"/>
          <w:szCs w:val="20"/>
        </w:rPr>
        <w:t xml:space="preserve">low digestibility of </w:t>
      </w:r>
      <w:proofErr w:type="spellStart"/>
      <w:r w:rsidRPr="002A7A4B">
        <w:rPr>
          <w:rStyle w:val="Strong"/>
          <w:rFonts w:ascii="Arial" w:hAnsi="Arial" w:cs="Arial"/>
          <w:sz w:val="20"/>
          <w:szCs w:val="20"/>
        </w:rPr>
        <w:t>kafirins</w:t>
      </w:r>
      <w:proofErr w:type="spellEnd"/>
      <w:r w:rsidRPr="002A7A4B">
        <w:rPr>
          <w:rFonts w:ascii="Arial" w:hAnsi="Arial" w:cs="Arial"/>
          <w:sz w:val="20"/>
          <w:szCs w:val="20"/>
        </w:rPr>
        <w:t xml:space="preserve"> have been validated across different environments and genetic backgrounds. Fine mapping of these regions has facilitated the development of gene-specific markers, which are now routinely used in marker-assisted breeding pipelines</w:t>
      </w:r>
      <w:r w:rsidR="00201A63" w:rsidRPr="002A7A4B">
        <w:rPr>
          <w:rFonts w:ascii="Arial" w:hAnsi="Arial" w:cs="Arial"/>
          <w:sz w:val="20"/>
          <w:szCs w:val="20"/>
        </w:rPr>
        <w:t xml:space="preserve"> </w:t>
      </w:r>
      <w:r w:rsidR="00201A63" w:rsidRPr="002A7A4B">
        <w:rPr>
          <w:rFonts w:ascii="Arial" w:hAnsi="Arial" w:cs="Arial"/>
          <w:b/>
          <w:bCs/>
          <w:sz w:val="20"/>
          <w:szCs w:val="20"/>
        </w:rPr>
        <w:t>(Thomson et al., 2020)</w:t>
      </w:r>
      <w:r w:rsidRPr="002A7A4B">
        <w:rPr>
          <w:rFonts w:ascii="Arial" w:hAnsi="Arial" w:cs="Arial"/>
          <w:sz w:val="20"/>
          <w:szCs w:val="20"/>
        </w:rPr>
        <w:t>.</w:t>
      </w:r>
      <w:r w:rsidR="0087630D" w:rsidRPr="002A7A4B">
        <w:rPr>
          <w:rFonts w:ascii="Arial" w:hAnsi="Arial" w:cs="Arial"/>
          <w:sz w:val="20"/>
          <w:szCs w:val="20"/>
        </w:rPr>
        <w:t xml:space="preserve"> </w:t>
      </w:r>
    </w:p>
    <w:p w14:paraId="00A642AF" w14:textId="7F11214D"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Complementing QTL mapping, </w:t>
      </w:r>
      <w:r w:rsidRPr="002A7A4B">
        <w:rPr>
          <w:rStyle w:val="Strong"/>
          <w:rFonts w:ascii="Arial" w:hAnsi="Arial" w:cs="Arial"/>
          <w:sz w:val="20"/>
          <w:szCs w:val="20"/>
        </w:rPr>
        <w:t>genome-wide association studies (GWAS)</w:t>
      </w:r>
      <w:r w:rsidRPr="002A7A4B">
        <w:rPr>
          <w:rFonts w:ascii="Arial" w:hAnsi="Arial" w:cs="Arial"/>
          <w:sz w:val="20"/>
          <w:szCs w:val="20"/>
        </w:rPr>
        <w:t xml:space="preserve"> utilize natural populations with high genetic diversity and high-density SNP markers to identify marker-trait associations with greater resolution</w:t>
      </w:r>
      <w:r w:rsidR="0087630D" w:rsidRPr="002A7A4B">
        <w:rPr>
          <w:rFonts w:ascii="Arial" w:hAnsi="Arial" w:cs="Arial"/>
          <w:sz w:val="20"/>
          <w:szCs w:val="20"/>
        </w:rPr>
        <w:t xml:space="preserve"> </w:t>
      </w:r>
      <w:r w:rsidR="0087630D" w:rsidRPr="002A7A4B">
        <w:rPr>
          <w:rFonts w:ascii="Arial" w:hAnsi="Arial" w:cs="Arial"/>
          <w:b/>
          <w:bCs/>
          <w:sz w:val="20"/>
          <w:szCs w:val="20"/>
        </w:rPr>
        <w:t>(Mace et al., 2019)</w:t>
      </w:r>
      <w:r w:rsidRPr="002A7A4B">
        <w:rPr>
          <w:rFonts w:ascii="Arial" w:hAnsi="Arial" w:cs="Arial"/>
          <w:sz w:val="20"/>
          <w:szCs w:val="20"/>
        </w:rPr>
        <w:t xml:space="preserve">. GWAS in sorghum has uncovered novel loci linked to traits such as </w:t>
      </w:r>
      <w:r w:rsidRPr="002A7A4B">
        <w:rPr>
          <w:rStyle w:val="Strong"/>
          <w:rFonts w:ascii="Arial" w:hAnsi="Arial" w:cs="Arial"/>
          <w:sz w:val="20"/>
          <w:szCs w:val="20"/>
        </w:rPr>
        <w:t>photoperiod sensitivity</w:t>
      </w:r>
      <w:r w:rsidRPr="002A7A4B">
        <w:rPr>
          <w:rFonts w:ascii="Arial" w:hAnsi="Arial" w:cs="Arial"/>
          <w:sz w:val="20"/>
          <w:szCs w:val="20"/>
        </w:rPr>
        <w:t xml:space="preserve">, </w:t>
      </w:r>
      <w:r w:rsidRPr="002A7A4B">
        <w:rPr>
          <w:rStyle w:val="Strong"/>
          <w:rFonts w:ascii="Arial" w:hAnsi="Arial" w:cs="Arial"/>
          <w:sz w:val="20"/>
          <w:szCs w:val="20"/>
        </w:rPr>
        <w:t>panicle architecture</w:t>
      </w:r>
      <w:r w:rsidRPr="002A7A4B">
        <w:rPr>
          <w:rFonts w:ascii="Arial" w:hAnsi="Arial" w:cs="Arial"/>
          <w:sz w:val="20"/>
          <w:szCs w:val="20"/>
        </w:rPr>
        <w:t xml:space="preserve">, </w:t>
      </w:r>
      <w:r w:rsidRPr="002A7A4B">
        <w:rPr>
          <w:rStyle w:val="Strong"/>
          <w:rFonts w:ascii="Arial" w:hAnsi="Arial" w:cs="Arial"/>
          <w:sz w:val="20"/>
          <w:szCs w:val="20"/>
        </w:rPr>
        <w:t>grain micronutrient content</w:t>
      </w:r>
      <w:r w:rsidRPr="002A7A4B">
        <w:rPr>
          <w:rFonts w:ascii="Arial" w:hAnsi="Arial" w:cs="Arial"/>
          <w:sz w:val="20"/>
          <w:szCs w:val="20"/>
        </w:rPr>
        <w:t xml:space="preserve">, </w:t>
      </w:r>
      <w:r w:rsidRPr="002A7A4B">
        <w:rPr>
          <w:rStyle w:val="Strong"/>
          <w:rFonts w:ascii="Arial" w:hAnsi="Arial" w:cs="Arial"/>
          <w:sz w:val="20"/>
          <w:szCs w:val="20"/>
        </w:rPr>
        <w:t>starch composition</w:t>
      </w:r>
      <w:r w:rsidRPr="002A7A4B">
        <w:rPr>
          <w:rFonts w:ascii="Arial" w:hAnsi="Arial" w:cs="Arial"/>
          <w:sz w:val="20"/>
          <w:szCs w:val="20"/>
        </w:rPr>
        <w:t xml:space="preserve">, and </w:t>
      </w:r>
      <w:r w:rsidRPr="002A7A4B">
        <w:rPr>
          <w:rStyle w:val="Strong"/>
          <w:rFonts w:ascii="Arial" w:hAnsi="Arial" w:cs="Arial"/>
          <w:sz w:val="20"/>
          <w:szCs w:val="20"/>
        </w:rPr>
        <w:t>disease resistance</w:t>
      </w:r>
      <w:r w:rsidRPr="002A7A4B">
        <w:rPr>
          <w:rFonts w:ascii="Arial" w:hAnsi="Arial" w:cs="Arial"/>
          <w:sz w:val="20"/>
          <w:szCs w:val="20"/>
        </w:rPr>
        <w:t>. These studies have also provided insight into the population structure, linkage disequilibrium patterns, and adaptive differentiation within global sorghum germplasm.</w:t>
      </w:r>
      <w:r w:rsidR="00813828" w:rsidRPr="002A7A4B">
        <w:rPr>
          <w:rFonts w:ascii="Arial" w:hAnsi="Arial" w:cs="Arial"/>
          <w:sz w:val="20"/>
          <w:szCs w:val="20"/>
        </w:rPr>
        <w:t xml:space="preserve"> </w:t>
      </w:r>
      <w:r w:rsidRPr="002A7A4B">
        <w:rPr>
          <w:rFonts w:ascii="Arial" w:hAnsi="Arial" w:cs="Arial"/>
          <w:sz w:val="20"/>
          <w:szCs w:val="20"/>
        </w:rPr>
        <w:t xml:space="preserve">The availability of a high-quality reference genome and large-scale </w:t>
      </w:r>
      <w:r w:rsidRPr="002A7A4B">
        <w:rPr>
          <w:rFonts w:ascii="Arial" w:hAnsi="Arial" w:cs="Arial"/>
          <w:sz w:val="20"/>
          <w:szCs w:val="20"/>
        </w:rPr>
        <w:lastRenderedPageBreak/>
        <w:t>resequencing data has enhanced the power and accuracy of both QTL mapping and GWAS, enabling breeders to make informed decisions based on robust genetic evidence</w:t>
      </w:r>
      <w:r w:rsidR="0087630D" w:rsidRPr="002A7A4B">
        <w:rPr>
          <w:rFonts w:ascii="Arial" w:hAnsi="Arial" w:cs="Arial"/>
          <w:sz w:val="20"/>
          <w:szCs w:val="20"/>
        </w:rPr>
        <w:t xml:space="preserve"> </w:t>
      </w:r>
      <w:r w:rsidR="0087630D" w:rsidRPr="002A7A4B">
        <w:rPr>
          <w:rFonts w:ascii="Arial" w:hAnsi="Arial" w:cs="Arial"/>
          <w:b/>
          <w:bCs/>
          <w:sz w:val="20"/>
          <w:szCs w:val="20"/>
        </w:rPr>
        <w:t>(Pavan et al., 2020)</w:t>
      </w:r>
      <w:r w:rsidRPr="002A7A4B">
        <w:rPr>
          <w:rFonts w:ascii="Arial" w:hAnsi="Arial" w:cs="Arial"/>
          <w:sz w:val="20"/>
          <w:szCs w:val="20"/>
        </w:rPr>
        <w:t>.</w:t>
      </w:r>
    </w:p>
    <w:p w14:paraId="0558EA5A" w14:textId="4F3E239F" w:rsidR="00D206D6" w:rsidRPr="002A7A4B" w:rsidRDefault="00D206D6" w:rsidP="002A7A4B">
      <w:pPr>
        <w:pStyle w:val="Heading3"/>
        <w:jc w:val="both"/>
        <w:rPr>
          <w:rFonts w:ascii="Arial" w:hAnsi="Arial" w:cs="Arial"/>
          <w:sz w:val="20"/>
          <w:szCs w:val="20"/>
        </w:rPr>
      </w:pPr>
      <w:r w:rsidRPr="002A7A4B">
        <w:rPr>
          <w:rFonts w:ascii="Arial" w:hAnsi="Arial" w:cs="Arial"/>
          <w:sz w:val="20"/>
          <w:szCs w:val="20"/>
        </w:rPr>
        <w:t>7.3 CRISPR/Cas9 and Genome Editing Potential</w:t>
      </w:r>
    </w:p>
    <w:p w14:paraId="03F9BDF6" w14:textId="094BC8CD"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Recent advances in </w:t>
      </w:r>
      <w:r w:rsidRPr="002A7A4B">
        <w:rPr>
          <w:rStyle w:val="Strong"/>
          <w:rFonts w:ascii="Arial" w:hAnsi="Arial" w:cs="Arial"/>
          <w:sz w:val="20"/>
          <w:szCs w:val="20"/>
        </w:rPr>
        <w:t>genome editing technologies</w:t>
      </w:r>
      <w:r w:rsidRPr="002A7A4B">
        <w:rPr>
          <w:rFonts w:ascii="Arial" w:hAnsi="Arial" w:cs="Arial"/>
          <w:sz w:val="20"/>
          <w:szCs w:val="20"/>
        </w:rPr>
        <w:t>, particularly the CRISPR/Cas9 system, have opened new frontiers in sorghum improvement</w:t>
      </w:r>
      <w:r w:rsidR="0087630D" w:rsidRPr="002A7A4B">
        <w:rPr>
          <w:rFonts w:ascii="Arial" w:hAnsi="Arial" w:cs="Arial"/>
          <w:sz w:val="20"/>
          <w:szCs w:val="20"/>
        </w:rPr>
        <w:t xml:space="preserve"> </w:t>
      </w:r>
      <w:r w:rsidR="0087630D" w:rsidRPr="002A7A4B">
        <w:rPr>
          <w:rFonts w:ascii="Arial" w:hAnsi="Arial" w:cs="Arial"/>
          <w:b/>
          <w:bCs/>
          <w:sz w:val="20"/>
          <w:szCs w:val="20"/>
        </w:rPr>
        <w:t>(Nigam et al., 2025)</w:t>
      </w:r>
      <w:r w:rsidRPr="002A7A4B">
        <w:rPr>
          <w:rFonts w:ascii="Arial" w:hAnsi="Arial" w:cs="Arial"/>
          <w:sz w:val="20"/>
          <w:szCs w:val="20"/>
        </w:rPr>
        <w:t xml:space="preserve">. Unlike conventional breeding and transgenic approaches, genome editing allows for </w:t>
      </w:r>
      <w:r w:rsidRPr="002A7A4B">
        <w:rPr>
          <w:rStyle w:val="Strong"/>
          <w:rFonts w:ascii="Arial" w:hAnsi="Arial" w:cs="Arial"/>
          <w:sz w:val="20"/>
          <w:szCs w:val="20"/>
        </w:rPr>
        <w:t>precise, targeted modification of specific genes</w:t>
      </w:r>
      <w:r w:rsidRPr="002A7A4B">
        <w:rPr>
          <w:rFonts w:ascii="Arial" w:hAnsi="Arial" w:cs="Arial"/>
          <w:sz w:val="20"/>
          <w:szCs w:val="20"/>
        </w:rPr>
        <w:t xml:space="preserve"> without introducing foreign DNA. This makes it a valuable tool for developing improved varieties that meet regulatory and public acceptance standards.</w:t>
      </w:r>
      <w:r w:rsidR="00813828" w:rsidRPr="002A7A4B">
        <w:rPr>
          <w:rFonts w:ascii="Arial" w:hAnsi="Arial" w:cs="Arial"/>
          <w:sz w:val="20"/>
          <w:szCs w:val="20"/>
        </w:rPr>
        <w:t xml:space="preserve"> </w:t>
      </w:r>
      <w:r w:rsidRPr="002A7A4B">
        <w:rPr>
          <w:rFonts w:ascii="Arial" w:hAnsi="Arial" w:cs="Arial"/>
          <w:sz w:val="20"/>
          <w:szCs w:val="20"/>
        </w:rPr>
        <w:t xml:space="preserve">In sorghum, CRISPR/Cas9 has been successfully used to edit genes associated with </w:t>
      </w:r>
      <w:r w:rsidRPr="002A7A4B">
        <w:rPr>
          <w:rStyle w:val="Strong"/>
          <w:rFonts w:ascii="Arial" w:hAnsi="Arial" w:cs="Arial"/>
          <w:sz w:val="20"/>
          <w:szCs w:val="20"/>
        </w:rPr>
        <w:t>grain quality</w:t>
      </w:r>
      <w:r w:rsidRPr="002A7A4B">
        <w:rPr>
          <w:rFonts w:ascii="Arial" w:hAnsi="Arial" w:cs="Arial"/>
          <w:sz w:val="20"/>
          <w:szCs w:val="20"/>
        </w:rPr>
        <w:t xml:space="preserve">, </w:t>
      </w:r>
      <w:r w:rsidRPr="002A7A4B">
        <w:rPr>
          <w:rStyle w:val="Strong"/>
          <w:rFonts w:ascii="Arial" w:hAnsi="Arial" w:cs="Arial"/>
          <w:sz w:val="20"/>
          <w:szCs w:val="20"/>
        </w:rPr>
        <w:t>plant architecture</w:t>
      </w:r>
      <w:r w:rsidRPr="002A7A4B">
        <w:rPr>
          <w:rFonts w:ascii="Arial" w:hAnsi="Arial" w:cs="Arial"/>
          <w:sz w:val="20"/>
          <w:szCs w:val="20"/>
        </w:rPr>
        <w:t xml:space="preserve">, and </w:t>
      </w:r>
      <w:r w:rsidRPr="002A7A4B">
        <w:rPr>
          <w:rStyle w:val="Strong"/>
          <w:rFonts w:ascii="Arial" w:hAnsi="Arial" w:cs="Arial"/>
          <w:sz w:val="20"/>
          <w:szCs w:val="20"/>
        </w:rPr>
        <w:t>disease resistance</w:t>
      </w:r>
      <w:r w:rsidRPr="002A7A4B">
        <w:rPr>
          <w:rFonts w:ascii="Arial" w:hAnsi="Arial" w:cs="Arial"/>
          <w:sz w:val="20"/>
          <w:szCs w:val="20"/>
        </w:rPr>
        <w:t xml:space="preserve">. For example, editing of </w:t>
      </w:r>
      <w:proofErr w:type="spellStart"/>
      <w:r w:rsidRPr="002A7A4B">
        <w:rPr>
          <w:rFonts w:ascii="Arial" w:hAnsi="Arial" w:cs="Arial"/>
          <w:sz w:val="20"/>
          <w:szCs w:val="20"/>
        </w:rPr>
        <w:t>kafirin</w:t>
      </w:r>
      <w:proofErr w:type="spellEnd"/>
      <w:r w:rsidRPr="002A7A4B">
        <w:rPr>
          <w:rFonts w:ascii="Arial" w:hAnsi="Arial" w:cs="Arial"/>
          <w:sz w:val="20"/>
          <w:szCs w:val="20"/>
        </w:rPr>
        <w:t xml:space="preserve"> genes has led to improved protein digestibility by disrupting the protein body matrix. Similarly, modification of genes involved in lignin biosynthesis has been explored to enhance the digestibility of biomass for biofuel applications.</w:t>
      </w:r>
      <w:r w:rsidR="00813828" w:rsidRPr="002A7A4B">
        <w:rPr>
          <w:rFonts w:ascii="Arial" w:hAnsi="Arial" w:cs="Arial"/>
          <w:sz w:val="20"/>
          <w:szCs w:val="20"/>
        </w:rPr>
        <w:t xml:space="preserve"> </w:t>
      </w:r>
      <w:r w:rsidRPr="002A7A4B">
        <w:rPr>
          <w:rFonts w:ascii="Arial" w:hAnsi="Arial" w:cs="Arial"/>
          <w:sz w:val="20"/>
          <w:szCs w:val="20"/>
        </w:rPr>
        <w:t>The potential of CRISPR extends to functional validation of candidate genes identified through QTL mapping and GWAS. By knocking out or modifying specific gene sequences, researchers can confirm gene-trait relationships and accelerate the translation of genomic knowledge into tangible breeding outcomes</w:t>
      </w:r>
      <w:r w:rsidR="0087630D" w:rsidRPr="002A7A4B">
        <w:rPr>
          <w:rFonts w:ascii="Arial" w:hAnsi="Arial" w:cs="Arial"/>
          <w:sz w:val="20"/>
          <w:szCs w:val="20"/>
        </w:rPr>
        <w:t xml:space="preserve"> </w:t>
      </w:r>
      <w:r w:rsidR="0087630D" w:rsidRPr="002A7A4B">
        <w:rPr>
          <w:rFonts w:ascii="Arial" w:hAnsi="Arial" w:cs="Arial"/>
          <w:b/>
          <w:bCs/>
          <w:sz w:val="20"/>
          <w:szCs w:val="20"/>
        </w:rPr>
        <w:t>(Bhati &amp; Joshi, 2024)</w:t>
      </w:r>
      <w:r w:rsidRPr="002A7A4B">
        <w:rPr>
          <w:rFonts w:ascii="Arial" w:hAnsi="Arial" w:cs="Arial"/>
          <w:sz w:val="20"/>
          <w:szCs w:val="20"/>
        </w:rPr>
        <w:t>. Ongoing efforts focus on improving editing efficiency, transformation protocols, and regulatory approval to facilitate the broader adoption of this technology in sorghum breeding programs.</w:t>
      </w:r>
    </w:p>
    <w:p w14:paraId="1EF92D1C" w14:textId="3C4317B2" w:rsidR="00D206D6" w:rsidRPr="002A7A4B" w:rsidRDefault="00D206D6" w:rsidP="002A7A4B">
      <w:pPr>
        <w:pStyle w:val="Heading3"/>
        <w:jc w:val="both"/>
        <w:rPr>
          <w:rFonts w:ascii="Arial" w:hAnsi="Arial" w:cs="Arial"/>
          <w:sz w:val="20"/>
          <w:szCs w:val="20"/>
        </w:rPr>
      </w:pPr>
      <w:r w:rsidRPr="002A7A4B">
        <w:rPr>
          <w:rFonts w:ascii="Arial" w:hAnsi="Arial" w:cs="Arial"/>
          <w:sz w:val="20"/>
          <w:szCs w:val="20"/>
        </w:rPr>
        <w:t>7.4 Integration of Omics Approaches in Sorghum Breeding</w:t>
      </w:r>
    </w:p>
    <w:p w14:paraId="4C9D1E0E" w14:textId="6B8600E9" w:rsidR="00D206D6" w:rsidRPr="002A7A4B" w:rsidRDefault="00D206D6" w:rsidP="002A7A4B">
      <w:pPr>
        <w:pStyle w:val="NormalWeb"/>
        <w:jc w:val="both"/>
        <w:rPr>
          <w:rFonts w:ascii="Arial" w:hAnsi="Arial" w:cs="Arial"/>
          <w:sz w:val="20"/>
          <w:szCs w:val="20"/>
        </w:rPr>
      </w:pPr>
      <w:r w:rsidRPr="002A7A4B">
        <w:rPr>
          <w:rFonts w:ascii="Arial" w:hAnsi="Arial" w:cs="Arial"/>
          <w:sz w:val="20"/>
          <w:szCs w:val="20"/>
        </w:rPr>
        <w:t xml:space="preserve">The convergence of </w:t>
      </w:r>
      <w:r w:rsidRPr="003429C2">
        <w:rPr>
          <w:rStyle w:val="Strong"/>
          <w:rFonts w:ascii="Arial" w:hAnsi="Arial" w:cs="Arial"/>
          <w:b w:val="0"/>
          <w:sz w:val="20"/>
          <w:szCs w:val="20"/>
        </w:rPr>
        <w:t>multi-omics platforms</w:t>
      </w:r>
      <w:r w:rsidRPr="002A7A4B">
        <w:rPr>
          <w:rFonts w:ascii="Arial" w:hAnsi="Arial" w:cs="Arial"/>
          <w:sz w:val="20"/>
          <w:szCs w:val="20"/>
        </w:rPr>
        <w:t xml:space="preserve">—including </w:t>
      </w:r>
      <w:r w:rsidRPr="003429C2">
        <w:rPr>
          <w:rStyle w:val="Strong"/>
          <w:rFonts w:ascii="Arial" w:hAnsi="Arial" w:cs="Arial"/>
          <w:b w:val="0"/>
          <w:sz w:val="20"/>
          <w:szCs w:val="20"/>
        </w:rPr>
        <w:t>genomics, transcriptomics, proteomics,</w:t>
      </w:r>
      <w:r w:rsidRPr="002A7A4B">
        <w:rPr>
          <w:rStyle w:val="Strong"/>
          <w:rFonts w:ascii="Arial" w:hAnsi="Arial" w:cs="Arial"/>
          <w:sz w:val="20"/>
          <w:szCs w:val="20"/>
        </w:rPr>
        <w:t xml:space="preserve"> </w:t>
      </w:r>
      <w:r w:rsidRPr="003429C2">
        <w:rPr>
          <w:rStyle w:val="Strong"/>
          <w:rFonts w:ascii="Arial" w:hAnsi="Arial" w:cs="Arial"/>
          <w:b w:val="0"/>
          <w:sz w:val="20"/>
          <w:szCs w:val="20"/>
        </w:rPr>
        <w:t>and metabolomics</w:t>
      </w:r>
      <w:r w:rsidRPr="003429C2">
        <w:rPr>
          <w:rFonts w:ascii="Arial" w:hAnsi="Arial" w:cs="Arial"/>
          <w:b/>
          <w:sz w:val="20"/>
          <w:szCs w:val="20"/>
        </w:rPr>
        <w:t>—</w:t>
      </w:r>
      <w:r w:rsidRPr="002A7A4B">
        <w:rPr>
          <w:rFonts w:ascii="Arial" w:hAnsi="Arial" w:cs="Arial"/>
          <w:sz w:val="20"/>
          <w:szCs w:val="20"/>
        </w:rPr>
        <w:t>has revolutionized the understanding of sorghum biology at a systems level</w:t>
      </w:r>
      <w:r w:rsidR="0087630D" w:rsidRPr="002A7A4B">
        <w:rPr>
          <w:rFonts w:ascii="Arial" w:hAnsi="Arial" w:cs="Arial"/>
          <w:b/>
          <w:bCs/>
          <w:sz w:val="20"/>
          <w:szCs w:val="20"/>
        </w:rPr>
        <w:t xml:space="preserve"> </w:t>
      </w:r>
      <w:r w:rsidR="0087630D" w:rsidRPr="003429C2">
        <w:rPr>
          <w:rFonts w:ascii="Arial" w:hAnsi="Arial" w:cs="Arial"/>
          <w:bCs/>
          <w:sz w:val="20"/>
          <w:szCs w:val="20"/>
        </w:rPr>
        <w:t>(Roychowdhury et al., 2023)</w:t>
      </w:r>
      <w:r w:rsidRPr="003429C2">
        <w:rPr>
          <w:rFonts w:ascii="Arial" w:hAnsi="Arial" w:cs="Arial"/>
          <w:sz w:val="20"/>
          <w:szCs w:val="20"/>
        </w:rPr>
        <w:t>.</w:t>
      </w:r>
      <w:r w:rsidRPr="002A7A4B">
        <w:rPr>
          <w:rFonts w:ascii="Arial" w:hAnsi="Arial" w:cs="Arial"/>
          <w:sz w:val="20"/>
          <w:szCs w:val="20"/>
        </w:rPr>
        <w:t xml:space="preserve"> These approaches enable comprehensive analysis of gene expression, protein interactions, and metabolic pathways under varying environmental and developmental conditions.</w:t>
      </w:r>
      <w:r w:rsidR="00813828" w:rsidRPr="002A7A4B">
        <w:rPr>
          <w:rFonts w:ascii="Arial" w:hAnsi="Arial" w:cs="Arial"/>
          <w:sz w:val="20"/>
          <w:szCs w:val="20"/>
        </w:rPr>
        <w:t xml:space="preserve"> </w:t>
      </w:r>
      <w:r w:rsidRPr="003429C2">
        <w:rPr>
          <w:rStyle w:val="Strong"/>
          <w:rFonts w:ascii="Arial" w:hAnsi="Arial" w:cs="Arial"/>
          <w:b w:val="0"/>
          <w:sz w:val="20"/>
          <w:szCs w:val="20"/>
        </w:rPr>
        <w:t>Transcriptomics</w:t>
      </w:r>
      <w:r w:rsidRPr="002A7A4B">
        <w:rPr>
          <w:rFonts w:ascii="Arial" w:hAnsi="Arial" w:cs="Arial"/>
          <w:sz w:val="20"/>
          <w:szCs w:val="20"/>
        </w:rPr>
        <w:t xml:space="preserve"> provides insights into the gene expression patterns associated with stress tolerance, flowering time regulation, nutrient metabolism, and pathogen </w:t>
      </w:r>
      <w:proofErr w:type="spellStart"/>
      <w:r w:rsidRPr="002A7A4B">
        <w:rPr>
          <w:rFonts w:ascii="Arial" w:hAnsi="Arial" w:cs="Arial"/>
          <w:sz w:val="20"/>
          <w:szCs w:val="20"/>
        </w:rPr>
        <w:t>defense</w:t>
      </w:r>
      <w:proofErr w:type="spellEnd"/>
      <w:r w:rsidRPr="002A7A4B">
        <w:rPr>
          <w:rFonts w:ascii="Arial" w:hAnsi="Arial" w:cs="Arial"/>
          <w:sz w:val="20"/>
          <w:szCs w:val="20"/>
        </w:rPr>
        <w:t>. RNA sequencing (RNA-</w:t>
      </w:r>
      <w:proofErr w:type="spellStart"/>
      <w:r w:rsidRPr="002A7A4B">
        <w:rPr>
          <w:rFonts w:ascii="Arial" w:hAnsi="Arial" w:cs="Arial"/>
          <w:sz w:val="20"/>
          <w:szCs w:val="20"/>
        </w:rPr>
        <w:t>Seq</w:t>
      </w:r>
      <w:proofErr w:type="spellEnd"/>
      <w:r w:rsidRPr="002A7A4B">
        <w:rPr>
          <w:rFonts w:ascii="Arial" w:hAnsi="Arial" w:cs="Arial"/>
          <w:sz w:val="20"/>
          <w:szCs w:val="20"/>
        </w:rPr>
        <w:t>) technologies are being used to identify stress-responsive genes, alternative splicing events, and transcriptional regulators that govern complex traits</w:t>
      </w:r>
      <w:r w:rsidR="0087630D" w:rsidRPr="002A7A4B">
        <w:rPr>
          <w:rFonts w:ascii="Arial" w:hAnsi="Arial" w:cs="Arial"/>
          <w:sz w:val="20"/>
          <w:szCs w:val="20"/>
        </w:rPr>
        <w:t xml:space="preserve"> </w:t>
      </w:r>
      <w:r w:rsidR="0087630D" w:rsidRPr="003429C2">
        <w:rPr>
          <w:rFonts w:ascii="Arial" w:hAnsi="Arial" w:cs="Arial"/>
          <w:bCs/>
          <w:sz w:val="20"/>
          <w:szCs w:val="20"/>
        </w:rPr>
        <w:t>(Mastrangelo et al., 2012)</w:t>
      </w:r>
      <w:r w:rsidRPr="003429C2">
        <w:rPr>
          <w:rFonts w:ascii="Arial" w:hAnsi="Arial" w:cs="Arial"/>
          <w:sz w:val="20"/>
          <w:szCs w:val="20"/>
        </w:rPr>
        <w:t>.</w:t>
      </w:r>
    </w:p>
    <w:p w14:paraId="2C6777DD" w14:textId="582DAE5C" w:rsidR="00474EFA" w:rsidRPr="003429C2" w:rsidRDefault="00D206D6" w:rsidP="002A7A4B">
      <w:pPr>
        <w:pStyle w:val="NormalWeb"/>
        <w:ind w:firstLine="720"/>
        <w:jc w:val="both"/>
        <w:rPr>
          <w:rFonts w:ascii="Arial" w:hAnsi="Arial" w:cs="Arial"/>
          <w:sz w:val="20"/>
          <w:szCs w:val="20"/>
        </w:rPr>
        <w:sectPr w:rsidR="00474EFA" w:rsidRPr="003429C2" w:rsidSect="008A43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803" w:header="708" w:footer="708" w:gutter="0"/>
          <w:cols w:space="708"/>
          <w:docGrid w:linePitch="360"/>
        </w:sectPr>
      </w:pPr>
      <w:r w:rsidRPr="003429C2">
        <w:rPr>
          <w:rStyle w:val="Strong"/>
          <w:rFonts w:ascii="Arial" w:hAnsi="Arial" w:cs="Arial"/>
          <w:b w:val="0"/>
          <w:sz w:val="20"/>
          <w:szCs w:val="20"/>
        </w:rPr>
        <w:t>Proteomics</w:t>
      </w:r>
      <w:r w:rsidRPr="003429C2">
        <w:rPr>
          <w:rFonts w:ascii="Arial" w:hAnsi="Arial" w:cs="Arial"/>
          <w:sz w:val="20"/>
          <w:szCs w:val="20"/>
        </w:rPr>
        <w:t xml:space="preserve"> and </w:t>
      </w:r>
      <w:r w:rsidRPr="003429C2">
        <w:rPr>
          <w:rStyle w:val="Strong"/>
          <w:rFonts w:ascii="Arial" w:hAnsi="Arial" w:cs="Arial"/>
          <w:b w:val="0"/>
          <w:sz w:val="20"/>
          <w:szCs w:val="20"/>
        </w:rPr>
        <w:t>metabolomics</w:t>
      </w:r>
      <w:r w:rsidRPr="003429C2">
        <w:rPr>
          <w:rFonts w:ascii="Arial" w:hAnsi="Arial" w:cs="Arial"/>
          <w:sz w:val="20"/>
          <w:szCs w:val="20"/>
        </w:rPr>
        <w:t xml:space="preserve"> reveal post-translational modifications and biochemical profiles that affect trait manifestation</w:t>
      </w:r>
      <w:r w:rsidR="0087630D" w:rsidRPr="003429C2">
        <w:rPr>
          <w:rFonts w:ascii="Arial" w:hAnsi="Arial" w:cs="Arial"/>
          <w:sz w:val="20"/>
          <w:szCs w:val="20"/>
        </w:rPr>
        <w:t xml:space="preserve"> </w:t>
      </w:r>
      <w:r w:rsidR="0087630D" w:rsidRPr="003429C2">
        <w:rPr>
          <w:rFonts w:ascii="Arial" w:hAnsi="Arial" w:cs="Arial"/>
          <w:bCs/>
          <w:sz w:val="20"/>
          <w:szCs w:val="20"/>
        </w:rPr>
        <w:t>(Satrio et al., 2024)</w:t>
      </w:r>
      <w:r w:rsidRPr="003429C2">
        <w:rPr>
          <w:rFonts w:ascii="Arial" w:hAnsi="Arial" w:cs="Arial"/>
          <w:sz w:val="20"/>
          <w:szCs w:val="20"/>
        </w:rPr>
        <w:t>. In drought-tolerant sorghum lines, for instance, differential accumulation of stress-related proteins and metabolites such as proline, betaine, and antioxidants has been observed. These findings contribute to the identification of biomarkers and candidate genes that can be incorporated into breeding strategies.</w:t>
      </w:r>
      <w:r w:rsidR="00813828" w:rsidRPr="003429C2">
        <w:rPr>
          <w:rFonts w:ascii="Arial" w:hAnsi="Arial" w:cs="Arial"/>
          <w:sz w:val="20"/>
          <w:szCs w:val="20"/>
        </w:rPr>
        <w:t xml:space="preserve"> </w:t>
      </w:r>
      <w:r w:rsidRPr="003429C2">
        <w:rPr>
          <w:rFonts w:ascii="Arial" w:hAnsi="Arial" w:cs="Arial"/>
          <w:sz w:val="20"/>
          <w:szCs w:val="20"/>
        </w:rPr>
        <w:t xml:space="preserve">The integration of omics data through </w:t>
      </w:r>
      <w:r w:rsidRPr="003429C2">
        <w:rPr>
          <w:rStyle w:val="Strong"/>
          <w:rFonts w:ascii="Arial" w:hAnsi="Arial" w:cs="Arial"/>
          <w:b w:val="0"/>
          <w:sz w:val="20"/>
          <w:szCs w:val="20"/>
        </w:rPr>
        <w:t>systems biology and machine learning</w:t>
      </w:r>
      <w:r w:rsidRPr="003429C2">
        <w:rPr>
          <w:rFonts w:ascii="Arial" w:hAnsi="Arial" w:cs="Arial"/>
          <w:sz w:val="20"/>
          <w:szCs w:val="20"/>
        </w:rPr>
        <w:t xml:space="preserve"> models offers the potential to predict trait performance and gene interactions under multiple stress scenarios. This holistic approach supports the development of ideotypes—plant models with optimal trait combinations—for specific </w:t>
      </w:r>
      <w:proofErr w:type="spellStart"/>
      <w:r w:rsidRPr="003429C2">
        <w:rPr>
          <w:rFonts w:ascii="Arial" w:hAnsi="Arial" w:cs="Arial"/>
          <w:sz w:val="20"/>
          <w:szCs w:val="20"/>
        </w:rPr>
        <w:t>agro</w:t>
      </w:r>
      <w:proofErr w:type="spellEnd"/>
      <w:r w:rsidRPr="003429C2">
        <w:rPr>
          <w:rFonts w:ascii="Arial" w:hAnsi="Arial" w:cs="Arial"/>
          <w:sz w:val="20"/>
          <w:szCs w:val="20"/>
        </w:rPr>
        <w:t>-climatic zones. Additionally, digital breeding tools and high-throughput phenotyping platforms are bridging the gap between genotype and phenotype, making it easier to link genomic data with observable plant traits. Remote sensing, image analysis, and sensor-based measurements allow real-time monitoring of physiological parameters such as canopy temperature, chlorophyll fluorescence, and growth dynamics.</w:t>
      </w:r>
    </w:p>
    <w:p w14:paraId="03266C30" w14:textId="77777777" w:rsidR="00474EFA" w:rsidRDefault="00474EFA" w:rsidP="002A7A4B">
      <w:pPr>
        <w:pStyle w:val="NoSpacing"/>
        <w:ind w:left="0"/>
        <w:jc w:val="center"/>
        <w:rPr>
          <w:rStyle w:val="Strong"/>
          <w:rFonts w:ascii="Arial" w:hAnsi="Arial" w:cs="Arial"/>
          <w:bCs w:val="0"/>
          <w:sz w:val="20"/>
        </w:rPr>
      </w:pPr>
      <w:r w:rsidRPr="00BE1B66">
        <w:rPr>
          <w:rStyle w:val="Strong"/>
          <w:rFonts w:ascii="Arial" w:hAnsi="Arial" w:cs="Arial"/>
          <w:sz w:val="20"/>
        </w:rPr>
        <w:lastRenderedPageBreak/>
        <w:t>Table</w:t>
      </w:r>
      <w:r>
        <w:rPr>
          <w:rStyle w:val="Strong"/>
          <w:rFonts w:ascii="Arial" w:hAnsi="Arial" w:cs="Arial"/>
          <w:bCs w:val="0"/>
          <w:sz w:val="20"/>
        </w:rPr>
        <w:t xml:space="preserve"> 1</w:t>
      </w:r>
      <w:r w:rsidRPr="00BE1B66">
        <w:rPr>
          <w:rStyle w:val="Strong"/>
          <w:rFonts w:ascii="Arial" w:hAnsi="Arial" w:cs="Arial"/>
          <w:sz w:val="20"/>
        </w:rPr>
        <w:t>: Summary of Major Traits, Stresses, and Breeding Strategies in Sorghum Improvement</w:t>
      </w:r>
    </w:p>
    <w:p w14:paraId="74110EC7" w14:textId="77777777" w:rsidR="00474EFA" w:rsidRDefault="00474EFA" w:rsidP="002A7A4B">
      <w:pPr>
        <w:pStyle w:val="NoSpacing"/>
        <w:ind w:left="0"/>
        <w:jc w:val="center"/>
        <w:rPr>
          <w:rFonts w:ascii="Arial" w:hAnsi="Arial" w:cs="Arial"/>
          <w:b/>
          <w:sz w:val="20"/>
        </w:rPr>
      </w:pPr>
    </w:p>
    <w:tbl>
      <w:tblPr>
        <w:tblStyle w:val="TableGrid"/>
        <w:tblW w:w="14420" w:type="dxa"/>
        <w:jc w:val="center"/>
        <w:tblLook w:val="04A0" w:firstRow="1" w:lastRow="0" w:firstColumn="1" w:lastColumn="0" w:noHBand="0" w:noVBand="1"/>
      </w:tblPr>
      <w:tblGrid>
        <w:gridCol w:w="2269"/>
        <w:gridCol w:w="1848"/>
        <w:gridCol w:w="2842"/>
        <w:gridCol w:w="3553"/>
        <w:gridCol w:w="3908"/>
      </w:tblGrid>
      <w:tr w:rsidR="00474EFA" w:rsidRPr="00BE1B66" w14:paraId="7A448B05" w14:textId="77777777" w:rsidTr="00474EFA">
        <w:trPr>
          <w:trHeight w:val="114"/>
          <w:jc w:val="center"/>
        </w:trPr>
        <w:tc>
          <w:tcPr>
            <w:tcW w:w="2269" w:type="dxa"/>
            <w:vAlign w:val="center"/>
          </w:tcPr>
          <w:p w14:paraId="4D70E1FA" w14:textId="77777777" w:rsidR="00474EFA" w:rsidRPr="00BE1B66" w:rsidRDefault="00474EFA" w:rsidP="002A7A4B">
            <w:pPr>
              <w:pStyle w:val="NoSpacing"/>
              <w:ind w:left="0"/>
              <w:jc w:val="center"/>
              <w:rPr>
                <w:rFonts w:ascii="Arial" w:hAnsi="Arial" w:cs="Arial"/>
                <w:b/>
                <w:sz w:val="20"/>
                <w:szCs w:val="20"/>
              </w:rPr>
            </w:pPr>
            <w:r w:rsidRPr="00BE1B66">
              <w:rPr>
                <w:rStyle w:val="Strong"/>
                <w:rFonts w:ascii="Arial" w:hAnsi="Arial" w:cs="Arial"/>
                <w:sz w:val="20"/>
                <w:szCs w:val="20"/>
              </w:rPr>
              <w:t>Trait / Challenge</w:t>
            </w:r>
          </w:p>
        </w:tc>
        <w:tc>
          <w:tcPr>
            <w:tcW w:w="1848" w:type="dxa"/>
            <w:vAlign w:val="center"/>
          </w:tcPr>
          <w:p w14:paraId="7E9A2422" w14:textId="77777777" w:rsidR="00474EFA" w:rsidRPr="00BE1B66" w:rsidRDefault="00474EFA" w:rsidP="002A7A4B">
            <w:pPr>
              <w:pStyle w:val="NoSpacing"/>
              <w:ind w:left="0"/>
              <w:jc w:val="center"/>
              <w:rPr>
                <w:rFonts w:ascii="Arial" w:hAnsi="Arial" w:cs="Arial"/>
                <w:b/>
                <w:sz w:val="20"/>
                <w:szCs w:val="20"/>
              </w:rPr>
            </w:pPr>
            <w:r w:rsidRPr="00BE1B66">
              <w:rPr>
                <w:rStyle w:val="Strong"/>
                <w:rFonts w:ascii="Arial" w:hAnsi="Arial" w:cs="Arial"/>
                <w:sz w:val="20"/>
                <w:szCs w:val="20"/>
              </w:rPr>
              <w:t>Stress Type</w:t>
            </w:r>
          </w:p>
        </w:tc>
        <w:tc>
          <w:tcPr>
            <w:tcW w:w="2842" w:type="dxa"/>
            <w:vAlign w:val="center"/>
          </w:tcPr>
          <w:p w14:paraId="7A693744" w14:textId="77777777" w:rsidR="00474EFA" w:rsidRPr="00BE1B66" w:rsidRDefault="00474EFA" w:rsidP="002A7A4B">
            <w:pPr>
              <w:pStyle w:val="NoSpacing"/>
              <w:ind w:left="0"/>
              <w:jc w:val="center"/>
              <w:rPr>
                <w:rFonts w:ascii="Arial" w:hAnsi="Arial" w:cs="Arial"/>
                <w:b/>
                <w:sz w:val="20"/>
                <w:szCs w:val="20"/>
              </w:rPr>
            </w:pPr>
            <w:r w:rsidRPr="00BE1B66">
              <w:rPr>
                <w:rStyle w:val="Strong"/>
                <w:rFonts w:ascii="Arial" w:hAnsi="Arial" w:cs="Arial"/>
                <w:sz w:val="20"/>
                <w:szCs w:val="20"/>
              </w:rPr>
              <w:t>Breeding Target</w:t>
            </w:r>
          </w:p>
        </w:tc>
        <w:tc>
          <w:tcPr>
            <w:tcW w:w="3553" w:type="dxa"/>
            <w:vAlign w:val="center"/>
          </w:tcPr>
          <w:p w14:paraId="317A22EA" w14:textId="77777777" w:rsidR="00474EFA" w:rsidRPr="00BE1B66" w:rsidRDefault="00474EFA" w:rsidP="002A7A4B">
            <w:pPr>
              <w:pStyle w:val="NoSpacing"/>
              <w:ind w:left="0"/>
              <w:jc w:val="center"/>
              <w:rPr>
                <w:rFonts w:ascii="Arial" w:hAnsi="Arial" w:cs="Arial"/>
                <w:b/>
                <w:sz w:val="20"/>
                <w:szCs w:val="20"/>
              </w:rPr>
            </w:pPr>
            <w:r w:rsidRPr="00BE1B66">
              <w:rPr>
                <w:rStyle w:val="Strong"/>
                <w:rFonts w:ascii="Arial" w:hAnsi="Arial" w:cs="Arial"/>
                <w:sz w:val="20"/>
                <w:szCs w:val="20"/>
              </w:rPr>
              <w:t>Breeding Strategy</w:t>
            </w:r>
          </w:p>
        </w:tc>
        <w:tc>
          <w:tcPr>
            <w:tcW w:w="3908" w:type="dxa"/>
            <w:vAlign w:val="center"/>
          </w:tcPr>
          <w:p w14:paraId="359A448C" w14:textId="77777777" w:rsidR="00474EFA" w:rsidRPr="00BE1B66" w:rsidRDefault="00474EFA" w:rsidP="002A7A4B">
            <w:pPr>
              <w:pStyle w:val="NoSpacing"/>
              <w:ind w:left="0"/>
              <w:jc w:val="center"/>
              <w:rPr>
                <w:rFonts w:ascii="Arial" w:hAnsi="Arial" w:cs="Arial"/>
                <w:b/>
                <w:sz w:val="20"/>
                <w:szCs w:val="20"/>
              </w:rPr>
            </w:pPr>
            <w:r w:rsidRPr="00BE1B66">
              <w:rPr>
                <w:rStyle w:val="Strong"/>
                <w:rFonts w:ascii="Arial" w:hAnsi="Arial" w:cs="Arial"/>
                <w:sz w:val="20"/>
                <w:szCs w:val="20"/>
              </w:rPr>
              <w:t>Genomic Tools / Notes</w:t>
            </w:r>
          </w:p>
        </w:tc>
      </w:tr>
      <w:tr w:rsidR="00474EFA" w:rsidRPr="00BE1B66" w14:paraId="62B8EE08" w14:textId="77777777" w:rsidTr="00474EFA">
        <w:trPr>
          <w:trHeight w:val="227"/>
          <w:jc w:val="center"/>
        </w:trPr>
        <w:tc>
          <w:tcPr>
            <w:tcW w:w="2269" w:type="dxa"/>
            <w:vAlign w:val="center"/>
          </w:tcPr>
          <w:p w14:paraId="329628B1"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Grain Yield</w:t>
            </w:r>
          </w:p>
        </w:tc>
        <w:tc>
          <w:tcPr>
            <w:tcW w:w="1848" w:type="dxa"/>
            <w:vAlign w:val="center"/>
          </w:tcPr>
          <w:p w14:paraId="45A3DB1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Combined</w:t>
            </w:r>
          </w:p>
        </w:tc>
        <w:tc>
          <w:tcPr>
            <w:tcW w:w="2842" w:type="dxa"/>
            <w:vAlign w:val="center"/>
          </w:tcPr>
          <w:p w14:paraId="3A195541"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High-yielding, stable performance</w:t>
            </w:r>
          </w:p>
        </w:tc>
        <w:tc>
          <w:tcPr>
            <w:tcW w:w="3553" w:type="dxa"/>
            <w:vAlign w:val="center"/>
          </w:tcPr>
          <w:p w14:paraId="78E86C29"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Hybrid breeding, recurrent selection</w:t>
            </w:r>
          </w:p>
        </w:tc>
        <w:tc>
          <w:tcPr>
            <w:tcW w:w="3908" w:type="dxa"/>
            <w:vAlign w:val="center"/>
          </w:tcPr>
          <w:p w14:paraId="078A610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Heterosis exploitation, combining ability analysis</w:t>
            </w:r>
          </w:p>
        </w:tc>
      </w:tr>
      <w:tr w:rsidR="00474EFA" w:rsidRPr="00BE1B66" w14:paraId="6826FF0B" w14:textId="77777777" w:rsidTr="00474EFA">
        <w:trPr>
          <w:trHeight w:val="229"/>
          <w:jc w:val="center"/>
        </w:trPr>
        <w:tc>
          <w:tcPr>
            <w:tcW w:w="2269" w:type="dxa"/>
            <w:vAlign w:val="center"/>
          </w:tcPr>
          <w:p w14:paraId="6B90945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Drought Tolerance</w:t>
            </w:r>
          </w:p>
        </w:tc>
        <w:tc>
          <w:tcPr>
            <w:tcW w:w="1848" w:type="dxa"/>
            <w:vAlign w:val="center"/>
          </w:tcPr>
          <w:p w14:paraId="24982CAB"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Abiotic</w:t>
            </w:r>
          </w:p>
        </w:tc>
        <w:tc>
          <w:tcPr>
            <w:tcW w:w="2842" w:type="dxa"/>
            <w:vAlign w:val="center"/>
          </w:tcPr>
          <w:p w14:paraId="7CF66C3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Stay-green, transpiration efficiency, deep roots</w:t>
            </w:r>
          </w:p>
        </w:tc>
        <w:tc>
          <w:tcPr>
            <w:tcW w:w="3553" w:type="dxa"/>
            <w:vAlign w:val="center"/>
          </w:tcPr>
          <w:p w14:paraId="14A280DB"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Physiological trait selection, backcrossing</w:t>
            </w:r>
          </w:p>
        </w:tc>
        <w:tc>
          <w:tcPr>
            <w:tcW w:w="3908" w:type="dxa"/>
            <w:vAlign w:val="center"/>
          </w:tcPr>
          <w:p w14:paraId="3936033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 xml:space="preserve">QTLs: </w:t>
            </w:r>
            <w:r w:rsidRPr="00BE1B66">
              <w:rPr>
                <w:rStyle w:val="Emphasis"/>
                <w:rFonts w:ascii="Arial" w:hAnsi="Arial" w:cs="Arial"/>
                <w:sz w:val="20"/>
                <w:szCs w:val="20"/>
              </w:rPr>
              <w:t>Stg1–Stg4</w:t>
            </w:r>
            <w:r w:rsidRPr="00BE1B66">
              <w:rPr>
                <w:rFonts w:ascii="Arial" w:hAnsi="Arial" w:cs="Arial"/>
                <w:sz w:val="20"/>
                <w:szCs w:val="20"/>
              </w:rPr>
              <w:t>, MAS, genomic selection</w:t>
            </w:r>
          </w:p>
        </w:tc>
      </w:tr>
      <w:tr w:rsidR="00474EFA" w:rsidRPr="00BE1B66" w14:paraId="113D71D4" w14:textId="77777777" w:rsidTr="00474EFA">
        <w:trPr>
          <w:trHeight w:val="284"/>
          <w:jc w:val="center"/>
        </w:trPr>
        <w:tc>
          <w:tcPr>
            <w:tcW w:w="2269" w:type="dxa"/>
            <w:vAlign w:val="center"/>
          </w:tcPr>
          <w:p w14:paraId="3B133891"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Heat Tolerance</w:t>
            </w:r>
          </w:p>
        </w:tc>
        <w:tc>
          <w:tcPr>
            <w:tcW w:w="1848" w:type="dxa"/>
            <w:vAlign w:val="center"/>
          </w:tcPr>
          <w:p w14:paraId="6B6DD7E8"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Abiotic</w:t>
            </w:r>
          </w:p>
        </w:tc>
        <w:tc>
          <w:tcPr>
            <w:tcW w:w="2842" w:type="dxa"/>
            <w:vAlign w:val="center"/>
          </w:tcPr>
          <w:p w14:paraId="7000D930"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Membrane stability, pollen fertility</w:t>
            </w:r>
          </w:p>
        </w:tc>
        <w:tc>
          <w:tcPr>
            <w:tcW w:w="3553" w:type="dxa"/>
            <w:vAlign w:val="center"/>
          </w:tcPr>
          <w:p w14:paraId="6B98F4A8"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Screening in hot-spot zones, selection of tolerant lines</w:t>
            </w:r>
          </w:p>
        </w:tc>
        <w:tc>
          <w:tcPr>
            <w:tcW w:w="3908" w:type="dxa"/>
            <w:vAlign w:val="center"/>
          </w:tcPr>
          <w:p w14:paraId="65EEB25C"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GWAS, QTLs for canopy temperature, heat shock protein markers</w:t>
            </w:r>
          </w:p>
        </w:tc>
      </w:tr>
      <w:tr w:rsidR="00474EFA" w:rsidRPr="00BE1B66" w14:paraId="543F9F5E" w14:textId="77777777" w:rsidTr="00474EFA">
        <w:trPr>
          <w:trHeight w:val="227"/>
          <w:jc w:val="center"/>
        </w:trPr>
        <w:tc>
          <w:tcPr>
            <w:tcW w:w="2269" w:type="dxa"/>
            <w:vAlign w:val="center"/>
          </w:tcPr>
          <w:p w14:paraId="7D4495E6"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Salinity Tolerance</w:t>
            </w:r>
          </w:p>
        </w:tc>
        <w:tc>
          <w:tcPr>
            <w:tcW w:w="1848" w:type="dxa"/>
            <w:vAlign w:val="center"/>
          </w:tcPr>
          <w:p w14:paraId="4B37881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Abiotic</w:t>
            </w:r>
          </w:p>
        </w:tc>
        <w:tc>
          <w:tcPr>
            <w:tcW w:w="2842" w:type="dxa"/>
            <w:vAlign w:val="center"/>
          </w:tcPr>
          <w:p w14:paraId="2C6DF8E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Ion balance, osmotic adjustment</w:t>
            </w:r>
          </w:p>
        </w:tc>
        <w:tc>
          <w:tcPr>
            <w:tcW w:w="3553" w:type="dxa"/>
            <w:vAlign w:val="center"/>
          </w:tcPr>
          <w:p w14:paraId="11F3C35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Germplasm screening, trait introgression</w:t>
            </w:r>
          </w:p>
        </w:tc>
        <w:tc>
          <w:tcPr>
            <w:tcW w:w="3908" w:type="dxa"/>
            <w:vAlign w:val="center"/>
          </w:tcPr>
          <w:p w14:paraId="4F99A444"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Limited QTLs; candidate gene exploration via transcriptomics</w:t>
            </w:r>
          </w:p>
        </w:tc>
      </w:tr>
      <w:tr w:rsidR="00474EFA" w:rsidRPr="00BE1B66" w14:paraId="02F5B586" w14:textId="77777777" w:rsidTr="00474EFA">
        <w:trPr>
          <w:trHeight w:val="171"/>
          <w:jc w:val="center"/>
        </w:trPr>
        <w:tc>
          <w:tcPr>
            <w:tcW w:w="2269" w:type="dxa"/>
            <w:vAlign w:val="center"/>
          </w:tcPr>
          <w:p w14:paraId="27D1AAB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Grain Mold Resistance</w:t>
            </w:r>
          </w:p>
        </w:tc>
        <w:tc>
          <w:tcPr>
            <w:tcW w:w="1848" w:type="dxa"/>
            <w:vAlign w:val="center"/>
          </w:tcPr>
          <w:p w14:paraId="319033C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Biotic</w:t>
            </w:r>
          </w:p>
        </w:tc>
        <w:tc>
          <w:tcPr>
            <w:tcW w:w="2842" w:type="dxa"/>
            <w:vAlign w:val="center"/>
          </w:tcPr>
          <w:p w14:paraId="04205E8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Loose panicle, dark pericarp, hard endosperm</w:t>
            </w:r>
          </w:p>
        </w:tc>
        <w:tc>
          <w:tcPr>
            <w:tcW w:w="3553" w:type="dxa"/>
            <w:vAlign w:val="center"/>
          </w:tcPr>
          <w:p w14:paraId="68D7EC3C"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Field screening under humid conditions</w:t>
            </w:r>
          </w:p>
        </w:tc>
        <w:tc>
          <w:tcPr>
            <w:tcW w:w="3908" w:type="dxa"/>
            <w:vAlign w:val="center"/>
          </w:tcPr>
          <w:p w14:paraId="3E8EAFA9"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 xml:space="preserve">MAS using grain </w:t>
            </w:r>
            <w:proofErr w:type="spellStart"/>
            <w:r w:rsidRPr="00BE1B66">
              <w:rPr>
                <w:rFonts w:ascii="Arial" w:hAnsi="Arial" w:cs="Arial"/>
                <w:sz w:val="20"/>
                <w:szCs w:val="20"/>
              </w:rPr>
              <w:t>mold</w:t>
            </w:r>
            <w:proofErr w:type="spellEnd"/>
            <w:r w:rsidRPr="00BE1B66">
              <w:rPr>
                <w:rFonts w:ascii="Arial" w:hAnsi="Arial" w:cs="Arial"/>
                <w:sz w:val="20"/>
                <w:szCs w:val="20"/>
              </w:rPr>
              <w:t xml:space="preserve"> QTLs</w:t>
            </w:r>
          </w:p>
        </w:tc>
      </w:tr>
      <w:tr w:rsidR="00474EFA" w:rsidRPr="00BE1B66" w14:paraId="051C6646" w14:textId="77777777" w:rsidTr="00474EFA">
        <w:trPr>
          <w:trHeight w:val="227"/>
          <w:jc w:val="center"/>
        </w:trPr>
        <w:tc>
          <w:tcPr>
            <w:tcW w:w="2269" w:type="dxa"/>
            <w:vAlign w:val="center"/>
          </w:tcPr>
          <w:p w14:paraId="274181F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Shoot Fly Resistance</w:t>
            </w:r>
          </w:p>
        </w:tc>
        <w:tc>
          <w:tcPr>
            <w:tcW w:w="1848" w:type="dxa"/>
            <w:vAlign w:val="center"/>
          </w:tcPr>
          <w:p w14:paraId="1723A1A0"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Biotic</w:t>
            </w:r>
          </w:p>
        </w:tc>
        <w:tc>
          <w:tcPr>
            <w:tcW w:w="2842" w:type="dxa"/>
            <w:vAlign w:val="center"/>
          </w:tcPr>
          <w:p w14:paraId="4CFC26C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Glossy leaves, trichomes, low oviposition</w:t>
            </w:r>
          </w:p>
        </w:tc>
        <w:tc>
          <w:tcPr>
            <w:tcW w:w="3553" w:type="dxa"/>
            <w:vAlign w:val="center"/>
          </w:tcPr>
          <w:p w14:paraId="00688E38"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Early generation screening, use of resistance donors</w:t>
            </w:r>
          </w:p>
        </w:tc>
        <w:tc>
          <w:tcPr>
            <w:tcW w:w="3908" w:type="dxa"/>
            <w:vAlign w:val="center"/>
          </w:tcPr>
          <w:p w14:paraId="4624995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QTL mapping on chromosomes 1, 3, 6</w:t>
            </w:r>
          </w:p>
        </w:tc>
      </w:tr>
      <w:tr w:rsidR="00474EFA" w:rsidRPr="00BE1B66" w14:paraId="151DD799" w14:textId="77777777" w:rsidTr="00474EFA">
        <w:trPr>
          <w:trHeight w:val="171"/>
          <w:jc w:val="center"/>
        </w:trPr>
        <w:tc>
          <w:tcPr>
            <w:tcW w:w="2269" w:type="dxa"/>
            <w:vAlign w:val="center"/>
          </w:tcPr>
          <w:p w14:paraId="2D8C32FE"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Stem Borer Resistance</w:t>
            </w:r>
          </w:p>
        </w:tc>
        <w:tc>
          <w:tcPr>
            <w:tcW w:w="1848" w:type="dxa"/>
            <w:vAlign w:val="center"/>
          </w:tcPr>
          <w:p w14:paraId="768D1083"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Biotic</w:t>
            </w:r>
          </w:p>
        </w:tc>
        <w:tc>
          <w:tcPr>
            <w:tcW w:w="2842" w:type="dxa"/>
            <w:vAlign w:val="center"/>
          </w:tcPr>
          <w:p w14:paraId="1CBF746B"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Tough stem, high lignin, anti-</w:t>
            </w:r>
            <w:proofErr w:type="spellStart"/>
            <w:r w:rsidRPr="00BE1B66">
              <w:rPr>
                <w:rFonts w:ascii="Arial" w:hAnsi="Arial" w:cs="Arial"/>
                <w:sz w:val="20"/>
                <w:szCs w:val="20"/>
              </w:rPr>
              <w:t>feedant</w:t>
            </w:r>
            <w:proofErr w:type="spellEnd"/>
            <w:r w:rsidRPr="00BE1B66">
              <w:rPr>
                <w:rFonts w:ascii="Arial" w:hAnsi="Arial" w:cs="Arial"/>
                <w:sz w:val="20"/>
                <w:szCs w:val="20"/>
              </w:rPr>
              <w:t xml:space="preserve"> traits</w:t>
            </w:r>
          </w:p>
        </w:tc>
        <w:tc>
          <w:tcPr>
            <w:tcW w:w="3553" w:type="dxa"/>
            <w:vAlign w:val="center"/>
          </w:tcPr>
          <w:p w14:paraId="77E1E60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Phenotyping in infested sites</w:t>
            </w:r>
          </w:p>
        </w:tc>
        <w:tc>
          <w:tcPr>
            <w:tcW w:w="3908" w:type="dxa"/>
            <w:vAlign w:val="center"/>
          </w:tcPr>
          <w:p w14:paraId="3042FE2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Limited markers; screening-based selection</w:t>
            </w:r>
          </w:p>
        </w:tc>
      </w:tr>
      <w:tr w:rsidR="00474EFA" w:rsidRPr="00BE1B66" w14:paraId="6012AD7D" w14:textId="77777777" w:rsidTr="00474EFA">
        <w:trPr>
          <w:trHeight w:val="227"/>
          <w:jc w:val="center"/>
        </w:trPr>
        <w:tc>
          <w:tcPr>
            <w:tcW w:w="2269" w:type="dxa"/>
            <w:vAlign w:val="center"/>
          </w:tcPr>
          <w:p w14:paraId="34E4B47E"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Nutritional Quality</w:t>
            </w:r>
          </w:p>
        </w:tc>
        <w:tc>
          <w:tcPr>
            <w:tcW w:w="1848" w:type="dxa"/>
            <w:vAlign w:val="center"/>
          </w:tcPr>
          <w:p w14:paraId="44ED0A2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Quality</w:t>
            </w:r>
          </w:p>
        </w:tc>
        <w:tc>
          <w:tcPr>
            <w:tcW w:w="2842" w:type="dxa"/>
            <w:vAlign w:val="center"/>
          </w:tcPr>
          <w:p w14:paraId="54AC80B1"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High lysine, low tannin, iron, zinc</w:t>
            </w:r>
          </w:p>
        </w:tc>
        <w:tc>
          <w:tcPr>
            <w:tcW w:w="3553" w:type="dxa"/>
            <w:vAlign w:val="center"/>
          </w:tcPr>
          <w:p w14:paraId="78D1FB69"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Biofortification, mutant selection</w:t>
            </w:r>
          </w:p>
        </w:tc>
        <w:tc>
          <w:tcPr>
            <w:tcW w:w="3908" w:type="dxa"/>
            <w:vAlign w:val="center"/>
          </w:tcPr>
          <w:p w14:paraId="2AA6E7A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QTLs for micronutrients, marker-assisted trait pyramiding</w:t>
            </w:r>
          </w:p>
        </w:tc>
      </w:tr>
      <w:tr w:rsidR="00474EFA" w:rsidRPr="00BE1B66" w14:paraId="61EB59C8" w14:textId="77777777" w:rsidTr="00474EFA">
        <w:trPr>
          <w:trHeight w:val="229"/>
          <w:jc w:val="center"/>
        </w:trPr>
        <w:tc>
          <w:tcPr>
            <w:tcW w:w="2269" w:type="dxa"/>
            <w:vAlign w:val="center"/>
          </w:tcPr>
          <w:p w14:paraId="479685D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Starch Composition</w:t>
            </w:r>
          </w:p>
        </w:tc>
        <w:tc>
          <w:tcPr>
            <w:tcW w:w="1848" w:type="dxa"/>
            <w:vAlign w:val="center"/>
          </w:tcPr>
          <w:p w14:paraId="7499D62E"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Industrial/Quality</w:t>
            </w:r>
          </w:p>
        </w:tc>
        <w:tc>
          <w:tcPr>
            <w:tcW w:w="2842" w:type="dxa"/>
            <w:vAlign w:val="center"/>
          </w:tcPr>
          <w:p w14:paraId="4CBAA8A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High amylopectin (waxy), fermentability</w:t>
            </w:r>
          </w:p>
        </w:tc>
        <w:tc>
          <w:tcPr>
            <w:tcW w:w="3553" w:type="dxa"/>
            <w:vAlign w:val="center"/>
          </w:tcPr>
          <w:p w14:paraId="2FE612B9"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Selection of waxy types</w:t>
            </w:r>
          </w:p>
        </w:tc>
        <w:tc>
          <w:tcPr>
            <w:tcW w:w="3908" w:type="dxa"/>
            <w:vAlign w:val="center"/>
          </w:tcPr>
          <w:p w14:paraId="2869122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Candidate genes identified; used in brewing and ethanol lines</w:t>
            </w:r>
          </w:p>
        </w:tc>
      </w:tr>
      <w:tr w:rsidR="00474EFA" w:rsidRPr="00BE1B66" w14:paraId="08A8316A" w14:textId="77777777" w:rsidTr="00474EFA">
        <w:trPr>
          <w:trHeight w:val="169"/>
          <w:jc w:val="center"/>
        </w:trPr>
        <w:tc>
          <w:tcPr>
            <w:tcW w:w="2269" w:type="dxa"/>
            <w:vAlign w:val="center"/>
          </w:tcPr>
          <w:p w14:paraId="1CE03D2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Protein Digestibility</w:t>
            </w:r>
          </w:p>
        </w:tc>
        <w:tc>
          <w:tcPr>
            <w:tcW w:w="1848" w:type="dxa"/>
            <w:vAlign w:val="center"/>
          </w:tcPr>
          <w:p w14:paraId="6196BF6F"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Quality</w:t>
            </w:r>
          </w:p>
        </w:tc>
        <w:tc>
          <w:tcPr>
            <w:tcW w:w="2842" w:type="dxa"/>
            <w:vAlign w:val="center"/>
          </w:tcPr>
          <w:p w14:paraId="6F3ADCF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Low-</w:t>
            </w:r>
            <w:proofErr w:type="spellStart"/>
            <w:r w:rsidRPr="00BE1B66">
              <w:rPr>
                <w:rFonts w:ascii="Arial" w:hAnsi="Arial" w:cs="Arial"/>
                <w:sz w:val="20"/>
                <w:szCs w:val="20"/>
              </w:rPr>
              <w:t>kafirin</w:t>
            </w:r>
            <w:proofErr w:type="spellEnd"/>
            <w:r w:rsidRPr="00BE1B66">
              <w:rPr>
                <w:rFonts w:ascii="Arial" w:hAnsi="Arial" w:cs="Arial"/>
                <w:sz w:val="20"/>
                <w:szCs w:val="20"/>
              </w:rPr>
              <w:t>, high digestibility</w:t>
            </w:r>
          </w:p>
        </w:tc>
        <w:tc>
          <w:tcPr>
            <w:tcW w:w="3553" w:type="dxa"/>
            <w:vAlign w:val="center"/>
          </w:tcPr>
          <w:p w14:paraId="403CC3AE"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Endosperm mutant introgression</w:t>
            </w:r>
          </w:p>
        </w:tc>
        <w:tc>
          <w:tcPr>
            <w:tcW w:w="3908" w:type="dxa"/>
            <w:vAlign w:val="center"/>
          </w:tcPr>
          <w:p w14:paraId="762BC818"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 xml:space="preserve">CRISPR editing of </w:t>
            </w:r>
            <w:proofErr w:type="spellStart"/>
            <w:r w:rsidRPr="00BE1B66">
              <w:rPr>
                <w:rStyle w:val="Emphasis"/>
                <w:rFonts w:ascii="Arial" w:hAnsi="Arial" w:cs="Arial"/>
                <w:sz w:val="20"/>
                <w:szCs w:val="20"/>
              </w:rPr>
              <w:t>kafirin</w:t>
            </w:r>
            <w:proofErr w:type="spellEnd"/>
            <w:r w:rsidRPr="00BE1B66">
              <w:rPr>
                <w:rFonts w:ascii="Arial" w:hAnsi="Arial" w:cs="Arial"/>
                <w:sz w:val="20"/>
                <w:szCs w:val="20"/>
              </w:rPr>
              <w:t xml:space="preserve"> genes</w:t>
            </w:r>
          </w:p>
        </w:tc>
      </w:tr>
      <w:tr w:rsidR="00474EFA" w:rsidRPr="00BE1B66" w14:paraId="7DD5BF51" w14:textId="77777777" w:rsidTr="00474EFA">
        <w:trPr>
          <w:trHeight w:val="229"/>
          <w:jc w:val="center"/>
        </w:trPr>
        <w:tc>
          <w:tcPr>
            <w:tcW w:w="2269" w:type="dxa"/>
            <w:vAlign w:val="center"/>
          </w:tcPr>
          <w:p w14:paraId="377C6A2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Resistance Stacking</w:t>
            </w:r>
          </w:p>
        </w:tc>
        <w:tc>
          <w:tcPr>
            <w:tcW w:w="1848" w:type="dxa"/>
            <w:vAlign w:val="center"/>
          </w:tcPr>
          <w:p w14:paraId="3B0222CE"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Multiple</w:t>
            </w:r>
          </w:p>
        </w:tc>
        <w:tc>
          <w:tcPr>
            <w:tcW w:w="2842" w:type="dxa"/>
            <w:vAlign w:val="center"/>
          </w:tcPr>
          <w:p w14:paraId="5BFE063C"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Combined abiotic + biotic resistance</w:t>
            </w:r>
          </w:p>
        </w:tc>
        <w:tc>
          <w:tcPr>
            <w:tcW w:w="3553" w:type="dxa"/>
            <w:vAlign w:val="center"/>
          </w:tcPr>
          <w:p w14:paraId="3B421DF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Pyramiding through MAS and recurrent selection</w:t>
            </w:r>
          </w:p>
        </w:tc>
        <w:tc>
          <w:tcPr>
            <w:tcW w:w="3908" w:type="dxa"/>
            <w:vAlign w:val="center"/>
          </w:tcPr>
          <w:p w14:paraId="728545D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Genomic prediction, marker-assisted backcrossing</w:t>
            </w:r>
          </w:p>
        </w:tc>
      </w:tr>
      <w:tr w:rsidR="00474EFA" w:rsidRPr="00BE1B66" w14:paraId="1F59F16A" w14:textId="77777777" w:rsidTr="00474EFA">
        <w:trPr>
          <w:trHeight w:val="227"/>
          <w:jc w:val="center"/>
        </w:trPr>
        <w:tc>
          <w:tcPr>
            <w:tcW w:w="2269" w:type="dxa"/>
            <w:vAlign w:val="center"/>
          </w:tcPr>
          <w:p w14:paraId="0C1981D6"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Climate Resilience</w:t>
            </w:r>
          </w:p>
        </w:tc>
        <w:tc>
          <w:tcPr>
            <w:tcW w:w="1848" w:type="dxa"/>
            <w:vAlign w:val="center"/>
          </w:tcPr>
          <w:p w14:paraId="4996A883"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Combined</w:t>
            </w:r>
          </w:p>
        </w:tc>
        <w:tc>
          <w:tcPr>
            <w:tcW w:w="2842" w:type="dxa"/>
            <w:vAlign w:val="center"/>
          </w:tcPr>
          <w:p w14:paraId="33CB8527"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Broad adaptation, stability across environments</w:t>
            </w:r>
          </w:p>
        </w:tc>
        <w:tc>
          <w:tcPr>
            <w:tcW w:w="3553" w:type="dxa"/>
            <w:vAlign w:val="center"/>
          </w:tcPr>
          <w:p w14:paraId="21C001A9"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Genotype × environment testing, ideotype breeding</w:t>
            </w:r>
          </w:p>
        </w:tc>
        <w:tc>
          <w:tcPr>
            <w:tcW w:w="3908" w:type="dxa"/>
            <w:vAlign w:val="center"/>
          </w:tcPr>
          <w:p w14:paraId="5E0C77BA"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Genomic selection, multi-environment trials</w:t>
            </w:r>
          </w:p>
        </w:tc>
      </w:tr>
      <w:tr w:rsidR="00474EFA" w:rsidRPr="00BE1B66" w14:paraId="3D803079" w14:textId="77777777" w:rsidTr="00474EFA">
        <w:trPr>
          <w:trHeight w:val="229"/>
          <w:jc w:val="center"/>
        </w:trPr>
        <w:tc>
          <w:tcPr>
            <w:tcW w:w="2269" w:type="dxa"/>
            <w:vAlign w:val="center"/>
          </w:tcPr>
          <w:p w14:paraId="588F36FD"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High-Throughput Phenotyping</w:t>
            </w:r>
          </w:p>
        </w:tc>
        <w:tc>
          <w:tcPr>
            <w:tcW w:w="1848" w:type="dxa"/>
            <w:vAlign w:val="center"/>
          </w:tcPr>
          <w:p w14:paraId="093D6CB1"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Platform Constraint</w:t>
            </w:r>
          </w:p>
        </w:tc>
        <w:tc>
          <w:tcPr>
            <w:tcW w:w="2842" w:type="dxa"/>
            <w:vAlign w:val="center"/>
          </w:tcPr>
          <w:p w14:paraId="147F818B"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Real-time physiological trait measurement</w:t>
            </w:r>
          </w:p>
        </w:tc>
        <w:tc>
          <w:tcPr>
            <w:tcW w:w="3553" w:type="dxa"/>
            <w:vAlign w:val="center"/>
          </w:tcPr>
          <w:p w14:paraId="7A9970A8"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UAVs, thermal and spectral imaging</w:t>
            </w:r>
          </w:p>
        </w:tc>
        <w:tc>
          <w:tcPr>
            <w:tcW w:w="3908" w:type="dxa"/>
            <w:vAlign w:val="center"/>
          </w:tcPr>
          <w:p w14:paraId="6B83E1F4" w14:textId="77777777" w:rsidR="00474EFA" w:rsidRPr="00BE1B66" w:rsidRDefault="00474EFA" w:rsidP="002A7A4B">
            <w:pPr>
              <w:pStyle w:val="NoSpacing"/>
              <w:ind w:left="0"/>
              <w:jc w:val="center"/>
              <w:rPr>
                <w:rFonts w:ascii="Arial" w:hAnsi="Arial" w:cs="Arial"/>
                <w:b/>
                <w:sz w:val="20"/>
                <w:szCs w:val="20"/>
              </w:rPr>
            </w:pPr>
            <w:r w:rsidRPr="00BE1B66">
              <w:rPr>
                <w:rFonts w:ascii="Arial" w:hAnsi="Arial" w:cs="Arial"/>
                <w:sz w:val="20"/>
                <w:szCs w:val="20"/>
              </w:rPr>
              <w:t>Integration with AI, machine learning</w:t>
            </w:r>
          </w:p>
        </w:tc>
      </w:tr>
    </w:tbl>
    <w:p w14:paraId="79D05BE8" w14:textId="77777777" w:rsidR="00474EFA" w:rsidRPr="00BE1B66" w:rsidRDefault="00474EFA" w:rsidP="002A7A4B">
      <w:pPr>
        <w:pStyle w:val="NoSpacing"/>
        <w:ind w:left="0"/>
        <w:jc w:val="center"/>
        <w:rPr>
          <w:rFonts w:ascii="Arial" w:hAnsi="Arial" w:cs="Arial"/>
          <w:b/>
          <w:sz w:val="20"/>
        </w:rPr>
      </w:pPr>
    </w:p>
    <w:p w14:paraId="56CBC2E0" w14:textId="77777777" w:rsidR="00474EFA" w:rsidRDefault="00474EFA" w:rsidP="002A7A4B">
      <w:pPr>
        <w:pStyle w:val="NormalWeb"/>
        <w:ind w:firstLine="720"/>
        <w:jc w:val="both"/>
        <w:rPr>
          <w:rFonts w:ascii="Arial" w:hAnsi="Arial" w:cs="Arial"/>
          <w:sz w:val="20"/>
          <w:szCs w:val="20"/>
        </w:rPr>
        <w:sectPr w:rsidR="00474EFA" w:rsidSect="00474EFA">
          <w:pgSz w:w="16838" w:h="11906" w:orient="landscape"/>
          <w:pgMar w:top="1803" w:right="1440" w:bottom="1440" w:left="1440" w:header="708" w:footer="708" w:gutter="0"/>
          <w:cols w:space="708"/>
          <w:docGrid w:linePitch="360"/>
        </w:sectPr>
      </w:pPr>
    </w:p>
    <w:p w14:paraId="74B0250F" w14:textId="35387B21" w:rsidR="00D17768" w:rsidRPr="00D17768" w:rsidRDefault="00D17768" w:rsidP="002A7A4B">
      <w:pPr>
        <w:pStyle w:val="Heading2"/>
        <w:spacing w:line="240" w:lineRule="auto"/>
        <w:rPr>
          <w:rFonts w:ascii="Arial" w:hAnsi="Arial" w:cs="Arial"/>
          <w:color w:val="auto"/>
          <w:sz w:val="24"/>
          <w:szCs w:val="20"/>
        </w:rPr>
      </w:pPr>
      <w:r w:rsidRPr="00D17768">
        <w:rPr>
          <w:rStyle w:val="Strong"/>
          <w:rFonts w:ascii="Arial" w:hAnsi="Arial" w:cs="Arial"/>
          <w:bCs w:val="0"/>
          <w:color w:val="auto"/>
          <w:sz w:val="24"/>
          <w:szCs w:val="20"/>
        </w:rPr>
        <w:lastRenderedPageBreak/>
        <w:t>8. FUTURE PROSPECTS AND CHALLENGES</w:t>
      </w:r>
    </w:p>
    <w:p w14:paraId="248AA497" w14:textId="77777777" w:rsidR="00D17768" w:rsidRPr="007A169A" w:rsidRDefault="00D17768" w:rsidP="002A7A4B">
      <w:pPr>
        <w:pStyle w:val="NormalWeb"/>
        <w:jc w:val="both"/>
        <w:rPr>
          <w:rFonts w:ascii="Arial" w:hAnsi="Arial" w:cs="Arial"/>
          <w:sz w:val="20"/>
          <w:szCs w:val="20"/>
        </w:rPr>
      </w:pPr>
      <w:r w:rsidRPr="007A169A">
        <w:rPr>
          <w:rFonts w:ascii="Arial" w:hAnsi="Arial" w:cs="Arial"/>
          <w:sz w:val="20"/>
          <w:szCs w:val="20"/>
        </w:rPr>
        <w:t>As global agriculture confronts the mounting threats of climate change, resource degradation, and growing food demand, the future of sorghum as a climate-resilient and nutritionally significant crop appears increasingly promising. Sorghum’s innate ability to tolerate abiotic stresses makes it a strategic cereal for strengthening food security in arid and semi-arid regions. However, harnessing its full potential requires overcoming several challenges through advanced breeding strategies, policy support, and investment in modern agricultural technologies. The way forward lies in transforming sorghum improvement into a high-efficiency, data-driven process responsive to both biophysical and socio-economic realities.</w:t>
      </w:r>
    </w:p>
    <w:p w14:paraId="75D8FD4F" w14:textId="58FAE3BB" w:rsidR="00D17768" w:rsidRPr="00813828" w:rsidRDefault="00D17768" w:rsidP="002A7A4B">
      <w:pPr>
        <w:pStyle w:val="Heading3"/>
        <w:jc w:val="both"/>
        <w:rPr>
          <w:rFonts w:ascii="Arial" w:hAnsi="Arial" w:cs="Arial"/>
          <w:sz w:val="22"/>
          <w:szCs w:val="20"/>
        </w:rPr>
      </w:pPr>
      <w:r w:rsidRPr="00813828">
        <w:rPr>
          <w:rFonts w:ascii="Arial" w:hAnsi="Arial" w:cs="Arial"/>
          <w:sz w:val="22"/>
          <w:szCs w:val="20"/>
        </w:rPr>
        <w:t>8.1 Climate Change and Breeding for Climate Resilience</w:t>
      </w:r>
    </w:p>
    <w:p w14:paraId="1E188A26" w14:textId="62454762" w:rsidR="00D17768" w:rsidRPr="002A7A4B" w:rsidRDefault="00D17768" w:rsidP="002A7A4B">
      <w:pPr>
        <w:pStyle w:val="NormalWeb"/>
        <w:jc w:val="both"/>
        <w:rPr>
          <w:rFonts w:ascii="Arial" w:hAnsi="Arial" w:cs="Arial"/>
          <w:sz w:val="20"/>
          <w:szCs w:val="20"/>
        </w:rPr>
      </w:pPr>
      <w:r w:rsidRPr="002A7A4B">
        <w:rPr>
          <w:rFonts w:ascii="Arial" w:hAnsi="Arial" w:cs="Arial"/>
          <w:sz w:val="20"/>
          <w:szCs w:val="20"/>
        </w:rPr>
        <w:t xml:space="preserve">The most pressing challenge for sorghum breeding is the </w:t>
      </w:r>
      <w:r w:rsidRPr="002A7A4B">
        <w:rPr>
          <w:rStyle w:val="Strong"/>
          <w:rFonts w:ascii="Arial" w:hAnsi="Arial" w:cs="Arial"/>
          <w:b w:val="0"/>
          <w:sz w:val="20"/>
          <w:szCs w:val="20"/>
        </w:rPr>
        <w:t>escalating impact of climate change</w:t>
      </w:r>
      <w:r w:rsidRPr="002A7A4B">
        <w:rPr>
          <w:rFonts w:ascii="Arial" w:hAnsi="Arial" w:cs="Arial"/>
          <w:b/>
          <w:sz w:val="20"/>
          <w:szCs w:val="20"/>
        </w:rPr>
        <w:t>.</w:t>
      </w:r>
      <w:r w:rsidRPr="002A7A4B">
        <w:rPr>
          <w:rFonts w:ascii="Arial" w:hAnsi="Arial" w:cs="Arial"/>
          <w:sz w:val="20"/>
          <w:szCs w:val="20"/>
        </w:rPr>
        <w:t xml:space="preserve"> Rising global temperatures, prolonged droughts, unpredictable rainfall, and increased salinity in agricultural soils are threatening crop productivity and stability across many regions</w:t>
      </w:r>
      <w:r w:rsidR="0087630D" w:rsidRPr="002A7A4B">
        <w:rPr>
          <w:rFonts w:ascii="Arial" w:hAnsi="Arial" w:cs="Arial"/>
          <w:sz w:val="20"/>
          <w:szCs w:val="20"/>
        </w:rPr>
        <w:t xml:space="preserve"> (</w:t>
      </w:r>
      <w:r w:rsidR="0087630D" w:rsidRPr="002A7A4B">
        <w:rPr>
          <w:rFonts w:ascii="Arial" w:hAnsi="Arial" w:cs="Arial"/>
          <w:b/>
          <w:bCs/>
          <w:sz w:val="20"/>
          <w:szCs w:val="20"/>
        </w:rPr>
        <w:t>Saleem et al., 2024)</w:t>
      </w:r>
      <w:r w:rsidRPr="002A7A4B">
        <w:rPr>
          <w:rFonts w:ascii="Arial" w:hAnsi="Arial" w:cs="Arial"/>
          <w:sz w:val="20"/>
          <w:szCs w:val="20"/>
        </w:rPr>
        <w:t xml:space="preserve">. Although sorghum is naturally more tolerant to drought and heat than most cereals, the changing climatic dynamics are pushing it to new limits, often in conjunction with increased pest and disease pressure. To address these emerging threats, sorghum breeders must prioritize the development of </w:t>
      </w:r>
      <w:r w:rsidRPr="002A7A4B">
        <w:rPr>
          <w:rStyle w:val="Strong"/>
          <w:rFonts w:ascii="Arial" w:hAnsi="Arial" w:cs="Arial"/>
          <w:b w:val="0"/>
          <w:sz w:val="20"/>
          <w:szCs w:val="20"/>
        </w:rPr>
        <w:t>climate-resilient cultivars</w:t>
      </w:r>
      <w:r w:rsidRPr="002A7A4B">
        <w:rPr>
          <w:rFonts w:ascii="Arial" w:hAnsi="Arial" w:cs="Arial"/>
          <w:sz w:val="20"/>
          <w:szCs w:val="20"/>
        </w:rPr>
        <w:t xml:space="preserve"> that can maintain productivity and stability across increasingly variable environments. This involves combining multiple traits—such as heat tolerance, water-use efficiency, early maturity, stay-green, and disease resistance—into a single genetic background. Achieving this level of complexity necessitates a deeper understanding of genotype × environment interactions and the underlying genetics of stress adaptation</w:t>
      </w:r>
      <w:r w:rsidR="0087630D" w:rsidRPr="002A7A4B">
        <w:rPr>
          <w:rFonts w:ascii="Arial" w:hAnsi="Arial" w:cs="Arial"/>
          <w:sz w:val="20"/>
          <w:szCs w:val="20"/>
        </w:rPr>
        <w:t xml:space="preserve"> </w:t>
      </w:r>
      <w:r w:rsidR="0087630D" w:rsidRPr="002A7A4B">
        <w:rPr>
          <w:rFonts w:ascii="Arial" w:hAnsi="Arial" w:cs="Arial"/>
          <w:b/>
          <w:bCs/>
          <w:sz w:val="20"/>
          <w:szCs w:val="20"/>
        </w:rPr>
        <w:t>(Ibraheem et al., 2018)</w:t>
      </w:r>
      <w:r w:rsidRPr="002A7A4B">
        <w:rPr>
          <w:rFonts w:ascii="Arial" w:hAnsi="Arial" w:cs="Arial"/>
          <w:sz w:val="20"/>
          <w:szCs w:val="20"/>
        </w:rPr>
        <w:t>.</w:t>
      </w:r>
    </w:p>
    <w:p w14:paraId="657C9231" w14:textId="75952B17" w:rsidR="00D17768" w:rsidRPr="002A7A4B" w:rsidRDefault="00D17768" w:rsidP="002A7A4B">
      <w:pPr>
        <w:pStyle w:val="NormalWeb"/>
        <w:ind w:firstLine="720"/>
        <w:jc w:val="both"/>
        <w:rPr>
          <w:rFonts w:ascii="Arial" w:hAnsi="Arial" w:cs="Arial"/>
          <w:sz w:val="20"/>
          <w:szCs w:val="20"/>
        </w:rPr>
      </w:pPr>
      <w:r w:rsidRPr="002A7A4B">
        <w:rPr>
          <w:rFonts w:ascii="Arial" w:hAnsi="Arial" w:cs="Arial"/>
          <w:sz w:val="20"/>
          <w:szCs w:val="20"/>
        </w:rPr>
        <w:t xml:space="preserve">Climate-resilient sorghum must also be tailored to local farming systems and market demands. In regions where climate stress is compounded by poverty and lack of infrastructure, breeding efforts must focus on </w:t>
      </w:r>
      <w:r w:rsidRPr="002A7A4B">
        <w:rPr>
          <w:rStyle w:val="Strong"/>
          <w:rFonts w:ascii="Arial" w:hAnsi="Arial" w:cs="Arial"/>
          <w:b w:val="0"/>
          <w:sz w:val="20"/>
          <w:szCs w:val="20"/>
        </w:rPr>
        <w:t>low-input systems</w:t>
      </w:r>
      <w:r w:rsidRPr="002A7A4B">
        <w:rPr>
          <w:rFonts w:ascii="Arial" w:hAnsi="Arial" w:cs="Arial"/>
          <w:sz w:val="20"/>
          <w:szCs w:val="20"/>
        </w:rPr>
        <w:t>, ensuring that improved varieties perform well without dependence on external inputs like fertilizers or irrigation</w:t>
      </w:r>
      <w:r w:rsidR="0087630D" w:rsidRPr="002A7A4B">
        <w:rPr>
          <w:rFonts w:ascii="Arial" w:hAnsi="Arial" w:cs="Arial"/>
          <w:sz w:val="20"/>
          <w:szCs w:val="20"/>
        </w:rPr>
        <w:t xml:space="preserve"> </w:t>
      </w:r>
      <w:r w:rsidR="0087630D" w:rsidRPr="002A7A4B">
        <w:rPr>
          <w:rFonts w:ascii="Arial" w:hAnsi="Arial" w:cs="Arial"/>
          <w:b/>
          <w:bCs/>
          <w:sz w:val="20"/>
          <w:szCs w:val="20"/>
        </w:rPr>
        <w:t>(McGuire et al., 2005)</w:t>
      </w:r>
      <w:r w:rsidRPr="002A7A4B">
        <w:rPr>
          <w:rFonts w:ascii="Arial" w:hAnsi="Arial" w:cs="Arial"/>
          <w:sz w:val="20"/>
          <w:szCs w:val="20"/>
        </w:rPr>
        <w:t>. Moreover, participatory approaches that involve farmers in variety development and evaluation can enhance adoption and ensure that newly developed cultivars meet the realities of field conditions and local preferences.</w:t>
      </w:r>
      <w:r w:rsidR="00813828" w:rsidRPr="002A7A4B">
        <w:rPr>
          <w:rFonts w:ascii="Arial" w:hAnsi="Arial" w:cs="Arial"/>
          <w:sz w:val="20"/>
          <w:szCs w:val="20"/>
        </w:rPr>
        <w:t xml:space="preserve"> </w:t>
      </w:r>
      <w:r w:rsidRPr="002A7A4B">
        <w:rPr>
          <w:rStyle w:val="Strong"/>
          <w:rFonts w:ascii="Arial" w:hAnsi="Arial" w:cs="Arial"/>
          <w:b w:val="0"/>
          <w:sz w:val="20"/>
          <w:szCs w:val="20"/>
        </w:rPr>
        <w:t>Breeding for resilience</w:t>
      </w:r>
      <w:r w:rsidRPr="002A7A4B">
        <w:rPr>
          <w:rFonts w:ascii="Arial" w:hAnsi="Arial" w:cs="Arial"/>
          <w:sz w:val="20"/>
          <w:szCs w:val="20"/>
        </w:rPr>
        <w:t xml:space="preserve"> also requires genetic diversification. Narrow genetic bases in commercial hybrids and modern varieties can make them more vulnerable to climatic extremes and emerging pests. Broader utilization of diverse landraces, wild relatives, and underutilized sorghum races can introduce novel alleles for stress tolerance, nutrient use efficiency, and adaptive growth patterns. Pre-breeding programs and introgression strategies must play a more central role in expanding the adaptive potential of breeding populations</w:t>
      </w:r>
      <w:r w:rsidR="00A304A6" w:rsidRPr="002A7A4B">
        <w:rPr>
          <w:rFonts w:ascii="Arial" w:hAnsi="Arial" w:cs="Arial"/>
          <w:sz w:val="20"/>
          <w:szCs w:val="20"/>
        </w:rPr>
        <w:t xml:space="preserve"> (</w:t>
      </w:r>
      <w:r w:rsidR="00A304A6" w:rsidRPr="002A7A4B">
        <w:rPr>
          <w:rFonts w:ascii="Arial" w:hAnsi="Arial" w:cs="Arial"/>
          <w:b/>
          <w:bCs/>
          <w:sz w:val="20"/>
          <w:szCs w:val="20"/>
        </w:rPr>
        <w:t>Abebe et al., 2021)</w:t>
      </w:r>
      <w:r w:rsidRPr="002A7A4B">
        <w:rPr>
          <w:rFonts w:ascii="Arial" w:hAnsi="Arial" w:cs="Arial"/>
          <w:sz w:val="20"/>
          <w:szCs w:val="20"/>
        </w:rPr>
        <w:t>.</w:t>
      </w:r>
    </w:p>
    <w:p w14:paraId="770145E7" w14:textId="323B8E90" w:rsidR="00D17768" w:rsidRPr="00813828" w:rsidRDefault="00813828" w:rsidP="002A7A4B">
      <w:pPr>
        <w:pStyle w:val="Heading3"/>
        <w:jc w:val="both"/>
        <w:rPr>
          <w:rFonts w:ascii="Arial" w:hAnsi="Arial" w:cs="Arial"/>
          <w:sz w:val="22"/>
          <w:szCs w:val="20"/>
        </w:rPr>
      </w:pPr>
      <w:r w:rsidRPr="00813828">
        <w:rPr>
          <w:rFonts w:ascii="Arial" w:hAnsi="Arial" w:cs="Arial"/>
          <w:sz w:val="22"/>
          <w:szCs w:val="20"/>
        </w:rPr>
        <w:t xml:space="preserve">8.2 </w:t>
      </w:r>
      <w:r w:rsidR="00D17768" w:rsidRPr="00813828">
        <w:rPr>
          <w:rFonts w:ascii="Arial" w:hAnsi="Arial" w:cs="Arial"/>
          <w:sz w:val="22"/>
          <w:szCs w:val="20"/>
        </w:rPr>
        <w:t>Need for High-Throughput Phenotyping</w:t>
      </w:r>
    </w:p>
    <w:p w14:paraId="65DF1FBC" w14:textId="596B3224" w:rsidR="00D17768" w:rsidRPr="002A7A4B" w:rsidRDefault="00D17768" w:rsidP="002A7A4B">
      <w:pPr>
        <w:pStyle w:val="NormalWeb"/>
        <w:jc w:val="both"/>
        <w:rPr>
          <w:rFonts w:ascii="Arial" w:hAnsi="Arial" w:cs="Arial"/>
          <w:sz w:val="20"/>
          <w:szCs w:val="20"/>
        </w:rPr>
      </w:pPr>
      <w:r w:rsidRPr="002A7A4B">
        <w:rPr>
          <w:rFonts w:ascii="Arial" w:hAnsi="Arial" w:cs="Arial"/>
          <w:sz w:val="20"/>
          <w:szCs w:val="20"/>
        </w:rPr>
        <w:t xml:space="preserve">While significant advances have been made in genotyping technologies and genomic tools, </w:t>
      </w:r>
      <w:r w:rsidRPr="002A7A4B">
        <w:rPr>
          <w:rStyle w:val="Strong"/>
          <w:rFonts w:ascii="Arial" w:hAnsi="Arial" w:cs="Arial"/>
          <w:b w:val="0"/>
          <w:sz w:val="20"/>
          <w:szCs w:val="20"/>
        </w:rPr>
        <w:t>phenotyping remains a major bottleneck</w:t>
      </w:r>
      <w:r w:rsidRPr="002A7A4B">
        <w:rPr>
          <w:rFonts w:ascii="Arial" w:hAnsi="Arial" w:cs="Arial"/>
          <w:sz w:val="20"/>
          <w:szCs w:val="20"/>
        </w:rPr>
        <w:t xml:space="preserve"> in sorghum improvement. Accurate, rapid, and cost-effective phenotyping is essential for dissecting complex traits such as drought tolerance, heat resilience, and nutrient use efficiency, which are highly sensitive to environmental conditions</w:t>
      </w:r>
      <w:r w:rsidR="00A304A6" w:rsidRPr="002A7A4B">
        <w:rPr>
          <w:rFonts w:ascii="Arial" w:hAnsi="Arial" w:cs="Arial"/>
          <w:sz w:val="20"/>
          <w:szCs w:val="20"/>
        </w:rPr>
        <w:t xml:space="preserve"> </w:t>
      </w:r>
      <w:r w:rsidR="00A304A6" w:rsidRPr="002A7A4B">
        <w:rPr>
          <w:rFonts w:ascii="Arial" w:hAnsi="Arial" w:cs="Arial"/>
          <w:b/>
          <w:bCs/>
          <w:sz w:val="20"/>
          <w:szCs w:val="20"/>
        </w:rPr>
        <w:t>(Jadhav et al., 2024)</w:t>
      </w:r>
      <w:r w:rsidRPr="002A7A4B">
        <w:rPr>
          <w:rFonts w:ascii="Arial" w:hAnsi="Arial" w:cs="Arial"/>
          <w:sz w:val="20"/>
          <w:szCs w:val="20"/>
        </w:rPr>
        <w:t xml:space="preserve">. Traditional field phenotyping methods are time-consuming, </w:t>
      </w:r>
      <w:proofErr w:type="spellStart"/>
      <w:r w:rsidRPr="002A7A4B">
        <w:rPr>
          <w:rFonts w:ascii="Arial" w:hAnsi="Arial" w:cs="Arial"/>
          <w:sz w:val="20"/>
          <w:szCs w:val="20"/>
        </w:rPr>
        <w:t>labor-intensive</w:t>
      </w:r>
      <w:proofErr w:type="spellEnd"/>
      <w:r w:rsidRPr="002A7A4B">
        <w:rPr>
          <w:rFonts w:ascii="Arial" w:hAnsi="Arial" w:cs="Arial"/>
          <w:sz w:val="20"/>
          <w:szCs w:val="20"/>
        </w:rPr>
        <w:t xml:space="preserve">, and often subjective, limiting the scalability and precision of breeding programs. In response, the focus has shifted to </w:t>
      </w:r>
      <w:r w:rsidRPr="002A7A4B">
        <w:rPr>
          <w:rStyle w:val="Strong"/>
          <w:rFonts w:ascii="Arial" w:hAnsi="Arial" w:cs="Arial"/>
          <w:b w:val="0"/>
          <w:sz w:val="20"/>
          <w:szCs w:val="20"/>
        </w:rPr>
        <w:t>high-throughput phenotyping (HTP)</w:t>
      </w:r>
      <w:r w:rsidRPr="002A7A4B">
        <w:rPr>
          <w:rFonts w:ascii="Arial" w:hAnsi="Arial" w:cs="Arial"/>
          <w:sz w:val="20"/>
          <w:szCs w:val="20"/>
        </w:rPr>
        <w:t xml:space="preserve"> platforms that can assess large populations across multiple traits and environments with enhanced speed and accuracy. These technologies include </w:t>
      </w:r>
      <w:r w:rsidRPr="002A7A4B">
        <w:rPr>
          <w:rStyle w:val="Strong"/>
          <w:rFonts w:ascii="Arial" w:hAnsi="Arial" w:cs="Arial"/>
          <w:b w:val="0"/>
          <w:sz w:val="20"/>
          <w:szCs w:val="20"/>
        </w:rPr>
        <w:t>remote sensing, drone-based imaging, spectral reflectance, thermal imaging, chlorophyll fluorescence sensors, and canopy spectral indices</w:t>
      </w:r>
      <w:r w:rsidRPr="002A7A4B">
        <w:rPr>
          <w:rFonts w:ascii="Arial" w:hAnsi="Arial" w:cs="Arial"/>
          <w:b/>
          <w:sz w:val="20"/>
          <w:szCs w:val="20"/>
        </w:rPr>
        <w:t>.</w:t>
      </w:r>
      <w:r w:rsidR="00813828" w:rsidRPr="002A7A4B">
        <w:rPr>
          <w:rFonts w:ascii="Arial" w:hAnsi="Arial" w:cs="Arial"/>
          <w:sz w:val="20"/>
          <w:szCs w:val="20"/>
        </w:rPr>
        <w:t xml:space="preserve"> </w:t>
      </w:r>
      <w:r w:rsidRPr="002A7A4B">
        <w:rPr>
          <w:rFonts w:ascii="Arial" w:hAnsi="Arial" w:cs="Arial"/>
          <w:sz w:val="20"/>
          <w:szCs w:val="20"/>
        </w:rPr>
        <w:t xml:space="preserve">HTP enables breeders to monitor dynamic physiological responses such as </w:t>
      </w:r>
      <w:r w:rsidRPr="002A7A4B">
        <w:rPr>
          <w:rStyle w:val="Strong"/>
          <w:rFonts w:ascii="Arial" w:hAnsi="Arial" w:cs="Arial"/>
          <w:b w:val="0"/>
          <w:sz w:val="20"/>
          <w:szCs w:val="20"/>
        </w:rPr>
        <w:t>leaf temperature, stomatal conductance, plant architecture, growth rates, and water-use efficiency</w:t>
      </w:r>
      <w:r w:rsidRPr="002A7A4B">
        <w:rPr>
          <w:rFonts w:ascii="Arial" w:hAnsi="Arial" w:cs="Arial"/>
          <w:sz w:val="20"/>
          <w:szCs w:val="20"/>
        </w:rPr>
        <w:t xml:space="preserve"> under real-time conditions</w:t>
      </w:r>
      <w:r w:rsidR="00A304A6" w:rsidRPr="002A7A4B">
        <w:rPr>
          <w:rFonts w:ascii="Arial" w:hAnsi="Arial" w:cs="Arial"/>
          <w:b/>
          <w:bCs/>
          <w:sz w:val="20"/>
          <w:szCs w:val="20"/>
        </w:rPr>
        <w:t xml:space="preserve"> (Mansoor &amp; Chung, 2024)</w:t>
      </w:r>
      <w:r w:rsidRPr="002A7A4B">
        <w:rPr>
          <w:rFonts w:ascii="Arial" w:hAnsi="Arial" w:cs="Arial"/>
          <w:sz w:val="20"/>
          <w:szCs w:val="20"/>
        </w:rPr>
        <w:t xml:space="preserve">. These measurements can be linked with genotypic data to identify trait-marker associations and improve prediction accuracy in genomic selection models. For instance, imaging-based estimation of canopy temperature depression can serve as an indirect indicator of transpiration efficiency and drought avoidance mechanisms. Integrating HTP into sorghum breeding pipelines allows for more robust evaluation of genotype × environment × management (G×E×M) interactions, which is critical in </w:t>
      </w:r>
      <w:r w:rsidRPr="002A7A4B">
        <w:rPr>
          <w:rFonts w:ascii="Arial" w:hAnsi="Arial" w:cs="Arial"/>
          <w:sz w:val="20"/>
          <w:szCs w:val="20"/>
        </w:rPr>
        <w:lastRenderedPageBreak/>
        <w:t>developing broadly adapted cultivars. Furthermore, phenomics data generated through HTP can enhance the discovery of novel quantitative trait loci (QTLs) and improve the reliability of marker-assisted and genomic selection strategies.</w:t>
      </w:r>
    </w:p>
    <w:p w14:paraId="3BD15174" w14:textId="77777777" w:rsidR="00D17768" w:rsidRPr="002A7A4B" w:rsidRDefault="00D17768" w:rsidP="002A7A4B">
      <w:pPr>
        <w:pStyle w:val="NormalWeb"/>
        <w:ind w:firstLine="720"/>
        <w:jc w:val="both"/>
        <w:rPr>
          <w:rFonts w:ascii="Arial" w:hAnsi="Arial" w:cs="Arial"/>
          <w:sz w:val="20"/>
          <w:szCs w:val="20"/>
        </w:rPr>
      </w:pPr>
      <w:r w:rsidRPr="002A7A4B">
        <w:rPr>
          <w:rFonts w:ascii="Arial" w:hAnsi="Arial" w:cs="Arial"/>
          <w:sz w:val="20"/>
          <w:szCs w:val="20"/>
        </w:rPr>
        <w:t xml:space="preserve">However, the </w:t>
      </w:r>
      <w:r w:rsidRPr="002A7A4B">
        <w:rPr>
          <w:rStyle w:val="Strong"/>
          <w:rFonts w:ascii="Arial" w:hAnsi="Arial" w:cs="Arial"/>
          <w:b w:val="0"/>
          <w:sz w:val="20"/>
          <w:szCs w:val="20"/>
        </w:rPr>
        <w:t>implementation of HTP at scale</w:t>
      </w:r>
      <w:r w:rsidRPr="002A7A4B">
        <w:rPr>
          <w:rFonts w:ascii="Arial" w:hAnsi="Arial" w:cs="Arial"/>
          <w:sz w:val="20"/>
          <w:szCs w:val="20"/>
        </w:rPr>
        <w:t xml:space="preserve"> is still constrained by infrastructure, technical expertise, and data management challenges. Many breeding programs in developing countries lack access to the necessary tools and analytical pipelines. Addressing these barriers requires investment in training, infrastructure development, and the creation of centralized phenotyping facilities accessible to both public and private institutions. Additionally, integrating </w:t>
      </w:r>
      <w:r w:rsidRPr="002A7A4B">
        <w:rPr>
          <w:rStyle w:val="Strong"/>
          <w:rFonts w:ascii="Arial" w:hAnsi="Arial" w:cs="Arial"/>
          <w:b w:val="0"/>
          <w:sz w:val="20"/>
          <w:szCs w:val="20"/>
        </w:rPr>
        <w:t>artificial intelligence (AI) and machine learning</w:t>
      </w:r>
      <w:r w:rsidRPr="002A7A4B">
        <w:rPr>
          <w:rFonts w:ascii="Arial" w:hAnsi="Arial" w:cs="Arial"/>
          <w:sz w:val="20"/>
          <w:szCs w:val="20"/>
        </w:rPr>
        <w:t xml:space="preserve"> into phenotyping workflows can revolutionize data interpretation and trait prediction. These technologies can detect subtle patterns and correlations in large datasets that may not be apparent through conventional analysis. They also support real-time decision-making in field trials, enabling breeders to accelerate selection and advance promising lines more efficiently.</w:t>
      </w:r>
    </w:p>
    <w:p w14:paraId="4DB843FA" w14:textId="1A3266F5" w:rsidR="00D17768" w:rsidRPr="007A169A" w:rsidRDefault="00D17768" w:rsidP="002A7A4B">
      <w:pPr>
        <w:spacing w:before="100" w:beforeAutospacing="1" w:after="100" w:afterAutospacing="1" w:line="240" w:lineRule="auto"/>
        <w:ind w:left="0" w:firstLine="720"/>
        <w:outlineLvl w:val="1"/>
        <w:rPr>
          <w:rFonts w:ascii="Arial" w:eastAsia="Times New Roman" w:hAnsi="Arial" w:cs="Arial"/>
          <w:b/>
          <w:bCs/>
          <w:sz w:val="24"/>
          <w:szCs w:val="20"/>
          <w:lang w:eastAsia="en-IN"/>
        </w:rPr>
      </w:pPr>
      <w:r>
        <w:rPr>
          <w:rFonts w:ascii="Arial" w:eastAsia="Times New Roman" w:hAnsi="Arial" w:cs="Arial"/>
          <w:b/>
          <w:bCs/>
          <w:sz w:val="24"/>
          <w:szCs w:val="20"/>
          <w:lang w:eastAsia="en-IN"/>
        </w:rPr>
        <w:t xml:space="preserve">9. </w:t>
      </w:r>
      <w:r w:rsidRPr="00D17768">
        <w:rPr>
          <w:rFonts w:ascii="Arial" w:eastAsia="Times New Roman" w:hAnsi="Arial" w:cs="Arial"/>
          <w:b/>
          <w:bCs/>
          <w:sz w:val="24"/>
          <w:szCs w:val="20"/>
          <w:lang w:eastAsia="en-IN"/>
        </w:rPr>
        <w:t>CONCLUSION</w:t>
      </w:r>
    </w:p>
    <w:p w14:paraId="101C14E9" w14:textId="2B78DFF4" w:rsidR="00D17768" w:rsidRDefault="00D17768" w:rsidP="002A7A4B">
      <w:pPr>
        <w:spacing w:before="100" w:beforeAutospacing="1" w:after="100" w:afterAutospacing="1" w:line="240" w:lineRule="auto"/>
        <w:ind w:left="0"/>
        <w:rPr>
          <w:rFonts w:ascii="Arial" w:eastAsia="Times New Roman" w:hAnsi="Arial" w:cs="Arial"/>
          <w:sz w:val="20"/>
          <w:szCs w:val="20"/>
          <w:lang w:eastAsia="en-IN"/>
        </w:rPr>
      </w:pPr>
      <w:r w:rsidRPr="007A169A">
        <w:rPr>
          <w:rFonts w:ascii="Arial" w:eastAsia="Times New Roman" w:hAnsi="Arial" w:cs="Arial"/>
          <w:sz w:val="20"/>
          <w:szCs w:val="20"/>
          <w:lang w:eastAsia="en-IN"/>
        </w:rPr>
        <w:t xml:space="preserve">Grain sorghum stands at the forefront of resilient and sustainable agriculture, especially in the face of climate uncertainty and the growing demand for food, feed, and fuel. As the fifth most important cereal crop globally, its natural adaptability to drought, heat, and marginal soils makes it a critical component of dryland farming systems. Over the years, concerted breeding efforts have significantly advanced sorghum’s yield potential, biotic and abiotic stress tolerance, and grain quality attributes. The transition from conventional selection to the use of modern breeding technologies has accelerated the development of improved cultivars tailored to diverse </w:t>
      </w:r>
      <w:proofErr w:type="spellStart"/>
      <w:r w:rsidRPr="007A169A">
        <w:rPr>
          <w:rFonts w:ascii="Arial" w:eastAsia="Times New Roman" w:hAnsi="Arial" w:cs="Arial"/>
          <w:sz w:val="20"/>
          <w:szCs w:val="20"/>
          <w:lang w:eastAsia="en-IN"/>
        </w:rPr>
        <w:t>agro</w:t>
      </w:r>
      <w:proofErr w:type="spellEnd"/>
      <w:r w:rsidRPr="007A169A">
        <w:rPr>
          <w:rFonts w:ascii="Arial" w:eastAsia="Times New Roman" w:hAnsi="Arial" w:cs="Arial"/>
          <w:sz w:val="20"/>
          <w:szCs w:val="20"/>
          <w:lang w:eastAsia="en-IN"/>
        </w:rPr>
        <w:t>-ecological and socio-economic contexts.</w:t>
      </w:r>
      <w:r w:rsidR="00813828">
        <w:rPr>
          <w:rFonts w:ascii="Arial" w:eastAsia="Times New Roman" w:hAnsi="Arial" w:cs="Arial"/>
          <w:sz w:val="20"/>
          <w:szCs w:val="20"/>
          <w:lang w:eastAsia="en-IN"/>
        </w:rPr>
        <w:t xml:space="preserve"> </w:t>
      </w:r>
      <w:r w:rsidRPr="007A169A">
        <w:rPr>
          <w:rFonts w:ascii="Arial" w:eastAsia="Times New Roman" w:hAnsi="Arial" w:cs="Arial"/>
          <w:sz w:val="20"/>
          <w:szCs w:val="20"/>
          <w:lang w:eastAsia="en-IN"/>
        </w:rPr>
        <w:t xml:space="preserve">Key advancements include the exploitation of heterosis through hybrid development, the deployment of marker-assisted and genomic selection, and the mapping of critical QTLs for traits such as stay-green, grain </w:t>
      </w:r>
      <w:proofErr w:type="spellStart"/>
      <w:r w:rsidRPr="007A169A">
        <w:rPr>
          <w:rFonts w:ascii="Arial" w:eastAsia="Times New Roman" w:hAnsi="Arial" w:cs="Arial"/>
          <w:sz w:val="20"/>
          <w:szCs w:val="20"/>
          <w:lang w:eastAsia="en-IN"/>
        </w:rPr>
        <w:t>mold</w:t>
      </w:r>
      <w:proofErr w:type="spellEnd"/>
      <w:r w:rsidRPr="007A169A">
        <w:rPr>
          <w:rFonts w:ascii="Arial" w:eastAsia="Times New Roman" w:hAnsi="Arial" w:cs="Arial"/>
          <w:sz w:val="20"/>
          <w:szCs w:val="20"/>
          <w:lang w:eastAsia="en-IN"/>
        </w:rPr>
        <w:t xml:space="preserve"> resistance, and improved nutrient composition. The integration of genome editing tools like CRISPR/Cas9 and multi-omics platforms further enhances the precision and efficiency of trait improvement. However, challenges remain in translating genetic gains to field-level impact, particularly in low-input systems constrained by limited access to quality seeds, infrastructure, and extension services.</w:t>
      </w:r>
      <w:r w:rsidR="00813828">
        <w:rPr>
          <w:rFonts w:ascii="Arial" w:eastAsia="Times New Roman" w:hAnsi="Arial" w:cs="Arial"/>
          <w:sz w:val="20"/>
          <w:szCs w:val="20"/>
          <w:lang w:eastAsia="en-IN"/>
        </w:rPr>
        <w:t xml:space="preserve"> </w:t>
      </w:r>
      <w:r w:rsidRPr="007A169A">
        <w:rPr>
          <w:rFonts w:ascii="Arial" w:eastAsia="Times New Roman" w:hAnsi="Arial" w:cs="Arial"/>
          <w:sz w:val="20"/>
          <w:szCs w:val="20"/>
          <w:lang w:eastAsia="en-IN"/>
        </w:rPr>
        <w:t>Future sorghum breeding must embrace a systems-oriented approach that combines climate resilience, nutritional enhancement, and industrial utility. Investments in high-throughput phenotyping, farmer participatory breeding, and digital agriculture are essential to overcome phenotyping bottlenecks and to ensure that innovations are both scalable and accessible. Ultimately, the success of sorghum as a climate-smart, nutritionally rich, and economically viable crop will depend on strong collaborations among researchers, breeders, policy-makers, and farmers. As global agricultural systems seek resilience and sustainability, sorghum will continue to offer immense promise as a model crop for the challenges and opportunities of the future.</w:t>
      </w:r>
    </w:p>
    <w:p w14:paraId="67BED47F" w14:textId="1EEB0513" w:rsidR="005B0EE3" w:rsidRDefault="005B0EE3" w:rsidP="002A7A4B">
      <w:pPr>
        <w:spacing w:before="100" w:beforeAutospacing="1" w:after="100" w:afterAutospacing="1" w:line="240" w:lineRule="auto"/>
        <w:ind w:left="0"/>
        <w:rPr>
          <w:rFonts w:ascii="Arial" w:eastAsia="Times New Roman" w:hAnsi="Arial" w:cs="Arial"/>
          <w:sz w:val="20"/>
          <w:szCs w:val="20"/>
          <w:lang w:eastAsia="en-IN"/>
        </w:rPr>
      </w:pPr>
    </w:p>
    <w:p w14:paraId="43B858CA" w14:textId="5C55DEBA" w:rsidR="005B0EE3" w:rsidRPr="003429C2" w:rsidRDefault="003429C2" w:rsidP="003429C2">
      <w:pPr>
        <w:ind w:left="0"/>
        <w:rPr>
          <w:rFonts w:ascii="Arial" w:eastAsia="Calibri" w:hAnsi="Arial" w:cs="Arial"/>
          <w:b/>
          <w:kern w:val="2"/>
          <w:sz w:val="24"/>
          <w:highlight w:val="yellow"/>
          <w:lang w:val="en-US"/>
        </w:rPr>
      </w:pPr>
      <w:bookmarkStart w:id="0" w:name="_Hlk180402183"/>
      <w:bookmarkStart w:id="1" w:name="_Hlk183680988"/>
      <w:r w:rsidRPr="003429C2">
        <w:rPr>
          <w:rFonts w:ascii="Arial" w:eastAsia="Calibri" w:hAnsi="Arial" w:cs="Arial"/>
          <w:b/>
          <w:kern w:val="2"/>
          <w:sz w:val="24"/>
          <w:highlight w:val="yellow"/>
          <w:lang w:val="en-US"/>
        </w:rPr>
        <w:t>DISCLAIMER (ARTIFICIAL INTELLIGENCE)</w:t>
      </w:r>
    </w:p>
    <w:p w14:paraId="4B9EC7EF" w14:textId="77777777" w:rsidR="005B0EE3" w:rsidRPr="009C5487" w:rsidRDefault="005B0EE3" w:rsidP="003429C2">
      <w:pPr>
        <w:ind w:left="0"/>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40A3B4F7" w14:textId="18CE80ED" w:rsidR="00813828" w:rsidRPr="007A169A" w:rsidRDefault="00813828" w:rsidP="002A7A4B">
      <w:pPr>
        <w:spacing w:before="100" w:beforeAutospacing="1" w:after="100" w:afterAutospacing="1" w:line="240" w:lineRule="auto"/>
        <w:ind w:left="0"/>
        <w:rPr>
          <w:rFonts w:ascii="Arial" w:eastAsia="Times New Roman" w:hAnsi="Arial" w:cs="Arial"/>
          <w:b/>
          <w:sz w:val="24"/>
          <w:szCs w:val="20"/>
          <w:lang w:eastAsia="en-IN"/>
        </w:rPr>
      </w:pPr>
      <w:r w:rsidRPr="00813828">
        <w:rPr>
          <w:rFonts w:ascii="Arial" w:eastAsia="Times New Roman" w:hAnsi="Arial" w:cs="Arial"/>
          <w:b/>
          <w:sz w:val="24"/>
          <w:szCs w:val="20"/>
          <w:lang w:eastAsia="en-IN"/>
        </w:rPr>
        <w:t>REFERENCES</w:t>
      </w:r>
    </w:p>
    <w:p w14:paraId="6157A168" w14:textId="77777777" w:rsidR="00150D90" w:rsidRPr="002A7A4B" w:rsidRDefault="00150D90" w:rsidP="002A7A4B">
      <w:pPr>
        <w:spacing w:line="240" w:lineRule="auto"/>
        <w:ind w:left="578" w:hanging="578"/>
        <w:rPr>
          <w:rFonts w:ascii="Arial" w:hAnsi="Arial" w:cs="Arial"/>
          <w:sz w:val="20"/>
          <w:szCs w:val="20"/>
        </w:rPr>
      </w:pPr>
      <w:bookmarkStart w:id="2" w:name="_Hlk196234695"/>
      <w:r w:rsidRPr="002A7A4B">
        <w:rPr>
          <w:rFonts w:ascii="Arial" w:hAnsi="Arial" w:cs="Arial"/>
          <w:sz w:val="20"/>
          <w:szCs w:val="20"/>
        </w:rPr>
        <w:t>Abebe</w:t>
      </w:r>
      <w:bookmarkEnd w:id="2"/>
      <w:r w:rsidRPr="002A7A4B">
        <w:rPr>
          <w:rFonts w:ascii="Arial" w:hAnsi="Arial" w:cs="Arial"/>
          <w:sz w:val="20"/>
          <w:szCs w:val="20"/>
        </w:rPr>
        <w:t>, A., &amp; Tafa, Z. (2021). Pre-breeding concept and role in crop improvement. </w:t>
      </w:r>
      <w:r w:rsidRPr="002A7A4B">
        <w:rPr>
          <w:rFonts w:ascii="Arial" w:hAnsi="Arial" w:cs="Arial"/>
          <w:i/>
          <w:iCs/>
          <w:sz w:val="20"/>
          <w:szCs w:val="20"/>
        </w:rPr>
        <w:t xml:space="preserve">Int. J. Res. Appl. Sci. </w:t>
      </w:r>
      <w:proofErr w:type="spellStart"/>
      <w:r w:rsidRPr="002A7A4B">
        <w:rPr>
          <w:rFonts w:ascii="Arial" w:hAnsi="Arial" w:cs="Arial"/>
          <w:i/>
          <w:iCs/>
          <w:sz w:val="20"/>
          <w:szCs w:val="20"/>
        </w:rPr>
        <w:t>Biotechnol</w:t>
      </w:r>
      <w:proofErr w:type="spellEnd"/>
      <w:r w:rsidRPr="002A7A4B">
        <w:rPr>
          <w:rFonts w:ascii="Arial" w:hAnsi="Arial" w:cs="Arial"/>
          <w:sz w:val="20"/>
          <w:szCs w:val="20"/>
        </w:rPr>
        <w:t>, </w:t>
      </w:r>
      <w:r w:rsidRPr="002A7A4B">
        <w:rPr>
          <w:rFonts w:ascii="Arial" w:hAnsi="Arial" w:cs="Arial"/>
          <w:i/>
          <w:iCs/>
          <w:sz w:val="20"/>
          <w:szCs w:val="20"/>
        </w:rPr>
        <w:t>8</w:t>
      </w:r>
      <w:r w:rsidRPr="002A7A4B">
        <w:rPr>
          <w:rFonts w:ascii="Arial" w:hAnsi="Arial" w:cs="Arial"/>
          <w:sz w:val="20"/>
          <w:szCs w:val="20"/>
        </w:rPr>
        <w:t>, 275-279.</w:t>
      </w:r>
    </w:p>
    <w:p w14:paraId="79D802E0" w14:textId="70093E59" w:rsidR="00150D90" w:rsidRPr="002A7A4B" w:rsidRDefault="00150D90" w:rsidP="002A7A4B">
      <w:pPr>
        <w:spacing w:line="240" w:lineRule="auto"/>
        <w:ind w:left="720" w:hanging="720"/>
        <w:rPr>
          <w:rFonts w:ascii="Arial" w:hAnsi="Arial" w:cs="Arial"/>
          <w:sz w:val="20"/>
          <w:szCs w:val="20"/>
        </w:rPr>
      </w:pPr>
      <w:bookmarkStart w:id="3" w:name="_Hlk196227705"/>
      <w:r w:rsidRPr="002A7A4B">
        <w:rPr>
          <w:rFonts w:ascii="Arial" w:hAnsi="Arial" w:cs="Arial"/>
          <w:sz w:val="20"/>
          <w:szCs w:val="20"/>
        </w:rPr>
        <w:t>Abreha</w:t>
      </w:r>
      <w:bookmarkEnd w:id="3"/>
      <w:r w:rsidRPr="002A7A4B">
        <w:rPr>
          <w:rFonts w:ascii="Arial" w:hAnsi="Arial" w:cs="Arial"/>
          <w:sz w:val="20"/>
          <w:szCs w:val="20"/>
        </w:rPr>
        <w:t xml:space="preserve">, K. B., </w:t>
      </w:r>
      <w:proofErr w:type="spellStart"/>
      <w:r w:rsidRPr="002A7A4B">
        <w:rPr>
          <w:rFonts w:ascii="Arial" w:hAnsi="Arial" w:cs="Arial"/>
          <w:sz w:val="20"/>
          <w:szCs w:val="20"/>
        </w:rPr>
        <w:t>Enyew</w:t>
      </w:r>
      <w:proofErr w:type="spellEnd"/>
      <w:r w:rsidRPr="002A7A4B">
        <w:rPr>
          <w:rFonts w:ascii="Arial" w:hAnsi="Arial" w:cs="Arial"/>
          <w:sz w:val="20"/>
          <w:szCs w:val="20"/>
        </w:rPr>
        <w:t xml:space="preserve">, M., Carlsson, A. S., </w:t>
      </w:r>
      <w:proofErr w:type="spellStart"/>
      <w:r w:rsidRPr="002A7A4B">
        <w:rPr>
          <w:rFonts w:ascii="Arial" w:hAnsi="Arial" w:cs="Arial"/>
          <w:sz w:val="20"/>
          <w:szCs w:val="20"/>
        </w:rPr>
        <w:t>Vetukuri</w:t>
      </w:r>
      <w:proofErr w:type="spellEnd"/>
      <w:r w:rsidRPr="002A7A4B">
        <w:rPr>
          <w:rFonts w:ascii="Arial" w:hAnsi="Arial" w:cs="Arial"/>
          <w:sz w:val="20"/>
          <w:szCs w:val="20"/>
        </w:rPr>
        <w:t xml:space="preserve">, R. R., </w:t>
      </w:r>
      <w:proofErr w:type="spellStart"/>
      <w:r w:rsidRPr="002A7A4B">
        <w:rPr>
          <w:rFonts w:ascii="Arial" w:hAnsi="Arial" w:cs="Arial"/>
          <w:sz w:val="20"/>
          <w:szCs w:val="20"/>
        </w:rPr>
        <w:t>Feyissa</w:t>
      </w:r>
      <w:proofErr w:type="spellEnd"/>
      <w:r w:rsidRPr="002A7A4B">
        <w:rPr>
          <w:rFonts w:ascii="Arial" w:hAnsi="Arial" w:cs="Arial"/>
          <w:sz w:val="20"/>
          <w:szCs w:val="20"/>
        </w:rPr>
        <w:t xml:space="preserve">, T., </w:t>
      </w:r>
      <w:proofErr w:type="spellStart"/>
      <w:r w:rsidRPr="002A7A4B">
        <w:rPr>
          <w:rFonts w:ascii="Arial" w:hAnsi="Arial" w:cs="Arial"/>
          <w:sz w:val="20"/>
          <w:szCs w:val="20"/>
        </w:rPr>
        <w:t>Motlhaodi</w:t>
      </w:r>
      <w:proofErr w:type="spellEnd"/>
      <w:r w:rsidRPr="002A7A4B">
        <w:rPr>
          <w:rFonts w:ascii="Arial" w:hAnsi="Arial" w:cs="Arial"/>
          <w:sz w:val="20"/>
          <w:szCs w:val="20"/>
        </w:rPr>
        <w:t xml:space="preserve">, T., ... &amp; Geleta, M. (2022). Sorghum in dryland: morphological, </w:t>
      </w:r>
      <w:proofErr w:type="spellStart"/>
      <w:r w:rsidR="00203719" w:rsidRPr="002A7A4B">
        <w:rPr>
          <w:rFonts w:ascii="Arial" w:hAnsi="Arial" w:cs="Arial"/>
          <w:sz w:val="20"/>
          <w:szCs w:val="20"/>
        </w:rPr>
        <w:t>z</w:t>
      </w:r>
      <w:r w:rsidRPr="002A7A4B">
        <w:rPr>
          <w:rFonts w:ascii="Arial" w:hAnsi="Arial" w:cs="Arial"/>
          <w:sz w:val="20"/>
          <w:szCs w:val="20"/>
        </w:rPr>
        <w:t>physiological</w:t>
      </w:r>
      <w:proofErr w:type="spellEnd"/>
      <w:r w:rsidRPr="002A7A4B">
        <w:rPr>
          <w:rFonts w:ascii="Arial" w:hAnsi="Arial" w:cs="Arial"/>
          <w:sz w:val="20"/>
          <w:szCs w:val="20"/>
        </w:rPr>
        <w:t>, and molecular responses of sorghum under drought stress. </w:t>
      </w:r>
      <w:r w:rsidRPr="002A7A4B">
        <w:rPr>
          <w:rFonts w:ascii="Arial" w:hAnsi="Arial" w:cs="Arial"/>
          <w:i/>
          <w:iCs/>
          <w:sz w:val="20"/>
          <w:szCs w:val="20"/>
        </w:rPr>
        <w:t>Planta</w:t>
      </w:r>
      <w:r w:rsidRPr="002A7A4B">
        <w:rPr>
          <w:rFonts w:ascii="Arial" w:hAnsi="Arial" w:cs="Arial"/>
          <w:sz w:val="20"/>
          <w:szCs w:val="20"/>
        </w:rPr>
        <w:t>, </w:t>
      </w:r>
      <w:r w:rsidRPr="002A7A4B">
        <w:rPr>
          <w:rFonts w:ascii="Arial" w:hAnsi="Arial" w:cs="Arial"/>
          <w:i/>
          <w:iCs/>
          <w:sz w:val="20"/>
          <w:szCs w:val="20"/>
        </w:rPr>
        <w:t>255</w:t>
      </w:r>
      <w:r w:rsidRPr="002A7A4B">
        <w:rPr>
          <w:rFonts w:ascii="Arial" w:hAnsi="Arial" w:cs="Arial"/>
          <w:sz w:val="20"/>
          <w:szCs w:val="20"/>
        </w:rPr>
        <w:t>, 1-23.</w:t>
      </w:r>
    </w:p>
    <w:p w14:paraId="6EF33206" w14:textId="77777777" w:rsidR="00150D90" w:rsidRPr="002A7A4B" w:rsidRDefault="00150D90" w:rsidP="002A7A4B">
      <w:pPr>
        <w:spacing w:line="240" w:lineRule="auto"/>
        <w:ind w:left="720" w:hanging="720"/>
        <w:rPr>
          <w:rFonts w:ascii="Arial" w:hAnsi="Arial" w:cs="Arial"/>
          <w:sz w:val="20"/>
          <w:szCs w:val="20"/>
        </w:rPr>
      </w:pPr>
      <w:bookmarkStart w:id="4" w:name="_Hlk196229468"/>
      <w:r w:rsidRPr="002A7A4B">
        <w:rPr>
          <w:rFonts w:ascii="Arial" w:hAnsi="Arial" w:cs="Arial"/>
          <w:sz w:val="20"/>
          <w:szCs w:val="20"/>
        </w:rPr>
        <w:lastRenderedPageBreak/>
        <w:t>Abreha</w:t>
      </w:r>
      <w:bookmarkEnd w:id="4"/>
      <w:r w:rsidRPr="002A7A4B">
        <w:rPr>
          <w:rFonts w:ascii="Arial" w:hAnsi="Arial" w:cs="Arial"/>
          <w:sz w:val="20"/>
          <w:szCs w:val="20"/>
        </w:rPr>
        <w:t xml:space="preserve">, K. B., </w:t>
      </w:r>
      <w:proofErr w:type="spellStart"/>
      <w:r w:rsidRPr="002A7A4B">
        <w:rPr>
          <w:rFonts w:ascii="Arial" w:hAnsi="Arial" w:cs="Arial"/>
          <w:sz w:val="20"/>
          <w:szCs w:val="20"/>
        </w:rPr>
        <w:t>Enyew</w:t>
      </w:r>
      <w:proofErr w:type="spellEnd"/>
      <w:r w:rsidRPr="002A7A4B">
        <w:rPr>
          <w:rFonts w:ascii="Arial" w:hAnsi="Arial" w:cs="Arial"/>
          <w:sz w:val="20"/>
          <w:szCs w:val="20"/>
        </w:rPr>
        <w:t xml:space="preserve">, M., Carlsson, A. S., </w:t>
      </w:r>
      <w:proofErr w:type="spellStart"/>
      <w:r w:rsidRPr="002A7A4B">
        <w:rPr>
          <w:rFonts w:ascii="Arial" w:hAnsi="Arial" w:cs="Arial"/>
          <w:sz w:val="20"/>
          <w:szCs w:val="20"/>
        </w:rPr>
        <w:t>Vetukuri</w:t>
      </w:r>
      <w:proofErr w:type="spellEnd"/>
      <w:r w:rsidRPr="002A7A4B">
        <w:rPr>
          <w:rFonts w:ascii="Arial" w:hAnsi="Arial" w:cs="Arial"/>
          <w:sz w:val="20"/>
          <w:szCs w:val="20"/>
        </w:rPr>
        <w:t xml:space="preserve">, R. R., </w:t>
      </w:r>
      <w:proofErr w:type="spellStart"/>
      <w:r w:rsidRPr="002A7A4B">
        <w:rPr>
          <w:rFonts w:ascii="Arial" w:hAnsi="Arial" w:cs="Arial"/>
          <w:sz w:val="20"/>
          <w:szCs w:val="20"/>
        </w:rPr>
        <w:t>Feyissa</w:t>
      </w:r>
      <w:proofErr w:type="spellEnd"/>
      <w:r w:rsidRPr="002A7A4B">
        <w:rPr>
          <w:rFonts w:ascii="Arial" w:hAnsi="Arial" w:cs="Arial"/>
          <w:sz w:val="20"/>
          <w:szCs w:val="20"/>
        </w:rPr>
        <w:t xml:space="preserve">, T., </w:t>
      </w:r>
      <w:proofErr w:type="spellStart"/>
      <w:r w:rsidRPr="002A7A4B">
        <w:rPr>
          <w:rFonts w:ascii="Arial" w:hAnsi="Arial" w:cs="Arial"/>
          <w:sz w:val="20"/>
          <w:szCs w:val="20"/>
        </w:rPr>
        <w:t>Motlhaodi</w:t>
      </w:r>
      <w:proofErr w:type="spellEnd"/>
      <w:r w:rsidRPr="002A7A4B">
        <w:rPr>
          <w:rFonts w:ascii="Arial" w:hAnsi="Arial" w:cs="Arial"/>
          <w:sz w:val="20"/>
          <w:szCs w:val="20"/>
        </w:rPr>
        <w:t>, T., ... &amp; Geleta, M. (2022). Sorghum in dryland: morphological, physiological, and molecular responses of sorghum under drought stress. </w:t>
      </w:r>
      <w:r w:rsidRPr="002A7A4B">
        <w:rPr>
          <w:rFonts w:ascii="Arial" w:hAnsi="Arial" w:cs="Arial"/>
          <w:i/>
          <w:iCs/>
          <w:sz w:val="20"/>
          <w:szCs w:val="20"/>
        </w:rPr>
        <w:t>Planta</w:t>
      </w:r>
      <w:r w:rsidRPr="002A7A4B">
        <w:rPr>
          <w:rFonts w:ascii="Arial" w:hAnsi="Arial" w:cs="Arial"/>
          <w:sz w:val="20"/>
          <w:szCs w:val="20"/>
        </w:rPr>
        <w:t>, </w:t>
      </w:r>
      <w:r w:rsidRPr="002A7A4B">
        <w:rPr>
          <w:rFonts w:ascii="Arial" w:hAnsi="Arial" w:cs="Arial"/>
          <w:i/>
          <w:iCs/>
          <w:sz w:val="20"/>
          <w:szCs w:val="20"/>
        </w:rPr>
        <w:t>255</w:t>
      </w:r>
      <w:r w:rsidRPr="002A7A4B">
        <w:rPr>
          <w:rFonts w:ascii="Arial" w:hAnsi="Arial" w:cs="Arial"/>
          <w:sz w:val="20"/>
          <w:szCs w:val="20"/>
        </w:rPr>
        <w:t>, 1-23.</w:t>
      </w:r>
    </w:p>
    <w:p w14:paraId="02D30AB1" w14:textId="77777777" w:rsidR="00150D90" w:rsidRPr="002A7A4B" w:rsidRDefault="00150D90" w:rsidP="002A7A4B">
      <w:pPr>
        <w:spacing w:line="240" w:lineRule="auto"/>
        <w:ind w:left="720" w:hanging="720"/>
        <w:rPr>
          <w:rFonts w:ascii="Arial" w:hAnsi="Arial" w:cs="Arial"/>
          <w:sz w:val="20"/>
          <w:szCs w:val="20"/>
        </w:rPr>
      </w:pPr>
      <w:bookmarkStart w:id="5" w:name="_Hlk196229511"/>
      <w:r w:rsidRPr="002A7A4B">
        <w:rPr>
          <w:rFonts w:ascii="Arial" w:hAnsi="Arial" w:cs="Arial"/>
          <w:sz w:val="20"/>
          <w:szCs w:val="20"/>
        </w:rPr>
        <w:t>Altaf</w:t>
      </w:r>
      <w:bookmarkEnd w:id="5"/>
      <w:r w:rsidRPr="002A7A4B">
        <w:rPr>
          <w:rFonts w:ascii="Arial" w:hAnsi="Arial" w:cs="Arial"/>
          <w:sz w:val="20"/>
          <w:szCs w:val="20"/>
        </w:rPr>
        <w:t>, M. T., Liaqat, W., Ali, A., Jamil, A., Fahad, M., Rahman, M. A. U., ... &amp; Mohamed, H. I. (2025). Advancing chickpea breeding: omics insights for targeted abiotic stress mitigation and genetic enhancement. </w:t>
      </w:r>
      <w:r w:rsidRPr="002A7A4B">
        <w:rPr>
          <w:rFonts w:ascii="Arial" w:hAnsi="Arial" w:cs="Arial"/>
          <w:i/>
          <w:iCs/>
          <w:sz w:val="20"/>
          <w:szCs w:val="20"/>
        </w:rPr>
        <w:t>Biochemical Genetics</w:t>
      </w:r>
      <w:r w:rsidRPr="002A7A4B">
        <w:rPr>
          <w:rFonts w:ascii="Arial" w:hAnsi="Arial" w:cs="Arial"/>
          <w:sz w:val="20"/>
          <w:szCs w:val="20"/>
        </w:rPr>
        <w:t>, </w:t>
      </w:r>
      <w:r w:rsidRPr="002A7A4B">
        <w:rPr>
          <w:rFonts w:ascii="Arial" w:hAnsi="Arial" w:cs="Arial"/>
          <w:i/>
          <w:iCs/>
          <w:sz w:val="20"/>
          <w:szCs w:val="20"/>
        </w:rPr>
        <w:t>63</w:t>
      </w:r>
      <w:r w:rsidRPr="002A7A4B">
        <w:rPr>
          <w:rFonts w:ascii="Arial" w:hAnsi="Arial" w:cs="Arial"/>
          <w:sz w:val="20"/>
          <w:szCs w:val="20"/>
        </w:rPr>
        <w:t>(2), 1063-1115.</w:t>
      </w:r>
    </w:p>
    <w:p w14:paraId="754DDB2D"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Altaf, M. T., Liaqat, W., Jamil, A., Mohamed, H. I., Fahad, M., Jan, M. F., &amp; Baloch, F. S. (2024). A Critical Review: Breeding Objectives, Genomic Resources, and Marker-Assisted Methods in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xml:space="preserve"> L.). </w:t>
      </w:r>
      <w:r w:rsidRPr="002A7A4B">
        <w:rPr>
          <w:rFonts w:ascii="Arial" w:hAnsi="Arial" w:cs="Arial"/>
          <w:i/>
          <w:iCs/>
          <w:sz w:val="20"/>
          <w:szCs w:val="20"/>
        </w:rPr>
        <w:t>Journal of Soil Science and Plant Nutrition</w:t>
      </w:r>
      <w:r w:rsidRPr="002A7A4B">
        <w:rPr>
          <w:rFonts w:ascii="Arial" w:hAnsi="Arial" w:cs="Arial"/>
          <w:sz w:val="20"/>
          <w:szCs w:val="20"/>
        </w:rPr>
        <w:t>, </w:t>
      </w:r>
      <w:r w:rsidRPr="002A7A4B">
        <w:rPr>
          <w:rFonts w:ascii="Arial" w:hAnsi="Arial" w:cs="Arial"/>
          <w:i/>
          <w:iCs/>
          <w:sz w:val="20"/>
          <w:szCs w:val="20"/>
        </w:rPr>
        <w:t>24</w:t>
      </w:r>
      <w:r w:rsidRPr="002A7A4B">
        <w:rPr>
          <w:rFonts w:ascii="Arial" w:hAnsi="Arial" w:cs="Arial"/>
          <w:sz w:val="20"/>
          <w:szCs w:val="20"/>
        </w:rPr>
        <w:t>(3), 4597-4623.</w:t>
      </w:r>
    </w:p>
    <w:p w14:paraId="46DE3400" w14:textId="77777777" w:rsidR="00150D90" w:rsidRPr="002A7A4B" w:rsidRDefault="00150D90" w:rsidP="002A7A4B">
      <w:pPr>
        <w:spacing w:line="240" w:lineRule="auto"/>
        <w:ind w:left="720" w:hanging="720"/>
        <w:rPr>
          <w:rFonts w:ascii="Arial" w:hAnsi="Arial" w:cs="Arial"/>
          <w:sz w:val="20"/>
          <w:szCs w:val="20"/>
        </w:rPr>
      </w:pPr>
      <w:bookmarkStart w:id="6" w:name="_Hlk196229369"/>
      <w:r w:rsidRPr="002A7A4B">
        <w:rPr>
          <w:rFonts w:ascii="Arial" w:hAnsi="Arial" w:cs="Arial"/>
          <w:sz w:val="20"/>
          <w:szCs w:val="20"/>
        </w:rPr>
        <w:t>Altaf</w:t>
      </w:r>
      <w:bookmarkEnd w:id="6"/>
      <w:r w:rsidRPr="002A7A4B">
        <w:rPr>
          <w:rFonts w:ascii="Arial" w:hAnsi="Arial" w:cs="Arial"/>
          <w:sz w:val="20"/>
          <w:szCs w:val="20"/>
        </w:rPr>
        <w:t xml:space="preserve">, M. T., Liaqat, W., Jamil, A., Mohamed, H. I., Fahad, M., Jan, M. F., &amp; Baloch, F. S. (2024). A Critical Review: Breeding Objectives, Genomic Resources, and Marker-Assisted Methods in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xml:space="preserve"> L.). </w:t>
      </w:r>
      <w:r w:rsidRPr="002A7A4B">
        <w:rPr>
          <w:rFonts w:ascii="Arial" w:hAnsi="Arial" w:cs="Arial"/>
          <w:i/>
          <w:iCs/>
          <w:sz w:val="20"/>
          <w:szCs w:val="20"/>
        </w:rPr>
        <w:t>Journal of Soil Science and Plant Nutrition</w:t>
      </w:r>
      <w:r w:rsidRPr="002A7A4B">
        <w:rPr>
          <w:rFonts w:ascii="Arial" w:hAnsi="Arial" w:cs="Arial"/>
          <w:sz w:val="20"/>
          <w:szCs w:val="20"/>
        </w:rPr>
        <w:t>, </w:t>
      </w:r>
      <w:r w:rsidRPr="002A7A4B">
        <w:rPr>
          <w:rFonts w:ascii="Arial" w:hAnsi="Arial" w:cs="Arial"/>
          <w:i/>
          <w:iCs/>
          <w:sz w:val="20"/>
          <w:szCs w:val="20"/>
        </w:rPr>
        <w:t>24</w:t>
      </w:r>
      <w:r w:rsidRPr="002A7A4B">
        <w:rPr>
          <w:rFonts w:ascii="Arial" w:hAnsi="Arial" w:cs="Arial"/>
          <w:sz w:val="20"/>
          <w:szCs w:val="20"/>
        </w:rPr>
        <w:t>(3), 4597-4623.</w:t>
      </w:r>
    </w:p>
    <w:p w14:paraId="557DCF12"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Ameen, M., Mahmood, A., Shehzad, A. N., Zia, M. A., &amp; Javaid, M. M. (2024). Sorghum's potential unleashed: A comprehensive exploration of bio-energy production strategies and innovations. </w:t>
      </w:r>
      <w:r w:rsidRPr="002A7A4B">
        <w:rPr>
          <w:rFonts w:ascii="Arial" w:hAnsi="Arial" w:cs="Arial"/>
          <w:i/>
          <w:iCs/>
          <w:sz w:val="20"/>
          <w:szCs w:val="20"/>
        </w:rPr>
        <w:t>Bioresource Technology Reports</w:t>
      </w:r>
      <w:r w:rsidRPr="002A7A4B">
        <w:rPr>
          <w:rFonts w:ascii="Arial" w:hAnsi="Arial" w:cs="Arial"/>
          <w:sz w:val="20"/>
          <w:szCs w:val="20"/>
        </w:rPr>
        <w:t>, 101906.</w:t>
      </w:r>
    </w:p>
    <w:p w14:paraId="567DD508"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Amelework, B., Shimelis, H., </w:t>
      </w:r>
      <w:proofErr w:type="spellStart"/>
      <w:r w:rsidRPr="002A7A4B">
        <w:rPr>
          <w:rFonts w:ascii="Arial" w:hAnsi="Arial" w:cs="Arial"/>
          <w:sz w:val="20"/>
          <w:szCs w:val="20"/>
        </w:rPr>
        <w:t>Tongoona</w:t>
      </w:r>
      <w:proofErr w:type="spellEnd"/>
      <w:r w:rsidRPr="002A7A4B">
        <w:rPr>
          <w:rFonts w:ascii="Arial" w:hAnsi="Arial" w:cs="Arial"/>
          <w:sz w:val="20"/>
          <w:szCs w:val="20"/>
        </w:rPr>
        <w:t>, P., &amp; Laing, M. (2015). Physiological mechanisms of drought tolerance in sorghum, genetic basis and breeding methods: A review. </w:t>
      </w:r>
      <w:r w:rsidRPr="002A7A4B">
        <w:rPr>
          <w:rFonts w:ascii="Arial" w:hAnsi="Arial" w:cs="Arial"/>
          <w:i/>
          <w:iCs/>
          <w:sz w:val="20"/>
          <w:szCs w:val="20"/>
        </w:rPr>
        <w:t>African Journal of Agricultural Research</w:t>
      </w:r>
      <w:r w:rsidRPr="002A7A4B">
        <w:rPr>
          <w:rFonts w:ascii="Arial" w:hAnsi="Arial" w:cs="Arial"/>
          <w:sz w:val="20"/>
          <w:szCs w:val="20"/>
        </w:rPr>
        <w:t>, </w:t>
      </w:r>
      <w:r w:rsidRPr="002A7A4B">
        <w:rPr>
          <w:rFonts w:ascii="Arial" w:hAnsi="Arial" w:cs="Arial"/>
          <w:i/>
          <w:iCs/>
          <w:sz w:val="20"/>
          <w:szCs w:val="20"/>
        </w:rPr>
        <w:t>10</w:t>
      </w:r>
      <w:r w:rsidRPr="002A7A4B">
        <w:rPr>
          <w:rFonts w:ascii="Arial" w:hAnsi="Arial" w:cs="Arial"/>
          <w:sz w:val="20"/>
          <w:szCs w:val="20"/>
        </w:rPr>
        <w:t>(31), 3029-3040.</w:t>
      </w:r>
    </w:p>
    <w:p w14:paraId="34627889"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Asfaw, M., &amp; </w:t>
      </w:r>
      <w:proofErr w:type="spellStart"/>
      <w:r w:rsidRPr="002A7A4B">
        <w:rPr>
          <w:rFonts w:ascii="Arial" w:hAnsi="Arial" w:cs="Arial"/>
          <w:sz w:val="20"/>
          <w:szCs w:val="20"/>
        </w:rPr>
        <w:t>Tekalign</w:t>
      </w:r>
      <w:proofErr w:type="spellEnd"/>
      <w:r w:rsidRPr="002A7A4B">
        <w:rPr>
          <w:rFonts w:ascii="Arial" w:hAnsi="Arial" w:cs="Arial"/>
          <w:sz w:val="20"/>
          <w:szCs w:val="20"/>
        </w:rPr>
        <w:t>, M. (2025). The Effects of Climate Change on Crop Yield in Selected Zones of Oromia Region, Ethiopia. </w:t>
      </w:r>
      <w:r w:rsidRPr="002A7A4B">
        <w:rPr>
          <w:rFonts w:ascii="Arial" w:hAnsi="Arial" w:cs="Arial"/>
          <w:i/>
          <w:iCs/>
          <w:sz w:val="20"/>
          <w:szCs w:val="20"/>
        </w:rPr>
        <w:t>Ethiopian Economics Association (EEA)</w:t>
      </w:r>
      <w:r w:rsidRPr="002A7A4B">
        <w:rPr>
          <w:rFonts w:ascii="Arial" w:hAnsi="Arial" w:cs="Arial"/>
          <w:sz w:val="20"/>
          <w:szCs w:val="20"/>
        </w:rPr>
        <w:t>, 118.</w:t>
      </w:r>
    </w:p>
    <w:p w14:paraId="40B6F770" w14:textId="77777777" w:rsidR="00150D90" w:rsidRPr="002A7A4B" w:rsidRDefault="00150D90" w:rsidP="002A7A4B">
      <w:pPr>
        <w:spacing w:line="240" w:lineRule="auto"/>
        <w:ind w:left="720" w:hanging="720"/>
        <w:rPr>
          <w:rFonts w:ascii="Arial" w:hAnsi="Arial" w:cs="Arial"/>
          <w:sz w:val="20"/>
          <w:szCs w:val="20"/>
        </w:rPr>
      </w:pPr>
      <w:bookmarkStart w:id="7" w:name="_Hlk196227504"/>
      <w:r w:rsidRPr="002A7A4B">
        <w:rPr>
          <w:rFonts w:ascii="Arial" w:hAnsi="Arial" w:cs="Arial"/>
          <w:sz w:val="20"/>
          <w:szCs w:val="20"/>
        </w:rPr>
        <w:t>Ashok</w:t>
      </w:r>
      <w:bookmarkEnd w:id="7"/>
      <w:r w:rsidRPr="002A7A4B">
        <w:rPr>
          <w:rFonts w:ascii="Arial" w:hAnsi="Arial" w:cs="Arial"/>
          <w:sz w:val="20"/>
          <w:szCs w:val="20"/>
        </w:rPr>
        <w:t xml:space="preserve"> Kumar, A., Gorthy, S., Sharma, H. C., Huang, Y., Sharma, R., &amp; Reddy, B. V. (2014). Understanding genetic control of biotic stress resistance in sorghum for applied breeding.</w:t>
      </w:r>
    </w:p>
    <w:p w14:paraId="463F4B18" w14:textId="77777777" w:rsidR="00150D90" w:rsidRPr="002A7A4B" w:rsidRDefault="00150D90" w:rsidP="002A7A4B">
      <w:pPr>
        <w:spacing w:line="240" w:lineRule="auto"/>
        <w:ind w:left="720" w:hanging="720"/>
        <w:rPr>
          <w:rFonts w:ascii="Arial" w:hAnsi="Arial" w:cs="Arial"/>
          <w:sz w:val="20"/>
          <w:szCs w:val="20"/>
        </w:rPr>
      </w:pPr>
      <w:bookmarkStart w:id="8" w:name="_Hlk196228961"/>
      <w:r w:rsidRPr="002A7A4B">
        <w:rPr>
          <w:rFonts w:ascii="Arial" w:hAnsi="Arial" w:cs="Arial"/>
          <w:sz w:val="20"/>
          <w:szCs w:val="20"/>
        </w:rPr>
        <w:t>Badu-</w:t>
      </w:r>
      <w:proofErr w:type="spellStart"/>
      <w:r w:rsidRPr="002A7A4B">
        <w:rPr>
          <w:rFonts w:ascii="Arial" w:hAnsi="Arial" w:cs="Arial"/>
          <w:sz w:val="20"/>
          <w:szCs w:val="20"/>
        </w:rPr>
        <w:t>Apraku</w:t>
      </w:r>
      <w:bookmarkEnd w:id="8"/>
      <w:proofErr w:type="spellEnd"/>
      <w:r w:rsidRPr="002A7A4B">
        <w:rPr>
          <w:rFonts w:ascii="Arial" w:hAnsi="Arial" w:cs="Arial"/>
          <w:sz w:val="20"/>
          <w:szCs w:val="20"/>
        </w:rPr>
        <w:t xml:space="preserve">, B., </w:t>
      </w:r>
      <w:proofErr w:type="spellStart"/>
      <w:r w:rsidRPr="002A7A4B">
        <w:rPr>
          <w:rFonts w:ascii="Arial" w:hAnsi="Arial" w:cs="Arial"/>
          <w:sz w:val="20"/>
          <w:szCs w:val="20"/>
        </w:rPr>
        <w:t>Fakorede</w:t>
      </w:r>
      <w:proofErr w:type="spellEnd"/>
      <w:r w:rsidRPr="002A7A4B">
        <w:rPr>
          <w:rFonts w:ascii="Arial" w:hAnsi="Arial" w:cs="Arial"/>
          <w:sz w:val="20"/>
          <w:szCs w:val="20"/>
        </w:rPr>
        <w:t>, M. A. B., Badu-</w:t>
      </w:r>
      <w:proofErr w:type="spellStart"/>
      <w:r w:rsidRPr="002A7A4B">
        <w:rPr>
          <w:rFonts w:ascii="Arial" w:hAnsi="Arial" w:cs="Arial"/>
          <w:sz w:val="20"/>
          <w:szCs w:val="20"/>
        </w:rPr>
        <w:t>Apraku</w:t>
      </w:r>
      <w:proofErr w:type="spellEnd"/>
      <w:r w:rsidRPr="002A7A4B">
        <w:rPr>
          <w:rFonts w:ascii="Arial" w:hAnsi="Arial" w:cs="Arial"/>
          <w:sz w:val="20"/>
          <w:szCs w:val="20"/>
        </w:rPr>
        <w:t xml:space="preserve">, B., &amp; </w:t>
      </w:r>
      <w:proofErr w:type="spellStart"/>
      <w:r w:rsidRPr="002A7A4B">
        <w:rPr>
          <w:rFonts w:ascii="Arial" w:hAnsi="Arial" w:cs="Arial"/>
          <w:sz w:val="20"/>
          <w:szCs w:val="20"/>
        </w:rPr>
        <w:t>Fakorede</w:t>
      </w:r>
      <w:proofErr w:type="spellEnd"/>
      <w:r w:rsidRPr="002A7A4B">
        <w:rPr>
          <w:rFonts w:ascii="Arial" w:hAnsi="Arial" w:cs="Arial"/>
          <w:sz w:val="20"/>
          <w:szCs w:val="20"/>
        </w:rPr>
        <w:t>, M. A. B. (2017). Population Improvement and Development of Open-Pollinated Varieties. </w:t>
      </w:r>
      <w:r w:rsidRPr="002A7A4B">
        <w:rPr>
          <w:rFonts w:ascii="Arial" w:hAnsi="Arial" w:cs="Arial"/>
          <w:i/>
          <w:iCs/>
          <w:sz w:val="20"/>
          <w:szCs w:val="20"/>
        </w:rPr>
        <w:t>Advances in Genetic Enhancement of Early and Extra-Early Maize for Sub-Saharan Africa</w:t>
      </w:r>
      <w:r w:rsidRPr="002A7A4B">
        <w:rPr>
          <w:rFonts w:ascii="Arial" w:hAnsi="Arial" w:cs="Arial"/>
          <w:sz w:val="20"/>
          <w:szCs w:val="20"/>
        </w:rPr>
        <w:t>, 67-110.</w:t>
      </w:r>
    </w:p>
    <w:p w14:paraId="0530B588"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Begna, T. (2022). Hybrid sorghum development mechanisms to enhance production and productivity. </w:t>
      </w:r>
      <w:r w:rsidRPr="002A7A4B">
        <w:rPr>
          <w:rFonts w:ascii="Arial" w:hAnsi="Arial" w:cs="Arial"/>
          <w:i/>
          <w:iCs/>
          <w:sz w:val="20"/>
          <w:szCs w:val="20"/>
        </w:rPr>
        <w:t>Int J Res Stud Agric Sci</w:t>
      </w:r>
      <w:r w:rsidRPr="002A7A4B">
        <w:rPr>
          <w:rFonts w:ascii="Arial" w:hAnsi="Arial" w:cs="Arial"/>
          <w:sz w:val="20"/>
          <w:szCs w:val="20"/>
        </w:rPr>
        <w:t>, </w:t>
      </w:r>
      <w:r w:rsidRPr="002A7A4B">
        <w:rPr>
          <w:rFonts w:ascii="Arial" w:hAnsi="Arial" w:cs="Arial"/>
          <w:i/>
          <w:iCs/>
          <w:sz w:val="20"/>
          <w:szCs w:val="20"/>
        </w:rPr>
        <w:t>8</w:t>
      </w:r>
      <w:r w:rsidRPr="002A7A4B">
        <w:rPr>
          <w:rFonts w:ascii="Arial" w:hAnsi="Arial" w:cs="Arial"/>
          <w:sz w:val="20"/>
          <w:szCs w:val="20"/>
        </w:rPr>
        <w:t>(2), 20-31.</w:t>
      </w:r>
    </w:p>
    <w:p w14:paraId="38B0E5C4" w14:textId="77777777" w:rsidR="00150D90" w:rsidRPr="002A7A4B" w:rsidRDefault="00150D90" w:rsidP="002A7A4B">
      <w:pPr>
        <w:spacing w:line="240" w:lineRule="auto"/>
        <w:ind w:left="720" w:hanging="720"/>
        <w:rPr>
          <w:rFonts w:ascii="Arial" w:hAnsi="Arial" w:cs="Arial"/>
          <w:sz w:val="20"/>
          <w:szCs w:val="20"/>
        </w:rPr>
      </w:pPr>
      <w:bookmarkStart w:id="9" w:name="_Hlk196229259"/>
      <w:r w:rsidRPr="002A7A4B">
        <w:rPr>
          <w:rFonts w:ascii="Arial" w:hAnsi="Arial" w:cs="Arial"/>
          <w:sz w:val="20"/>
          <w:szCs w:val="20"/>
        </w:rPr>
        <w:t>Begna</w:t>
      </w:r>
      <w:bookmarkEnd w:id="9"/>
      <w:r w:rsidRPr="002A7A4B">
        <w:rPr>
          <w:rFonts w:ascii="Arial" w:hAnsi="Arial" w:cs="Arial"/>
          <w:sz w:val="20"/>
          <w:szCs w:val="20"/>
        </w:rPr>
        <w:t>, T. (2022). Hybrid sorghum development mechanisms to enhance production and productivity. </w:t>
      </w:r>
      <w:r w:rsidRPr="002A7A4B">
        <w:rPr>
          <w:rFonts w:ascii="Arial" w:hAnsi="Arial" w:cs="Arial"/>
          <w:i/>
          <w:iCs/>
          <w:sz w:val="20"/>
          <w:szCs w:val="20"/>
        </w:rPr>
        <w:t>Int J Res Stud Agric Sci</w:t>
      </w:r>
      <w:r w:rsidRPr="002A7A4B">
        <w:rPr>
          <w:rFonts w:ascii="Arial" w:hAnsi="Arial" w:cs="Arial"/>
          <w:sz w:val="20"/>
          <w:szCs w:val="20"/>
        </w:rPr>
        <w:t>, </w:t>
      </w:r>
      <w:r w:rsidRPr="002A7A4B">
        <w:rPr>
          <w:rFonts w:ascii="Arial" w:hAnsi="Arial" w:cs="Arial"/>
          <w:i/>
          <w:iCs/>
          <w:sz w:val="20"/>
          <w:szCs w:val="20"/>
        </w:rPr>
        <w:t>8</w:t>
      </w:r>
      <w:r w:rsidRPr="002A7A4B">
        <w:rPr>
          <w:rFonts w:ascii="Arial" w:hAnsi="Arial" w:cs="Arial"/>
          <w:sz w:val="20"/>
          <w:szCs w:val="20"/>
        </w:rPr>
        <w:t>(2), 20-31.</w:t>
      </w:r>
    </w:p>
    <w:p w14:paraId="756B755A"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Behera, P. P., </w:t>
      </w:r>
      <w:proofErr w:type="spellStart"/>
      <w:r w:rsidRPr="002A7A4B">
        <w:rPr>
          <w:rFonts w:ascii="Arial" w:hAnsi="Arial" w:cs="Arial"/>
          <w:sz w:val="20"/>
          <w:szCs w:val="20"/>
        </w:rPr>
        <w:t>Saharia</w:t>
      </w:r>
      <w:proofErr w:type="spellEnd"/>
      <w:r w:rsidRPr="002A7A4B">
        <w:rPr>
          <w:rFonts w:ascii="Arial" w:hAnsi="Arial" w:cs="Arial"/>
          <w:sz w:val="20"/>
          <w:szCs w:val="20"/>
        </w:rPr>
        <w:t>, N., Borah, N., Devi, S. H., &amp; Sarma, R. N. (2022). Sorghum physiology and adaptation to abiotic stresses. </w:t>
      </w:r>
      <w:r w:rsidRPr="002A7A4B">
        <w:rPr>
          <w:rFonts w:ascii="Arial" w:hAnsi="Arial" w:cs="Arial"/>
          <w:i/>
          <w:iCs/>
          <w:sz w:val="20"/>
          <w:szCs w:val="20"/>
        </w:rPr>
        <w:t>Int. J. Environ. Clim. Change</w:t>
      </w:r>
      <w:r w:rsidRPr="002A7A4B">
        <w:rPr>
          <w:rFonts w:ascii="Arial" w:hAnsi="Arial" w:cs="Arial"/>
          <w:sz w:val="20"/>
          <w:szCs w:val="20"/>
        </w:rPr>
        <w:t>, </w:t>
      </w:r>
      <w:r w:rsidRPr="002A7A4B">
        <w:rPr>
          <w:rFonts w:ascii="Arial" w:hAnsi="Arial" w:cs="Arial"/>
          <w:i/>
          <w:iCs/>
          <w:sz w:val="20"/>
          <w:szCs w:val="20"/>
        </w:rPr>
        <w:t>12</w:t>
      </w:r>
      <w:r w:rsidRPr="002A7A4B">
        <w:rPr>
          <w:rFonts w:ascii="Arial" w:hAnsi="Arial" w:cs="Arial"/>
          <w:sz w:val="20"/>
          <w:szCs w:val="20"/>
        </w:rPr>
        <w:t>(10), 1005-1022.</w:t>
      </w:r>
    </w:p>
    <w:p w14:paraId="36820624"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Bellon, M. R. (2007). Crop research to benefit poor farmers in marginal areas of the developing world: a review of technical challenges and tools. </w:t>
      </w:r>
      <w:r w:rsidRPr="002A7A4B">
        <w:rPr>
          <w:rFonts w:ascii="Arial" w:hAnsi="Arial" w:cs="Arial"/>
          <w:i/>
          <w:iCs/>
          <w:sz w:val="20"/>
          <w:szCs w:val="20"/>
        </w:rPr>
        <w:t>CABI Reviews</w:t>
      </w:r>
      <w:r w:rsidRPr="002A7A4B">
        <w:rPr>
          <w:rFonts w:ascii="Arial" w:hAnsi="Arial" w:cs="Arial"/>
          <w:sz w:val="20"/>
          <w:szCs w:val="20"/>
        </w:rPr>
        <w:t>, (2006), 11-pp.</w:t>
      </w:r>
    </w:p>
    <w:p w14:paraId="35326414" w14:textId="77777777" w:rsidR="00150D90" w:rsidRPr="002A7A4B" w:rsidRDefault="00150D90" w:rsidP="002A7A4B">
      <w:pPr>
        <w:spacing w:line="240" w:lineRule="auto"/>
        <w:ind w:left="720" w:hanging="720"/>
        <w:rPr>
          <w:rFonts w:ascii="Arial" w:hAnsi="Arial" w:cs="Arial"/>
          <w:sz w:val="20"/>
          <w:szCs w:val="20"/>
        </w:rPr>
      </w:pPr>
      <w:bookmarkStart w:id="10" w:name="_Hlk196234265"/>
      <w:r w:rsidRPr="002A7A4B">
        <w:rPr>
          <w:rFonts w:ascii="Arial" w:hAnsi="Arial" w:cs="Arial"/>
          <w:sz w:val="20"/>
          <w:szCs w:val="20"/>
        </w:rPr>
        <w:t>Bhati</w:t>
      </w:r>
      <w:bookmarkEnd w:id="10"/>
      <w:r w:rsidRPr="002A7A4B">
        <w:rPr>
          <w:rFonts w:ascii="Arial" w:hAnsi="Arial" w:cs="Arial"/>
          <w:sz w:val="20"/>
          <w:szCs w:val="20"/>
        </w:rPr>
        <w:t>, P. K., &amp; Joshi, A. K. (2024). Role of omics tools in the understanding of abiotic stress tolerance in wheat crop. In </w:t>
      </w:r>
      <w:r w:rsidRPr="002A7A4B">
        <w:rPr>
          <w:rFonts w:ascii="Arial" w:hAnsi="Arial" w:cs="Arial"/>
          <w:i/>
          <w:iCs/>
          <w:sz w:val="20"/>
          <w:szCs w:val="20"/>
        </w:rPr>
        <w:t>Current Omics Advancement in Plant Abiotic Stress Biology</w:t>
      </w:r>
      <w:r w:rsidRPr="002A7A4B">
        <w:rPr>
          <w:rFonts w:ascii="Arial" w:hAnsi="Arial" w:cs="Arial"/>
          <w:sz w:val="20"/>
          <w:szCs w:val="20"/>
        </w:rPr>
        <w:t> (pp. 193-213). Academic Press.</w:t>
      </w:r>
    </w:p>
    <w:p w14:paraId="6936144D" w14:textId="77777777" w:rsidR="00150D90" w:rsidRPr="002A7A4B" w:rsidRDefault="00150D90" w:rsidP="002A7A4B">
      <w:pPr>
        <w:spacing w:line="240" w:lineRule="auto"/>
        <w:ind w:left="720" w:hanging="720"/>
        <w:rPr>
          <w:rFonts w:ascii="Arial" w:hAnsi="Arial" w:cs="Arial"/>
          <w:sz w:val="20"/>
          <w:szCs w:val="20"/>
        </w:rPr>
      </w:pPr>
      <w:bookmarkStart w:id="11" w:name="_Hlk196228721"/>
      <w:r w:rsidRPr="002A7A4B">
        <w:rPr>
          <w:rFonts w:ascii="Arial" w:hAnsi="Arial" w:cs="Arial"/>
          <w:sz w:val="20"/>
          <w:szCs w:val="20"/>
        </w:rPr>
        <w:t>Boyles</w:t>
      </w:r>
      <w:bookmarkEnd w:id="11"/>
      <w:r w:rsidRPr="002A7A4B">
        <w:rPr>
          <w:rFonts w:ascii="Arial" w:hAnsi="Arial" w:cs="Arial"/>
          <w:sz w:val="20"/>
          <w:szCs w:val="20"/>
        </w:rPr>
        <w:t xml:space="preserve">, R. E., Brenton, Z. W., &amp; </w:t>
      </w:r>
      <w:proofErr w:type="spellStart"/>
      <w:r w:rsidRPr="002A7A4B">
        <w:rPr>
          <w:rFonts w:ascii="Arial" w:hAnsi="Arial" w:cs="Arial"/>
          <w:sz w:val="20"/>
          <w:szCs w:val="20"/>
        </w:rPr>
        <w:t>Kresovich</w:t>
      </w:r>
      <w:proofErr w:type="spellEnd"/>
      <w:r w:rsidRPr="002A7A4B">
        <w:rPr>
          <w:rFonts w:ascii="Arial" w:hAnsi="Arial" w:cs="Arial"/>
          <w:sz w:val="20"/>
          <w:szCs w:val="20"/>
        </w:rPr>
        <w:t>, S. (2019). Genetic and genomic resources of sorghum to connect genotype with phenotype in contrasting environments. </w:t>
      </w:r>
      <w:r w:rsidRPr="002A7A4B">
        <w:rPr>
          <w:rFonts w:ascii="Arial" w:hAnsi="Arial" w:cs="Arial"/>
          <w:i/>
          <w:iCs/>
          <w:sz w:val="20"/>
          <w:szCs w:val="20"/>
        </w:rPr>
        <w:t>The Plant Journal</w:t>
      </w:r>
      <w:r w:rsidRPr="002A7A4B">
        <w:rPr>
          <w:rFonts w:ascii="Arial" w:hAnsi="Arial" w:cs="Arial"/>
          <w:sz w:val="20"/>
          <w:szCs w:val="20"/>
        </w:rPr>
        <w:t>, </w:t>
      </w:r>
      <w:r w:rsidRPr="002A7A4B">
        <w:rPr>
          <w:rFonts w:ascii="Arial" w:hAnsi="Arial" w:cs="Arial"/>
          <w:i/>
          <w:iCs/>
          <w:sz w:val="20"/>
          <w:szCs w:val="20"/>
        </w:rPr>
        <w:t>97</w:t>
      </w:r>
      <w:r w:rsidRPr="002A7A4B">
        <w:rPr>
          <w:rFonts w:ascii="Arial" w:hAnsi="Arial" w:cs="Arial"/>
          <w:sz w:val="20"/>
          <w:szCs w:val="20"/>
        </w:rPr>
        <w:t>(1), 19-39.</w:t>
      </w:r>
    </w:p>
    <w:p w14:paraId="5AB5C149" w14:textId="77777777" w:rsidR="00150D90" w:rsidRPr="002A7A4B" w:rsidRDefault="00150D90" w:rsidP="002A7A4B">
      <w:pPr>
        <w:spacing w:line="240" w:lineRule="auto"/>
        <w:ind w:left="720" w:hanging="720"/>
        <w:rPr>
          <w:rFonts w:ascii="Arial" w:hAnsi="Arial" w:cs="Arial"/>
          <w:sz w:val="20"/>
          <w:szCs w:val="20"/>
        </w:rPr>
      </w:pPr>
      <w:bookmarkStart w:id="12" w:name="_Hlk196229821"/>
      <w:r w:rsidRPr="002A7A4B">
        <w:rPr>
          <w:rFonts w:ascii="Arial" w:hAnsi="Arial" w:cs="Arial"/>
          <w:sz w:val="20"/>
          <w:szCs w:val="20"/>
        </w:rPr>
        <w:t>Calone</w:t>
      </w:r>
      <w:bookmarkEnd w:id="12"/>
      <w:r w:rsidRPr="002A7A4B">
        <w:rPr>
          <w:rFonts w:ascii="Arial" w:hAnsi="Arial" w:cs="Arial"/>
          <w:sz w:val="20"/>
          <w:szCs w:val="20"/>
        </w:rPr>
        <w:t xml:space="preserve">, R., </w:t>
      </w:r>
      <w:proofErr w:type="spellStart"/>
      <w:r w:rsidRPr="002A7A4B">
        <w:rPr>
          <w:rFonts w:ascii="Arial" w:hAnsi="Arial" w:cs="Arial"/>
          <w:sz w:val="20"/>
          <w:szCs w:val="20"/>
        </w:rPr>
        <w:t>Sanoubar</w:t>
      </w:r>
      <w:proofErr w:type="spellEnd"/>
      <w:r w:rsidRPr="002A7A4B">
        <w:rPr>
          <w:rFonts w:ascii="Arial" w:hAnsi="Arial" w:cs="Arial"/>
          <w:sz w:val="20"/>
          <w:szCs w:val="20"/>
        </w:rPr>
        <w:t xml:space="preserve">, R., </w:t>
      </w:r>
      <w:proofErr w:type="spellStart"/>
      <w:r w:rsidRPr="002A7A4B">
        <w:rPr>
          <w:rFonts w:ascii="Arial" w:hAnsi="Arial" w:cs="Arial"/>
          <w:sz w:val="20"/>
          <w:szCs w:val="20"/>
        </w:rPr>
        <w:t>Lambertini</w:t>
      </w:r>
      <w:proofErr w:type="spellEnd"/>
      <w:r w:rsidRPr="002A7A4B">
        <w:rPr>
          <w:rFonts w:ascii="Arial" w:hAnsi="Arial" w:cs="Arial"/>
          <w:sz w:val="20"/>
          <w:szCs w:val="20"/>
        </w:rPr>
        <w:t xml:space="preserve">, C., Speranza, M., Vittori </w:t>
      </w:r>
      <w:proofErr w:type="spellStart"/>
      <w:r w:rsidRPr="002A7A4B">
        <w:rPr>
          <w:rFonts w:ascii="Arial" w:hAnsi="Arial" w:cs="Arial"/>
          <w:sz w:val="20"/>
          <w:szCs w:val="20"/>
        </w:rPr>
        <w:t>Antisari</w:t>
      </w:r>
      <w:proofErr w:type="spellEnd"/>
      <w:r w:rsidRPr="002A7A4B">
        <w:rPr>
          <w:rFonts w:ascii="Arial" w:hAnsi="Arial" w:cs="Arial"/>
          <w:sz w:val="20"/>
          <w:szCs w:val="20"/>
        </w:rPr>
        <w:t xml:space="preserve">, L., Vianello, G., &amp; </w:t>
      </w:r>
      <w:proofErr w:type="spellStart"/>
      <w:r w:rsidRPr="002A7A4B">
        <w:rPr>
          <w:rFonts w:ascii="Arial" w:hAnsi="Arial" w:cs="Arial"/>
          <w:sz w:val="20"/>
          <w:szCs w:val="20"/>
        </w:rPr>
        <w:t>Barbanti</w:t>
      </w:r>
      <w:proofErr w:type="spellEnd"/>
      <w:r w:rsidRPr="002A7A4B">
        <w:rPr>
          <w:rFonts w:ascii="Arial" w:hAnsi="Arial" w:cs="Arial"/>
          <w:sz w:val="20"/>
          <w:szCs w:val="20"/>
        </w:rPr>
        <w:t xml:space="preserve">, L. (2020). Salt tolerance and Na allocation in Sorghum </w:t>
      </w:r>
      <w:proofErr w:type="spellStart"/>
      <w:r w:rsidRPr="002A7A4B">
        <w:rPr>
          <w:rFonts w:ascii="Arial" w:hAnsi="Arial" w:cs="Arial"/>
          <w:sz w:val="20"/>
          <w:szCs w:val="20"/>
        </w:rPr>
        <w:t>bicolor</w:t>
      </w:r>
      <w:proofErr w:type="spellEnd"/>
      <w:r w:rsidRPr="002A7A4B">
        <w:rPr>
          <w:rFonts w:ascii="Arial" w:hAnsi="Arial" w:cs="Arial"/>
          <w:sz w:val="20"/>
          <w:szCs w:val="20"/>
        </w:rPr>
        <w:t xml:space="preserve"> under variable soil and water salinity. </w:t>
      </w:r>
      <w:r w:rsidRPr="002A7A4B">
        <w:rPr>
          <w:rFonts w:ascii="Arial" w:hAnsi="Arial" w:cs="Arial"/>
          <w:i/>
          <w:iCs/>
          <w:sz w:val="20"/>
          <w:szCs w:val="20"/>
        </w:rPr>
        <w:t>Plants</w:t>
      </w:r>
      <w:r w:rsidRPr="002A7A4B">
        <w:rPr>
          <w:rFonts w:ascii="Arial" w:hAnsi="Arial" w:cs="Arial"/>
          <w:sz w:val="20"/>
          <w:szCs w:val="20"/>
        </w:rPr>
        <w:t>, </w:t>
      </w:r>
      <w:r w:rsidRPr="002A7A4B">
        <w:rPr>
          <w:rFonts w:ascii="Arial" w:hAnsi="Arial" w:cs="Arial"/>
          <w:i/>
          <w:iCs/>
          <w:sz w:val="20"/>
          <w:szCs w:val="20"/>
        </w:rPr>
        <w:t>9</w:t>
      </w:r>
      <w:r w:rsidRPr="002A7A4B">
        <w:rPr>
          <w:rFonts w:ascii="Arial" w:hAnsi="Arial" w:cs="Arial"/>
          <w:sz w:val="20"/>
          <w:szCs w:val="20"/>
        </w:rPr>
        <w:t>(5), 561.</w:t>
      </w:r>
    </w:p>
    <w:p w14:paraId="09C4FC44" w14:textId="77777777" w:rsidR="00150D90" w:rsidRPr="002A7A4B" w:rsidRDefault="00150D90" w:rsidP="002A7A4B">
      <w:pPr>
        <w:spacing w:line="240" w:lineRule="auto"/>
        <w:ind w:left="720" w:hanging="720"/>
        <w:rPr>
          <w:rFonts w:ascii="Arial" w:hAnsi="Arial" w:cs="Arial"/>
          <w:sz w:val="20"/>
          <w:szCs w:val="20"/>
        </w:rPr>
      </w:pPr>
      <w:bookmarkStart w:id="13" w:name="_Hlk196229710"/>
      <w:r w:rsidRPr="002A7A4B">
        <w:rPr>
          <w:rFonts w:ascii="Arial" w:hAnsi="Arial" w:cs="Arial"/>
          <w:sz w:val="20"/>
          <w:szCs w:val="20"/>
        </w:rPr>
        <w:t>Chadalavada</w:t>
      </w:r>
      <w:bookmarkEnd w:id="13"/>
      <w:r w:rsidRPr="002A7A4B">
        <w:rPr>
          <w:rFonts w:ascii="Arial" w:hAnsi="Arial" w:cs="Arial"/>
          <w:sz w:val="20"/>
          <w:szCs w:val="20"/>
        </w:rPr>
        <w:t>, K., Kumari, B. R., &amp; Kumar, T. S. (2021). Sorghum mitigates climate variability and change on crop yield and quality. </w:t>
      </w:r>
      <w:r w:rsidRPr="002A7A4B">
        <w:rPr>
          <w:rFonts w:ascii="Arial" w:hAnsi="Arial" w:cs="Arial"/>
          <w:i/>
          <w:iCs/>
          <w:sz w:val="20"/>
          <w:szCs w:val="20"/>
        </w:rPr>
        <w:t>Planta</w:t>
      </w:r>
      <w:r w:rsidRPr="002A7A4B">
        <w:rPr>
          <w:rFonts w:ascii="Arial" w:hAnsi="Arial" w:cs="Arial"/>
          <w:sz w:val="20"/>
          <w:szCs w:val="20"/>
        </w:rPr>
        <w:t>, </w:t>
      </w:r>
      <w:r w:rsidRPr="002A7A4B">
        <w:rPr>
          <w:rFonts w:ascii="Arial" w:hAnsi="Arial" w:cs="Arial"/>
          <w:i/>
          <w:iCs/>
          <w:sz w:val="20"/>
          <w:szCs w:val="20"/>
        </w:rPr>
        <w:t>253</w:t>
      </w:r>
      <w:r w:rsidRPr="002A7A4B">
        <w:rPr>
          <w:rFonts w:ascii="Arial" w:hAnsi="Arial" w:cs="Arial"/>
          <w:sz w:val="20"/>
          <w:szCs w:val="20"/>
        </w:rPr>
        <w:t>(5), 113.</w:t>
      </w:r>
    </w:p>
    <w:p w14:paraId="650E8203" w14:textId="77777777" w:rsidR="00150D90" w:rsidRPr="002A7A4B" w:rsidRDefault="00150D90" w:rsidP="002A7A4B">
      <w:pPr>
        <w:spacing w:line="240" w:lineRule="auto"/>
        <w:ind w:left="720" w:hanging="720"/>
        <w:rPr>
          <w:rFonts w:ascii="Arial" w:hAnsi="Arial" w:cs="Arial"/>
          <w:sz w:val="20"/>
          <w:szCs w:val="20"/>
        </w:rPr>
      </w:pPr>
      <w:bookmarkStart w:id="14" w:name="_Hlk196228670"/>
      <w:proofErr w:type="spellStart"/>
      <w:r w:rsidRPr="002A7A4B">
        <w:rPr>
          <w:rFonts w:ascii="Arial" w:hAnsi="Arial" w:cs="Arial"/>
          <w:sz w:val="20"/>
          <w:szCs w:val="20"/>
        </w:rPr>
        <w:t>Chimonyo</w:t>
      </w:r>
      <w:bookmarkEnd w:id="14"/>
      <w:proofErr w:type="spellEnd"/>
      <w:r w:rsidRPr="002A7A4B">
        <w:rPr>
          <w:rFonts w:ascii="Arial" w:hAnsi="Arial" w:cs="Arial"/>
          <w:sz w:val="20"/>
          <w:szCs w:val="20"/>
        </w:rPr>
        <w:t>, V. G. P. (2015). </w:t>
      </w:r>
      <w:r w:rsidRPr="002A7A4B">
        <w:rPr>
          <w:rFonts w:ascii="Arial" w:hAnsi="Arial" w:cs="Arial"/>
          <w:i/>
          <w:iCs/>
          <w:sz w:val="20"/>
          <w:szCs w:val="20"/>
        </w:rPr>
        <w:t>Quantifying productivity and water use of sorghum intercrop systems</w:t>
      </w:r>
      <w:r w:rsidRPr="002A7A4B">
        <w:rPr>
          <w:rFonts w:ascii="Arial" w:hAnsi="Arial" w:cs="Arial"/>
          <w:sz w:val="20"/>
          <w:szCs w:val="20"/>
        </w:rPr>
        <w:t> (Doctoral dissertation, University of KwaZulu-Natal, Pietermaritzburg).</w:t>
      </w:r>
    </w:p>
    <w:p w14:paraId="789E879A" w14:textId="77777777" w:rsidR="00150D90" w:rsidRPr="002A7A4B" w:rsidRDefault="00150D90" w:rsidP="002A7A4B">
      <w:pPr>
        <w:spacing w:line="240" w:lineRule="auto"/>
        <w:ind w:left="720" w:hanging="720"/>
        <w:rPr>
          <w:rFonts w:ascii="Arial" w:hAnsi="Arial" w:cs="Arial"/>
          <w:sz w:val="20"/>
          <w:szCs w:val="20"/>
        </w:rPr>
      </w:pPr>
      <w:bookmarkStart w:id="15" w:name="_Hlk196229889"/>
      <w:r w:rsidRPr="002A7A4B">
        <w:rPr>
          <w:rFonts w:ascii="Arial" w:hAnsi="Arial" w:cs="Arial"/>
          <w:sz w:val="20"/>
          <w:szCs w:val="20"/>
        </w:rPr>
        <w:t>Chisela Kaite</w:t>
      </w:r>
      <w:bookmarkEnd w:id="15"/>
      <w:r w:rsidRPr="002A7A4B">
        <w:rPr>
          <w:rFonts w:ascii="Arial" w:hAnsi="Arial" w:cs="Arial"/>
          <w:sz w:val="20"/>
          <w:szCs w:val="20"/>
        </w:rPr>
        <w:t>, P. (2022). </w:t>
      </w:r>
      <w:r w:rsidRPr="002A7A4B">
        <w:rPr>
          <w:rFonts w:ascii="Arial" w:hAnsi="Arial" w:cs="Arial"/>
          <w:i/>
          <w:iCs/>
          <w:sz w:val="20"/>
          <w:szCs w:val="20"/>
        </w:rPr>
        <w:t>Screening elite barley genotypes (Hordeum vulgare L.) for salinity tolerance and forage production under hydroponic conditions</w:t>
      </w:r>
      <w:r w:rsidRPr="002A7A4B">
        <w:rPr>
          <w:rFonts w:ascii="Arial" w:hAnsi="Arial" w:cs="Arial"/>
          <w:sz w:val="20"/>
          <w:szCs w:val="20"/>
        </w:rPr>
        <w:t> (Doctoral dissertation, Institute of Agronomy and Veterinary Hassan II).</w:t>
      </w:r>
    </w:p>
    <w:p w14:paraId="74C508F7" w14:textId="77777777" w:rsidR="00150D90" w:rsidRPr="002A7A4B" w:rsidRDefault="00150D90" w:rsidP="002A7A4B">
      <w:pPr>
        <w:spacing w:line="240" w:lineRule="auto"/>
        <w:ind w:left="720" w:hanging="720"/>
        <w:rPr>
          <w:rFonts w:ascii="Arial" w:hAnsi="Arial" w:cs="Arial"/>
          <w:sz w:val="20"/>
          <w:szCs w:val="20"/>
        </w:rPr>
      </w:pPr>
      <w:bookmarkStart w:id="16" w:name="_Hlk196229056"/>
      <w:r w:rsidRPr="002A7A4B">
        <w:rPr>
          <w:rFonts w:ascii="Arial" w:hAnsi="Arial" w:cs="Arial"/>
          <w:sz w:val="20"/>
          <w:szCs w:val="20"/>
        </w:rPr>
        <w:t>Choudhary</w:t>
      </w:r>
      <w:bookmarkEnd w:id="16"/>
      <w:r w:rsidRPr="002A7A4B">
        <w:rPr>
          <w:rFonts w:ascii="Arial" w:hAnsi="Arial" w:cs="Arial"/>
          <w:sz w:val="20"/>
          <w:szCs w:val="20"/>
        </w:rPr>
        <w:t>, K. B., Khandelwal, V., Singh, D., &amp; Sharma, S. R. (2025). Optimizing Hybrid Sorghum Seed Production: Key Challenges and Future Opportunities. In </w:t>
      </w:r>
      <w:r w:rsidRPr="002A7A4B">
        <w:rPr>
          <w:rFonts w:ascii="Arial" w:hAnsi="Arial" w:cs="Arial"/>
          <w:i/>
          <w:iCs/>
          <w:sz w:val="20"/>
          <w:szCs w:val="20"/>
        </w:rPr>
        <w:t>Hybrid Seed Production for Boosting Crop Yields: Applications, Challenges and Opportunities</w:t>
      </w:r>
      <w:r w:rsidRPr="002A7A4B">
        <w:rPr>
          <w:rFonts w:ascii="Arial" w:hAnsi="Arial" w:cs="Arial"/>
          <w:sz w:val="20"/>
          <w:szCs w:val="20"/>
        </w:rPr>
        <w:t> (pp. 105-125). Singapore: Springer Nature Singapore.</w:t>
      </w:r>
    </w:p>
    <w:p w14:paraId="45F5ECD5" w14:textId="77777777" w:rsidR="00150D90" w:rsidRPr="002A7A4B" w:rsidRDefault="00150D90" w:rsidP="002A7A4B">
      <w:pPr>
        <w:spacing w:line="240" w:lineRule="auto"/>
        <w:ind w:left="720" w:hanging="720"/>
        <w:rPr>
          <w:rFonts w:ascii="Arial" w:hAnsi="Arial" w:cs="Arial"/>
          <w:sz w:val="20"/>
          <w:szCs w:val="20"/>
        </w:rPr>
      </w:pPr>
      <w:bookmarkStart w:id="17" w:name="_Hlk196227761"/>
      <w:r w:rsidRPr="002A7A4B">
        <w:rPr>
          <w:rFonts w:ascii="Arial" w:hAnsi="Arial" w:cs="Arial"/>
          <w:sz w:val="20"/>
          <w:szCs w:val="20"/>
        </w:rPr>
        <w:t>Corwin</w:t>
      </w:r>
      <w:bookmarkEnd w:id="17"/>
      <w:r w:rsidRPr="002A7A4B">
        <w:rPr>
          <w:rFonts w:ascii="Arial" w:hAnsi="Arial" w:cs="Arial"/>
          <w:sz w:val="20"/>
          <w:szCs w:val="20"/>
        </w:rPr>
        <w:t>, D. L. (2021). Climate change impacts on soil salinity in agricultural areas. </w:t>
      </w:r>
      <w:r w:rsidRPr="002A7A4B">
        <w:rPr>
          <w:rFonts w:ascii="Arial" w:hAnsi="Arial" w:cs="Arial"/>
          <w:i/>
          <w:iCs/>
          <w:sz w:val="20"/>
          <w:szCs w:val="20"/>
        </w:rPr>
        <w:t>European Journal of Soil Science</w:t>
      </w:r>
      <w:r w:rsidRPr="002A7A4B">
        <w:rPr>
          <w:rFonts w:ascii="Arial" w:hAnsi="Arial" w:cs="Arial"/>
          <w:sz w:val="20"/>
          <w:szCs w:val="20"/>
        </w:rPr>
        <w:t>, </w:t>
      </w:r>
      <w:r w:rsidRPr="002A7A4B">
        <w:rPr>
          <w:rFonts w:ascii="Arial" w:hAnsi="Arial" w:cs="Arial"/>
          <w:i/>
          <w:iCs/>
          <w:sz w:val="20"/>
          <w:szCs w:val="20"/>
        </w:rPr>
        <w:t>72</w:t>
      </w:r>
      <w:r w:rsidRPr="002A7A4B">
        <w:rPr>
          <w:rFonts w:ascii="Arial" w:hAnsi="Arial" w:cs="Arial"/>
          <w:sz w:val="20"/>
          <w:szCs w:val="20"/>
        </w:rPr>
        <w:t>(2), 842-862.</w:t>
      </w:r>
    </w:p>
    <w:p w14:paraId="068B8006" w14:textId="77777777" w:rsidR="00150D90" w:rsidRPr="002A7A4B" w:rsidRDefault="00150D90" w:rsidP="002A7A4B">
      <w:pPr>
        <w:spacing w:line="240" w:lineRule="auto"/>
        <w:ind w:left="720" w:hanging="720"/>
        <w:rPr>
          <w:rFonts w:ascii="Arial" w:hAnsi="Arial" w:cs="Arial"/>
          <w:sz w:val="20"/>
          <w:szCs w:val="20"/>
        </w:rPr>
      </w:pPr>
      <w:bookmarkStart w:id="18" w:name="_Hlk196228334"/>
      <w:r w:rsidRPr="002A7A4B">
        <w:rPr>
          <w:rFonts w:ascii="Arial" w:hAnsi="Arial" w:cs="Arial"/>
          <w:sz w:val="20"/>
          <w:szCs w:val="20"/>
        </w:rPr>
        <w:t>Dabija</w:t>
      </w:r>
      <w:bookmarkEnd w:id="18"/>
      <w:r w:rsidRPr="002A7A4B">
        <w:rPr>
          <w:rFonts w:ascii="Arial" w:hAnsi="Arial" w:cs="Arial"/>
          <w:sz w:val="20"/>
          <w:szCs w:val="20"/>
        </w:rPr>
        <w:t xml:space="preserve">, A., Ciocan, M. E., </w:t>
      </w:r>
      <w:proofErr w:type="spellStart"/>
      <w:r w:rsidRPr="002A7A4B">
        <w:rPr>
          <w:rFonts w:ascii="Arial" w:hAnsi="Arial" w:cs="Arial"/>
          <w:sz w:val="20"/>
          <w:szCs w:val="20"/>
        </w:rPr>
        <w:t>Chetrariu</w:t>
      </w:r>
      <w:proofErr w:type="spellEnd"/>
      <w:r w:rsidRPr="002A7A4B">
        <w:rPr>
          <w:rFonts w:ascii="Arial" w:hAnsi="Arial" w:cs="Arial"/>
          <w:sz w:val="20"/>
          <w:szCs w:val="20"/>
        </w:rPr>
        <w:t xml:space="preserve">, A., &amp; </w:t>
      </w:r>
      <w:proofErr w:type="spellStart"/>
      <w:r w:rsidRPr="002A7A4B">
        <w:rPr>
          <w:rFonts w:ascii="Arial" w:hAnsi="Arial" w:cs="Arial"/>
          <w:sz w:val="20"/>
          <w:szCs w:val="20"/>
        </w:rPr>
        <w:t>Codină</w:t>
      </w:r>
      <w:proofErr w:type="spellEnd"/>
      <w:r w:rsidRPr="002A7A4B">
        <w:rPr>
          <w:rFonts w:ascii="Arial" w:hAnsi="Arial" w:cs="Arial"/>
          <w:sz w:val="20"/>
          <w:szCs w:val="20"/>
        </w:rPr>
        <w:t>, G. G. (2021). Maize and sorghum as raw materials for brewing, a review. </w:t>
      </w:r>
      <w:r w:rsidRPr="002A7A4B">
        <w:rPr>
          <w:rFonts w:ascii="Arial" w:hAnsi="Arial" w:cs="Arial"/>
          <w:i/>
          <w:iCs/>
          <w:sz w:val="20"/>
          <w:szCs w:val="20"/>
        </w:rPr>
        <w:t>Applied Sciences</w:t>
      </w:r>
      <w:r w:rsidRPr="002A7A4B">
        <w:rPr>
          <w:rFonts w:ascii="Arial" w:hAnsi="Arial" w:cs="Arial"/>
          <w:sz w:val="20"/>
          <w:szCs w:val="20"/>
        </w:rPr>
        <w:t>, </w:t>
      </w:r>
      <w:r w:rsidRPr="002A7A4B">
        <w:rPr>
          <w:rFonts w:ascii="Arial" w:hAnsi="Arial" w:cs="Arial"/>
          <w:i/>
          <w:iCs/>
          <w:sz w:val="20"/>
          <w:szCs w:val="20"/>
        </w:rPr>
        <w:t>11</w:t>
      </w:r>
      <w:r w:rsidRPr="002A7A4B">
        <w:rPr>
          <w:rFonts w:ascii="Arial" w:hAnsi="Arial" w:cs="Arial"/>
          <w:sz w:val="20"/>
          <w:szCs w:val="20"/>
        </w:rPr>
        <w:t>(7), 3139.</w:t>
      </w:r>
    </w:p>
    <w:p w14:paraId="30BB1516" w14:textId="77777777" w:rsidR="00150D90" w:rsidRPr="002A7A4B" w:rsidRDefault="00150D90" w:rsidP="002A7A4B">
      <w:pPr>
        <w:spacing w:line="240" w:lineRule="auto"/>
        <w:ind w:left="720" w:hanging="720"/>
        <w:rPr>
          <w:rFonts w:ascii="Arial" w:hAnsi="Arial" w:cs="Arial"/>
          <w:sz w:val="20"/>
          <w:szCs w:val="20"/>
        </w:rPr>
      </w:pPr>
      <w:bookmarkStart w:id="19" w:name="_Hlk196227990"/>
      <w:r w:rsidRPr="002A7A4B">
        <w:rPr>
          <w:rFonts w:ascii="Arial" w:hAnsi="Arial" w:cs="Arial"/>
          <w:sz w:val="20"/>
          <w:szCs w:val="20"/>
        </w:rPr>
        <w:lastRenderedPageBreak/>
        <w:t>Dale</w:t>
      </w:r>
      <w:bookmarkEnd w:id="19"/>
      <w:r w:rsidRPr="002A7A4B">
        <w:rPr>
          <w:rFonts w:ascii="Arial" w:hAnsi="Arial" w:cs="Arial"/>
          <w:sz w:val="20"/>
          <w:szCs w:val="20"/>
        </w:rPr>
        <w:t>, D. (1994). Insect pests of the rice plant–their biology and ecology. </w:t>
      </w:r>
      <w:r w:rsidRPr="002A7A4B">
        <w:rPr>
          <w:rFonts w:ascii="Arial" w:hAnsi="Arial" w:cs="Arial"/>
          <w:i/>
          <w:iCs/>
          <w:sz w:val="20"/>
          <w:szCs w:val="20"/>
        </w:rPr>
        <w:t>Biology and management of rice insects</w:t>
      </w:r>
      <w:r w:rsidRPr="002A7A4B">
        <w:rPr>
          <w:rFonts w:ascii="Arial" w:hAnsi="Arial" w:cs="Arial"/>
          <w:sz w:val="20"/>
          <w:szCs w:val="20"/>
        </w:rPr>
        <w:t>, </w:t>
      </w:r>
      <w:r w:rsidRPr="002A7A4B">
        <w:rPr>
          <w:rFonts w:ascii="Arial" w:hAnsi="Arial" w:cs="Arial"/>
          <w:i/>
          <w:iCs/>
          <w:sz w:val="20"/>
          <w:szCs w:val="20"/>
        </w:rPr>
        <w:t>438</w:t>
      </w:r>
      <w:r w:rsidRPr="002A7A4B">
        <w:rPr>
          <w:rFonts w:ascii="Arial" w:hAnsi="Arial" w:cs="Arial"/>
          <w:sz w:val="20"/>
          <w:szCs w:val="20"/>
        </w:rPr>
        <w:t>, 363-487.</w:t>
      </w:r>
    </w:p>
    <w:p w14:paraId="1424BB98" w14:textId="77777777" w:rsidR="00150D90" w:rsidRPr="002A7A4B" w:rsidRDefault="00150D90" w:rsidP="002A7A4B">
      <w:pPr>
        <w:spacing w:line="240" w:lineRule="auto"/>
        <w:ind w:left="720" w:hanging="720"/>
        <w:rPr>
          <w:rFonts w:ascii="Arial" w:hAnsi="Arial" w:cs="Arial"/>
          <w:sz w:val="20"/>
          <w:szCs w:val="20"/>
        </w:rPr>
      </w:pPr>
      <w:bookmarkStart w:id="20" w:name="_Hlk196227816"/>
      <w:r w:rsidRPr="002A7A4B">
        <w:rPr>
          <w:rFonts w:ascii="Arial" w:hAnsi="Arial" w:cs="Arial"/>
          <w:sz w:val="20"/>
          <w:szCs w:val="20"/>
        </w:rPr>
        <w:t>de</w:t>
      </w:r>
      <w:bookmarkEnd w:id="20"/>
      <w:r w:rsidRPr="002A7A4B">
        <w:rPr>
          <w:rFonts w:ascii="Arial" w:hAnsi="Arial" w:cs="Arial"/>
          <w:sz w:val="20"/>
          <w:szCs w:val="20"/>
        </w:rPr>
        <w:t xml:space="preserve"> Queiroz, G. C. M., de Medeiros, J. F., da Silva, R. R., da Silva Morais, F. M., de Sousa, L. V., de Souza, M. V. P., ... &amp; da Silva Sá, F. V. (2023). Growth, solute accumulation, and ion distribution in sweet sorghum under salt and drought stresses in a Brazilian </w:t>
      </w:r>
      <w:proofErr w:type="spellStart"/>
      <w:r w:rsidRPr="002A7A4B">
        <w:rPr>
          <w:rFonts w:ascii="Arial" w:hAnsi="Arial" w:cs="Arial"/>
          <w:sz w:val="20"/>
          <w:szCs w:val="20"/>
        </w:rPr>
        <w:t>potiguar</w:t>
      </w:r>
      <w:proofErr w:type="spellEnd"/>
      <w:r w:rsidRPr="002A7A4B">
        <w:rPr>
          <w:rFonts w:ascii="Arial" w:hAnsi="Arial" w:cs="Arial"/>
          <w:sz w:val="20"/>
          <w:szCs w:val="20"/>
        </w:rPr>
        <w:t xml:space="preserve"> semiarid area. </w:t>
      </w:r>
      <w:r w:rsidRPr="002A7A4B">
        <w:rPr>
          <w:rFonts w:ascii="Arial" w:hAnsi="Arial" w:cs="Arial"/>
          <w:i/>
          <w:iCs/>
          <w:sz w:val="20"/>
          <w:szCs w:val="20"/>
        </w:rPr>
        <w:t>Agriculture</w:t>
      </w:r>
      <w:r w:rsidRPr="002A7A4B">
        <w:rPr>
          <w:rFonts w:ascii="Arial" w:hAnsi="Arial" w:cs="Arial"/>
          <w:sz w:val="20"/>
          <w:szCs w:val="20"/>
        </w:rPr>
        <w:t>, </w:t>
      </w:r>
      <w:r w:rsidRPr="002A7A4B">
        <w:rPr>
          <w:rFonts w:ascii="Arial" w:hAnsi="Arial" w:cs="Arial"/>
          <w:i/>
          <w:iCs/>
          <w:sz w:val="20"/>
          <w:szCs w:val="20"/>
        </w:rPr>
        <w:t>13</w:t>
      </w:r>
      <w:r w:rsidRPr="002A7A4B">
        <w:rPr>
          <w:rFonts w:ascii="Arial" w:hAnsi="Arial" w:cs="Arial"/>
          <w:sz w:val="20"/>
          <w:szCs w:val="20"/>
        </w:rPr>
        <w:t>(4), 803.</w:t>
      </w:r>
    </w:p>
    <w:p w14:paraId="3228DF84" w14:textId="77777777" w:rsidR="00150D90" w:rsidRPr="002A7A4B" w:rsidRDefault="00150D90" w:rsidP="002A7A4B">
      <w:pPr>
        <w:spacing w:line="240" w:lineRule="auto"/>
        <w:ind w:left="720" w:hanging="720"/>
        <w:rPr>
          <w:rFonts w:ascii="Arial" w:hAnsi="Arial" w:cs="Arial"/>
          <w:sz w:val="20"/>
          <w:szCs w:val="20"/>
        </w:rPr>
      </w:pPr>
      <w:bookmarkStart w:id="21" w:name="_Hlk196229221"/>
      <w:r w:rsidRPr="002A7A4B">
        <w:rPr>
          <w:rFonts w:ascii="Arial" w:hAnsi="Arial" w:cs="Arial"/>
          <w:sz w:val="20"/>
          <w:szCs w:val="20"/>
        </w:rPr>
        <w:t>Demisse</w:t>
      </w:r>
      <w:bookmarkEnd w:id="21"/>
      <w:r w:rsidRPr="002A7A4B">
        <w:rPr>
          <w:rFonts w:ascii="Arial" w:hAnsi="Arial" w:cs="Arial"/>
          <w:sz w:val="20"/>
          <w:szCs w:val="20"/>
        </w:rPr>
        <w:t>, F. A. (2023). </w:t>
      </w:r>
      <w:r w:rsidRPr="002A7A4B">
        <w:rPr>
          <w:rFonts w:ascii="Arial" w:hAnsi="Arial" w:cs="Arial"/>
          <w:i/>
          <w:iCs/>
          <w:sz w:val="20"/>
          <w:szCs w:val="20"/>
        </w:rPr>
        <w:t xml:space="preserve">COMBINING ABILITY AND HETEROSIS OF ETHIOPIAN SORGHUM [Sorghum </w:t>
      </w:r>
      <w:proofErr w:type="spellStart"/>
      <w:r w:rsidRPr="002A7A4B">
        <w:rPr>
          <w:rFonts w:ascii="Arial" w:hAnsi="Arial" w:cs="Arial"/>
          <w:i/>
          <w:iCs/>
          <w:sz w:val="20"/>
          <w:szCs w:val="20"/>
        </w:rPr>
        <w:t>bicolor</w:t>
      </w:r>
      <w:proofErr w:type="spellEnd"/>
      <w:r w:rsidRPr="002A7A4B">
        <w:rPr>
          <w:rFonts w:ascii="Arial" w:hAnsi="Arial" w:cs="Arial"/>
          <w:i/>
          <w:iCs/>
          <w:sz w:val="20"/>
          <w:szCs w:val="20"/>
        </w:rPr>
        <w:t xml:space="preserve"> (L.) Moench] LANDRACES IN EASTERN OROMIA, ETHIOPIA</w:t>
      </w:r>
      <w:r w:rsidRPr="002A7A4B">
        <w:rPr>
          <w:rFonts w:ascii="Arial" w:hAnsi="Arial" w:cs="Arial"/>
          <w:sz w:val="20"/>
          <w:szCs w:val="20"/>
        </w:rPr>
        <w:t xml:space="preserve"> (Doctoral dissertation, </w:t>
      </w:r>
      <w:proofErr w:type="spellStart"/>
      <w:r w:rsidRPr="002A7A4B">
        <w:rPr>
          <w:rFonts w:ascii="Arial" w:hAnsi="Arial" w:cs="Arial"/>
          <w:sz w:val="20"/>
          <w:szCs w:val="20"/>
        </w:rPr>
        <w:t>Haramaya</w:t>
      </w:r>
      <w:proofErr w:type="spellEnd"/>
      <w:r w:rsidRPr="002A7A4B">
        <w:rPr>
          <w:rFonts w:ascii="Arial" w:hAnsi="Arial" w:cs="Arial"/>
          <w:sz w:val="20"/>
          <w:szCs w:val="20"/>
        </w:rPr>
        <w:t xml:space="preserve"> University).</w:t>
      </w:r>
    </w:p>
    <w:p w14:paraId="65138758" w14:textId="77777777" w:rsidR="00150D90" w:rsidRPr="002A7A4B" w:rsidRDefault="00150D90" w:rsidP="002A7A4B">
      <w:pPr>
        <w:spacing w:line="240" w:lineRule="auto"/>
        <w:ind w:left="720" w:hanging="720"/>
        <w:rPr>
          <w:rFonts w:ascii="Arial" w:hAnsi="Arial" w:cs="Arial"/>
          <w:sz w:val="20"/>
          <w:szCs w:val="20"/>
        </w:rPr>
      </w:pPr>
      <w:bookmarkStart w:id="22" w:name="_Hlk196228915"/>
      <w:proofErr w:type="spellStart"/>
      <w:r w:rsidRPr="002A7A4B">
        <w:rPr>
          <w:rFonts w:ascii="Arial" w:hAnsi="Arial" w:cs="Arial"/>
          <w:sz w:val="20"/>
          <w:szCs w:val="20"/>
        </w:rPr>
        <w:t>Dweikat</w:t>
      </w:r>
      <w:bookmarkEnd w:id="22"/>
      <w:proofErr w:type="spellEnd"/>
      <w:r w:rsidRPr="002A7A4B">
        <w:rPr>
          <w:rFonts w:ascii="Arial" w:hAnsi="Arial" w:cs="Arial"/>
          <w:sz w:val="20"/>
          <w:szCs w:val="20"/>
        </w:rPr>
        <w:t>, I. (2014). Sorghum breeding. </w:t>
      </w:r>
      <w:r w:rsidRPr="002A7A4B">
        <w:rPr>
          <w:rFonts w:ascii="Arial" w:hAnsi="Arial" w:cs="Arial"/>
          <w:i/>
          <w:iCs/>
          <w:sz w:val="20"/>
          <w:szCs w:val="20"/>
        </w:rPr>
        <w:t>Genetics, Genomics and Breeding of sorghum</w:t>
      </w:r>
      <w:r w:rsidRPr="002A7A4B">
        <w:rPr>
          <w:rFonts w:ascii="Arial" w:hAnsi="Arial" w:cs="Arial"/>
          <w:sz w:val="20"/>
          <w:szCs w:val="20"/>
        </w:rPr>
        <w:t>, 90.</w:t>
      </w:r>
    </w:p>
    <w:p w14:paraId="393C243E"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Ejeta</w:t>
      </w:r>
      <w:proofErr w:type="spellEnd"/>
      <w:r w:rsidRPr="002A7A4B">
        <w:rPr>
          <w:rFonts w:ascii="Arial" w:hAnsi="Arial" w:cs="Arial"/>
          <w:sz w:val="20"/>
          <w:szCs w:val="20"/>
        </w:rPr>
        <w:t>, G., &amp; Knoll, J. E. (2007). Marker-assisted selection in sorghum. In </w:t>
      </w:r>
      <w:r w:rsidRPr="002A7A4B">
        <w:rPr>
          <w:rFonts w:ascii="Arial" w:hAnsi="Arial" w:cs="Arial"/>
          <w:i/>
          <w:iCs/>
          <w:sz w:val="20"/>
          <w:szCs w:val="20"/>
        </w:rPr>
        <w:t>Genomics-assisted crop improvement: Vol 2: Genomics applications in crops</w:t>
      </w:r>
      <w:r w:rsidRPr="002A7A4B">
        <w:rPr>
          <w:rFonts w:ascii="Arial" w:hAnsi="Arial" w:cs="Arial"/>
          <w:sz w:val="20"/>
          <w:szCs w:val="20"/>
        </w:rPr>
        <w:t> (pp. 187-205). Dordrecht: Springer Netherlands.</w:t>
      </w:r>
    </w:p>
    <w:p w14:paraId="5347403B"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El </w:t>
      </w:r>
      <w:proofErr w:type="spellStart"/>
      <w:r w:rsidRPr="002A7A4B">
        <w:rPr>
          <w:rFonts w:ascii="Arial" w:hAnsi="Arial" w:cs="Arial"/>
          <w:sz w:val="20"/>
          <w:szCs w:val="20"/>
        </w:rPr>
        <w:t>Kenawy</w:t>
      </w:r>
      <w:proofErr w:type="spellEnd"/>
      <w:r w:rsidRPr="002A7A4B">
        <w:rPr>
          <w:rFonts w:ascii="Arial" w:hAnsi="Arial" w:cs="Arial"/>
          <w:sz w:val="20"/>
          <w:szCs w:val="20"/>
        </w:rPr>
        <w:t>, A. M. (2024). Hydroclimatic extremes in arid and semi-arid regions: status, challenges, and future outlook. In </w:t>
      </w:r>
      <w:r w:rsidRPr="002A7A4B">
        <w:rPr>
          <w:rFonts w:ascii="Arial" w:hAnsi="Arial" w:cs="Arial"/>
          <w:i/>
          <w:iCs/>
          <w:sz w:val="20"/>
          <w:szCs w:val="20"/>
        </w:rPr>
        <w:t>Hydroclimatic Extremes in the Middle East and North Africa</w:t>
      </w:r>
      <w:r w:rsidRPr="002A7A4B">
        <w:rPr>
          <w:rFonts w:ascii="Arial" w:hAnsi="Arial" w:cs="Arial"/>
          <w:sz w:val="20"/>
          <w:szCs w:val="20"/>
        </w:rPr>
        <w:t> (pp. 1-22). Elsevier.</w:t>
      </w:r>
    </w:p>
    <w:p w14:paraId="6F77EBE0" w14:textId="77777777" w:rsidR="00150D90" w:rsidRPr="002A7A4B" w:rsidRDefault="00150D90" w:rsidP="002A7A4B">
      <w:pPr>
        <w:spacing w:line="240" w:lineRule="auto"/>
        <w:ind w:left="720" w:hanging="720"/>
        <w:rPr>
          <w:rFonts w:ascii="Arial" w:hAnsi="Arial" w:cs="Arial"/>
          <w:sz w:val="20"/>
          <w:szCs w:val="20"/>
        </w:rPr>
      </w:pPr>
      <w:bookmarkStart w:id="23" w:name="_Hlk196233671"/>
      <w:r w:rsidRPr="002A7A4B">
        <w:rPr>
          <w:rFonts w:ascii="Arial" w:hAnsi="Arial" w:cs="Arial"/>
          <w:sz w:val="20"/>
          <w:szCs w:val="20"/>
        </w:rPr>
        <w:t>Elango</w:t>
      </w:r>
      <w:bookmarkEnd w:id="23"/>
      <w:r w:rsidRPr="002A7A4B">
        <w:rPr>
          <w:rFonts w:ascii="Arial" w:hAnsi="Arial" w:cs="Arial"/>
          <w:sz w:val="20"/>
          <w:szCs w:val="20"/>
        </w:rPr>
        <w:t>, D., Wang, W., Francis, N., Chatterjee, D., Murithi, A., Chandra, V., ... &amp; Chopra, S. (2024). New Breeding Trends in Sorghum. In </w:t>
      </w:r>
      <w:r w:rsidRPr="002A7A4B">
        <w:rPr>
          <w:rFonts w:ascii="Arial" w:hAnsi="Arial" w:cs="Arial"/>
          <w:i/>
          <w:iCs/>
          <w:sz w:val="20"/>
          <w:szCs w:val="20"/>
        </w:rPr>
        <w:t>Omics and Biotechnological Approaches for Product Profile-Driven Sorghum Improvement</w:t>
      </w:r>
      <w:r w:rsidRPr="002A7A4B">
        <w:rPr>
          <w:rFonts w:ascii="Arial" w:hAnsi="Arial" w:cs="Arial"/>
          <w:sz w:val="20"/>
          <w:szCs w:val="20"/>
        </w:rPr>
        <w:t> (pp. 377-394). Singapore: Springer Nature Singapore.</w:t>
      </w:r>
    </w:p>
    <w:p w14:paraId="66A0E569" w14:textId="77777777" w:rsidR="00150D90" w:rsidRPr="002A7A4B" w:rsidRDefault="00150D90" w:rsidP="002A7A4B">
      <w:pPr>
        <w:spacing w:line="240" w:lineRule="auto"/>
        <w:ind w:left="720" w:hanging="720"/>
        <w:rPr>
          <w:rFonts w:ascii="Arial" w:hAnsi="Arial" w:cs="Arial"/>
          <w:sz w:val="20"/>
          <w:szCs w:val="20"/>
        </w:rPr>
      </w:pPr>
      <w:bookmarkStart w:id="24" w:name="_Hlk196228247"/>
      <w:proofErr w:type="spellStart"/>
      <w:r w:rsidRPr="002A7A4B">
        <w:rPr>
          <w:rFonts w:ascii="Arial" w:hAnsi="Arial" w:cs="Arial"/>
          <w:sz w:val="20"/>
          <w:szCs w:val="20"/>
        </w:rPr>
        <w:t>Endalamaw</w:t>
      </w:r>
      <w:bookmarkEnd w:id="24"/>
      <w:proofErr w:type="spellEnd"/>
      <w:r w:rsidRPr="002A7A4B">
        <w:rPr>
          <w:rFonts w:ascii="Arial" w:hAnsi="Arial" w:cs="Arial"/>
          <w:sz w:val="20"/>
          <w:szCs w:val="20"/>
        </w:rPr>
        <w:t xml:space="preserve">, C., Nida, H., Tsegaye, D., van Biljon, A., </w:t>
      </w:r>
      <w:proofErr w:type="spellStart"/>
      <w:r w:rsidRPr="002A7A4B">
        <w:rPr>
          <w:rFonts w:ascii="Arial" w:hAnsi="Arial" w:cs="Arial"/>
          <w:sz w:val="20"/>
          <w:szCs w:val="20"/>
        </w:rPr>
        <w:t>Herselman</w:t>
      </w:r>
      <w:proofErr w:type="spellEnd"/>
      <w:r w:rsidRPr="002A7A4B">
        <w:rPr>
          <w:rFonts w:ascii="Arial" w:hAnsi="Arial" w:cs="Arial"/>
          <w:sz w:val="20"/>
          <w:szCs w:val="20"/>
        </w:rPr>
        <w:t>, L., &amp; Labuschagne, M. (2025). Genetics of sorghum: grain quality, molecular aspects, and drought responses. </w:t>
      </w:r>
      <w:r w:rsidRPr="002A7A4B">
        <w:rPr>
          <w:rFonts w:ascii="Arial" w:hAnsi="Arial" w:cs="Arial"/>
          <w:i/>
          <w:iCs/>
          <w:sz w:val="20"/>
          <w:szCs w:val="20"/>
        </w:rPr>
        <w:t>Planta</w:t>
      </w:r>
      <w:r w:rsidRPr="002A7A4B">
        <w:rPr>
          <w:rFonts w:ascii="Arial" w:hAnsi="Arial" w:cs="Arial"/>
          <w:sz w:val="20"/>
          <w:szCs w:val="20"/>
        </w:rPr>
        <w:t>, </w:t>
      </w:r>
      <w:r w:rsidRPr="002A7A4B">
        <w:rPr>
          <w:rFonts w:ascii="Arial" w:hAnsi="Arial" w:cs="Arial"/>
          <w:i/>
          <w:iCs/>
          <w:sz w:val="20"/>
          <w:szCs w:val="20"/>
        </w:rPr>
        <w:t>261</w:t>
      </w:r>
      <w:r w:rsidRPr="002A7A4B">
        <w:rPr>
          <w:rFonts w:ascii="Arial" w:hAnsi="Arial" w:cs="Arial"/>
          <w:sz w:val="20"/>
          <w:szCs w:val="20"/>
        </w:rPr>
        <w:t>(3), 1-25.</w:t>
      </w:r>
    </w:p>
    <w:p w14:paraId="458DE2DB" w14:textId="77777777" w:rsidR="00150D90" w:rsidRPr="002A7A4B" w:rsidRDefault="00150D90" w:rsidP="002A7A4B">
      <w:pPr>
        <w:spacing w:line="240" w:lineRule="auto"/>
        <w:ind w:left="720" w:hanging="720"/>
        <w:rPr>
          <w:rFonts w:ascii="Arial" w:hAnsi="Arial" w:cs="Arial"/>
          <w:sz w:val="20"/>
          <w:szCs w:val="20"/>
        </w:rPr>
      </w:pPr>
      <w:bookmarkStart w:id="25" w:name="_Hlk196233987"/>
      <w:r w:rsidRPr="002A7A4B">
        <w:rPr>
          <w:rFonts w:ascii="Arial" w:hAnsi="Arial" w:cs="Arial"/>
          <w:sz w:val="20"/>
          <w:szCs w:val="20"/>
        </w:rPr>
        <w:t>Getahun</w:t>
      </w:r>
      <w:bookmarkEnd w:id="25"/>
      <w:r w:rsidRPr="002A7A4B">
        <w:rPr>
          <w:rFonts w:ascii="Arial" w:hAnsi="Arial" w:cs="Arial"/>
          <w:sz w:val="20"/>
          <w:szCs w:val="20"/>
        </w:rPr>
        <w:t xml:space="preserve">, A., Alemu, A., Nida, H., &amp; </w:t>
      </w:r>
      <w:proofErr w:type="spellStart"/>
      <w:r w:rsidRPr="002A7A4B">
        <w:rPr>
          <w:rFonts w:ascii="Arial" w:hAnsi="Arial" w:cs="Arial"/>
          <w:sz w:val="20"/>
          <w:szCs w:val="20"/>
        </w:rPr>
        <w:t>Woldesemayat</w:t>
      </w:r>
      <w:proofErr w:type="spellEnd"/>
      <w:r w:rsidRPr="002A7A4B">
        <w:rPr>
          <w:rFonts w:ascii="Arial" w:hAnsi="Arial" w:cs="Arial"/>
          <w:sz w:val="20"/>
          <w:szCs w:val="20"/>
        </w:rPr>
        <w:t xml:space="preserve">, A. A. (2025). Multi-locus genome-wide association mapping for major agronomic and yield-related traits in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xml:space="preserve"> (L.) </w:t>
      </w:r>
      <w:proofErr w:type="spellStart"/>
      <w:r w:rsidRPr="002A7A4B">
        <w:rPr>
          <w:rFonts w:ascii="Arial" w:hAnsi="Arial" w:cs="Arial"/>
          <w:sz w:val="20"/>
          <w:szCs w:val="20"/>
        </w:rPr>
        <w:t>moench</w:t>
      </w:r>
      <w:proofErr w:type="spellEnd"/>
      <w:r w:rsidRPr="002A7A4B">
        <w:rPr>
          <w:rFonts w:ascii="Arial" w:hAnsi="Arial" w:cs="Arial"/>
          <w:sz w:val="20"/>
          <w:szCs w:val="20"/>
        </w:rPr>
        <w:t>) landraces. </w:t>
      </w:r>
      <w:r w:rsidRPr="002A7A4B">
        <w:rPr>
          <w:rFonts w:ascii="Arial" w:hAnsi="Arial" w:cs="Arial"/>
          <w:i/>
          <w:iCs/>
          <w:sz w:val="20"/>
          <w:szCs w:val="20"/>
        </w:rPr>
        <w:t>BMC genomics</w:t>
      </w:r>
      <w:r w:rsidRPr="002A7A4B">
        <w:rPr>
          <w:rFonts w:ascii="Arial" w:hAnsi="Arial" w:cs="Arial"/>
          <w:sz w:val="20"/>
          <w:szCs w:val="20"/>
        </w:rPr>
        <w:t>, </w:t>
      </w:r>
      <w:r w:rsidRPr="002A7A4B">
        <w:rPr>
          <w:rFonts w:ascii="Arial" w:hAnsi="Arial" w:cs="Arial"/>
          <w:i/>
          <w:iCs/>
          <w:sz w:val="20"/>
          <w:szCs w:val="20"/>
        </w:rPr>
        <w:t>26</w:t>
      </w:r>
      <w:r w:rsidRPr="002A7A4B">
        <w:rPr>
          <w:rFonts w:ascii="Arial" w:hAnsi="Arial" w:cs="Arial"/>
          <w:sz w:val="20"/>
          <w:szCs w:val="20"/>
        </w:rPr>
        <w:t>(1), 304.</w:t>
      </w:r>
    </w:p>
    <w:p w14:paraId="6F44D31B"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Gorthy, S., </w:t>
      </w:r>
      <w:proofErr w:type="spellStart"/>
      <w:r w:rsidRPr="002A7A4B">
        <w:rPr>
          <w:rFonts w:ascii="Arial" w:hAnsi="Arial" w:cs="Arial"/>
          <w:sz w:val="20"/>
          <w:szCs w:val="20"/>
        </w:rPr>
        <w:t>Sargar</w:t>
      </w:r>
      <w:proofErr w:type="spellEnd"/>
      <w:r w:rsidRPr="002A7A4B">
        <w:rPr>
          <w:rFonts w:ascii="Arial" w:hAnsi="Arial" w:cs="Arial"/>
          <w:sz w:val="20"/>
          <w:szCs w:val="20"/>
        </w:rPr>
        <w:t>, P., Hugar, C., Li, J., &amp; Habyarimana, E. (2024). Summary of the Potential and Exploitation of Omics and Biotechnological Breakthroughs in Sorghum. In </w:t>
      </w:r>
      <w:r w:rsidRPr="002A7A4B">
        <w:rPr>
          <w:rFonts w:ascii="Arial" w:hAnsi="Arial" w:cs="Arial"/>
          <w:i/>
          <w:iCs/>
          <w:sz w:val="20"/>
          <w:szCs w:val="20"/>
        </w:rPr>
        <w:t>Omics and Biotechnological Approaches for Product Profile-Driven Sorghum Improvement</w:t>
      </w:r>
      <w:r w:rsidRPr="002A7A4B">
        <w:rPr>
          <w:rFonts w:ascii="Arial" w:hAnsi="Arial" w:cs="Arial"/>
          <w:sz w:val="20"/>
          <w:szCs w:val="20"/>
        </w:rPr>
        <w:t> (pp. 405-432). Singapore: Springer Nature Singapore.</w:t>
      </w:r>
    </w:p>
    <w:p w14:paraId="3E63B40F" w14:textId="77777777" w:rsidR="00150D90" w:rsidRPr="002A7A4B" w:rsidRDefault="00150D90" w:rsidP="002A7A4B">
      <w:pPr>
        <w:spacing w:line="240" w:lineRule="auto"/>
        <w:ind w:left="720" w:hanging="720"/>
        <w:rPr>
          <w:rFonts w:ascii="Arial" w:hAnsi="Arial" w:cs="Arial"/>
          <w:sz w:val="20"/>
          <w:szCs w:val="20"/>
        </w:rPr>
      </w:pPr>
      <w:bookmarkStart w:id="26" w:name="_Hlk196228157"/>
      <w:r w:rsidRPr="002A7A4B">
        <w:rPr>
          <w:rFonts w:ascii="Arial" w:hAnsi="Arial" w:cs="Arial"/>
          <w:sz w:val="20"/>
          <w:szCs w:val="20"/>
        </w:rPr>
        <w:t>Hao</w:t>
      </w:r>
      <w:bookmarkEnd w:id="26"/>
      <w:r w:rsidRPr="002A7A4B">
        <w:rPr>
          <w:rFonts w:ascii="Arial" w:hAnsi="Arial" w:cs="Arial"/>
          <w:sz w:val="20"/>
          <w:szCs w:val="20"/>
        </w:rPr>
        <w:t>, H., Li, Z., Leng, C., Lu, C., Luo, H., Liu, Y., ... &amp; Jing, H. C. (2021). Sorghum breeding in the genomic era: opportunities and challenges. </w:t>
      </w:r>
      <w:r w:rsidRPr="002A7A4B">
        <w:rPr>
          <w:rFonts w:ascii="Arial" w:hAnsi="Arial" w:cs="Arial"/>
          <w:i/>
          <w:iCs/>
          <w:sz w:val="20"/>
          <w:szCs w:val="20"/>
        </w:rPr>
        <w:t>Theoretical and Applied Genetics</w:t>
      </w:r>
      <w:r w:rsidRPr="002A7A4B">
        <w:rPr>
          <w:rFonts w:ascii="Arial" w:hAnsi="Arial" w:cs="Arial"/>
          <w:sz w:val="20"/>
          <w:szCs w:val="20"/>
        </w:rPr>
        <w:t>, </w:t>
      </w:r>
      <w:r w:rsidRPr="002A7A4B">
        <w:rPr>
          <w:rFonts w:ascii="Arial" w:hAnsi="Arial" w:cs="Arial"/>
          <w:i/>
          <w:iCs/>
          <w:sz w:val="20"/>
          <w:szCs w:val="20"/>
        </w:rPr>
        <w:t>134</w:t>
      </w:r>
      <w:r w:rsidRPr="002A7A4B">
        <w:rPr>
          <w:rFonts w:ascii="Arial" w:hAnsi="Arial" w:cs="Arial"/>
          <w:sz w:val="20"/>
          <w:szCs w:val="20"/>
        </w:rPr>
        <w:t>, 1899-1924.</w:t>
      </w:r>
    </w:p>
    <w:p w14:paraId="11FF8A07"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Hivare</w:t>
      </w:r>
      <w:proofErr w:type="spellEnd"/>
      <w:r w:rsidRPr="002A7A4B">
        <w:rPr>
          <w:rFonts w:ascii="Arial" w:hAnsi="Arial" w:cs="Arial"/>
          <w:sz w:val="20"/>
          <w:szCs w:val="20"/>
        </w:rPr>
        <w:t>, V., Sivasakthi, K., &amp; Choudhary, S. (2024). Advancing Sorghum Improvement Through High-Throughput Phenotyping Technologies. In </w:t>
      </w:r>
      <w:r w:rsidRPr="002A7A4B">
        <w:rPr>
          <w:rFonts w:ascii="Arial" w:hAnsi="Arial" w:cs="Arial"/>
          <w:i/>
          <w:iCs/>
          <w:sz w:val="20"/>
          <w:szCs w:val="20"/>
        </w:rPr>
        <w:t>Omics and Biotechnological Approaches for Product Profile-Driven Sorghum Improvement</w:t>
      </w:r>
      <w:r w:rsidRPr="002A7A4B">
        <w:rPr>
          <w:rFonts w:ascii="Arial" w:hAnsi="Arial" w:cs="Arial"/>
          <w:sz w:val="20"/>
          <w:szCs w:val="20"/>
        </w:rPr>
        <w:t> (pp. 99-123). Singapore: Springer Nature Singapore.</w:t>
      </w:r>
    </w:p>
    <w:p w14:paraId="135EFB93"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Hoekstra, A. Y., &amp; Hung, P. Q. (2005). Globalisation of water resources: international virtual water flows in relation to crop trade. </w:t>
      </w:r>
      <w:r w:rsidRPr="002A7A4B">
        <w:rPr>
          <w:rFonts w:ascii="Arial" w:hAnsi="Arial" w:cs="Arial"/>
          <w:i/>
          <w:iCs/>
          <w:sz w:val="20"/>
          <w:szCs w:val="20"/>
        </w:rPr>
        <w:t>Global environmental change</w:t>
      </w:r>
      <w:r w:rsidRPr="002A7A4B">
        <w:rPr>
          <w:rFonts w:ascii="Arial" w:hAnsi="Arial" w:cs="Arial"/>
          <w:sz w:val="20"/>
          <w:szCs w:val="20"/>
        </w:rPr>
        <w:t>, </w:t>
      </w:r>
      <w:r w:rsidRPr="002A7A4B">
        <w:rPr>
          <w:rFonts w:ascii="Arial" w:hAnsi="Arial" w:cs="Arial"/>
          <w:i/>
          <w:iCs/>
          <w:sz w:val="20"/>
          <w:szCs w:val="20"/>
        </w:rPr>
        <w:t>15</w:t>
      </w:r>
      <w:r w:rsidRPr="002A7A4B">
        <w:rPr>
          <w:rFonts w:ascii="Arial" w:hAnsi="Arial" w:cs="Arial"/>
          <w:sz w:val="20"/>
          <w:szCs w:val="20"/>
        </w:rPr>
        <w:t>(1), 45-56.</w:t>
      </w:r>
    </w:p>
    <w:p w14:paraId="3DE5DF63"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Hossain, M. S., Islam, M. N., Rahman, M. M., </w:t>
      </w:r>
      <w:proofErr w:type="spellStart"/>
      <w:r w:rsidRPr="002A7A4B">
        <w:rPr>
          <w:rFonts w:ascii="Arial" w:hAnsi="Arial" w:cs="Arial"/>
          <w:sz w:val="20"/>
          <w:szCs w:val="20"/>
        </w:rPr>
        <w:t>Mostofa</w:t>
      </w:r>
      <w:proofErr w:type="spellEnd"/>
      <w:r w:rsidRPr="002A7A4B">
        <w:rPr>
          <w:rFonts w:ascii="Arial" w:hAnsi="Arial" w:cs="Arial"/>
          <w:sz w:val="20"/>
          <w:szCs w:val="20"/>
        </w:rPr>
        <w:t>, M. G., &amp; Khan, M. A. R. (2022). Sorghum: A prospective crop for climatic vulnerability, food and nutritional security. </w:t>
      </w:r>
      <w:r w:rsidRPr="002A7A4B">
        <w:rPr>
          <w:rFonts w:ascii="Arial" w:hAnsi="Arial" w:cs="Arial"/>
          <w:i/>
          <w:iCs/>
          <w:sz w:val="20"/>
          <w:szCs w:val="20"/>
        </w:rPr>
        <w:t>Journal of Agriculture and Food Research</w:t>
      </w:r>
      <w:r w:rsidRPr="002A7A4B">
        <w:rPr>
          <w:rFonts w:ascii="Arial" w:hAnsi="Arial" w:cs="Arial"/>
          <w:sz w:val="20"/>
          <w:szCs w:val="20"/>
        </w:rPr>
        <w:t>, </w:t>
      </w:r>
      <w:r w:rsidRPr="002A7A4B">
        <w:rPr>
          <w:rFonts w:ascii="Arial" w:hAnsi="Arial" w:cs="Arial"/>
          <w:i/>
          <w:iCs/>
          <w:sz w:val="20"/>
          <w:szCs w:val="20"/>
        </w:rPr>
        <w:t>8</w:t>
      </w:r>
      <w:r w:rsidRPr="002A7A4B">
        <w:rPr>
          <w:rFonts w:ascii="Arial" w:hAnsi="Arial" w:cs="Arial"/>
          <w:sz w:val="20"/>
          <w:szCs w:val="20"/>
        </w:rPr>
        <w:t>, 100300.</w:t>
      </w:r>
    </w:p>
    <w:p w14:paraId="36B7C084" w14:textId="77777777" w:rsidR="00150D90" w:rsidRPr="002A7A4B" w:rsidRDefault="00150D90" w:rsidP="002A7A4B">
      <w:pPr>
        <w:spacing w:line="240" w:lineRule="auto"/>
        <w:ind w:left="720" w:hanging="720"/>
        <w:rPr>
          <w:rFonts w:ascii="Arial" w:hAnsi="Arial" w:cs="Arial"/>
          <w:sz w:val="20"/>
          <w:szCs w:val="20"/>
        </w:rPr>
      </w:pPr>
      <w:bookmarkStart w:id="27" w:name="_Hlk196227666"/>
      <w:r w:rsidRPr="002A7A4B">
        <w:rPr>
          <w:rFonts w:ascii="Arial" w:hAnsi="Arial" w:cs="Arial"/>
          <w:sz w:val="20"/>
          <w:szCs w:val="20"/>
        </w:rPr>
        <w:t>Hussain</w:t>
      </w:r>
      <w:bookmarkEnd w:id="27"/>
      <w:r w:rsidRPr="002A7A4B">
        <w:rPr>
          <w:rFonts w:ascii="Arial" w:hAnsi="Arial" w:cs="Arial"/>
          <w:sz w:val="20"/>
          <w:szCs w:val="20"/>
        </w:rPr>
        <w:t>, S., Shaukat, M., Ashraf, M., Zhu, C., Jin, Q., &amp; Zhang, J. (2019). Salinity stress in arid and semi-arid climates: Effects and management in field crops. In </w:t>
      </w:r>
      <w:r w:rsidRPr="002A7A4B">
        <w:rPr>
          <w:rFonts w:ascii="Arial" w:hAnsi="Arial" w:cs="Arial"/>
          <w:i/>
          <w:iCs/>
          <w:sz w:val="20"/>
          <w:szCs w:val="20"/>
        </w:rPr>
        <w:t>Climate change and agriculture</w:t>
      </w:r>
      <w:r w:rsidRPr="002A7A4B">
        <w:rPr>
          <w:rFonts w:ascii="Arial" w:hAnsi="Arial" w:cs="Arial"/>
          <w:sz w:val="20"/>
          <w:szCs w:val="20"/>
        </w:rPr>
        <w:t xml:space="preserve">. </w:t>
      </w:r>
      <w:proofErr w:type="spellStart"/>
      <w:r w:rsidRPr="002A7A4B">
        <w:rPr>
          <w:rFonts w:ascii="Arial" w:hAnsi="Arial" w:cs="Arial"/>
          <w:sz w:val="20"/>
          <w:szCs w:val="20"/>
        </w:rPr>
        <w:t>IntechOpen</w:t>
      </w:r>
      <w:proofErr w:type="spellEnd"/>
      <w:r w:rsidRPr="002A7A4B">
        <w:rPr>
          <w:rFonts w:ascii="Arial" w:hAnsi="Arial" w:cs="Arial"/>
          <w:sz w:val="20"/>
          <w:szCs w:val="20"/>
        </w:rPr>
        <w:t>.</w:t>
      </w:r>
    </w:p>
    <w:p w14:paraId="426162D7" w14:textId="77777777" w:rsidR="00150D90" w:rsidRPr="002A7A4B" w:rsidRDefault="00150D90" w:rsidP="002A7A4B">
      <w:pPr>
        <w:spacing w:line="240" w:lineRule="auto"/>
        <w:ind w:left="720" w:hanging="720"/>
        <w:rPr>
          <w:rFonts w:ascii="Arial" w:hAnsi="Arial" w:cs="Arial"/>
          <w:sz w:val="20"/>
          <w:szCs w:val="20"/>
        </w:rPr>
      </w:pPr>
      <w:bookmarkStart w:id="28" w:name="_Hlk196234573"/>
      <w:r w:rsidRPr="002A7A4B">
        <w:rPr>
          <w:rFonts w:ascii="Arial" w:hAnsi="Arial" w:cs="Arial"/>
          <w:sz w:val="20"/>
          <w:szCs w:val="20"/>
        </w:rPr>
        <w:t>Ibraheem</w:t>
      </w:r>
      <w:bookmarkEnd w:id="28"/>
      <w:r w:rsidRPr="002A7A4B">
        <w:rPr>
          <w:rFonts w:ascii="Arial" w:hAnsi="Arial" w:cs="Arial"/>
          <w:sz w:val="20"/>
          <w:szCs w:val="20"/>
        </w:rPr>
        <w:t xml:space="preserve">, O., Adigun, R. O., &amp; Olatunji, I. T. (2018). Omics technologies in </w:t>
      </w:r>
      <w:proofErr w:type="spellStart"/>
      <w:r w:rsidRPr="002A7A4B">
        <w:rPr>
          <w:rFonts w:ascii="Arial" w:hAnsi="Arial" w:cs="Arial"/>
          <w:sz w:val="20"/>
          <w:szCs w:val="20"/>
        </w:rPr>
        <w:t>unraveling</w:t>
      </w:r>
      <w:proofErr w:type="spellEnd"/>
      <w:r w:rsidRPr="002A7A4B">
        <w:rPr>
          <w:rFonts w:ascii="Arial" w:hAnsi="Arial" w:cs="Arial"/>
          <w:sz w:val="20"/>
          <w:szCs w:val="20"/>
        </w:rPr>
        <w:t xml:space="preserve"> plant stress responses; using sorghum as a model crop, how far have we gone. </w:t>
      </w:r>
      <w:proofErr w:type="spellStart"/>
      <w:r w:rsidRPr="002A7A4B">
        <w:rPr>
          <w:rFonts w:ascii="Arial" w:hAnsi="Arial" w:cs="Arial"/>
          <w:i/>
          <w:iCs/>
          <w:sz w:val="20"/>
          <w:szCs w:val="20"/>
        </w:rPr>
        <w:t>Vegetos</w:t>
      </w:r>
      <w:proofErr w:type="spellEnd"/>
      <w:r w:rsidRPr="002A7A4B">
        <w:rPr>
          <w:rFonts w:ascii="Arial" w:hAnsi="Arial" w:cs="Arial"/>
          <w:i/>
          <w:iCs/>
          <w:sz w:val="20"/>
          <w:szCs w:val="20"/>
        </w:rPr>
        <w:t xml:space="preserve"> 31: 2. </w:t>
      </w:r>
      <w:proofErr w:type="spellStart"/>
      <w:r w:rsidRPr="002A7A4B">
        <w:rPr>
          <w:rFonts w:ascii="Arial" w:hAnsi="Arial" w:cs="Arial"/>
          <w:i/>
          <w:iCs/>
          <w:sz w:val="20"/>
          <w:szCs w:val="20"/>
        </w:rPr>
        <w:t>doi</w:t>
      </w:r>
      <w:proofErr w:type="spellEnd"/>
      <w:r w:rsidRPr="002A7A4B">
        <w:rPr>
          <w:rFonts w:ascii="Arial" w:hAnsi="Arial" w:cs="Arial"/>
          <w:i/>
          <w:iCs/>
          <w:sz w:val="20"/>
          <w:szCs w:val="20"/>
        </w:rPr>
        <w:t>: 10.4172/2229</w:t>
      </w:r>
      <w:r w:rsidRPr="002A7A4B">
        <w:rPr>
          <w:rFonts w:ascii="Arial" w:hAnsi="Arial" w:cs="Arial"/>
          <w:sz w:val="20"/>
          <w:szCs w:val="20"/>
        </w:rPr>
        <w:t>, </w:t>
      </w:r>
      <w:r w:rsidRPr="002A7A4B">
        <w:rPr>
          <w:rFonts w:ascii="Arial" w:hAnsi="Arial" w:cs="Arial"/>
          <w:i/>
          <w:iCs/>
          <w:sz w:val="20"/>
          <w:szCs w:val="20"/>
        </w:rPr>
        <w:t>4473</w:t>
      </w:r>
      <w:r w:rsidRPr="002A7A4B">
        <w:rPr>
          <w:rFonts w:ascii="Arial" w:hAnsi="Arial" w:cs="Arial"/>
          <w:sz w:val="20"/>
          <w:szCs w:val="20"/>
        </w:rPr>
        <w:t>.</w:t>
      </w:r>
    </w:p>
    <w:p w14:paraId="2D19B89C" w14:textId="77777777" w:rsidR="00150D90" w:rsidRPr="002A7A4B" w:rsidRDefault="00150D90" w:rsidP="002A7A4B">
      <w:pPr>
        <w:spacing w:line="240" w:lineRule="auto"/>
        <w:ind w:left="720" w:hanging="720"/>
        <w:rPr>
          <w:rFonts w:ascii="Arial" w:hAnsi="Arial" w:cs="Arial"/>
          <w:sz w:val="20"/>
          <w:szCs w:val="20"/>
        </w:rPr>
      </w:pPr>
      <w:bookmarkStart w:id="29" w:name="_Hlk196234761"/>
      <w:r w:rsidRPr="002A7A4B">
        <w:rPr>
          <w:rFonts w:ascii="Arial" w:hAnsi="Arial" w:cs="Arial"/>
          <w:sz w:val="20"/>
          <w:szCs w:val="20"/>
        </w:rPr>
        <w:t>Jadhav</w:t>
      </w:r>
      <w:bookmarkEnd w:id="29"/>
      <w:r w:rsidRPr="002A7A4B">
        <w:rPr>
          <w:rFonts w:ascii="Arial" w:hAnsi="Arial" w:cs="Arial"/>
          <w:sz w:val="20"/>
          <w:szCs w:val="20"/>
        </w:rPr>
        <w:t>, Y., Thakur, N. R., Ingle, K. P., &amp; Ceasar, S. A. (2024). The role of phenomics and genomics in delineating the genetic basis of complex traits in millets. </w:t>
      </w:r>
      <w:proofErr w:type="spellStart"/>
      <w:r w:rsidRPr="002A7A4B">
        <w:rPr>
          <w:rFonts w:ascii="Arial" w:hAnsi="Arial" w:cs="Arial"/>
          <w:i/>
          <w:iCs/>
          <w:sz w:val="20"/>
          <w:szCs w:val="20"/>
        </w:rPr>
        <w:t>Physiologia</w:t>
      </w:r>
      <w:proofErr w:type="spellEnd"/>
      <w:r w:rsidRPr="002A7A4B">
        <w:rPr>
          <w:rFonts w:ascii="Arial" w:hAnsi="Arial" w:cs="Arial"/>
          <w:i/>
          <w:iCs/>
          <w:sz w:val="20"/>
          <w:szCs w:val="20"/>
        </w:rPr>
        <w:t xml:space="preserve"> Plantarum</w:t>
      </w:r>
      <w:r w:rsidRPr="002A7A4B">
        <w:rPr>
          <w:rFonts w:ascii="Arial" w:hAnsi="Arial" w:cs="Arial"/>
          <w:sz w:val="20"/>
          <w:szCs w:val="20"/>
        </w:rPr>
        <w:t>, </w:t>
      </w:r>
      <w:r w:rsidRPr="002A7A4B">
        <w:rPr>
          <w:rFonts w:ascii="Arial" w:hAnsi="Arial" w:cs="Arial"/>
          <w:i/>
          <w:iCs/>
          <w:sz w:val="20"/>
          <w:szCs w:val="20"/>
        </w:rPr>
        <w:t>176</w:t>
      </w:r>
      <w:r w:rsidRPr="002A7A4B">
        <w:rPr>
          <w:rFonts w:ascii="Arial" w:hAnsi="Arial" w:cs="Arial"/>
          <w:sz w:val="20"/>
          <w:szCs w:val="20"/>
        </w:rPr>
        <w:t>(3), e14349.</w:t>
      </w:r>
    </w:p>
    <w:p w14:paraId="4ECBFEBB" w14:textId="77777777" w:rsidR="00150D90" w:rsidRPr="002A7A4B" w:rsidRDefault="00150D90" w:rsidP="002A7A4B">
      <w:pPr>
        <w:spacing w:line="240" w:lineRule="auto"/>
        <w:ind w:left="720" w:hanging="720"/>
        <w:rPr>
          <w:rFonts w:ascii="Arial" w:hAnsi="Arial" w:cs="Arial"/>
          <w:sz w:val="20"/>
          <w:szCs w:val="20"/>
        </w:rPr>
      </w:pPr>
      <w:bookmarkStart w:id="30" w:name="_Hlk196231715"/>
      <w:r w:rsidRPr="002A7A4B">
        <w:rPr>
          <w:rFonts w:ascii="Arial" w:hAnsi="Arial" w:cs="Arial"/>
          <w:sz w:val="20"/>
          <w:szCs w:val="20"/>
        </w:rPr>
        <w:t>Kang</w:t>
      </w:r>
      <w:bookmarkEnd w:id="30"/>
      <w:r w:rsidRPr="002A7A4B">
        <w:rPr>
          <w:rFonts w:ascii="Arial" w:hAnsi="Arial" w:cs="Arial"/>
          <w:sz w:val="20"/>
          <w:szCs w:val="20"/>
        </w:rPr>
        <w:t>, X., Gao, W., Cheng, Y., Yu, B., Cui, B., &amp; Abd El-</w:t>
      </w:r>
      <w:proofErr w:type="spellStart"/>
      <w:r w:rsidRPr="002A7A4B">
        <w:rPr>
          <w:rFonts w:ascii="Arial" w:hAnsi="Arial" w:cs="Arial"/>
          <w:sz w:val="20"/>
          <w:szCs w:val="20"/>
        </w:rPr>
        <w:t>Aty</w:t>
      </w:r>
      <w:proofErr w:type="spellEnd"/>
      <w:r w:rsidRPr="002A7A4B">
        <w:rPr>
          <w:rFonts w:ascii="Arial" w:hAnsi="Arial" w:cs="Arial"/>
          <w:sz w:val="20"/>
          <w:szCs w:val="20"/>
        </w:rPr>
        <w:t>, A. M. (2023). Investigating structural and property modifications in starch from waxy, stick, and H37 sorghum varieties: Advancing starch structure understanding and applications. </w:t>
      </w:r>
      <w:r w:rsidRPr="002A7A4B">
        <w:rPr>
          <w:rFonts w:ascii="Arial" w:hAnsi="Arial" w:cs="Arial"/>
          <w:i/>
          <w:iCs/>
          <w:sz w:val="20"/>
          <w:szCs w:val="20"/>
        </w:rPr>
        <w:t>Industrial Crops and Products</w:t>
      </w:r>
      <w:r w:rsidRPr="002A7A4B">
        <w:rPr>
          <w:rFonts w:ascii="Arial" w:hAnsi="Arial" w:cs="Arial"/>
          <w:sz w:val="20"/>
          <w:szCs w:val="20"/>
        </w:rPr>
        <w:t>, </w:t>
      </w:r>
      <w:r w:rsidRPr="002A7A4B">
        <w:rPr>
          <w:rFonts w:ascii="Arial" w:hAnsi="Arial" w:cs="Arial"/>
          <w:i/>
          <w:iCs/>
          <w:sz w:val="20"/>
          <w:szCs w:val="20"/>
        </w:rPr>
        <w:t>203</w:t>
      </w:r>
      <w:r w:rsidRPr="002A7A4B">
        <w:rPr>
          <w:rFonts w:ascii="Arial" w:hAnsi="Arial" w:cs="Arial"/>
          <w:sz w:val="20"/>
          <w:szCs w:val="20"/>
        </w:rPr>
        <w:t>, 117239.</w:t>
      </w:r>
    </w:p>
    <w:p w14:paraId="02F81F68" w14:textId="77777777" w:rsidR="00150D90" w:rsidRPr="002A7A4B" w:rsidRDefault="00150D90" w:rsidP="002A7A4B">
      <w:pPr>
        <w:spacing w:line="240" w:lineRule="auto"/>
        <w:ind w:left="720" w:hanging="720"/>
        <w:rPr>
          <w:rFonts w:ascii="Arial" w:hAnsi="Arial" w:cs="Arial"/>
          <w:sz w:val="20"/>
          <w:szCs w:val="20"/>
        </w:rPr>
      </w:pPr>
      <w:bookmarkStart w:id="31" w:name="_Hlk196229305"/>
      <w:r w:rsidRPr="002A7A4B">
        <w:rPr>
          <w:rFonts w:ascii="Arial" w:hAnsi="Arial" w:cs="Arial"/>
          <w:sz w:val="20"/>
          <w:szCs w:val="20"/>
        </w:rPr>
        <w:t>Kenga</w:t>
      </w:r>
      <w:bookmarkEnd w:id="31"/>
      <w:r w:rsidRPr="002A7A4B">
        <w:rPr>
          <w:rFonts w:ascii="Arial" w:hAnsi="Arial" w:cs="Arial"/>
          <w:sz w:val="20"/>
          <w:szCs w:val="20"/>
        </w:rPr>
        <w:t xml:space="preserve">, R., Alabi, S. O., &amp; Gupta, S. C. (2004). Combining ability studies in tropical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xml:space="preserve"> (L.) Moench). </w:t>
      </w:r>
      <w:r w:rsidRPr="002A7A4B">
        <w:rPr>
          <w:rFonts w:ascii="Arial" w:hAnsi="Arial" w:cs="Arial"/>
          <w:i/>
          <w:iCs/>
          <w:sz w:val="20"/>
          <w:szCs w:val="20"/>
        </w:rPr>
        <w:t>Field crops research</w:t>
      </w:r>
      <w:r w:rsidRPr="002A7A4B">
        <w:rPr>
          <w:rFonts w:ascii="Arial" w:hAnsi="Arial" w:cs="Arial"/>
          <w:sz w:val="20"/>
          <w:szCs w:val="20"/>
        </w:rPr>
        <w:t>, </w:t>
      </w:r>
      <w:r w:rsidRPr="002A7A4B">
        <w:rPr>
          <w:rFonts w:ascii="Arial" w:hAnsi="Arial" w:cs="Arial"/>
          <w:i/>
          <w:iCs/>
          <w:sz w:val="20"/>
          <w:szCs w:val="20"/>
        </w:rPr>
        <w:t>88</w:t>
      </w:r>
      <w:r w:rsidRPr="002A7A4B">
        <w:rPr>
          <w:rFonts w:ascii="Arial" w:hAnsi="Arial" w:cs="Arial"/>
          <w:sz w:val="20"/>
          <w:szCs w:val="20"/>
        </w:rPr>
        <w:t>(2-3), 251-260.</w:t>
      </w:r>
    </w:p>
    <w:p w14:paraId="03D99999" w14:textId="77777777" w:rsidR="00150D90" w:rsidRPr="002A7A4B" w:rsidRDefault="00150D90" w:rsidP="002A7A4B">
      <w:pPr>
        <w:spacing w:line="240" w:lineRule="auto"/>
        <w:ind w:left="720" w:hanging="720"/>
        <w:rPr>
          <w:rFonts w:ascii="Arial" w:hAnsi="Arial" w:cs="Arial"/>
          <w:sz w:val="20"/>
          <w:szCs w:val="20"/>
        </w:rPr>
      </w:pPr>
      <w:bookmarkStart w:id="32" w:name="_Hlk196227447"/>
      <w:r w:rsidRPr="002A7A4B">
        <w:rPr>
          <w:rFonts w:ascii="Arial" w:hAnsi="Arial" w:cs="Arial"/>
          <w:sz w:val="20"/>
          <w:szCs w:val="20"/>
        </w:rPr>
        <w:t>Khalifa</w:t>
      </w:r>
      <w:bookmarkEnd w:id="32"/>
      <w:r w:rsidRPr="002A7A4B">
        <w:rPr>
          <w:rFonts w:ascii="Arial" w:hAnsi="Arial" w:cs="Arial"/>
          <w:sz w:val="20"/>
          <w:szCs w:val="20"/>
        </w:rPr>
        <w:t>, M., &amp; Eltahir, E. A. (2023). Assessment of global sorghum production, tolerance, and climate risk. </w:t>
      </w:r>
      <w:r w:rsidRPr="002A7A4B">
        <w:rPr>
          <w:rFonts w:ascii="Arial" w:hAnsi="Arial" w:cs="Arial"/>
          <w:i/>
          <w:iCs/>
          <w:sz w:val="20"/>
          <w:szCs w:val="20"/>
        </w:rPr>
        <w:t>Frontiers in Sustainable Food Systems</w:t>
      </w:r>
      <w:r w:rsidRPr="002A7A4B">
        <w:rPr>
          <w:rFonts w:ascii="Arial" w:hAnsi="Arial" w:cs="Arial"/>
          <w:sz w:val="20"/>
          <w:szCs w:val="20"/>
        </w:rPr>
        <w:t>, </w:t>
      </w:r>
      <w:r w:rsidRPr="002A7A4B">
        <w:rPr>
          <w:rFonts w:ascii="Arial" w:hAnsi="Arial" w:cs="Arial"/>
          <w:i/>
          <w:iCs/>
          <w:sz w:val="20"/>
          <w:szCs w:val="20"/>
        </w:rPr>
        <w:t>7</w:t>
      </w:r>
      <w:r w:rsidRPr="002A7A4B">
        <w:rPr>
          <w:rFonts w:ascii="Arial" w:hAnsi="Arial" w:cs="Arial"/>
          <w:sz w:val="20"/>
          <w:szCs w:val="20"/>
        </w:rPr>
        <w:t>, 1184373.</w:t>
      </w:r>
    </w:p>
    <w:p w14:paraId="4DE63AA1"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lastRenderedPageBreak/>
        <w:t xml:space="preserve">Khawaja, C., Janssen, R., Rutz, D., </w:t>
      </w:r>
      <w:proofErr w:type="spellStart"/>
      <w:r w:rsidRPr="002A7A4B">
        <w:rPr>
          <w:rFonts w:ascii="Arial" w:hAnsi="Arial" w:cs="Arial"/>
          <w:sz w:val="20"/>
          <w:szCs w:val="20"/>
        </w:rPr>
        <w:t>Luquet</w:t>
      </w:r>
      <w:proofErr w:type="spellEnd"/>
      <w:r w:rsidRPr="002A7A4B">
        <w:rPr>
          <w:rFonts w:ascii="Arial" w:hAnsi="Arial" w:cs="Arial"/>
          <w:sz w:val="20"/>
          <w:szCs w:val="20"/>
        </w:rPr>
        <w:t xml:space="preserve">, D., </w:t>
      </w:r>
      <w:proofErr w:type="spellStart"/>
      <w:r w:rsidRPr="002A7A4B">
        <w:rPr>
          <w:rFonts w:ascii="Arial" w:hAnsi="Arial" w:cs="Arial"/>
          <w:sz w:val="20"/>
          <w:szCs w:val="20"/>
        </w:rPr>
        <w:t>Trouche</w:t>
      </w:r>
      <w:proofErr w:type="spellEnd"/>
      <w:r w:rsidRPr="002A7A4B">
        <w:rPr>
          <w:rFonts w:ascii="Arial" w:hAnsi="Arial" w:cs="Arial"/>
          <w:sz w:val="20"/>
          <w:szCs w:val="20"/>
        </w:rPr>
        <w:t xml:space="preserve">, G., Reddy, B. V. S., ... &amp; </w:t>
      </w:r>
      <w:proofErr w:type="spellStart"/>
      <w:r w:rsidRPr="002A7A4B">
        <w:rPr>
          <w:rFonts w:ascii="Arial" w:hAnsi="Arial" w:cs="Arial"/>
          <w:sz w:val="20"/>
          <w:szCs w:val="20"/>
        </w:rPr>
        <w:t>Braconnier</w:t>
      </w:r>
      <w:proofErr w:type="spellEnd"/>
      <w:r w:rsidRPr="002A7A4B">
        <w:rPr>
          <w:rFonts w:ascii="Arial" w:hAnsi="Arial" w:cs="Arial"/>
          <w:sz w:val="20"/>
          <w:szCs w:val="20"/>
        </w:rPr>
        <w:t>, S. (2014). </w:t>
      </w:r>
      <w:r w:rsidRPr="002A7A4B">
        <w:rPr>
          <w:rFonts w:ascii="Arial" w:hAnsi="Arial" w:cs="Arial"/>
          <w:i/>
          <w:iCs/>
          <w:sz w:val="20"/>
          <w:szCs w:val="20"/>
        </w:rPr>
        <w:t>Energy Sorghum: An alternative Energy crop A Handbook</w:t>
      </w:r>
      <w:r w:rsidRPr="002A7A4B">
        <w:rPr>
          <w:rFonts w:ascii="Arial" w:hAnsi="Arial" w:cs="Arial"/>
          <w:sz w:val="20"/>
          <w:szCs w:val="20"/>
        </w:rPr>
        <w:t>. WIP Renewable Energies.</w:t>
      </w:r>
    </w:p>
    <w:p w14:paraId="14641E3B" w14:textId="77777777" w:rsidR="00150D90" w:rsidRPr="002A7A4B" w:rsidRDefault="00150D90" w:rsidP="002A7A4B">
      <w:pPr>
        <w:spacing w:line="240" w:lineRule="auto"/>
        <w:ind w:left="720" w:hanging="720"/>
        <w:rPr>
          <w:rFonts w:ascii="Arial" w:hAnsi="Arial" w:cs="Arial"/>
          <w:sz w:val="20"/>
          <w:szCs w:val="20"/>
        </w:rPr>
      </w:pPr>
      <w:bookmarkStart w:id="33" w:name="_Hlk196231973"/>
      <w:proofErr w:type="spellStart"/>
      <w:r w:rsidRPr="002A7A4B">
        <w:rPr>
          <w:rFonts w:ascii="Arial" w:hAnsi="Arial" w:cs="Arial"/>
          <w:sz w:val="20"/>
          <w:szCs w:val="20"/>
        </w:rPr>
        <w:t>Kudapa</w:t>
      </w:r>
      <w:bookmarkEnd w:id="33"/>
      <w:proofErr w:type="spellEnd"/>
      <w:r w:rsidRPr="002A7A4B">
        <w:rPr>
          <w:rFonts w:ascii="Arial" w:hAnsi="Arial" w:cs="Arial"/>
          <w:sz w:val="20"/>
          <w:szCs w:val="20"/>
        </w:rPr>
        <w:t xml:space="preserve">, H., </w:t>
      </w:r>
      <w:proofErr w:type="spellStart"/>
      <w:r w:rsidRPr="002A7A4B">
        <w:rPr>
          <w:rFonts w:ascii="Arial" w:hAnsi="Arial" w:cs="Arial"/>
          <w:sz w:val="20"/>
          <w:szCs w:val="20"/>
        </w:rPr>
        <w:t>Barmukh</w:t>
      </w:r>
      <w:proofErr w:type="spellEnd"/>
      <w:r w:rsidRPr="002A7A4B">
        <w:rPr>
          <w:rFonts w:ascii="Arial" w:hAnsi="Arial" w:cs="Arial"/>
          <w:sz w:val="20"/>
          <w:szCs w:val="20"/>
        </w:rPr>
        <w:t xml:space="preserve">, R., Vemuri, H., Gorthy, S., Pinnamaneni, R., </w:t>
      </w:r>
      <w:proofErr w:type="spellStart"/>
      <w:r w:rsidRPr="002A7A4B">
        <w:rPr>
          <w:rFonts w:ascii="Arial" w:hAnsi="Arial" w:cs="Arial"/>
          <w:sz w:val="20"/>
          <w:szCs w:val="20"/>
        </w:rPr>
        <w:t>Vetriventhan</w:t>
      </w:r>
      <w:proofErr w:type="spellEnd"/>
      <w:r w:rsidRPr="002A7A4B">
        <w:rPr>
          <w:rFonts w:ascii="Arial" w:hAnsi="Arial" w:cs="Arial"/>
          <w:sz w:val="20"/>
          <w:szCs w:val="20"/>
        </w:rPr>
        <w:t>, M., ... &amp; Govindaraj, M. (2023). Genetic and genomic interventions in crop biofortification: Examples in millets. </w:t>
      </w:r>
      <w:r w:rsidRPr="002A7A4B">
        <w:rPr>
          <w:rFonts w:ascii="Arial" w:hAnsi="Arial" w:cs="Arial"/>
          <w:i/>
          <w:iCs/>
          <w:sz w:val="20"/>
          <w:szCs w:val="20"/>
        </w:rPr>
        <w:t>Frontiers in plant science</w:t>
      </w:r>
      <w:r w:rsidRPr="002A7A4B">
        <w:rPr>
          <w:rFonts w:ascii="Arial" w:hAnsi="Arial" w:cs="Arial"/>
          <w:sz w:val="20"/>
          <w:szCs w:val="20"/>
        </w:rPr>
        <w:t>, </w:t>
      </w:r>
      <w:r w:rsidRPr="002A7A4B">
        <w:rPr>
          <w:rFonts w:ascii="Arial" w:hAnsi="Arial" w:cs="Arial"/>
          <w:i/>
          <w:iCs/>
          <w:sz w:val="20"/>
          <w:szCs w:val="20"/>
        </w:rPr>
        <w:t>14</w:t>
      </w:r>
      <w:r w:rsidRPr="002A7A4B">
        <w:rPr>
          <w:rFonts w:ascii="Arial" w:hAnsi="Arial" w:cs="Arial"/>
          <w:sz w:val="20"/>
          <w:szCs w:val="20"/>
        </w:rPr>
        <w:t>, 1123655.</w:t>
      </w:r>
    </w:p>
    <w:p w14:paraId="5FE86944"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Kumar, A. A., Anuradha, K., Ramaiah, B., Grando, S., Frederick, H., </w:t>
      </w:r>
      <w:proofErr w:type="spellStart"/>
      <w:r w:rsidRPr="002A7A4B">
        <w:rPr>
          <w:rFonts w:ascii="Arial" w:hAnsi="Arial" w:cs="Arial"/>
          <w:sz w:val="20"/>
          <w:szCs w:val="20"/>
        </w:rPr>
        <w:t>Rattunde</w:t>
      </w:r>
      <w:proofErr w:type="spellEnd"/>
      <w:r w:rsidRPr="002A7A4B">
        <w:rPr>
          <w:rFonts w:ascii="Arial" w:hAnsi="Arial" w:cs="Arial"/>
          <w:sz w:val="20"/>
          <w:szCs w:val="20"/>
        </w:rPr>
        <w:t>, W., ... &amp; Pfeiffer, W. H. (2015). Recent advances in sorghum biofortification research. </w:t>
      </w:r>
      <w:r w:rsidRPr="002A7A4B">
        <w:rPr>
          <w:rFonts w:ascii="Arial" w:hAnsi="Arial" w:cs="Arial"/>
          <w:i/>
          <w:iCs/>
          <w:sz w:val="20"/>
          <w:szCs w:val="20"/>
        </w:rPr>
        <w:t>Plant Breeding Reviews: Volume 39</w:t>
      </w:r>
      <w:r w:rsidRPr="002A7A4B">
        <w:rPr>
          <w:rFonts w:ascii="Arial" w:hAnsi="Arial" w:cs="Arial"/>
          <w:sz w:val="20"/>
          <w:szCs w:val="20"/>
        </w:rPr>
        <w:t>, 89-124.</w:t>
      </w:r>
    </w:p>
    <w:p w14:paraId="721B3981"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Kuyyamudi</w:t>
      </w:r>
      <w:proofErr w:type="spellEnd"/>
      <w:r w:rsidRPr="002A7A4B">
        <w:rPr>
          <w:rFonts w:ascii="Arial" w:hAnsi="Arial" w:cs="Arial"/>
          <w:sz w:val="20"/>
          <w:szCs w:val="20"/>
        </w:rPr>
        <w:t xml:space="preserve"> </w:t>
      </w:r>
      <w:proofErr w:type="spellStart"/>
      <w:r w:rsidRPr="002A7A4B">
        <w:rPr>
          <w:rFonts w:ascii="Arial" w:hAnsi="Arial" w:cs="Arial"/>
          <w:sz w:val="20"/>
          <w:szCs w:val="20"/>
        </w:rPr>
        <w:t>Nanaiah</w:t>
      </w:r>
      <w:proofErr w:type="spellEnd"/>
      <w:r w:rsidRPr="002A7A4B">
        <w:rPr>
          <w:rFonts w:ascii="Arial" w:hAnsi="Arial" w:cs="Arial"/>
          <w:sz w:val="20"/>
          <w:szCs w:val="20"/>
        </w:rPr>
        <w:t>, G., &amp; Rakshit, S. (2020). Genomic designing for climate smart sorghum. </w:t>
      </w:r>
      <w:r w:rsidRPr="002A7A4B">
        <w:rPr>
          <w:rFonts w:ascii="Arial" w:hAnsi="Arial" w:cs="Arial"/>
          <w:i/>
          <w:iCs/>
          <w:sz w:val="20"/>
          <w:szCs w:val="20"/>
        </w:rPr>
        <w:t>Genomic designing of climate-smart cereal crops</w:t>
      </w:r>
      <w:r w:rsidRPr="002A7A4B">
        <w:rPr>
          <w:rFonts w:ascii="Arial" w:hAnsi="Arial" w:cs="Arial"/>
          <w:sz w:val="20"/>
          <w:szCs w:val="20"/>
        </w:rPr>
        <w:t>, 171-219.</w:t>
      </w:r>
    </w:p>
    <w:p w14:paraId="197A07F8"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Liaqat, W., Altaf, M. T., </w:t>
      </w:r>
      <w:proofErr w:type="spellStart"/>
      <w:r w:rsidRPr="002A7A4B">
        <w:rPr>
          <w:rFonts w:ascii="Arial" w:hAnsi="Arial" w:cs="Arial"/>
          <w:sz w:val="20"/>
          <w:szCs w:val="20"/>
        </w:rPr>
        <w:t>Barutçular</w:t>
      </w:r>
      <w:proofErr w:type="spellEnd"/>
      <w:r w:rsidRPr="002A7A4B">
        <w:rPr>
          <w:rFonts w:ascii="Arial" w:hAnsi="Arial" w:cs="Arial"/>
          <w:sz w:val="20"/>
          <w:szCs w:val="20"/>
        </w:rPr>
        <w:t>, C., Mohamed, H. I., Ahmad, H., Jan, M. F., &amp; Khan, E. H. (2024). Sorghum: a star crop to combat abiotic stresses, food insecurity, and hunger under a changing climate: a review. </w:t>
      </w:r>
      <w:r w:rsidRPr="002A7A4B">
        <w:rPr>
          <w:rFonts w:ascii="Arial" w:hAnsi="Arial" w:cs="Arial"/>
          <w:i/>
          <w:iCs/>
          <w:sz w:val="20"/>
          <w:szCs w:val="20"/>
        </w:rPr>
        <w:t>Journal of Soil Science and Plant Nutrition</w:t>
      </w:r>
      <w:r w:rsidRPr="002A7A4B">
        <w:rPr>
          <w:rFonts w:ascii="Arial" w:hAnsi="Arial" w:cs="Arial"/>
          <w:sz w:val="20"/>
          <w:szCs w:val="20"/>
        </w:rPr>
        <w:t>, </w:t>
      </w:r>
      <w:r w:rsidRPr="002A7A4B">
        <w:rPr>
          <w:rFonts w:ascii="Arial" w:hAnsi="Arial" w:cs="Arial"/>
          <w:i/>
          <w:iCs/>
          <w:sz w:val="20"/>
          <w:szCs w:val="20"/>
        </w:rPr>
        <w:t>24</w:t>
      </w:r>
      <w:r w:rsidRPr="002A7A4B">
        <w:rPr>
          <w:rFonts w:ascii="Arial" w:hAnsi="Arial" w:cs="Arial"/>
          <w:sz w:val="20"/>
          <w:szCs w:val="20"/>
        </w:rPr>
        <w:t>(1), 74-101.</w:t>
      </w:r>
    </w:p>
    <w:p w14:paraId="7990838A" w14:textId="77777777" w:rsidR="00150D90" w:rsidRPr="002A7A4B" w:rsidRDefault="00150D90" w:rsidP="002A7A4B">
      <w:pPr>
        <w:spacing w:line="240" w:lineRule="auto"/>
        <w:ind w:left="720" w:hanging="720"/>
        <w:rPr>
          <w:rFonts w:ascii="Arial" w:hAnsi="Arial" w:cs="Arial"/>
          <w:sz w:val="20"/>
          <w:szCs w:val="20"/>
        </w:rPr>
      </w:pPr>
      <w:bookmarkStart w:id="34" w:name="_Hlk196230003"/>
      <w:r w:rsidRPr="002A7A4B">
        <w:rPr>
          <w:rFonts w:ascii="Arial" w:hAnsi="Arial" w:cs="Arial"/>
          <w:sz w:val="20"/>
          <w:szCs w:val="20"/>
        </w:rPr>
        <w:t>Linders</w:t>
      </w:r>
      <w:bookmarkEnd w:id="34"/>
      <w:r w:rsidRPr="002A7A4B">
        <w:rPr>
          <w:rFonts w:ascii="Arial" w:hAnsi="Arial" w:cs="Arial"/>
          <w:sz w:val="20"/>
          <w:szCs w:val="20"/>
        </w:rPr>
        <w:t>, K. M. (2023). Plasticity of Sorghum Biomass and Inflorescence Traits in Response to Nitrogen Application.</w:t>
      </w:r>
    </w:p>
    <w:p w14:paraId="38134C28"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Little, C. R., &amp; Perumal, R. (2019). The biology and control of sorghum diseases. </w:t>
      </w:r>
      <w:r w:rsidRPr="002A7A4B">
        <w:rPr>
          <w:rFonts w:ascii="Arial" w:hAnsi="Arial" w:cs="Arial"/>
          <w:i/>
          <w:iCs/>
          <w:sz w:val="20"/>
          <w:szCs w:val="20"/>
        </w:rPr>
        <w:t xml:space="preserve">Sorghum: A State of the Art and Future </w:t>
      </w:r>
      <w:proofErr w:type="spellStart"/>
      <w:r w:rsidRPr="002A7A4B">
        <w:rPr>
          <w:rFonts w:ascii="Arial" w:hAnsi="Arial" w:cs="Arial"/>
          <w:i/>
          <w:iCs/>
          <w:sz w:val="20"/>
          <w:szCs w:val="20"/>
        </w:rPr>
        <w:t>Perspetives</w:t>
      </w:r>
      <w:proofErr w:type="spellEnd"/>
      <w:r w:rsidRPr="002A7A4B">
        <w:rPr>
          <w:rFonts w:ascii="Arial" w:hAnsi="Arial" w:cs="Arial"/>
          <w:sz w:val="20"/>
          <w:szCs w:val="20"/>
        </w:rPr>
        <w:t>, </w:t>
      </w:r>
      <w:r w:rsidRPr="002A7A4B">
        <w:rPr>
          <w:rFonts w:ascii="Arial" w:hAnsi="Arial" w:cs="Arial"/>
          <w:i/>
          <w:iCs/>
          <w:sz w:val="20"/>
          <w:szCs w:val="20"/>
        </w:rPr>
        <w:t>58</w:t>
      </w:r>
      <w:r w:rsidRPr="002A7A4B">
        <w:rPr>
          <w:rFonts w:ascii="Arial" w:hAnsi="Arial" w:cs="Arial"/>
          <w:sz w:val="20"/>
          <w:szCs w:val="20"/>
        </w:rPr>
        <w:t>, 297-346.</w:t>
      </w:r>
    </w:p>
    <w:p w14:paraId="575D5A4B" w14:textId="77777777" w:rsidR="00150D90" w:rsidRPr="002A7A4B" w:rsidRDefault="00150D90" w:rsidP="002A7A4B">
      <w:pPr>
        <w:spacing w:line="240" w:lineRule="auto"/>
        <w:ind w:left="720" w:hanging="720"/>
        <w:rPr>
          <w:rFonts w:ascii="Arial" w:hAnsi="Arial" w:cs="Arial"/>
          <w:sz w:val="20"/>
          <w:szCs w:val="20"/>
        </w:rPr>
      </w:pPr>
      <w:bookmarkStart w:id="35" w:name="_Hlk196234112"/>
      <w:r w:rsidRPr="002A7A4B">
        <w:rPr>
          <w:rFonts w:ascii="Arial" w:hAnsi="Arial" w:cs="Arial"/>
          <w:sz w:val="20"/>
          <w:szCs w:val="20"/>
        </w:rPr>
        <w:t>Mace</w:t>
      </w:r>
      <w:bookmarkEnd w:id="35"/>
      <w:r w:rsidRPr="002A7A4B">
        <w:rPr>
          <w:rFonts w:ascii="Arial" w:hAnsi="Arial" w:cs="Arial"/>
          <w:sz w:val="20"/>
          <w:szCs w:val="20"/>
        </w:rPr>
        <w:t>, E., Innes, D., Hunt, C., Wang, X., Tao, Y., Baxter, J., ... &amp; Jordan, D. (2019). The Sorghum QTL Atlas: a powerful tool for trait dissection, comparative genomics and crop improvement. </w:t>
      </w:r>
      <w:r w:rsidRPr="002A7A4B">
        <w:rPr>
          <w:rFonts w:ascii="Arial" w:hAnsi="Arial" w:cs="Arial"/>
          <w:i/>
          <w:iCs/>
          <w:sz w:val="20"/>
          <w:szCs w:val="20"/>
        </w:rPr>
        <w:t>Theoretical and applied genetics</w:t>
      </w:r>
      <w:r w:rsidRPr="002A7A4B">
        <w:rPr>
          <w:rFonts w:ascii="Arial" w:hAnsi="Arial" w:cs="Arial"/>
          <w:sz w:val="20"/>
          <w:szCs w:val="20"/>
        </w:rPr>
        <w:t>, </w:t>
      </w:r>
      <w:r w:rsidRPr="002A7A4B">
        <w:rPr>
          <w:rFonts w:ascii="Arial" w:hAnsi="Arial" w:cs="Arial"/>
          <w:i/>
          <w:iCs/>
          <w:sz w:val="20"/>
          <w:szCs w:val="20"/>
        </w:rPr>
        <w:t>132</w:t>
      </w:r>
      <w:r w:rsidRPr="002A7A4B">
        <w:rPr>
          <w:rFonts w:ascii="Arial" w:hAnsi="Arial" w:cs="Arial"/>
          <w:sz w:val="20"/>
          <w:szCs w:val="20"/>
        </w:rPr>
        <w:t>, 751-766.</w:t>
      </w:r>
    </w:p>
    <w:p w14:paraId="335DDF31" w14:textId="77777777" w:rsidR="00150D90" w:rsidRPr="002A7A4B" w:rsidRDefault="00150D90" w:rsidP="002A7A4B">
      <w:pPr>
        <w:spacing w:line="240" w:lineRule="auto"/>
        <w:ind w:left="720" w:hanging="720"/>
        <w:rPr>
          <w:rFonts w:ascii="Arial" w:hAnsi="Arial" w:cs="Arial"/>
          <w:sz w:val="20"/>
          <w:szCs w:val="20"/>
        </w:rPr>
      </w:pPr>
      <w:bookmarkStart w:id="36" w:name="_Hlk196234804"/>
      <w:r w:rsidRPr="002A7A4B">
        <w:rPr>
          <w:rFonts w:ascii="Arial" w:hAnsi="Arial" w:cs="Arial"/>
          <w:sz w:val="20"/>
          <w:szCs w:val="20"/>
        </w:rPr>
        <w:t>Mansoor</w:t>
      </w:r>
      <w:bookmarkEnd w:id="36"/>
      <w:r w:rsidRPr="002A7A4B">
        <w:rPr>
          <w:rFonts w:ascii="Arial" w:hAnsi="Arial" w:cs="Arial"/>
          <w:sz w:val="20"/>
          <w:szCs w:val="20"/>
        </w:rPr>
        <w:t>, S., &amp; Chung, Y. S. (2024). Functional phenotyping: understanding the dynamic response of plants to drought stress. </w:t>
      </w:r>
      <w:r w:rsidRPr="002A7A4B">
        <w:rPr>
          <w:rFonts w:ascii="Arial" w:hAnsi="Arial" w:cs="Arial"/>
          <w:i/>
          <w:iCs/>
          <w:sz w:val="20"/>
          <w:szCs w:val="20"/>
        </w:rPr>
        <w:t>Current Plant Biology</w:t>
      </w:r>
      <w:r w:rsidRPr="002A7A4B">
        <w:rPr>
          <w:rFonts w:ascii="Arial" w:hAnsi="Arial" w:cs="Arial"/>
          <w:sz w:val="20"/>
          <w:szCs w:val="20"/>
        </w:rPr>
        <w:t>, 100331.</w:t>
      </w:r>
    </w:p>
    <w:p w14:paraId="33481C84" w14:textId="77777777" w:rsidR="00150D90" w:rsidRPr="002A7A4B" w:rsidRDefault="00150D90" w:rsidP="002A7A4B">
      <w:pPr>
        <w:spacing w:line="240" w:lineRule="auto"/>
        <w:ind w:left="720" w:hanging="720"/>
        <w:rPr>
          <w:rFonts w:ascii="Arial" w:hAnsi="Arial" w:cs="Arial"/>
          <w:sz w:val="20"/>
          <w:szCs w:val="20"/>
        </w:rPr>
      </w:pPr>
      <w:bookmarkStart w:id="37" w:name="_Hlk196229421"/>
      <w:proofErr w:type="spellStart"/>
      <w:r w:rsidRPr="002A7A4B">
        <w:rPr>
          <w:rFonts w:ascii="Arial" w:hAnsi="Arial" w:cs="Arial"/>
          <w:sz w:val="20"/>
          <w:szCs w:val="20"/>
        </w:rPr>
        <w:t>Marenya</w:t>
      </w:r>
      <w:bookmarkEnd w:id="37"/>
      <w:proofErr w:type="spellEnd"/>
      <w:r w:rsidRPr="002A7A4B">
        <w:rPr>
          <w:rFonts w:ascii="Arial" w:hAnsi="Arial" w:cs="Arial"/>
          <w:sz w:val="20"/>
          <w:szCs w:val="20"/>
        </w:rPr>
        <w:t xml:space="preserve">, P. P., </w:t>
      </w:r>
      <w:proofErr w:type="spellStart"/>
      <w:r w:rsidRPr="002A7A4B">
        <w:rPr>
          <w:rFonts w:ascii="Arial" w:hAnsi="Arial" w:cs="Arial"/>
          <w:sz w:val="20"/>
          <w:szCs w:val="20"/>
        </w:rPr>
        <w:t>Odhong</w:t>
      </w:r>
      <w:proofErr w:type="spellEnd"/>
      <w:r w:rsidRPr="002A7A4B">
        <w:rPr>
          <w:rFonts w:ascii="Arial" w:hAnsi="Arial" w:cs="Arial"/>
          <w:sz w:val="20"/>
          <w:szCs w:val="20"/>
        </w:rPr>
        <w:t xml:space="preserve">, J. A., Narmandakh, D., Valencia </w:t>
      </w:r>
      <w:proofErr w:type="spellStart"/>
      <w:r w:rsidRPr="002A7A4B">
        <w:rPr>
          <w:rFonts w:ascii="Arial" w:hAnsi="Arial" w:cs="Arial"/>
          <w:sz w:val="20"/>
          <w:szCs w:val="20"/>
        </w:rPr>
        <w:t>Leñero</w:t>
      </w:r>
      <w:proofErr w:type="spellEnd"/>
      <w:r w:rsidRPr="002A7A4B">
        <w:rPr>
          <w:rFonts w:ascii="Arial" w:hAnsi="Arial" w:cs="Arial"/>
          <w:sz w:val="20"/>
          <w:szCs w:val="20"/>
        </w:rPr>
        <w:t>, E. M., Bett, C., Compaore, E., ... &amp; Templer, N. A. (2024). Workshop Report and Synthesis. Plausible impact pathways for dryland crops: reaching the hard-to-reach.</w:t>
      </w:r>
    </w:p>
    <w:p w14:paraId="707AB2E4" w14:textId="77777777" w:rsidR="00150D90" w:rsidRPr="002A7A4B" w:rsidRDefault="00150D90" w:rsidP="002A7A4B">
      <w:pPr>
        <w:spacing w:line="240" w:lineRule="auto"/>
        <w:ind w:left="720" w:hanging="720"/>
        <w:rPr>
          <w:rFonts w:ascii="Arial" w:hAnsi="Arial" w:cs="Arial"/>
          <w:sz w:val="20"/>
          <w:szCs w:val="20"/>
        </w:rPr>
      </w:pPr>
      <w:bookmarkStart w:id="38" w:name="_Hlk196229667"/>
      <w:r w:rsidRPr="002A7A4B">
        <w:rPr>
          <w:rFonts w:ascii="Arial" w:hAnsi="Arial" w:cs="Arial"/>
          <w:sz w:val="20"/>
          <w:szCs w:val="20"/>
        </w:rPr>
        <w:t>Martins</w:t>
      </w:r>
      <w:bookmarkEnd w:id="38"/>
      <w:r w:rsidRPr="002A7A4B">
        <w:rPr>
          <w:rFonts w:ascii="Arial" w:hAnsi="Arial" w:cs="Arial"/>
          <w:sz w:val="20"/>
          <w:szCs w:val="20"/>
        </w:rPr>
        <w:t xml:space="preserve">, S. M., Brito, G. G. D., Gonçalves, W. D. C., </w:t>
      </w:r>
      <w:proofErr w:type="spellStart"/>
      <w:r w:rsidRPr="002A7A4B">
        <w:rPr>
          <w:rFonts w:ascii="Arial" w:hAnsi="Arial" w:cs="Arial"/>
          <w:sz w:val="20"/>
          <w:szCs w:val="20"/>
        </w:rPr>
        <w:t>Tripode</w:t>
      </w:r>
      <w:proofErr w:type="spellEnd"/>
      <w:r w:rsidRPr="002A7A4B">
        <w:rPr>
          <w:rFonts w:ascii="Arial" w:hAnsi="Arial" w:cs="Arial"/>
          <w:sz w:val="20"/>
          <w:szCs w:val="20"/>
        </w:rPr>
        <w:t xml:space="preserve">, B. M. D., </w:t>
      </w:r>
      <w:proofErr w:type="spellStart"/>
      <w:r w:rsidRPr="002A7A4B">
        <w:rPr>
          <w:rFonts w:ascii="Arial" w:hAnsi="Arial" w:cs="Arial"/>
          <w:sz w:val="20"/>
          <w:szCs w:val="20"/>
        </w:rPr>
        <w:t>Lartaud</w:t>
      </w:r>
      <w:proofErr w:type="spellEnd"/>
      <w:r w:rsidRPr="002A7A4B">
        <w:rPr>
          <w:rFonts w:ascii="Arial" w:hAnsi="Arial" w:cs="Arial"/>
          <w:sz w:val="20"/>
          <w:szCs w:val="20"/>
        </w:rPr>
        <w:t xml:space="preserve">, M., Duarte, J. B., ... &amp; </w:t>
      </w:r>
      <w:proofErr w:type="spellStart"/>
      <w:r w:rsidRPr="002A7A4B">
        <w:rPr>
          <w:rFonts w:ascii="Arial" w:hAnsi="Arial" w:cs="Arial"/>
          <w:sz w:val="20"/>
          <w:szCs w:val="20"/>
        </w:rPr>
        <w:t>Giband</w:t>
      </w:r>
      <w:proofErr w:type="spellEnd"/>
      <w:r w:rsidRPr="002A7A4B">
        <w:rPr>
          <w:rFonts w:ascii="Arial" w:hAnsi="Arial" w:cs="Arial"/>
          <w:sz w:val="20"/>
          <w:szCs w:val="20"/>
        </w:rPr>
        <w:t xml:space="preserve">, M. (2019). </w:t>
      </w:r>
      <w:proofErr w:type="spellStart"/>
      <w:r w:rsidRPr="002A7A4B">
        <w:rPr>
          <w:rFonts w:ascii="Arial" w:hAnsi="Arial" w:cs="Arial"/>
          <w:sz w:val="20"/>
          <w:szCs w:val="20"/>
        </w:rPr>
        <w:t>PhenoRoots</w:t>
      </w:r>
      <w:proofErr w:type="spellEnd"/>
      <w:r w:rsidRPr="002A7A4B">
        <w:rPr>
          <w:rFonts w:ascii="Arial" w:hAnsi="Arial" w:cs="Arial"/>
          <w:sz w:val="20"/>
          <w:szCs w:val="20"/>
        </w:rPr>
        <w:t>: an inexpensive non-invasive phenotyping system to assess the variability of the root system architecture. </w:t>
      </w:r>
      <w:r w:rsidRPr="002A7A4B">
        <w:rPr>
          <w:rFonts w:ascii="Arial" w:hAnsi="Arial" w:cs="Arial"/>
          <w:i/>
          <w:iCs/>
          <w:sz w:val="20"/>
          <w:szCs w:val="20"/>
        </w:rPr>
        <w:t>Scientia Agricola</w:t>
      </w:r>
      <w:r w:rsidRPr="002A7A4B">
        <w:rPr>
          <w:rFonts w:ascii="Arial" w:hAnsi="Arial" w:cs="Arial"/>
          <w:sz w:val="20"/>
          <w:szCs w:val="20"/>
        </w:rPr>
        <w:t>, </w:t>
      </w:r>
      <w:r w:rsidRPr="002A7A4B">
        <w:rPr>
          <w:rFonts w:ascii="Arial" w:hAnsi="Arial" w:cs="Arial"/>
          <w:i/>
          <w:iCs/>
          <w:sz w:val="20"/>
          <w:szCs w:val="20"/>
        </w:rPr>
        <w:t>77</w:t>
      </w:r>
      <w:r w:rsidRPr="002A7A4B">
        <w:rPr>
          <w:rFonts w:ascii="Arial" w:hAnsi="Arial" w:cs="Arial"/>
          <w:sz w:val="20"/>
          <w:szCs w:val="20"/>
        </w:rPr>
        <w:t>, e20180420.</w:t>
      </w:r>
    </w:p>
    <w:p w14:paraId="2E2DC4D9" w14:textId="77777777" w:rsidR="00150D90" w:rsidRPr="002A7A4B" w:rsidRDefault="00150D90" w:rsidP="002A7A4B">
      <w:pPr>
        <w:spacing w:line="240" w:lineRule="auto"/>
        <w:ind w:left="720" w:hanging="720"/>
        <w:rPr>
          <w:rFonts w:ascii="Arial" w:hAnsi="Arial" w:cs="Arial"/>
          <w:sz w:val="20"/>
          <w:szCs w:val="20"/>
        </w:rPr>
      </w:pPr>
      <w:bookmarkStart w:id="39" w:name="_Hlk196234397"/>
      <w:r w:rsidRPr="002A7A4B">
        <w:rPr>
          <w:rFonts w:ascii="Arial" w:hAnsi="Arial" w:cs="Arial"/>
          <w:sz w:val="20"/>
          <w:szCs w:val="20"/>
        </w:rPr>
        <w:t>Mastrangelo</w:t>
      </w:r>
      <w:bookmarkEnd w:id="39"/>
      <w:r w:rsidRPr="002A7A4B">
        <w:rPr>
          <w:rFonts w:ascii="Arial" w:hAnsi="Arial" w:cs="Arial"/>
          <w:sz w:val="20"/>
          <w:szCs w:val="20"/>
        </w:rPr>
        <w:t xml:space="preserve">, A. M., Marone, D., </w:t>
      </w:r>
      <w:proofErr w:type="spellStart"/>
      <w:r w:rsidRPr="002A7A4B">
        <w:rPr>
          <w:rFonts w:ascii="Arial" w:hAnsi="Arial" w:cs="Arial"/>
          <w:sz w:val="20"/>
          <w:szCs w:val="20"/>
        </w:rPr>
        <w:t>Laidò</w:t>
      </w:r>
      <w:proofErr w:type="spellEnd"/>
      <w:r w:rsidRPr="002A7A4B">
        <w:rPr>
          <w:rFonts w:ascii="Arial" w:hAnsi="Arial" w:cs="Arial"/>
          <w:sz w:val="20"/>
          <w:szCs w:val="20"/>
        </w:rPr>
        <w:t>, G., De Leonardis, A. M., &amp; De Vita, P. (2012). Alternative splicing: enhancing ability to cope with stress via transcriptome plasticity. </w:t>
      </w:r>
      <w:r w:rsidRPr="002A7A4B">
        <w:rPr>
          <w:rFonts w:ascii="Arial" w:hAnsi="Arial" w:cs="Arial"/>
          <w:i/>
          <w:iCs/>
          <w:sz w:val="20"/>
          <w:szCs w:val="20"/>
        </w:rPr>
        <w:t>Plant Science</w:t>
      </w:r>
      <w:r w:rsidRPr="002A7A4B">
        <w:rPr>
          <w:rFonts w:ascii="Arial" w:hAnsi="Arial" w:cs="Arial"/>
          <w:sz w:val="20"/>
          <w:szCs w:val="20"/>
        </w:rPr>
        <w:t>, </w:t>
      </w:r>
      <w:r w:rsidRPr="002A7A4B">
        <w:rPr>
          <w:rFonts w:ascii="Arial" w:hAnsi="Arial" w:cs="Arial"/>
          <w:i/>
          <w:iCs/>
          <w:sz w:val="20"/>
          <w:szCs w:val="20"/>
        </w:rPr>
        <w:t>185</w:t>
      </w:r>
      <w:r w:rsidRPr="002A7A4B">
        <w:rPr>
          <w:rFonts w:ascii="Arial" w:hAnsi="Arial" w:cs="Arial"/>
          <w:sz w:val="20"/>
          <w:szCs w:val="20"/>
        </w:rPr>
        <w:t>, 40-49.</w:t>
      </w:r>
    </w:p>
    <w:p w14:paraId="2CE58197"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Mathur, S., Umakanth, A. V., </w:t>
      </w:r>
      <w:proofErr w:type="spellStart"/>
      <w:r w:rsidRPr="002A7A4B">
        <w:rPr>
          <w:rFonts w:ascii="Arial" w:hAnsi="Arial" w:cs="Arial"/>
          <w:sz w:val="20"/>
          <w:szCs w:val="20"/>
        </w:rPr>
        <w:t>Tonapi</w:t>
      </w:r>
      <w:proofErr w:type="spellEnd"/>
      <w:r w:rsidRPr="002A7A4B">
        <w:rPr>
          <w:rFonts w:ascii="Arial" w:hAnsi="Arial" w:cs="Arial"/>
          <w:sz w:val="20"/>
          <w:szCs w:val="20"/>
        </w:rPr>
        <w:t>, V. A., Sharma, R., &amp; Sharma, M. K. (2017). Sweet sorghum as biofuel feedstock: recent advances and available resources. </w:t>
      </w:r>
      <w:r w:rsidRPr="002A7A4B">
        <w:rPr>
          <w:rFonts w:ascii="Arial" w:hAnsi="Arial" w:cs="Arial"/>
          <w:i/>
          <w:iCs/>
          <w:sz w:val="20"/>
          <w:szCs w:val="20"/>
        </w:rPr>
        <w:t>Biotechnology for biofuels</w:t>
      </w:r>
      <w:r w:rsidRPr="002A7A4B">
        <w:rPr>
          <w:rFonts w:ascii="Arial" w:hAnsi="Arial" w:cs="Arial"/>
          <w:sz w:val="20"/>
          <w:szCs w:val="20"/>
        </w:rPr>
        <w:t>, </w:t>
      </w:r>
      <w:r w:rsidRPr="002A7A4B">
        <w:rPr>
          <w:rFonts w:ascii="Arial" w:hAnsi="Arial" w:cs="Arial"/>
          <w:i/>
          <w:iCs/>
          <w:sz w:val="20"/>
          <w:szCs w:val="20"/>
        </w:rPr>
        <w:t>10</w:t>
      </w:r>
      <w:r w:rsidRPr="002A7A4B">
        <w:rPr>
          <w:rFonts w:ascii="Arial" w:hAnsi="Arial" w:cs="Arial"/>
          <w:sz w:val="20"/>
          <w:szCs w:val="20"/>
        </w:rPr>
        <w:t>, 1-19.</w:t>
      </w:r>
    </w:p>
    <w:p w14:paraId="7BA93FA4" w14:textId="77777777" w:rsidR="00150D90" w:rsidRPr="002A7A4B" w:rsidRDefault="00150D90" w:rsidP="002A7A4B">
      <w:pPr>
        <w:spacing w:line="240" w:lineRule="auto"/>
        <w:ind w:left="720" w:hanging="720"/>
        <w:rPr>
          <w:rFonts w:ascii="Arial" w:hAnsi="Arial" w:cs="Arial"/>
          <w:sz w:val="20"/>
          <w:szCs w:val="20"/>
        </w:rPr>
      </w:pPr>
      <w:bookmarkStart w:id="40" w:name="_Hlk196234644"/>
      <w:r w:rsidRPr="002A7A4B">
        <w:rPr>
          <w:rFonts w:ascii="Arial" w:hAnsi="Arial" w:cs="Arial"/>
          <w:sz w:val="20"/>
          <w:szCs w:val="20"/>
        </w:rPr>
        <w:t>McGuire</w:t>
      </w:r>
      <w:bookmarkEnd w:id="40"/>
      <w:r w:rsidRPr="002A7A4B">
        <w:rPr>
          <w:rFonts w:ascii="Arial" w:hAnsi="Arial" w:cs="Arial"/>
          <w:sz w:val="20"/>
          <w:szCs w:val="20"/>
        </w:rPr>
        <w:t>, S. (2005). </w:t>
      </w:r>
      <w:r w:rsidRPr="002A7A4B">
        <w:rPr>
          <w:rFonts w:ascii="Arial" w:hAnsi="Arial" w:cs="Arial"/>
          <w:i/>
          <w:iCs/>
          <w:sz w:val="20"/>
          <w:szCs w:val="20"/>
        </w:rPr>
        <w:t>Getting Genes: Rethinking seed system analysis and reform for sorghum in Ethiopia</w:t>
      </w:r>
      <w:r w:rsidRPr="002A7A4B">
        <w:rPr>
          <w:rFonts w:ascii="Arial" w:hAnsi="Arial" w:cs="Arial"/>
          <w:sz w:val="20"/>
          <w:szCs w:val="20"/>
        </w:rPr>
        <w:t>. Wageningen University and Research.</w:t>
      </w:r>
    </w:p>
    <w:p w14:paraId="26FB62DA" w14:textId="77777777" w:rsidR="00150D90" w:rsidRPr="002A7A4B" w:rsidRDefault="00150D90" w:rsidP="002A7A4B">
      <w:pPr>
        <w:spacing w:line="240" w:lineRule="auto"/>
        <w:ind w:left="720" w:hanging="720"/>
        <w:rPr>
          <w:rFonts w:ascii="Arial" w:hAnsi="Arial" w:cs="Arial"/>
          <w:sz w:val="20"/>
          <w:szCs w:val="20"/>
        </w:rPr>
      </w:pPr>
      <w:bookmarkStart w:id="41" w:name="_Hlk196231534"/>
      <w:proofErr w:type="spellStart"/>
      <w:r w:rsidRPr="002A7A4B">
        <w:rPr>
          <w:rFonts w:ascii="Arial" w:hAnsi="Arial" w:cs="Arial"/>
          <w:sz w:val="20"/>
          <w:szCs w:val="20"/>
        </w:rPr>
        <w:t>Mitchikpe</w:t>
      </w:r>
      <w:bookmarkEnd w:id="41"/>
      <w:proofErr w:type="spellEnd"/>
      <w:r w:rsidRPr="002A7A4B">
        <w:rPr>
          <w:rFonts w:ascii="Arial" w:hAnsi="Arial" w:cs="Arial"/>
          <w:sz w:val="20"/>
          <w:szCs w:val="20"/>
        </w:rPr>
        <w:t>, C. E. S. (2007). </w:t>
      </w:r>
      <w:r w:rsidRPr="002A7A4B">
        <w:rPr>
          <w:rFonts w:ascii="Arial" w:hAnsi="Arial" w:cs="Arial"/>
          <w:i/>
          <w:iCs/>
          <w:sz w:val="20"/>
          <w:szCs w:val="20"/>
        </w:rPr>
        <w:t>Towards a food-based approach to improve iron and zinc status of rural Beninese children: enhancing mineral bioavailability from sorghum-based food</w:t>
      </w:r>
      <w:r w:rsidRPr="002A7A4B">
        <w:rPr>
          <w:rFonts w:ascii="Arial" w:hAnsi="Arial" w:cs="Arial"/>
          <w:sz w:val="20"/>
          <w:szCs w:val="20"/>
        </w:rPr>
        <w:t>. Wageningen University and Research.</w:t>
      </w:r>
    </w:p>
    <w:p w14:paraId="150C0ACF" w14:textId="77777777" w:rsidR="00150D90" w:rsidRPr="002A7A4B" w:rsidRDefault="00150D90" w:rsidP="002A7A4B">
      <w:pPr>
        <w:spacing w:line="240" w:lineRule="auto"/>
        <w:ind w:left="720" w:hanging="720"/>
        <w:rPr>
          <w:rFonts w:ascii="Arial" w:hAnsi="Arial" w:cs="Arial"/>
          <w:sz w:val="20"/>
          <w:szCs w:val="20"/>
        </w:rPr>
      </w:pPr>
      <w:bookmarkStart w:id="42" w:name="_Hlk196231886"/>
      <w:r w:rsidRPr="002A7A4B">
        <w:rPr>
          <w:rFonts w:ascii="Arial" w:hAnsi="Arial" w:cs="Arial"/>
          <w:sz w:val="20"/>
          <w:szCs w:val="20"/>
        </w:rPr>
        <w:t>Mofokeng</w:t>
      </w:r>
      <w:bookmarkEnd w:id="42"/>
      <w:r w:rsidRPr="002A7A4B">
        <w:rPr>
          <w:rFonts w:ascii="Arial" w:hAnsi="Arial" w:cs="Arial"/>
          <w:sz w:val="20"/>
          <w:szCs w:val="20"/>
        </w:rPr>
        <w:t xml:space="preserve">, M. A., &amp; </w:t>
      </w:r>
      <w:proofErr w:type="spellStart"/>
      <w:r w:rsidRPr="002A7A4B">
        <w:rPr>
          <w:rFonts w:ascii="Arial" w:hAnsi="Arial" w:cs="Arial"/>
          <w:sz w:val="20"/>
          <w:szCs w:val="20"/>
        </w:rPr>
        <w:t>Shargie</w:t>
      </w:r>
      <w:proofErr w:type="spellEnd"/>
      <w:r w:rsidRPr="002A7A4B">
        <w:rPr>
          <w:rFonts w:ascii="Arial" w:hAnsi="Arial" w:cs="Arial"/>
          <w:sz w:val="20"/>
          <w:szCs w:val="20"/>
        </w:rPr>
        <w:t xml:space="preserve">, N. G. (2016). Bird damage and control strategies in grain sorghum </w:t>
      </w:r>
      <w:proofErr w:type="spellStart"/>
      <w:r w:rsidRPr="002A7A4B">
        <w:rPr>
          <w:rFonts w:ascii="Arial" w:hAnsi="Arial" w:cs="Arial"/>
          <w:sz w:val="20"/>
          <w:szCs w:val="20"/>
        </w:rPr>
        <w:t>produciton</w:t>
      </w:r>
      <w:proofErr w:type="spellEnd"/>
      <w:r w:rsidRPr="002A7A4B">
        <w:rPr>
          <w:rFonts w:ascii="Arial" w:hAnsi="Arial" w:cs="Arial"/>
          <w:sz w:val="20"/>
          <w:szCs w:val="20"/>
        </w:rPr>
        <w:t>. </w:t>
      </w:r>
      <w:r w:rsidRPr="002A7A4B">
        <w:rPr>
          <w:rFonts w:ascii="Arial" w:hAnsi="Arial" w:cs="Arial"/>
          <w:i/>
          <w:iCs/>
          <w:sz w:val="20"/>
          <w:szCs w:val="20"/>
        </w:rPr>
        <w:t>International Journal of Agricultural and Environmental Research</w:t>
      </w:r>
      <w:r w:rsidRPr="002A7A4B">
        <w:rPr>
          <w:rFonts w:ascii="Arial" w:hAnsi="Arial" w:cs="Arial"/>
          <w:sz w:val="20"/>
          <w:szCs w:val="20"/>
        </w:rPr>
        <w:t>, </w:t>
      </w:r>
      <w:r w:rsidRPr="002A7A4B">
        <w:rPr>
          <w:rFonts w:ascii="Arial" w:hAnsi="Arial" w:cs="Arial"/>
          <w:i/>
          <w:iCs/>
          <w:sz w:val="20"/>
          <w:szCs w:val="20"/>
        </w:rPr>
        <w:t>2</w:t>
      </w:r>
      <w:r w:rsidRPr="002A7A4B">
        <w:rPr>
          <w:rFonts w:ascii="Arial" w:hAnsi="Arial" w:cs="Arial"/>
          <w:sz w:val="20"/>
          <w:szCs w:val="20"/>
        </w:rPr>
        <w:t>(4), 264-269.</w:t>
      </w:r>
    </w:p>
    <w:p w14:paraId="0A0750DD" w14:textId="77777777" w:rsidR="00150D90" w:rsidRPr="002A7A4B" w:rsidRDefault="00150D90" w:rsidP="002A7A4B">
      <w:pPr>
        <w:spacing w:line="240" w:lineRule="auto"/>
        <w:ind w:left="720" w:hanging="720"/>
        <w:rPr>
          <w:rFonts w:ascii="Arial" w:hAnsi="Arial" w:cs="Arial"/>
          <w:sz w:val="20"/>
          <w:szCs w:val="20"/>
        </w:rPr>
      </w:pPr>
      <w:bookmarkStart w:id="43" w:name="_Hlk196228289"/>
      <w:r w:rsidRPr="002A7A4B">
        <w:rPr>
          <w:rFonts w:ascii="Arial" w:hAnsi="Arial" w:cs="Arial"/>
          <w:sz w:val="20"/>
          <w:szCs w:val="20"/>
        </w:rPr>
        <w:t>More</w:t>
      </w:r>
      <w:bookmarkEnd w:id="43"/>
      <w:r w:rsidRPr="002A7A4B">
        <w:rPr>
          <w:rFonts w:ascii="Arial" w:hAnsi="Arial" w:cs="Arial"/>
          <w:sz w:val="20"/>
          <w:szCs w:val="20"/>
        </w:rPr>
        <w:t xml:space="preserve">, A., Morya, S., &amp; </w:t>
      </w:r>
      <w:proofErr w:type="spellStart"/>
      <w:r w:rsidRPr="002A7A4B">
        <w:rPr>
          <w:rFonts w:ascii="Arial" w:hAnsi="Arial" w:cs="Arial"/>
          <w:sz w:val="20"/>
          <w:szCs w:val="20"/>
        </w:rPr>
        <w:t>Iyiola</w:t>
      </w:r>
      <w:proofErr w:type="spellEnd"/>
      <w:r w:rsidRPr="002A7A4B">
        <w:rPr>
          <w:rFonts w:ascii="Arial" w:hAnsi="Arial" w:cs="Arial"/>
          <w:sz w:val="20"/>
          <w:szCs w:val="20"/>
        </w:rPr>
        <w:t>, A. O. (2024). Sorghum and millets. In </w:t>
      </w:r>
      <w:r w:rsidRPr="002A7A4B">
        <w:rPr>
          <w:rFonts w:ascii="Arial" w:hAnsi="Arial" w:cs="Arial"/>
          <w:i/>
          <w:iCs/>
          <w:sz w:val="20"/>
          <w:szCs w:val="20"/>
        </w:rPr>
        <w:t>Cereals and Nutraceuticals</w:t>
      </w:r>
      <w:r w:rsidRPr="002A7A4B">
        <w:rPr>
          <w:rFonts w:ascii="Arial" w:hAnsi="Arial" w:cs="Arial"/>
          <w:sz w:val="20"/>
          <w:szCs w:val="20"/>
        </w:rPr>
        <w:t> (pp. 121-144). Singapore: Springer Nature Singapore.</w:t>
      </w:r>
    </w:p>
    <w:p w14:paraId="55B5E176" w14:textId="77777777" w:rsidR="00150D90" w:rsidRPr="002A7A4B" w:rsidRDefault="00150D90" w:rsidP="002A7A4B">
      <w:pPr>
        <w:spacing w:line="240" w:lineRule="auto"/>
        <w:ind w:left="720" w:hanging="720"/>
        <w:rPr>
          <w:rFonts w:ascii="Arial" w:hAnsi="Arial" w:cs="Arial"/>
          <w:sz w:val="20"/>
          <w:szCs w:val="20"/>
        </w:rPr>
      </w:pPr>
      <w:bookmarkStart w:id="44" w:name="_Hlk196228776"/>
      <w:proofErr w:type="spellStart"/>
      <w:r w:rsidRPr="002A7A4B">
        <w:rPr>
          <w:rFonts w:ascii="Arial" w:hAnsi="Arial" w:cs="Arial"/>
          <w:sz w:val="20"/>
          <w:szCs w:val="20"/>
        </w:rPr>
        <w:t>Muitire</w:t>
      </w:r>
      <w:bookmarkEnd w:id="44"/>
      <w:proofErr w:type="spellEnd"/>
      <w:r w:rsidRPr="002A7A4B">
        <w:rPr>
          <w:rFonts w:ascii="Arial" w:hAnsi="Arial" w:cs="Arial"/>
          <w:sz w:val="20"/>
          <w:szCs w:val="20"/>
        </w:rPr>
        <w:t xml:space="preserve">, C., </w:t>
      </w:r>
      <w:proofErr w:type="spellStart"/>
      <w:r w:rsidRPr="002A7A4B">
        <w:rPr>
          <w:rFonts w:ascii="Arial" w:hAnsi="Arial" w:cs="Arial"/>
          <w:sz w:val="20"/>
          <w:szCs w:val="20"/>
        </w:rPr>
        <w:t>Kamutando</w:t>
      </w:r>
      <w:proofErr w:type="spellEnd"/>
      <w:r w:rsidRPr="002A7A4B">
        <w:rPr>
          <w:rFonts w:ascii="Arial" w:hAnsi="Arial" w:cs="Arial"/>
          <w:sz w:val="20"/>
          <w:szCs w:val="20"/>
        </w:rPr>
        <w:t xml:space="preserve">, C., &amp; Moyo, M. (2021). Building stress resilience of cereals under future climatic </w:t>
      </w:r>
      <w:proofErr w:type="spellStart"/>
      <w:proofErr w:type="gramStart"/>
      <w:r w:rsidRPr="002A7A4B">
        <w:rPr>
          <w:rFonts w:ascii="Arial" w:hAnsi="Arial" w:cs="Arial"/>
          <w:sz w:val="20"/>
          <w:szCs w:val="20"/>
        </w:rPr>
        <w:t>scenarios:‘</w:t>
      </w:r>
      <w:proofErr w:type="gramEnd"/>
      <w:r w:rsidRPr="002A7A4B">
        <w:rPr>
          <w:rFonts w:ascii="Arial" w:hAnsi="Arial" w:cs="Arial"/>
          <w:sz w:val="20"/>
          <w:szCs w:val="20"/>
        </w:rPr>
        <w:t>the</w:t>
      </w:r>
      <w:proofErr w:type="spellEnd"/>
      <w:r w:rsidRPr="002A7A4B">
        <w:rPr>
          <w:rFonts w:ascii="Arial" w:hAnsi="Arial" w:cs="Arial"/>
          <w:sz w:val="20"/>
          <w:szCs w:val="20"/>
        </w:rPr>
        <w:t xml:space="preserve"> case of maize, wheat, rice and sorghum’. In </w:t>
      </w:r>
      <w:r w:rsidRPr="002A7A4B">
        <w:rPr>
          <w:rFonts w:ascii="Arial" w:hAnsi="Arial" w:cs="Arial"/>
          <w:i/>
          <w:iCs/>
          <w:sz w:val="20"/>
          <w:szCs w:val="20"/>
        </w:rPr>
        <w:t>Cereal Grains-Volume 1</w:t>
      </w:r>
      <w:r w:rsidRPr="002A7A4B">
        <w:rPr>
          <w:rFonts w:ascii="Arial" w:hAnsi="Arial" w:cs="Arial"/>
          <w:sz w:val="20"/>
          <w:szCs w:val="20"/>
        </w:rPr>
        <w:t xml:space="preserve">. </w:t>
      </w:r>
      <w:proofErr w:type="spellStart"/>
      <w:r w:rsidRPr="002A7A4B">
        <w:rPr>
          <w:rFonts w:ascii="Arial" w:hAnsi="Arial" w:cs="Arial"/>
          <w:sz w:val="20"/>
          <w:szCs w:val="20"/>
        </w:rPr>
        <w:t>IntechOpen</w:t>
      </w:r>
      <w:proofErr w:type="spellEnd"/>
      <w:r w:rsidRPr="002A7A4B">
        <w:rPr>
          <w:rFonts w:ascii="Arial" w:hAnsi="Arial" w:cs="Arial"/>
          <w:sz w:val="20"/>
          <w:szCs w:val="20"/>
        </w:rPr>
        <w:t>.</w:t>
      </w:r>
    </w:p>
    <w:p w14:paraId="3D974808"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Mukherjee, A., Maheshwari, U., Sharma, V., Sharma, A., &amp; Kumar, S. (2024). Functional insight into multi-omics-based interventions for climatic resilience in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a nutritionally rich cereal crop. </w:t>
      </w:r>
      <w:r w:rsidRPr="002A7A4B">
        <w:rPr>
          <w:rFonts w:ascii="Arial" w:hAnsi="Arial" w:cs="Arial"/>
          <w:i/>
          <w:iCs/>
          <w:sz w:val="20"/>
          <w:szCs w:val="20"/>
        </w:rPr>
        <w:t>Planta</w:t>
      </w:r>
      <w:r w:rsidRPr="002A7A4B">
        <w:rPr>
          <w:rFonts w:ascii="Arial" w:hAnsi="Arial" w:cs="Arial"/>
          <w:sz w:val="20"/>
          <w:szCs w:val="20"/>
        </w:rPr>
        <w:t>, </w:t>
      </w:r>
      <w:r w:rsidRPr="002A7A4B">
        <w:rPr>
          <w:rFonts w:ascii="Arial" w:hAnsi="Arial" w:cs="Arial"/>
          <w:i/>
          <w:iCs/>
          <w:sz w:val="20"/>
          <w:szCs w:val="20"/>
        </w:rPr>
        <w:t>259</w:t>
      </w:r>
      <w:r w:rsidRPr="002A7A4B">
        <w:rPr>
          <w:rFonts w:ascii="Arial" w:hAnsi="Arial" w:cs="Arial"/>
          <w:sz w:val="20"/>
          <w:szCs w:val="20"/>
        </w:rPr>
        <w:t>(4), 91.</w:t>
      </w:r>
    </w:p>
    <w:p w14:paraId="45A2BB99" w14:textId="64B5912C"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Mundia, C. W., Secchi, S., </w:t>
      </w:r>
      <w:proofErr w:type="spellStart"/>
      <w:r w:rsidRPr="002A7A4B">
        <w:rPr>
          <w:rFonts w:ascii="Arial" w:hAnsi="Arial" w:cs="Arial"/>
          <w:sz w:val="20"/>
          <w:szCs w:val="20"/>
        </w:rPr>
        <w:t>Akamani</w:t>
      </w:r>
      <w:proofErr w:type="spellEnd"/>
      <w:r w:rsidRPr="002A7A4B">
        <w:rPr>
          <w:rFonts w:ascii="Arial" w:hAnsi="Arial" w:cs="Arial"/>
          <w:sz w:val="20"/>
          <w:szCs w:val="20"/>
        </w:rPr>
        <w:t>, K., &amp; Wang, G. (2019). A regional comparison of factors affecting global sorghum production: The case of North America, Asia and Africa’s Sahel. </w:t>
      </w:r>
      <w:r w:rsidRPr="002A7A4B">
        <w:rPr>
          <w:rFonts w:ascii="Arial" w:hAnsi="Arial" w:cs="Arial"/>
          <w:i/>
          <w:iCs/>
          <w:sz w:val="20"/>
          <w:szCs w:val="20"/>
        </w:rPr>
        <w:t>Sustainability</w:t>
      </w:r>
      <w:r w:rsidRPr="002A7A4B">
        <w:rPr>
          <w:rFonts w:ascii="Arial" w:hAnsi="Arial" w:cs="Arial"/>
          <w:sz w:val="20"/>
          <w:szCs w:val="20"/>
        </w:rPr>
        <w:t>, </w:t>
      </w:r>
      <w:r w:rsidRPr="002A7A4B">
        <w:rPr>
          <w:rFonts w:ascii="Arial" w:hAnsi="Arial" w:cs="Arial"/>
          <w:i/>
          <w:iCs/>
          <w:sz w:val="20"/>
          <w:szCs w:val="20"/>
        </w:rPr>
        <w:t>11</w:t>
      </w:r>
      <w:r w:rsidRPr="002A7A4B">
        <w:rPr>
          <w:rFonts w:ascii="Arial" w:hAnsi="Arial" w:cs="Arial"/>
          <w:sz w:val="20"/>
          <w:szCs w:val="20"/>
        </w:rPr>
        <w:t>(7), 2135.</w:t>
      </w:r>
    </w:p>
    <w:p w14:paraId="1C7A1EE9" w14:textId="3A39969A"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Mwamahonje</w:t>
      </w:r>
      <w:proofErr w:type="spellEnd"/>
      <w:r w:rsidRPr="002A7A4B">
        <w:rPr>
          <w:rFonts w:ascii="Arial" w:hAnsi="Arial" w:cs="Arial"/>
          <w:sz w:val="20"/>
          <w:szCs w:val="20"/>
        </w:rPr>
        <w:t xml:space="preserve">, A., </w:t>
      </w:r>
      <w:proofErr w:type="spellStart"/>
      <w:r w:rsidRPr="002A7A4B">
        <w:rPr>
          <w:rFonts w:ascii="Arial" w:hAnsi="Arial" w:cs="Arial"/>
          <w:sz w:val="20"/>
          <w:szCs w:val="20"/>
        </w:rPr>
        <w:t>Mdindikasi</w:t>
      </w:r>
      <w:proofErr w:type="spellEnd"/>
      <w:r w:rsidRPr="002A7A4B">
        <w:rPr>
          <w:rFonts w:ascii="Arial" w:hAnsi="Arial" w:cs="Arial"/>
          <w:sz w:val="20"/>
          <w:szCs w:val="20"/>
        </w:rPr>
        <w:t xml:space="preserve">, Z., </w:t>
      </w:r>
      <w:proofErr w:type="spellStart"/>
      <w:r w:rsidRPr="002A7A4B">
        <w:rPr>
          <w:rFonts w:ascii="Arial" w:hAnsi="Arial" w:cs="Arial"/>
          <w:sz w:val="20"/>
          <w:szCs w:val="20"/>
        </w:rPr>
        <w:t>Mchau</w:t>
      </w:r>
      <w:proofErr w:type="spellEnd"/>
      <w:r w:rsidRPr="002A7A4B">
        <w:rPr>
          <w:rFonts w:ascii="Arial" w:hAnsi="Arial" w:cs="Arial"/>
          <w:sz w:val="20"/>
          <w:szCs w:val="20"/>
        </w:rPr>
        <w:t xml:space="preserve">, D., Mwenda, E., Sanga, D., Garcia-Oliveira, A. L., &amp; </w:t>
      </w:r>
      <w:proofErr w:type="spellStart"/>
      <w:r w:rsidRPr="002A7A4B">
        <w:rPr>
          <w:rFonts w:ascii="Arial" w:hAnsi="Arial" w:cs="Arial"/>
          <w:sz w:val="20"/>
          <w:szCs w:val="20"/>
        </w:rPr>
        <w:t>Ojiewo</w:t>
      </w:r>
      <w:proofErr w:type="spellEnd"/>
      <w:r w:rsidRPr="002A7A4B">
        <w:rPr>
          <w:rFonts w:ascii="Arial" w:hAnsi="Arial" w:cs="Arial"/>
          <w:sz w:val="20"/>
          <w:szCs w:val="20"/>
        </w:rPr>
        <w:t>, C. O. (2024). Advances in Sorghum Improvement for Climate Resilience in the Global Arid and Semi-Arid Tropics: A Review. </w:t>
      </w:r>
      <w:r w:rsidRPr="002A7A4B">
        <w:rPr>
          <w:rFonts w:ascii="Arial" w:hAnsi="Arial" w:cs="Arial"/>
          <w:i/>
          <w:iCs/>
          <w:sz w:val="20"/>
          <w:szCs w:val="20"/>
        </w:rPr>
        <w:t>Agronomy</w:t>
      </w:r>
      <w:r w:rsidRPr="002A7A4B">
        <w:rPr>
          <w:rFonts w:ascii="Arial" w:hAnsi="Arial" w:cs="Arial"/>
          <w:sz w:val="20"/>
          <w:szCs w:val="20"/>
        </w:rPr>
        <w:t>, </w:t>
      </w:r>
      <w:r w:rsidRPr="002A7A4B">
        <w:rPr>
          <w:rFonts w:ascii="Arial" w:hAnsi="Arial" w:cs="Arial"/>
          <w:i/>
          <w:iCs/>
          <w:sz w:val="20"/>
          <w:szCs w:val="20"/>
        </w:rPr>
        <w:t>14</w:t>
      </w:r>
      <w:r w:rsidRPr="002A7A4B">
        <w:rPr>
          <w:rFonts w:ascii="Arial" w:hAnsi="Arial" w:cs="Arial"/>
          <w:sz w:val="20"/>
          <w:szCs w:val="20"/>
        </w:rPr>
        <w:t>(12), 3025.</w:t>
      </w:r>
    </w:p>
    <w:p w14:paraId="672B2710" w14:textId="77777777" w:rsidR="00150D90" w:rsidRPr="002A7A4B" w:rsidRDefault="00150D90" w:rsidP="002A7A4B">
      <w:pPr>
        <w:spacing w:line="240" w:lineRule="auto"/>
        <w:ind w:left="720" w:hanging="720"/>
        <w:rPr>
          <w:rFonts w:ascii="Arial" w:hAnsi="Arial" w:cs="Arial"/>
          <w:sz w:val="20"/>
          <w:szCs w:val="20"/>
        </w:rPr>
      </w:pPr>
      <w:bookmarkStart w:id="45" w:name="_Hlk196228042"/>
      <w:r w:rsidRPr="002A7A4B">
        <w:rPr>
          <w:rFonts w:ascii="Arial" w:hAnsi="Arial" w:cs="Arial"/>
          <w:sz w:val="20"/>
          <w:szCs w:val="20"/>
        </w:rPr>
        <w:t>Navi</w:t>
      </w:r>
      <w:bookmarkEnd w:id="45"/>
      <w:r w:rsidRPr="002A7A4B">
        <w:rPr>
          <w:rFonts w:ascii="Arial" w:hAnsi="Arial" w:cs="Arial"/>
          <w:sz w:val="20"/>
          <w:szCs w:val="20"/>
        </w:rPr>
        <w:t xml:space="preserve">, S. S., Bandyopadhyay, R., Reddy, R. K., Thakur, R. P., &amp; Yang, X. B. (2005). Effects of wetness duration and grain development stages on sorghum grain </w:t>
      </w:r>
      <w:proofErr w:type="spellStart"/>
      <w:r w:rsidRPr="002A7A4B">
        <w:rPr>
          <w:rFonts w:ascii="Arial" w:hAnsi="Arial" w:cs="Arial"/>
          <w:sz w:val="20"/>
          <w:szCs w:val="20"/>
        </w:rPr>
        <w:t>mold</w:t>
      </w:r>
      <w:proofErr w:type="spellEnd"/>
      <w:r w:rsidRPr="002A7A4B">
        <w:rPr>
          <w:rFonts w:ascii="Arial" w:hAnsi="Arial" w:cs="Arial"/>
          <w:sz w:val="20"/>
          <w:szCs w:val="20"/>
        </w:rPr>
        <w:t xml:space="preserve"> infection. </w:t>
      </w:r>
      <w:r w:rsidRPr="002A7A4B">
        <w:rPr>
          <w:rFonts w:ascii="Arial" w:hAnsi="Arial" w:cs="Arial"/>
          <w:i/>
          <w:iCs/>
          <w:sz w:val="20"/>
          <w:szCs w:val="20"/>
        </w:rPr>
        <w:t>Plant Disease</w:t>
      </w:r>
      <w:r w:rsidRPr="002A7A4B">
        <w:rPr>
          <w:rFonts w:ascii="Arial" w:hAnsi="Arial" w:cs="Arial"/>
          <w:sz w:val="20"/>
          <w:szCs w:val="20"/>
        </w:rPr>
        <w:t>, </w:t>
      </w:r>
      <w:r w:rsidRPr="002A7A4B">
        <w:rPr>
          <w:rFonts w:ascii="Arial" w:hAnsi="Arial" w:cs="Arial"/>
          <w:i/>
          <w:iCs/>
          <w:sz w:val="20"/>
          <w:szCs w:val="20"/>
        </w:rPr>
        <w:t>89</w:t>
      </w:r>
      <w:r w:rsidRPr="002A7A4B">
        <w:rPr>
          <w:rFonts w:ascii="Arial" w:hAnsi="Arial" w:cs="Arial"/>
          <w:sz w:val="20"/>
          <w:szCs w:val="20"/>
        </w:rPr>
        <w:t>(8), 872-878.</w:t>
      </w:r>
    </w:p>
    <w:p w14:paraId="7D8678A9" w14:textId="77777777" w:rsidR="00150D90" w:rsidRPr="002A7A4B" w:rsidRDefault="00150D90" w:rsidP="002A7A4B">
      <w:pPr>
        <w:spacing w:line="240" w:lineRule="auto"/>
        <w:ind w:left="720" w:hanging="720"/>
        <w:rPr>
          <w:rFonts w:ascii="Arial" w:hAnsi="Arial" w:cs="Arial"/>
          <w:sz w:val="20"/>
          <w:szCs w:val="20"/>
        </w:rPr>
      </w:pPr>
      <w:bookmarkStart w:id="46" w:name="_Hlk196231606"/>
      <w:r w:rsidRPr="002A7A4B">
        <w:rPr>
          <w:rFonts w:ascii="Arial" w:hAnsi="Arial" w:cs="Arial"/>
          <w:sz w:val="20"/>
          <w:szCs w:val="20"/>
        </w:rPr>
        <w:lastRenderedPageBreak/>
        <w:t>Nesbitt</w:t>
      </w:r>
      <w:bookmarkEnd w:id="46"/>
      <w:r w:rsidRPr="002A7A4B">
        <w:rPr>
          <w:rFonts w:ascii="Arial" w:hAnsi="Arial" w:cs="Arial"/>
          <w:sz w:val="20"/>
          <w:szCs w:val="20"/>
        </w:rPr>
        <w:t>, M. E. (2023). Exploring Factors Preventing the Popularization of Sorghum Grain for Human Consumption in the United States.</w:t>
      </w:r>
    </w:p>
    <w:p w14:paraId="2ACFE228" w14:textId="77777777" w:rsidR="00150D90" w:rsidRPr="002A7A4B" w:rsidRDefault="00150D90" w:rsidP="002A7A4B">
      <w:pPr>
        <w:spacing w:line="240" w:lineRule="auto"/>
        <w:ind w:left="720" w:hanging="720"/>
        <w:rPr>
          <w:rFonts w:ascii="Arial" w:hAnsi="Arial" w:cs="Arial"/>
          <w:sz w:val="20"/>
          <w:szCs w:val="20"/>
        </w:rPr>
      </w:pPr>
      <w:bookmarkStart w:id="47" w:name="_Hlk196228818"/>
      <w:r w:rsidRPr="002A7A4B">
        <w:rPr>
          <w:rFonts w:ascii="Arial" w:hAnsi="Arial" w:cs="Arial"/>
          <w:sz w:val="20"/>
          <w:szCs w:val="20"/>
        </w:rPr>
        <w:t>Nguyen</w:t>
      </w:r>
      <w:bookmarkEnd w:id="47"/>
      <w:r w:rsidRPr="002A7A4B">
        <w:rPr>
          <w:rFonts w:ascii="Arial" w:hAnsi="Arial" w:cs="Arial"/>
          <w:sz w:val="20"/>
          <w:szCs w:val="20"/>
        </w:rPr>
        <w:t>, H. T. (2024). Sorghum improvement: past achievements and future prospects. </w:t>
      </w:r>
      <w:r w:rsidRPr="002A7A4B">
        <w:rPr>
          <w:rFonts w:ascii="Arial" w:hAnsi="Arial" w:cs="Arial"/>
          <w:i/>
          <w:iCs/>
          <w:sz w:val="20"/>
          <w:szCs w:val="20"/>
        </w:rPr>
        <w:t>crop improvement: challenges in the twenty-first century</w:t>
      </w:r>
      <w:r w:rsidRPr="002A7A4B">
        <w:rPr>
          <w:rFonts w:ascii="Arial" w:hAnsi="Arial" w:cs="Arial"/>
          <w:sz w:val="20"/>
          <w:szCs w:val="20"/>
        </w:rPr>
        <w:t>, 109.</w:t>
      </w:r>
    </w:p>
    <w:p w14:paraId="0423EEA1" w14:textId="77777777" w:rsidR="00150D90" w:rsidRPr="002A7A4B" w:rsidRDefault="00150D90" w:rsidP="002A7A4B">
      <w:pPr>
        <w:spacing w:line="240" w:lineRule="auto"/>
        <w:ind w:left="720" w:hanging="720"/>
        <w:rPr>
          <w:rFonts w:ascii="Arial" w:hAnsi="Arial" w:cs="Arial"/>
          <w:sz w:val="20"/>
          <w:szCs w:val="20"/>
        </w:rPr>
      </w:pPr>
      <w:bookmarkStart w:id="48" w:name="_Hlk196234200"/>
      <w:r w:rsidRPr="002A7A4B">
        <w:rPr>
          <w:rFonts w:ascii="Arial" w:hAnsi="Arial" w:cs="Arial"/>
          <w:sz w:val="20"/>
          <w:szCs w:val="20"/>
        </w:rPr>
        <w:t>Nigam</w:t>
      </w:r>
      <w:bookmarkEnd w:id="48"/>
      <w:r w:rsidRPr="002A7A4B">
        <w:rPr>
          <w:rFonts w:ascii="Arial" w:hAnsi="Arial" w:cs="Arial"/>
          <w:sz w:val="20"/>
          <w:szCs w:val="20"/>
        </w:rPr>
        <w:t>, D., Devkar, V., Dhiman, P., Shakoor, S., Liu, D., Patil, G. B., &amp; Jiao, Y. (2025). Emerging frontiers in sorghum genetic engineering. </w:t>
      </w:r>
      <w:r w:rsidRPr="002A7A4B">
        <w:rPr>
          <w:rFonts w:ascii="Arial" w:hAnsi="Arial" w:cs="Arial"/>
          <w:i/>
          <w:iCs/>
          <w:sz w:val="20"/>
          <w:szCs w:val="20"/>
        </w:rPr>
        <w:t>The Plant Journal</w:t>
      </w:r>
      <w:r w:rsidRPr="002A7A4B">
        <w:rPr>
          <w:rFonts w:ascii="Arial" w:hAnsi="Arial" w:cs="Arial"/>
          <w:sz w:val="20"/>
          <w:szCs w:val="20"/>
        </w:rPr>
        <w:t>, </w:t>
      </w:r>
      <w:r w:rsidRPr="002A7A4B">
        <w:rPr>
          <w:rFonts w:ascii="Arial" w:hAnsi="Arial" w:cs="Arial"/>
          <w:i/>
          <w:iCs/>
          <w:sz w:val="20"/>
          <w:szCs w:val="20"/>
        </w:rPr>
        <w:t>121</w:t>
      </w:r>
      <w:r w:rsidRPr="002A7A4B">
        <w:rPr>
          <w:rFonts w:ascii="Arial" w:hAnsi="Arial" w:cs="Arial"/>
          <w:sz w:val="20"/>
          <w:szCs w:val="20"/>
        </w:rPr>
        <w:t>(4), e17244.</w:t>
      </w:r>
    </w:p>
    <w:p w14:paraId="71863EA6"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Nkosi, Z., Marwa, N., &amp; </w:t>
      </w:r>
      <w:proofErr w:type="spellStart"/>
      <w:r w:rsidRPr="002A7A4B">
        <w:rPr>
          <w:rFonts w:ascii="Arial" w:hAnsi="Arial" w:cs="Arial"/>
          <w:sz w:val="20"/>
          <w:szCs w:val="20"/>
        </w:rPr>
        <w:t>Akinrinde</w:t>
      </w:r>
      <w:proofErr w:type="spellEnd"/>
      <w:r w:rsidRPr="002A7A4B">
        <w:rPr>
          <w:rFonts w:ascii="Arial" w:hAnsi="Arial" w:cs="Arial"/>
          <w:sz w:val="20"/>
          <w:szCs w:val="20"/>
        </w:rPr>
        <w:t>, O. O. (2024). Exploring the Feasibility of Sorghum Farming in South Africa Using Garrett's Ranking Technique. </w:t>
      </w:r>
      <w:r w:rsidRPr="002A7A4B">
        <w:rPr>
          <w:rFonts w:ascii="Arial" w:hAnsi="Arial" w:cs="Arial"/>
          <w:i/>
          <w:iCs/>
          <w:sz w:val="20"/>
          <w:szCs w:val="20"/>
        </w:rPr>
        <w:t>Agriculture; Basel</w:t>
      </w:r>
      <w:r w:rsidRPr="002A7A4B">
        <w:rPr>
          <w:rFonts w:ascii="Arial" w:hAnsi="Arial" w:cs="Arial"/>
          <w:sz w:val="20"/>
          <w:szCs w:val="20"/>
        </w:rPr>
        <w:t>, </w:t>
      </w:r>
      <w:r w:rsidRPr="002A7A4B">
        <w:rPr>
          <w:rFonts w:ascii="Arial" w:hAnsi="Arial" w:cs="Arial"/>
          <w:i/>
          <w:iCs/>
          <w:sz w:val="20"/>
          <w:szCs w:val="20"/>
        </w:rPr>
        <w:t>14</w:t>
      </w:r>
      <w:r w:rsidRPr="002A7A4B">
        <w:rPr>
          <w:rFonts w:ascii="Arial" w:hAnsi="Arial" w:cs="Arial"/>
          <w:sz w:val="20"/>
          <w:szCs w:val="20"/>
        </w:rPr>
        <w:t>(12).</w:t>
      </w:r>
    </w:p>
    <w:p w14:paraId="461E4DEE" w14:textId="77777777" w:rsidR="00150D90" w:rsidRPr="002A7A4B" w:rsidRDefault="00150D90" w:rsidP="002A7A4B">
      <w:pPr>
        <w:spacing w:line="240" w:lineRule="auto"/>
        <w:ind w:left="720" w:hanging="720"/>
        <w:rPr>
          <w:rFonts w:ascii="Arial" w:hAnsi="Arial" w:cs="Arial"/>
          <w:sz w:val="20"/>
          <w:szCs w:val="20"/>
        </w:rPr>
      </w:pPr>
      <w:bookmarkStart w:id="49" w:name="_Hlk196228524"/>
      <w:proofErr w:type="spellStart"/>
      <w:r w:rsidRPr="002A7A4B">
        <w:rPr>
          <w:rFonts w:ascii="Arial" w:hAnsi="Arial" w:cs="Arial"/>
          <w:sz w:val="20"/>
          <w:szCs w:val="20"/>
        </w:rPr>
        <w:t>Onkarappa</w:t>
      </w:r>
      <w:bookmarkEnd w:id="49"/>
      <w:proofErr w:type="spellEnd"/>
      <w:r w:rsidRPr="002A7A4B">
        <w:rPr>
          <w:rFonts w:ascii="Arial" w:hAnsi="Arial" w:cs="Arial"/>
          <w:sz w:val="20"/>
          <w:szCs w:val="20"/>
        </w:rPr>
        <w:t>, D., Karrem, A., Marimuthu, M., &amp; Jaba, J. (2024). Marker-Assisted Breeding in Major Insect Pest of Sorghum Crop. In </w:t>
      </w:r>
      <w:r w:rsidRPr="002A7A4B">
        <w:rPr>
          <w:rFonts w:ascii="Arial" w:hAnsi="Arial" w:cs="Arial"/>
          <w:i/>
          <w:iCs/>
          <w:sz w:val="20"/>
          <w:szCs w:val="20"/>
        </w:rPr>
        <w:t>Omics and Biotechnological Approaches for Product Profile-Driven Sorghum Improvement</w:t>
      </w:r>
      <w:r w:rsidRPr="002A7A4B">
        <w:rPr>
          <w:rFonts w:ascii="Arial" w:hAnsi="Arial" w:cs="Arial"/>
          <w:sz w:val="20"/>
          <w:szCs w:val="20"/>
        </w:rPr>
        <w:t> (pp. 313-325). Singapore: Springer Nature Singapore.</w:t>
      </w:r>
    </w:p>
    <w:p w14:paraId="13A08565"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Pancaldi</w:t>
      </w:r>
      <w:proofErr w:type="spellEnd"/>
      <w:r w:rsidRPr="002A7A4B">
        <w:rPr>
          <w:rFonts w:ascii="Arial" w:hAnsi="Arial" w:cs="Arial"/>
          <w:sz w:val="20"/>
          <w:szCs w:val="20"/>
        </w:rPr>
        <w:t>, F. (2023). </w:t>
      </w:r>
      <w:r w:rsidRPr="002A7A4B">
        <w:rPr>
          <w:rFonts w:ascii="Arial" w:hAnsi="Arial" w:cs="Arial"/>
          <w:i/>
          <w:iCs/>
          <w:sz w:val="20"/>
          <w:szCs w:val="20"/>
        </w:rPr>
        <w:t>Plant cell walls: From evolutionary genomics to novel breeding tools</w:t>
      </w:r>
      <w:r w:rsidRPr="002A7A4B">
        <w:rPr>
          <w:rFonts w:ascii="Arial" w:hAnsi="Arial" w:cs="Arial"/>
          <w:sz w:val="20"/>
          <w:szCs w:val="20"/>
        </w:rPr>
        <w:t> (Doctoral dissertation, Wageningen University and Research).</w:t>
      </w:r>
    </w:p>
    <w:p w14:paraId="102A36AE" w14:textId="77777777" w:rsidR="00150D90" w:rsidRPr="002A7A4B" w:rsidRDefault="00150D90" w:rsidP="002A7A4B">
      <w:pPr>
        <w:spacing w:line="240" w:lineRule="auto"/>
        <w:ind w:left="720" w:hanging="720"/>
        <w:rPr>
          <w:rFonts w:ascii="Arial" w:hAnsi="Arial" w:cs="Arial"/>
          <w:sz w:val="20"/>
          <w:szCs w:val="20"/>
        </w:rPr>
      </w:pPr>
      <w:bookmarkStart w:id="50" w:name="_Hlk196234152"/>
      <w:r w:rsidRPr="002A7A4B">
        <w:rPr>
          <w:rFonts w:ascii="Arial" w:hAnsi="Arial" w:cs="Arial"/>
          <w:sz w:val="20"/>
          <w:szCs w:val="20"/>
        </w:rPr>
        <w:t>Pavan,</w:t>
      </w:r>
      <w:bookmarkEnd w:id="50"/>
      <w:r w:rsidRPr="002A7A4B">
        <w:rPr>
          <w:rFonts w:ascii="Arial" w:hAnsi="Arial" w:cs="Arial"/>
          <w:sz w:val="20"/>
          <w:szCs w:val="20"/>
        </w:rPr>
        <w:t xml:space="preserve"> S., Delvento, C., Ricciardi, L., Lotti, C., Ciani, E., &amp; D’Agostino, N. (2020). Recommendations for choosing the genotyping method and best practices for quality control in crop genome-wide association studies. </w:t>
      </w:r>
      <w:r w:rsidRPr="002A7A4B">
        <w:rPr>
          <w:rFonts w:ascii="Arial" w:hAnsi="Arial" w:cs="Arial"/>
          <w:i/>
          <w:iCs/>
          <w:sz w:val="20"/>
          <w:szCs w:val="20"/>
        </w:rPr>
        <w:t>Frontiers in Genetics</w:t>
      </w:r>
      <w:r w:rsidRPr="002A7A4B">
        <w:rPr>
          <w:rFonts w:ascii="Arial" w:hAnsi="Arial" w:cs="Arial"/>
          <w:sz w:val="20"/>
          <w:szCs w:val="20"/>
        </w:rPr>
        <w:t>, </w:t>
      </w:r>
      <w:r w:rsidRPr="002A7A4B">
        <w:rPr>
          <w:rFonts w:ascii="Arial" w:hAnsi="Arial" w:cs="Arial"/>
          <w:i/>
          <w:iCs/>
          <w:sz w:val="20"/>
          <w:szCs w:val="20"/>
        </w:rPr>
        <w:t>11</w:t>
      </w:r>
      <w:r w:rsidRPr="002A7A4B">
        <w:rPr>
          <w:rFonts w:ascii="Arial" w:hAnsi="Arial" w:cs="Arial"/>
          <w:sz w:val="20"/>
          <w:szCs w:val="20"/>
        </w:rPr>
        <w:t>, 447.</w:t>
      </w:r>
    </w:p>
    <w:p w14:paraId="3E807386"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Pingali, P., Aiyar, A., Abraham, M., Rahman, A., Pingali, P., Aiyar, A., ... &amp; Rahman, A. (2019). Diet diversity and the declining importance of staple grains. </w:t>
      </w:r>
      <w:r w:rsidRPr="002A7A4B">
        <w:rPr>
          <w:rFonts w:ascii="Arial" w:hAnsi="Arial" w:cs="Arial"/>
          <w:i/>
          <w:iCs/>
          <w:sz w:val="20"/>
          <w:szCs w:val="20"/>
        </w:rPr>
        <w:t>Transforming food systems for a rising India</w:t>
      </w:r>
      <w:r w:rsidRPr="002A7A4B">
        <w:rPr>
          <w:rFonts w:ascii="Arial" w:hAnsi="Arial" w:cs="Arial"/>
          <w:sz w:val="20"/>
          <w:szCs w:val="20"/>
        </w:rPr>
        <w:t>, 73-91.</w:t>
      </w:r>
    </w:p>
    <w:p w14:paraId="60DCAC00" w14:textId="77777777" w:rsidR="00150D90" w:rsidRPr="002A7A4B" w:rsidRDefault="00150D90" w:rsidP="002A7A4B">
      <w:pPr>
        <w:spacing w:line="240" w:lineRule="auto"/>
        <w:ind w:left="720" w:hanging="720"/>
        <w:rPr>
          <w:rFonts w:ascii="Arial" w:hAnsi="Arial" w:cs="Arial"/>
          <w:sz w:val="20"/>
          <w:szCs w:val="20"/>
        </w:rPr>
      </w:pPr>
      <w:bookmarkStart w:id="51" w:name="_Hlk196227952"/>
      <w:r w:rsidRPr="002A7A4B">
        <w:rPr>
          <w:rFonts w:ascii="Arial" w:hAnsi="Arial" w:cs="Arial"/>
          <w:sz w:val="20"/>
          <w:szCs w:val="20"/>
        </w:rPr>
        <w:t>Prasad</w:t>
      </w:r>
      <w:bookmarkEnd w:id="51"/>
      <w:r w:rsidRPr="002A7A4B">
        <w:rPr>
          <w:rFonts w:ascii="Arial" w:hAnsi="Arial" w:cs="Arial"/>
          <w:sz w:val="20"/>
          <w:szCs w:val="20"/>
        </w:rPr>
        <w:t xml:space="preserve">, G. S., Stanley, J., Babu, K. S., </w:t>
      </w:r>
      <w:proofErr w:type="spellStart"/>
      <w:r w:rsidRPr="002A7A4B">
        <w:rPr>
          <w:rFonts w:ascii="Arial" w:hAnsi="Arial" w:cs="Arial"/>
          <w:sz w:val="20"/>
          <w:szCs w:val="20"/>
        </w:rPr>
        <w:t>Subbarayudu</w:t>
      </w:r>
      <w:proofErr w:type="spellEnd"/>
      <w:r w:rsidRPr="002A7A4B">
        <w:rPr>
          <w:rFonts w:ascii="Arial" w:hAnsi="Arial" w:cs="Arial"/>
          <w:sz w:val="20"/>
          <w:szCs w:val="20"/>
        </w:rPr>
        <w:t xml:space="preserve">, B., &amp; </w:t>
      </w:r>
      <w:proofErr w:type="spellStart"/>
      <w:r w:rsidRPr="002A7A4B">
        <w:rPr>
          <w:rFonts w:ascii="Arial" w:hAnsi="Arial" w:cs="Arial"/>
          <w:sz w:val="20"/>
          <w:szCs w:val="20"/>
        </w:rPr>
        <w:t>Kalaisekar</w:t>
      </w:r>
      <w:proofErr w:type="spellEnd"/>
      <w:r w:rsidRPr="002A7A4B">
        <w:rPr>
          <w:rFonts w:ascii="Arial" w:hAnsi="Arial" w:cs="Arial"/>
          <w:sz w:val="20"/>
          <w:szCs w:val="20"/>
        </w:rPr>
        <w:t>, A. (2021). Major pests: Status, approaches, and strategies for management. In </w:t>
      </w:r>
      <w:r w:rsidRPr="002A7A4B">
        <w:rPr>
          <w:rFonts w:ascii="Arial" w:hAnsi="Arial" w:cs="Arial"/>
          <w:i/>
          <w:iCs/>
          <w:sz w:val="20"/>
          <w:szCs w:val="20"/>
        </w:rPr>
        <w:t>Sorghum in the 21st Century: Food–Fodder–Feed–Fuel for a Rapidly Changing World</w:t>
      </w:r>
      <w:r w:rsidRPr="002A7A4B">
        <w:rPr>
          <w:rFonts w:ascii="Arial" w:hAnsi="Arial" w:cs="Arial"/>
          <w:sz w:val="20"/>
          <w:szCs w:val="20"/>
        </w:rPr>
        <w:t> (pp. 539-563). Singapore: Springer Singapore.</w:t>
      </w:r>
    </w:p>
    <w:p w14:paraId="0CBF716B"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Prasad, P. V. V., </w:t>
      </w:r>
      <w:proofErr w:type="spellStart"/>
      <w:r w:rsidRPr="002A7A4B">
        <w:rPr>
          <w:rFonts w:ascii="Arial" w:hAnsi="Arial" w:cs="Arial"/>
          <w:sz w:val="20"/>
          <w:szCs w:val="20"/>
        </w:rPr>
        <w:t>Djanaguiraman</w:t>
      </w:r>
      <w:proofErr w:type="spellEnd"/>
      <w:r w:rsidRPr="002A7A4B">
        <w:rPr>
          <w:rFonts w:ascii="Arial" w:hAnsi="Arial" w:cs="Arial"/>
          <w:sz w:val="20"/>
          <w:szCs w:val="20"/>
        </w:rPr>
        <w:t xml:space="preserve">, M., Stewart, Z. P., &amp; </w:t>
      </w:r>
      <w:proofErr w:type="spellStart"/>
      <w:r w:rsidRPr="002A7A4B">
        <w:rPr>
          <w:rFonts w:ascii="Arial" w:hAnsi="Arial" w:cs="Arial"/>
          <w:sz w:val="20"/>
          <w:szCs w:val="20"/>
        </w:rPr>
        <w:t>Ciampitti</w:t>
      </w:r>
      <w:proofErr w:type="spellEnd"/>
      <w:r w:rsidRPr="002A7A4B">
        <w:rPr>
          <w:rFonts w:ascii="Arial" w:hAnsi="Arial" w:cs="Arial"/>
          <w:sz w:val="20"/>
          <w:szCs w:val="20"/>
        </w:rPr>
        <w:t>, I. A. (2020). Agroclimatology of maize, sorghum, and pearl millet. </w:t>
      </w:r>
      <w:r w:rsidRPr="002A7A4B">
        <w:rPr>
          <w:rFonts w:ascii="Arial" w:hAnsi="Arial" w:cs="Arial"/>
          <w:i/>
          <w:iCs/>
          <w:sz w:val="20"/>
          <w:szCs w:val="20"/>
        </w:rPr>
        <w:t>Agroclimatology: linking agriculture to climate</w:t>
      </w:r>
      <w:r w:rsidRPr="002A7A4B">
        <w:rPr>
          <w:rFonts w:ascii="Arial" w:hAnsi="Arial" w:cs="Arial"/>
          <w:sz w:val="20"/>
          <w:szCs w:val="20"/>
        </w:rPr>
        <w:t>, </w:t>
      </w:r>
      <w:r w:rsidRPr="002A7A4B">
        <w:rPr>
          <w:rFonts w:ascii="Arial" w:hAnsi="Arial" w:cs="Arial"/>
          <w:i/>
          <w:iCs/>
          <w:sz w:val="20"/>
          <w:szCs w:val="20"/>
        </w:rPr>
        <w:t>60</w:t>
      </w:r>
      <w:r w:rsidRPr="002A7A4B">
        <w:rPr>
          <w:rFonts w:ascii="Arial" w:hAnsi="Arial" w:cs="Arial"/>
          <w:sz w:val="20"/>
          <w:szCs w:val="20"/>
        </w:rPr>
        <w:t>, 201-241.</w:t>
      </w:r>
    </w:p>
    <w:p w14:paraId="276EBB30" w14:textId="77777777" w:rsidR="00150D90" w:rsidRPr="002A7A4B" w:rsidRDefault="00150D90" w:rsidP="002A7A4B">
      <w:pPr>
        <w:spacing w:line="240" w:lineRule="auto"/>
        <w:ind w:left="720" w:hanging="720"/>
        <w:rPr>
          <w:rFonts w:ascii="Arial" w:hAnsi="Arial" w:cs="Arial"/>
          <w:sz w:val="20"/>
          <w:szCs w:val="20"/>
        </w:rPr>
      </w:pPr>
      <w:bookmarkStart w:id="52" w:name="_Hlk196228491"/>
      <w:r w:rsidRPr="002A7A4B">
        <w:rPr>
          <w:rFonts w:ascii="Arial" w:hAnsi="Arial" w:cs="Arial"/>
          <w:sz w:val="20"/>
          <w:szCs w:val="20"/>
        </w:rPr>
        <w:t>Prasad</w:t>
      </w:r>
      <w:bookmarkEnd w:id="52"/>
      <w:r w:rsidRPr="002A7A4B">
        <w:rPr>
          <w:rFonts w:ascii="Arial" w:hAnsi="Arial" w:cs="Arial"/>
          <w:sz w:val="20"/>
          <w:szCs w:val="20"/>
        </w:rPr>
        <w:t xml:space="preserve">, V. R., Govindaraj, M., </w:t>
      </w:r>
      <w:proofErr w:type="spellStart"/>
      <w:r w:rsidRPr="002A7A4B">
        <w:rPr>
          <w:rFonts w:ascii="Arial" w:hAnsi="Arial" w:cs="Arial"/>
          <w:sz w:val="20"/>
          <w:szCs w:val="20"/>
        </w:rPr>
        <w:t>Djanaguiraman</w:t>
      </w:r>
      <w:proofErr w:type="spellEnd"/>
      <w:r w:rsidRPr="002A7A4B">
        <w:rPr>
          <w:rFonts w:ascii="Arial" w:hAnsi="Arial" w:cs="Arial"/>
          <w:sz w:val="20"/>
          <w:szCs w:val="20"/>
        </w:rPr>
        <w:t xml:space="preserve">, M., </w:t>
      </w:r>
      <w:proofErr w:type="spellStart"/>
      <w:r w:rsidRPr="002A7A4B">
        <w:rPr>
          <w:rFonts w:ascii="Arial" w:hAnsi="Arial" w:cs="Arial"/>
          <w:sz w:val="20"/>
          <w:szCs w:val="20"/>
        </w:rPr>
        <w:t>Djalovic</w:t>
      </w:r>
      <w:proofErr w:type="spellEnd"/>
      <w:r w:rsidRPr="002A7A4B">
        <w:rPr>
          <w:rFonts w:ascii="Arial" w:hAnsi="Arial" w:cs="Arial"/>
          <w:sz w:val="20"/>
          <w:szCs w:val="20"/>
        </w:rPr>
        <w:t xml:space="preserve">, I., </w:t>
      </w:r>
      <w:proofErr w:type="spellStart"/>
      <w:r w:rsidRPr="002A7A4B">
        <w:rPr>
          <w:rFonts w:ascii="Arial" w:hAnsi="Arial" w:cs="Arial"/>
          <w:sz w:val="20"/>
          <w:szCs w:val="20"/>
        </w:rPr>
        <w:t>Shailani</w:t>
      </w:r>
      <w:proofErr w:type="spellEnd"/>
      <w:r w:rsidRPr="002A7A4B">
        <w:rPr>
          <w:rFonts w:ascii="Arial" w:hAnsi="Arial" w:cs="Arial"/>
          <w:sz w:val="20"/>
          <w:szCs w:val="20"/>
        </w:rPr>
        <w:t>, A., Rawat, N., ... &amp; Prasad, P. V. (2021). Drought and high temperature stress in sorghum: Physiological, genetic, and molecular insights and breeding approaches. </w:t>
      </w:r>
      <w:r w:rsidRPr="002A7A4B">
        <w:rPr>
          <w:rFonts w:ascii="Arial" w:hAnsi="Arial" w:cs="Arial"/>
          <w:i/>
          <w:iCs/>
          <w:sz w:val="20"/>
          <w:szCs w:val="20"/>
        </w:rPr>
        <w:t>International Journal of Molecular Sciences</w:t>
      </w:r>
      <w:r w:rsidRPr="002A7A4B">
        <w:rPr>
          <w:rFonts w:ascii="Arial" w:hAnsi="Arial" w:cs="Arial"/>
          <w:sz w:val="20"/>
          <w:szCs w:val="20"/>
        </w:rPr>
        <w:t>, </w:t>
      </w:r>
      <w:r w:rsidRPr="002A7A4B">
        <w:rPr>
          <w:rFonts w:ascii="Arial" w:hAnsi="Arial" w:cs="Arial"/>
          <w:i/>
          <w:iCs/>
          <w:sz w:val="20"/>
          <w:szCs w:val="20"/>
        </w:rPr>
        <w:t>22</w:t>
      </w:r>
      <w:r w:rsidRPr="002A7A4B">
        <w:rPr>
          <w:rFonts w:ascii="Arial" w:hAnsi="Arial" w:cs="Arial"/>
          <w:sz w:val="20"/>
          <w:szCs w:val="20"/>
        </w:rPr>
        <w:t>(18), 9826.</w:t>
      </w:r>
    </w:p>
    <w:p w14:paraId="5E0FE572" w14:textId="77777777" w:rsidR="00150D90" w:rsidRPr="002A7A4B" w:rsidRDefault="00150D90" w:rsidP="002A7A4B">
      <w:pPr>
        <w:spacing w:line="240" w:lineRule="auto"/>
        <w:ind w:left="720" w:hanging="720"/>
        <w:rPr>
          <w:rFonts w:ascii="Arial" w:hAnsi="Arial" w:cs="Arial"/>
          <w:sz w:val="20"/>
          <w:szCs w:val="20"/>
        </w:rPr>
      </w:pPr>
      <w:bookmarkStart w:id="53" w:name="_Hlk196229561"/>
      <w:r w:rsidRPr="002A7A4B">
        <w:rPr>
          <w:rFonts w:ascii="Arial" w:hAnsi="Arial" w:cs="Arial"/>
          <w:sz w:val="20"/>
          <w:szCs w:val="20"/>
        </w:rPr>
        <w:t>Prasad</w:t>
      </w:r>
      <w:bookmarkEnd w:id="53"/>
      <w:r w:rsidRPr="002A7A4B">
        <w:rPr>
          <w:rFonts w:ascii="Arial" w:hAnsi="Arial" w:cs="Arial"/>
          <w:sz w:val="20"/>
          <w:szCs w:val="20"/>
        </w:rPr>
        <w:t xml:space="preserve">, V. R., Govindaraj, M., </w:t>
      </w:r>
      <w:proofErr w:type="spellStart"/>
      <w:r w:rsidRPr="002A7A4B">
        <w:rPr>
          <w:rFonts w:ascii="Arial" w:hAnsi="Arial" w:cs="Arial"/>
          <w:sz w:val="20"/>
          <w:szCs w:val="20"/>
        </w:rPr>
        <w:t>Djanaguiraman</w:t>
      </w:r>
      <w:proofErr w:type="spellEnd"/>
      <w:r w:rsidRPr="002A7A4B">
        <w:rPr>
          <w:rFonts w:ascii="Arial" w:hAnsi="Arial" w:cs="Arial"/>
          <w:sz w:val="20"/>
          <w:szCs w:val="20"/>
        </w:rPr>
        <w:t xml:space="preserve">, M., </w:t>
      </w:r>
      <w:proofErr w:type="spellStart"/>
      <w:r w:rsidRPr="002A7A4B">
        <w:rPr>
          <w:rFonts w:ascii="Arial" w:hAnsi="Arial" w:cs="Arial"/>
          <w:sz w:val="20"/>
          <w:szCs w:val="20"/>
        </w:rPr>
        <w:t>Djalovic</w:t>
      </w:r>
      <w:proofErr w:type="spellEnd"/>
      <w:r w:rsidRPr="002A7A4B">
        <w:rPr>
          <w:rFonts w:ascii="Arial" w:hAnsi="Arial" w:cs="Arial"/>
          <w:sz w:val="20"/>
          <w:szCs w:val="20"/>
        </w:rPr>
        <w:t xml:space="preserve">, I., </w:t>
      </w:r>
      <w:proofErr w:type="spellStart"/>
      <w:r w:rsidRPr="002A7A4B">
        <w:rPr>
          <w:rFonts w:ascii="Arial" w:hAnsi="Arial" w:cs="Arial"/>
          <w:sz w:val="20"/>
          <w:szCs w:val="20"/>
        </w:rPr>
        <w:t>Shailani</w:t>
      </w:r>
      <w:proofErr w:type="spellEnd"/>
      <w:r w:rsidRPr="002A7A4B">
        <w:rPr>
          <w:rFonts w:ascii="Arial" w:hAnsi="Arial" w:cs="Arial"/>
          <w:sz w:val="20"/>
          <w:szCs w:val="20"/>
        </w:rPr>
        <w:t>, A., Rawat, N., ... &amp; Prasad, P. V. (2021). Drought and high temperature stress in sorghum: Physiological, genetic, and molecular insights and breeding approaches. </w:t>
      </w:r>
      <w:r w:rsidRPr="002A7A4B">
        <w:rPr>
          <w:rFonts w:ascii="Arial" w:hAnsi="Arial" w:cs="Arial"/>
          <w:i/>
          <w:iCs/>
          <w:sz w:val="20"/>
          <w:szCs w:val="20"/>
        </w:rPr>
        <w:t>International Journal of Molecular Sciences</w:t>
      </w:r>
      <w:r w:rsidRPr="002A7A4B">
        <w:rPr>
          <w:rFonts w:ascii="Arial" w:hAnsi="Arial" w:cs="Arial"/>
          <w:sz w:val="20"/>
          <w:szCs w:val="20"/>
        </w:rPr>
        <w:t>, </w:t>
      </w:r>
      <w:r w:rsidRPr="002A7A4B">
        <w:rPr>
          <w:rFonts w:ascii="Arial" w:hAnsi="Arial" w:cs="Arial"/>
          <w:i/>
          <w:iCs/>
          <w:sz w:val="20"/>
          <w:szCs w:val="20"/>
        </w:rPr>
        <w:t>22</w:t>
      </w:r>
      <w:r w:rsidRPr="002A7A4B">
        <w:rPr>
          <w:rFonts w:ascii="Arial" w:hAnsi="Arial" w:cs="Arial"/>
          <w:sz w:val="20"/>
          <w:szCs w:val="20"/>
        </w:rPr>
        <w:t>(18), 9826.</w:t>
      </w:r>
    </w:p>
    <w:p w14:paraId="22E22B6B"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Proietti, I., </w:t>
      </w:r>
      <w:proofErr w:type="spellStart"/>
      <w:r w:rsidRPr="002A7A4B">
        <w:rPr>
          <w:rFonts w:ascii="Arial" w:hAnsi="Arial" w:cs="Arial"/>
          <w:sz w:val="20"/>
          <w:szCs w:val="20"/>
        </w:rPr>
        <w:t>Frazzoli</w:t>
      </w:r>
      <w:proofErr w:type="spellEnd"/>
      <w:r w:rsidRPr="002A7A4B">
        <w:rPr>
          <w:rFonts w:ascii="Arial" w:hAnsi="Arial" w:cs="Arial"/>
          <w:sz w:val="20"/>
          <w:szCs w:val="20"/>
        </w:rPr>
        <w:t>, C., &amp; Mantovani, A. (2015, June). Exploiting nutritional value of staple foods in the world’s semi-arid areas: Risks, benefits, challenges and opportunities of sorghum. In </w:t>
      </w:r>
      <w:r w:rsidRPr="002A7A4B">
        <w:rPr>
          <w:rFonts w:ascii="Arial" w:hAnsi="Arial" w:cs="Arial"/>
          <w:i/>
          <w:iCs/>
          <w:sz w:val="20"/>
          <w:szCs w:val="20"/>
        </w:rPr>
        <w:t>Healthcare</w:t>
      </w:r>
      <w:r w:rsidRPr="002A7A4B">
        <w:rPr>
          <w:rFonts w:ascii="Arial" w:hAnsi="Arial" w:cs="Arial"/>
          <w:sz w:val="20"/>
          <w:szCs w:val="20"/>
        </w:rPr>
        <w:t> (Vol. 3, No. 2, pp. 172-193). Multidisciplinary Digital Publishing Institute.</w:t>
      </w:r>
    </w:p>
    <w:p w14:paraId="59A87C04" w14:textId="77777777" w:rsidR="00150D90" w:rsidRPr="002A7A4B" w:rsidRDefault="00150D90" w:rsidP="002A7A4B">
      <w:pPr>
        <w:spacing w:line="240" w:lineRule="auto"/>
        <w:ind w:left="720" w:hanging="720"/>
        <w:rPr>
          <w:rFonts w:ascii="Arial" w:hAnsi="Arial" w:cs="Arial"/>
          <w:sz w:val="20"/>
          <w:szCs w:val="20"/>
        </w:rPr>
      </w:pPr>
      <w:bookmarkStart w:id="54" w:name="_Hlk196233629"/>
      <w:r w:rsidRPr="002A7A4B">
        <w:rPr>
          <w:rFonts w:ascii="Arial" w:hAnsi="Arial" w:cs="Arial"/>
          <w:sz w:val="20"/>
          <w:szCs w:val="20"/>
        </w:rPr>
        <w:t>Rai</w:t>
      </w:r>
      <w:bookmarkEnd w:id="54"/>
      <w:r w:rsidRPr="002A7A4B">
        <w:rPr>
          <w:rFonts w:ascii="Arial" w:hAnsi="Arial" w:cs="Arial"/>
          <w:sz w:val="20"/>
          <w:szCs w:val="20"/>
        </w:rPr>
        <w:t>, K. N., Gowda, C. L. L., Reddy, B. V. S., &amp; Sehgal, S. (2008). Adaptation and potential uses of sorghum and pearl millet in alternative and health foods. </w:t>
      </w:r>
      <w:r w:rsidRPr="002A7A4B">
        <w:rPr>
          <w:rFonts w:ascii="Arial" w:hAnsi="Arial" w:cs="Arial"/>
          <w:i/>
          <w:iCs/>
          <w:sz w:val="20"/>
          <w:szCs w:val="20"/>
        </w:rPr>
        <w:t>Comprehensive Reviews in Food Science and Food Safety</w:t>
      </w:r>
      <w:r w:rsidRPr="002A7A4B">
        <w:rPr>
          <w:rFonts w:ascii="Arial" w:hAnsi="Arial" w:cs="Arial"/>
          <w:sz w:val="20"/>
          <w:szCs w:val="20"/>
        </w:rPr>
        <w:t>, </w:t>
      </w:r>
      <w:r w:rsidRPr="002A7A4B">
        <w:rPr>
          <w:rFonts w:ascii="Arial" w:hAnsi="Arial" w:cs="Arial"/>
          <w:i/>
          <w:iCs/>
          <w:sz w:val="20"/>
          <w:szCs w:val="20"/>
        </w:rPr>
        <w:t>7</w:t>
      </w:r>
      <w:r w:rsidRPr="002A7A4B">
        <w:rPr>
          <w:rFonts w:ascii="Arial" w:hAnsi="Arial" w:cs="Arial"/>
          <w:sz w:val="20"/>
          <w:szCs w:val="20"/>
        </w:rPr>
        <w:t>(4), 320-396.</w:t>
      </w:r>
    </w:p>
    <w:p w14:paraId="2FAA7E9E" w14:textId="77777777" w:rsidR="00150D90" w:rsidRPr="002A7A4B" w:rsidRDefault="00150D90" w:rsidP="002A7A4B">
      <w:pPr>
        <w:spacing w:line="240" w:lineRule="auto"/>
        <w:ind w:left="720" w:hanging="720"/>
        <w:rPr>
          <w:rFonts w:ascii="Arial" w:hAnsi="Arial" w:cs="Arial"/>
          <w:sz w:val="20"/>
          <w:szCs w:val="20"/>
        </w:rPr>
      </w:pPr>
      <w:bookmarkStart w:id="55" w:name="_Hlk196231802"/>
      <w:r w:rsidRPr="002A7A4B">
        <w:rPr>
          <w:rFonts w:ascii="Arial" w:hAnsi="Arial" w:cs="Arial"/>
          <w:sz w:val="20"/>
          <w:szCs w:val="20"/>
        </w:rPr>
        <w:t>Rather</w:t>
      </w:r>
      <w:bookmarkEnd w:id="55"/>
      <w:r w:rsidRPr="002A7A4B">
        <w:rPr>
          <w:rFonts w:ascii="Arial" w:hAnsi="Arial" w:cs="Arial"/>
          <w:sz w:val="20"/>
          <w:szCs w:val="20"/>
        </w:rPr>
        <w:t xml:space="preserve">, M. A., Thakur, R., Hoque, M., Das, R. S., Miki, K. S. L., Teixeira-Costa, B. E., ... &amp; Gupta, A. K. (2023). Sorghum (Sorghum </w:t>
      </w:r>
      <w:proofErr w:type="spellStart"/>
      <w:r w:rsidRPr="002A7A4B">
        <w:rPr>
          <w:rFonts w:ascii="Arial" w:hAnsi="Arial" w:cs="Arial"/>
          <w:sz w:val="20"/>
          <w:szCs w:val="20"/>
        </w:rPr>
        <w:t>bicolor</w:t>
      </w:r>
      <w:proofErr w:type="spellEnd"/>
      <w:r w:rsidRPr="002A7A4B">
        <w:rPr>
          <w:rFonts w:ascii="Arial" w:hAnsi="Arial" w:cs="Arial"/>
          <w:sz w:val="20"/>
          <w:szCs w:val="20"/>
        </w:rPr>
        <w:t>). </w:t>
      </w:r>
      <w:r w:rsidRPr="002A7A4B">
        <w:rPr>
          <w:rFonts w:ascii="Arial" w:hAnsi="Arial" w:cs="Arial"/>
          <w:i/>
          <w:iCs/>
          <w:sz w:val="20"/>
          <w:szCs w:val="20"/>
        </w:rPr>
        <w:t>Nutri-Cereals: Nutraceutical and Techno-Functional Potential</w:t>
      </w:r>
      <w:r w:rsidRPr="002A7A4B">
        <w:rPr>
          <w:rFonts w:ascii="Arial" w:hAnsi="Arial" w:cs="Arial"/>
          <w:sz w:val="20"/>
          <w:szCs w:val="20"/>
        </w:rPr>
        <w:t>.</w:t>
      </w:r>
    </w:p>
    <w:p w14:paraId="3AC85315" w14:textId="77777777" w:rsidR="00150D90" w:rsidRPr="002A7A4B" w:rsidRDefault="00150D90" w:rsidP="002A7A4B">
      <w:pPr>
        <w:spacing w:line="240" w:lineRule="auto"/>
        <w:ind w:left="720" w:hanging="720"/>
        <w:rPr>
          <w:rFonts w:ascii="Arial" w:hAnsi="Arial" w:cs="Arial"/>
          <w:sz w:val="20"/>
          <w:szCs w:val="20"/>
        </w:rPr>
      </w:pPr>
      <w:bookmarkStart w:id="56" w:name="_Hlk196228858"/>
      <w:r w:rsidRPr="002A7A4B">
        <w:rPr>
          <w:rFonts w:ascii="Arial" w:hAnsi="Arial" w:cs="Arial"/>
          <w:sz w:val="20"/>
          <w:szCs w:val="20"/>
        </w:rPr>
        <w:t>Reddy</w:t>
      </w:r>
      <w:bookmarkEnd w:id="56"/>
      <w:r w:rsidRPr="002A7A4B">
        <w:rPr>
          <w:rFonts w:ascii="Arial" w:hAnsi="Arial" w:cs="Arial"/>
          <w:sz w:val="20"/>
          <w:szCs w:val="20"/>
        </w:rPr>
        <w:t>, B. V. S., Rao, P., Deb, U. K., Stenhouse, J. W., Ramaiah, B., &amp; Ortiz, R. (2004). Global sorghum genetic enhancement processes at ICRISAT. </w:t>
      </w:r>
      <w:r w:rsidRPr="002A7A4B">
        <w:rPr>
          <w:rFonts w:ascii="Arial" w:hAnsi="Arial" w:cs="Arial"/>
          <w:i/>
          <w:iCs/>
          <w:sz w:val="20"/>
          <w:szCs w:val="20"/>
        </w:rPr>
        <w:t>Sorghum genetic enhancement: research process, dissemination and impacts</w:t>
      </w:r>
      <w:r w:rsidRPr="002A7A4B">
        <w:rPr>
          <w:rFonts w:ascii="Arial" w:hAnsi="Arial" w:cs="Arial"/>
          <w:sz w:val="20"/>
          <w:szCs w:val="20"/>
        </w:rPr>
        <w:t>, </w:t>
      </w:r>
      <w:r w:rsidRPr="002A7A4B">
        <w:rPr>
          <w:rFonts w:ascii="Arial" w:hAnsi="Arial" w:cs="Arial"/>
          <w:i/>
          <w:iCs/>
          <w:sz w:val="20"/>
          <w:szCs w:val="20"/>
        </w:rPr>
        <w:t>1</w:t>
      </w:r>
      <w:r w:rsidRPr="002A7A4B">
        <w:rPr>
          <w:rFonts w:ascii="Arial" w:hAnsi="Arial" w:cs="Arial"/>
          <w:sz w:val="20"/>
          <w:szCs w:val="20"/>
        </w:rPr>
        <w:t>, 64-101.</w:t>
      </w:r>
    </w:p>
    <w:p w14:paraId="322824BF"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Reddy, B. V., Ramesh, S., &amp; Reddy, P. S. (2006). Sorghum genetic resources, cytogenetics and improvement. </w:t>
      </w:r>
      <w:r w:rsidRPr="002A7A4B">
        <w:rPr>
          <w:rFonts w:ascii="Arial" w:hAnsi="Arial" w:cs="Arial"/>
          <w:i/>
          <w:iCs/>
          <w:sz w:val="20"/>
          <w:szCs w:val="20"/>
        </w:rPr>
        <w:t>Genetic resources, chromosome engineering, and crop improvement</w:t>
      </w:r>
      <w:r w:rsidRPr="002A7A4B">
        <w:rPr>
          <w:rFonts w:ascii="Arial" w:hAnsi="Arial" w:cs="Arial"/>
          <w:sz w:val="20"/>
          <w:szCs w:val="20"/>
        </w:rPr>
        <w:t>, </w:t>
      </w:r>
      <w:r w:rsidRPr="002A7A4B">
        <w:rPr>
          <w:rFonts w:ascii="Arial" w:hAnsi="Arial" w:cs="Arial"/>
          <w:i/>
          <w:iCs/>
          <w:sz w:val="20"/>
          <w:szCs w:val="20"/>
        </w:rPr>
        <w:t>2</w:t>
      </w:r>
      <w:r w:rsidRPr="002A7A4B">
        <w:rPr>
          <w:rFonts w:ascii="Arial" w:hAnsi="Arial" w:cs="Arial"/>
          <w:sz w:val="20"/>
          <w:szCs w:val="20"/>
        </w:rPr>
        <w:t>, 309-363.</w:t>
      </w:r>
    </w:p>
    <w:p w14:paraId="49167E3D" w14:textId="77777777" w:rsidR="00150D90" w:rsidRPr="002A7A4B" w:rsidRDefault="00150D90" w:rsidP="002A7A4B">
      <w:pPr>
        <w:spacing w:line="240" w:lineRule="auto"/>
        <w:ind w:left="720" w:hanging="720"/>
        <w:rPr>
          <w:rFonts w:ascii="Arial" w:hAnsi="Arial" w:cs="Arial"/>
          <w:sz w:val="20"/>
          <w:szCs w:val="20"/>
        </w:rPr>
      </w:pPr>
      <w:bookmarkStart w:id="57" w:name="_Hlk196228606"/>
      <w:r w:rsidRPr="002A7A4B">
        <w:rPr>
          <w:rFonts w:ascii="Arial" w:hAnsi="Arial" w:cs="Arial"/>
          <w:sz w:val="20"/>
          <w:szCs w:val="20"/>
        </w:rPr>
        <w:t>Reddy</w:t>
      </w:r>
      <w:bookmarkEnd w:id="57"/>
      <w:r w:rsidRPr="002A7A4B">
        <w:rPr>
          <w:rFonts w:ascii="Arial" w:hAnsi="Arial" w:cs="Arial"/>
          <w:sz w:val="20"/>
          <w:szCs w:val="20"/>
        </w:rPr>
        <w:t>, P. S. (2021). Ideotype breeding for improving yield in sorghum: recent advances and future perspectives. </w:t>
      </w:r>
      <w:r w:rsidRPr="002A7A4B">
        <w:rPr>
          <w:rFonts w:ascii="Arial" w:hAnsi="Arial" w:cs="Arial"/>
          <w:i/>
          <w:iCs/>
          <w:sz w:val="20"/>
          <w:szCs w:val="20"/>
        </w:rPr>
        <w:t>Molecular breeding in wheat, maize and sorghum: strategies for improving abiotic stress tolerance and yield</w:t>
      </w:r>
      <w:r w:rsidRPr="002A7A4B">
        <w:rPr>
          <w:rFonts w:ascii="Arial" w:hAnsi="Arial" w:cs="Arial"/>
          <w:sz w:val="20"/>
          <w:szCs w:val="20"/>
        </w:rPr>
        <w:t>, 498-516.</w:t>
      </w:r>
    </w:p>
    <w:p w14:paraId="7EF5D59B" w14:textId="77777777" w:rsidR="00150D90" w:rsidRPr="002A7A4B" w:rsidRDefault="00150D90" w:rsidP="002A7A4B">
      <w:pPr>
        <w:spacing w:line="240" w:lineRule="auto"/>
        <w:ind w:left="720" w:hanging="720"/>
        <w:rPr>
          <w:rFonts w:ascii="Arial" w:hAnsi="Arial" w:cs="Arial"/>
          <w:sz w:val="20"/>
          <w:szCs w:val="20"/>
        </w:rPr>
      </w:pPr>
      <w:bookmarkStart w:id="58" w:name="_Hlk196228567"/>
      <w:r w:rsidRPr="002A7A4B">
        <w:rPr>
          <w:rFonts w:ascii="Arial" w:hAnsi="Arial" w:cs="Arial"/>
          <w:sz w:val="20"/>
          <w:szCs w:val="20"/>
        </w:rPr>
        <w:t>Rooney</w:t>
      </w:r>
      <w:bookmarkEnd w:id="58"/>
      <w:r w:rsidRPr="002A7A4B">
        <w:rPr>
          <w:rFonts w:ascii="Arial" w:hAnsi="Arial" w:cs="Arial"/>
          <w:sz w:val="20"/>
          <w:szCs w:val="20"/>
        </w:rPr>
        <w:t xml:space="preserve">, L. W. (2000). Texas A&amp;M University, College Station, Texas Sergio </w:t>
      </w:r>
      <w:proofErr w:type="spellStart"/>
      <w:r w:rsidRPr="002A7A4B">
        <w:rPr>
          <w:rFonts w:ascii="Arial" w:hAnsi="Arial" w:cs="Arial"/>
          <w:sz w:val="20"/>
          <w:szCs w:val="20"/>
        </w:rPr>
        <w:t>Othón</w:t>
      </w:r>
      <w:proofErr w:type="spellEnd"/>
      <w:r w:rsidRPr="002A7A4B">
        <w:rPr>
          <w:rFonts w:ascii="Arial" w:hAnsi="Arial" w:cs="Arial"/>
          <w:sz w:val="20"/>
          <w:szCs w:val="20"/>
        </w:rPr>
        <w:t xml:space="preserve"> Serna-Saldivar Instituto </w:t>
      </w:r>
      <w:proofErr w:type="spellStart"/>
      <w:r w:rsidRPr="002A7A4B">
        <w:rPr>
          <w:rFonts w:ascii="Arial" w:hAnsi="Arial" w:cs="Arial"/>
          <w:sz w:val="20"/>
          <w:szCs w:val="20"/>
        </w:rPr>
        <w:t>Tecnológico</w:t>
      </w:r>
      <w:proofErr w:type="spellEnd"/>
      <w:r w:rsidRPr="002A7A4B">
        <w:rPr>
          <w:rFonts w:ascii="Arial" w:hAnsi="Arial" w:cs="Arial"/>
          <w:sz w:val="20"/>
          <w:szCs w:val="20"/>
        </w:rPr>
        <w:t xml:space="preserve"> y de </w:t>
      </w:r>
      <w:proofErr w:type="spellStart"/>
      <w:r w:rsidRPr="002A7A4B">
        <w:rPr>
          <w:rFonts w:ascii="Arial" w:hAnsi="Arial" w:cs="Arial"/>
          <w:sz w:val="20"/>
          <w:szCs w:val="20"/>
        </w:rPr>
        <w:t>Estudios</w:t>
      </w:r>
      <w:proofErr w:type="spellEnd"/>
      <w:r w:rsidRPr="002A7A4B">
        <w:rPr>
          <w:rFonts w:ascii="Arial" w:hAnsi="Arial" w:cs="Arial"/>
          <w:sz w:val="20"/>
          <w:szCs w:val="20"/>
        </w:rPr>
        <w:t xml:space="preserve"> Superiores de Monterrey, Monterrey, NL Mexico. </w:t>
      </w:r>
      <w:r w:rsidRPr="002A7A4B">
        <w:rPr>
          <w:rFonts w:ascii="Arial" w:hAnsi="Arial" w:cs="Arial"/>
          <w:i/>
          <w:iCs/>
          <w:sz w:val="20"/>
          <w:szCs w:val="20"/>
        </w:rPr>
        <w:t>Handbook of Cereal Science and Technology, Revised and Expanded</w:t>
      </w:r>
      <w:r w:rsidRPr="002A7A4B">
        <w:rPr>
          <w:rFonts w:ascii="Arial" w:hAnsi="Arial" w:cs="Arial"/>
          <w:sz w:val="20"/>
          <w:szCs w:val="20"/>
        </w:rPr>
        <w:t>, </w:t>
      </w:r>
      <w:r w:rsidRPr="002A7A4B">
        <w:rPr>
          <w:rFonts w:ascii="Arial" w:hAnsi="Arial" w:cs="Arial"/>
          <w:i/>
          <w:iCs/>
          <w:sz w:val="20"/>
          <w:szCs w:val="20"/>
        </w:rPr>
        <w:t>148</w:t>
      </w:r>
      <w:r w:rsidRPr="002A7A4B">
        <w:rPr>
          <w:rFonts w:ascii="Arial" w:hAnsi="Arial" w:cs="Arial"/>
          <w:sz w:val="20"/>
          <w:szCs w:val="20"/>
        </w:rPr>
        <w:t>(4,234), 149.</w:t>
      </w:r>
    </w:p>
    <w:p w14:paraId="38108748" w14:textId="77777777" w:rsidR="00150D90" w:rsidRPr="002A7A4B" w:rsidRDefault="00150D90" w:rsidP="002A7A4B">
      <w:pPr>
        <w:spacing w:line="240" w:lineRule="auto"/>
        <w:ind w:left="720" w:hanging="720"/>
        <w:rPr>
          <w:rFonts w:ascii="Arial" w:hAnsi="Arial" w:cs="Arial"/>
          <w:sz w:val="20"/>
          <w:szCs w:val="20"/>
        </w:rPr>
      </w:pPr>
      <w:bookmarkStart w:id="59" w:name="_Hlk196234330"/>
      <w:r w:rsidRPr="002A7A4B">
        <w:rPr>
          <w:rFonts w:ascii="Arial" w:hAnsi="Arial" w:cs="Arial"/>
          <w:sz w:val="20"/>
          <w:szCs w:val="20"/>
        </w:rPr>
        <w:t>Roychowdhury</w:t>
      </w:r>
      <w:bookmarkEnd w:id="59"/>
      <w:r w:rsidRPr="002A7A4B">
        <w:rPr>
          <w:rFonts w:ascii="Arial" w:hAnsi="Arial" w:cs="Arial"/>
          <w:sz w:val="20"/>
          <w:szCs w:val="20"/>
        </w:rPr>
        <w:t>, R., Das, S. P., Gupta, A., Parihar, P., Chandrasekhar, K., Sarker, U., ... &amp; Sudhakar, C. (2023). Multi-omics pipeline and omics-integration approach to decipher plant’s abiotic stress tolerance responses. </w:t>
      </w:r>
      <w:r w:rsidRPr="002A7A4B">
        <w:rPr>
          <w:rFonts w:ascii="Arial" w:hAnsi="Arial" w:cs="Arial"/>
          <w:i/>
          <w:iCs/>
          <w:sz w:val="20"/>
          <w:szCs w:val="20"/>
        </w:rPr>
        <w:t>Genes</w:t>
      </w:r>
      <w:r w:rsidRPr="002A7A4B">
        <w:rPr>
          <w:rFonts w:ascii="Arial" w:hAnsi="Arial" w:cs="Arial"/>
          <w:sz w:val="20"/>
          <w:szCs w:val="20"/>
        </w:rPr>
        <w:t>, </w:t>
      </w:r>
      <w:r w:rsidRPr="002A7A4B">
        <w:rPr>
          <w:rFonts w:ascii="Arial" w:hAnsi="Arial" w:cs="Arial"/>
          <w:i/>
          <w:iCs/>
          <w:sz w:val="20"/>
          <w:szCs w:val="20"/>
        </w:rPr>
        <w:t>14</w:t>
      </w:r>
      <w:r w:rsidRPr="002A7A4B">
        <w:rPr>
          <w:rFonts w:ascii="Arial" w:hAnsi="Arial" w:cs="Arial"/>
          <w:sz w:val="20"/>
          <w:szCs w:val="20"/>
        </w:rPr>
        <w:t>(6), 1281.</w:t>
      </w:r>
    </w:p>
    <w:p w14:paraId="6D22A541" w14:textId="77777777" w:rsidR="00150D90" w:rsidRPr="002A7A4B" w:rsidRDefault="00150D90" w:rsidP="002A7A4B">
      <w:pPr>
        <w:spacing w:line="240" w:lineRule="auto"/>
        <w:ind w:left="720" w:hanging="720"/>
        <w:rPr>
          <w:rFonts w:ascii="Arial" w:hAnsi="Arial" w:cs="Arial"/>
          <w:sz w:val="20"/>
          <w:szCs w:val="20"/>
        </w:rPr>
      </w:pPr>
      <w:bookmarkStart w:id="60" w:name="_Hlk196234517"/>
      <w:r w:rsidRPr="002A7A4B">
        <w:rPr>
          <w:rFonts w:ascii="Arial" w:hAnsi="Arial" w:cs="Arial"/>
          <w:sz w:val="20"/>
          <w:szCs w:val="20"/>
        </w:rPr>
        <w:lastRenderedPageBreak/>
        <w:t>Saleem</w:t>
      </w:r>
      <w:bookmarkEnd w:id="60"/>
      <w:r w:rsidRPr="002A7A4B">
        <w:rPr>
          <w:rFonts w:ascii="Arial" w:hAnsi="Arial" w:cs="Arial"/>
          <w:sz w:val="20"/>
          <w:szCs w:val="20"/>
        </w:rPr>
        <w:t>, A., Anwar, S., Nawaz, T., Fahad, S., Saud, S., Ur Rahman, T., ... &amp; Nawaz, T. (2024). Securing a sustainable future: the climate change threat to agriculture, food security, and sustainable development goals. </w:t>
      </w:r>
      <w:r w:rsidRPr="002A7A4B">
        <w:rPr>
          <w:rFonts w:ascii="Arial" w:hAnsi="Arial" w:cs="Arial"/>
          <w:i/>
          <w:iCs/>
          <w:sz w:val="20"/>
          <w:szCs w:val="20"/>
        </w:rPr>
        <w:t>Journal of Umm Al-Qura University for Applied Sciences</w:t>
      </w:r>
      <w:r w:rsidRPr="002A7A4B">
        <w:rPr>
          <w:rFonts w:ascii="Arial" w:hAnsi="Arial" w:cs="Arial"/>
          <w:sz w:val="20"/>
          <w:szCs w:val="20"/>
        </w:rPr>
        <w:t>, 1-17.</w:t>
      </w:r>
    </w:p>
    <w:p w14:paraId="652A8F1E"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Santosh, O., Nirmala, C., Bajwa, H. K., Bisht, M. S., Indira, A., &amp; Bano, S. (2024). Fortification of noodles with processed bamboo shoots: Evaluating the impact on nutritional composition, antioxidant activity and sensory characteristics. </w:t>
      </w:r>
      <w:r w:rsidRPr="002A7A4B">
        <w:rPr>
          <w:rFonts w:ascii="Arial" w:hAnsi="Arial" w:cs="Arial"/>
          <w:i/>
          <w:iCs/>
          <w:sz w:val="20"/>
          <w:szCs w:val="20"/>
        </w:rPr>
        <w:t>Advances in Bamboo Science</w:t>
      </w:r>
      <w:r w:rsidRPr="002A7A4B">
        <w:rPr>
          <w:rFonts w:ascii="Arial" w:hAnsi="Arial" w:cs="Arial"/>
          <w:sz w:val="20"/>
          <w:szCs w:val="20"/>
        </w:rPr>
        <w:t>, </w:t>
      </w:r>
      <w:r w:rsidRPr="002A7A4B">
        <w:rPr>
          <w:rFonts w:ascii="Arial" w:hAnsi="Arial" w:cs="Arial"/>
          <w:i/>
          <w:iCs/>
          <w:sz w:val="20"/>
          <w:szCs w:val="20"/>
        </w:rPr>
        <w:t>8</w:t>
      </w:r>
      <w:r w:rsidRPr="002A7A4B">
        <w:rPr>
          <w:rFonts w:ascii="Arial" w:hAnsi="Arial" w:cs="Arial"/>
          <w:sz w:val="20"/>
          <w:szCs w:val="20"/>
        </w:rPr>
        <w:t>, 100089.</w:t>
      </w:r>
    </w:p>
    <w:p w14:paraId="2CC1704E" w14:textId="77777777" w:rsidR="00150D90" w:rsidRPr="002A7A4B" w:rsidRDefault="00150D90" w:rsidP="002A7A4B">
      <w:pPr>
        <w:spacing w:line="240" w:lineRule="auto"/>
        <w:ind w:left="720" w:hanging="720"/>
        <w:rPr>
          <w:rFonts w:ascii="Arial" w:hAnsi="Arial" w:cs="Arial"/>
          <w:sz w:val="20"/>
          <w:szCs w:val="20"/>
        </w:rPr>
      </w:pPr>
      <w:bookmarkStart w:id="61" w:name="_Hlk196233879"/>
      <w:r w:rsidRPr="002A7A4B">
        <w:rPr>
          <w:rFonts w:ascii="Arial" w:hAnsi="Arial" w:cs="Arial"/>
          <w:sz w:val="20"/>
          <w:szCs w:val="20"/>
        </w:rPr>
        <w:t>Sapkota</w:t>
      </w:r>
      <w:bookmarkEnd w:id="61"/>
      <w:r w:rsidRPr="002A7A4B">
        <w:rPr>
          <w:rFonts w:ascii="Arial" w:hAnsi="Arial" w:cs="Arial"/>
          <w:sz w:val="20"/>
          <w:szCs w:val="20"/>
        </w:rPr>
        <w:t>, S. K. (2021). </w:t>
      </w:r>
      <w:r w:rsidRPr="002A7A4B">
        <w:rPr>
          <w:rFonts w:ascii="Arial" w:hAnsi="Arial" w:cs="Arial"/>
          <w:i/>
          <w:iCs/>
          <w:sz w:val="20"/>
          <w:szCs w:val="20"/>
        </w:rPr>
        <w:t>Genomics-Assisted Breeding for Grain Yield and Composition in Sorghum</w:t>
      </w:r>
      <w:r w:rsidRPr="002A7A4B">
        <w:rPr>
          <w:rFonts w:ascii="Arial" w:hAnsi="Arial" w:cs="Arial"/>
          <w:sz w:val="20"/>
          <w:szCs w:val="20"/>
        </w:rPr>
        <w:t> (Doctoral dissertation, Clemson University).</w:t>
      </w:r>
    </w:p>
    <w:p w14:paraId="13FE2439" w14:textId="77777777" w:rsidR="00150D90" w:rsidRPr="002A7A4B" w:rsidRDefault="00150D90" w:rsidP="002A7A4B">
      <w:pPr>
        <w:spacing w:line="240" w:lineRule="auto"/>
        <w:ind w:left="720" w:hanging="720"/>
        <w:rPr>
          <w:rFonts w:ascii="Arial" w:hAnsi="Arial" w:cs="Arial"/>
          <w:sz w:val="20"/>
          <w:szCs w:val="20"/>
        </w:rPr>
      </w:pPr>
      <w:bookmarkStart w:id="62" w:name="_Hlk196234447"/>
      <w:r w:rsidRPr="002A7A4B">
        <w:rPr>
          <w:rFonts w:ascii="Arial" w:hAnsi="Arial" w:cs="Arial"/>
          <w:sz w:val="20"/>
          <w:szCs w:val="20"/>
        </w:rPr>
        <w:t>Satrio</w:t>
      </w:r>
      <w:bookmarkEnd w:id="62"/>
      <w:r w:rsidRPr="002A7A4B">
        <w:rPr>
          <w:rFonts w:ascii="Arial" w:hAnsi="Arial" w:cs="Arial"/>
          <w:sz w:val="20"/>
          <w:szCs w:val="20"/>
        </w:rPr>
        <w:t xml:space="preserve">, R. D., </w:t>
      </w:r>
      <w:proofErr w:type="spellStart"/>
      <w:r w:rsidRPr="002A7A4B">
        <w:rPr>
          <w:rFonts w:ascii="Arial" w:hAnsi="Arial" w:cs="Arial"/>
          <w:sz w:val="20"/>
          <w:szCs w:val="20"/>
        </w:rPr>
        <w:t>Fendiyanto</w:t>
      </w:r>
      <w:proofErr w:type="spellEnd"/>
      <w:r w:rsidRPr="002A7A4B">
        <w:rPr>
          <w:rFonts w:ascii="Arial" w:hAnsi="Arial" w:cs="Arial"/>
          <w:sz w:val="20"/>
          <w:szCs w:val="20"/>
        </w:rPr>
        <w:t xml:space="preserve">, M. H., &amp; </w:t>
      </w:r>
      <w:proofErr w:type="spellStart"/>
      <w:r w:rsidRPr="002A7A4B">
        <w:rPr>
          <w:rFonts w:ascii="Arial" w:hAnsi="Arial" w:cs="Arial"/>
          <w:sz w:val="20"/>
          <w:szCs w:val="20"/>
        </w:rPr>
        <w:t>Miftahudin</w:t>
      </w:r>
      <w:proofErr w:type="spellEnd"/>
      <w:r w:rsidRPr="002A7A4B">
        <w:rPr>
          <w:rFonts w:ascii="Arial" w:hAnsi="Arial" w:cs="Arial"/>
          <w:sz w:val="20"/>
          <w:szCs w:val="20"/>
        </w:rPr>
        <w:t>, M. (2024). Tools and techniques used at global scale through genomics, transcriptomics, proteomics, and metabolomics to investigate plant stress responses at the molecular level. In </w:t>
      </w:r>
      <w:r w:rsidRPr="002A7A4B">
        <w:rPr>
          <w:rFonts w:ascii="Arial" w:hAnsi="Arial" w:cs="Arial"/>
          <w:i/>
          <w:iCs/>
          <w:sz w:val="20"/>
          <w:szCs w:val="20"/>
        </w:rPr>
        <w:t>Molecular Dynamics of Plant Stress and its Management</w:t>
      </w:r>
      <w:r w:rsidRPr="002A7A4B">
        <w:rPr>
          <w:rFonts w:ascii="Arial" w:hAnsi="Arial" w:cs="Arial"/>
          <w:sz w:val="20"/>
          <w:szCs w:val="20"/>
        </w:rPr>
        <w:t> (pp. 555-607). Singapore: Springer Nature Singapore.</w:t>
      </w:r>
    </w:p>
    <w:p w14:paraId="17C067EA"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Seck, P. A., Diagne, A., Mohanty, S., &amp; </w:t>
      </w:r>
      <w:proofErr w:type="spellStart"/>
      <w:r w:rsidRPr="002A7A4B">
        <w:rPr>
          <w:rFonts w:ascii="Arial" w:hAnsi="Arial" w:cs="Arial"/>
          <w:sz w:val="20"/>
          <w:szCs w:val="20"/>
        </w:rPr>
        <w:t>Wopereis</w:t>
      </w:r>
      <w:proofErr w:type="spellEnd"/>
      <w:r w:rsidRPr="002A7A4B">
        <w:rPr>
          <w:rFonts w:ascii="Arial" w:hAnsi="Arial" w:cs="Arial"/>
          <w:sz w:val="20"/>
          <w:szCs w:val="20"/>
        </w:rPr>
        <w:t>, M. C. (2012). Crops that feed the world 7: Rice. </w:t>
      </w:r>
      <w:r w:rsidRPr="002A7A4B">
        <w:rPr>
          <w:rFonts w:ascii="Arial" w:hAnsi="Arial" w:cs="Arial"/>
          <w:i/>
          <w:iCs/>
          <w:sz w:val="20"/>
          <w:szCs w:val="20"/>
        </w:rPr>
        <w:t>Food security</w:t>
      </w:r>
      <w:r w:rsidRPr="002A7A4B">
        <w:rPr>
          <w:rFonts w:ascii="Arial" w:hAnsi="Arial" w:cs="Arial"/>
          <w:sz w:val="20"/>
          <w:szCs w:val="20"/>
        </w:rPr>
        <w:t>, </w:t>
      </w:r>
      <w:r w:rsidRPr="002A7A4B">
        <w:rPr>
          <w:rFonts w:ascii="Arial" w:hAnsi="Arial" w:cs="Arial"/>
          <w:i/>
          <w:iCs/>
          <w:sz w:val="20"/>
          <w:szCs w:val="20"/>
        </w:rPr>
        <w:t>4</w:t>
      </w:r>
      <w:r w:rsidRPr="002A7A4B">
        <w:rPr>
          <w:rFonts w:ascii="Arial" w:hAnsi="Arial" w:cs="Arial"/>
          <w:sz w:val="20"/>
          <w:szCs w:val="20"/>
        </w:rPr>
        <w:t>, 7-24.</w:t>
      </w:r>
    </w:p>
    <w:p w14:paraId="4B5F413E" w14:textId="77777777" w:rsidR="00150D90" w:rsidRPr="002A7A4B" w:rsidRDefault="00150D90" w:rsidP="002A7A4B">
      <w:pPr>
        <w:spacing w:line="240" w:lineRule="auto"/>
        <w:ind w:left="720" w:hanging="720"/>
        <w:rPr>
          <w:rFonts w:ascii="Arial" w:hAnsi="Arial" w:cs="Arial"/>
          <w:sz w:val="20"/>
          <w:szCs w:val="20"/>
        </w:rPr>
      </w:pPr>
      <w:bookmarkStart w:id="63" w:name="_Hlk196233584"/>
      <w:proofErr w:type="spellStart"/>
      <w:r w:rsidRPr="002A7A4B">
        <w:rPr>
          <w:rFonts w:ascii="Arial" w:hAnsi="Arial" w:cs="Arial"/>
          <w:sz w:val="20"/>
          <w:szCs w:val="20"/>
        </w:rPr>
        <w:t>Senguttuvel</w:t>
      </w:r>
      <w:bookmarkEnd w:id="63"/>
      <w:proofErr w:type="spellEnd"/>
      <w:r w:rsidRPr="002A7A4B">
        <w:rPr>
          <w:rFonts w:ascii="Arial" w:hAnsi="Arial" w:cs="Arial"/>
          <w:sz w:val="20"/>
          <w:szCs w:val="20"/>
        </w:rPr>
        <w:t>, P., CN, N., V, J., P, B., SV, S. P., LV, S. R., ... &amp; Govindaraj, M. (2023). Rice biofortification: breeding and genomic approaches for genetic enhancement of grain zinc and iron contents. </w:t>
      </w:r>
      <w:r w:rsidRPr="002A7A4B">
        <w:rPr>
          <w:rFonts w:ascii="Arial" w:hAnsi="Arial" w:cs="Arial"/>
          <w:i/>
          <w:iCs/>
          <w:sz w:val="20"/>
          <w:szCs w:val="20"/>
        </w:rPr>
        <w:t>Frontiers in Plant Science</w:t>
      </w:r>
      <w:r w:rsidRPr="002A7A4B">
        <w:rPr>
          <w:rFonts w:ascii="Arial" w:hAnsi="Arial" w:cs="Arial"/>
          <w:sz w:val="20"/>
          <w:szCs w:val="20"/>
        </w:rPr>
        <w:t>, </w:t>
      </w:r>
      <w:r w:rsidRPr="002A7A4B">
        <w:rPr>
          <w:rFonts w:ascii="Arial" w:hAnsi="Arial" w:cs="Arial"/>
          <w:i/>
          <w:iCs/>
          <w:sz w:val="20"/>
          <w:szCs w:val="20"/>
        </w:rPr>
        <w:t>14</w:t>
      </w:r>
      <w:r w:rsidRPr="002A7A4B">
        <w:rPr>
          <w:rFonts w:ascii="Arial" w:hAnsi="Arial" w:cs="Arial"/>
          <w:sz w:val="20"/>
          <w:szCs w:val="20"/>
        </w:rPr>
        <w:t>, 1138408.</w:t>
      </w:r>
    </w:p>
    <w:p w14:paraId="2056BB12" w14:textId="77777777" w:rsidR="00150D90" w:rsidRPr="002A7A4B" w:rsidRDefault="00150D90" w:rsidP="002A7A4B">
      <w:pPr>
        <w:spacing w:line="240" w:lineRule="auto"/>
        <w:ind w:left="720" w:hanging="720"/>
        <w:rPr>
          <w:rFonts w:ascii="Arial" w:hAnsi="Arial" w:cs="Arial"/>
          <w:sz w:val="20"/>
          <w:szCs w:val="20"/>
        </w:rPr>
      </w:pPr>
      <w:bookmarkStart w:id="64" w:name="_Hlk196227902"/>
      <w:r w:rsidRPr="002A7A4B">
        <w:rPr>
          <w:rFonts w:ascii="Arial" w:hAnsi="Arial" w:cs="Arial"/>
          <w:sz w:val="20"/>
          <w:szCs w:val="20"/>
        </w:rPr>
        <w:t>Sharma</w:t>
      </w:r>
      <w:bookmarkEnd w:id="64"/>
      <w:r w:rsidRPr="002A7A4B">
        <w:rPr>
          <w:rFonts w:ascii="Arial" w:hAnsi="Arial" w:cs="Arial"/>
          <w:sz w:val="20"/>
          <w:szCs w:val="20"/>
        </w:rPr>
        <w:t>, I., Kumari, N., &amp; Sharma, V. (2015). Sorghum fungal diseases. </w:t>
      </w:r>
      <w:r w:rsidRPr="002A7A4B">
        <w:rPr>
          <w:rFonts w:ascii="Arial" w:hAnsi="Arial" w:cs="Arial"/>
          <w:i/>
          <w:iCs/>
          <w:sz w:val="20"/>
          <w:szCs w:val="20"/>
        </w:rPr>
        <w:t>Sustainable Agriculture Reviews: Cereals</w:t>
      </w:r>
      <w:r w:rsidRPr="002A7A4B">
        <w:rPr>
          <w:rFonts w:ascii="Arial" w:hAnsi="Arial" w:cs="Arial"/>
          <w:sz w:val="20"/>
          <w:szCs w:val="20"/>
        </w:rPr>
        <w:t>, 141-172.</w:t>
      </w:r>
    </w:p>
    <w:p w14:paraId="3A536952" w14:textId="77777777" w:rsidR="00150D90" w:rsidRPr="002A7A4B" w:rsidRDefault="00150D90" w:rsidP="002A7A4B">
      <w:pPr>
        <w:spacing w:line="240" w:lineRule="auto"/>
        <w:ind w:left="720" w:hanging="720"/>
        <w:rPr>
          <w:rFonts w:ascii="Arial" w:hAnsi="Arial" w:cs="Arial"/>
          <w:sz w:val="20"/>
          <w:szCs w:val="20"/>
        </w:rPr>
      </w:pPr>
      <w:bookmarkStart w:id="65" w:name="_Hlk196227603"/>
      <w:r w:rsidRPr="002A7A4B">
        <w:rPr>
          <w:rFonts w:ascii="Arial" w:hAnsi="Arial" w:cs="Arial"/>
          <w:sz w:val="20"/>
          <w:szCs w:val="20"/>
        </w:rPr>
        <w:t>Singh</w:t>
      </w:r>
      <w:bookmarkEnd w:id="65"/>
      <w:r w:rsidRPr="002A7A4B">
        <w:rPr>
          <w:rFonts w:ascii="Arial" w:hAnsi="Arial" w:cs="Arial"/>
          <w:sz w:val="20"/>
          <w:szCs w:val="20"/>
        </w:rPr>
        <w:t>, A. P., Pandey, P. K., &amp; Joshi, R. P. (2024). Harnessing Genetic Diversity for Climate-Resilient Maize: A Comprehensive Review. </w:t>
      </w:r>
      <w:r w:rsidRPr="002A7A4B">
        <w:rPr>
          <w:rFonts w:ascii="Arial" w:hAnsi="Arial" w:cs="Arial"/>
          <w:i/>
          <w:iCs/>
          <w:sz w:val="20"/>
          <w:szCs w:val="20"/>
        </w:rPr>
        <w:t>Journal of Applied Biology and Agriculture</w:t>
      </w:r>
      <w:r w:rsidRPr="002A7A4B">
        <w:rPr>
          <w:rFonts w:ascii="Arial" w:hAnsi="Arial" w:cs="Arial"/>
          <w:sz w:val="20"/>
          <w:szCs w:val="20"/>
        </w:rPr>
        <w:t>, </w:t>
      </w:r>
      <w:r w:rsidRPr="002A7A4B">
        <w:rPr>
          <w:rFonts w:ascii="Arial" w:hAnsi="Arial" w:cs="Arial"/>
          <w:i/>
          <w:iCs/>
          <w:sz w:val="20"/>
          <w:szCs w:val="20"/>
        </w:rPr>
        <w:t>1</w:t>
      </w:r>
      <w:r w:rsidRPr="002A7A4B">
        <w:rPr>
          <w:rFonts w:ascii="Arial" w:hAnsi="Arial" w:cs="Arial"/>
          <w:sz w:val="20"/>
          <w:szCs w:val="20"/>
        </w:rPr>
        <w:t>(1), 21-28.</w:t>
      </w:r>
    </w:p>
    <w:p w14:paraId="2CFC4914" w14:textId="77777777" w:rsidR="00150D90" w:rsidRPr="002A7A4B" w:rsidRDefault="00150D90" w:rsidP="002A7A4B">
      <w:pPr>
        <w:spacing w:line="240" w:lineRule="auto"/>
        <w:ind w:left="720" w:hanging="720"/>
        <w:rPr>
          <w:rFonts w:ascii="Arial" w:hAnsi="Arial" w:cs="Arial"/>
          <w:sz w:val="20"/>
          <w:szCs w:val="20"/>
        </w:rPr>
      </w:pPr>
      <w:bookmarkStart w:id="66" w:name="_Hlk196228434"/>
      <w:r w:rsidRPr="002A7A4B">
        <w:rPr>
          <w:rFonts w:ascii="Arial" w:hAnsi="Arial" w:cs="Arial"/>
          <w:sz w:val="20"/>
          <w:szCs w:val="20"/>
        </w:rPr>
        <w:t>Singh</w:t>
      </w:r>
      <w:bookmarkEnd w:id="66"/>
      <w:r w:rsidRPr="002A7A4B">
        <w:rPr>
          <w:rFonts w:ascii="Arial" w:hAnsi="Arial" w:cs="Arial"/>
          <w:sz w:val="20"/>
          <w:szCs w:val="20"/>
        </w:rPr>
        <w:t>, R. P. (2014). Effect of heat and drought under crops in rainfed/marginal environments and mitigation strategies through breeding for tolerance: A review. </w:t>
      </w:r>
      <w:r w:rsidRPr="002A7A4B">
        <w:rPr>
          <w:rFonts w:ascii="Arial" w:hAnsi="Arial" w:cs="Arial"/>
          <w:i/>
          <w:iCs/>
          <w:sz w:val="20"/>
          <w:szCs w:val="20"/>
        </w:rPr>
        <w:t>Climate Change and Environmental Sustainability</w:t>
      </w:r>
      <w:r w:rsidRPr="002A7A4B">
        <w:rPr>
          <w:rFonts w:ascii="Arial" w:hAnsi="Arial" w:cs="Arial"/>
          <w:sz w:val="20"/>
          <w:szCs w:val="20"/>
        </w:rPr>
        <w:t>, </w:t>
      </w:r>
      <w:r w:rsidRPr="002A7A4B">
        <w:rPr>
          <w:rFonts w:ascii="Arial" w:hAnsi="Arial" w:cs="Arial"/>
          <w:i/>
          <w:iCs/>
          <w:sz w:val="20"/>
          <w:szCs w:val="20"/>
        </w:rPr>
        <w:t>2</w:t>
      </w:r>
      <w:r w:rsidRPr="002A7A4B">
        <w:rPr>
          <w:rFonts w:ascii="Arial" w:hAnsi="Arial" w:cs="Arial"/>
          <w:sz w:val="20"/>
          <w:szCs w:val="20"/>
        </w:rPr>
        <w:t>(1), 10-29.</w:t>
      </w:r>
    </w:p>
    <w:p w14:paraId="658C5962" w14:textId="77777777" w:rsidR="00150D90" w:rsidRPr="002A7A4B" w:rsidRDefault="00150D90" w:rsidP="002A7A4B">
      <w:pPr>
        <w:spacing w:line="240" w:lineRule="auto"/>
        <w:ind w:left="720" w:hanging="720"/>
        <w:rPr>
          <w:rFonts w:ascii="Arial" w:hAnsi="Arial" w:cs="Arial"/>
          <w:sz w:val="20"/>
          <w:szCs w:val="20"/>
        </w:rPr>
      </w:pPr>
      <w:bookmarkStart w:id="67" w:name="_Hlk196233522"/>
      <w:r w:rsidRPr="002A7A4B">
        <w:rPr>
          <w:rFonts w:ascii="Arial" w:hAnsi="Arial" w:cs="Arial"/>
          <w:sz w:val="20"/>
          <w:szCs w:val="20"/>
        </w:rPr>
        <w:t>Singh</w:t>
      </w:r>
      <w:bookmarkEnd w:id="67"/>
      <w:r w:rsidRPr="002A7A4B">
        <w:rPr>
          <w:rFonts w:ascii="Arial" w:hAnsi="Arial" w:cs="Arial"/>
          <w:sz w:val="20"/>
          <w:szCs w:val="20"/>
        </w:rPr>
        <w:t>, S., Selvakumar, R., Mangal, M., &amp; Kalia, P. (2020). Breeding and genomic investigations for quality and nutraceutical traits in vegetable crops-a review. </w:t>
      </w:r>
      <w:r w:rsidRPr="002A7A4B">
        <w:rPr>
          <w:rFonts w:ascii="Arial" w:hAnsi="Arial" w:cs="Arial"/>
          <w:i/>
          <w:iCs/>
          <w:sz w:val="20"/>
          <w:szCs w:val="20"/>
        </w:rPr>
        <w:t>Indian Journal of Horticulture</w:t>
      </w:r>
      <w:r w:rsidRPr="002A7A4B">
        <w:rPr>
          <w:rFonts w:ascii="Arial" w:hAnsi="Arial" w:cs="Arial"/>
          <w:sz w:val="20"/>
          <w:szCs w:val="20"/>
        </w:rPr>
        <w:t>, </w:t>
      </w:r>
      <w:r w:rsidRPr="002A7A4B">
        <w:rPr>
          <w:rFonts w:ascii="Arial" w:hAnsi="Arial" w:cs="Arial"/>
          <w:i/>
          <w:iCs/>
          <w:sz w:val="20"/>
          <w:szCs w:val="20"/>
        </w:rPr>
        <w:t>77</w:t>
      </w:r>
      <w:r w:rsidRPr="002A7A4B">
        <w:rPr>
          <w:rFonts w:ascii="Arial" w:hAnsi="Arial" w:cs="Arial"/>
          <w:sz w:val="20"/>
          <w:szCs w:val="20"/>
        </w:rPr>
        <w:t>(1), 1-40.</w:t>
      </w:r>
    </w:p>
    <w:p w14:paraId="544DEBA1" w14:textId="77777777" w:rsidR="00150D90" w:rsidRPr="002A7A4B" w:rsidRDefault="00150D90" w:rsidP="002A7A4B">
      <w:pPr>
        <w:spacing w:line="240" w:lineRule="auto"/>
        <w:ind w:left="720" w:hanging="720"/>
        <w:rPr>
          <w:rFonts w:ascii="Arial" w:hAnsi="Arial" w:cs="Arial"/>
          <w:sz w:val="20"/>
          <w:szCs w:val="20"/>
        </w:rPr>
      </w:pPr>
      <w:bookmarkStart w:id="68" w:name="_Hlk196229776"/>
      <w:proofErr w:type="spellStart"/>
      <w:r w:rsidRPr="002A7A4B">
        <w:rPr>
          <w:rFonts w:ascii="Arial" w:hAnsi="Arial" w:cs="Arial"/>
          <w:sz w:val="20"/>
          <w:szCs w:val="20"/>
        </w:rPr>
        <w:t>Sunoj</w:t>
      </w:r>
      <w:bookmarkEnd w:id="68"/>
      <w:proofErr w:type="spellEnd"/>
      <w:r w:rsidRPr="002A7A4B">
        <w:rPr>
          <w:rFonts w:ascii="Arial" w:hAnsi="Arial" w:cs="Arial"/>
          <w:sz w:val="20"/>
          <w:szCs w:val="20"/>
        </w:rPr>
        <w:t xml:space="preserve">, V. J., </w:t>
      </w:r>
      <w:proofErr w:type="spellStart"/>
      <w:r w:rsidRPr="002A7A4B">
        <w:rPr>
          <w:rFonts w:ascii="Arial" w:hAnsi="Arial" w:cs="Arial"/>
          <w:sz w:val="20"/>
          <w:szCs w:val="20"/>
        </w:rPr>
        <w:t>Somayanda</w:t>
      </w:r>
      <w:proofErr w:type="spellEnd"/>
      <w:r w:rsidRPr="002A7A4B">
        <w:rPr>
          <w:rFonts w:ascii="Arial" w:hAnsi="Arial" w:cs="Arial"/>
          <w:sz w:val="20"/>
          <w:szCs w:val="20"/>
        </w:rPr>
        <w:t xml:space="preserve">, I. M., </w:t>
      </w:r>
      <w:proofErr w:type="spellStart"/>
      <w:r w:rsidRPr="002A7A4B">
        <w:rPr>
          <w:rFonts w:ascii="Arial" w:hAnsi="Arial" w:cs="Arial"/>
          <w:sz w:val="20"/>
          <w:szCs w:val="20"/>
        </w:rPr>
        <w:t>Chiluwal</w:t>
      </w:r>
      <w:proofErr w:type="spellEnd"/>
      <w:r w:rsidRPr="002A7A4B">
        <w:rPr>
          <w:rFonts w:ascii="Arial" w:hAnsi="Arial" w:cs="Arial"/>
          <w:sz w:val="20"/>
          <w:szCs w:val="20"/>
        </w:rPr>
        <w:t>, A., Perumal, R., Prasad, P. V., &amp; Jagadish, S. K. (2017). Resilience of pollen and post</w:t>
      </w:r>
      <w:r w:rsidRPr="002A7A4B">
        <w:rPr>
          <w:rFonts w:ascii="Cambria Math" w:hAnsi="Cambria Math" w:cs="Cambria Math"/>
          <w:sz w:val="20"/>
          <w:szCs w:val="20"/>
        </w:rPr>
        <w:t>‐</w:t>
      </w:r>
      <w:r w:rsidRPr="002A7A4B">
        <w:rPr>
          <w:rFonts w:ascii="Arial" w:hAnsi="Arial" w:cs="Arial"/>
          <w:sz w:val="20"/>
          <w:szCs w:val="20"/>
        </w:rPr>
        <w:t>flowering response in diverse sorghum genotypes exposed to heat stress under field conditions. </w:t>
      </w:r>
      <w:r w:rsidRPr="002A7A4B">
        <w:rPr>
          <w:rFonts w:ascii="Arial" w:hAnsi="Arial" w:cs="Arial"/>
          <w:i/>
          <w:iCs/>
          <w:sz w:val="20"/>
          <w:szCs w:val="20"/>
        </w:rPr>
        <w:t>Crop Science</w:t>
      </w:r>
      <w:r w:rsidRPr="002A7A4B">
        <w:rPr>
          <w:rFonts w:ascii="Arial" w:hAnsi="Arial" w:cs="Arial"/>
          <w:sz w:val="20"/>
          <w:szCs w:val="20"/>
        </w:rPr>
        <w:t>, </w:t>
      </w:r>
      <w:r w:rsidRPr="002A7A4B">
        <w:rPr>
          <w:rFonts w:ascii="Arial" w:hAnsi="Arial" w:cs="Arial"/>
          <w:i/>
          <w:iCs/>
          <w:sz w:val="20"/>
          <w:szCs w:val="20"/>
        </w:rPr>
        <w:t>57</w:t>
      </w:r>
      <w:r w:rsidRPr="002A7A4B">
        <w:rPr>
          <w:rFonts w:ascii="Arial" w:hAnsi="Arial" w:cs="Arial"/>
          <w:sz w:val="20"/>
          <w:szCs w:val="20"/>
        </w:rPr>
        <w:t>(3), 1658-1669.</w:t>
      </w:r>
    </w:p>
    <w:p w14:paraId="4C554FF6" w14:textId="77777777" w:rsidR="00150D90" w:rsidRPr="002A7A4B" w:rsidRDefault="00150D90" w:rsidP="002A7A4B">
      <w:pPr>
        <w:spacing w:line="240" w:lineRule="auto"/>
        <w:ind w:left="720" w:hanging="720"/>
        <w:rPr>
          <w:rFonts w:ascii="Arial" w:hAnsi="Arial" w:cs="Arial"/>
          <w:sz w:val="20"/>
          <w:szCs w:val="20"/>
        </w:rPr>
      </w:pPr>
      <w:bookmarkStart w:id="69" w:name="_Hlk196227864"/>
      <w:r w:rsidRPr="002A7A4B">
        <w:rPr>
          <w:rFonts w:ascii="Arial" w:hAnsi="Arial" w:cs="Arial"/>
          <w:sz w:val="20"/>
          <w:szCs w:val="20"/>
        </w:rPr>
        <w:t>Thakur,</w:t>
      </w:r>
      <w:bookmarkEnd w:id="69"/>
      <w:r w:rsidRPr="002A7A4B">
        <w:rPr>
          <w:rFonts w:ascii="Arial" w:hAnsi="Arial" w:cs="Arial"/>
          <w:sz w:val="20"/>
          <w:szCs w:val="20"/>
        </w:rPr>
        <w:t xml:space="preserve"> N., </w:t>
      </w:r>
      <w:proofErr w:type="spellStart"/>
      <w:r w:rsidRPr="002A7A4B">
        <w:rPr>
          <w:rFonts w:ascii="Arial" w:hAnsi="Arial" w:cs="Arial"/>
          <w:sz w:val="20"/>
          <w:szCs w:val="20"/>
        </w:rPr>
        <w:t>Barmukh</w:t>
      </w:r>
      <w:proofErr w:type="spellEnd"/>
      <w:r w:rsidRPr="002A7A4B">
        <w:rPr>
          <w:rFonts w:ascii="Arial" w:hAnsi="Arial" w:cs="Arial"/>
          <w:sz w:val="20"/>
          <w:szCs w:val="20"/>
        </w:rPr>
        <w:t xml:space="preserve">, R., </w:t>
      </w:r>
      <w:proofErr w:type="spellStart"/>
      <w:r w:rsidRPr="002A7A4B">
        <w:rPr>
          <w:rFonts w:ascii="Arial" w:hAnsi="Arial" w:cs="Arial"/>
          <w:sz w:val="20"/>
          <w:szCs w:val="20"/>
        </w:rPr>
        <w:t>Sargar</w:t>
      </w:r>
      <w:proofErr w:type="spellEnd"/>
      <w:r w:rsidRPr="002A7A4B">
        <w:rPr>
          <w:rFonts w:ascii="Arial" w:hAnsi="Arial" w:cs="Arial"/>
          <w:sz w:val="20"/>
          <w:szCs w:val="20"/>
        </w:rPr>
        <w:t xml:space="preserve">, P., </w:t>
      </w:r>
      <w:proofErr w:type="spellStart"/>
      <w:r w:rsidRPr="002A7A4B">
        <w:rPr>
          <w:rFonts w:ascii="Arial" w:hAnsi="Arial" w:cs="Arial"/>
          <w:sz w:val="20"/>
          <w:szCs w:val="20"/>
        </w:rPr>
        <w:t>Kasanaboina</w:t>
      </w:r>
      <w:proofErr w:type="spellEnd"/>
      <w:r w:rsidRPr="002A7A4B">
        <w:rPr>
          <w:rFonts w:ascii="Arial" w:hAnsi="Arial" w:cs="Arial"/>
          <w:sz w:val="20"/>
          <w:szCs w:val="20"/>
        </w:rPr>
        <w:t>, K., Chavan, S., Awio, B., ... &amp; Habyarimana, E. (2024). Status of Sorghum Breeding in Asia. In </w:t>
      </w:r>
      <w:r w:rsidRPr="002A7A4B">
        <w:rPr>
          <w:rFonts w:ascii="Arial" w:hAnsi="Arial" w:cs="Arial"/>
          <w:i/>
          <w:iCs/>
          <w:sz w:val="20"/>
          <w:szCs w:val="20"/>
        </w:rPr>
        <w:t>Omics and Biotechnological Approaches for Product Profile-Driven Sorghum Improvement</w:t>
      </w:r>
      <w:r w:rsidRPr="002A7A4B">
        <w:rPr>
          <w:rFonts w:ascii="Arial" w:hAnsi="Arial" w:cs="Arial"/>
          <w:sz w:val="20"/>
          <w:szCs w:val="20"/>
        </w:rPr>
        <w:t> (pp. 247-285). Singapore: Springer Nature Singapore.</w:t>
      </w:r>
    </w:p>
    <w:p w14:paraId="3914FF7F" w14:textId="77777777" w:rsidR="00150D90" w:rsidRPr="002A7A4B" w:rsidRDefault="00150D90" w:rsidP="002A7A4B">
      <w:pPr>
        <w:spacing w:line="240" w:lineRule="auto"/>
        <w:ind w:left="720" w:hanging="720"/>
        <w:rPr>
          <w:rFonts w:ascii="Arial" w:hAnsi="Arial" w:cs="Arial"/>
          <w:sz w:val="20"/>
          <w:szCs w:val="20"/>
        </w:rPr>
      </w:pPr>
      <w:bookmarkStart w:id="70" w:name="_Hlk196234034"/>
      <w:r w:rsidRPr="002A7A4B">
        <w:rPr>
          <w:rFonts w:ascii="Arial" w:hAnsi="Arial" w:cs="Arial"/>
          <w:sz w:val="20"/>
          <w:szCs w:val="20"/>
        </w:rPr>
        <w:t>Thomson</w:t>
      </w:r>
      <w:bookmarkEnd w:id="70"/>
      <w:r w:rsidRPr="002A7A4B">
        <w:rPr>
          <w:rFonts w:ascii="Arial" w:hAnsi="Arial" w:cs="Arial"/>
          <w:sz w:val="20"/>
          <w:szCs w:val="20"/>
        </w:rPr>
        <w:t>, M. J., Ismail, A. M., McCouch, S. R., &amp; Mackill, D. J. (2010). Marker assisted breeding. </w:t>
      </w:r>
      <w:r w:rsidRPr="002A7A4B">
        <w:rPr>
          <w:rFonts w:ascii="Arial" w:hAnsi="Arial" w:cs="Arial"/>
          <w:i/>
          <w:iCs/>
          <w:sz w:val="20"/>
          <w:szCs w:val="20"/>
        </w:rPr>
        <w:t>Abiotic stress adaptation in plants: physiological, molecular and genomic foundation</w:t>
      </w:r>
      <w:r w:rsidRPr="002A7A4B">
        <w:rPr>
          <w:rFonts w:ascii="Arial" w:hAnsi="Arial" w:cs="Arial"/>
          <w:sz w:val="20"/>
          <w:szCs w:val="20"/>
        </w:rPr>
        <w:t>, 451-469.</w:t>
      </w:r>
    </w:p>
    <w:p w14:paraId="759A70E4"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Tonapi</w:t>
      </w:r>
      <w:proofErr w:type="spellEnd"/>
      <w:r w:rsidRPr="002A7A4B">
        <w:rPr>
          <w:rFonts w:ascii="Arial" w:hAnsi="Arial" w:cs="Arial"/>
          <w:sz w:val="20"/>
          <w:szCs w:val="20"/>
        </w:rPr>
        <w:t>, V. A., Talwar, H. S., Are, A. K., Bhat, B. V., Reddy, C. R., &amp; Dalton, T. J. (Eds.). (2020). </w:t>
      </w:r>
      <w:r w:rsidRPr="002A7A4B">
        <w:rPr>
          <w:rFonts w:ascii="Arial" w:hAnsi="Arial" w:cs="Arial"/>
          <w:i/>
          <w:iCs/>
          <w:sz w:val="20"/>
          <w:szCs w:val="20"/>
        </w:rPr>
        <w:t>Sorghum in the 21st Century: Food-Fodder-Feed-Fuel for a Rapidly Changing World</w:t>
      </w:r>
      <w:r w:rsidRPr="002A7A4B">
        <w:rPr>
          <w:rFonts w:ascii="Arial" w:hAnsi="Arial" w:cs="Arial"/>
          <w:sz w:val="20"/>
          <w:szCs w:val="20"/>
        </w:rPr>
        <w:t>. Singapore: Springer.</w:t>
      </w:r>
    </w:p>
    <w:p w14:paraId="40E9DF27"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Tsutsumi-Morita, Y. (2023). </w:t>
      </w:r>
      <w:r w:rsidRPr="002A7A4B">
        <w:rPr>
          <w:rFonts w:ascii="Arial" w:hAnsi="Arial" w:cs="Arial"/>
          <w:i/>
          <w:iCs/>
          <w:sz w:val="20"/>
          <w:szCs w:val="20"/>
        </w:rPr>
        <w:t>Breeding for higher yield in tomato by yield dissection and quantitative trait loci for yield components</w:t>
      </w:r>
      <w:r w:rsidRPr="002A7A4B">
        <w:rPr>
          <w:rFonts w:ascii="Arial" w:hAnsi="Arial" w:cs="Arial"/>
          <w:sz w:val="20"/>
          <w:szCs w:val="20"/>
        </w:rPr>
        <w:t> (Doctoral dissertation, Wageningen University and Research).</w:t>
      </w:r>
    </w:p>
    <w:p w14:paraId="6722AC9D" w14:textId="77777777" w:rsidR="00150D90"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Upadhyaya, H. D., Sharma, S., Dwivedi, S. L., &amp; Singh, S. K. (2014). Sorghum genetic resources: Conservation and diversity assessment for enhanced utilization in sorghum improvement.</w:t>
      </w:r>
    </w:p>
    <w:p w14:paraId="3844EDE2" w14:textId="77777777" w:rsidR="00150D90" w:rsidRPr="002A7A4B" w:rsidRDefault="00150D90" w:rsidP="002A7A4B">
      <w:pPr>
        <w:spacing w:line="240" w:lineRule="auto"/>
        <w:ind w:left="720" w:hanging="720"/>
        <w:rPr>
          <w:rFonts w:ascii="Arial" w:hAnsi="Arial" w:cs="Arial"/>
          <w:sz w:val="20"/>
          <w:szCs w:val="20"/>
        </w:rPr>
      </w:pPr>
      <w:bookmarkStart w:id="71" w:name="_Hlk196229612"/>
      <w:r w:rsidRPr="002A7A4B">
        <w:rPr>
          <w:rFonts w:ascii="Arial" w:hAnsi="Arial" w:cs="Arial"/>
          <w:sz w:val="20"/>
          <w:szCs w:val="20"/>
        </w:rPr>
        <w:t>Xin</w:t>
      </w:r>
      <w:bookmarkEnd w:id="71"/>
      <w:r w:rsidRPr="002A7A4B">
        <w:rPr>
          <w:rFonts w:ascii="Arial" w:hAnsi="Arial" w:cs="Arial"/>
          <w:sz w:val="20"/>
          <w:szCs w:val="20"/>
        </w:rPr>
        <w:t>, Z., Aiken, R., &amp; Burke, J. (2009). Genetic diversity of transpiration efficiency in sorghum. </w:t>
      </w:r>
      <w:r w:rsidRPr="002A7A4B">
        <w:rPr>
          <w:rFonts w:ascii="Arial" w:hAnsi="Arial" w:cs="Arial"/>
          <w:i/>
          <w:iCs/>
          <w:sz w:val="20"/>
          <w:szCs w:val="20"/>
        </w:rPr>
        <w:t>Field Crops Research</w:t>
      </w:r>
      <w:r w:rsidRPr="002A7A4B">
        <w:rPr>
          <w:rFonts w:ascii="Arial" w:hAnsi="Arial" w:cs="Arial"/>
          <w:sz w:val="20"/>
          <w:szCs w:val="20"/>
        </w:rPr>
        <w:t>, </w:t>
      </w:r>
      <w:r w:rsidRPr="002A7A4B">
        <w:rPr>
          <w:rFonts w:ascii="Arial" w:hAnsi="Arial" w:cs="Arial"/>
          <w:i/>
          <w:iCs/>
          <w:sz w:val="20"/>
          <w:szCs w:val="20"/>
        </w:rPr>
        <w:t>111</w:t>
      </w:r>
      <w:r w:rsidRPr="002A7A4B">
        <w:rPr>
          <w:rFonts w:ascii="Arial" w:hAnsi="Arial" w:cs="Arial"/>
          <w:sz w:val="20"/>
          <w:szCs w:val="20"/>
        </w:rPr>
        <w:t>(1-2), 74-80.</w:t>
      </w:r>
    </w:p>
    <w:p w14:paraId="4766D1B1" w14:textId="77777777" w:rsidR="00150D90" w:rsidRPr="002A7A4B" w:rsidRDefault="00150D90" w:rsidP="002A7A4B">
      <w:pPr>
        <w:spacing w:line="240" w:lineRule="auto"/>
        <w:ind w:left="720" w:hanging="720"/>
        <w:rPr>
          <w:rFonts w:ascii="Arial" w:hAnsi="Arial" w:cs="Arial"/>
          <w:sz w:val="20"/>
          <w:szCs w:val="20"/>
        </w:rPr>
      </w:pPr>
      <w:bookmarkStart w:id="72" w:name="_Hlk196231671"/>
      <w:r w:rsidRPr="002A7A4B">
        <w:rPr>
          <w:rFonts w:ascii="Arial" w:hAnsi="Arial" w:cs="Arial"/>
          <w:sz w:val="20"/>
          <w:szCs w:val="20"/>
        </w:rPr>
        <w:t>Zahid</w:t>
      </w:r>
      <w:bookmarkEnd w:id="72"/>
      <w:r w:rsidRPr="002A7A4B">
        <w:rPr>
          <w:rFonts w:ascii="Arial" w:hAnsi="Arial" w:cs="Arial"/>
          <w:sz w:val="20"/>
          <w:szCs w:val="20"/>
        </w:rPr>
        <w:t>, M. K., Ahmad, D., Amin, R., &amp; Bao, J. (2025). Sorghum starch: Composition, structure, functionality, and strategies for its improvement. </w:t>
      </w:r>
      <w:r w:rsidRPr="002A7A4B">
        <w:rPr>
          <w:rFonts w:ascii="Arial" w:hAnsi="Arial" w:cs="Arial"/>
          <w:i/>
          <w:iCs/>
          <w:sz w:val="20"/>
          <w:szCs w:val="20"/>
        </w:rPr>
        <w:t>Comprehensive Reviews in Food Science and Food Safety</w:t>
      </w:r>
      <w:r w:rsidRPr="002A7A4B">
        <w:rPr>
          <w:rFonts w:ascii="Arial" w:hAnsi="Arial" w:cs="Arial"/>
          <w:sz w:val="20"/>
          <w:szCs w:val="20"/>
        </w:rPr>
        <w:t>, </w:t>
      </w:r>
      <w:r w:rsidRPr="002A7A4B">
        <w:rPr>
          <w:rFonts w:ascii="Arial" w:hAnsi="Arial" w:cs="Arial"/>
          <w:i/>
          <w:iCs/>
          <w:sz w:val="20"/>
          <w:szCs w:val="20"/>
        </w:rPr>
        <w:t>24</w:t>
      </w:r>
      <w:r w:rsidRPr="002A7A4B">
        <w:rPr>
          <w:rFonts w:ascii="Arial" w:hAnsi="Arial" w:cs="Arial"/>
          <w:sz w:val="20"/>
          <w:szCs w:val="20"/>
        </w:rPr>
        <w:t>(1), e70101.</w:t>
      </w:r>
    </w:p>
    <w:p w14:paraId="4E873DEE" w14:textId="77777777" w:rsidR="00150D90" w:rsidRPr="002A7A4B" w:rsidRDefault="00150D90" w:rsidP="002A7A4B">
      <w:pPr>
        <w:spacing w:line="240" w:lineRule="auto"/>
        <w:ind w:left="720" w:hanging="720"/>
        <w:rPr>
          <w:rFonts w:ascii="Arial" w:hAnsi="Arial" w:cs="Arial"/>
          <w:sz w:val="20"/>
          <w:szCs w:val="20"/>
        </w:rPr>
      </w:pPr>
      <w:proofErr w:type="spellStart"/>
      <w:r w:rsidRPr="002A7A4B">
        <w:rPr>
          <w:rFonts w:ascii="Arial" w:hAnsi="Arial" w:cs="Arial"/>
          <w:sz w:val="20"/>
          <w:szCs w:val="20"/>
        </w:rPr>
        <w:t>Zegada</w:t>
      </w:r>
      <w:proofErr w:type="spellEnd"/>
      <w:r w:rsidRPr="002A7A4B">
        <w:rPr>
          <w:rFonts w:ascii="Arial" w:hAnsi="Arial" w:cs="Arial"/>
          <w:sz w:val="20"/>
          <w:szCs w:val="20"/>
        </w:rPr>
        <w:t>-Lizarazu, W., &amp; Monti, A. (2012). Are we ready to cultivate sweet sorghum as a bioenergy feedstock? A review on field management practices. </w:t>
      </w:r>
      <w:r w:rsidRPr="002A7A4B">
        <w:rPr>
          <w:rFonts w:ascii="Arial" w:hAnsi="Arial" w:cs="Arial"/>
          <w:i/>
          <w:iCs/>
          <w:sz w:val="20"/>
          <w:szCs w:val="20"/>
        </w:rPr>
        <w:t>Biomass and Bioenergy</w:t>
      </w:r>
      <w:r w:rsidRPr="002A7A4B">
        <w:rPr>
          <w:rFonts w:ascii="Arial" w:hAnsi="Arial" w:cs="Arial"/>
          <w:sz w:val="20"/>
          <w:szCs w:val="20"/>
        </w:rPr>
        <w:t>, </w:t>
      </w:r>
      <w:r w:rsidRPr="002A7A4B">
        <w:rPr>
          <w:rFonts w:ascii="Arial" w:hAnsi="Arial" w:cs="Arial"/>
          <w:i/>
          <w:iCs/>
          <w:sz w:val="20"/>
          <w:szCs w:val="20"/>
        </w:rPr>
        <w:t>40</w:t>
      </w:r>
      <w:r w:rsidRPr="002A7A4B">
        <w:rPr>
          <w:rFonts w:ascii="Arial" w:hAnsi="Arial" w:cs="Arial"/>
          <w:sz w:val="20"/>
          <w:szCs w:val="20"/>
        </w:rPr>
        <w:t>, 1-12.</w:t>
      </w:r>
    </w:p>
    <w:p w14:paraId="4ED69B2F" w14:textId="1ED40F40" w:rsidR="00C767D8" w:rsidRPr="002A7A4B" w:rsidRDefault="00150D90" w:rsidP="002A7A4B">
      <w:pPr>
        <w:spacing w:line="240" w:lineRule="auto"/>
        <w:ind w:left="720" w:hanging="720"/>
        <w:rPr>
          <w:rFonts w:ascii="Arial" w:hAnsi="Arial" w:cs="Arial"/>
          <w:sz w:val="20"/>
          <w:szCs w:val="20"/>
        </w:rPr>
      </w:pPr>
      <w:r w:rsidRPr="002A7A4B">
        <w:rPr>
          <w:rFonts w:ascii="Arial" w:hAnsi="Arial" w:cs="Arial"/>
          <w:sz w:val="20"/>
          <w:szCs w:val="20"/>
        </w:rPr>
        <w:t xml:space="preserve">Zeleke, T., Beyene, F., Deressa, T., Yousuf, J., &amp; Kebede, T. (2021). Vulnerability of smallholder farmers to climate change-induced shocks in East </w:t>
      </w:r>
      <w:proofErr w:type="spellStart"/>
      <w:r w:rsidRPr="002A7A4B">
        <w:rPr>
          <w:rFonts w:ascii="Arial" w:hAnsi="Arial" w:cs="Arial"/>
          <w:sz w:val="20"/>
          <w:szCs w:val="20"/>
        </w:rPr>
        <w:t>Hararghe</w:t>
      </w:r>
      <w:proofErr w:type="spellEnd"/>
      <w:r w:rsidRPr="002A7A4B">
        <w:rPr>
          <w:rFonts w:ascii="Arial" w:hAnsi="Arial" w:cs="Arial"/>
          <w:sz w:val="20"/>
          <w:szCs w:val="20"/>
        </w:rPr>
        <w:t xml:space="preserve"> Zone, Ethiopia. </w:t>
      </w:r>
      <w:r w:rsidRPr="002A7A4B">
        <w:rPr>
          <w:rFonts w:ascii="Arial" w:hAnsi="Arial" w:cs="Arial"/>
          <w:i/>
          <w:iCs/>
          <w:sz w:val="20"/>
          <w:szCs w:val="20"/>
        </w:rPr>
        <w:t>Sustainability</w:t>
      </w:r>
      <w:r w:rsidRPr="002A7A4B">
        <w:rPr>
          <w:rFonts w:ascii="Arial" w:hAnsi="Arial" w:cs="Arial"/>
          <w:sz w:val="20"/>
          <w:szCs w:val="20"/>
        </w:rPr>
        <w:t>, </w:t>
      </w:r>
      <w:r w:rsidRPr="002A7A4B">
        <w:rPr>
          <w:rFonts w:ascii="Arial" w:hAnsi="Arial" w:cs="Arial"/>
          <w:i/>
          <w:iCs/>
          <w:sz w:val="20"/>
          <w:szCs w:val="20"/>
        </w:rPr>
        <w:t>13</w:t>
      </w:r>
      <w:r w:rsidRPr="002A7A4B">
        <w:rPr>
          <w:rFonts w:ascii="Arial" w:hAnsi="Arial" w:cs="Arial"/>
          <w:sz w:val="20"/>
          <w:szCs w:val="20"/>
        </w:rPr>
        <w:t>(4), 2162.</w:t>
      </w:r>
    </w:p>
    <w:sectPr w:rsidR="00C767D8" w:rsidRPr="002A7A4B" w:rsidSect="008A43C7">
      <w:pgSz w:w="11906" w:h="16838"/>
      <w:pgMar w:top="1440" w:right="1440" w:bottom="1440" w:left="180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A44B" w14:textId="77777777" w:rsidR="00C54949" w:rsidRDefault="00C54949" w:rsidP="00EB1779">
      <w:pPr>
        <w:spacing w:line="240" w:lineRule="auto"/>
      </w:pPr>
      <w:r>
        <w:separator/>
      </w:r>
    </w:p>
  </w:endnote>
  <w:endnote w:type="continuationSeparator" w:id="0">
    <w:p w14:paraId="4B6E1BA2" w14:textId="77777777" w:rsidR="00C54949" w:rsidRDefault="00C54949" w:rsidP="00EB1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8A50" w14:textId="77777777" w:rsidR="00EB1779" w:rsidRDefault="00EB1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4B6A" w14:textId="77777777" w:rsidR="00EB1779" w:rsidRDefault="00EB1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A1ED" w14:textId="77777777" w:rsidR="00EB1779" w:rsidRDefault="00EB1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53DE" w14:textId="77777777" w:rsidR="00C54949" w:rsidRDefault="00C54949" w:rsidP="00EB1779">
      <w:pPr>
        <w:spacing w:line="240" w:lineRule="auto"/>
      </w:pPr>
      <w:r>
        <w:separator/>
      </w:r>
    </w:p>
  </w:footnote>
  <w:footnote w:type="continuationSeparator" w:id="0">
    <w:p w14:paraId="714B44EF" w14:textId="77777777" w:rsidR="00C54949" w:rsidRDefault="00C54949" w:rsidP="00EB17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D77" w14:textId="55195D0F" w:rsidR="00EB1779" w:rsidRDefault="00000000">
    <w:pPr>
      <w:pStyle w:val="Header"/>
    </w:pPr>
    <w:r>
      <w:rPr>
        <w:noProof/>
      </w:rPr>
      <w:pict w14:anchorId="21F52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86922" o:spid="_x0000_s1026" type="#_x0000_t136" style="position:absolute;left:0;text-align:left;margin-left:0;margin-top:0;width:514.2pt;height:96.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9F96" w14:textId="48A80DE2" w:rsidR="00EB1779" w:rsidRDefault="00000000">
    <w:pPr>
      <w:pStyle w:val="Header"/>
    </w:pPr>
    <w:r>
      <w:rPr>
        <w:noProof/>
      </w:rPr>
      <w:pict w14:anchorId="5C6C7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86923" o:spid="_x0000_s1027" type="#_x0000_t136" style="position:absolute;left:0;text-align:left;margin-left:0;margin-top:0;width:514.2pt;height:96.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C7F1" w14:textId="44586D76" w:rsidR="00EB1779" w:rsidRDefault="00000000">
    <w:pPr>
      <w:pStyle w:val="Header"/>
    </w:pPr>
    <w:r>
      <w:rPr>
        <w:noProof/>
      </w:rPr>
      <w:pict w14:anchorId="7D29B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86921" o:spid="_x0000_s1025" type="#_x0000_t136" style="position:absolute;left:0;text-align:left;margin-left:0;margin-top:0;width:514.2pt;height:96.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DAA"/>
    <w:multiLevelType w:val="multilevel"/>
    <w:tmpl w:val="8A88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85E7F"/>
    <w:multiLevelType w:val="multilevel"/>
    <w:tmpl w:val="CF4C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062C0"/>
    <w:multiLevelType w:val="hybridMultilevel"/>
    <w:tmpl w:val="0E88E6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F72457F"/>
    <w:multiLevelType w:val="multilevel"/>
    <w:tmpl w:val="D134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7284C"/>
    <w:multiLevelType w:val="hybridMultilevel"/>
    <w:tmpl w:val="9DDA41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D20298"/>
    <w:multiLevelType w:val="multilevel"/>
    <w:tmpl w:val="6E0A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127D9"/>
    <w:multiLevelType w:val="multilevel"/>
    <w:tmpl w:val="C1BA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D421CA"/>
    <w:multiLevelType w:val="multilevel"/>
    <w:tmpl w:val="F5E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15235"/>
    <w:multiLevelType w:val="multilevel"/>
    <w:tmpl w:val="1CC2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C03E2A"/>
    <w:multiLevelType w:val="multilevel"/>
    <w:tmpl w:val="3EC8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C62098"/>
    <w:multiLevelType w:val="multilevel"/>
    <w:tmpl w:val="18CA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F6AFA"/>
    <w:multiLevelType w:val="multilevel"/>
    <w:tmpl w:val="8342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B902DB"/>
    <w:multiLevelType w:val="multilevel"/>
    <w:tmpl w:val="8E4EB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FC4B35"/>
    <w:multiLevelType w:val="multilevel"/>
    <w:tmpl w:val="F72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520614">
    <w:abstractNumId w:val="13"/>
  </w:num>
  <w:num w:numId="2" w16cid:durableId="408577359">
    <w:abstractNumId w:val="3"/>
  </w:num>
  <w:num w:numId="3" w16cid:durableId="24449507">
    <w:abstractNumId w:val="6"/>
  </w:num>
  <w:num w:numId="4" w16cid:durableId="1503277489">
    <w:abstractNumId w:val="10"/>
  </w:num>
  <w:num w:numId="5" w16cid:durableId="987787107">
    <w:abstractNumId w:val="7"/>
  </w:num>
  <w:num w:numId="6" w16cid:durableId="143394434">
    <w:abstractNumId w:val="0"/>
  </w:num>
  <w:num w:numId="7" w16cid:durableId="401561571">
    <w:abstractNumId w:val="9"/>
  </w:num>
  <w:num w:numId="8" w16cid:durableId="1134175934">
    <w:abstractNumId w:val="11"/>
  </w:num>
  <w:num w:numId="9" w16cid:durableId="389503610">
    <w:abstractNumId w:val="5"/>
  </w:num>
  <w:num w:numId="10" w16cid:durableId="259485709">
    <w:abstractNumId w:val="8"/>
  </w:num>
  <w:num w:numId="11" w16cid:durableId="1002011483">
    <w:abstractNumId w:val="1"/>
  </w:num>
  <w:num w:numId="12" w16cid:durableId="771626391">
    <w:abstractNumId w:val="4"/>
  </w:num>
  <w:num w:numId="13" w16cid:durableId="2136674905">
    <w:abstractNumId w:val="2"/>
  </w:num>
  <w:num w:numId="14" w16cid:durableId="192688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F5"/>
    <w:rsid w:val="000849A9"/>
    <w:rsid w:val="000F0338"/>
    <w:rsid w:val="00150D90"/>
    <w:rsid w:val="001845CF"/>
    <w:rsid w:val="001A3C4D"/>
    <w:rsid w:val="00201A63"/>
    <w:rsid w:val="00203719"/>
    <w:rsid w:val="002A7A4B"/>
    <w:rsid w:val="002F304D"/>
    <w:rsid w:val="003429C2"/>
    <w:rsid w:val="003E72B6"/>
    <w:rsid w:val="003F0112"/>
    <w:rsid w:val="00474EFA"/>
    <w:rsid w:val="005B0EE3"/>
    <w:rsid w:val="005B5661"/>
    <w:rsid w:val="00602E25"/>
    <w:rsid w:val="006459AB"/>
    <w:rsid w:val="00647A63"/>
    <w:rsid w:val="006D4DB5"/>
    <w:rsid w:val="007B7FF5"/>
    <w:rsid w:val="00813828"/>
    <w:rsid w:val="00815B07"/>
    <w:rsid w:val="0087630D"/>
    <w:rsid w:val="00895CA2"/>
    <w:rsid w:val="008A43C7"/>
    <w:rsid w:val="008F3CA6"/>
    <w:rsid w:val="009006A4"/>
    <w:rsid w:val="00922178"/>
    <w:rsid w:val="00946A8F"/>
    <w:rsid w:val="009667D5"/>
    <w:rsid w:val="00A304A6"/>
    <w:rsid w:val="00B0509E"/>
    <w:rsid w:val="00B43974"/>
    <w:rsid w:val="00C50045"/>
    <w:rsid w:val="00C54551"/>
    <w:rsid w:val="00C54949"/>
    <w:rsid w:val="00C767D8"/>
    <w:rsid w:val="00C9442E"/>
    <w:rsid w:val="00CB7F11"/>
    <w:rsid w:val="00CF2856"/>
    <w:rsid w:val="00CF3BA6"/>
    <w:rsid w:val="00D17768"/>
    <w:rsid w:val="00D206D6"/>
    <w:rsid w:val="00DD5D03"/>
    <w:rsid w:val="00E40CF2"/>
    <w:rsid w:val="00E610D0"/>
    <w:rsid w:val="00EA7085"/>
    <w:rsid w:val="00EB1779"/>
    <w:rsid w:val="00EF12C1"/>
    <w:rsid w:val="00F02451"/>
    <w:rsid w:val="00FA0E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0DD6B"/>
  <w15:chartTrackingRefBased/>
  <w15:docId w15:val="{CE724161-0B16-4514-B778-C333091E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7A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767D8"/>
    <w:pPr>
      <w:spacing w:before="100" w:beforeAutospacing="1" w:after="100" w:afterAutospacing="1" w:line="240" w:lineRule="auto"/>
      <w:ind w:left="0"/>
      <w:jc w:val="left"/>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C767D8"/>
    <w:pPr>
      <w:spacing w:before="100" w:beforeAutospacing="1" w:after="100" w:afterAutospacing="1" w:line="240" w:lineRule="auto"/>
      <w:ind w:left="0"/>
      <w:jc w:val="left"/>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FF5"/>
    <w:pPr>
      <w:spacing w:line="240" w:lineRule="auto"/>
    </w:pPr>
  </w:style>
  <w:style w:type="paragraph" w:customStyle="1" w:styleId="Author">
    <w:name w:val="Author"/>
    <w:basedOn w:val="Normal"/>
    <w:rsid w:val="007B7FF5"/>
    <w:pPr>
      <w:spacing w:line="280" w:lineRule="exact"/>
      <w:ind w:left="0"/>
      <w:jc w:val="right"/>
    </w:pPr>
    <w:rPr>
      <w:rFonts w:ascii="Helvetica" w:eastAsia="Times New Roman" w:hAnsi="Helvetica" w:cs="Times New Roman"/>
      <w:b/>
      <w:sz w:val="24"/>
      <w:szCs w:val="20"/>
      <w:lang w:val="en-US"/>
    </w:rPr>
  </w:style>
  <w:style w:type="paragraph" w:customStyle="1" w:styleId="Default">
    <w:name w:val="Default"/>
    <w:rsid w:val="007B7FF5"/>
    <w:pPr>
      <w:autoSpaceDE w:val="0"/>
      <w:autoSpaceDN w:val="0"/>
      <w:adjustRightInd w:val="0"/>
      <w:spacing w:line="240" w:lineRule="auto"/>
      <w:ind w:left="0"/>
      <w:jc w:val="left"/>
    </w:pPr>
    <w:rPr>
      <w:rFonts w:ascii="Times New Roman" w:hAnsi="Times New Roman" w:cs="Times New Roman"/>
      <w:color w:val="000000"/>
      <w:sz w:val="24"/>
      <w:szCs w:val="24"/>
    </w:rPr>
  </w:style>
  <w:style w:type="paragraph" w:styleId="NormalWeb">
    <w:name w:val="Normal (Web)"/>
    <w:basedOn w:val="Normal"/>
    <w:uiPriority w:val="99"/>
    <w:unhideWhenUsed/>
    <w:rsid w:val="007B7FF5"/>
    <w:pPr>
      <w:spacing w:before="100" w:beforeAutospacing="1" w:after="100" w:afterAutospacing="1" w:line="240" w:lineRule="auto"/>
      <w:ind w:left="0"/>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B7FF5"/>
    <w:rPr>
      <w:b/>
      <w:bCs/>
    </w:rPr>
  </w:style>
  <w:style w:type="character" w:styleId="Emphasis">
    <w:name w:val="Emphasis"/>
    <w:basedOn w:val="DefaultParagraphFont"/>
    <w:uiPriority w:val="20"/>
    <w:qFormat/>
    <w:rsid w:val="007B7FF5"/>
    <w:rPr>
      <w:i/>
      <w:iCs/>
    </w:rPr>
  </w:style>
  <w:style w:type="character" w:customStyle="1" w:styleId="Heading3Char">
    <w:name w:val="Heading 3 Char"/>
    <w:basedOn w:val="DefaultParagraphFont"/>
    <w:link w:val="Heading3"/>
    <w:uiPriority w:val="9"/>
    <w:rsid w:val="00C767D8"/>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C767D8"/>
    <w:rPr>
      <w:rFonts w:ascii="Times New Roman" w:eastAsia="Times New Roman" w:hAnsi="Times New Roman" w:cs="Times New Roman"/>
      <w:b/>
      <w:bCs/>
      <w:sz w:val="24"/>
      <w:szCs w:val="24"/>
      <w:lang w:eastAsia="en-IN"/>
    </w:rPr>
  </w:style>
  <w:style w:type="paragraph" w:styleId="ListParagraph">
    <w:name w:val="List Paragraph"/>
    <w:basedOn w:val="Normal"/>
    <w:uiPriority w:val="34"/>
    <w:qFormat/>
    <w:rsid w:val="00815B07"/>
    <w:pPr>
      <w:ind w:left="720"/>
      <w:contextualSpacing/>
    </w:pPr>
  </w:style>
  <w:style w:type="character" w:customStyle="1" w:styleId="Heading2Char">
    <w:name w:val="Heading 2 Char"/>
    <w:basedOn w:val="DefaultParagraphFont"/>
    <w:link w:val="Heading2"/>
    <w:uiPriority w:val="9"/>
    <w:semiHidden/>
    <w:rsid w:val="00647A6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74E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178"/>
    <w:rPr>
      <w:color w:val="0563C1" w:themeColor="hyperlink"/>
      <w:u w:val="single"/>
    </w:rPr>
  </w:style>
  <w:style w:type="character" w:styleId="UnresolvedMention">
    <w:name w:val="Unresolved Mention"/>
    <w:basedOn w:val="DefaultParagraphFont"/>
    <w:uiPriority w:val="99"/>
    <w:semiHidden/>
    <w:unhideWhenUsed/>
    <w:rsid w:val="00922178"/>
    <w:rPr>
      <w:color w:val="605E5C"/>
      <w:shd w:val="clear" w:color="auto" w:fill="E1DFDD"/>
    </w:rPr>
  </w:style>
  <w:style w:type="paragraph" w:styleId="Header">
    <w:name w:val="header"/>
    <w:basedOn w:val="Normal"/>
    <w:link w:val="HeaderChar"/>
    <w:uiPriority w:val="99"/>
    <w:unhideWhenUsed/>
    <w:rsid w:val="00EB1779"/>
    <w:pPr>
      <w:tabs>
        <w:tab w:val="center" w:pos="4680"/>
        <w:tab w:val="right" w:pos="9360"/>
      </w:tabs>
      <w:spacing w:line="240" w:lineRule="auto"/>
    </w:pPr>
  </w:style>
  <w:style w:type="character" w:customStyle="1" w:styleId="HeaderChar">
    <w:name w:val="Header Char"/>
    <w:basedOn w:val="DefaultParagraphFont"/>
    <w:link w:val="Header"/>
    <w:uiPriority w:val="99"/>
    <w:rsid w:val="00EB1779"/>
  </w:style>
  <w:style w:type="paragraph" w:styleId="Footer">
    <w:name w:val="footer"/>
    <w:basedOn w:val="Normal"/>
    <w:link w:val="FooterChar"/>
    <w:uiPriority w:val="99"/>
    <w:unhideWhenUsed/>
    <w:rsid w:val="00EB1779"/>
    <w:pPr>
      <w:tabs>
        <w:tab w:val="center" w:pos="4680"/>
        <w:tab w:val="right" w:pos="9360"/>
      </w:tabs>
      <w:spacing w:line="240" w:lineRule="auto"/>
    </w:pPr>
  </w:style>
  <w:style w:type="character" w:customStyle="1" w:styleId="FooterChar">
    <w:name w:val="Footer Char"/>
    <w:basedOn w:val="DefaultParagraphFont"/>
    <w:link w:val="Footer"/>
    <w:uiPriority w:val="99"/>
    <w:rsid w:val="00EB1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239578">
      <w:bodyDiv w:val="1"/>
      <w:marLeft w:val="0"/>
      <w:marRight w:val="0"/>
      <w:marTop w:val="0"/>
      <w:marBottom w:val="0"/>
      <w:divBdr>
        <w:top w:val="none" w:sz="0" w:space="0" w:color="auto"/>
        <w:left w:val="none" w:sz="0" w:space="0" w:color="auto"/>
        <w:bottom w:val="none" w:sz="0" w:space="0" w:color="auto"/>
        <w:right w:val="none" w:sz="0" w:space="0" w:color="auto"/>
      </w:divBdr>
    </w:div>
    <w:div w:id="812791185">
      <w:bodyDiv w:val="1"/>
      <w:marLeft w:val="0"/>
      <w:marRight w:val="0"/>
      <w:marTop w:val="0"/>
      <w:marBottom w:val="0"/>
      <w:divBdr>
        <w:top w:val="none" w:sz="0" w:space="0" w:color="auto"/>
        <w:left w:val="none" w:sz="0" w:space="0" w:color="auto"/>
        <w:bottom w:val="none" w:sz="0" w:space="0" w:color="auto"/>
        <w:right w:val="none" w:sz="0" w:space="0" w:color="auto"/>
      </w:divBdr>
    </w:div>
    <w:div w:id="1234004119">
      <w:bodyDiv w:val="1"/>
      <w:marLeft w:val="0"/>
      <w:marRight w:val="0"/>
      <w:marTop w:val="0"/>
      <w:marBottom w:val="0"/>
      <w:divBdr>
        <w:top w:val="none" w:sz="0" w:space="0" w:color="auto"/>
        <w:left w:val="none" w:sz="0" w:space="0" w:color="auto"/>
        <w:bottom w:val="none" w:sz="0" w:space="0" w:color="auto"/>
        <w:right w:val="none" w:sz="0" w:space="0" w:color="auto"/>
      </w:divBdr>
    </w:div>
    <w:div w:id="1572882344">
      <w:bodyDiv w:val="1"/>
      <w:marLeft w:val="0"/>
      <w:marRight w:val="0"/>
      <w:marTop w:val="0"/>
      <w:marBottom w:val="0"/>
      <w:divBdr>
        <w:top w:val="none" w:sz="0" w:space="0" w:color="auto"/>
        <w:left w:val="none" w:sz="0" w:space="0" w:color="auto"/>
        <w:bottom w:val="none" w:sz="0" w:space="0" w:color="auto"/>
        <w:right w:val="none" w:sz="0" w:space="0" w:color="auto"/>
      </w:divBdr>
    </w:div>
    <w:div w:id="16621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21</Pages>
  <Words>13511</Words>
  <Characters>77013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CPU 1070</cp:lastModifiedBy>
  <cp:revision>21</cp:revision>
  <dcterms:created xsi:type="dcterms:W3CDTF">2025-04-21T19:05:00Z</dcterms:created>
  <dcterms:modified xsi:type="dcterms:W3CDTF">2025-04-29T07:45:00Z</dcterms:modified>
</cp:coreProperties>
</file>