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13F62" w14:textId="01D18796" w:rsidR="00A73C96" w:rsidRPr="00CF7B12" w:rsidRDefault="003B6A8A" w:rsidP="002D0360">
      <w:pPr>
        <w:spacing w:line="360" w:lineRule="auto"/>
        <w:jc w:val="center"/>
        <w:rPr>
          <w:rFonts w:ascii="Times New Roman" w:hAnsi="Times New Roman" w:cs="Times New Roman"/>
          <w:b/>
          <w:bCs/>
          <w:color w:val="000000" w:themeColor="text1"/>
        </w:rPr>
      </w:pPr>
      <w:r w:rsidRPr="00CF7B12">
        <w:rPr>
          <w:rFonts w:ascii="Times New Roman" w:hAnsi="Times New Roman" w:cs="Times New Roman"/>
          <w:b/>
          <w:bCs/>
          <w:color w:val="000000" w:themeColor="text1"/>
        </w:rPr>
        <w:t xml:space="preserve">Morphological </w:t>
      </w:r>
      <w:r w:rsidR="002C5D3B" w:rsidRPr="00CF7B12">
        <w:rPr>
          <w:rFonts w:ascii="Times New Roman" w:hAnsi="Times New Roman" w:cs="Times New Roman"/>
          <w:b/>
          <w:bCs/>
          <w:color w:val="000000" w:themeColor="text1"/>
        </w:rPr>
        <w:t xml:space="preserve">characterization </w:t>
      </w:r>
      <w:r w:rsidRPr="00CF7B12">
        <w:rPr>
          <w:rFonts w:ascii="Times New Roman" w:hAnsi="Times New Roman" w:cs="Times New Roman"/>
          <w:b/>
          <w:bCs/>
          <w:color w:val="000000" w:themeColor="text1"/>
        </w:rPr>
        <w:t xml:space="preserve">of </w:t>
      </w:r>
      <w:r w:rsidR="002C5D3B" w:rsidRPr="00CF7B12">
        <w:rPr>
          <w:rFonts w:ascii="Times New Roman" w:hAnsi="Times New Roman" w:cs="Times New Roman"/>
          <w:b/>
          <w:bCs/>
          <w:color w:val="000000" w:themeColor="text1"/>
        </w:rPr>
        <w:t xml:space="preserve">guinea grass </w:t>
      </w:r>
      <w:r w:rsidRPr="00CF7B12">
        <w:rPr>
          <w:rFonts w:ascii="Times New Roman" w:hAnsi="Times New Roman" w:cs="Times New Roman"/>
          <w:b/>
          <w:bCs/>
          <w:color w:val="000000" w:themeColor="text1"/>
        </w:rPr>
        <w:t>(</w:t>
      </w:r>
      <w:proofErr w:type="spellStart"/>
      <w:r w:rsidRPr="00CF7B12">
        <w:rPr>
          <w:rFonts w:ascii="Times New Roman" w:hAnsi="Times New Roman" w:cs="Times New Roman"/>
          <w:b/>
          <w:bCs/>
          <w:i/>
          <w:iCs/>
          <w:color w:val="000000" w:themeColor="text1"/>
        </w:rPr>
        <w:t>Megathyrsus</w:t>
      </w:r>
      <w:proofErr w:type="spellEnd"/>
      <w:r w:rsidRPr="00CF7B12">
        <w:rPr>
          <w:rFonts w:ascii="Times New Roman" w:hAnsi="Times New Roman" w:cs="Times New Roman"/>
          <w:b/>
          <w:bCs/>
          <w:i/>
          <w:iCs/>
          <w:color w:val="000000" w:themeColor="text1"/>
        </w:rPr>
        <w:t xml:space="preserve"> maximus</w:t>
      </w:r>
      <w:r w:rsidRPr="00CF7B12">
        <w:rPr>
          <w:rFonts w:ascii="Times New Roman" w:hAnsi="Times New Roman" w:cs="Times New Roman"/>
          <w:b/>
          <w:bCs/>
          <w:color w:val="000000" w:themeColor="text1"/>
        </w:rPr>
        <w:t xml:space="preserve">) </w:t>
      </w:r>
      <w:r w:rsidR="002C5D3B" w:rsidRPr="00CF7B12">
        <w:rPr>
          <w:rFonts w:ascii="Times New Roman" w:hAnsi="Times New Roman" w:cs="Times New Roman"/>
          <w:b/>
          <w:bCs/>
          <w:color w:val="000000" w:themeColor="text1"/>
        </w:rPr>
        <w:t xml:space="preserve">across </w:t>
      </w:r>
      <w:r w:rsidRPr="00CF7B12">
        <w:rPr>
          <w:rFonts w:ascii="Times New Roman" w:hAnsi="Times New Roman" w:cs="Times New Roman"/>
          <w:b/>
          <w:bCs/>
          <w:color w:val="000000" w:themeColor="text1"/>
        </w:rPr>
        <w:t xml:space="preserve">a </w:t>
      </w:r>
      <w:r w:rsidR="002C5D3B" w:rsidRPr="00CF7B12">
        <w:rPr>
          <w:rFonts w:ascii="Times New Roman" w:hAnsi="Times New Roman" w:cs="Times New Roman"/>
          <w:b/>
          <w:bCs/>
          <w:color w:val="000000" w:themeColor="text1"/>
        </w:rPr>
        <w:t>ploidy series</w:t>
      </w:r>
      <w:r w:rsidR="00340873" w:rsidRPr="00CF7B12">
        <w:rPr>
          <w:rFonts w:ascii="Times New Roman" w:hAnsi="Times New Roman" w:cs="Times New Roman"/>
          <w:b/>
          <w:bCs/>
          <w:color w:val="000000" w:themeColor="text1"/>
        </w:rPr>
        <w:t xml:space="preserve"> in semi-arid conditions of Central India</w:t>
      </w:r>
    </w:p>
    <w:p w14:paraId="46C4951B" w14:textId="77777777" w:rsidR="00183014" w:rsidRDefault="00183014" w:rsidP="00DD3EF2">
      <w:pPr>
        <w:spacing w:line="360" w:lineRule="auto"/>
        <w:jc w:val="both"/>
        <w:rPr>
          <w:rFonts w:ascii="Times New Roman" w:hAnsi="Times New Roman" w:cs="Times New Roman"/>
          <w:b/>
          <w:bCs/>
          <w:color w:val="000000" w:themeColor="text1"/>
        </w:rPr>
      </w:pPr>
    </w:p>
    <w:p w14:paraId="1CBEFF3A" w14:textId="7E20AE1D" w:rsidR="00DD3EF2" w:rsidRPr="00CF7B12" w:rsidRDefault="004C3E8A" w:rsidP="00DD3EF2">
      <w:pPr>
        <w:spacing w:line="360" w:lineRule="auto"/>
        <w:jc w:val="both"/>
        <w:rPr>
          <w:rFonts w:ascii="Times New Roman" w:hAnsi="Times New Roman" w:cs="Times New Roman"/>
          <w:b/>
          <w:bCs/>
          <w:color w:val="000000" w:themeColor="text1"/>
        </w:rPr>
      </w:pPr>
      <w:r w:rsidRPr="00CF7B12">
        <w:rPr>
          <w:rFonts w:ascii="Times New Roman" w:hAnsi="Times New Roman" w:cs="Times New Roman"/>
          <w:b/>
          <w:bCs/>
          <w:color w:val="000000" w:themeColor="text1"/>
        </w:rPr>
        <w:t>ABSTRACT</w:t>
      </w:r>
    </w:p>
    <w:p w14:paraId="29DA2963" w14:textId="659A26AB" w:rsidR="009A73BC" w:rsidRPr="00CF7B12" w:rsidRDefault="009A73BC" w:rsidP="009A73BC">
      <w:pPr>
        <w:spacing w:after="120" w:line="360" w:lineRule="auto"/>
        <w:jc w:val="both"/>
        <w:rPr>
          <w:rFonts w:ascii="Times New Roman" w:hAnsi="Times New Roman" w:cs="Times New Roman"/>
          <w:color w:val="000000" w:themeColor="text1"/>
        </w:rPr>
      </w:pPr>
      <w:r w:rsidRPr="00CF7B12">
        <w:rPr>
          <w:rFonts w:ascii="Times New Roman" w:hAnsi="Times New Roman" w:cs="Times New Roman"/>
          <w:color w:val="000000" w:themeColor="text1"/>
        </w:rPr>
        <w:t>Guinea grass (</w:t>
      </w:r>
      <w:proofErr w:type="spellStart"/>
      <w:r w:rsidRPr="00CF7B12">
        <w:rPr>
          <w:rFonts w:ascii="Times New Roman" w:hAnsi="Times New Roman" w:cs="Times New Roman"/>
          <w:i/>
          <w:iCs/>
          <w:color w:val="000000" w:themeColor="text1"/>
        </w:rPr>
        <w:t>Megathyrsus</w:t>
      </w:r>
      <w:proofErr w:type="spellEnd"/>
      <w:r w:rsidRPr="00CF7B12">
        <w:rPr>
          <w:rFonts w:ascii="Times New Roman" w:hAnsi="Times New Roman" w:cs="Times New Roman"/>
          <w:i/>
          <w:iCs/>
          <w:color w:val="000000" w:themeColor="text1"/>
        </w:rPr>
        <w:t xml:space="preserve"> maximus</w:t>
      </w:r>
      <w:r w:rsidRPr="00CF7B12">
        <w:rPr>
          <w:rFonts w:ascii="Times New Roman" w:hAnsi="Times New Roman" w:cs="Times New Roman"/>
          <w:color w:val="000000" w:themeColor="text1"/>
        </w:rPr>
        <w:t>) is a vital tropical forage crop characterized by extensive genetic variability, particularly in ploidy levels. This study evaluated the morphological and growth characteristics of guinea grass across eight ploidy series (3x–</w:t>
      </w:r>
      <w:r w:rsidR="00BF3173" w:rsidRPr="00CF7B12">
        <w:rPr>
          <w:rFonts w:ascii="Times New Roman" w:hAnsi="Times New Roman" w:cs="Times New Roman"/>
          <w:color w:val="000000" w:themeColor="text1"/>
        </w:rPr>
        <w:t xml:space="preserve">9x, </w:t>
      </w:r>
      <w:r w:rsidRPr="00CF7B12">
        <w:rPr>
          <w:rFonts w:ascii="Times New Roman" w:hAnsi="Times New Roman" w:cs="Times New Roman"/>
          <w:color w:val="000000" w:themeColor="text1"/>
        </w:rPr>
        <w:t xml:space="preserve">11x) and a reference genotype (SRP75) to understand the impact of ploidy on phenotypic expression. </w:t>
      </w:r>
      <w:r w:rsidR="00B0393E" w:rsidRPr="00B0393E">
        <w:rPr>
          <w:rFonts w:ascii="Times New Roman" w:hAnsi="Times New Roman" w:cs="Times New Roman"/>
          <w:color w:val="000000" w:themeColor="text1"/>
          <w:highlight w:val="yellow"/>
        </w:rPr>
        <w:t>Ploidy plants were collected from the IGFRI experimental field and grown in pots with three replications. Qua</w:t>
      </w:r>
      <w:r w:rsidR="00A273F2">
        <w:rPr>
          <w:rFonts w:ascii="Times New Roman" w:hAnsi="Times New Roman" w:cs="Times New Roman"/>
          <w:color w:val="000000" w:themeColor="text1"/>
          <w:highlight w:val="yellow"/>
        </w:rPr>
        <w:t>nti</w:t>
      </w:r>
      <w:r w:rsidR="00B0393E" w:rsidRPr="00B0393E">
        <w:rPr>
          <w:rFonts w:ascii="Times New Roman" w:hAnsi="Times New Roman" w:cs="Times New Roman"/>
          <w:color w:val="000000" w:themeColor="text1"/>
          <w:highlight w:val="yellow"/>
        </w:rPr>
        <w:t xml:space="preserve">tative data were </w:t>
      </w:r>
      <w:proofErr w:type="spellStart"/>
      <w:r w:rsidR="00B0393E" w:rsidRPr="00B0393E">
        <w:rPr>
          <w:rFonts w:ascii="Times New Roman" w:hAnsi="Times New Roman" w:cs="Times New Roman"/>
          <w:color w:val="000000" w:themeColor="text1"/>
          <w:highlight w:val="yellow"/>
        </w:rPr>
        <w:t>analyzed</w:t>
      </w:r>
      <w:proofErr w:type="spellEnd"/>
      <w:r w:rsidR="00B0393E" w:rsidRPr="00B0393E">
        <w:rPr>
          <w:rFonts w:ascii="Times New Roman" w:hAnsi="Times New Roman" w:cs="Times New Roman"/>
          <w:color w:val="000000" w:themeColor="text1"/>
          <w:highlight w:val="yellow"/>
        </w:rPr>
        <w:t xml:space="preserve"> using </w:t>
      </w:r>
      <w:bookmarkStart w:id="0" w:name="_Hlk195305213"/>
      <w:r w:rsidR="00B0393E" w:rsidRPr="00B0393E">
        <w:rPr>
          <w:rFonts w:ascii="Times New Roman" w:hAnsi="Times New Roman" w:cs="Times New Roman"/>
          <w:color w:val="000000" w:themeColor="text1"/>
          <w:highlight w:val="yellow"/>
        </w:rPr>
        <w:t>a Completely Randomized Design (CRD) at a 5% level of significance</w:t>
      </w:r>
      <w:bookmarkEnd w:id="0"/>
      <w:r w:rsidR="00B0393E" w:rsidRPr="00B0393E">
        <w:rPr>
          <w:rFonts w:ascii="Times New Roman" w:hAnsi="Times New Roman" w:cs="Times New Roman"/>
          <w:color w:val="000000" w:themeColor="text1"/>
          <w:highlight w:val="yellow"/>
        </w:rPr>
        <w:t>.</w:t>
      </w:r>
      <w:r w:rsidR="00B0393E">
        <w:rPr>
          <w:rFonts w:ascii="Times New Roman" w:hAnsi="Times New Roman" w:cs="Times New Roman"/>
          <w:color w:val="000000" w:themeColor="text1"/>
        </w:rPr>
        <w:t xml:space="preserve"> </w:t>
      </w:r>
      <w:r w:rsidRPr="00CF7B12">
        <w:rPr>
          <w:rFonts w:ascii="Times New Roman" w:hAnsi="Times New Roman" w:cs="Times New Roman"/>
          <w:color w:val="000000" w:themeColor="text1"/>
        </w:rPr>
        <w:t xml:space="preserve">Morphological descriptors such as growth habit, leaf hairiness, node and leaf base coloration, leaf orientation, and leaf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were recorded, along with quantitative traits including plant height, tiller number and diameter, leaf and node count, internode length, leaf dimensions, spike length, and number of florets per spikelet. All accessions displayed perennial growth. Notable variation was observed in traits like hairiness, pigmentation, and leaf orientation, indicating ploidy-dependent morphological shifts. Intermediate ploidy levels, particularly 5x, 6x, and 8x, demonstrated superior vegetative growth and reproductive traits, including greater </w:t>
      </w:r>
      <w:r w:rsidRPr="00D0449D">
        <w:rPr>
          <w:rFonts w:ascii="Times New Roman" w:hAnsi="Times New Roman" w:cs="Times New Roman"/>
          <w:color w:val="000000" w:themeColor="text1"/>
          <w:highlight w:val="yellow"/>
        </w:rPr>
        <w:t>plant height</w:t>
      </w:r>
      <w:r w:rsidR="001F25E5">
        <w:rPr>
          <w:rFonts w:ascii="Times New Roman" w:hAnsi="Times New Roman" w:cs="Times New Roman"/>
          <w:color w:val="000000" w:themeColor="text1"/>
        </w:rPr>
        <w:t xml:space="preserve"> </w:t>
      </w:r>
      <w:r w:rsidR="001F25E5" w:rsidRPr="003C3B9B">
        <w:rPr>
          <w:rFonts w:ascii="Times New Roman" w:hAnsi="Times New Roman" w:cs="Times New Roman"/>
          <w:color w:val="000000" w:themeColor="text1"/>
          <w:highlight w:val="yellow"/>
        </w:rPr>
        <w:t>(</w:t>
      </w:r>
      <w:r w:rsidR="003C3B9B" w:rsidRPr="003C3B9B">
        <w:rPr>
          <w:rFonts w:ascii="Times New Roman" w:hAnsi="Times New Roman" w:cs="Times New Roman"/>
          <w:color w:val="000000" w:themeColor="text1"/>
          <w:highlight w:val="yellow"/>
        </w:rPr>
        <w:t>112 to 139 cm)</w:t>
      </w:r>
      <w:r w:rsidRPr="00CF7B12">
        <w:rPr>
          <w:rFonts w:ascii="Times New Roman" w:hAnsi="Times New Roman" w:cs="Times New Roman"/>
          <w:color w:val="000000" w:themeColor="text1"/>
        </w:rPr>
        <w:t xml:space="preserve">, tiller robustness, and </w:t>
      </w:r>
      <w:r w:rsidRPr="00D0449D">
        <w:rPr>
          <w:rFonts w:ascii="Times New Roman" w:hAnsi="Times New Roman" w:cs="Times New Roman"/>
          <w:color w:val="000000" w:themeColor="text1"/>
          <w:highlight w:val="yellow"/>
        </w:rPr>
        <w:t>spike length</w:t>
      </w:r>
      <w:r w:rsidR="008840F0" w:rsidRPr="00D0449D">
        <w:rPr>
          <w:rFonts w:ascii="Times New Roman" w:hAnsi="Times New Roman" w:cs="Times New Roman"/>
          <w:color w:val="000000" w:themeColor="text1"/>
          <w:highlight w:val="yellow"/>
        </w:rPr>
        <w:t xml:space="preserve"> (22 to 28 cm)</w:t>
      </w:r>
      <w:r w:rsidRPr="00D0449D">
        <w:rPr>
          <w:rFonts w:ascii="Times New Roman" w:hAnsi="Times New Roman" w:cs="Times New Roman"/>
          <w:color w:val="000000" w:themeColor="text1"/>
          <w:highlight w:val="yellow"/>
        </w:rPr>
        <w:t>,</w:t>
      </w:r>
      <w:r w:rsidRPr="00CF7B12">
        <w:rPr>
          <w:rFonts w:ascii="Times New Roman" w:hAnsi="Times New Roman" w:cs="Times New Roman"/>
          <w:color w:val="000000" w:themeColor="text1"/>
        </w:rPr>
        <w:t xml:space="preserve"> suggesting enhanced biomass and seed production potential. </w:t>
      </w:r>
      <w:r w:rsidRPr="00AF1958">
        <w:rPr>
          <w:rFonts w:ascii="Times New Roman" w:hAnsi="Times New Roman" w:cs="Times New Roman"/>
          <w:color w:val="000000" w:themeColor="text1"/>
          <w:highlight w:val="yellow"/>
        </w:rPr>
        <w:t xml:space="preserve">Conversely, very low (3x) ploidy levels showed reduced growth </w:t>
      </w:r>
      <w:r w:rsidR="00B714D6" w:rsidRPr="00AF1958">
        <w:rPr>
          <w:rFonts w:ascii="Times New Roman" w:hAnsi="Times New Roman" w:cs="Times New Roman"/>
          <w:color w:val="000000" w:themeColor="text1"/>
          <w:highlight w:val="yellow"/>
        </w:rPr>
        <w:t>(</w:t>
      </w:r>
      <w:r w:rsidR="00CF41C3" w:rsidRPr="00AF1958">
        <w:rPr>
          <w:rFonts w:ascii="Times New Roman" w:hAnsi="Times New Roman" w:cs="Times New Roman"/>
          <w:color w:val="000000" w:themeColor="text1"/>
          <w:highlight w:val="yellow"/>
        </w:rPr>
        <w:t xml:space="preserve">63 cm plant height and 73 </w:t>
      </w:r>
      <w:r w:rsidR="004C247B" w:rsidRPr="00AF1958">
        <w:rPr>
          <w:rFonts w:ascii="Times New Roman" w:hAnsi="Times New Roman" w:cs="Times New Roman"/>
          <w:color w:val="000000" w:themeColor="text1"/>
          <w:highlight w:val="yellow"/>
        </w:rPr>
        <w:t xml:space="preserve">florets/spike) </w:t>
      </w:r>
      <w:r w:rsidRPr="00AF1958">
        <w:rPr>
          <w:rFonts w:ascii="Times New Roman" w:hAnsi="Times New Roman" w:cs="Times New Roman"/>
          <w:color w:val="000000" w:themeColor="text1"/>
          <w:highlight w:val="yellow"/>
        </w:rPr>
        <w:t xml:space="preserve">and </w:t>
      </w:r>
      <w:proofErr w:type="spellStart"/>
      <w:r w:rsidRPr="00AF1958">
        <w:rPr>
          <w:rFonts w:ascii="Times New Roman" w:hAnsi="Times New Roman" w:cs="Times New Roman"/>
          <w:color w:val="000000" w:themeColor="text1"/>
          <w:highlight w:val="yellow"/>
        </w:rPr>
        <w:t>vigor</w:t>
      </w:r>
      <w:proofErr w:type="spellEnd"/>
      <w:r w:rsidRPr="00AF1958">
        <w:rPr>
          <w:rFonts w:ascii="Times New Roman" w:hAnsi="Times New Roman" w:cs="Times New Roman"/>
          <w:color w:val="000000" w:themeColor="text1"/>
          <w:highlight w:val="yellow"/>
        </w:rPr>
        <w:t>.</w:t>
      </w:r>
      <w:r w:rsidRPr="00CF7B12">
        <w:rPr>
          <w:rFonts w:ascii="Times New Roman" w:hAnsi="Times New Roman" w:cs="Times New Roman"/>
          <w:color w:val="000000" w:themeColor="text1"/>
        </w:rPr>
        <w:t xml:space="preserve"> These findings underscore the influence of ploidy on phenotypic traits and provide valuable insights for breeding programs targeting high-yielding and stress-resilient guinea grass genotypes.</w:t>
      </w:r>
    </w:p>
    <w:p w14:paraId="289CB9D9" w14:textId="77777777" w:rsidR="009A73BC" w:rsidRDefault="009A73BC" w:rsidP="009A73BC">
      <w:pPr>
        <w:spacing w:after="120" w:line="360" w:lineRule="auto"/>
        <w:jc w:val="both"/>
        <w:rPr>
          <w:rFonts w:ascii="Times New Roman" w:hAnsi="Times New Roman" w:cs="Times New Roman"/>
          <w:color w:val="000000" w:themeColor="text1"/>
        </w:rPr>
      </w:pPr>
      <w:r w:rsidRPr="00CF7B12">
        <w:rPr>
          <w:rFonts w:ascii="Times New Roman" w:hAnsi="Times New Roman" w:cs="Times New Roman"/>
          <w:b/>
          <w:bCs/>
          <w:i/>
          <w:iCs/>
          <w:color w:val="000000" w:themeColor="text1"/>
        </w:rPr>
        <w:t>Keywords:</w:t>
      </w:r>
      <w:r w:rsidRPr="00CF7B12">
        <w:rPr>
          <w:rFonts w:ascii="Times New Roman" w:hAnsi="Times New Roman" w:cs="Times New Roman"/>
          <w:color w:val="000000" w:themeColor="text1"/>
        </w:rPr>
        <w:t xml:space="preserve"> Guinea grass, Ploidy series, Morphological traits, Polyploidy, Forage breeding, Plant growth.</w:t>
      </w:r>
    </w:p>
    <w:p w14:paraId="07034F8C" w14:textId="2DDE4FC7" w:rsidR="00B1347D" w:rsidRPr="00B1347D" w:rsidRDefault="00B1347D" w:rsidP="009A73BC">
      <w:pPr>
        <w:spacing w:after="120" w:line="360" w:lineRule="auto"/>
        <w:jc w:val="both"/>
        <w:rPr>
          <w:rFonts w:ascii="Times New Roman" w:hAnsi="Times New Roman" w:cs="Times New Roman"/>
          <w:b/>
          <w:bCs/>
          <w:color w:val="000000" w:themeColor="text1"/>
        </w:rPr>
      </w:pPr>
      <w:r w:rsidRPr="00B1347D">
        <w:rPr>
          <w:rFonts w:ascii="Times New Roman" w:hAnsi="Times New Roman" w:cs="Times New Roman"/>
          <w:b/>
          <w:bCs/>
          <w:color w:val="000000" w:themeColor="text1"/>
        </w:rPr>
        <w:t xml:space="preserve">Introduction </w:t>
      </w:r>
    </w:p>
    <w:p w14:paraId="0C22D1A2" w14:textId="015157AA" w:rsidR="00A73C96" w:rsidRPr="00CF7B12" w:rsidRDefault="00A73C96" w:rsidP="009A73BC">
      <w:pPr>
        <w:spacing w:after="120" w:line="360" w:lineRule="auto"/>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Guinea grass (</w:t>
      </w:r>
      <w:proofErr w:type="spellStart"/>
      <w:r w:rsidRPr="00CF7B12">
        <w:rPr>
          <w:rFonts w:ascii="Times New Roman" w:eastAsia="Times New Roman" w:hAnsi="Times New Roman" w:cs="Times New Roman"/>
          <w:i/>
          <w:iCs/>
          <w:color w:val="000000" w:themeColor="text1"/>
          <w:kern w:val="0"/>
          <w:szCs w:val="24"/>
          <w:lang w:eastAsia="en-IN"/>
          <w14:ligatures w14:val="none"/>
        </w:rPr>
        <w:t>Megathyrsus</w:t>
      </w:r>
      <w:proofErr w:type="spellEnd"/>
      <w:r w:rsidRPr="00CF7B12">
        <w:rPr>
          <w:rFonts w:ascii="Times New Roman" w:eastAsia="Times New Roman" w:hAnsi="Times New Roman" w:cs="Times New Roman"/>
          <w:i/>
          <w:iCs/>
          <w:color w:val="000000" w:themeColor="text1"/>
          <w:kern w:val="0"/>
          <w:szCs w:val="24"/>
          <w:lang w:eastAsia="en-IN"/>
          <w14:ligatures w14:val="none"/>
        </w:rPr>
        <w:t xml:space="preserve"> maximus</w:t>
      </w:r>
      <w:r w:rsidRPr="00CF7B12">
        <w:rPr>
          <w:rFonts w:ascii="Times New Roman" w:eastAsia="Times New Roman" w:hAnsi="Times New Roman" w:cs="Times New Roman"/>
          <w:color w:val="000000" w:themeColor="text1"/>
          <w:kern w:val="0"/>
          <w:szCs w:val="24"/>
          <w:lang w:eastAsia="en-IN"/>
          <w14:ligatures w14:val="none"/>
        </w:rPr>
        <w:t xml:space="preserve"> Jacq.), also known as green panic, is an important tropical forage species native to Africa but widely naturalized and cultivated in Asia, Latin America, and Australia. It is recognized for its vigorous growth, high biomass yield, and adaptability to diverse </w:t>
      </w:r>
      <w:proofErr w:type="spellStart"/>
      <w:r w:rsidRPr="00CF7B12">
        <w:rPr>
          <w:rFonts w:ascii="Times New Roman" w:eastAsia="Times New Roman" w:hAnsi="Times New Roman" w:cs="Times New Roman"/>
          <w:color w:val="000000" w:themeColor="text1"/>
          <w:kern w:val="0"/>
          <w:szCs w:val="24"/>
          <w:lang w:eastAsia="en-IN"/>
          <w14:ligatures w14:val="none"/>
        </w:rPr>
        <w:t>agro</w:t>
      </w:r>
      <w:proofErr w:type="spellEnd"/>
      <w:r w:rsidRPr="00CF7B12">
        <w:rPr>
          <w:rFonts w:ascii="Times New Roman" w:eastAsia="Times New Roman" w:hAnsi="Times New Roman" w:cs="Times New Roman"/>
          <w:color w:val="000000" w:themeColor="text1"/>
          <w:kern w:val="0"/>
          <w:szCs w:val="24"/>
          <w:lang w:eastAsia="en-IN"/>
          <w14:ligatures w14:val="none"/>
        </w:rPr>
        <w:t xml:space="preserve">-climatic conditions, making it a preferred species in both cut-and-carry and grazing systems (Cook et al., 2005). In India, especially in semi-arid regions such as Bundelkhand, guinea grass plays a critical role in meeting the fodder demands of livestock due </w:t>
      </w:r>
      <w:r w:rsidRPr="00CF7B12">
        <w:rPr>
          <w:rFonts w:ascii="Times New Roman" w:eastAsia="Times New Roman" w:hAnsi="Times New Roman" w:cs="Times New Roman"/>
          <w:color w:val="000000" w:themeColor="text1"/>
          <w:kern w:val="0"/>
          <w:szCs w:val="24"/>
          <w:lang w:eastAsia="en-IN"/>
          <w14:ligatures w14:val="none"/>
        </w:rPr>
        <w:lastRenderedPageBreak/>
        <w:t>to its tolerance to drought, rapid regrowth, and compatibility with intercropping systems (Patil et al., 2013).</w:t>
      </w:r>
    </w:p>
    <w:p w14:paraId="2ED0EC93" w14:textId="1D987D78" w:rsidR="00A73C96" w:rsidRPr="00CF7B12" w:rsidRDefault="00A73C96" w:rsidP="008F6E11">
      <w:pPr>
        <w:spacing w:after="120" w:line="360" w:lineRule="auto"/>
        <w:ind w:firstLine="720"/>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The genus </w:t>
      </w:r>
      <w:proofErr w:type="spellStart"/>
      <w:r w:rsidRPr="00CF7B12">
        <w:rPr>
          <w:rFonts w:ascii="Times New Roman" w:eastAsia="Times New Roman" w:hAnsi="Times New Roman" w:cs="Times New Roman"/>
          <w:i/>
          <w:iCs/>
          <w:color w:val="000000" w:themeColor="text1"/>
          <w:kern w:val="0"/>
          <w:szCs w:val="24"/>
          <w:lang w:eastAsia="en-IN"/>
          <w14:ligatures w14:val="none"/>
        </w:rPr>
        <w:t>Megathyrsus</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exhibits a high degree of genetic and cytological complexity, with reported ploidy levels ranging from diploid (2x = 16) to </w:t>
      </w:r>
      <w:proofErr w:type="spellStart"/>
      <w:r w:rsidRPr="00CF7B12">
        <w:rPr>
          <w:rFonts w:ascii="Times New Roman" w:eastAsia="Times New Roman" w:hAnsi="Times New Roman" w:cs="Times New Roman"/>
          <w:color w:val="000000" w:themeColor="text1"/>
          <w:kern w:val="0"/>
          <w:szCs w:val="24"/>
          <w:lang w:eastAsia="en-IN"/>
          <w14:ligatures w14:val="none"/>
        </w:rPr>
        <w:t>dodecaploid</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(12x = 96), though most cultivated types are polyploid (Valle &amp; Pagliarini, 2009). Polyploidy, a prevalent phenomenon in forage grasses, contributes significantly to phenotypic variation, reproductive </w:t>
      </w:r>
      <w:proofErr w:type="spellStart"/>
      <w:r w:rsidRPr="00CF7B12">
        <w:rPr>
          <w:rFonts w:ascii="Times New Roman" w:eastAsia="Times New Roman" w:hAnsi="Times New Roman" w:cs="Times New Roman"/>
          <w:color w:val="000000" w:themeColor="text1"/>
          <w:kern w:val="0"/>
          <w:szCs w:val="24"/>
          <w:lang w:eastAsia="en-IN"/>
          <w14:ligatures w14:val="none"/>
        </w:rPr>
        <w:t>behavior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and environmental adaptability </w:t>
      </w:r>
      <w:r w:rsidR="00FB4B0B" w:rsidRPr="00CF7B12">
        <w:rPr>
          <w:rFonts w:ascii="Times New Roman" w:eastAsia="Times New Roman" w:hAnsi="Times New Roman" w:cs="Times New Roman"/>
          <w:color w:val="000000" w:themeColor="text1"/>
          <w:kern w:val="0"/>
          <w:szCs w:val="24"/>
          <w:lang w:eastAsia="en-IN"/>
          <w14:ligatures w14:val="none"/>
        </w:rPr>
        <w:fldChar w:fldCharType="begin" w:fldLock="1"/>
      </w:r>
      <w:r w:rsidR="00FB4B0B"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{"citationItems":[{"id":"ITEM-1","itemData":{"DOI":"10.1016/j.plantsci.2006.12.006","ISSN":"01689452","abstract":"Apomixis is a mode of asexual reproduction through seeds. The apomictic process bypasses both meiosis and egg cell fertilization, producing offspring that are exact genetic replicas of the mother plant. Cenchrus ciliaris (buffelgrass) is a valuable forage grass, which reproduces through aposporous apomeiosis. We identified one sexual plant in this obligate apomictic population. The objective of this work was to identify molecular markers linked to apospory trait through bulked segregant analysis. Facultative apomictic F1 plants obtained from open pollinated sexual plant were selfed to derive F2 population. Individual F2 plants were classified through embryo sac analysis as sexual, facultative apomictic or obligate apomictic. Two bulks namely, obligate apomictic and sexual were prepared by pooling DNA of individual identified plants and used in PCR analysis. Out of 208 primers tested, 20 were found to be polymorphic. A 600 bp RAPD amplicon specific to apomictic bulk, obtained with OPF-08 primer was cloned and sequenced. Based on the sequence information, a pair of SCAR (sequence characterized amplified region) primers was designed which generated a 600 bp amplicon (named OPF08-600) only in the apomictic plants. Southern hybridization of genomic DNA of apomictic and sexual plants using the OPF08-600 fragment as probe indicated the presence of two copies of the SCAR sequence in only the apomictic plants. Gel elution of restricted DNA fragments and PCR analysis confirmed the presence of duplicated copies of the SCAR sequence in the apomictic plants. © 2007 Elsevier Ireland Ltd. All rights reserved.","author":[{"dropping-particle":"","family":"Dwivedi","given":"K. K.","non-dropping-particle":"","parse-names":false,"suffix":""},{"dropping-particle":"","family":"Bhat","given":"S. R.","non-dropping-particle":"","parse-names":false,"suffix":""},{"dropping-particle":"","family":"Bhat","given":"V.","non-dropping-particle":"","parse-names":false,"suffix":""},{"dropping-particle":"V.","family":"Bhat","given":"B.","non-dropping-particle":"","parse-names":false,"suffix":""},{"dropping-particle":"","family":"Gupta","given":"M. G.","non-dropping-particle":"","parse-names":false,"suffix":""}],"container-title":"Plant Science","id":"ITEM-1","issue":"4","issued":{"date-parts":[["2007"]]},"page":"788-795","title":"Identification of a SCAR marker linked to apomixis in buffelgrass (Cenchrus ciliaris L.)","type":"article-journal","volume":"172"},"uris":["http://www.mendeley.com/documents/?uuid=66bfe0b5-e90c-4fb8-b1fd-a7e94be66610"]}],"mendeley":{"formattedCitation":"(Dwivedi et al., 2007)","manualFormatting":"(Dwivedi et al., 2007","plainTextFormattedCitation":"(Dwivedi et al., 2007)","previouslyFormattedCitation":"(Dwivedi et al., 2007)"},"properties":{"noteIndex":0},"schema":"https://github.com/citation-style-language/schema/raw/master/csl-citation.json"}</w:instrText>
      </w:r>
      <w:r w:rsidR="00FB4B0B" w:rsidRPr="00CF7B12">
        <w:rPr>
          <w:rFonts w:ascii="Times New Roman" w:eastAsia="Times New Roman" w:hAnsi="Times New Roman" w:cs="Times New Roman"/>
          <w:color w:val="000000" w:themeColor="text1"/>
          <w:kern w:val="0"/>
          <w:szCs w:val="24"/>
          <w:lang w:eastAsia="en-IN"/>
          <w14:ligatures w14:val="none"/>
        </w:rPr>
        <w:fldChar w:fldCharType="separate"/>
      </w:r>
      <w:r w:rsidR="00FB4B0B" w:rsidRPr="00CF7B12">
        <w:rPr>
          <w:rFonts w:ascii="Times New Roman" w:eastAsia="Times New Roman" w:hAnsi="Times New Roman" w:cs="Times New Roman"/>
          <w:noProof/>
          <w:color w:val="000000" w:themeColor="text1"/>
          <w:kern w:val="0"/>
          <w:szCs w:val="24"/>
          <w:lang w:eastAsia="en-IN"/>
          <w14:ligatures w14:val="none"/>
        </w:rPr>
        <w:t>(Dwivedi et al., 2007</w:t>
      </w:r>
      <w:r w:rsidR="00FB4B0B" w:rsidRPr="00CF7B12">
        <w:rPr>
          <w:rFonts w:ascii="Times New Roman" w:eastAsia="Times New Roman" w:hAnsi="Times New Roman" w:cs="Times New Roman"/>
          <w:color w:val="000000" w:themeColor="text1"/>
          <w:kern w:val="0"/>
          <w:szCs w:val="24"/>
          <w:lang w:eastAsia="en-IN"/>
          <w14:ligatures w14:val="none"/>
        </w:rPr>
        <w:fldChar w:fldCharType="end"/>
      </w:r>
      <w:r w:rsidR="00FB4B0B" w:rsidRPr="00CF7B12">
        <w:rPr>
          <w:rFonts w:ascii="Times New Roman" w:eastAsia="Times New Roman" w:hAnsi="Times New Roman" w:cs="Times New Roman"/>
          <w:color w:val="000000" w:themeColor="text1"/>
          <w:kern w:val="0"/>
          <w:szCs w:val="24"/>
          <w:lang w:eastAsia="en-IN"/>
          <w14:ligatures w14:val="none"/>
        </w:rPr>
        <w:t xml:space="preserve"> &amp; </w:t>
      </w:r>
      <w:r w:rsidRPr="00CF7B12">
        <w:rPr>
          <w:rFonts w:ascii="Times New Roman" w:eastAsia="Times New Roman" w:hAnsi="Times New Roman" w:cs="Times New Roman"/>
          <w:color w:val="000000" w:themeColor="text1"/>
          <w:kern w:val="0"/>
          <w:szCs w:val="24"/>
          <w:lang w:eastAsia="en-IN"/>
          <w14:ligatures w14:val="none"/>
        </w:rPr>
        <w:t>Soltis et al., 2016). In guinea grass, polyploidy is associated with enhanced biomass accumulation, leaf area, tillering capacity, and reproductive performance, while also influencing morphological traits such as growth habit, pigmentation, and inflorescence structure (Jank et al., 2011; Boldrini et al., 2012).</w:t>
      </w:r>
    </w:p>
    <w:p w14:paraId="20108A23" w14:textId="77777777" w:rsidR="00A73C96" w:rsidRPr="00CF7B12" w:rsidRDefault="00A73C96" w:rsidP="008F6E11">
      <w:pPr>
        <w:spacing w:after="120" w:line="360" w:lineRule="auto"/>
        <w:ind w:firstLine="720"/>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Morphological characterization remains a foundational approach for assessing genetic diversity and ploidy-related variations, especially in forage crops where genomic tools are either underdeveloped or expensive to apply at scale. Traits such as growth habit, leaf blade width and orientation, node and leaf base pigmentation, stem hairiness, and spikelet morphology are routinely used for classification and varietal identification (Hanna &amp; Ryley, 2004). However, these traits may express differently across environments and developmental stages, underscoring the need for standardized phenotyping—preferably at critical stages like 50% flowering, when maximum trait differentiation can be observed (Miles et al., 2004).</w:t>
      </w:r>
    </w:p>
    <w:p w14:paraId="3590262D" w14:textId="14B97CAE" w:rsidR="00A73C96" w:rsidRPr="00CF7B12" w:rsidRDefault="00A73C96" w:rsidP="008F6E11">
      <w:pPr>
        <w:spacing w:after="120" w:line="360" w:lineRule="auto"/>
        <w:ind w:firstLine="720"/>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Despite the wide cultivation and breeding of guinea grass, limited studies have systematically compared morphological traits across the full ploidy series (3x</w:t>
      </w:r>
      <w:r w:rsidR="00BF3173" w:rsidRPr="00CF7B12">
        <w:rPr>
          <w:rFonts w:ascii="Times New Roman" w:eastAsia="Times New Roman" w:hAnsi="Times New Roman" w:cs="Times New Roman"/>
          <w:color w:val="000000" w:themeColor="text1"/>
          <w:kern w:val="0"/>
          <w:szCs w:val="24"/>
          <w:lang w:eastAsia="en-IN"/>
          <w14:ligatures w14:val="none"/>
        </w:rPr>
        <w:t>-9x,</w:t>
      </w:r>
      <w:r w:rsidRPr="00CF7B12">
        <w:rPr>
          <w:rFonts w:ascii="Times New Roman" w:eastAsia="Times New Roman" w:hAnsi="Times New Roman" w:cs="Times New Roman"/>
          <w:color w:val="000000" w:themeColor="text1"/>
          <w:kern w:val="0"/>
          <w:szCs w:val="24"/>
          <w:lang w:eastAsia="en-IN"/>
          <w14:ligatures w14:val="none"/>
        </w:rPr>
        <w:t xml:space="preserve"> 11x) in a single germplasm panel under uniform field conditions. Such characterization is crucial not only for understanding the morphological signatures of ploidy but also for selecting appropriate parents in ploidy-specific hybridization programs</w:t>
      </w:r>
      <w:r w:rsidR="00A32C89" w:rsidRPr="00CF7B12">
        <w:rPr>
          <w:rFonts w:ascii="Times New Roman" w:eastAsia="Times New Roman" w:hAnsi="Times New Roman" w:cs="Times New Roman"/>
          <w:color w:val="000000" w:themeColor="text1"/>
          <w:kern w:val="0"/>
          <w:szCs w:val="24"/>
          <w:lang w:eastAsia="en-IN"/>
          <w14:ligatures w14:val="none"/>
        </w:rPr>
        <w:t xml:space="preserve"> </w:t>
      </w:r>
      <w:r w:rsidR="00A32C89" w:rsidRPr="00CF7B12">
        <w:rPr>
          <w:rFonts w:ascii="Times New Roman" w:eastAsia="Times New Roman" w:hAnsi="Times New Roman" w:cs="Times New Roman"/>
          <w:color w:val="000000" w:themeColor="text1"/>
          <w:kern w:val="0"/>
          <w:szCs w:val="24"/>
          <w:lang w:eastAsia="en-IN"/>
          <w14:ligatures w14:val="none"/>
        </w:rPr>
        <w:fldChar w:fldCharType="begin" w:fldLock="1"/>
      </w:r>
      <w:r w:rsidR="00A32C8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{"citationItems":[{"id":"ITEM-1","itemData":{"DOI":"10.1016/j.dib.2018.03.001","ISSN":"23523409","abstract":"Guinea grass (Panicum maximum Jacq), an important fodder crop of humid and sub-humid tropical regions, reproduces through apomixis, a method of clonal propagation through seeds. Lack of knowledge of the genetic and molecular control of this phenomena has hindered the genetic improvement of this crop. The dataset provided here represents the first RNA-Seq based assembly and analysis of florets at pre-meiotic stage from the apomictic and sexual genotypes of guinea grass. The raw sequence files in FASTQ format were deposited in the NCBI SRA database with accession number SRP115883. A total of 24.8 Gb raw sequence data, corresponding to 17,96,65,827 raw reads was obtained by paired end sequencing. We used Trinity for de-novo assembly and identified 57,647 transcripts in sexual and 49,093 transcripts in apomictic type. This transcriptome data will be useful for identification and comparative analysis of genes regulating the mode of reproduction in grasses.","author":[{"dropping-particle":"","family":"Radhakrishna","given":"Auji","non-dropping-particle":"","parse-names":false,"suffix":""},{"dropping-particle":"","family":"Dwivedi","given":"Krishna Kumar","non-dropping-particle":"","parse-names":false,"suffix":""},{"dropping-particle":"","family":"Srivastava","given":"Manoj Kumar","non-dropping-particle":"","parse-names":false,"suffix":""},{"dropping-particle":"","family":"Roy","given":"A. K.","non-dropping-particle":"","parse-names":false,"suffix":""},{"dropping-particle":"","family":"Malaviya","given":"D. R.","non-dropping-particle":"","parse-names":false,"suffix":""},{"dropping-particle":"","family":"Kaushal","given":"P.","non-dropping-particle":"","parse-names":false,"suffix":""}],"container-title":"Data in Brief","id":"ITEM-1","issued":{"date-parts":[["2018"]]},"page":"590-593","publisher":"Elsevier Inc.","title":"Transcriptomic data of pre-meiotic stage of floret development in apomictic and sexual types of guinea grass (Panicum maximum Jacq.)","type":"article-journal","volume":"18"},"uris":["http://www.mendeley.com/documents/?uuid=a2ce5e8f-d0ea-40a1-9294-b152eaf77185"]}],"mendeley":{"formattedCitation":"(Radhakrishna et al., 2018)","plainTextFormattedCitation":"(Radhakrishna et al., 2018)","previouslyFormattedCitation":"(Radhakrishna et al., 2018)"},"properties":{"noteIndex":0},"schema":"https://github.com/citation-style-language/schema/raw/master/csl-citation.json"}</w:instrText>
      </w:r>
      <w:r w:rsidR="00A32C89" w:rsidRPr="00CF7B12">
        <w:rPr>
          <w:rFonts w:ascii="Times New Roman" w:eastAsia="Times New Roman" w:hAnsi="Times New Roman" w:cs="Times New Roman"/>
          <w:color w:val="000000" w:themeColor="text1"/>
          <w:kern w:val="0"/>
          <w:szCs w:val="24"/>
          <w:lang w:eastAsia="en-IN"/>
          <w14:ligatures w14:val="none"/>
        </w:rPr>
        <w:fldChar w:fldCharType="separate"/>
      </w:r>
      <w:r w:rsidR="00A32C89" w:rsidRPr="00CF7B12">
        <w:rPr>
          <w:rFonts w:ascii="Times New Roman" w:eastAsia="Times New Roman" w:hAnsi="Times New Roman" w:cs="Times New Roman"/>
          <w:noProof/>
          <w:color w:val="000000" w:themeColor="text1"/>
          <w:kern w:val="0"/>
          <w:szCs w:val="24"/>
          <w:lang w:eastAsia="en-IN"/>
          <w14:ligatures w14:val="none"/>
        </w:rPr>
        <w:t>(Radhakrishna et al., 2018)</w:t>
      </w:r>
      <w:r w:rsidR="00A32C89"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and for maintaining purity in clonal propagation systems (Pagliarini et al., 2000).</w:t>
      </w:r>
    </w:p>
    <w:p w14:paraId="76154E6E" w14:textId="38509101" w:rsidR="00A73C96" w:rsidRPr="00CF7B12" w:rsidRDefault="00A73C96" w:rsidP="008F6E11">
      <w:pPr>
        <w:spacing w:after="120" w:line="360" w:lineRule="auto"/>
        <w:ind w:firstLine="720"/>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The present study was undertaken to characterize the morphological traits of a ploidy series of guinea grass genotypes maintained under field conditions in the Bundelkhand region of Uttar Pradesh. Morphological descriptors were recorded at the 50% flowering stage in </w:t>
      </w:r>
      <w:r w:rsidR="00085D7D" w:rsidRPr="00CF7B12">
        <w:rPr>
          <w:rFonts w:ascii="Times New Roman" w:eastAsia="Times New Roman" w:hAnsi="Times New Roman" w:cs="Times New Roman"/>
          <w:color w:val="000000" w:themeColor="text1"/>
          <w:kern w:val="0"/>
          <w:szCs w:val="24"/>
          <w:lang w:eastAsia="en-IN"/>
          <w14:ligatures w14:val="none"/>
        </w:rPr>
        <w:t>8</w:t>
      </w:r>
      <w:r w:rsidRPr="00CF7B12">
        <w:rPr>
          <w:rFonts w:ascii="Times New Roman" w:eastAsia="Times New Roman" w:hAnsi="Times New Roman" w:cs="Times New Roman"/>
          <w:color w:val="000000" w:themeColor="text1"/>
          <w:kern w:val="0"/>
          <w:szCs w:val="24"/>
          <w:lang w:eastAsia="en-IN"/>
          <w14:ligatures w14:val="none"/>
        </w:rPr>
        <w:t xml:space="preserve"> different </w:t>
      </w:r>
      <w:r w:rsidR="008F6E11" w:rsidRPr="00CF7B12">
        <w:rPr>
          <w:rFonts w:ascii="Times New Roman" w:eastAsia="Times New Roman" w:hAnsi="Times New Roman" w:cs="Times New Roman"/>
          <w:color w:val="000000" w:themeColor="text1"/>
          <w:kern w:val="0"/>
          <w:szCs w:val="24"/>
          <w:lang w:eastAsia="en-IN"/>
          <w14:ligatures w14:val="none"/>
        </w:rPr>
        <w:t>ploidy series</w:t>
      </w:r>
      <w:r w:rsidRPr="00CF7B12">
        <w:rPr>
          <w:rFonts w:ascii="Times New Roman" w:eastAsia="Times New Roman" w:hAnsi="Times New Roman" w:cs="Times New Roman"/>
          <w:color w:val="000000" w:themeColor="text1"/>
          <w:kern w:val="0"/>
          <w:szCs w:val="24"/>
          <w:lang w:eastAsia="en-IN"/>
          <w14:ligatures w14:val="none"/>
        </w:rPr>
        <w:t xml:space="preserve"> (3x to </w:t>
      </w:r>
      <w:r w:rsidR="00AE4843">
        <w:rPr>
          <w:rFonts w:ascii="Times New Roman" w:eastAsia="Times New Roman" w:hAnsi="Times New Roman" w:cs="Times New Roman"/>
          <w:color w:val="000000" w:themeColor="text1"/>
          <w:kern w:val="0"/>
          <w:szCs w:val="24"/>
          <w:lang w:eastAsia="en-IN"/>
          <w14:ligatures w14:val="none"/>
        </w:rPr>
        <w:t>9</w:t>
      </w:r>
      <w:r w:rsidRPr="00CF7B12">
        <w:rPr>
          <w:rFonts w:ascii="Times New Roman" w:eastAsia="Times New Roman" w:hAnsi="Times New Roman" w:cs="Times New Roman"/>
          <w:color w:val="000000" w:themeColor="text1"/>
          <w:kern w:val="0"/>
          <w:szCs w:val="24"/>
          <w:lang w:eastAsia="en-IN"/>
          <w14:ligatures w14:val="none"/>
        </w:rPr>
        <w:t>x</w:t>
      </w:r>
      <w:r w:rsidR="00AE4843">
        <w:rPr>
          <w:rFonts w:ascii="Times New Roman" w:eastAsia="Times New Roman" w:hAnsi="Times New Roman" w:cs="Times New Roman"/>
          <w:color w:val="000000" w:themeColor="text1"/>
          <w:kern w:val="0"/>
          <w:szCs w:val="24"/>
          <w:lang w:eastAsia="en-IN"/>
          <w14:ligatures w14:val="none"/>
        </w:rPr>
        <w:t xml:space="preserve"> and 11x</w:t>
      </w:r>
      <w:r w:rsidRPr="00CF7B12">
        <w:rPr>
          <w:rFonts w:ascii="Times New Roman" w:eastAsia="Times New Roman" w:hAnsi="Times New Roman" w:cs="Times New Roman"/>
          <w:color w:val="000000" w:themeColor="text1"/>
          <w:kern w:val="0"/>
          <w:szCs w:val="24"/>
          <w:lang w:eastAsia="en-IN"/>
          <w14:ligatures w14:val="none"/>
        </w:rPr>
        <w:t>) along with a standard reference genotype (SRP75)</w:t>
      </w:r>
      <w:r w:rsidR="008F6E11" w:rsidRPr="00CF7B12">
        <w:rPr>
          <w:rFonts w:ascii="Times New Roman" w:eastAsia="Times New Roman" w:hAnsi="Times New Roman" w:cs="Times New Roman"/>
          <w:color w:val="000000" w:themeColor="text1"/>
          <w:kern w:val="0"/>
          <w:szCs w:val="24"/>
          <w:lang w:eastAsia="en-IN"/>
          <w14:ligatures w14:val="none"/>
        </w:rPr>
        <w:t xml:space="preserve"> of guinea grass</w:t>
      </w:r>
      <w:r w:rsidRPr="00CF7B12">
        <w:rPr>
          <w:rFonts w:ascii="Times New Roman" w:eastAsia="Times New Roman" w:hAnsi="Times New Roman" w:cs="Times New Roman"/>
          <w:color w:val="000000" w:themeColor="text1"/>
          <w:kern w:val="0"/>
          <w:szCs w:val="24"/>
          <w:lang w:eastAsia="en-IN"/>
          <w14:ligatures w14:val="none"/>
        </w:rPr>
        <w:t>. The objective was to identify ploidy-associated phenotypic patterns that could aid in germplasm selection, and refinement of breeding strategies for forage improvement.</w:t>
      </w:r>
    </w:p>
    <w:p w14:paraId="025A0C28" w14:textId="77777777" w:rsidR="006F6714" w:rsidRPr="00CF7B12" w:rsidRDefault="006F6714" w:rsidP="006F6714">
      <w:pPr>
        <w:spacing w:line="360" w:lineRule="auto"/>
        <w:jc w:val="both"/>
        <w:rPr>
          <w:rFonts w:ascii="Times New Roman" w:eastAsia="Aptos" w:hAnsi="Times New Roman" w:cs="Times New Roman"/>
          <w:b/>
          <w:bCs/>
          <w:color w:val="000000" w:themeColor="text1"/>
          <w:szCs w:val="24"/>
          <w:lang w:val="en-US"/>
        </w:rPr>
      </w:pPr>
      <w:r w:rsidRPr="00CF7B12">
        <w:rPr>
          <w:rFonts w:ascii="Times New Roman" w:eastAsia="Aptos" w:hAnsi="Times New Roman" w:cs="Times New Roman"/>
          <w:b/>
          <w:bCs/>
          <w:color w:val="000000" w:themeColor="text1"/>
          <w:szCs w:val="24"/>
          <w:lang w:val="en-US"/>
        </w:rPr>
        <w:t>Experimental site and planting material</w:t>
      </w:r>
    </w:p>
    <w:p w14:paraId="53910504" w14:textId="57589E9A" w:rsidR="006F6714" w:rsidRPr="00CF7B12" w:rsidRDefault="006F6714" w:rsidP="006F6714">
      <w:pPr>
        <w:spacing w:line="360" w:lineRule="auto"/>
        <w:jc w:val="both"/>
        <w:rPr>
          <w:rFonts w:ascii="Times New Roman" w:eastAsia="Aptos" w:hAnsi="Times New Roman" w:cs="Times New Roman"/>
          <w:color w:val="000000" w:themeColor="text1"/>
          <w:szCs w:val="24"/>
          <w:lang w:val="en-US"/>
        </w:rPr>
      </w:pPr>
      <w:r w:rsidRPr="00CF7B12">
        <w:rPr>
          <w:rFonts w:ascii="Times New Roman" w:eastAsia="Aptos" w:hAnsi="Times New Roman" w:cs="Times New Roman"/>
          <w:color w:val="000000" w:themeColor="text1"/>
          <w:szCs w:val="24"/>
          <w:lang w:val="en-US"/>
        </w:rPr>
        <w:lastRenderedPageBreak/>
        <w:t>The study was performed at ICAR-Indian Grassland and Fodder Research Institute, Jhansi (geographically located at 25°30'43"N and 78°32'02"E and 244 m above mean sea level), Uttar Pradesh, India, during 2019-2021. The experimental plant materials consisted of guinea grass (</w:t>
      </w:r>
      <w:r w:rsidRPr="00CF7B12">
        <w:rPr>
          <w:rFonts w:ascii="Times New Roman" w:eastAsia="Aptos" w:hAnsi="Times New Roman" w:cs="Times New Roman"/>
          <w:i/>
          <w:iCs/>
          <w:color w:val="000000" w:themeColor="text1"/>
          <w:szCs w:val="24"/>
          <w:lang w:val="en-US"/>
        </w:rPr>
        <w:t>M. maximus</w:t>
      </w:r>
      <w:r w:rsidRPr="00CF7B12">
        <w:rPr>
          <w:rFonts w:ascii="Times New Roman" w:eastAsia="Aptos" w:hAnsi="Times New Roman" w:cs="Times New Roman"/>
          <w:color w:val="000000" w:themeColor="text1"/>
          <w:szCs w:val="24"/>
          <w:lang w:val="en-US"/>
        </w:rPr>
        <w:t>) seedlings of different ploidy series i.e. 3x, 4x, 5x, 6x, 7x, 8x, 9x and 11x developed from the single progenitor 4x by adopting the HAPA (Hybridization-supplemented apomixis components partitioning</w:t>
      </w:r>
      <w:r w:rsidR="0033713C" w:rsidRPr="00CF7B12">
        <w:rPr>
          <w:rFonts w:ascii="Times New Roman" w:eastAsia="Aptos" w:hAnsi="Times New Roman" w:cs="Times New Roman"/>
          <w:color w:val="000000" w:themeColor="text1"/>
          <w:szCs w:val="24"/>
          <w:lang w:val="en-US"/>
        </w:rPr>
        <w:t xml:space="preserve">, Kaushal et al., </w:t>
      </w:r>
      <w:r w:rsidR="004852CC" w:rsidRPr="00CF7B12">
        <w:rPr>
          <w:rFonts w:ascii="Times New Roman" w:eastAsia="Aptos" w:hAnsi="Times New Roman" w:cs="Times New Roman"/>
          <w:color w:val="000000" w:themeColor="text1"/>
          <w:szCs w:val="24"/>
          <w:lang w:val="en-US"/>
        </w:rPr>
        <w:t>2018</w:t>
      </w:r>
      <w:r w:rsidRPr="00CF7B12">
        <w:rPr>
          <w:rFonts w:ascii="Times New Roman" w:eastAsia="Aptos" w:hAnsi="Times New Roman" w:cs="Times New Roman"/>
          <w:color w:val="000000" w:themeColor="text1"/>
          <w:szCs w:val="24"/>
          <w:lang w:val="en-US"/>
        </w:rPr>
        <w:t>) approach as shown in the Figure 1</w:t>
      </w:r>
      <w:r w:rsidR="005B196E" w:rsidRPr="00CF7B12">
        <w:rPr>
          <w:rFonts w:ascii="Times New Roman" w:eastAsia="Aptos" w:hAnsi="Times New Roman" w:cs="Times New Roman"/>
          <w:color w:val="000000" w:themeColor="text1"/>
          <w:szCs w:val="24"/>
          <w:lang w:val="en-US"/>
        </w:rPr>
        <w:t xml:space="preserve"> and </w:t>
      </w:r>
      <w:r w:rsidR="005B196E" w:rsidRPr="00CF7B12">
        <w:rPr>
          <w:rFonts w:ascii="Times New Roman" w:eastAsia="Aptos" w:hAnsi="Times New Roman" w:cs="Times New Roman"/>
          <w:color w:val="000000" w:themeColor="text1"/>
          <w:szCs w:val="24"/>
        </w:rPr>
        <w:t>one obligate sexual Guinea grass genotype SRP75</w:t>
      </w:r>
      <w:r w:rsidR="004852CC" w:rsidRPr="00CF7B12">
        <w:rPr>
          <w:rFonts w:ascii="Times New Roman" w:eastAsia="Aptos" w:hAnsi="Times New Roman" w:cs="Times New Roman"/>
          <w:color w:val="000000" w:themeColor="text1"/>
          <w:szCs w:val="24"/>
        </w:rPr>
        <w:t xml:space="preserve"> </w:t>
      </w:r>
      <w:r w:rsidR="0033713C" w:rsidRPr="00CF7B12">
        <w:rPr>
          <w:rFonts w:ascii="Times New Roman" w:eastAsia="Aptos" w:hAnsi="Times New Roman" w:cs="Times New Roman"/>
          <w:color w:val="000000" w:themeColor="text1"/>
          <w:szCs w:val="24"/>
        </w:rPr>
        <w:t>(4x)</w:t>
      </w:r>
      <w:r w:rsidRPr="00CF7B12">
        <w:rPr>
          <w:rFonts w:ascii="Times New Roman" w:eastAsia="Aptos" w:hAnsi="Times New Roman" w:cs="Times New Roman"/>
          <w:color w:val="000000" w:themeColor="text1"/>
          <w:szCs w:val="24"/>
          <w:lang w:val="en-US"/>
        </w:rPr>
        <w:t xml:space="preserve">. </w:t>
      </w:r>
      <w:r w:rsidR="00832D34" w:rsidRPr="00671D66">
        <w:rPr>
          <w:rFonts w:ascii="Times New Roman" w:eastAsia="Aptos" w:hAnsi="Times New Roman" w:cs="Times New Roman"/>
          <w:color w:val="000000" w:themeColor="text1"/>
          <w:szCs w:val="24"/>
          <w:highlight w:val="yellow"/>
          <w:lang w:val="en-US"/>
        </w:rPr>
        <w:t>These plants were collected from existing field plots and then potted into big pots (30 L capacity) for the purpose of research studies.</w:t>
      </w:r>
      <w:r w:rsidR="00832D34" w:rsidRPr="00CF7B12">
        <w:rPr>
          <w:rFonts w:ascii="Times New Roman" w:eastAsia="Aptos" w:hAnsi="Times New Roman" w:cs="Times New Roman"/>
          <w:color w:val="000000" w:themeColor="text1"/>
          <w:szCs w:val="24"/>
          <w:lang w:val="en-US"/>
        </w:rPr>
        <w:t xml:space="preserve"> </w:t>
      </w:r>
      <w:r w:rsidR="005C5111" w:rsidRPr="00704146">
        <w:rPr>
          <w:rFonts w:ascii="Times New Roman" w:eastAsia="Aptos" w:hAnsi="Times New Roman" w:cs="Times New Roman"/>
          <w:color w:val="000000" w:themeColor="text1"/>
          <w:szCs w:val="24"/>
          <w:highlight w:val="yellow"/>
          <w:lang w:val="en-US"/>
        </w:rPr>
        <w:t xml:space="preserve">Each ploidy </w:t>
      </w:r>
      <w:r w:rsidR="00704146" w:rsidRPr="00704146">
        <w:rPr>
          <w:rFonts w:ascii="Times New Roman" w:eastAsia="Aptos" w:hAnsi="Times New Roman" w:cs="Times New Roman"/>
          <w:color w:val="000000" w:themeColor="text1"/>
          <w:szCs w:val="24"/>
          <w:highlight w:val="yellow"/>
          <w:lang w:val="en-US"/>
        </w:rPr>
        <w:t>level was replicated three times.</w:t>
      </w:r>
      <w:r w:rsidR="00704146">
        <w:rPr>
          <w:rFonts w:ascii="Times New Roman" w:eastAsia="Aptos" w:hAnsi="Times New Roman" w:cs="Times New Roman"/>
          <w:color w:val="000000" w:themeColor="text1"/>
          <w:szCs w:val="24"/>
          <w:lang w:val="en-US"/>
        </w:rPr>
        <w:t xml:space="preserve"> </w:t>
      </w:r>
      <w:r w:rsidR="00401BF0" w:rsidRPr="00401BF0">
        <w:rPr>
          <w:rFonts w:ascii="Times New Roman" w:eastAsia="Aptos" w:hAnsi="Times New Roman" w:cs="Times New Roman"/>
          <w:color w:val="000000" w:themeColor="text1"/>
          <w:szCs w:val="24"/>
          <w:highlight w:val="yellow"/>
          <w:lang w:val="en-US"/>
        </w:rPr>
        <w:t xml:space="preserve">Quantitative data were analyzed using </w:t>
      </w:r>
      <w:r w:rsidR="00401BF0" w:rsidRPr="00401BF0">
        <w:rPr>
          <w:rFonts w:ascii="Times New Roman" w:eastAsia="Aptos" w:hAnsi="Times New Roman" w:cs="Times New Roman"/>
          <w:color w:val="000000" w:themeColor="text1"/>
          <w:szCs w:val="24"/>
          <w:highlight w:val="yellow"/>
          <w:lang w:val="en-US"/>
        </w:rPr>
        <w:t>a Completely Randomized Design (CRD) at a 5% level of significance</w:t>
      </w:r>
      <w:r w:rsidR="00401BF0" w:rsidRPr="00401BF0">
        <w:rPr>
          <w:rFonts w:ascii="Times New Roman" w:eastAsia="Aptos" w:hAnsi="Times New Roman" w:cs="Times New Roman"/>
          <w:color w:val="000000" w:themeColor="text1"/>
          <w:szCs w:val="24"/>
          <w:highlight w:val="yellow"/>
          <w:lang w:val="en-US"/>
        </w:rPr>
        <w:t>.</w:t>
      </w:r>
      <w:r w:rsidR="00401BF0">
        <w:rPr>
          <w:rFonts w:ascii="Times New Roman" w:eastAsia="Aptos" w:hAnsi="Times New Roman" w:cs="Times New Roman"/>
          <w:color w:val="000000" w:themeColor="text1"/>
          <w:szCs w:val="24"/>
          <w:lang w:val="en-US"/>
        </w:rPr>
        <w:t xml:space="preserve"> </w:t>
      </w:r>
      <w:r w:rsidR="00832D34" w:rsidRPr="00CF7B12">
        <w:rPr>
          <w:rFonts w:ascii="Times New Roman" w:eastAsia="Aptos" w:hAnsi="Times New Roman" w:cs="Times New Roman"/>
          <w:color w:val="000000" w:themeColor="text1"/>
          <w:szCs w:val="24"/>
          <w:lang w:val="en-US"/>
        </w:rPr>
        <w:t xml:space="preserve">All the pots were kept at sunny location in net house of IGFRI crop improvement division </w:t>
      </w:r>
      <w:r w:rsidRPr="00CF7B12">
        <w:rPr>
          <w:rFonts w:ascii="Times New Roman" w:eastAsia="Aptos" w:hAnsi="Times New Roman" w:cs="Times New Roman"/>
          <w:color w:val="000000" w:themeColor="text1"/>
          <w:szCs w:val="24"/>
          <w:lang w:val="en-US"/>
        </w:rPr>
        <w:t xml:space="preserve">(Figure 2) </w:t>
      </w:r>
    </w:p>
    <w:p w14:paraId="7D7A43EB" w14:textId="77777777" w:rsidR="006F6714" w:rsidRPr="00CF7B12" w:rsidRDefault="006F6714" w:rsidP="006F6714">
      <w:pPr>
        <w:spacing w:line="360" w:lineRule="auto"/>
        <w:jc w:val="center"/>
        <w:rPr>
          <w:rFonts w:ascii="Times New Roman" w:eastAsia="Aptos" w:hAnsi="Times New Roman" w:cs="Times New Roman"/>
          <w:color w:val="000000" w:themeColor="text1"/>
          <w:szCs w:val="24"/>
          <w:lang w:val="en-US"/>
        </w:rPr>
      </w:pPr>
      <w:r w:rsidRPr="00CF7B12">
        <w:rPr>
          <w:rFonts w:ascii="Aptos" w:eastAsia="Aptos" w:hAnsi="Aptos"/>
          <w:noProof/>
          <w:color w:val="000000" w:themeColor="text1"/>
          <w:lang w:val="en-US" w:bidi="mr-IN"/>
        </w:rPr>
        <w:drawing>
          <wp:inline distT="0" distB="0" distL="0" distR="0" wp14:anchorId="4CE03655" wp14:editId="50913A30">
            <wp:extent cx="5731510" cy="4037965"/>
            <wp:effectExtent l="19050" t="19050" r="21590" b="19685"/>
            <wp:docPr id="1900956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37965"/>
                    </a:xfrm>
                    <a:prstGeom prst="rect">
                      <a:avLst/>
                    </a:prstGeom>
                    <a:noFill/>
                    <a:ln>
                      <a:solidFill>
                        <a:sysClr val="windowText" lastClr="000000"/>
                      </a:solidFill>
                    </a:ln>
                  </pic:spPr>
                </pic:pic>
              </a:graphicData>
            </a:graphic>
          </wp:inline>
        </w:drawing>
      </w:r>
    </w:p>
    <w:p w14:paraId="568C7A91" w14:textId="0114E587" w:rsidR="006F6714" w:rsidRPr="00CF7B12" w:rsidRDefault="006F6714" w:rsidP="006F6714">
      <w:pPr>
        <w:spacing w:line="360" w:lineRule="auto"/>
        <w:jc w:val="both"/>
        <w:rPr>
          <w:rFonts w:ascii="Times New Roman" w:eastAsia="Aptos" w:hAnsi="Times New Roman" w:cs="Times New Roman"/>
          <w:color w:val="000000" w:themeColor="text1"/>
          <w:szCs w:val="24"/>
          <w:lang w:val="en-US"/>
        </w:rPr>
      </w:pPr>
      <w:r w:rsidRPr="00CF7B12">
        <w:rPr>
          <w:rFonts w:ascii="Times New Roman" w:eastAsia="Aptos" w:hAnsi="Times New Roman" w:cs="Times New Roman"/>
          <w:b/>
          <w:bCs/>
          <w:color w:val="000000" w:themeColor="text1"/>
          <w:szCs w:val="24"/>
          <w:lang w:val="en-US"/>
        </w:rPr>
        <w:t xml:space="preserve">Figure 1: </w:t>
      </w:r>
      <w:r w:rsidRPr="00CF7B12">
        <w:rPr>
          <w:rFonts w:ascii="Times New Roman" w:eastAsia="Aptos" w:hAnsi="Times New Roman" w:cs="Times New Roman"/>
          <w:color w:val="000000" w:themeColor="text1"/>
          <w:szCs w:val="24"/>
          <w:lang w:val="en-US"/>
        </w:rPr>
        <w:t>Schematic representation of development of various ploidy levels 3x, 4x, 5x, 6x, 7x, 8x, 9x, and 11x from a singular 4x progenitor using HAPA approach, along with their respective pathways of formation, M</w:t>
      </w:r>
      <w:r w:rsidRPr="00CF7B12">
        <w:rPr>
          <w:rFonts w:ascii="Times New Roman" w:eastAsia="Aptos" w:hAnsi="Times New Roman" w:cs="Times New Roman"/>
          <w:color w:val="000000" w:themeColor="text1"/>
          <w:szCs w:val="24"/>
          <w:vertAlign w:val="subscript"/>
          <w:lang w:val="en-US"/>
        </w:rPr>
        <w:t>1</w:t>
      </w:r>
      <w:r w:rsidRPr="00CF7B12">
        <w:rPr>
          <w:rFonts w:ascii="Times New Roman" w:eastAsia="Aptos" w:hAnsi="Times New Roman" w:cs="Times New Roman"/>
          <w:color w:val="000000" w:themeColor="text1"/>
          <w:szCs w:val="24"/>
          <w:lang w:val="en-US"/>
        </w:rPr>
        <w:t>, B</w:t>
      </w:r>
      <w:r w:rsidRPr="00CF7B12">
        <w:rPr>
          <w:rFonts w:ascii="Times New Roman" w:eastAsia="Aptos" w:hAnsi="Times New Roman" w:cs="Times New Roman"/>
          <w:color w:val="000000" w:themeColor="text1"/>
          <w:szCs w:val="24"/>
          <w:vertAlign w:val="subscript"/>
          <w:lang w:val="en-US"/>
        </w:rPr>
        <w:t>II</w:t>
      </w:r>
      <w:r w:rsidRPr="00CF7B12">
        <w:rPr>
          <w:rFonts w:ascii="Times New Roman" w:eastAsia="Aptos" w:hAnsi="Times New Roman" w:cs="Times New Roman"/>
          <w:color w:val="000000" w:themeColor="text1"/>
          <w:szCs w:val="24"/>
          <w:lang w:val="en-US"/>
        </w:rPr>
        <w:t>, B</w:t>
      </w:r>
      <w:r w:rsidRPr="00CF7B12">
        <w:rPr>
          <w:rFonts w:ascii="Times New Roman" w:eastAsia="Aptos" w:hAnsi="Times New Roman" w:cs="Times New Roman"/>
          <w:color w:val="000000" w:themeColor="text1"/>
          <w:szCs w:val="24"/>
          <w:vertAlign w:val="subscript"/>
          <w:lang w:val="en-US"/>
        </w:rPr>
        <w:t>III</w:t>
      </w:r>
      <w:r w:rsidRPr="00CF7B12">
        <w:rPr>
          <w:rFonts w:ascii="Times New Roman" w:eastAsia="Aptos" w:hAnsi="Times New Roman" w:cs="Times New Roman"/>
          <w:color w:val="000000" w:themeColor="text1"/>
          <w:szCs w:val="24"/>
          <w:lang w:val="en-US"/>
        </w:rPr>
        <w:t xml:space="preserve"> and maternal (m) and paternal (p) genomic contributions in parentheses </w:t>
      </w:r>
      <w:r w:rsidRPr="00CF7B12">
        <w:rPr>
          <w:rFonts w:ascii="Times New Roman" w:eastAsia="Aptos" w:hAnsi="Times New Roman" w:cs="Times New Roman"/>
          <w:color w:val="000000" w:themeColor="text1"/>
          <w:szCs w:val="24"/>
          <w:lang w:val="en-US"/>
        </w:rPr>
        <w:fldChar w:fldCharType="begin" w:fldLock="1"/>
      </w:r>
      <w:r w:rsidR="00D121A5" w:rsidRPr="00CF7B12">
        <w:rPr>
          <w:rFonts w:ascii="Times New Roman" w:eastAsia="Aptos" w:hAnsi="Times New Roman" w:cs="Times New Roman"/>
          <w:color w:val="000000" w:themeColor="text1"/>
          <w:szCs w:val="24"/>
          <w:lang w:val="en-US"/>
        </w:rPr>
        <w:instrText>ADDIN CSL_CITATION {"citationItems":[{"id":"ITEM-1","itemData":{"DOI":"10.1007/s10681-018-2232-1","ISBN":"1068101822","ISSN":"15735060","abstract":"Panicum maximum (guinea grass) is a model crop for apomixis and polyploidy studies. It is predominantly tetraploid (2n = 32) and is characterized by gametophytic apomixis, Panicum-type apospory and pseudogamous endosperm development. The three components of apomixis, viz. apomeiosis, parthenogenesis and functional endosperm development, can be uncoupled in this crop. An exhaustive single progenitor-derived ploidy series comprising of 32 accessions representing 3x, 4x, 5x, 6x, 7x, 8x, 9x and 11x cytotypes was utilized in present study to understand ploidy effects on expression of apospory as well on uncoupled components in two phases of progeny formation i.e. in matured ovules (using embryo-sac analysis) and in matured self-pollinated seeds (using Flow Cytometric Seed Screen method). Rise in ploidy enhanced the formation of sexual embryo-sacs (ES) thereby increasing the frequency of facultative accessions at higher ploidy level. Our results suggested that the eventual phenotype depends on relative doses of apospory and sexual factors in the genome. Ploidy level was also found affecting the penetrance and expressivity of uncoupled apomixis components. Formation of BIII hybrids (3n) appeared to be more stabilised and less affected by the ploidy change, however, formation of M1 (1n) progenies increased with the rise in ploidy. Ploidy effects on traits such as occurrence of multiple ES, autonomous endosperm development, and twin embryos were also studied. Flexibility of guinea grass to tolerate excessive genome burden and successful formation of seeds overcoming endosperm balance number and endosperm imprinting constraints is also discussed.","author":[{"dropping-particle":"","family":"Kaushal","given":"P.","non-dropping-particle":"","parse-names":false,"suffix":""},{"dropping-particle":"","family":"Dwivedi","given":"K. K.","non-dropping-particle":"","parse-names":false,"suffix":""},{"dropping-particle":"","family":"Radhakrishna","given":"A.","non-dropping-particle":"","parse-names":false,"suffix":""},{"dropping-particle":"","family":"Saxena","given":"S.","non-dropping-particle":"","parse-names":false,"suffix":""},{"dropping-particle":"","family":"Paul","given":"S.","non-dropping-particle":"","parse-names":false,"suffix":""},{"dropping-particle":"","family":"Srivastava","given":"M. K.","non-dropping-particle":"","parse-names":false,"suffix":""},{"dropping-particle":"","family":"Baig","given":"M. J.","non-dropping-particle":"","parse-names":false,"suffix":""},{"dropping-particle":"","family":"Roy","given":"A. K.","non-dropping-particle":"","parse-names":false,"suffix":""},{"dropping-particle":"","family":"Malaviya","given":"D. R.","non-dropping-particle":"","parse-names":false,"suffix":""}],"container-title":"Euphytica","id":"ITEM-1","issue":"9","issued":{"date-parts":[["2018"]]},"publisher":"Springer Netherlands","title":"Ploidy dependent expression of apomixis and its components in guinea grass (Panicum maximum Jacq.)","type":"article-journal","volume":"214"},"uris":["http://www.mendeley.com/documents/?uuid=20ec0419-01a2-45b9-a877-3ae9969ecd92"]}],"mendeley":{"formattedCitation":"(Kaushal et al., 2018)","plainTextFormattedCitation":"(Kaushal et al., 2018)","previouslyFormattedCitation":"(Kaushal et al., 2018)"},"properties":{"noteIndex":0},"schema":"https://github.com/citation-style-language/schema/raw/master/csl-citation.json"}</w:instrText>
      </w:r>
      <w:r w:rsidRPr="00CF7B12">
        <w:rPr>
          <w:rFonts w:ascii="Times New Roman" w:eastAsia="Aptos" w:hAnsi="Times New Roman" w:cs="Times New Roman"/>
          <w:color w:val="000000" w:themeColor="text1"/>
          <w:szCs w:val="24"/>
          <w:lang w:val="en-US"/>
        </w:rPr>
        <w:fldChar w:fldCharType="separate"/>
      </w:r>
      <w:r w:rsidRPr="00CF7B12">
        <w:rPr>
          <w:rFonts w:ascii="Times New Roman" w:eastAsia="Aptos" w:hAnsi="Times New Roman" w:cs="Times New Roman"/>
          <w:noProof/>
          <w:color w:val="000000" w:themeColor="text1"/>
          <w:szCs w:val="24"/>
          <w:lang w:val="en-US"/>
        </w:rPr>
        <w:t>(Kaushal et al., 2018)</w:t>
      </w:r>
      <w:r w:rsidRPr="00CF7B12">
        <w:rPr>
          <w:rFonts w:ascii="Times New Roman" w:eastAsia="Aptos" w:hAnsi="Times New Roman" w:cs="Times New Roman"/>
          <w:color w:val="000000" w:themeColor="text1"/>
          <w:szCs w:val="24"/>
          <w:lang w:val="en-US"/>
        </w:rPr>
        <w:fldChar w:fldCharType="end"/>
      </w:r>
    </w:p>
    <w:p w14:paraId="02A87FBA" w14:textId="0A3FB279" w:rsidR="004A6BA5" w:rsidRPr="00CF7B12" w:rsidRDefault="004A6BA5" w:rsidP="004A6BA5">
      <w:pPr>
        <w:pStyle w:val="NormalWeb"/>
        <w:rPr>
          <w:color w:val="000000" w:themeColor="text1"/>
        </w:rPr>
      </w:pPr>
      <w:r w:rsidRPr="00CF7B12">
        <w:rPr>
          <w:noProof/>
          <w:color w:val="000000" w:themeColor="text1"/>
        </w:rPr>
        <w:lastRenderedPageBreak/>
        <w:drawing>
          <wp:inline distT="0" distB="0" distL="0" distR="0" wp14:anchorId="26FAE824" wp14:editId="57C7EED7">
            <wp:extent cx="5731510" cy="998220"/>
            <wp:effectExtent l="0" t="0" r="2540" b="0"/>
            <wp:docPr id="179586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998220"/>
                    </a:xfrm>
                    <a:prstGeom prst="rect">
                      <a:avLst/>
                    </a:prstGeom>
                    <a:noFill/>
                    <a:ln>
                      <a:noFill/>
                    </a:ln>
                  </pic:spPr>
                </pic:pic>
              </a:graphicData>
            </a:graphic>
          </wp:inline>
        </w:drawing>
      </w:r>
    </w:p>
    <w:p w14:paraId="4AAF947C" w14:textId="77777777" w:rsidR="006F6714" w:rsidRPr="00CF7B12" w:rsidRDefault="006F6714" w:rsidP="006F6714">
      <w:pPr>
        <w:autoSpaceDE w:val="0"/>
        <w:autoSpaceDN w:val="0"/>
        <w:adjustRightInd w:val="0"/>
        <w:spacing w:line="360" w:lineRule="auto"/>
        <w:jc w:val="both"/>
        <w:rPr>
          <w:rFonts w:ascii="Times New Roman" w:eastAsia="Aptos" w:hAnsi="Times New Roman" w:cs="Times New Roman"/>
          <w:color w:val="000000" w:themeColor="text1"/>
          <w:lang w:val="en-US"/>
        </w:rPr>
      </w:pPr>
      <w:r w:rsidRPr="00CF7B12">
        <w:rPr>
          <w:rFonts w:ascii="Times New Roman" w:eastAsia="Aptos" w:hAnsi="Times New Roman" w:cs="Times New Roman"/>
          <w:b/>
          <w:bCs/>
          <w:color w:val="000000" w:themeColor="text1"/>
          <w:lang w:val="en-US"/>
        </w:rPr>
        <w:t>Figure 2:</w:t>
      </w:r>
      <w:r w:rsidRPr="00CF7B12">
        <w:rPr>
          <w:rFonts w:ascii="Times New Roman" w:eastAsia="Aptos" w:hAnsi="Times New Roman" w:cs="Times New Roman"/>
          <w:color w:val="000000" w:themeColor="text1"/>
          <w:lang w:val="en-US"/>
        </w:rPr>
        <w:t xml:space="preserve"> Ploidy series of guinea grass grown in net-house conditions of ICAR-IGFRI, Jhansi</w:t>
      </w:r>
    </w:p>
    <w:p w14:paraId="7CD91BA5" w14:textId="77777777" w:rsidR="00520735" w:rsidRPr="00CF7B12" w:rsidRDefault="00520735" w:rsidP="00832D34">
      <w:pPr>
        <w:spacing w:line="360" w:lineRule="auto"/>
        <w:jc w:val="both"/>
        <w:rPr>
          <w:rFonts w:ascii="Times New Roman" w:hAnsi="Times New Roman" w:cs="Times New Roman"/>
          <w:b/>
          <w:bCs/>
          <w:color w:val="000000" w:themeColor="text1"/>
        </w:rPr>
      </w:pPr>
      <w:r w:rsidRPr="00CF7B12">
        <w:rPr>
          <w:rFonts w:ascii="Times New Roman" w:hAnsi="Times New Roman" w:cs="Times New Roman"/>
          <w:b/>
          <w:bCs/>
          <w:color w:val="000000" w:themeColor="text1"/>
        </w:rPr>
        <w:t>Morphological characterization</w:t>
      </w:r>
    </w:p>
    <w:p w14:paraId="2546CB4D" w14:textId="4D8FB482" w:rsidR="006F6714" w:rsidRPr="00CF7B12" w:rsidRDefault="00832D34" w:rsidP="00832D34">
      <w:pPr>
        <w:spacing w:line="360" w:lineRule="auto"/>
        <w:jc w:val="both"/>
        <w:rPr>
          <w:rFonts w:ascii="Times New Roman" w:hAnsi="Times New Roman" w:cs="Times New Roman"/>
          <w:color w:val="000000" w:themeColor="text1"/>
        </w:rPr>
      </w:pPr>
      <w:r w:rsidRPr="00CF7B12">
        <w:rPr>
          <w:rFonts w:ascii="Times New Roman" w:hAnsi="Times New Roman" w:cs="Times New Roman"/>
          <w:color w:val="000000" w:themeColor="text1"/>
        </w:rPr>
        <w:t xml:space="preserve">Morphological traits including leaf hairiness, node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leaf base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leaf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leaf orientation, plant height, number of tillers per plant, and number of nodes per </w:t>
      </w:r>
      <w:r w:rsidR="009F0F6A" w:rsidRPr="00CF7B12">
        <w:rPr>
          <w:rFonts w:ascii="Times New Roman" w:hAnsi="Times New Roman" w:cs="Times New Roman"/>
          <w:color w:val="000000" w:themeColor="text1"/>
        </w:rPr>
        <w:t>tiller</w:t>
      </w:r>
      <w:r w:rsidR="00E13F71" w:rsidRPr="00CF7B12">
        <w:rPr>
          <w:rFonts w:ascii="Times New Roman" w:hAnsi="Times New Roman" w:cs="Times New Roman"/>
          <w:color w:val="000000" w:themeColor="text1"/>
        </w:rPr>
        <w:t xml:space="preserve">, </w:t>
      </w:r>
      <w:r w:rsidR="00E13F71" w:rsidRPr="00CF7B12">
        <w:rPr>
          <w:rFonts w:ascii="Times New Roman" w:eastAsia="Aptos" w:hAnsi="Times New Roman" w:cs="Times New Roman"/>
          <w:color w:val="000000" w:themeColor="text1"/>
          <w:szCs w:val="24"/>
          <w:lang w:val="en-US"/>
        </w:rPr>
        <w:t xml:space="preserve">Internode length, leaf and spike </w:t>
      </w:r>
      <w:r w:rsidR="00386E01" w:rsidRPr="00CF7B12">
        <w:rPr>
          <w:rFonts w:ascii="Times New Roman" w:eastAsia="Aptos" w:hAnsi="Times New Roman" w:cs="Times New Roman"/>
          <w:color w:val="000000" w:themeColor="text1"/>
          <w:szCs w:val="24"/>
          <w:lang w:val="en-US"/>
        </w:rPr>
        <w:t xml:space="preserve">characteristics </w:t>
      </w:r>
      <w:r w:rsidRPr="00CF7B12">
        <w:rPr>
          <w:rFonts w:ascii="Times New Roman" w:hAnsi="Times New Roman" w:cs="Times New Roman"/>
          <w:color w:val="000000" w:themeColor="text1"/>
        </w:rPr>
        <w:t xml:space="preserve">were recorded at the 50% flowering stage across all ploidy series of </w:t>
      </w:r>
      <w:r w:rsidR="0033713C" w:rsidRPr="00CF7B12">
        <w:rPr>
          <w:rFonts w:ascii="Times New Roman" w:hAnsi="Times New Roman" w:cs="Times New Roman"/>
          <w:color w:val="000000" w:themeColor="text1"/>
        </w:rPr>
        <w:t xml:space="preserve">guinea </w:t>
      </w:r>
      <w:r w:rsidRPr="00CF7B12">
        <w:rPr>
          <w:rFonts w:ascii="Times New Roman" w:hAnsi="Times New Roman" w:cs="Times New Roman"/>
          <w:color w:val="000000" w:themeColor="text1"/>
        </w:rPr>
        <w:t xml:space="preserve">grass. Visual assessments were conducted for leaf hairiness, node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leaf base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and leaf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using standard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charts and scoring scales. Leaf orientation was observed based on leaf angle and direction relative to the stem and light source. Plant height was measured from the ground to the tip of the tallest leaf in ten randomly selected tillers per series. Tiller number was counted manually per tussock, while node count was determined by counting nodes on ten mature stems per ploidy series.</w:t>
      </w:r>
    </w:p>
    <w:p w14:paraId="75E5C214" w14:textId="77777777" w:rsidR="006F6714" w:rsidRPr="00CF7B12" w:rsidRDefault="006F6714" w:rsidP="006F6714">
      <w:pPr>
        <w:spacing w:line="360" w:lineRule="auto"/>
        <w:jc w:val="both"/>
        <w:rPr>
          <w:rFonts w:ascii="Times New Roman" w:eastAsia="Aptos" w:hAnsi="Times New Roman" w:cs="Times New Roman"/>
          <w:b/>
          <w:bCs/>
          <w:color w:val="000000" w:themeColor="text1"/>
          <w:szCs w:val="24"/>
          <w:lang w:val="en-US"/>
        </w:rPr>
      </w:pPr>
      <w:r w:rsidRPr="00CF7B12">
        <w:rPr>
          <w:rFonts w:ascii="Times New Roman" w:eastAsia="Aptos" w:hAnsi="Times New Roman" w:cs="Times New Roman"/>
          <w:b/>
          <w:bCs/>
          <w:color w:val="000000" w:themeColor="text1"/>
          <w:szCs w:val="24"/>
          <w:lang w:val="en-US"/>
        </w:rPr>
        <w:t>RESULTS AND DISCUSSION</w:t>
      </w:r>
    </w:p>
    <w:p w14:paraId="5B400B04" w14:textId="652E34DB" w:rsidR="003D1856" w:rsidRPr="00CF7B12" w:rsidRDefault="003808E1" w:rsidP="003D1856">
      <w:pPr>
        <w:spacing w:after="120" w:line="360" w:lineRule="auto"/>
        <w:jc w:val="both"/>
        <w:rPr>
          <w:rFonts w:ascii="Times New Roman" w:eastAsia="Aptos" w:hAnsi="Times New Roman" w:cs="Times New Roman"/>
          <w:color w:val="000000" w:themeColor="text1"/>
          <w:szCs w:val="24"/>
          <w:lang w:val="en-US"/>
        </w:rPr>
      </w:pPr>
      <w:r w:rsidRPr="00CF7B12">
        <w:rPr>
          <w:rFonts w:ascii="Times New Roman" w:eastAsia="Aptos" w:hAnsi="Times New Roman" w:cs="Times New Roman"/>
          <w:color w:val="000000" w:themeColor="text1"/>
          <w:szCs w:val="24"/>
          <w:lang w:val="en-US"/>
        </w:rPr>
        <w:t xml:space="preserve">All ploidy series of guinea grass, including the genotype SRP75, were found to be perennial (Table1). Guinea grass exhibits a perennial growth habit which belongs to family </w:t>
      </w:r>
      <w:proofErr w:type="spellStart"/>
      <w:r w:rsidRPr="00CF7B12">
        <w:rPr>
          <w:rFonts w:ascii="Times New Roman" w:eastAsia="Aptos" w:hAnsi="Times New Roman" w:cs="Times New Roman"/>
          <w:color w:val="000000" w:themeColor="text1"/>
          <w:szCs w:val="24"/>
          <w:lang w:val="en-US"/>
        </w:rPr>
        <w:t>Poaceae</w:t>
      </w:r>
      <w:proofErr w:type="spellEnd"/>
      <w:r w:rsidRPr="00CF7B12">
        <w:rPr>
          <w:rFonts w:ascii="Times New Roman" w:eastAsia="Aptos" w:hAnsi="Times New Roman" w:cs="Times New Roman"/>
          <w:color w:val="000000" w:themeColor="text1"/>
          <w:szCs w:val="24"/>
          <w:lang w:val="en-US"/>
        </w:rPr>
        <w:t xml:space="preserve"> </w:t>
      </w:r>
      <w:r w:rsidRPr="00CF7B12">
        <w:rPr>
          <w:rFonts w:ascii="Times New Roman" w:eastAsia="Aptos" w:hAnsi="Times New Roman" w:cs="Times New Roman"/>
          <w:color w:val="000000" w:themeColor="text1"/>
          <w:szCs w:val="24"/>
          <w:lang w:val="en-US"/>
        </w:rPr>
        <w:fldChar w:fldCharType="begin" w:fldLock="1"/>
      </w:r>
      <w:r w:rsidRPr="00CF7B12">
        <w:rPr>
          <w:rFonts w:ascii="Times New Roman" w:eastAsia="Aptos" w:hAnsi="Times New Roman" w:cs="Times New Roman"/>
          <w:color w:val="000000" w:themeColor="text1"/>
          <w:szCs w:val="24"/>
          <w:lang w:val="en-US"/>
        </w:rPr>
        <w:instrText>ADDIN CSL_CITATION {"citationItems":[{"id":"ITEM-1","itemData":{"DOI":"10.3390/agronomy11061071","ISSN":"20734395","abstract":"Guinea grass (Panicum maximum Jacq., renamed Megathyrsus maximus Jacq.) is a native forage plant in Africa of great economic value, but it was introduced in almost all tropical countries as a source of animal forage. Over the last decade, it was introduced in North arid regions of Africa (Morocco, Algeria, Tunisia, Libya, and Egypt) through authorized and unauthorized ways. It has two reproduction modes through sexual and apomictic ways. Besides its ability to provide high nutritive forage, guinea grass could affect the oases agroecosystems diversity due to its genetic aspects (apomixis and autotetraploidy) and eco-physiological traits (allelopathy effect and resistance to abiotic stress). That is why a review of genetic and eco-physiologic aspects of guinea grass is essential to investigate its potential introduction and management in new regions, particularly in arid and semiarid zones. In this paper, we review the most important traits of this plant that should be considered (polyploidy, apomixis, allelopathic effect, drought and salinity resistance, and invasion) for the potential success of guinea grass in integrated systems of forage/livestock.","author":[{"dropping-particle":"","family":"Benabderrahim","given":"Mohamed Ali","non-dropping-particle":"","parse-names":false,"suffix":""},{"dropping-particle":"","family":"Elfalleh","given":"Walid","non-dropping-particle":"","parse-names":false,"suffix":""}],"container-title":"Agronomy","id":"ITEM-1","issue":"6","issued":{"date-parts":[["2021"]]},"page":"1-10","title":"Forage potential of non-native guinea grass in north african agroecosystems: Genetic, agronomic, and adaptive traits","type":"article-journal","volume":"11"},"uris":["http://www.mendeley.com/documents/?uuid=6e8be1c7-ff1f-495b-b06f-60baa2b14866"]}],"mendeley":{"formattedCitation":"(Benabderrahim and Elfalleh, 2021)","plainTextFormattedCitation":"(Benabderrahim and Elfalleh, 2021)","previouslyFormattedCitation":"(Benabderrahim and Elfalleh, 2021)"},"properties":{"noteIndex":0},"schema":"https://github.com/citation-style-language/schema/raw/master/csl-citation.json"}</w:instrText>
      </w:r>
      <w:r w:rsidRPr="00CF7B12">
        <w:rPr>
          <w:rFonts w:ascii="Times New Roman" w:eastAsia="Aptos" w:hAnsi="Times New Roman" w:cs="Times New Roman"/>
          <w:color w:val="000000" w:themeColor="text1"/>
          <w:szCs w:val="24"/>
          <w:lang w:val="en-US"/>
        </w:rPr>
        <w:fldChar w:fldCharType="separate"/>
      </w:r>
      <w:r w:rsidRPr="00CF7B12">
        <w:rPr>
          <w:rFonts w:ascii="Times New Roman" w:eastAsia="Aptos" w:hAnsi="Times New Roman" w:cs="Times New Roman"/>
          <w:noProof/>
          <w:color w:val="000000" w:themeColor="text1"/>
          <w:szCs w:val="24"/>
          <w:lang w:val="en-US"/>
        </w:rPr>
        <w:t>(Benabderrahim and Elfalleh, 2021)</w:t>
      </w:r>
      <w:r w:rsidRPr="00CF7B12">
        <w:rPr>
          <w:rFonts w:ascii="Times New Roman" w:eastAsia="Aptos" w:hAnsi="Times New Roman" w:cs="Times New Roman"/>
          <w:color w:val="000000" w:themeColor="text1"/>
          <w:szCs w:val="24"/>
          <w:lang w:val="en-US"/>
        </w:rPr>
        <w:fldChar w:fldCharType="end"/>
      </w:r>
      <w:r w:rsidRPr="00CF7B12">
        <w:rPr>
          <w:rFonts w:ascii="Times New Roman" w:eastAsia="Aptos" w:hAnsi="Times New Roman" w:cs="Times New Roman"/>
          <w:color w:val="000000" w:themeColor="text1"/>
          <w:szCs w:val="24"/>
          <w:lang w:val="en-US"/>
        </w:rPr>
        <w:t>.</w:t>
      </w:r>
      <w:r w:rsidR="000651AB" w:rsidRPr="00CF7B12">
        <w:rPr>
          <w:rFonts w:ascii="Times New Roman" w:eastAsia="Aptos" w:hAnsi="Times New Roman" w:cs="Times New Roman"/>
          <w:color w:val="000000" w:themeColor="text1"/>
          <w:szCs w:val="24"/>
          <w:lang w:val="en-US"/>
        </w:rPr>
        <w:t xml:space="preserve"> </w:t>
      </w:r>
    </w:p>
    <w:p w14:paraId="4E262664" w14:textId="43F26CEA" w:rsidR="0088683A" w:rsidRPr="00CF7B12" w:rsidRDefault="0088683A" w:rsidP="003D1856">
      <w:pPr>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Leaf hair</w:t>
      </w:r>
      <w:r w:rsidR="00AB6D34" w:rsidRPr="00CF7B12">
        <w:rPr>
          <w:rFonts w:ascii="Times New Roman" w:eastAsia="Aptos" w:hAnsi="Times New Roman" w:cs="Times New Roman"/>
          <w:b/>
          <w:bCs/>
          <w:i/>
          <w:iCs/>
          <w:color w:val="000000" w:themeColor="text1"/>
          <w:szCs w:val="24"/>
          <w:lang w:val="en-US"/>
        </w:rPr>
        <w:t>i</w:t>
      </w:r>
      <w:r w:rsidRPr="00CF7B12">
        <w:rPr>
          <w:rFonts w:ascii="Times New Roman" w:eastAsia="Aptos" w:hAnsi="Times New Roman" w:cs="Times New Roman"/>
          <w:b/>
          <w:bCs/>
          <w:i/>
          <w:iCs/>
          <w:color w:val="000000" w:themeColor="text1"/>
          <w:szCs w:val="24"/>
          <w:lang w:val="en-US"/>
        </w:rPr>
        <w:t>ness</w:t>
      </w:r>
    </w:p>
    <w:p w14:paraId="3C68CCED" w14:textId="07F7F3A0" w:rsidR="003808E1" w:rsidRPr="00CF7B12" w:rsidRDefault="003808E1" w:rsidP="003D1856">
      <w:pPr>
        <w:spacing w:after="120" w:line="360" w:lineRule="auto"/>
        <w:jc w:val="both"/>
        <w:rPr>
          <w:rFonts w:ascii="Times New Roman" w:eastAsia="Aptos" w:hAnsi="Times New Roman" w:cs="Times New Roman"/>
          <w:color w:val="000000" w:themeColor="text1"/>
          <w:szCs w:val="24"/>
        </w:rPr>
      </w:pPr>
      <w:r w:rsidRPr="00CF7B12">
        <w:rPr>
          <w:rFonts w:ascii="Times New Roman" w:eastAsia="Aptos" w:hAnsi="Times New Roman" w:cs="Times New Roman"/>
          <w:color w:val="000000" w:themeColor="text1"/>
          <w:szCs w:val="24"/>
        </w:rPr>
        <w:t>Data on the hairiness at nodes indicated that hair was consistently present at the nodes across most ploidy levels, except for the 9x plants, which were non-hairy (NH). This highlights a predominantly hairy characteristic at the node region</w:t>
      </w:r>
      <w:r w:rsidR="00AB6D34" w:rsidRPr="00CF7B12">
        <w:rPr>
          <w:rFonts w:ascii="Times New Roman" w:eastAsia="Aptos" w:hAnsi="Times New Roman" w:cs="Times New Roman"/>
          <w:color w:val="000000" w:themeColor="text1"/>
          <w:szCs w:val="24"/>
        </w:rPr>
        <w:t xml:space="preserve"> (Table 1)</w:t>
      </w:r>
      <w:r w:rsidRPr="00CF7B12">
        <w:rPr>
          <w:rFonts w:ascii="Times New Roman" w:eastAsia="Aptos" w:hAnsi="Times New Roman" w:cs="Times New Roman"/>
          <w:color w:val="000000" w:themeColor="text1"/>
          <w:szCs w:val="24"/>
        </w:rPr>
        <w:t xml:space="preserve">. Besides this, hairiness (H) at leaf bases was observed in 3x, 4x, 5x, 6x, 7x, 8x, 11x, and SRP75 plants. A non-hairy leaf base (NH) was observed on 9x plants. This indicates the similar pattern as observed with </w:t>
      </w:r>
      <w:proofErr w:type="spellStart"/>
      <w:r w:rsidRPr="00CF7B12">
        <w:rPr>
          <w:rFonts w:ascii="Times New Roman" w:eastAsia="Aptos" w:hAnsi="Times New Roman" w:cs="Times New Roman"/>
          <w:color w:val="000000" w:themeColor="text1"/>
          <w:szCs w:val="24"/>
        </w:rPr>
        <w:t>hairness</w:t>
      </w:r>
      <w:proofErr w:type="spellEnd"/>
      <w:r w:rsidRPr="00CF7B12">
        <w:rPr>
          <w:rFonts w:ascii="Times New Roman" w:eastAsia="Aptos" w:hAnsi="Times New Roman" w:cs="Times New Roman"/>
          <w:color w:val="000000" w:themeColor="text1"/>
          <w:szCs w:val="24"/>
        </w:rPr>
        <w:t xml:space="preserve"> of the nodes across the ploidy level. However, the hairiness in leaf sheath region of guinea grass demonstrated the most distinct variability. Hairiness (H) was present only in 3x, 7x, and SRP75 plants and non-hairy (NH) leaf sheaths were observed in 4x, 5x, 6x, 8x, 9x, and 11x plants indicating a shift toward non-hairy traits. Hair present in the nodes, leaf base and leaf sheath have the multiple function like protection to plants, minimizing the water loss etc. </w:t>
      </w:r>
      <w:r w:rsidRPr="00CF7B12">
        <w:rPr>
          <w:rFonts w:ascii="Times New Roman" w:eastAsia="Aptos" w:hAnsi="Times New Roman" w:cs="Times New Roman"/>
          <w:color w:val="000000" w:themeColor="text1"/>
          <w:szCs w:val="24"/>
        </w:rPr>
        <w:fldChar w:fldCharType="begin" w:fldLock="1"/>
      </w:r>
      <w:r w:rsidRPr="00CF7B12">
        <w:rPr>
          <w:rFonts w:ascii="Times New Roman" w:eastAsia="Aptos" w:hAnsi="Times New Roman" w:cs="Times New Roman"/>
          <w:color w:val="000000" w:themeColor="text1"/>
          <w:szCs w:val="24"/>
        </w:rPr>
        <w:instrText>ADDIN CSL_CITATION {"citationItems":[{"id":"ITEM-1","itemData":{"DOI":"10.34101/actaagrar/66/1892","ISSN":"1587-1282","abstract":"To the effective control of invasive weeds are essential to prevent establish, if has already happened obstacle to massive accumulation, and promoting the efficient and rapid eradication, if it is possible. The Woolly cupgrass (Eriochloa villosa /Thunb./ Kunth) belongs to weeds which “hard to control” especially in corn. One of the difficulties of effective control is the prolonged emergence causing avoidance of several individuals the contact with pre-emergent herbicides. Another problem arises due to the intensive use of post-emergence herbicide products with short duration of action. To optimalize of timing of treatment is essential for successful control of later emerging weeds. The recently established Woolly cupgrass in Hungary shows resistance or reduced susceptibility to substantial portion of herbicides used in corn. The data collected from small-plot trials demonstrates that application of sulfonylurea or selective monoctyledonous herbicides can be effective against the Woolly cupgrass.","author":[{"dropping-particle":"","family":"Szilágyi","given":"Arnold","non-dropping-particle":"","parse-names":false,"suffix":""},{"dropping-particle":"","family":"Balogh","given":"Zoltán","non-dropping-particle":"","parse-names":false,"suffix":""},{"dropping-particle":"","family":"Dávid","given":"István","non-dropping-particle":"","parse-names":false,"suffix":""},{"dropping-particle":"","family":"Szabó","given":"László","non-dropping-particle":"","parse-names":false,"suffix":""},{"dropping-particle":"","family":"Radócz","given":"László","non-dropping-particle":"","parse-names":false,"suffix":""}],"container-title":"Acta Agraria Debreceniensis","id":"ITEM-1","issue":"66","issued":{"date-parts":[["2015"]]},"page":"53-57","title":"Woolly cupgrass (Eriochloa villosa /Thunb./ Kunth), a recently occured invasive weed in Trans-Tisza Region and a trial for control in maize","type":"article-journal"},"uris":["http://www.mendeley.com/documents/?uuid=890bb819-b087-4be0-986e-03798ff41e2a","http://www.mendeley.com/documents/?uuid=7afabd20-d0b0-4cfb-960a-65477c46af1c"]}],"mendeley":{"formattedCitation":"(Szilágyi et al., 2015)","plainTextFormattedCitation":"(Szilágyi et al., 2015)","previouslyFormattedCitation":"(Szilágyi et al., 2015)"},"properties":{"noteIndex":0},"schema":"https://github.com/citation-style-language/schema/raw/master/csl-citation.json"}</w:instrText>
      </w:r>
      <w:r w:rsidRPr="00CF7B12">
        <w:rPr>
          <w:rFonts w:ascii="Times New Roman" w:eastAsia="Aptos" w:hAnsi="Times New Roman" w:cs="Times New Roman"/>
          <w:color w:val="000000" w:themeColor="text1"/>
          <w:szCs w:val="24"/>
        </w:rPr>
        <w:fldChar w:fldCharType="separate"/>
      </w:r>
      <w:r w:rsidRPr="00CF7B12">
        <w:rPr>
          <w:rFonts w:ascii="Times New Roman" w:eastAsia="Aptos" w:hAnsi="Times New Roman" w:cs="Times New Roman"/>
          <w:noProof/>
          <w:color w:val="000000" w:themeColor="text1"/>
          <w:szCs w:val="24"/>
        </w:rPr>
        <w:t>(Szilágyi et al., 2015)</w:t>
      </w:r>
      <w:r w:rsidRPr="00CF7B12">
        <w:rPr>
          <w:rFonts w:ascii="Times New Roman" w:eastAsia="Aptos" w:hAnsi="Times New Roman" w:cs="Times New Roman"/>
          <w:color w:val="000000" w:themeColor="text1"/>
          <w:szCs w:val="24"/>
        </w:rPr>
        <w:fldChar w:fldCharType="end"/>
      </w:r>
      <w:r w:rsidRPr="00CF7B12">
        <w:rPr>
          <w:rFonts w:ascii="Times New Roman" w:eastAsia="Aptos" w:hAnsi="Times New Roman" w:cs="Times New Roman"/>
          <w:color w:val="000000" w:themeColor="text1"/>
          <w:szCs w:val="24"/>
        </w:rPr>
        <w:t xml:space="preserve"> also reported the presence of hair at nodes of woolly cup grass. These </w:t>
      </w:r>
      <w:r w:rsidRPr="00CF7B12">
        <w:rPr>
          <w:rFonts w:ascii="Times New Roman" w:eastAsia="Aptos" w:hAnsi="Times New Roman" w:cs="Times New Roman"/>
          <w:color w:val="000000" w:themeColor="text1"/>
          <w:szCs w:val="24"/>
        </w:rPr>
        <w:lastRenderedPageBreak/>
        <w:t xml:space="preserve">morphological features are believed to play roles in reducing transpiration and deterring herbivores, contributing to the plant's adaptability in various environments. Humphreys (1991) also reported the hairy nodes and leaf sheath in guinea grass which helps in reducing the transpiration and deterring the herbivores. </w:t>
      </w:r>
      <w:r w:rsidRPr="00CF7B12">
        <w:rPr>
          <w:rFonts w:ascii="Times New Roman" w:eastAsia="Aptos" w:hAnsi="Times New Roman" w:cs="Times New Roman"/>
          <w:color w:val="000000" w:themeColor="text1"/>
          <w:szCs w:val="24"/>
        </w:rPr>
        <w:fldChar w:fldCharType="begin" w:fldLock="1"/>
      </w:r>
      <w:r w:rsidRPr="00CF7B12">
        <w:rPr>
          <w:rFonts w:ascii="Times New Roman" w:eastAsia="Aptos" w:hAnsi="Times New Roman" w:cs="Times New Roman"/>
          <w:color w:val="000000" w:themeColor="text1"/>
          <w:szCs w:val="24"/>
        </w:rPr>
        <w:instrText>ADDIN CSL_CITATION {"citationItems":[{"id":"ITEM-1","itemData":{"DOI":"10.1007/s00122-009-1145-8","ISSN":"00405752","PMID":"19763534","abstract":"The shoot fly is one of the most destructive insect pests of sorghum at the seedling stage. Deployment of cultivars with improved shoot fly resistance would be facilitated by the use of molecular markers linked to QTL. The objective of this study was to dissect the genetic basis of resistance into QTL, using replicated phenotypic data sets obtained from four test environments, and a 162 microsatellite marker-based linkage map constructed using 168 RILs of the cross 296B (susceptible) × IS18551 (resistant). Considering five component traits and four environments, a total of 29 QTL were detected by multiple QTL mapping (MQM) viz., four each for leaf glossiness and seedling vigor, seven for oviposition, six for deadhearts, two for adaxial trichome density and six for abaxial trichome density. The LOD and R 2 (%) values of QTL ranged from 2.6 to 15.0 and 5.0 to 33%, respectively. For most of the QTL, IS18551 contributed resistance alleles; however, at six QTL, alleles from 296B also contributed to resistance. QTL of the related component traits were co-localized, suggesting pleiotropy or tight linkage of genes. The new morphological marker Trit for trichome type was associated with the major QTL for component traits of resistance. Interestingly, QTL identified in this study correspond to QTL/genes for insect resistance at the syntenic maize genomic regions, suggesting the conservation of insect resistance loci between these crops. For majority of the QTL, possible candidate genes lie within or very near the ascribed confidence intervals in sorghum. Finally, the QTL identified in the study should provide a foundation for marker-assisted selection (MAS) programs for improving shoot fly resistance in sorghum. © 2009 Springer-Verlag.","author":[{"dropping-particle":"","family":"Satish","given":"K.","non-dropping-particle":"","parse-names":false,"suffix":""},{"dropping-particle":"","family":"Srinivas","given":"G.","non-dropping-particle":"","parse-names":false,"suffix":""},{"dropping-particle":"","family":"Madhusudhana","given":"R.","non-dropping-particle":"","parse-names":false,"suffix":""},{"dropping-particle":"","family":"Padmaja","given":"P. G.","non-dropping-particle":"","parse-names":false,"suffix":""},{"dropping-particle":"","family":"Nagaraja Reddy","given":"R.","non-dropping-particle":"","parse-names":false,"suffix":""},{"dropping-particle":"","family":"Murali Mohan","given":"S.","non-dropping-particle":"","parse-names":false,"suffix":""},{"dropping-particle":"","family":"Seetharama","given":"N.","non-dropping-particle":"","parse-names":false,"suffix":""}],"container-title":"Theoretical and Applied Genetics","id":"ITEM-1","issue":"8","issued":{"date-parts":[["2009"]]},"page":"1425-1439","title":"Identification of quantitative trait loci for resistance to shoot fly in sorghum [Sorghum bicolor (L.) Moench]","type":"article-journal","volume":"119"},"uris":["http://www.mendeley.com/documents/?uuid=1f520ea6-4c7b-4378-bbff-0c61c5b83f6d","http://www.mendeley.com/documents/?uuid=67a0116c-acc1-48bd-adb0-af1847cf9e12"]}],"mendeley":{"formattedCitation":"(Satish et al., 2009)","plainTextFormattedCitation":"(Satish et al., 2009)","previouslyFormattedCitation":"(Satish et al., 2009)"},"properties":{"noteIndex":0},"schema":"https://github.com/citation-style-language/schema/raw/master/csl-citation.json"}</w:instrText>
      </w:r>
      <w:r w:rsidRPr="00CF7B12">
        <w:rPr>
          <w:rFonts w:ascii="Times New Roman" w:eastAsia="Aptos" w:hAnsi="Times New Roman" w:cs="Times New Roman"/>
          <w:color w:val="000000" w:themeColor="text1"/>
          <w:szCs w:val="24"/>
        </w:rPr>
        <w:fldChar w:fldCharType="separate"/>
      </w:r>
      <w:r w:rsidRPr="00CF7B12">
        <w:rPr>
          <w:rFonts w:ascii="Times New Roman" w:eastAsia="Aptos" w:hAnsi="Times New Roman" w:cs="Times New Roman"/>
          <w:noProof/>
          <w:color w:val="000000" w:themeColor="text1"/>
          <w:szCs w:val="24"/>
        </w:rPr>
        <w:t>(Satish et al., 2009)</w:t>
      </w:r>
      <w:r w:rsidRPr="00CF7B12">
        <w:rPr>
          <w:rFonts w:ascii="Times New Roman" w:eastAsia="Aptos" w:hAnsi="Times New Roman" w:cs="Times New Roman"/>
          <w:color w:val="000000" w:themeColor="text1"/>
          <w:szCs w:val="24"/>
        </w:rPr>
        <w:fldChar w:fldCharType="end"/>
      </w:r>
      <w:r w:rsidRPr="00CF7B12">
        <w:rPr>
          <w:rFonts w:ascii="Times New Roman" w:eastAsia="Aptos" w:hAnsi="Times New Roman" w:cs="Times New Roman"/>
          <w:color w:val="000000" w:themeColor="text1"/>
          <w:szCs w:val="24"/>
        </w:rPr>
        <w:t xml:space="preserve"> studied the quantitative trait loci mapping in sorghum and reported that </w:t>
      </w:r>
      <w:r w:rsidR="006017D9" w:rsidRPr="00CF7B12">
        <w:rPr>
          <w:rFonts w:ascii="Times New Roman" w:eastAsia="Aptos" w:hAnsi="Times New Roman" w:cs="Times New Roman"/>
          <w:color w:val="000000" w:themeColor="text1"/>
          <w:szCs w:val="24"/>
        </w:rPr>
        <w:t>hairiness</w:t>
      </w:r>
      <w:r w:rsidRPr="00CF7B12">
        <w:rPr>
          <w:rFonts w:ascii="Times New Roman" w:eastAsia="Aptos" w:hAnsi="Times New Roman" w:cs="Times New Roman"/>
          <w:color w:val="000000" w:themeColor="text1"/>
          <w:szCs w:val="24"/>
        </w:rPr>
        <w:t xml:space="preserve"> trait in sorghum may associated with the genetics and can be targeted for further breeding programs. </w:t>
      </w:r>
    </w:p>
    <w:p w14:paraId="52326C5C" w14:textId="77777777" w:rsidR="00257FB4" w:rsidRPr="00CF7B12" w:rsidRDefault="00257FB4" w:rsidP="00257FB4">
      <w:pPr>
        <w:spacing w:after="120" w:line="360" w:lineRule="auto"/>
        <w:jc w:val="both"/>
        <w:rPr>
          <w:rFonts w:ascii="Times New Roman" w:hAnsi="Times New Roman" w:cs="Times New Roman"/>
          <w:b/>
          <w:bCs/>
          <w:color w:val="000000" w:themeColor="text1"/>
          <w:szCs w:val="24"/>
          <w:lang w:val="en-US"/>
        </w:rPr>
      </w:pPr>
      <w:r w:rsidRPr="00CF7B12">
        <w:rPr>
          <w:rFonts w:ascii="Times New Roman" w:hAnsi="Times New Roman" w:cs="Times New Roman"/>
          <w:b/>
          <w:bCs/>
          <w:color w:val="000000" w:themeColor="text1"/>
          <w:szCs w:val="24"/>
          <w:lang w:val="en-US"/>
        </w:rPr>
        <w:t>Table 1: Habit and presence of hair on node, leaf base and leaf sheath in different ploidy plants of guinea grass at 50% flowering stage</w:t>
      </w:r>
    </w:p>
    <w:tbl>
      <w:tblPr>
        <w:tblStyle w:val="TableGrid"/>
        <w:tblW w:w="508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1010"/>
        <w:gridCol w:w="1130"/>
        <w:gridCol w:w="1275"/>
        <w:gridCol w:w="803"/>
        <w:gridCol w:w="803"/>
        <w:gridCol w:w="803"/>
        <w:gridCol w:w="803"/>
        <w:gridCol w:w="803"/>
        <w:gridCol w:w="797"/>
      </w:tblGrid>
      <w:tr w:rsidR="00CF7B12" w:rsidRPr="00CF7B12" w14:paraId="237E0408" w14:textId="77777777" w:rsidTr="008D7E4B">
        <w:trPr>
          <w:trHeight w:val="230"/>
        </w:trPr>
        <w:tc>
          <w:tcPr>
            <w:tcW w:w="522" w:type="pct"/>
            <w:vMerge w:val="restart"/>
            <w:tcBorders>
              <w:right w:val="single" w:sz="4" w:space="0" w:color="auto"/>
            </w:tcBorders>
            <w:vAlign w:val="center"/>
            <w:hideMark/>
          </w:tcPr>
          <w:p w14:paraId="7373ED32"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Plants</w:t>
            </w:r>
          </w:p>
        </w:tc>
        <w:tc>
          <w:tcPr>
            <w:tcW w:w="1859" w:type="pct"/>
            <w:gridSpan w:val="3"/>
            <w:tcBorders>
              <w:top w:val="single" w:sz="4" w:space="0" w:color="auto"/>
              <w:left w:val="single" w:sz="4" w:space="0" w:color="auto"/>
              <w:bottom w:val="single" w:sz="4" w:space="0" w:color="auto"/>
              <w:right w:val="single" w:sz="4" w:space="0" w:color="auto"/>
            </w:tcBorders>
            <w:vAlign w:val="center"/>
            <w:hideMark/>
          </w:tcPr>
          <w:p w14:paraId="415F86F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Habit</w:t>
            </w:r>
          </w:p>
        </w:tc>
        <w:tc>
          <w:tcPr>
            <w:tcW w:w="2620" w:type="pct"/>
            <w:gridSpan w:val="6"/>
            <w:tcBorders>
              <w:left w:val="single" w:sz="4" w:space="0" w:color="auto"/>
              <w:bottom w:val="single" w:sz="4" w:space="0" w:color="auto"/>
            </w:tcBorders>
            <w:vAlign w:val="center"/>
            <w:hideMark/>
          </w:tcPr>
          <w:p w14:paraId="08C93F2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Hairiness</w:t>
            </w:r>
          </w:p>
          <w:p w14:paraId="2B8835A0"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(Presence or Absence)</w:t>
            </w:r>
          </w:p>
        </w:tc>
      </w:tr>
      <w:tr w:rsidR="00CF7B12" w:rsidRPr="00CF7B12" w14:paraId="182B3681" w14:textId="77777777" w:rsidTr="00112278">
        <w:trPr>
          <w:trHeight w:val="230"/>
        </w:trPr>
        <w:tc>
          <w:tcPr>
            <w:tcW w:w="0" w:type="auto"/>
            <w:vMerge/>
            <w:tcBorders>
              <w:right w:val="single" w:sz="4" w:space="0" w:color="auto"/>
            </w:tcBorders>
            <w:vAlign w:val="center"/>
            <w:hideMark/>
          </w:tcPr>
          <w:p w14:paraId="346D76A2"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550" w:type="pct"/>
            <w:vMerge w:val="restart"/>
            <w:tcBorders>
              <w:top w:val="single" w:sz="4" w:space="0" w:color="auto"/>
              <w:left w:val="single" w:sz="4" w:space="0" w:color="auto"/>
              <w:bottom w:val="nil"/>
            </w:tcBorders>
            <w:vAlign w:val="center"/>
            <w:hideMark/>
          </w:tcPr>
          <w:p w14:paraId="666CE28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Annual</w:t>
            </w:r>
          </w:p>
          <w:p w14:paraId="7A3ACE99"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(A)</w:t>
            </w:r>
          </w:p>
        </w:tc>
        <w:tc>
          <w:tcPr>
            <w:tcW w:w="615" w:type="pct"/>
            <w:vMerge w:val="restart"/>
            <w:tcBorders>
              <w:top w:val="single" w:sz="4" w:space="0" w:color="auto"/>
              <w:bottom w:val="nil"/>
            </w:tcBorders>
            <w:vAlign w:val="center"/>
            <w:hideMark/>
          </w:tcPr>
          <w:p w14:paraId="3D14ABF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Biennial</w:t>
            </w:r>
          </w:p>
          <w:p w14:paraId="5D15B0E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(B)</w:t>
            </w:r>
          </w:p>
        </w:tc>
        <w:tc>
          <w:tcPr>
            <w:tcW w:w="693" w:type="pct"/>
            <w:vMerge w:val="restart"/>
            <w:tcBorders>
              <w:top w:val="single" w:sz="4" w:space="0" w:color="auto"/>
              <w:bottom w:val="nil"/>
              <w:right w:val="single" w:sz="4" w:space="0" w:color="auto"/>
            </w:tcBorders>
            <w:vAlign w:val="center"/>
            <w:hideMark/>
          </w:tcPr>
          <w:p w14:paraId="2430015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Perennial</w:t>
            </w:r>
          </w:p>
          <w:p w14:paraId="60AFDFE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874" w:type="pct"/>
            <w:gridSpan w:val="2"/>
            <w:tcBorders>
              <w:top w:val="single" w:sz="4" w:space="0" w:color="auto"/>
              <w:left w:val="single" w:sz="4" w:space="0" w:color="auto"/>
              <w:bottom w:val="single" w:sz="4" w:space="0" w:color="auto"/>
              <w:right w:val="single" w:sz="4" w:space="0" w:color="auto"/>
            </w:tcBorders>
            <w:vAlign w:val="center"/>
            <w:hideMark/>
          </w:tcPr>
          <w:p w14:paraId="562ECDA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Node</w:t>
            </w:r>
          </w:p>
        </w:tc>
        <w:tc>
          <w:tcPr>
            <w:tcW w:w="874" w:type="pct"/>
            <w:gridSpan w:val="2"/>
            <w:tcBorders>
              <w:top w:val="single" w:sz="4" w:space="0" w:color="auto"/>
              <w:left w:val="single" w:sz="4" w:space="0" w:color="auto"/>
              <w:bottom w:val="single" w:sz="4" w:space="0" w:color="auto"/>
              <w:right w:val="single" w:sz="4" w:space="0" w:color="auto"/>
            </w:tcBorders>
            <w:vAlign w:val="center"/>
            <w:hideMark/>
          </w:tcPr>
          <w:p w14:paraId="5C948D3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Leaf base</w:t>
            </w:r>
          </w:p>
        </w:tc>
        <w:tc>
          <w:tcPr>
            <w:tcW w:w="871" w:type="pct"/>
            <w:gridSpan w:val="2"/>
            <w:tcBorders>
              <w:top w:val="single" w:sz="4" w:space="0" w:color="auto"/>
              <w:left w:val="single" w:sz="4" w:space="0" w:color="auto"/>
              <w:bottom w:val="single" w:sz="4" w:space="0" w:color="auto"/>
            </w:tcBorders>
            <w:vAlign w:val="center"/>
            <w:hideMark/>
          </w:tcPr>
          <w:p w14:paraId="49FA08A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Leaf sheath</w:t>
            </w:r>
          </w:p>
        </w:tc>
      </w:tr>
      <w:tr w:rsidR="00CF7B12" w:rsidRPr="00CF7B12" w14:paraId="6E604CAA" w14:textId="77777777" w:rsidTr="00112278">
        <w:trPr>
          <w:trHeight w:val="230"/>
        </w:trPr>
        <w:tc>
          <w:tcPr>
            <w:tcW w:w="0" w:type="auto"/>
            <w:vMerge/>
            <w:tcBorders>
              <w:bottom w:val="single" w:sz="4" w:space="0" w:color="auto"/>
              <w:right w:val="single" w:sz="4" w:space="0" w:color="auto"/>
            </w:tcBorders>
            <w:vAlign w:val="center"/>
            <w:hideMark/>
          </w:tcPr>
          <w:p w14:paraId="4CD6B70C"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550" w:type="pct"/>
            <w:vMerge/>
            <w:tcBorders>
              <w:top w:val="nil"/>
              <w:left w:val="single" w:sz="4" w:space="0" w:color="auto"/>
              <w:bottom w:val="single" w:sz="4" w:space="0" w:color="auto"/>
            </w:tcBorders>
            <w:vAlign w:val="center"/>
          </w:tcPr>
          <w:p w14:paraId="64392C70"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615" w:type="pct"/>
            <w:vMerge/>
            <w:tcBorders>
              <w:top w:val="nil"/>
              <w:bottom w:val="single" w:sz="4" w:space="0" w:color="auto"/>
            </w:tcBorders>
            <w:vAlign w:val="center"/>
          </w:tcPr>
          <w:p w14:paraId="006A9FCE"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693" w:type="pct"/>
            <w:vMerge/>
            <w:tcBorders>
              <w:top w:val="nil"/>
              <w:bottom w:val="single" w:sz="4" w:space="0" w:color="auto"/>
              <w:right w:val="single" w:sz="4" w:space="0" w:color="auto"/>
            </w:tcBorders>
            <w:vAlign w:val="center"/>
          </w:tcPr>
          <w:p w14:paraId="15815085"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437" w:type="pct"/>
            <w:tcBorders>
              <w:top w:val="single" w:sz="4" w:space="0" w:color="auto"/>
              <w:left w:val="single" w:sz="4" w:space="0" w:color="auto"/>
              <w:bottom w:val="single" w:sz="4" w:space="0" w:color="auto"/>
            </w:tcBorders>
            <w:hideMark/>
          </w:tcPr>
          <w:p w14:paraId="1CFAB804"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Hairy</w:t>
            </w:r>
          </w:p>
          <w:p w14:paraId="59722B2F"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single" w:sz="4" w:space="0" w:color="auto"/>
              <w:bottom w:val="single" w:sz="4" w:space="0" w:color="auto"/>
              <w:right w:val="single" w:sz="4" w:space="0" w:color="auto"/>
            </w:tcBorders>
            <w:hideMark/>
          </w:tcPr>
          <w:p w14:paraId="0BEF9556"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Non-Hairy</w:t>
            </w:r>
          </w:p>
          <w:p w14:paraId="0140CB94"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c>
          <w:tcPr>
            <w:tcW w:w="437" w:type="pct"/>
            <w:tcBorders>
              <w:top w:val="single" w:sz="4" w:space="0" w:color="auto"/>
              <w:left w:val="single" w:sz="4" w:space="0" w:color="auto"/>
              <w:bottom w:val="single" w:sz="4" w:space="0" w:color="auto"/>
            </w:tcBorders>
            <w:hideMark/>
          </w:tcPr>
          <w:p w14:paraId="2DCE9D3F"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Hairy</w:t>
            </w:r>
          </w:p>
          <w:p w14:paraId="6A73415E"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single" w:sz="4" w:space="0" w:color="auto"/>
              <w:bottom w:val="single" w:sz="4" w:space="0" w:color="auto"/>
              <w:right w:val="single" w:sz="4" w:space="0" w:color="auto"/>
            </w:tcBorders>
            <w:hideMark/>
          </w:tcPr>
          <w:p w14:paraId="629FA36D"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Non-Hairy</w:t>
            </w:r>
          </w:p>
          <w:p w14:paraId="214D80E3"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c>
          <w:tcPr>
            <w:tcW w:w="437" w:type="pct"/>
            <w:tcBorders>
              <w:top w:val="single" w:sz="4" w:space="0" w:color="auto"/>
              <w:left w:val="single" w:sz="4" w:space="0" w:color="auto"/>
              <w:bottom w:val="single" w:sz="4" w:space="0" w:color="auto"/>
            </w:tcBorders>
            <w:hideMark/>
          </w:tcPr>
          <w:p w14:paraId="35565AB5"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Hairy</w:t>
            </w:r>
          </w:p>
          <w:p w14:paraId="4CE2AE37"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5" w:type="pct"/>
            <w:tcBorders>
              <w:top w:val="single" w:sz="4" w:space="0" w:color="auto"/>
              <w:bottom w:val="single" w:sz="4" w:space="0" w:color="auto"/>
            </w:tcBorders>
            <w:hideMark/>
          </w:tcPr>
          <w:p w14:paraId="2F42535E"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Non-Hairy</w:t>
            </w:r>
          </w:p>
          <w:p w14:paraId="1E84F965"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11BA8AF9" w14:textId="77777777" w:rsidTr="00112278">
        <w:trPr>
          <w:trHeight w:val="265"/>
        </w:trPr>
        <w:tc>
          <w:tcPr>
            <w:tcW w:w="522" w:type="pct"/>
            <w:tcBorders>
              <w:top w:val="single" w:sz="4" w:space="0" w:color="auto"/>
              <w:bottom w:val="nil"/>
              <w:right w:val="single" w:sz="4" w:space="0" w:color="auto"/>
            </w:tcBorders>
            <w:vAlign w:val="center"/>
            <w:hideMark/>
          </w:tcPr>
          <w:p w14:paraId="7F69FFB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550" w:type="pct"/>
            <w:tcBorders>
              <w:top w:val="single" w:sz="4" w:space="0" w:color="auto"/>
              <w:left w:val="single" w:sz="4" w:space="0" w:color="auto"/>
              <w:bottom w:val="nil"/>
            </w:tcBorders>
            <w:vAlign w:val="center"/>
          </w:tcPr>
          <w:p w14:paraId="2083969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tcBorders>
              <w:top w:val="single" w:sz="4" w:space="0" w:color="auto"/>
              <w:bottom w:val="nil"/>
            </w:tcBorders>
            <w:vAlign w:val="center"/>
          </w:tcPr>
          <w:p w14:paraId="73354F4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top w:val="single" w:sz="4" w:space="0" w:color="auto"/>
              <w:bottom w:val="nil"/>
              <w:right w:val="single" w:sz="4" w:space="0" w:color="auto"/>
            </w:tcBorders>
          </w:tcPr>
          <w:p w14:paraId="5F3080D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top w:val="single" w:sz="4" w:space="0" w:color="auto"/>
              <w:left w:val="single" w:sz="4" w:space="0" w:color="auto"/>
              <w:bottom w:val="nil"/>
            </w:tcBorders>
            <w:vAlign w:val="center"/>
            <w:hideMark/>
          </w:tcPr>
          <w:p w14:paraId="62CB646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single" w:sz="4" w:space="0" w:color="auto"/>
              <w:bottom w:val="nil"/>
              <w:right w:val="single" w:sz="4" w:space="0" w:color="auto"/>
            </w:tcBorders>
            <w:vAlign w:val="center"/>
            <w:hideMark/>
          </w:tcPr>
          <w:p w14:paraId="2FD7113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top w:val="single" w:sz="4" w:space="0" w:color="auto"/>
              <w:left w:val="single" w:sz="4" w:space="0" w:color="auto"/>
              <w:bottom w:val="nil"/>
            </w:tcBorders>
            <w:vAlign w:val="center"/>
            <w:hideMark/>
          </w:tcPr>
          <w:p w14:paraId="68BC505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single" w:sz="4" w:space="0" w:color="auto"/>
              <w:bottom w:val="nil"/>
              <w:right w:val="single" w:sz="4" w:space="0" w:color="auto"/>
            </w:tcBorders>
            <w:vAlign w:val="center"/>
          </w:tcPr>
          <w:p w14:paraId="1B63AA0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top w:val="single" w:sz="4" w:space="0" w:color="auto"/>
              <w:left w:val="single" w:sz="4" w:space="0" w:color="auto"/>
              <w:bottom w:val="nil"/>
            </w:tcBorders>
            <w:vAlign w:val="center"/>
            <w:hideMark/>
          </w:tcPr>
          <w:p w14:paraId="597F52E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5" w:type="pct"/>
            <w:tcBorders>
              <w:top w:val="single" w:sz="4" w:space="0" w:color="auto"/>
              <w:bottom w:val="nil"/>
            </w:tcBorders>
            <w:vAlign w:val="center"/>
          </w:tcPr>
          <w:p w14:paraId="049CE2E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72D3E31C" w14:textId="77777777" w:rsidTr="008D7E4B">
        <w:trPr>
          <w:trHeight w:val="238"/>
        </w:trPr>
        <w:tc>
          <w:tcPr>
            <w:tcW w:w="522" w:type="pct"/>
            <w:tcBorders>
              <w:top w:val="nil"/>
              <w:right w:val="single" w:sz="4" w:space="0" w:color="auto"/>
            </w:tcBorders>
            <w:vAlign w:val="center"/>
            <w:hideMark/>
          </w:tcPr>
          <w:p w14:paraId="3C72230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550" w:type="pct"/>
            <w:tcBorders>
              <w:top w:val="nil"/>
              <w:left w:val="single" w:sz="4" w:space="0" w:color="auto"/>
            </w:tcBorders>
            <w:vAlign w:val="center"/>
          </w:tcPr>
          <w:p w14:paraId="01B5F88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tcBorders>
              <w:top w:val="nil"/>
            </w:tcBorders>
            <w:vAlign w:val="center"/>
          </w:tcPr>
          <w:p w14:paraId="3D0CA6C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top w:val="nil"/>
              <w:right w:val="single" w:sz="4" w:space="0" w:color="auto"/>
            </w:tcBorders>
          </w:tcPr>
          <w:p w14:paraId="2967795D"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top w:val="nil"/>
              <w:left w:val="single" w:sz="4" w:space="0" w:color="auto"/>
            </w:tcBorders>
            <w:vAlign w:val="center"/>
            <w:hideMark/>
          </w:tcPr>
          <w:p w14:paraId="01A7B76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nil"/>
              <w:right w:val="single" w:sz="4" w:space="0" w:color="auto"/>
            </w:tcBorders>
            <w:vAlign w:val="center"/>
          </w:tcPr>
          <w:p w14:paraId="1A34DE3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top w:val="nil"/>
              <w:left w:val="single" w:sz="4" w:space="0" w:color="auto"/>
            </w:tcBorders>
            <w:vAlign w:val="center"/>
          </w:tcPr>
          <w:p w14:paraId="793DA2F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nil"/>
              <w:right w:val="single" w:sz="4" w:space="0" w:color="auto"/>
            </w:tcBorders>
            <w:vAlign w:val="center"/>
            <w:hideMark/>
          </w:tcPr>
          <w:p w14:paraId="4CA2ECC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top w:val="nil"/>
              <w:left w:val="single" w:sz="4" w:space="0" w:color="auto"/>
            </w:tcBorders>
            <w:vAlign w:val="center"/>
          </w:tcPr>
          <w:p w14:paraId="2161C816"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tcBorders>
              <w:top w:val="nil"/>
            </w:tcBorders>
            <w:vAlign w:val="center"/>
            <w:hideMark/>
          </w:tcPr>
          <w:p w14:paraId="3F45C64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1D44618D" w14:textId="77777777" w:rsidTr="008D7E4B">
        <w:trPr>
          <w:trHeight w:val="248"/>
        </w:trPr>
        <w:tc>
          <w:tcPr>
            <w:tcW w:w="522" w:type="pct"/>
            <w:tcBorders>
              <w:right w:val="single" w:sz="4" w:space="0" w:color="auto"/>
            </w:tcBorders>
            <w:vAlign w:val="center"/>
            <w:hideMark/>
          </w:tcPr>
          <w:p w14:paraId="45BCA32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550" w:type="pct"/>
            <w:tcBorders>
              <w:left w:val="single" w:sz="4" w:space="0" w:color="auto"/>
            </w:tcBorders>
            <w:vAlign w:val="center"/>
          </w:tcPr>
          <w:p w14:paraId="70CC044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5DCD145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1F9189C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2D602230"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5C0C656D"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629BE63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hideMark/>
          </w:tcPr>
          <w:p w14:paraId="11DB506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25A84E6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44D43D6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60988723" w14:textId="77777777" w:rsidTr="008D7E4B">
        <w:trPr>
          <w:trHeight w:val="233"/>
        </w:trPr>
        <w:tc>
          <w:tcPr>
            <w:tcW w:w="522" w:type="pct"/>
            <w:tcBorders>
              <w:right w:val="single" w:sz="4" w:space="0" w:color="auto"/>
            </w:tcBorders>
            <w:vAlign w:val="center"/>
            <w:hideMark/>
          </w:tcPr>
          <w:p w14:paraId="635F1C7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550" w:type="pct"/>
            <w:tcBorders>
              <w:left w:val="single" w:sz="4" w:space="0" w:color="auto"/>
            </w:tcBorders>
            <w:vAlign w:val="center"/>
          </w:tcPr>
          <w:p w14:paraId="52D4BF1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46B329A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6252894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1369EBF9"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618E6E3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302848F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1484230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2C4030E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35A0458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6ABF2AB8" w14:textId="77777777" w:rsidTr="008D7E4B">
        <w:trPr>
          <w:trHeight w:val="244"/>
        </w:trPr>
        <w:tc>
          <w:tcPr>
            <w:tcW w:w="522" w:type="pct"/>
            <w:tcBorders>
              <w:right w:val="single" w:sz="4" w:space="0" w:color="auto"/>
            </w:tcBorders>
            <w:vAlign w:val="center"/>
            <w:hideMark/>
          </w:tcPr>
          <w:p w14:paraId="568538E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550" w:type="pct"/>
            <w:tcBorders>
              <w:left w:val="single" w:sz="4" w:space="0" w:color="auto"/>
            </w:tcBorders>
            <w:vAlign w:val="center"/>
          </w:tcPr>
          <w:p w14:paraId="4FE50B66"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20F3303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2C8D272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3E243BC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0F16A3C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7296CD21"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1E486D2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5B8FC52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5" w:type="pct"/>
            <w:vAlign w:val="center"/>
            <w:hideMark/>
          </w:tcPr>
          <w:p w14:paraId="358C8460" w14:textId="77777777" w:rsidR="00257FB4" w:rsidRPr="00CF7B12" w:rsidRDefault="00257FB4" w:rsidP="00BF3173">
            <w:pPr>
              <w:jc w:val="center"/>
              <w:rPr>
                <w:rFonts w:ascii="Times New Roman" w:hAnsi="Times New Roman" w:cs="Times New Roman"/>
                <w:color w:val="000000" w:themeColor="text1"/>
                <w:szCs w:val="24"/>
                <w:lang w:val="en-US"/>
              </w:rPr>
            </w:pPr>
          </w:p>
        </w:tc>
      </w:tr>
      <w:tr w:rsidR="00CF7B12" w:rsidRPr="00CF7B12" w14:paraId="69C45992" w14:textId="77777777" w:rsidTr="008D7E4B">
        <w:trPr>
          <w:trHeight w:val="252"/>
        </w:trPr>
        <w:tc>
          <w:tcPr>
            <w:tcW w:w="522" w:type="pct"/>
            <w:tcBorders>
              <w:right w:val="single" w:sz="4" w:space="0" w:color="auto"/>
            </w:tcBorders>
            <w:vAlign w:val="center"/>
            <w:hideMark/>
          </w:tcPr>
          <w:p w14:paraId="42D6B880"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550" w:type="pct"/>
            <w:tcBorders>
              <w:left w:val="single" w:sz="4" w:space="0" w:color="auto"/>
            </w:tcBorders>
            <w:vAlign w:val="center"/>
          </w:tcPr>
          <w:p w14:paraId="4270D04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7CF416F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3B21679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0B8F89F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1CAD4DA2"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3F880576"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60464FE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0473B75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664E6D4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5B82638F" w14:textId="77777777" w:rsidTr="008D7E4B">
        <w:trPr>
          <w:trHeight w:val="262"/>
        </w:trPr>
        <w:tc>
          <w:tcPr>
            <w:tcW w:w="522" w:type="pct"/>
            <w:tcBorders>
              <w:right w:val="single" w:sz="4" w:space="0" w:color="auto"/>
            </w:tcBorders>
            <w:vAlign w:val="center"/>
            <w:hideMark/>
          </w:tcPr>
          <w:p w14:paraId="2CAD2921"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550" w:type="pct"/>
            <w:tcBorders>
              <w:left w:val="single" w:sz="4" w:space="0" w:color="auto"/>
            </w:tcBorders>
            <w:vAlign w:val="center"/>
          </w:tcPr>
          <w:p w14:paraId="0A0FB0D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16FF86B1"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63DEE75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795D4FBD"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right w:val="single" w:sz="4" w:space="0" w:color="auto"/>
            </w:tcBorders>
            <w:vAlign w:val="center"/>
          </w:tcPr>
          <w:p w14:paraId="0BC8F7C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c>
          <w:tcPr>
            <w:tcW w:w="437" w:type="pct"/>
            <w:tcBorders>
              <w:left w:val="single" w:sz="4" w:space="0" w:color="auto"/>
            </w:tcBorders>
            <w:vAlign w:val="center"/>
            <w:hideMark/>
          </w:tcPr>
          <w:p w14:paraId="37D65959"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right w:val="single" w:sz="4" w:space="0" w:color="auto"/>
            </w:tcBorders>
            <w:vAlign w:val="center"/>
          </w:tcPr>
          <w:p w14:paraId="352E6CD2"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c>
          <w:tcPr>
            <w:tcW w:w="437" w:type="pct"/>
            <w:tcBorders>
              <w:left w:val="single" w:sz="4" w:space="0" w:color="auto"/>
            </w:tcBorders>
            <w:vAlign w:val="center"/>
          </w:tcPr>
          <w:p w14:paraId="511184B0"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281C29F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3DBEA1E6" w14:textId="77777777" w:rsidTr="008D7E4B">
        <w:trPr>
          <w:trHeight w:val="338"/>
        </w:trPr>
        <w:tc>
          <w:tcPr>
            <w:tcW w:w="522" w:type="pct"/>
            <w:tcBorders>
              <w:right w:val="single" w:sz="4" w:space="0" w:color="auto"/>
            </w:tcBorders>
            <w:vAlign w:val="center"/>
            <w:hideMark/>
          </w:tcPr>
          <w:p w14:paraId="343250B2"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550" w:type="pct"/>
            <w:tcBorders>
              <w:left w:val="single" w:sz="4" w:space="0" w:color="auto"/>
            </w:tcBorders>
            <w:vAlign w:val="center"/>
          </w:tcPr>
          <w:p w14:paraId="094E9E26"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2815D75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68F32601"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5305E8CD"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24C0E4A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1710AEE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76121A9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2F933B2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3E50D31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257FB4" w:rsidRPr="00CF7B12" w14:paraId="5F06ED3F" w14:textId="77777777" w:rsidTr="008D7E4B">
        <w:trPr>
          <w:trHeight w:val="338"/>
        </w:trPr>
        <w:tc>
          <w:tcPr>
            <w:tcW w:w="522" w:type="pct"/>
            <w:tcBorders>
              <w:right w:val="single" w:sz="4" w:space="0" w:color="auto"/>
            </w:tcBorders>
            <w:vAlign w:val="center"/>
            <w:hideMark/>
          </w:tcPr>
          <w:p w14:paraId="5555C32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550" w:type="pct"/>
            <w:tcBorders>
              <w:left w:val="single" w:sz="4" w:space="0" w:color="auto"/>
              <w:bottom w:val="single" w:sz="4" w:space="0" w:color="auto"/>
            </w:tcBorders>
            <w:vAlign w:val="center"/>
          </w:tcPr>
          <w:p w14:paraId="562C9DC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08AD1F9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bottom w:val="single" w:sz="4" w:space="0" w:color="auto"/>
              <w:right w:val="single" w:sz="4" w:space="0" w:color="auto"/>
            </w:tcBorders>
          </w:tcPr>
          <w:p w14:paraId="74A12D2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664E40C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bottom w:val="single" w:sz="4" w:space="0" w:color="auto"/>
              <w:right w:val="single" w:sz="4" w:space="0" w:color="auto"/>
            </w:tcBorders>
            <w:vAlign w:val="center"/>
          </w:tcPr>
          <w:p w14:paraId="6319009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513988C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bottom w:val="single" w:sz="4" w:space="0" w:color="auto"/>
              <w:right w:val="single" w:sz="4" w:space="0" w:color="auto"/>
            </w:tcBorders>
            <w:vAlign w:val="center"/>
          </w:tcPr>
          <w:p w14:paraId="27425E1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38217479"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5" w:type="pct"/>
            <w:vAlign w:val="center"/>
            <w:hideMark/>
          </w:tcPr>
          <w:p w14:paraId="767E1C0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bl>
    <w:p w14:paraId="27C87184" w14:textId="77777777" w:rsidR="00257FB4" w:rsidRPr="00CF7B12" w:rsidRDefault="00257FB4" w:rsidP="00257FB4">
      <w:pPr>
        <w:spacing w:after="0" w:line="240" w:lineRule="auto"/>
        <w:jc w:val="both"/>
        <w:rPr>
          <w:rFonts w:ascii="Times New Roman" w:hAnsi="Times New Roman" w:cs="Times New Roman"/>
          <w:color w:val="000000" w:themeColor="text1"/>
          <w:szCs w:val="24"/>
          <w:lang w:val="en-US"/>
        </w:rPr>
      </w:pPr>
    </w:p>
    <w:p w14:paraId="1B8A810F" w14:textId="7F35B6C1" w:rsidR="003808E1" w:rsidRPr="00CF7B12" w:rsidRDefault="003808E1" w:rsidP="00B03EF1">
      <w:pPr>
        <w:tabs>
          <w:tab w:val="left" w:pos="1455"/>
        </w:tabs>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Node and leaf base coloration</w:t>
      </w:r>
    </w:p>
    <w:p w14:paraId="0946E08E" w14:textId="070391DF" w:rsidR="003808E1" w:rsidRPr="00CF7B12" w:rsidRDefault="003808E1" w:rsidP="000E3518">
      <w:pPr>
        <w:spacing w:before="100" w:beforeAutospacing="1" w:after="120" w:afterAutospacing="1" w:line="360" w:lineRule="auto"/>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Yellow nodes were mainly observed in 3x, 4x, and 6x plants, while light violet coloration was observed in 7x, 8x, and 9x plants</w:t>
      </w:r>
      <w:r w:rsidR="009C5246" w:rsidRPr="00CF7B12">
        <w:rPr>
          <w:rFonts w:ascii="Times New Roman" w:eastAsia="Times New Roman" w:hAnsi="Times New Roman" w:cs="Times New Roman"/>
          <w:color w:val="000000" w:themeColor="text1"/>
          <w:kern w:val="0"/>
          <w:szCs w:val="24"/>
          <w:lang w:eastAsia="en-IN"/>
          <w14:ligatures w14:val="none"/>
        </w:rPr>
        <w:t xml:space="preserve"> (Table 2)</w:t>
      </w:r>
      <w:r w:rsidRPr="00CF7B12">
        <w:rPr>
          <w:rFonts w:ascii="Times New Roman" w:eastAsia="Times New Roman" w:hAnsi="Times New Roman" w:cs="Times New Roman"/>
          <w:color w:val="000000" w:themeColor="text1"/>
          <w:kern w:val="0"/>
          <w:szCs w:val="24"/>
          <w:lang w:eastAsia="en-IN"/>
          <w14:ligatures w14:val="none"/>
        </w:rPr>
        <w:t xml:space="preserve">. Violet node coloration was particular to 5x plants, suggesting a distinct trait at this ploidy level. In lower ploidy levels, node coloration showed the change from yellow to darker violet in higher ploidy levels. Dark violet nodes were found in 11x plants, indicating a shift toward darker pigmentation in higher ploidy levels. Moreover, yellow coloration of the leaf base was observed in 5x, 7x and SRP75 plants, green leaf bases were the most consistent characteristic, found in 3x, 6x, and 9x plants and </w:t>
      </w:r>
      <w:proofErr w:type="spellStart"/>
      <w:r w:rsidRPr="00CF7B12">
        <w:rPr>
          <w:rFonts w:ascii="Times New Roman" w:eastAsia="Times New Roman" w:hAnsi="Times New Roman" w:cs="Times New Roman"/>
          <w:color w:val="000000" w:themeColor="text1"/>
          <w:kern w:val="0"/>
          <w:szCs w:val="24"/>
          <w:lang w:eastAsia="en-IN"/>
          <w14:ligatures w14:val="none"/>
        </w:rPr>
        <w:t>yellow+violet</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leaf base was found in 4x plants. Light violet leaf bases were present only in 8x plants and 11x, suggesting a unique characteristic. The variation in node </w:t>
      </w:r>
      <w:proofErr w:type="spellStart"/>
      <w:r w:rsidRPr="00CF7B12">
        <w:rPr>
          <w:rFonts w:ascii="Times New Roman" w:eastAsia="Times New Roman" w:hAnsi="Times New Roman" w:cs="Times New Roman"/>
          <w:color w:val="000000" w:themeColor="text1"/>
          <w:kern w:val="0"/>
          <w:szCs w:val="24"/>
          <w:lang w:eastAsia="en-IN"/>
          <w14:ligatures w14:val="none"/>
        </w:rPr>
        <w:t>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and leaf base </w:t>
      </w:r>
      <w:proofErr w:type="spellStart"/>
      <w:r w:rsidRPr="00CF7B12">
        <w:rPr>
          <w:rFonts w:ascii="Times New Roman" w:eastAsia="Times New Roman" w:hAnsi="Times New Roman" w:cs="Times New Roman"/>
          <w:color w:val="000000" w:themeColor="text1"/>
          <w:kern w:val="0"/>
          <w:szCs w:val="24"/>
          <w:lang w:eastAsia="en-IN"/>
          <w14:ligatures w14:val="none"/>
        </w:rPr>
        <w:t>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across different ploidy levels of guinea grass provides insights into the relationship between pigmentation and genomic composition. The results indicate a progressive shift in node </w:t>
      </w:r>
      <w:r w:rsidRPr="00CF7B12">
        <w:rPr>
          <w:rFonts w:ascii="Times New Roman" w:eastAsia="Times New Roman" w:hAnsi="Times New Roman" w:cs="Times New Roman"/>
          <w:color w:val="000000" w:themeColor="text1"/>
          <w:kern w:val="0"/>
          <w:szCs w:val="24"/>
          <w:lang w:eastAsia="en-IN"/>
          <w14:ligatures w14:val="none"/>
        </w:rPr>
        <w:lastRenderedPageBreak/>
        <w:t>coloration from yellow at lower ploidy levels (3x, 4x, and 6x) to darker violet hues in higher ploidy levels (11x). Similarly, the distribution of leaf base coloration across ploidy levels indicates ploidy-specific traits. The presence of yellow leaf bases in 5x, 7x, and SRP75 plants, along with green leaf bases as the predominant characteristic in 3x, 6x, and 9x plants, suggests that leaf pigmentation might be regulated by factors associated with chromosomal composition. The unique occurrence of light violet leaf bases in 8x and 11x plants indicates a potential genetic marker for these ploidy levels, which aligns with findings in other polyploid grasses where coloration serves as an indicator of genetic differentiation and adaptation (</w:t>
      </w:r>
      <w:proofErr w:type="spellStart"/>
      <w:r w:rsidRPr="00CF7B12">
        <w:rPr>
          <w:rFonts w:ascii="Times New Roman" w:eastAsia="Times New Roman" w:hAnsi="Times New Roman" w:cs="Times New Roman"/>
          <w:color w:val="000000" w:themeColor="text1"/>
          <w:kern w:val="0"/>
          <w:szCs w:val="24"/>
          <w:lang w:eastAsia="en-IN"/>
          <w14:ligatures w14:val="none"/>
        </w:rPr>
        <w:t>Rieseberg</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&amp; Willis, 2007; Ramsey &amp; </w:t>
      </w:r>
      <w:proofErr w:type="spellStart"/>
      <w:r w:rsidRPr="00CF7B12">
        <w:rPr>
          <w:rFonts w:ascii="Times New Roman" w:eastAsia="Times New Roman" w:hAnsi="Times New Roman" w:cs="Times New Roman"/>
          <w:color w:val="000000" w:themeColor="text1"/>
          <w:kern w:val="0"/>
          <w:szCs w:val="24"/>
          <w:lang w:eastAsia="en-IN"/>
          <w14:ligatures w14:val="none"/>
        </w:rPr>
        <w:t>Schemske</w:t>
      </w:r>
      <w:proofErr w:type="spellEnd"/>
      <w:r w:rsidRPr="00CF7B12">
        <w:rPr>
          <w:rFonts w:ascii="Times New Roman" w:eastAsia="Times New Roman" w:hAnsi="Times New Roman" w:cs="Times New Roman"/>
          <w:color w:val="000000" w:themeColor="text1"/>
          <w:kern w:val="0"/>
          <w:szCs w:val="24"/>
          <w:lang w:eastAsia="en-IN"/>
          <w14:ligatures w14:val="none"/>
        </w:rPr>
        <w:t>, 1998).</w:t>
      </w:r>
      <w:r w:rsidR="00113E1D"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The observed trends align with previous studies on the effects of polyploidy on plant morphological traits, where increased ploidy levels have been associated with shifts in pigment intensity and distribution (</w:t>
      </w:r>
      <w:r w:rsidR="00D121A5" w:rsidRPr="00CF7B12">
        <w:rPr>
          <w:rFonts w:ascii="Times New Roman" w:eastAsia="Times New Roman" w:hAnsi="Times New Roman" w:cs="Times New Roman"/>
          <w:color w:val="000000" w:themeColor="text1"/>
          <w:kern w:val="0"/>
          <w:szCs w:val="24"/>
          <w:lang w:eastAsia="en-IN"/>
          <w14:ligatures w14:val="none"/>
        </w:rPr>
        <w:fldChar w:fldCharType="begin" w:fldLock="1"/>
      </w:r>
      <w:r w:rsidR="004A33F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{"citationItems":[{"id":"ITEM-1","itemData":{"DOI":"10.1104/pp.18.00967","ISSN":"15322548","PMID":"30301776","abstract":"Polyploidization has played a key role in plant breeding and crop improvement. Although its potential to increase biomass yield is well described, the effect of polyploidization on biomass composition has largely remained unexplored. Here, we generated a series of Arabidopsis (Arabidopsis thaliana) plants with different somatic ploidy levels (2n, 4n, 6n, and 8n) and performed rigorous phenotypic characterization. Kinematic analysis showed that polyploids developed slower compared to diploids; however, tetra-and hexaploids, but not octaploids, generated larger rosettes due to delayed flowering. In addition, morphometric analysis of leaves showed that polyploidy affected epidermal pavement cells, with increased cell size and reduced cell number per leaf blade with incrementing ploidy. However, the inflorescence stem dry weight was highest in tetraploids. Cell wall characterization revealed that the basic somatic ploidy level negatively correlated with lignin and cellulose content, and positively correlated with matrix polysaccharide content (i.e. hemicellulose and pectin) in the stem tissue. In addition, higher ploidy plants displayed altered sugar composition. Such effects were linked to the delayed development of polyploids. Moreover, the changes in polyploid cell wall composition promoted saccharification yield. The results of this study indicate that induction of polyploidy is a promising breeding strategy to further tailor crops for biomass production.","author":[{"dropping-particle":"","family":"Corneillie","given":"Sander","non-dropping-particle":"","parse-names":false,"suffix":""},{"dropping-particle":"","family":"Storme","given":"Nico","non-dropping-particle":"De","parse-names":false,"suffix":""},{"dropping-particle":"","family":"Acker","given":"Rebecca","non-dropping-particle":"Van","parse-names":false,"suffix":""},{"dropping-particle":"","family":"Fangel","given":"Jonatan U.","non-dropping-particle":"","parse-names":false,"suffix":""},{"dropping-particle":"","family":"Bruyne","given":"Michiel","non-dropping-particle":"De","parse-names":false,"suffix":""},{"dropping-particle":"","family":"Rycke","given":"Riet","non-dropping-particle":"De","parse-names":false,"suffix":""},{"dropping-particle":"","family":"Geelen","given":"Danny","non-dropping-particle":"","parse-names":false,"suffix":""},{"dropping-particle":"","family":"Willats","given":"William G.T.","non-dropping-particle":"","parse-names":false,"suffix":""},{"dropping-particle":"","family":"Vanholme","given":"Bartel","non-dropping-particle":"","parse-names":false,"suffix":""},{"dropping-particle":"","family":"Boerjan","given":"Wout","non-dropping-particle":"","parse-names":false,"suffix":""}],"container-title":"Plant Physiology","id":"ITEM-1","issue":"1","issued":{"date-parts":[["2019"]]},"page":"74-87","title":"Polyploidy affects plant growth and alters cell wall composition","type":"article-journal","volume":"179"},"uris":["http://www.mendeley.com/documents/?uuid=8c47328e-3cdd-4116-87e3-68043ca2d27c"]}],"mendeley":{"formattedCitation":"(Corneillie et al., 2019)","manualFormatting":"Corneillie et al., 2019","plainTextFormattedCitation":"(Corneillie et al., 2019)","previouslyFormattedCitation":"(Corneillie et al., 2019)"},"properties":{"noteIndex":0},"schema":"https://github.com/citation-style-language/schema/raw/master/csl-citation.json"}</w:instrText>
      </w:r>
      <w:r w:rsidR="00D121A5" w:rsidRPr="00CF7B12">
        <w:rPr>
          <w:rFonts w:ascii="Times New Roman" w:eastAsia="Times New Roman" w:hAnsi="Times New Roman" w:cs="Times New Roman"/>
          <w:color w:val="000000" w:themeColor="text1"/>
          <w:kern w:val="0"/>
          <w:szCs w:val="24"/>
          <w:lang w:eastAsia="en-IN"/>
          <w14:ligatures w14:val="none"/>
        </w:rPr>
        <w:fldChar w:fldCharType="separate"/>
      </w:r>
      <w:r w:rsidR="00D121A5" w:rsidRPr="00CF7B12">
        <w:rPr>
          <w:rFonts w:ascii="Times New Roman" w:eastAsia="Times New Roman" w:hAnsi="Times New Roman" w:cs="Times New Roman"/>
          <w:noProof/>
          <w:color w:val="000000" w:themeColor="text1"/>
          <w:kern w:val="0"/>
          <w:szCs w:val="24"/>
          <w:lang w:eastAsia="en-IN"/>
          <w14:ligatures w14:val="none"/>
        </w:rPr>
        <w:t>Corneillie et al., 2019</w:t>
      </w:r>
      <w:r w:rsidR="00D121A5"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Ramsey &amp; Ramsey, 2014). </w:t>
      </w:r>
    </w:p>
    <w:p w14:paraId="2DB242EC" w14:textId="3FB220EF" w:rsidR="00B03EF1" w:rsidRPr="00CF7B12" w:rsidRDefault="00B03EF1" w:rsidP="00B03EF1">
      <w:pPr>
        <w:spacing w:after="120" w:line="360" w:lineRule="auto"/>
        <w:jc w:val="both"/>
        <w:rPr>
          <w:rFonts w:ascii="Times New Roman" w:hAnsi="Times New Roman" w:cs="Times New Roman"/>
          <w:b/>
          <w:bCs/>
          <w:color w:val="000000" w:themeColor="text1"/>
          <w:szCs w:val="24"/>
          <w:lang w:val="en-US"/>
        </w:rPr>
      </w:pPr>
      <w:r w:rsidRPr="00CF7B12">
        <w:rPr>
          <w:rFonts w:ascii="Times New Roman" w:hAnsi="Times New Roman" w:cs="Times New Roman"/>
          <w:b/>
          <w:bCs/>
          <w:color w:val="000000" w:themeColor="text1"/>
          <w:szCs w:val="24"/>
          <w:lang w:val="en-US"/>
        </w:rPr>
        <w:t xml:space="preserve">Table 2: Node and leaf base </w:t>
      </w:r>
      <w:proofErr w:type="spellStart"/>
      <w:r w:rsidRPr="00CF7B12">
        <w:rPr>
          <w:rFonts w:ascii="Times New Roman" w:hAnsi="Times New Roman" w:cs="Times New Roman"/>
          <w:b/>
          <w:bCs/>
          <w:color w:val="000000" w:themeColor="text1"/>
          <w:szCs w:val="24"/>
          <w:lang w:val="en-US"/>
        </w:rPr>
        <w:t>colour</w:t>
      </w:r>
      <w:proofErr w:type="spellEnd"/>
      <w:r w:rsidRPr="00CF7B12">
        <w:rPr>
          <w:rFonts w:ascii="Times New Roman" w:hAnsi="Times New Roman" w:cs="Times New Roman"/>
          <w:b/>
          <w:bCs/>
          <w:color w:val="000000" w:themeColor="text1"/>
          <w:szCs w:val="24"/>
          <w:lang w:val="en-US"/>
        </w:rPr>
        <w:t xml:space="preserve"> characteristics in different ploidy plants of guinea grass at 50% flowering stage</w:t>
      </w:r>
    </w:p>
    <w:p w14:paraId="2ABE2C8E" w14:textId="77777777" w:rsidR="00B03EF1" w:rsidRPr="00CF7B12" w:rsidRDefault="00B03EF1" w:rsidP="00B03EF1">
      <w:pPr>
        <w:spacing w:after="0" w:line="240" w:lineRule="auto"/>
        <w:jc w:val="both"/>
        <w:rPr>
          <w:rFonts w:ascii="Times New Roman" w:hAnsi="Times New Roman" w:cs="Times New Roman"/>
          <w:b/>
          <w:bCs/>
          <w:color w:val="000000" w:themeColor="text1"/>
          <w:szCs w:val="24"/>
          <w:lang w:val="en-US"/>
        </w:rPr>
      </w:pPr>
    </w:p>
    <w:tbl>
      <w:tblPr>
        <w:tblStyle w:val="TableGrid"/>
        <w:tblpPr w:leftFromText="180" w:rightFromText="180" w:vertAnchor="text" w:horzAnchor="margin" w:tblpY="-157"/>
        <w:tblW w:w="967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50"/>
        <w:gridCol w:w="851"/>
        <w:gridCol w:w="850"/>
        <w:gridCol w:w="851"/>
        <w:gridCol w:w="850"/>
        <w:gridCol w:w="856"/>
        <w:gridCol w:w="851"/>
        <w:gridCol w:w="850"/>
        <w:gridCol w:w="850"/>
        <w:gridCol w:w="1018"/>
      </w:tblGrid>
      <w:tr w:rsidR="00CF7B12" w:rsidRPr="00CF7B12" w14:paraId="13548EFD" w14:textId="77777777" w:rsidTr="00A316E0">
        <w:trPr>
          <w:trHeight w:val="234"/>
        </w:trPr>
        <w:tc>
          <w:tcPr>
            <w:tcW w:w="993" w:type="dxa"/>
            <w:vMerge w:val="restart"/>
            <w:tcBorders>
              <w:top w:val="single" w:sz="4" w:space="0" w:color="auto"/>
              <w:right w:val="single" w:sz="4" w:space="0" w:color="auto"/>
            </w:tcBorders>
            <w:hideMark/>
          </w:tcPr>
          <w:p w14:paraId="5CC00EB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Plants</w:t>
            </w:r>
          </w:p>
        </w:tc>
        <w:tc>
          <w:tcPr>
            <w:tcW w:w="3402" w:type="dxa"/>
            <w:gridSpan w:val="4"/>
            <w:tcBorders>
              <w:top w:val="single" w:sz="4" w:space="0" w:color="auto"/>
              <w:left w:val="single" w:sz="4" w:space="0" w:color="auto"/>
              <w:bottom w:val="single" w:sz="4" w:space="0" w:color="auto"/>
              <w:right w:val="single" w:sz="4" w:space="0" w:color="auto"/>
            </w:tcBorders>
            <w:hideMark/>
          </w:tcPr>
          <w:p w14:paraId="4F02499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 xml:space="preserve">Node </w:t>
            </w:r>
            <w:proofErr w:type="spellStart"/>
            <w:r w:rsidRPr="00CF7B12">
              <w:rPr>
                <w:rFonts w:ascii="Times New Roman" w:hAnsi="Times New Roman" w:cs="Times New Roman"/>
                <w:color w:val="000000" w:themeColor="text1"/>
                <w:szCs w:val="24"/>
                <w:lang w:val="en-US"/>
              </w:rPr>
              <w:t>colour</w:t>
            </w:r>
            <w:proofErr w:type="spellEnd"/>
          </w:p>
        </w:tc>
        <w:tc>
          <w:tcPr>
            <w:tcW w:w="5275" w:type="dxa"/>
            <w:gridSpan w:val="6"/>
            <w:tcBorders>
              <w:left w:val="single" w:sz="4" w:space="0" w:color="auto"/>
            </w:tcBorders>
            <w:hideMark/>
          </w:tcPr>
          <w:p w14:paraId="25CF0DE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 xml:space="preserve">Leaf base </w:t>
            </w:r>
            <w:proofErr w:type="spellStart"/>
            <w:r w:rsidRPr="00CF7B12">
              <w:rPr>
                <w:rFonts w:ascii="Times New Roman" w:hAnsi="Times New Roman" w:cs="Times New Roman"/>
                <w:color w:val="000000" w:themeColor="text1"/>
                <w:szCs w:val="24"/>
                <w:lang w:val="en-US"/>
              </w:rPr>
              <w:t>colour</w:t>
            </w:r>
            <w:proofErr w:type="spellEnd"/>
          </w:p>
        </w:tc>
      </w:tr>
      <w:tr w:rsidR="00CF7B12" w:rsidRPr="00CF7B12" w14:paraId="566A379A" w14:textId="77777777" w:rsidTr="00A316E0">
        <w:trPr>
          <w:trHeight w:val="582"/>
        </w:trPr>
        <w:tc>
          <w:tcPr>
            <w:tcW w:w="993" w:type="dxa"/>
            <w:vMerge/>
            <w:tcBorders>
              <w:bottom w:val="single" w:sz="4" w:space="0" w:color="auto"/>
              <w:right w:val="single" w:sz="4" w:space="0" w:color="auto"/>
            </w:tcBorders>
            <w:vAlign w:val="center"/>
            <w:hideMark/>
          </w:tcPr>
          <w:p w14:paraId="2DFE4B5D" w14:textId="77777777" w:rsidR="00B03EF1" w:rsidRPr="00CF7B12" w:rsidRDefault="00B03EF1" w:rsidP="00BF3173">
            <w:pPr>
              <w:jc w:val="both"/>
              <w:rPr>
                <w:rFonts w:ascii="Times New Roman" w:hAnsi="Times New Roman" w:cs="Times New Roman"/>
                <w:color w:val="000000" w:themeColor="text1"/>
                <w:szCs w:val="24"/>
                <w:lang w:val="en-US"/>
              </w:rPr>
            </w:pPr>
          </w:p>
        </w:tc>
        <w:tc>
          <w:tcPr>
            <w:tcW w:w="850" w:type="dxa"/>
            <w:tcBorders>
              <w:top w:val="single" w:sz="4" w:space="0" w:color="auto"/>
              <w:left w:val="single" w:sz="4" w:space="0" w:color="auto"/>
              <w:bottom w:val="single" w:sz="4" w:space="0" w:color="auto"/>
            </w:tcBorders>
            <w:hideMark/>
          </w:tcPr>
          <w:p w14:paraId="0F9E054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Yellow</w:t>
            </w:r>
          </w:p>
          <w:p w14:paraId="3C3C599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Borders>
              <w:top w:val="single" w:sz="4" w:space="0" w:color="auto"/>
              <w:bottom w:val="single" w:sz="4" w:space="0" w:color="auto"/>
            </w:tcBorders>
            <w:hideMark/>
          </w:tcPr>
          <w:p w14:paraId="7246D56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Light Violet</w:t>
            </w:r>
          </w:p>
          <w:p w14:paraId="22764D9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Borders>
              <w:top w:val="single" w:sz="4" w:space="0" w:color="auto"/>
              <w:bottom w:val="single" w:sz="4" w:space="0" w:color="auto"/>
            </w:tcBorders>
            <w:hideMark/>
          </w:tcPr>
          <w:p w14:paraId="2F8BDDC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Violet</w:t>
            </w:r>
          </w:p>
          <w:p w14:paraId="23C88E3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w:t>
            </w:r>
          </w:p>
        </w:tc>
        <w:tc>
          <w:tcPr>
            <w:tcW w:w="851" w:type="dxa"/>
            <w:tcBorders>
              <w:top w:val="single" w:sz="4" w:space="0" w:color="auto"/>
              <w:bottom w:val="single" w:sz="4" w:space="0" w:color="auto"/>
              <w:right w:val="single" w:sz="4" w:space="0" w:color="auto"/>
            </w:tcBorders>
            <w:hideMark/>
          </w:tcPr>
          <w:p w14:paraId="600482C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Dark Violet</w:t>
            </w:r>
          </w:p>
          <w:p w14:paraId="281B2D3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(DV)</w:t>
            </w:r>
          </w:p>
        </w:tc>
        <w:tc>
          <w:tcPr>
            <w:tcW w:w="850" w:type="dxa"/>
            <w:tcBorders>
              <w:top w:val="single" w:sz="4" w:space="0" w:color="auto"/>
              <w:left w:val="single" w:sz="4" w:space="0" w:color="auto"/>
              <w:bottom w:val="single" w:sz="4" w:space="0" w:color="auto"/>
            </w:tcBorders>
            <w:hideMark/>
          </w:tcPr>
          <w:p w14:paraId="35A1A38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Yellow</w:t>
            </w:r>
          </w:p>
          <w:p w14:paraId="150ADC5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6" w:type="dxa"/>
            <w:tcBorders>
              <w:top w:val="single" w:sz="4" w:space="0" w:color="auto"/>
              <w:bottom w:val="single" w:sz="4" w:space="0" w:color="auto"/>
            </w:tcBorders>
            <w:hideMark/>
          </w:tcPr>
          <w:p w14:paraId="5CB2CF5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Green</w:t>
            </w:r>
          </w:p>
          <w:p w14:paraId="52C9141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851" w:type="dxa"/>
            <w:tcBorders>
              <w:top w:val="single" w:sz="4" w:space="0" w:color="auto"/>
              <w:bottom w:val="single" w:sz="4" w:space="0" w:color="auto"/>
            </w:tcBorders>
            <w:hideMark/>
          </w:tcPr>
          <w:p w14:paraId="0715C91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Light Violet</w:t>
            </w:r>
          </w:p>
          <w:p w14:paraId="69D083C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Borders>
              <w:top w:val="single" w:sz="4" w:space="0" w:color="auto"/>
              <w:bottom w:val="single" w:sz="4" w:space="0" w:color="auto"/>
            </w:tcBorders>
            <w:hideMark/>
          </w:tcPr>
          <w:p w14:paraId="7F5C058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Violet</w:t>
            </w:r>
          </w:p>
          <w:p w14:paraId="084D6B5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w:t>
            </w:r>
          </w:p>
        </w:tc>
        <w:tc>
          <w:tcPr>
            <w:tcW w:w="850" w:type="dxa"/>
            <w:tcBorders>
              <w:top w:val="single" w:sz="4" w:space="0" w:color="auto"/>
              <w:bottom w:val="single" w:sz="4" w:space="0" w:color="auto"/>
            </w:tcBorders>
            <w:hideMark/>
          </w:tcPr>
          <w:p w14:paraId="1D1B5A7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Dark Violet</w:t>
            </w:r>
          </w:p>
          <w:p w14:paraId="3D69949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(DV)</w:t>
            </w:r>
          </w:p>
        </w:tc>
        <w:tc>
          <w:tcPr>
            <w:tcW w:w="1018" w:type="dxa"/>
            <w:tcBorders>
              <w:top w:val="single" w:sz="4" w:space="0" w:color="auto"/>
              <w:bottom w:val="single" w:sz="4" w:space="0" w:color="auto"/>
            </w:tcBorders>
            <w:hideMark/>
          </w:tcPr>
          <w:p w14:paraId="16764225" w14:textId="77777777" w:rsidR="00B03EF1" w:rsidRPr="00CF7B12" w:rsidRDefault="00B03EF1" w:rsidP="00BF3173">
            <w:pPr>
              <w:jc w:val="both"/>
              <w:rPr>
                <w:rFonts w:ascii="Times New Roman" w:hAnsi="Times New Roman" w:cs="Times New Roman"/>
                <w:color w:val="000000" w:themeColor="text1"/>
                <w:szCs w:val="24"/>
                <w:lang w:val="en-US"/>
              </w:rPr>
            </w:pPr>
            <w:proofErr w:type="spellStart"/>
            <w:r w:rsidRPr="00CF7B12">
              <w:rPr>
                <w:rFonts w:ascii="Times New Roman" w:hAnsi="Times New Roman" w:cs="Times New Roman"/>
                <w:color w:val="000000" w:themeColor="text1"/>
                <w:szCs w:val="24"/>
                <w:lang w:val="en-US"/>
              </w:rPr>
              <w:t>Yellow+Violet</w:t>
            </w:r>
            <w:proofErr w:type="spellEnd"/>
          </w:p>
          <w:p w14:paraId="51D43E6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(Y+V)</w:t>
            </w:r>
          </w:p>
        </w:tc>
      </w:tr>
      <w:tr w:rsidR="00CF7B12" w:rsidRPr="00CF7B12" w14:paraId="17FAE682" w14:textId="77777777" w:rsidTr="00A316E0">
        <w:trPr>
          <w:trHeight w:val="226"/>
        </w:trPr>
        <w:tc>
          <w:tcPr>
            <w:tcW w:w="993" w:type="dxa"/>
            <w:tcBorders>
              <w:top w:val="single" w:sz="4" w:space="0" w:color="auto"/>
              <w:right w:val="single" w:sz="4" w:space="0" w:color="auto"/>
            </w:tcBorders>
            <w:vAlign w:val="center"/>
            <w:hideMark/>
          </w:tcPr>
          <w:p w14:paraId="43E3EE6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850" w:type="dxa"/>
            <w:tcBorders>
              <w:top w:val="single" w:sz="4" w:space="0" w:color="auto"/>
              <w:left w:val="single" w:sz="4" w:space="0" w:color="auto"/>
            </w:tcBorders>
            <w:hideMark/>
          </w:tcPr>
          <w:p w14:paraId="1A3DCEF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Borders>
              <w:top w:val="single" w:sz="4" w:space="0" w:color="auto"/>
            </w:tcBorders>
          </w:tcPr>
          <w:p w14:paraId="503ABD7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single" w:sz="4" w:space="0" w:color="auto"/>
            </w:tcBorders>
          </w:tcPr>
          <w:p w14:paraId="78844EB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single" w:sz="4" w:space="0" w:color="auto"/>
              <w:right w:val="single" w:sz="4" w:space="0" w:color="auto"/>
            </w:tcBorders>
          </w:tcPr>
          <w:p w14:paraId="06CD527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single" w:sz="4" w:space="0" w:color="auto"/>
              <w:left w:val="single" w:sz="4" w:space="0" w:color="auto"/>
            </w:tcBorders>
          </w:tcPr>
          <w:p w14:paraId="0DE1AD3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Borders>
              <w:top w:val="single" w:sz="4" w:space="0" w:color="auto"/>
            </w:tcBorders>
            <w:hideMark/>
          </w:tcPr>
          <w:p w14:paraId="25BF1F3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851" w:type="dxa"/>
            <w:tcBorders>
              <w:top w:val="single" w:sz="4" w:space="0" w:color="auto"/>
            </w:tcBorders>
          </w:tcPr>
          <w:p w14:paraId="301CC9E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single" w:sz="4" w:space="0" w:color="auto"/>
            </w:tcBorders>
          </w:tcPr>
          <w:p w14:paraId="5B7AB61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single" w:sz="4" w:space="0" w:color="auto"/>
            </w:tcBorders>
          </w:tcPr>
          <w:p w14:paraId="0DA7ED3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Borders>
              <w:top w:val="single" w:sz="4" w:space="0" w:color="auto"/>
            </w:tcBorders>
          </w:tcPr>
          <w:p w14:paraId="7E44298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D8B823C" w14:textId="77777777" w:rsidTr="00A316E0">
        <w:trPr>
          <w:trHeight w:val="237"/>
        </w:trPr>
        <w:tc>
          <w:tcPr>
            <w:tcW w:w="993" w:type="dxa"/>
            <w:tcBorders>
              <w:top w:val="nil"/>
              <w:right w:val="single" w:sz="4" w:space="0" w:color="auto"/>
            </w:tcBorders>
            <w:vAlign w:val="center"/>
            <w:hideMark/>
          </w:tcPr>
          <w:p w14:paraId="0F69CC7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850" w:type="dxa"/>
            <w:tcBorders>
              <w:top w:val="nil"/>
              <w:left w:val="single" w:sz="4" w:space="0" w:color="auto"/>
            </w:tcBorders>
            <w:hideMark/>
          </w:tcPr>
          <w:p w14:paraId="68D4BBE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Borders>
              <w:top w:val="nil"/>
            </w:tcBorders>
          </w:tcPr>
          <w:p w14:paraId="4439773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tcBorders>
          </w:tcPr>
          <w:p w14:paraId="6BA055B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nil"/>
              <w:right w:val="single" w:sz="4" w:space="0" w:color="auto"/>
            </w:tcBorders>
          </w:tcPr>
          <w:p w14:paraId="0104752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left w:val="single" w:sz="4" w:space="0" w:color="auto"/>
            </w:tcBorders>
          </w:tcPr>
          <w:p w14:paraId="230EBA1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Borders>
              <w:top w:val="nil"/>
            </w:tcBorders>
            <w:hideMark/>
          </w:tcPr>
          <w:p w14:paraId="0705362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nil"/>
            </w:tcBorders>
          </w:tcPr>
          <w:p w14:paraId="6DFA836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tcBorders>
          </w:tcPr>
          <w:p w14:paraId="3E905F8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tcBorders>
          </w:tcPr>
          <w:p w14:paraId="43AD6A0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Borders>
              <w:top w:val="nil"/>
            </w:tcBorders>
          </w:tcPr>
          <w:p w14:paraId="6EC959E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Y+V</w:t>
            </w:r>
          </w:p>
        </w:tc>
      </w:tr>
      <w:tr w:rsidR="00CF7B12" w:rsidRPr="00CF7B12" w14:paraId="23DE4095" w14:textId="77777777" w:rsidTr="00A316E0">
        <w:trPr>
          <w:trHeight w:val="234"/>
        </w:trPr>
        <w:tc>
          <w:tcPr>
            <w:tcW w:w="993" w:type="dxa"/>
            <w:tcBorders>
              <w:right w:val="single" w:sz="4" w:space="0" w:color="auto"/>
            </w:tcBorders>
            <w:vAlign w:val="center"/>
            <w:hideMark/>
          </w:tcPr>
          <w:p w14:paraId="2C1006F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850" w:type="dxa"/>
            <w:tcBorders>
              <w:left w:val="single" w:sz="4" w:space="0" w:color="auto"/>
            </w:tcBorders>
          </w:tcPr>
          <w:p w14:paraId="7DE93E3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Pr>
          <w:p w14:paraId="7806006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hideMark/>
          </w:tcPr>
          <w:p w14:paraId="19496F1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w:t>
            </w:r>
          </w:p>
        </w:tc>
        <w:tc>
          <w:tcPr>
            <w:tcW w:w="851" w:type="dxa"/>
            <w:tcBorders>
              <w:right w:val="single" w:sz="4" w:space="0" w:color="auto"/>
            </w:tcBorders>
          </w:tcPr>
          <w:p w14:paraId="3136B35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tcPr>
          <w:p w14:paraId="1A8A29F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6" w:type="dxa"/>
            <w:hideMark/>
          </w:tcPr>
          <w:p w14:paraId="4178555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Pr>
          <w:p w14:paraId="406E294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5D3206E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634050D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35694DE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0A792EA" w14:textId="77777777" w:rsidTr="00A316E0">
        <w:trPr>
          <w:trHeight w:val="234"/>
        </w:trPr>
        <w:tc>
          <w:tcPr>
            <w:tcW w:w="993" w:type="dxa"/>
            <w:tcBorders>
              <w:right w:val="single" w:sz="4" w:space="0" w:color="auto"/>
            </w:tcBorders>
            <w:vAlign w:val="center"/>
            <w:hideMark/>
          </w:tcPr>
          <w:p w14:paraId="2060474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850" w:type="dxa"/>
            <w:tcBorders>
              <w:left w:val="single" w:sz="4" w:space="0" w:color="auto"/>
            </w:tcBorders>
            <w:hideMark/>
          </w:tcPr>
          <w:p w14:paraId="289C578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Pr>
          <w:p w14:paraId="10D58D0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6B8F78D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right w:val="single" w:sz="4" w:space="0" w:color="auto"/>
            </w:tcBorders>
          </w:tcPr>
          <w:p w14:paraId="7A1AC3C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tcPr>
          <w:p w14:paraId="6FD507F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hideMark/>
          </w:tcPr>
          <w:p w14:paraId="5A9ED5B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851" w:type="dxa"/>
          </w:tcPr>
          <w:p w14:paraId="1A79784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410797A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5B52B2E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0EA6D0D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24989BB8" w14:textId="77777777" w:rsidTr="00A316E0">
        <w:trPr>
          <w:trHeight w:val="234"/>
        </w:trPr>
        <w:tc>
          <w:tcPr>
            <w:tcW w:w="993" w:type="dxa"/>
            <w:tcBorders>
              <w:right w:val="single" w:sz="4" w:space="0" w:color="auto"/>
            </w:tcBorders>
            <w:vAlign w:val="center"/>
            <w:hideMark/>
          </w:tcPr>
          <w:p w14:paraId="27BBF2A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850" w:type="dxa"/>
            <w:tcBorders>
              <w:left w:val="single" w:sz="4" w:space="0" w:color="auto"/>
            </w:tcBorders>
          </w:tcPr>
          <w:p w14:paraId="70599E4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hideMark/>
          </w:tcPr>
          <w:p w14:paraId="3919016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Pr>
          <w:p w14:paraId="0F5875F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right w:val="single" w:sz="4" w:space="0" w:color="auto"/>
            </w:tcBorders>
          </w:tcPr>
          <w:p w14:paraId="4FB21D2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hideMark/>
          </w:tcPr>
          <w:p w14:paraId="7F15699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6" w:type="dxa"/>
          </w:tcPr>
          <w:p w14:paraId="73817CF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Pr>
          <w:p w14:paraId="49A3A37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25C1D0D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177570B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0F72078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27D6B06D" w14:textId="77777777" w:rsidTr="00A316E0">
        <w:trPr>
          <w:trHeight w:val="234"/>
        </w:trPr>
        <w:tc>
          <w:tcPr>
            <w:tcW w:w="993" w:type="dxa"/>
            <w:tcBorders>
              <w:right w:val="single" w:sz="4" w:space="0" w:color="auto"/>
            </w:tcBorders>
            <w:vAlign w:val="center"/>
            <w:hideMark/>
          </w:tcPr>
          <w:p w14:paraId="0D9AA01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850" w:type="dxa"/>
            <w:tcBorders>
              <w:left w:val="single" w:sz="4" w:space="0" w:color="auto"/>
            </w:tcBorders>
          </w:tcPr>
          <w:p w14:paraId="7FFD29D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hideMark/>
          </w:tcPr>
          <w:p w14:paraId="2E3AE48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Pr>
          <w:p w14:paraId="245D537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right w:val="single" w:sz="4" w:space="0" w:color="auto"/>
            </w:tcBorders>
          </w:tcPr>
          <w:p w14:paraId="2B5839A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tcPr>
          <w:p w14:paraId="72A8765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Pr>
          <w:p w14:paraId="43D0A3B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hideMark/>
          </w:tcPr>
          <w:p w14:paraId="3624D79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Pr>
          <w:p w14:paraId="3E6F228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488C861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5201BDA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3B848A6" w14:textId="77777777" w:rsidTr="00A316E0">
        <w:trPr>
          <w:trHeight w:val="234"/>
        </w:trPr>
        <w:tc>
          <w:tcPr>
            <w:tcW w:w="993" w:type="dxa"/>
            <w:tcBorders>
              <w:right w:val="single" w:sz="4" w:space="0" w:color="auto"/>
            </w:tcBorders>
            <w:vAlign w:val="center"/>
            <w:hideMark/>
          </w:tcPr>
          <w:p w14:paraId="723B14D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850" w:type="dxa"/>
            <w:tcBorders>
              <w:left w:val="single" w:sz="4" w:space="0" w:color="auto"/>
            </w:tcBorders>
          </w:tcPr>
          <w:p w14:paraId="5F9C8F9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hideMark/>
          </w:tcPr>
          <w:p w14:paraId="143D994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Pr>
          <w:p w14:paraId="1A2F0C1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right w:val="single" w:sz="4" w:space="0" w:color="auto"/>
            </w:tcBorders>
          </w:tcPr>
          <w:p w14:paraId="19EED40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hideMark/>
          </w:tcPr>
          <w:p w14:paraId="7A47C61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Pr>
          <w:p w14:paraId="2E871BC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851" w:type="dxa"/>
          </w:tcPr>
          <w:p w14:paraId="1041566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359D186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66BDA62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149BAFE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8B6156C" w14:textId="77777777" w:rsidTr="00A316E0">
        <w:trPr>
          <w:trHeight w:val="277"/>
        </w:trPr>
        <w:tc>
          <w:tcPr>
            <w:tcW w:w="993" w:type="dxa"/>
            <w:tcBorders>
              <w:bottom w:val="nil"/>
              <w:right w:val="single" w:sz="4" w:space="0" w:color="auto"/>
            </w:tcBorders>
            <w:vAlign w:val="center"/>
            <w:hideMark/>
          </w:tcPr>
          <w:p w14:paraId="3FC7DB5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850" w:type="dxa"/>
            <w:tcBorders>
              <w:left w:val="single" w:sz="4" w:space="0" w:color="auto"/>
              <w:bottom w:val="nil"/>
            </w:tcBorders>
          </w:tcPr>
          <w:p w14:paraId="7135E2E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bottom w:val="nil"/>
            </w:tcBorders>
          </w:tcPr>
          <w:p w14:paraId="3B4DC8E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bottom w:val="nil"/>
            </w:tcBorders>
          </w:tcPr>
          <w:p w14:paraId="32200C0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bottom w:val="nil"/>
              <w:right w:val="single" w:sz="4" w:space="0" w:color="auto"/>
            </w:tcBorders>
            <w:hideMark/>
          </w:tcPr>
          <w:p w14:paraId="127A031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DV</w:t>
            </w:r>
          </w:p>
        </w:tc>
        <w:tc>
          <w:tcPr>
            <w:tcW w:w="850" w:type="dxa"/>
            <w:tcBorders>
              <w:left w:val="single" w:sz="4" w:space="0" w:color="auto"/>
              <w:bottom w:val="nil"/>
            </w:tcBorders>
          </w:tcPr>
          <w:p w14:paraId="6DD4888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Borders>
              <w:bottom w:val="nil"/>
            </w:tcBorders>
          </w:tcPr>
          <w:p w14:paraId="0D87803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bottom w:val="nil"/>
            </w:tcBorders>
          </w:tcPr>
          <w:p w14:paraId="224E5C2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Borders>
              <w:bottom w:val="nil"/>
            </w:tcBorders>
            <w:hideMark/>
          </w:tcPr>
          <w:p w14:paraId="33330BE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bottom w:val="nil"/>
            </w:tcBorders>
          </w:tcPr>
          <w:p w14:paraId="485C89C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Borders>
              <w:bottom w:val="nil"/>
            </w:tcBorders>
          </w:tcPr>
          <w:p w14:paraId="211EE14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16A48F8" w14:textId="77777777" w:rsidTr="00A316E0">
        <w:trPr>
          <w:trHeight w:val="286"/>
        </w:trPr>
        <w:tc>
          <w:tcPr>
            <w:tcW w:w="993" w:type="dxa"/>
            <w:tcBorders>
              <w:top w:val="nil"/>
              <w:bottom w:val="single" w:sz="4" w:space="0" w:color="auto"/>
              <w:right w:val="single" w:sz="4" w:space="0" w:color="auto"/>
            </w:tcBorders>
            <w:vAlign w:val="center"/>
            <w:hideMark/>
          </w:tcPr>
          <w:p w14:paraId="3C60B0E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850" w:type="dxa"/>
            <w:tcBorders>
              <w:top w:val="nil"/>
              <w:left w:val="single" w:sz="4" w:space="0" w:color="auto"/>
              <w:bottom w:val="single" w:sz="4" w:space="0" w:color="auto"/>
            </w:tcBorders>
          </w:tcPr>
          <w:p w14:paraId="646F00CE" w14:textId="2EFFC173" w:rsidR="00B03EF1" w:rsidRPr="00CF7B12" w:rsidRDefault="005131AB"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Borders>
              <w:top w:val="nil"/>
              <w:bottom w:val="single" w:sz="4" w:space="0" w:color="auto"/>
            </w:tcBorders>
          </w:tcPr>
          <w:p w14:paraId="117EC0D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bottom w:val="single" w:sz="4" w:space="0" w:color="auto"/>
            </w:tcBorders>
          </w:tcPr>
          <w:p w14:paraId="46B8E86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nil"/>
              <w:bottom w:val="single" w:sz="4" w:space="0" w:color="auto"/>
              <w:right w:val="single" w:sz="4" w:space="0" w:color="auto"/>
            </w:tcBorders>
          </w:tcPr>
          <w:p w14:paraId="3EB95BCA" w14:textId="24AD1D6A" w:rsidR="00B03EF1" w:rsidRPr="00CF7B12" w:rsidRDefault="00B03EF1" w:rsidP="00BF3173">
            <w:pPr>
              <w:jc w:val="both"/>
              <w:rPr>
                <w:rFonts w:ascii="Times New Roman" w:hAnsi="Times New Roman" w:cs="Times New Roman"/>
                <w:color w:val="000000" w:themeColor="text1"/>
                <w:szCs w:val="24"/>
                <w:lang w:val="en-US"/>
              </w:rPr>
            </w:pPr>
          </w:p>
        </w:tc>
        <w:tc>
          <w:tcPr>
            <w:tcW w:w="850" w:type="dxa"/>
            <w:tcBorders>
              <w:top w:val="nil"/>
              <w:left w:val="single" w:sz="4" w:space="0" w:color="auto"/>
              <w:bottom w:val="single" w:sz="4" w:space="0" w:color="auto"/>
            </w:tcBorders>
            <w:hideMark/>
          </w:tcPr>
          <w:p w14:paraId="6803251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6" w:type="dxa"/>
            <w:tcBorders>
              <w:top w:val="nil"/>
              <w:bottom w:val="single" w:sz="4" w:space="0" w:color="auto"/>
            </w:tcBorders>
          </w:tcPr>
          <w:p w14:paraId="5BB2622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nil"/>
              <w:bottom w:val="single" w:sz="4" w:space="0" w:color="auto"/>
            </w:tcBorders>
          </w:tcPr>
          <w:p w14:paraId="656C75F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bottom w:val="single" w:sz="4" w:space="0" w:color="auto"/>
            </w:tcBorders>
          </w:tcPr>
          <w:p w14:paraId="0CF671F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bottom w:val="single" w:sz="4" w:space="0" w:color="auto"/>
            </w:tcBorders>
          </w:tcPr>
          <w:p w14:paraId="657F573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Borders>
              <w:top w:val="nil"/>
              <w:bottom w:val="single" w:sz="4" w:space="0" w:color="auto"/>
            </w:tcBorders>
          </w:tcPr>
          <w:p w14:paraId="6141B93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bl>
    <w:p w14:paraId="7F2157B0" w14:textId="74DEDFC3" w:rsidR="003808E1" w:rsidRPr="00CF7B12" w:rsidRDefault="003808E1" w:rsidP="00A82EC4">
      <w:pPr>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Leaf orientation and leaf color</w:t>
      </w:r>
    </w:p>
    <w:p w14:paraId="3D2DEC4E" w14:textId="739E4173" w:rsidR="003808E1" w:rsidRPr="00CF7B12" w:rsidRDefault="003808E1" w:rsidP="00B93812">
      <w:pPr>
        <w:spacing w:after="120" w:line="360" w:lineRule="auto"/>
        <w:jc w:val="both"/>
        <w:rPr>
          <w:rFonts w:ascii="Times New Roman" w:eastAsia="Aptos" w:hAnsi="Times New Roman" w:cs="Times New Roman"/>
          <w:color w:val="000000" w:themeColor="text1"/>
          <w:szCs w:val="24"/>
        </w:rPr>
      </w:pPr>
      <w:r w:rsidRPr="00CF7B12">
        <w:rPr>
          <w:rFonts w:ascii="Times New Roman" w:eastAsia="Aptos" w:hAnsi="Times New Roman" w:cs="Times New Roman"/>
          <w:color w:val="000000" w:themeColor="text1"/>
          <w:szCs w:val="24"/>
        </w:rPr>
        <w:t>Leaf orientation in the plants with 4x and 11x ploidy levels exhibited an erect leaf orientation. While, semi-drooping leaf orientation was observed predominantly in 3x, 5x, 6x, 7x, 9x ploidy levels and SRP75 plants and drooping leaf orientation was found in 8x plants, signifying a distinct orientation expression at this ploidy level</w:t>
      </w:r>
      <w:r w:rsidR="00B93812" w:rsidRPr="00CF7B12">
        <w:rPr>
          <w:rFonts w:ascii="Times New Roman" w:eastAsia="Aptos" w:hAnsi="Times New Roman" w:cs="Times New Roman"/>
          <w:color w:val="000000" w:themeColor="text1"/>
          <w:szCs w:val="24"/>
        </w:rPr>
        <w:t xml:space="preserve"> (Table 3)</w:t>
      </w:r>
      <w:r w:rsidRPr="00CF7B12">
        <w:rPr>
          <w:rFonts w:ascii="Times New Roman" w:eastAsia="Aptos" w:hAnsi="Times New Roman" w:cs="Times New Roman"/>
          <w:color w:val="000000" w:themeColor="text1"/>
          <w:szCs w:val="24"/>
        </w:rPr>
        <w:t xml:space="preserve">. Additionally, light green leaf colour was common across a wide range of ploidy levels, including 3x, 4x, 7x, 9x and SRP75 plants. </w:t>
      </w:r>
      <w:r w:rsidRPr="00CF7B12">
        <w:rPr>
          <w:rFonts w:ascii="Times New Roman" w:eastAsia="Aptos" w:hAnsi="Times New Roman" w:cs="Times New Roman"/>
          <w:color w:val="000000" w:themeColor="text1"/>
          <w:szCs w:val="24"/>
        </w:rPr>
        <w:lastRenderedPageBreak/>
        <w:t xml:space="preserve">Green leaf colour was observed in 5x, 6x and 8x. Notably, dark green leaf colour was restricted to plants with 6x and 11x ploidy. </w:t>
      </w:r>
    </w:p>
    <w:p w14:paraId="0433A50D" w14:textId="6CB5DB9C" w:rsidR="003808E1" w:rsidRPr="00CF7B12" w:rsidRDefault="003808E1" w:rsidP="003808E1">
      <w:pPr>
        <w:spacing w:after="120" w:line="360" w:lineRule="auto"/>
        <w:ind w:firstLine="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The variation in leaf orientation and leaf </w:t>
      </w:r>
      <w:proofErr w:type="spellStart"/>
      <w:r w:rsidRPr="00CF7B12">
        <w:rPr>
          <w:rFonts w:ascii="Times New Roman" w:eastAsia="Times New Roman" w:hAnsi="Times New Roman" w:cs="Times New Roman"/>
          <w:color w:val="000000" w:themeColor="text1"/>
          <w:kern w:val="0"/>
          <w:szCs w:val="24"/>
          <w:lang w:eastAsia="en-IN"/>
          <w14:ligatures w14:val="none"/>
        </w:rPr>
        <w:t>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across different ploidy levels of guinea grass provides valuable insights into the morphological adaptations associated with polyploidy. The observed erect leaf orientation in 4x and 11x plants suggests a potential structural adaptation that may enhance light capture efficiency, a trait commonly associated with increased biomass accumulation in polyploid plants (Levin, 2002; Stebbins, 1971). In contrast, the prevalence of semi-drooping leaf orientation in 3x, 5x, 6x, 7x, 9x, and SRP75 plants, along with the distinct drooping orientation in 8x plants, indicates that leaf architecture may be influenced by ploidy-related changes in cellular composition and mechanical properties (Ramsey &amp; </w:t>
      </w:r>
      <w:proofErr w:type="spellStart"/>
      <w:r w:rsidRPr="00CF7B12">
        <w:rPr>
          <w:rFonts w:ascii="Times New Roman" w:eastAsia="Times New Roman" w:hAnsi="Times New Roman" w:cs="Times New Roman"/>
          <w:color w:val="000000" w:themeColor="text1"/>
          <w:kern w:val="0"/>
          <w:szCs w:val="24"/>
          <w:lang w:eastAsia="en-IN"/>
          <w14:ligatures w14:val="none"/>
        </w:rPr>
        <w:t>Schemske</w:t>
      </w:r>
      <w:proofErr w:type="spellEnd"/>
      <w:r w:rsidRPr="00CF7B12">
        <w:rPr>
          <w:rFonts w:ascii="Times New Roman" w:eastAsia="Times New Roman" w:hAnsi="Times New Roman" w:cs="Times New Roman"/>
          <w:color w:val="000000" w:themeColor="text1"/>
          <w:kern w:val="0"/>
          <w:szCs w:val="24"/>
          <w:lang w:eastAsia="en-IN"/>
          <w14:ligatures w14:val="none"/>
        </w:rPr>
        <w:t>, 1998).</w:t>
      </w:r>
      <w:r w:rsidR="00463F45"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The distinct distribution of leaf orientation and leaf </w:t>
      </w:r>
      <w:proofErr w:type="spellStart"/>
      <w:r w:rsidRPr="00CF7B12">
        <w:rPr>
          <w:rFonts w:ascii="Times New Roman" w:eastAsia="Times New Roman" w:hAnsi="Times New Roman" w:cs="Times New Roman"/>
          <w:color w:val="000000" w:themeColor="text1"/>
          <w:kern w:val="0"/>
          <w:szCs w:val="24"/>
          <w:lang w:eastAsia="en-IN"/>
          <w14:ligatures w14:val="none"/>
        </w:rPr>
        <w:t>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traits among different ploidy levels aligns with previous research on the morphological effects of polyploidy, where genome doubling has been associated with altered growth forms and pigment expression (Soltis &amp; Soltis, 2012; </w:t>
      </w:r>
      <w:r w:rsidR="00F80C0F" w:rsidRPr="00CF7B12">
        <w:rPr>
          <w:rFonts w:ascii="Times New Roman" w:eastAsia="Times New Roman" w:hAnsi="Times New Roman" w:cs="Times New Roman"/>
          <w:color w:val="000000" w:themeColor="text1"/>
          <w:kern w:val="0"/>
          <w:szCs w:val="24"/>
          <w:lang w:eastAsia="en-IN"/>
          <w14:ligatures w14:val="none"/>
        </w:rPr>
        <w:fldChar w:fldCharType="begin" w:fldLock="1"/>
      </w:r>
      <w:r w:rsidR="004A33F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{"citationItems":[{"id":"ITEM-1","itemData":{"DOI":"10.1104/pp.18.00967","ISSN":"15322548","PMID":"30301776","abstract":"Polyploidization has played a key role in plant breeding and crop improvement. Although its potential to increase biomass yield is well described, the effect of polyploidization on biomass composition has largely remained unexplored. Here, we generated a series of Arabidopsis (Arabidopsis thaliana) plants with different somatic ploidy levels (2n, 4n, 6n, and 8n) and performed rigorous phenotypic characterization. Kinematic analysis showed that polyploids developed slower compared to diploids; however, tetra-and hexaploids, but not octaploids, generated larger rosettes due to delayed flowering. In addition, morphometric analysis of leaves showed that polyploidy affected epidermal pavement cells, with increased cell size and reduced cell number per leaf blade with incrementing ploidy. However, the inflorescence stem dry weight was highest in tetraploids. Cell wall characterization revealed that the basic somatic ploidy level negatively correlated with lignin and cellulose content, and positively correlated with matrix polysaccharide content (i.e. hemicellulose and pectin) in the stem tissue. In addition, higher ploidy plants displayed altered sugar composition. Such effects were linked to the delayed development of polyploids. Moreover, the changes in polyploid cell wall composition promoted saccharification yield. The results of this study indicate that induction of polyploidy is a promising breeding strategy to further tailor crops for biomass production.","author":[{"dropping-particle":"","family":"Corneillie","given":"Sander","non-dropping-particle":"","parse-names":false,"suffix":""},{"dropping-particle":"","family":"Storme","given":"Nico","non-dropping-particle":"De","parse-names":false,"suffix":""},{"dropping-particle":"","family":"Acker","given":"Rebecca","non-dropping-particle":"Van","parse-names":false,"suffix":""},{"dropping-particle":"","family":"Fangel","given":"Jonatan U.","non-dropping-particle":"","parse-names":false,"suffix":""},{"dropping-particle":"","family":"Bruyne","given":"Michiel","non-dropping-particle":"De","parse-names":false,"suffix":""},{"dropping-particle":"","family":"Rycke","given":"Riet","non-dropping-particle":"De","parse-names":false,"suffix":""},{"dropping-particle":"","family":"Geelen","given":"Danny","non-dropping-particle":"","parse-names":false,"suffix":""},{"dropping-particle":"","family":"Willats","given":"William G.T.","non-dropping-particle":"","parse-names":false,"suffix":""},{"dropping-particle":"","family":"Vanholme","given":"Bartel","non-dropping-particle":"","parse-names":false,"suffix":""},{"dropping-particle":"","family":"Boerjan","given":"Wout","non-dropping-particle":"","parse-names":false,"suffix":""}],"container-title":"Plant Physiology","id":"ITEM-1","issue":"1","issued":{"date-parts":[["2019"]]},"page":"74-87","title":"Polyploidy affects plant growth and alters cell wall composition","type":"article-journal","volume":"179"},"uris":["http://www.mendeley.com/documents/?uuid=8c47328e-3cdd-4116-87e3-68043ca2d27c"]}],"mendeley":{"formattedCitation":"(Corneillie et al., 2019)","manualFormatting":"Corneillie et al., 2019","plainTextFormattedCitation":"(Corneillie et al., 2019)","previouslyFormattedCitation":"(Corneillie et al., 2019)"},"properties":{"noteIndex":0},"schema":"https://github.com/citation-style-language/schema/raw/master/csl-citation.json"}</w:instrText>
      </w:r>
      <w:r w:rsidR="00F80C0F" w:rsidRPr="00CF7B12">
        <w:rPr>
          <w:rFonts w:ascii="Times New Roman" w:eastAsia="Times New Roman" w:hAnsi="Times New Roman" w:cs="Times New Roman"/>
          <w:color w:val="000000" w:themeColor="text1"/>
          <w:kern w:val="0"/>
          <w:szCs w:val="24"/>
          <w:lang w:eastAsia="en-IN"/>
          <w14:ligatures w14:val="none"/>
        </w:rPr>
        <w:fldChar w:fldCharType="separate"/>
      </w:r>
      <w:r w:rsidR="00F80C0F" w:rsidRPr="00CF7B12">
        <w:rPr>
          <w:rFonts w:ascii="Times New Roman" w:eastAsia="Times New Roman" w:hAnsi="Times New Roman" w:cs="Times New Roman"/>
          <w:noProof/>
          <w:color w:val="000000" w:themeColor="text1"/>
          <w:kern w:val="0"/>
          <w:szCs w:val="24"/>
          <w:lang w:eastAsia="en-IN"/>
          <w14:ligatures w14:val="none"/>
        </w:rPr>
        <w:t>Corneillie et al., 2019</w:t>
      </w:r>
      <w:r w:rsidR="00F80C0F"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w:t>
      </w:r>
    </w:p>
    <w:p w14:paraId="68829E99" w14:textId="77777777" w:rsidR="00B03EF1" w:rsidRPr="00CF7B12" w:rsidRDefault="00B03EF1" w:rsidP="00B03EF1">
      <w:pPr>
        <w:spacing w:after="120" w:line="360" w:lineRule="auto"/>
        <w:jc w:val="both"/>
        <w:rPr>
          <w:rFonts w:ascii="Times New Roman" w:hAnsi="Times New Roman" w:cs="Times New Roman"/>
          <w:b/>
          <w:bCs/>
          <w:color w:val="000000" w:themeColor="text1"/>
          <w:szCs w:val="24"/>
          <w:lang w:val="en-US"/>
        </w:rPr>
      </w:pPr>
      <w:r w:rsidRPr="00CF7B12">
        <w:rPr>
          <w:rFonts w:ascii="Times New Roman" w:hAnsi="Times New Roman" w:cs="Times New Roman"/>
          <w:b/>
          <w:bCs/>
          <w:color w:val="000000" w:themeColor="text1"/>
          <w:szCs w:val="24"/>
          <w:lang w:val="en-US"/>
        </w:rPr>
        <w:t xml:space="preserve">Table 3: Leaf orientation and leaf </w:t>
      </w:r>
      <w:proofErr w:type="spellStart"/>
      <w:r w:rsidRPr="00CF7B12">
        <w:rPr>
          <w:rFonts w:ascii="Times New Roman" w:hAnsi="Times New Roman" w:cs="Times New Roman"/>
          <w:b/>
          <w:bCs/>
          <w:color w:val="000000" w:themeColor="text1"/>
          <w:szCs w:val="24"/>
          <w:lang w:val="en-US"/>
        </w:rPr>
        <w:t>colour</w:t>
      </w:r>
      <w:proofErr w:type="spellEnd"/>
      <w:r w:rsidRPr="00CF7B12">
        <w:rPr>
          <w:rFonts w:ascii="Times New Roman" w:hAnsi="Times New Roman" w:cs="Times New Roman"/>
          <w:b/>
          <w:bCs/>
          <w:color w:val="000000" w:themeColor="text1"/>
          <w:szCs w:val="24"/>
          <w:lang w:val="en-US"/>
        </w:rPr>
        <w:t xml:space="preserve"> characteristics in different ploidy plants of guinea grass at 50% flowering stage</w:t>
      </w:r>
    </w:p>
    <w:tbl>
      <w:tblPr>
        <w:tblStyle w:val="TableGrid"/>
        <w:tblW w:w="9520"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252"/>
        <w:gridCol w:w="1776"/>
        <w:gridCol w:w="1490"/>
        <w:gridCol w:w="1524"/>
        <w:gridCol w:w="1131"/>
        <w:gridCol w:w="1369"/>
      </w:tblGrid>
      <w:tr w:rsidR="00CF7B12" w:rsidRPr="00CF7B12" w14:paraId="0519CF4E" w14:textId="77777777" w:rsidTr="00484C70">
        <w:trPr>
          <w:trHeight w:val="211"/>
        </w:trPr>
        <w:tc>
          <w:tcPr>
            <w:tcW w:w="978" w:type="dxa"/>
            <w:vMerge w:val="restart"/>
            <w:tcBorders>
              <w:top w:val="single" w:sz="4" w:space="0" w:color="auto"/>
              <w:right w:val="single" w:sz="4" w:space="0" w:color="auto"/>
            </w:tcBorders>
            <w:vAlign w:val="center"/>
            <w:hideMark/>
          </w:tcPr>
          <w:p w14:paraId="760B512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Plants</w:t>
            </w:r>
          </w:p>
        </w:tc>
        <w:tc>
          <w:tcPr>
            <w:tcW w:w="4518" w:type="dxa"/>
            <w:gridSpan w:val="3"/>
            <w:tcBorders>
              <w:top w:val="single" w:sz="4" w:space="0" w:color="auto"/>
              <w:left w:val="single" w:sz="4" w:space="0" w:color="auto"/>
              <w:bottom w:val="single" w:sz="4" w:space="0" w:color="auto"/>
              <w:right w:val="single" w:sz="4" w:space="0" w:color="auto"/>
            </w:tcBorders>
            <w:vAlign w:val="center"/>
            <w:hideMark/>
          </w:tcPr>
          <w:p w14:paraId="2B357C3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Leaf orientation</w:t>
            </w:r>
          </w:p>
        </w:tc>
        <w:tc>
          <w:tcPr>
            <w:tcW w:w="4024" w:type="dxa"/>
            <w:gridSpan w:val="3"/>
            <w:tcBorders>
              <w:left w:val="single" w:sz="4" w:space="0" w:color="auto"/>
              <w:bottom w:val="single" w:sz="4" w:space="0" w:color="auto"/>
            </w:tcBorders>
            <w:vAlign w:val="center"/>
            <w:hideMark/>
          </w:tcPr>
          <w:p w14:paraId="3DEB409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 xml:space="preserve">Leaf </w:t>
            </w:r>
            <w:proofErr w:type="spellStart"/>
            <w:r w:rsidRPr="00CF7B12">
              <w:rPr>
                <w:rFonts w:ascii="Times New Roman" w:hAnsi="Times New Roman" w:cs="Times New Roman"/>
                <w:color w:val="000000" w:themeColor="text1"/>
                <w:szCs w:val="24"/>
                <w:lang w:val="en-US"/>
              </w:rPr>
              <w:t>colour</w:t>
            </w:r>
            <w:proofErr w:type="spellEnd"/>
          </w:p>
        </w:tc>
      </w:tr>
      <w:tr w:rsidR="00CF7B12" w:rsidRPr="00CF7B12" w14:paraId="5F7B68CA" w14:textId="77777777" w:rsidTr="00484C70">
        <w:trPr>
          <w:trHeight w:val="211"/>
        </w:trPr>
        <w:tc>
          <w:tcPr>
            <w:tcW w:w="978" w:type="dxa"/>
            <w:vMerge/>
            <w:tcBorders>
              <w:bottom w:val="single" w:sz="4" w:space="0" w:color="auto"/>
              <w:right w:val="single" w:sz="4" w:space="0" w:color="auto"/>
            </w:tcBorders>
            <w:vAlign w:val="center"/>
          </w:tcPr>
          <w:p w14:paraId="4A328CC5" w14:textId="77777777" w:rsidR="00B03EF1" w:rsidRPr="00CF7B12" w:rsidRDefault="00B03EF1" w:rsidP="00BF3173">
            <w:pPr>
              <w:jc w:val="center"/>
              <w:rPr>
                <w:rFonts w:ascii="Times New Roman" w:hAnsi="Times New Roman" w:cs="Times New Roman"/>
                <w:color w:val="000000" w:themeColor="text1"/>
                <w:szCs w:val="24"/>
                <w:lang w:val="en-US"/>
              </w:rPr>
            </w:pPr>
          </w:p>
        </w:tc>
        <w:tc>
          <w:tcPr>
            <w:tcW w:w="1252" w:type="dxa"/>
            <w:tcBorders>
              <w:top w:val="single" w:sz="4" w:space="0" w:color="auto"/>
              <w:left w:val="single" w:sz="4" w:space="0" w:color="auto"/>
              <w:bottom w:val="single" w:sz="4" w:space="0" w:color="auto"/>
            </w:tcBorders>
            <w:hideMark/>
          </w:tcPr>
          <w:p w14:paraId="317B1D85" w14:textId="77777777" w:rsidR="00484C70"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Erect</w:t>
            </w:r>
          </w:p>
          <w:p w14:paraId="104F4C91" w14:textId="2748DE0B"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(E)</w:t>
            </w:r>
          </w:p>
        </w:tc>
        <w:tc>
          <w:tcPr>
            <w:tcW w:w="1776" w:type="dxa"/>
            <w:tcBorders>
              <w:top w:val="single" w:sz="4" w:space="0" w:color="auto"/>
              <w:bottom w:val="single" w:sz="4" w:space="0" w:color="auto"/>
            </w:tcBorders>
            <w:hideMark/>
          </w:tcPr>
          <w:p w14:paraId="4D3918D6"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Semi-Drooping (SD)</w:t>
            </w:r>
          </w:p>
        </w:tc>
        <w:tc>
          <w:tcPr>
            <w:tcW w:w="1490" w:type="dxa"/>
            <w:tcBorders>
              <w:top w:val="single" w:sz="4" w:space="0" w:color="auto"/>
              <w:bottom w:val="single" w:sz="4" w:space="0" w:color="auto"/>
              <w:right w:val="single" w:sz="4" w:space="0" w:color="auto"/>
            </w:tcBorders>
            <w:hideMark/>
          </w:tcPr>
          <w:p w14:paraId="227AB27E"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Drooping</w:t>
            </w:r>
          </w:p>
          <w:p w14:paraId="581E6310"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w:t>
            </w:r>
          </w:p>
        </w:tc>
        <w:tc>
          <w:tcPr>
            <w:tcW w:w="1524" w:type="dxa"/>
            <w:tcBorders>
              <w:top w:val="single" w:sz="4" w:space="0" w:color="auto"/>
              <w:left w:val="single" w:sz="4" w:space="0" w:color="auto"/>
              <w:bottom w:val="single" w:sz="4" w:space="0" w:color="auto"/>
            </w:tcBorders>
            <w:hideMark/>
          </w:tcPr>
          <w:p w14:paraId="20CB4E1B"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Light Green</w:t>
            </w:r>
          </w:p>
          <w:p w14:paraId="32802DDD"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tcBorders>
              <w:top w:val="single" w:sz="4" w:space="0" w:color="auto"/>
              <w:bottom w:val="single" w:sz="4" w:space="0" w:color="auto"/>
            </w:tcBorders>
            <w:hideMark/>
          </w:tcPr>
          <w:p w14:paraId="7A6C38C5"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Green</w:t>
            </w:r>
          </w:p>
          <w:p w14:paraId="24CAD454"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1369" w:type="dxa"/>
            <w:tcBorders>
              <w:top w:val="single" w:sz="4" w:space="0" w:color="auto"/>
              <w:bottom w:val="single" w:sz="4" w:space="0" w:color="auto"/>
            </w:tcBorders>
            <w:hideMark/>
          </w:tcPr>
          <w:p w14:paraId="1440709C"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Dark Green</w:t>
            </w:r>
          </w:p>
          <w:p w14:paraId="072CDF33"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(DG)</w:t>
            </w:r>
          </w:p>
        </w:tc>
      </w:tr>
      <w:tr w:rsidR="00CF7B12" w:rsidRPr="00CF7B12" w14:paraId="461B9CD1" w14:textId="77777777" w:rsidTr="00484C70">
        <w:trPr>
          <w:trHeight w:val="211"/>
        </w:trPr>
        <w:tc>
          <w:tcPr>
            <w:tcW w:w="978" w:type="dxa"/>
            <w:tcBorders>
              <w:top w:val="single" w:sz="4" w:space="0" w:color="auto"/>
              <w:bottom w:val="nil"/>
              <w:right w:val="single" w:sz="4" w:space="0" w:color="auto"/>
            </w:tcBorders>
            <w:vAlign w:val="center"/>
            <w:hideMark/>
          </w:tcPr>
          <w:p w14:paraId="1C6FEF3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1252" w:type="dxa"/>
            <w:tcBorders>
              <w:top w:val="single" w:sz="4" w:space="0" w:color="auto"/>
              <w:left w:val="single" w:sz="4" w:space="0" w:color="auto"/>
              <w:bottom w:val="nil"/>
            </w:tcBorders>
            <w:vAlign w:val="center"/>
          </w:tcPr>
          <w:p w14:paraId="0D39D98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tcBorders>
              <w:top w:val="single" w:sz="4" w:space="0" w:color="auto"/>
              <w:bottom w:val="nil"/>
            </w:tcBorders>
            <w:vAlign w:val="center"/>
            <w:hideMark/>
          </w:tcPr>
          <w:p w14:paraId="7F5B6FE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top w:val="single" w:sz="4" w:space="0" w:color="auto"/>
              <w:bottom w:val="nil"/>
              <w:right w:val="single" w:sz="4" w:space="0" w:color="auto"/>
            </w:tcBorders>
            <w:vAlign w:val="center"/>
          </w:tcPr>
          <w:p w14:paraId="71E1CD6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top w:val="single" w:sz="4" w:space="0" w:color="auto"/>
              <w:left w:val="single" w:sz="4" w:space="0" w:color="auto"/>
              <w:bottom w:val="nil"/>
            </w:tcBorders>
            <w:vAlign w:val="center"/>
            <w:hideMark/>
          </w:tcPr>
          <w:p w14:paraId="7E9207C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tcBorders>
              <w:top w:val="single" w:sz="4" w:space="0" w:color="auto"/>
              <w:bottom w:val="nil"/>
            </w:tcBorders>
            <w:vAlign w:val="center"/>
          </w:tcPr>
          <w:p w14:paraId="4341B7B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tcBorders>
              <w:top w:val="single" w:sz="4" w:space="0" w:color="auto"/>
              <w:bottom w:val="nil"/>
            </w:tcBorders>
            <w:vAlign w:val="center"/>
          </w:tcPr>
          <w:p w14:paraId="4B31872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528D3933" w14:textId="77777777" w:rsidTr="00484C70">
        <w:trPr>
          <w:trHeight w:val="211"/>
        </w:trPr>
        <w:tc>
          <w:tcPr>
            <w:tcW w:w="978" w:type="dxa"/>
            <w:tcBorders>
              <w:top w:val="nil"/>
              <w:right w:val="single" w:sz="4" w:space="0" w:color="auto"/>
            </w:tcBorders>
            <w:vAlign w:val="center"/>
            <w:hideMark/>
          </w:tcPr>
          <w:p w14:paraId="2C5BE51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1252" w:type="dxa"/>
            <w:tcBorders>
              <w:top w:val="nil"/>
              <w:left w:val="single" w:sz="4" w:space="0" w:color="auto"/>
            </w:tcBorders>
            <w:vAlign w:val="center"/>
            <w:hideMark/>
          </w:tcPr>
          <w:p w14:paraId="5C70F4D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E</w:t>
            </w:r>
          </w:p>
        </w:tc>
        <w:tc>
          <w:tcPr>
            <w:tcW w:w="1776" w:type="dxa"/>
            <w:tcBorders>
              <w:top w:val="nil"/>
            </w:tcBorders>
            <w:vAlign w:val="center"/>
          </w:tcPr>
          <w:p w14:paraId="746E4A4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490" w:type="dxa"/>
            <w:tcBorders>
              <w:top w:val="nil"/>
              <w:right w:val="single" w:sz="4" w:space="0" w:color="auto"/>
            </w:tcBorders>
            <w:vAlign w:val="center"/>
          </w:tcPr>
          <w:p w14:paraId="4625568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top w:val="nil"/>
              <w:left w:val="single" w:sz="4" w:space="0" w:color="auto"/>
            </w:tcBorders>
            <w:vAlign w:val="center"/>
            <w:hideMark/>
          </w:tcPr>
          <w:p w14:paraId="2175118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tcBorders>
              <w:top w:val="nil"/>
            </w:tcBorders>
            <w:vAlign w:val="center"/>
          </w:tcPr>
          <w:p w14:paraId="232EEA8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tcBorders>
              <w:top w:val="nil"/>
            </w:tcBorders>
            <w:vAlign w:val="center"/>
          </w:tcPr>
          <w:p w14:paraId="59E8C9A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0FD5775C" w14:textId="77777777" w:rsidTr="00484C70">
        <w:trPr>
          <w:trHeight w:val="211"/>
        </w:trPr>
        <w:tc>
          <w:tcPr>
            <w:tcW w:w="978" w:type="dxa"/>
            <w:tcBorders>
              <w:right w:val="single" w:sz="4" w:space="0" w:color="auto"/>
            </w:tcBorders>
            <w:vAlign w:val="center"/>
            <w:hideMark/>
          </w:tcPr>
          <w:p w14:paraId="0ED84D7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1252" w:type="dxa"/>
            <w:tcBorders>
              <w:left w:val="single" w:sz="4" w:space="0" w:color="auto"/>
            </w:tcBorders>
            <w:vAlign w:val="center"/>
            <w:hideMark/>
          </w:tcPr>
          <w:p w14:paraId="1B1FC1D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tcPr>
          <w:p w14:paraId="2C5B39A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right w:val="single" w:sz="4" w:space="0" w:color="auto"/>
            </w:tcBorders>
            <w:vAlign w:val="center"/>
          </w:tcPr>
          <w:p w14:paraId="42BEB30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hideMark/>
          </w:tcPr>
          <w:p w14:paraId="28E5D4D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131" w:type="dxa"/>
            <w:vAlign w:val="center"/>
          </w:tcPr>
          <w:p w14:paraId="14237E7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1369" w:type="dxa"/>
            <w:vAlign w:val="center"/>
          </w:tcPr>
          <w:p w14:paraId="30B7A22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0F5A04AA" w14:textId="77777777" w:rsidTr="00484C70">
        <w:trPr>
          <w:trHeight w:val="211"/>
        </w:trPr>
        <w:tc>
          <w:tcPr>
            <w:tcW w:w="978" w:type="dxa"/>
            <w:tcBorders>
              <w:right w:val="single" w:sz="4" w:space="0" w:color="auto"/>
            </w:tcBorders>
            <w:vAlign w:val="center"/>
            <w:hideMark/>
          </w:tcPr>
          <w:p w14:paraId="0B50C43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1252" w:type="dxa"/>
            <w:tcBorders>
              <w:left w:val="single" w:sz="4" w:space="0" w:color="auto"/>
            </w:tcBorders>
            <w:vAlign w:val="center"/>
          </w:tcPr>
          <w:p w14:paraId="34832F0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hideMark/>
          </w:tcPr>
          <w:p w14:paraId="27AF948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right w:val="single" w:sz="4" w:space="0" w:color="auto"/>
            </w:tcBorders>
            <w:vAlign w:val="center"/>
          </w:tcPr>
          <w:p w14:paraId="15E1E45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tcPr>
          <w:p w14:paraId="1601F3F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131" w:type="dxa"/>
            <w:vAlign w:val="center"/>
          </w:tcPr>
          <w:p w14:paraId="63F9F99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1369" w:type="dxa"/>
            <w:vAlign w:val="center"/>
            <w:hideMark/>
          </w:tcPr>
          <w:p w14:paraId="07E8F70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DG</w:t>
            </w:r>
          </w:p>
        </w:tc>
      </w:tr>
      <w:tr w:rsidR="00CF7B12" w:rsidRPr="00CF7B12" w14:paraId="47775541" w14:textId="77777777" w:rsidTr="00484C70">
        <w:trPr>
          <w:trHeight w:val="211"/>
        </w:trPr>
        <w:tc>
          <w:tcPr>
            <w:tcW w:w="978" w:type="dxa"/>
            <w:tcBorders>
              <w:right w:val="single" w:sz="4" w:space="0" w:color="auto"/>
            </w:tcBorders>
            <w:vAlign w:val="center"/>
            <w:hideMark/>
          </w:tcPr>
          <w:p w14:paraId="0B71B2E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1252" w:type="dxa"/>
            <w:tcBorders>
              <w:left w:val="single" w:sz="4" w:space="0" w:color="auto"/>
            </w:tcBorders>
            <w:vAlign w:val="center"/>
          </w:tcPr>
          <w:p w14:paraId="23E9ADF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hideMark/>
          </w:tcPr>
          <w:p w14:paraId="56C30F2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right w:val="single" w:sz="4" w:space="0" w:color="auto"/>
            </w:tcBorders>
            <w:vAlign w:val="center"/>
          </w:tcPr>
          <w:p w14:paraId="142A31A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hideMark/>
          </w:tcPr>
          <w:p w14:paraId="31BE9FC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vAlign w:val="center"/>
          </w:tcPr>
          <w:p w14:paraId="7903F77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vAlign w:val="center"/>
          </w:tcPr>
          <w:p w14:paraId="2839AB8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196E7B83" w14:textId="77777777" w:rsidTr="00484C70">
        <w:trPr>
          <w:trHeight w:val="211"/>
        </w:trPr>
        <w:tc>
          <w:tcPr>
            <w:tcW w:w="978" w:type="dxa"/>
            <w:tcBorders>
              <w:right w:val="single" w:sz="4" w:space="0" w:color="auto"/>
            </w:tcBorders>
            <w:vAlign w:val="center"/>
            <w:hideMark/>
          </w:tcPr>
          <w:p w14:paraId="480E835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1252" w:type="dxa"/>
            <w:tcBorders>
              <w:left w:val="single" w:sz="4" w:space="0" w:color="auto"/>
            </w:tcBorders>
            <w:vAlign w:val="center"/>
          </w:tcPr>
          <w:p w14:paraId="6FD0990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tcPr>
          <w:p w14:paraId="308CBE1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490" w:type="dxa"/>
            <w:tcBorders>
              <w:right w:val="single" w:sz="4" w:space="0" w:color="auto"/>
            </w:tcBorders>
            <w:vAlign w:val="center"/>
            <w:hideMark/>
          </w:tcPr>
          <w:p w14:paraId="2265A36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w:t>
            </w:r>
          </w:p>
        </w:tc>
        <w:tc>
          <w:tcPr>
            <w:tcW w:w="1524" w:type="dxa"/>
            <w:tcBorders>
              <w:left w:val="single" w:sz="4" w:space="0" w:color="auto"/>
            </w:tcBorders>
            <w:vAlign w:val="center"/>
            <w:hideMark/>
          </w:tcPr>
          <w:p w14:paraId="303B0DA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131" w:type="dxa"/>
            <w:vAlign w:val="center"/>
          </w:tcPr>
          <w:p w14:paraId="6487619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1369" w:type="dxa"/>
            <w:vAlign w:val="center"/>
          </w:tcPr>
          <w:p w14:paraId="38B8826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26864894" w14:textId="77777777" w:rsidTr="00484C70">
        <w:trPr>
          <w:trHeight w:val="211"/>
        </w:trPr>
        <w:tc>
          <w:tcPr>
            <w:tcW w:w="978" w:type="dxa"/>
            <w:tcBorders>
              <w:right w:val="single" w:sz="4" w:space="0" w:color="auto"/>
            </w:tcBorders>
            <w:vAlign w:val="center"/>
            <w:hideMark/>
          </w:tcPr>
          <w:p w14:paraId="3E8513E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1252" w:type="dxa"/>
            <w:tcBorders>
              <w:left w:val="single" w:sz="4" w:space="0" w:color="auto"/>
            </w:tcBorders>
            <w:vAlign w:val="center"/>
          </w:tcPr>
          <w:p w14:paraId="1258569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hideMark/>
          </w:tcPr>
          <w:p w14:paraId="61FD922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right w:val="single" w:sz="4" w:space="0" w:color="auto"/>
            </w:tcBorders>
            <w:vAlign w:val="center"/>
          </w:tcPr>
          <w:p w14:paraId="57DCB2B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hideMark/>
          </w:tcPr>
          <w:p w14:paraId="48C0FA6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vAlign w:val="center"/>
          </w:tcPr>
          <w:p w14:paraId="2E545A0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vAlign w:val="center"/>
          </w:tcPr>
          <w:p w14:paraId="750D9E7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4F19D3F5" w14:textId="77777777" w:rsidTr="00484C70">
        <w:trPr>
          <w:trHeight w:val="211"/>
        </w:trPr>
        <w:tc>
          <w:tcPr>
            <w:tcW w:w="978" w:type="dxa"/>
            <w:tcBorders>
              <w:right w:val="single" w:sz="4" w:space="0" w:color="auto"/>
            </w:tcBorders>
            <w:vAlign w:val="center"/>
            <w:hideMark/>
          </w:tcPr>
          <w:p w14:paraId="089B128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1252" w:type="dxa"/>
            <w:tcBorders>
              <w:left w:val="single" w:sz="4" w:space="0" w:color="auto"/>
            </w:tcBorders>
            <w:vAlign w:val="center"/>
            <w:hideMark/>
          </w:tcPr>
          <w:p w14:paraId="4022D12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E</w:t>
            </w:r>
          </w:p>
        </w:tc>
        <w:tc>
          <w:tcPr>
            <w:tcW w:w="1776" w:type="dxa"/>
            <w:vAlign w:val="center"/>
          </w:tcPr>
          <w:p w14:paraId="12BEDF0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490" w:type="dxa"/>
            <w:tcBorders>
              <w:right w:val="single" w:sz="4" w:space="0" w:color="auto"/>
            </w:tcBorders>
            <w:vAlign w:val="center"/>
          </w:tcPr>
          <w:p w14:paraId="3F7DB2F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tcPr>
          <w:p w14:paraId="54471E1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131" w:type="dxa"/>
            <w:vAlign w:val="center"/>
          </w:tcPr>
          <w:p w14:paraId="475973C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vAlign w:val="center"/>
            <w:hideMark/>
          </w:tcPr>
          <w:p w14:paraId="4DBC627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DG</w:t>
            </w:r>
          </w:p>
        </w:tc>
      </w:tr>
      <w:tr w:rsidR="00CF7B12" w:rsidRPr="00CF7B12" w14:paraId="37EDBA1C" w14:textId="77777777" w:rsidTr="00484C70">
        <w:trPr>
          <w:trHeight w:val="211"/>
        </w:trPr>
        <w:tc>
          <w:tcPr>
            <w:tcW w:w="978" w:type="dxa"/>
            <w:tcBorders>
              <w:bottom w:val="single" w:sz="4" w:space="0" w:color="auto"/>
              <w:right w:val="single" w:sz="4" w:space="0" w:color="auto"/>
            </w:tcBorders>
            <w:vAlign w:val="center"/>
            <w:hideMark/>
          </w:tcPr>
          <w:p w14:paraId="2CE5335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1252" w:type="dxa"/>
            <w:tcBorders>
              <w:left w:val="single" w:sz="4" w:space="0" w:color="auto"/>
            </w:tcBorders>
            <w:vAlign w:val="center"/>
            <w:hideMark/>
          </w:tcPr>
          <w:p w14:paraId="6FEFB2E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tcPr>
          <w:p w14:paraId="59AF0C0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bottom w:val="single" w:sz="4" w:space="0" w:color="auto"/>
              <w:right w:val="single" w:sz="4" w:space="0" w:color="auto"/>
            </w:tcBorders>
            <w:vAlign w:val="center"/>
          </w:tcPr>
          <w:p w14:paraId="2B6D46B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tcPr>
          <w:p w14:paraId="1A3F33C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vAlign w:val="center"/>
          </w:tcPr>
          <w:p w14:paraId="05B2037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vAlign w:val="center"/>
            <w:hideMark/>
          </w:tcPr>
          <w:p w14:paraId="193C434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bl>
    <w:p w14:paraId="36098A4E" w14:textId="77777777" w:rsidR="00B03EF1" w:rsidRPr="00CF7B12" w:rsidRDefault="00B03EF1" w:rsidP="00B03EF1">
      <w:pPr>
        <w:spacing w:after="0" w:line="240" w:lineRule="auto"/>
        <w:jc w:val="both"/>
        <w:rPr>
          <w:rFonts w:ascii="Times New Roman" w:hAnsi="Times New Roman" w:cs="Times New Roman"/>
          <w:b/>
          <w:bCs/>
          <w:color w:val="000000" w:themeColor="text1"/>
          <w:szCs w:val="24"/>
          <w:lang w:val="en-US"/>
        </w:rPr>
      </w:pPr>
    </w:p>
    <w:p w14:paraId="4C4F903B" w14:textId="7BCFFB0B" w:rsidR="003808E1" w:rsidRPr="00CF7B12" w:rsidRDefault="003808E1" w:rsidP="00A82EC4">
      <w:pPr>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Plant growth attributes</w:t>
      </w:r>
    </w:p>
    <w:p w14:paraId="609814EB" w14:textId="7278D009" w:rsidR="003808E1" w:rsidRPr="00CF7B12" w:rsidRDefault="003808E1" w:rsidP="00484C70">
      <w:pPr>
        <w:spacing w:after="120" w:line="360" w:lineRule="auto"/>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Various growth attributes like </w:t>
      </w:r>
      <w:r w:rsidRPr="00CF7B12">
        <w:rPr>
          <w:rFonts w:ascii="Times New Roman" w:eastAsia="Aptos" w:hAnsi="Times New Roman" w:cs="Times New Roman"/>
          <w:color w:val="000000" w:themeColor="text1"/>
          <w:szCs w:val="24"/>
          <w:lang w:val="en-US"/>
        </w:rPr>
        <w:t xml:space="preserve">plant height (cm), no. of tillers/plant, average tiller diameter (mm), no. of leaves/tillers, no. of nodes/tillers and internode length (cm) </w:t>
      </w:r>
      <w:r w:rsidRPr="00CF7B12">
        <w:rPr>
          <w:rFonts w:ascii="Times New Roman" w:eastAsia="Times New Roman" w:hAnsi="Times New Roman" w:cs="Times New Roman"/>
          <w:color w:val="000000" w:themeColor="text1"/>
          <w:kern w:val="0"/>
          <w:szCs w:val="24"/>
          <w:lang w:eastAsia="en-IN"/>
          <w14:ligatures w14:val="none"/>
        </w:rPr>
        <w:t xml:space="preserve">of guinea grass plants with eight ploidy levels (3x </w:t>
      </w:r>
      <w:r w:rsidR="00F21391">
        <w:rPr>
          <w:rFonts w:ascii="Times New Roman" w:eastAsia="Times New Roman" w:hAnsi="Times New Roman" w:cs="Times New Roman"/>
          <w:color w:val="000000" w:themeColor="text1"/>
          <w:kern w:val="0"/>
          <w:szCs w:val="24"/>
          <w:lang w:eastAsia="en-IN"/>
          <w14:ligatures w14:val="none"/>
        </w:rPr>
        <w:t>to 9x and 11x</w:t>
      </w:r>
      <w:r w:rsidRPr="00CF7B12">
        <w:rPr>
          <w:rFonts w:ascii="Times New Roman" w:eastAsia="Times New Roman" w:hAnsi="Times New Roman" w:cs="Times New Roman"/>
          <w:color w:val="000000" w:themeColor="text1"/>
          <w:kern w:val="0"/>
          <w:szCs w:val="24"/>
          <w:lang w:eastAsia="en-IN"/>
          <w14:ligatures w14:val="none"/>
        </w:rPr>
        <w:t>) and SRP75 genotype are presented in Table</w:t>
      </w:r>
      <w:r w:rsidR="007B34D0"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4. The results demonstrated a clear influence of different ploidy level on plant growth attributes.  The tallest plants were observed in 5x ploidy plants (139 cm), followed by </w:t>
      </w:r>
      <w:r w:rsidR="00501DF2" w:rsidRPr="00CF7B12">
        <w:rPr>
          <w:rFonts w:ascii="Times New Roman" w:eastAsia="Times New Roman" w:hAnsi="Times New Roman" w:cs="Times New Roman"/>
          <w:color w:val="000000" w:themeColor="text1"/>
          <w:kern w:val="0"/>
          <w:szCs w:val="24"/>
          <w:lang w:eastAsia="en-IN"/>
          <w14:ligatures w14:val="none"/>
        </w:rPr>
        <w:t>4</w:t>
      </w:r>
      <w:r w:rsidRPr="00CF7B12">
        <w:rPr>
          <w:rFonts w:ascii="Times New Roman" w:eastAsia="Times New Roman" w:hAnsi="Times New Roman" w:cs="Times New Roman"/>
          <w:color w:val="000000" w:themeColor="text1"/>
          <w:kern w:val="0"/>
          <w:szCs w:val="24"/>
          <w:lang w:eastAsia="en-IN"/>
          <w14:ligatures w14:val="none"/>
        </w:rPr>
        <w:t>x plants (1</w:t>
      </w:r>
      <w:r w:rsidR="00501DF2" w:rsidRPr="00CF7B12">
        <w:rPr>
          <w:rFonts w:ascii="Times New Roman" w:eastAsia="Times New Roman" w:hAnsi="Times New Roman" w:cs="Times New Roman"/>
          <w:color w:val="000000" w:themeColor="text1"/>
          <w:kern w:val="0"/>
          <w:szCs w:val="24"/>
          <w:lang w:eastAsia="en-IN"/>
          <w14:ligatures w14:val="none"/>
        </w:rPr>
        <w:t>20</w:t>
      </w:r>
      <w:r w:rsidRPr="00CF7B12">
        <w:rPr>
          <w:rFonts w:ascii="Times New Roman" w:eastAsia="Times New Roman" w:hAnsi="Times New Roman" w:cs="Times New Roman"/>
          <w:color w:val="000000" w:themeColor="text1"/>
          <w:kern w:val="0"/>
          <w:szCs w:val="24"/>
          <w:lang w:eastAsia="en-IN"/>
          <w14:ligatures w14:val="none"/>
        </w:rPr>
        <w:t xml:space="preserve"> cm) and </w:t>
      </w:r>
      <w:r w:rsidRPr="00CF7B12">
        <w:rPr>
          <w:rFonts w:ascii="Times New Roman" w:eastAsia="Times New Roman" w:hAnsi="Times New Roman" w:cs="Times New Roman"/>
          <w:color w:val="000000" w:themeColor="text1"/>
          <w:kern w:val="0"/>
          <w:szCs w:val="24"/>
          <w:lang w:eastAsia="en-IN"/>
          <w14:ligatures w14:val="none"/>
        </w:rPr>
        <w:lastRenderedPageBreak/>
        <w:t xml:space="preserve">plants at 6x, 7x, 8x, </w:t>
      </w:r>
      <w:r w:rsidR="00261A4B" w:rsidRPr="00CF7B12">
        <w:rPr>
          <w:rFonts w:ascii="Times New Roman" w:eastAsia="Times New Roman" w:hAnsi="Times New Roman" w:cs="Times New Roman"/>
          <w:color w:val="000000" w:themeColor="text1"/>
          <w:kern w:val="0"/>
          <w:szCs w:val="24"/>
          <w:lang w:eastAsia="en-IN"/>
          <w14:ligatures w14:val="none"/>
        </w:rPr>
        <w:t xml:space="preserve">9x </w:t>
      </w:r>
      <w:r w:rsidRPr="00CF7B12">
        <w:rPr>
          <w:rFonts w:ascii="Times New Roman" w:eastAsia="Times New Roman" w:hAnsi="Times New Roman" w:cs="Times New Roman"/>
          <w:color w:val="000000" w:themeColor="text1"/>
          <w:kern w:val="0"/>
          <w:szCs w:val="24"/>
          <w:lang w:eastAsia="en-IN"/>
          <w14:ligatures w14:val="none"/>
        </w:rPr>
        <w:t xml:space="preserve">and </w:t>
      </w:r>
      <w:r w:rsidR="00261A4B" w:rsidRPr="00CF7B12">
        <w:rPr>
          <w:rFonts w:ascii="Times New Roman" w:eastAsia="Times New Roman" w:hAnsi="Times New Roman" w:cs="Times New Roman"/>
          <w:color w:val="000000" w:themeColor="text1"/>
          <w:kern w:val="0"/>
          <w:szCs w:val="24"/>
          <w:lang w:eastAsia="en-IN"/>
          <w14:ligatures w14:val="none"/>
        </w:rPr>
        <w:t xml:space="preserve">11x </w:t>
      </w:r>
      <w:r w:rsidRPr="00CF7B12">
        <w:rPr>
          <w:rFonts w:ascii="Times New Roman" w:eastAsia="Times New Roman" w:hAnsi="Times New Roman" w:cs="Times New Roman"/>
          <w:color w:val="000000" w:themeColor="text1"/>
          <w:kern w:val="0"/>
          <w:szCs w:val="24"/>
          <w:lang w:eastAsia="en-IN"/>
          <w14:ligatures w14:val="none"/>
        </w:rPr>
        <w:t>ploidy levels showed comparable heights, ranging from 110 to 11</w:t>
      </w:r>
      <w:r w:rsidR="00BF1480" w:rsidRPr="00CF7B12">
        <w:rPr>
          <w:rFonts w:ascii="Times New Roman" w:eastAsia="Times New Roman" w:hAnsi="Times New Roman" w:cs="Times New Roman"/>
          <w:color w:val="000000" w:themeColor="text1"/>
          <w:kern w:val="0"/>
          <w:szCs w:val="24"/>
          <w:lang w:eastAsia="en-IN"/>
          <w14:ligatures w14:val="none"/>
        </w:rPr>
        <w:t>8</w:t>
      </w:r>
      <w:r w:rsidRPr="00CF7B12">
        <w:rPr>
          <w:rFonts w:ascii="Times New Roman" w:eastAsia="Times New Roman" w:hAnsi="Times New Roman" w:cs="Times New Roman"/>
          <w:color w:val="000000" w:themeColor="text1"/>
          <w:kern w:val="0"/>
          <w:szCs w:val="24"/>
          <w:lang w:eastAsia="en-IN"/>
          <w14:ligatures w14:val="none"/>
        </w:rPr>
        <w:t xml:space="preserve"> cm. Lower heights were recorded </w:t>
      </w:r>
      <w:r w:rsidR="00FE0ECC" w:rsidRPr="00CF7B12">
        <w:rPr>
          <w:rFonts w:ascii="Times New Roman" w:eastAsia="Times New Roman" w:hAnsi="Times New Roman" w:cs="Times New Roman"/>
          <w:color w:val="000000" w:themeColor="text1"/>
          <w:kern w:val="0"/>
          <w:szCs w:val="24"/>
          <w:lang w:eastAsia="en-IN"/>
          <w14:ligatures w14:val="none"/>
        </w:rPr>
        <w:t>in 3</w:t>
      </w:r>
      <w:r w:rsidRPr="00CF7B12">
        <w:rPr>
          <w:rFonts w:ascii="Times New Roman" w:eastAsia="Times New Roman" w:hAnsi="Times New Roman" w:cs="Times New Roman"/>
          <w:color w:val="000000" w:themeColor="text1"/>
          <w:kern w:val="0"/>
          <w:szCs w:val="24"/>
          <w:lang w:eastAsia="en-IN"/>
          <w14:ligatures w14:val="none"/>
        </w:rPr>
        <w:t>x and SRP75 plants, which measured 63 cm and 85 cm respectively.</w:t>
      </w:r>
      <w:r w:rsidR="005F700F"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Furthermore, </w:t>
      </w:r>
      <w:r w:rsidRPr="00CF7B12">
        <w:rPr>
          <w:rFonts w:ascii="Times New Roman" w:eastAsia="Aptos" w:hAnsi="Times New Roman" w:cs="Times New Roman"/>
          <w:color w:val="000000" w:themeColor="text1"/>
          <w:szCs w:val="24"/>
        </w:rPr>
        <w:t xml:space="preserve">the highest number of tillers were recorded in 8x plants (7 tillers/plant). Plants with 3x, 5x, 6x, 7x ploidy levels and SRP 75 genotype exhibited tiller counts ranging from 5 to 6, while 4x, 9x, and 11x plants showed comparatively fewer tillers (4 tillers/plant). Additionally, the average tiller diameter was recorded highest at 4.89 mm in 8x plants. Plants with 4x, 5x, 6x, 7x, 9x, 11x and </w:t>
      </w:r>
      <w:r w:rsidRPr="00CF7B12">
        <w:rPr>
          <w:rFonts w:ascii="Times New Roman" w:eastAsia="Times New Roman" w:hAnsi="Times New Roman" w:cs="Times New Roman"/>
          <w:color w:val="000000" w:themeColor="text1"/>
          <w:kern w:val="0"/>
          <w:szCs w:val="24"/>
          <w:lang w:eastAsia="en-IN"/>
          <w14:ligatures w14:val="none"/>
        </w:rPr>
        <w:t xml:space="preserve">SRP75 ploidy levels exhibited moderate </w:t>
      </w:r>
      <w:r w:rsidRPr="00CF7B12">
        <w:rPr>
          <w:rFonts w:ascii="Times New Roman" w:eastAsia="Aptos" w:hAnsi="Times New Roman" w:cs="Times New Roman"/>
          <w:color w:val="000000" w:themeColor="text1"/>
          <w:szCs w:val="24"/>
        </w:rPr>
        <w:t xml:space="preserve">tiller </w:t>
      </w:r>
      <w:r w:rsidRPr="00CF7B12">
        <w:rPr>
          <w:rFonts w:ascii="Times New Roman" w:eastAsia="Times New Roman" w:hAnsi="Times New Roman" w:cs="Times New Roman"/>
          <w:color w:val="000000" w:themeColor="text1"/>
          <w:kern w:val="0"/>
          <w:szCs w:val="24"/>
          <w:lang w:eastAsia="en-IN"/>
          <w14:ligatures w14:val="none"/>
        </w:rPr>
        <w:t>diameter ranging from 3.45 mm to 4.44 mm. However, it was observed lowest in 3x plants (2 mm).</w:t>
      </w:r>
      <w:r w:rsidR="005F700F"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The number of leaves per tiller was ranged from 3 to 6, with 3x plants showing higher leaf count (9 leaves/tiller) compared to all other ploidy levels. Plants with 4x, 5x, 7x, 8x, 9x, 11x and SRP75 were observed with much lower number of leaves per tiller ranging from 4-6 while 6x plant had lowest number of leaves per tiller. Similarly, observations on the number of nodes per tiller revealed variation with 5x</w:t>
      </w:r>
      <w:r w:rsidR="000B02DF"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and 3x plants having the maximum (8) nodes per tiller, followed by the plants with 4x</w:t>
      </w:r>
      <w:r w:rsidR="00712DED"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8x</w:t>
      </w:r>
      <w:r w:rsidR="00930F08" w:rsidRPr="00CF7B12">
        <w:rPr>
          <w:rFonts w:ascii="Times New Roman" w:eastAsia="Times New Roman" w:hAnsi="Times New Roman" w:cs="Times New Roman"/>
          <w:color w:val="000000" w:themeColor="text1"/>
          <w:kern w:val="0"/>
          <w:szCs w:val="24"/>
          <w:lang w:eastAsia="en-IN"/>
          <w14:ligatures w14:val="none"/>
        </w:rPr>
        <w:t>,</w:t>
      </w:r>
      <w:r w:rsidR="00712DED" w:rsidRPr="00CF7B12">
        <w:rPr>
          <w:rFonts w:ascii="Times New Roman" w:eastAsia="Times New Roman" w:hAnsi="Times New Roman" w:cs="Times New Roman"/>
          <w:color w:val="000000" w:themeColor="text1"/>
          <w:kern w:val="0"/>
          <w:szCs w:val="24"/>
          <w:lang w:eastAsia="en-IN"/>
          <w14:ligatures w14:val="none"/>
        </w:rPr>
        <w:t xml:space="preserve">11x </w:t>
      </w:r>
      <w:r w:rsidR="00930F08" w:rsidRPr="00CF7B12">
        <w:rPr>
          <w:rFonts w:ascii="Times New Roman" w:eastAsia="Times New Roman" w:hAnsi="Times New Roman" w:cs="Times New Roman"/>
          <w:color w:val="000000" w:themeColor="text1"/>
          <w:kern w:val="0"/>
          <w:szCs w:val="24"/>
          <w:lang w:eastAsia="en-IN"/>
          <w14:ligatures w14:val="none"/>
        </w:rPr>
        <w:t>and SRP75</w:t>
      </w:r>
      <w:r w:rsidRPr="00CF7B12">
        <w:rPr>
          <w:rFonts w:ascii="Times New Roman" w:eastAsia="Times New Roman" w:hAnsi="Times New Roman" w:cs="Times New Roman"/>
          <w:color w:val="000000" w:themeColor="text1"/>
          <w:kern w:val="0"/>
          <w:szCs w:val="24"/>
          <w:lang w:eastAsia="en-IN"/>
          <w14:ligatures w14:val="none"/>
        </w:rPr>
        <w:t>ploidy levels showed moderate (6–7) number of nodes per tiller, while, 6x, 7x</w:t>
      </w:r>
      <w:r w:rsidR="00930F08" w:rsidRPr="00CF7B12">
        <w:rPr>
          <w:rFonts w:ascii="Times New Roman" w:eastAsia="Times New Roman" w:hAnsi="Times New Roman" w:cs="Times New Roman"/>
          <w:color w:val="000000" w:themeColor="text1"/>
          <w:kern w:val="0"/>
          <w:szCs w:val="24"/>
          <w:lang w:eastAsia="en-IN"/>
          <w14:ligatures w14:val="none"/>
        </w:rPr>
        <w:t xml:space="preserve"> and</w:t>
      </w:r>
      <w:r w:rsidRPr="00CF7B12">
        <w:rPr>
          <w:rFonts w:ascii="Times New Roman" w:eastAsia="Times New Roman" w:hAnsi="Times New Roman" w:cs="Times New Roman"/>
          <w:color w:val="000000" w:themeColor="text1"/>
          <w:kern w:val="0"/>
          <w:szCs w:val="24"/>
          <w:lang w:eastAsia="en-IN"/>
          <w14:ligatures w14:val="none"/>
        </w:rPr>
        <w:t xml:space="preserve"> 9x plants exhibited 5 nodes per tiller.</w:t>
      </w:r>
      <w:r w:rsidR="005F700F"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Length of internode varied greatly across the ploidy levels, with the longest internodes observed in 5x plants (18 cm), followed by the 4x plants (14 cm). However, 6x, 7x, 8x, 9x</w:t>
      </w:r>
      <w:r w:rsidR="00A87A64" w:rsidRPr="00CF7B12">
        <w:rPr>
          <w:rFonts w:ascii="Times New Roman" w:eastAsia="Times New Roman" w:hAnsi="Times New Roman" w:cs="Times New Roman"/>
          <w:color w:val="000000" w:themeColor="text1"/>
          <w:kern w:val="0"/>
          <w:szCs w:val="24"/>
          <w:lang w:eastAsia="en-IN"/>
          <w14:ligatures w14:val="none"/>
        </w:rPr>
        <w:t>, 11x</w:t>
      </w:r>
      <w:r w:rsidRPr="00CF7B12">
        <w:rPr>
          <w:rFonts w:ascii="Times New Roman" w:eastAsia="Times New Roman" w:hAnsi="Times New Roman" w:cs="Times New Roman"/>
          <w:color w:val="000000" w:themeColor="text1"/>
          <w:kern w:val="0"/>
          <w:szCs w:val="24"/>
          <w:lang w:eastAsia="en-IN"/>
          <w14:ligatures w14:val="none"/>
        </w:rPr>
        <w:t xml:space="preserve"> and SRP75 plants, displayed moderate length of internode (8.50 to </w:t>
      </w:r>
      <w:r w:rsidR="00533FC0" w:rsidRPr="00CF7B12">
        <w:rPr>
          <w:rFonts w:ascii="Times New Roman" w:eastAsia="Times New Roman" w:hAnsi="Times New Roman" w:cs="Times New Roman"/>
          <w:color w:val="000000" w:themeColor="text1"/>
          <w:kern w:val="0"/>
          <w:szCs w:val="24"/>
          <w:lang w:eastAsia="en-IN"/>
          <w14:ligatures w14:val="none"/>
        </w:rPr>
        <w:t>11</w:t>
      </w:r>
      <w:r w:rsidR="004804D8" w:rsidRPr="00CF7B12">
        <w:rPr>
          <w:rFonts w:ascii="Times New Roman" w:eastAsia="Times New Roman" w:hAnsi="Times New Roman" w:cs="Times New Roman"/>
          <w:color w:val="000000" w:themeColor="text1"/>
          <w:kern w:val="0"/>
          <w:szCs w:val="24"/>
          <w:lang w:eastAsia="en-IN"/>
          <w14:ligatures w14:val="none"/>
        </w:rPr>
        <w:t>.50</w:t>
      </w:r>
      <w:r w:rsidRPr="00CF7B12">
        <w:rPr>
          <w:rFonts w:ascii="Times New Roman" w:eastAsia="Times New Roman" w:hAnsi="Times New Roman" w:cs="Times New Roman"/>
          <w:color w:val="000000" w:themeColor="text1"/>
          <w:kern w:val="0"/>
          <w:szCs w:val="24"/>
          <w:lang w:eastAsia="en-IN"/>
          <w14:ligatures w14:val="none"/>
        </w:rPr>
        <w:t xml:space="preserve"> cm), while 3x exhibited shorter internodes (3.0 cm).</w:t>
      </w:r>
    </w:p>
    <w:p w14:paraId="77A7684C" w14:textId="0622AD2F" w:rsidR="003808E1" w:rsidRPr="00CF7B12" w:rsidRDefault="003808E1" w:rsidP="001241E8">
      <w:pPr>
        <w:spacing w:after="120" w:line="360" w:lineRule="auto"/>
        <w:ind w:firstLine="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The growth attributes of guinea grass across different ploidy levels demonstrate the significant influence of polyploidy on plant morphology and </w:t>
      </w:r>
      <w:proofErr w:type="spellStart"/>
      <w:r w:rsidRPr="00CF7B12">
        <w:rPr>
          <w:rFonts w:ascii="Times New Roman" w:eastAsia="Times New Roman" w:hAnsi="Times New Roman" w:cs="Times New Roman"/>
          <w:color w:val="000000" w:themeColor="text1"/>
          <w:kern w:val="0"/>
          <w:szCs w:val="24"/>
          <w:lang w:eastAsia="en-IN"/>
          <w14:ligatures w14:val="none"/>
        </w:rPr>
        <w:t>vigor</w:t>
      </w:r>
      <w:proofErr w:type="spellEnd"/>
      <w:r w:rsidR="007D3974" w:rsidRPr="00CF7B12">
        <w:rPr>
          <w:rFonts w:ascii="Times New Roman" w:eastAsia="Times New Roman" w:hAnsi="Times New Roman" w:cs="Times New Roman"/>
          <w:color w:val="000000" w:themeColor="text1"/>
          <w:kern w:val="0"/>
          <w:szCs w:val="24"/>
          <w:lang w:eastAsia="en-IN"/>
          <w14:ligatures w14:val="none"/>
        </w:rPr>
        <w:t xml:space="preserve"> </w:t>
      </w:r>
      <w:r w:rsidR="007D3974" w:rsidRPr="00CF7B12">
        <w:rPr>
          <w:rFonts w:ascii="Times New Roman" w:eastAsia="Times New Roman" w:hAnsi="Times New Roman" w:cs="Times New Roman"/>
          <w:color w:val="000000" w:themeColor="text1"/>
          <w:kern w:val="0"/>
          <w:szCs w:val="24"/>
          <w:lang w:eastAsia="en-IN"/>
          <w14:ligatures w14:val="none"/>
        </w:rPr>
        <w:fldChar w:fldCharType="begin" w:fldLock="1"/>
      </w:r>
      <w:r w:rsidR="007D3974"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ISSN":"00113891","author":[{"dropping-particle":"","family":"Kaushal","given":"P.","non-dropping-particle":"","parse-names":false,"suffix":""},{"dropping-particle":"","family":"Paul","given":"Sharmishtha","non-dropping-particle":"","parse-names":false,"suffix":""},{"dropping-particle":"","family":"Saxena","given":"Saurabh","non-dropping-particle":"","parse-names":false,"suffix":""},{"dropping-particle":"","family":"Dwivedi","given":"K. K.","non-dropping-particle":"","parse-names":false,"suffix":""},{"dropping-particle":"","family":"Chakraborti","given":"Mridul","non-dropping-particle":"","parse-names":false,"suffix":""},{"dropping-particle":"","family":"Radhakrishna","given":"A.","non-dropping-particle":"","parse-names":false,"suffix":""},{"dropping-particle":"","family":"Roy","given":"A. K.","non-dropping-particle":"","parse-names":false,"suffix":""},{"dropping-particle":"","family":"Malaviya","given":"D. R.","non-dropping-particle":"","parse-names":false,"suffix":""}],"container-title":"Current Science","id":"ITEM-1","issue":"8","issued":{"date-parts":[["2015"]]},"page":"1392-1395","title":"Generating higher ploidies (7x and 11x) in guinea grass (Panicum maximum Jacq.) utilizing reproductive diversity and uncoupled apomixis components","type":"article-journal","volume":"109"},"uris":["http://www.mendeley.com/documents/?uuid=d1f58244-608b-43c5-b103-56b364b38455"]}],"mendeley":{"formattedCitation":"(Kaushal et al., 2015)","plainTextFormattedCitation":"(Kaushal et al., 2015)"},"properties":{"noteIndex":0},"schema":"https://github.com/citation-style-language/schema/raw/master/csl-citation.json"}</w:instrText>
      </w:r>
      <w:r w:rsidR="007D3974" w:rsidRPr="00CF7B12">
        <w:rPr>
          <w:rFonts w:ascii="Times New Roman" w:eastAsia="Times New Roman" w:hAnsi="Times New Roman" w:cs="Times New Roman"/>
          <w:color w:val="000000" w:themeColor="text1"/>
          <w:kern w:val="0"/>
          <w:szCs w:val="24"/>
          <w:lang w:eastAsia="en-IN"/>
          <w14:ligatures w14:val="none"/>
        </w:rPr>
        <w:fldChar w:fldCharType="separate"/>
      </w:r>
      <w:r w:rsidR="007D3974" w:rsidRPr="00CF7B12">
        <w:rPr>
          <w:rFonts w:ascii="Times New Roman" w:eastAsia="Times New Roman" w:hAnsi="Times New Roman" w:cs="Times New Roman"/>
          <w:noProof/>
          <w:color w:val="000000" w:themeColor="text1"/>
          <w:kern w:val="0"/>
          <w:szCs w:val="24"/>
          <w:lang w:eastAsia="en-IN"/>
          <w14:ligatures w14:val="none"/>
        </w:rPr>
        <w:t>(Kaushal et al., 2015)</w:t>
      </w:r>
      <w:r w:rsidR="007D3974"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Plant height, tiller number, tiller diameter, leaf count, node count, and internode length exhibited distinct trends associated with ploidy variation, highlighting the complex interaction between genome duplication and plant growth dynamics.</w:t>
      </w:r>
      <w:r w:rsidR="00A94566"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The variation in plant height observed across ploidy levels suggests that genome duplication affects cell expansion and elongation, as noted in previous studies on polyploid plants (Levin, 2002; </w:t>
      </w:r>
      <w:r w:rsidR="00CD78B6" w:rsidRPr="00CF7B12">
        <w:rPr>
          <w:rFonts w:ascii="Times New Roman" w:eastAsia="Times New Roman" w:hAnsi="Times New Roman" w:cs="Times New Roman"/>
          <w:color w:val="000000" w:themeColor="text1"/>
          <w:kern w:val="0"/>
          <w:szCs w:val="24"/>
          <w:lang w:eastAsia="en-IN"/>
          <w14:ligatures w14:val="none"/>
        </w:rPr>
        <w:fldChar w:fldCharType="begin" w:fldLock="1"/>
      </w:r>
      <w:r w:rsidR="004A33F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{"citationItems":[{"id":"ITEM-1","itemData":{"DOI":"10.1104/pp.18.00967","ISSN":"15322548","PMID":"30301776","abstract":"Polyploidization has played a key role in plant breeding and crop improvement. Although its potential to increase biomass yield is well described, the effect of polyploidization on biomass composition has largely remained unexplored. Here, we generated a series of Arabidopsis (Arabidopsis thaliana) plants with different somatic ploidy levels (2n, 4n, 6n, and 8n) and performed rigorous phenotypic characterization. Kinematic analysis showed that polyploids developed slower compared to diploids; however, tetra-and hexaploids, but not octaploids, generated larger rosettes due to delayed flowering. In addition, morphometric analysis of leaves showed that polyploidy affected epidermal pavement cells, with increased cell size and reduced cell number per leaf blade with incrementing ploidy. However, the inflorescence stem dry weight was highest in tetraploids. Cell wall characterization revealed that the basic somatic ploidy level negatively correlated with lignin and cellulose content, and positively correlated with matrix polysaccharide content (i.e. hemicellulose and pectin) in the stem tissue. In addition, higher ploidy plants displayed altered sugar composition. Such effects were linked to the delayed development of polyploids. Moreover, the changes in polyploid cell wall composition promoted saccharification yield. The results of this study indicate that induction of polyploidy is a promising breeding strategy to further tailor crops for biomass production.","author":[{"dropping-particle":"","family":"Corneillie","given":"Sander","non-dropping-particle":"","parse-names":false,"suffix":""},{"dropping-particle":"","family":"Storme","given":"Nico","non-dropping-particle":"De","parse-names":false,"suffix":""},{"dropping-particle":"","family":"Acker","given":"Rebecca","non-dropping-particle":"Van","parse-names":false,"suffix":""},{"dropping-particle":"","family":"Fangel","given":"Jonatan U.","non-dropping-particle":"","parse-names":false,"suffix":""},{"dropping-particle":"","family":"Bruyne","given":"Michiel","non-dropping-particle":"De","parse-names":false,"suffix":""},{"dropping-particle":"","family":"Rycke","given":"Riet","non-dropping-particle":"De","parse-names":false,"suffix":""},{"dropping-particle":"","family":"Geelen","given":"Danny","non-dropping-particle":"","parse-names":false,"suffix":""},{"dropping-particle":"","family":"Willats","given":"William G.T.","non-dropping-particle":"","parse-names":false,"suffix":""},{"dropping-particle":"","family":"Vanholme","given":"Bartel","non-dropping-particle":"","parse-names":false,"suffix":""},{"dropping-particle":"","family":"Boerjan","given":"Wout","non-dropping-particle":"","parse-names":false,"suffix":""}],"container-title":"Plant Physiology","id":"ITEM-1","issue":"1","issued":{"date-parts":[["2019"]]},"page":"74-87","title":"Polyploidy affects plant growth and alters cell wall composition","type":"article-journal","volume":"179"},"uris":["http://www.mendeley.com/documents/?uuid=8c47328e-3cdd-4116-87e3-68043ca2d27c"]}],"mendeley":{"formattedCitation":"(Corneillie et al., 2019)","manualFormatting":"Corneillie et al., 2019","plainTextFormattedCitation":"(Corneillie et al., 2019)","previouslyFormattedCitation":"(Corneillie et al., 2019)"},"properties":{"noteIndex":0},"schema":"https://github.com/citation-style-language/schema/raw/master/csl-citation.json"}</w:instrText>
      </w:r>
      <w:r w:rsidR="00CD78B6" w:rsidRPr="00CF7B12">
        <w:rPr>
          <w:rFonts w:ascii="Times New Roman" w:eastAsia="Times New Roman" w:hAnsi="Times New Roman" w:cs="Times New Roman"/>
          <w:color w:val="000000" w:themeColor="text1"/>
          <w:kern w:val="0"/>
          <w:szCs w:val="24"/>
          <w:lang w:eastAsia="en-IN"/>
          <w14:ligatures w14:val="none"/>
        </w:rPr>
        <w:fldChar w:fldCharType="separate"/>
      </w:r>
      <w:r w:rsidR="00CD78B6" w:rsidRPr="00CF7B12">
        <w:rPr>
          <w:rFonts w:ascii="Times New Roman" w:eastAsia="Times New Roman" w:hAnsi="Times New Roman" w:cs="Times New Roman"/>
          <w:noProof/>
          <w:color w:val="000000" w:themeColor="text1"/>
          <w:kern w:val="0"/>
          <w:szCs w:val="24"/>
          <w:lang w:eastAsia="en-IN"/>
          <w14:ligatures w14:val="none"/>
        </w:rPr>
        <w:t>Corneillie et al., 2019</w:t>
      </w:r>
      <w:r w:rsidR="00CD78B6"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The </w:t>
      </w:r>
      <w:r w:rsidR="001241E8" w:rsidRPr="00CF7B12">
        <w:rPr>
          <w:rFonts w:ascii="Times New Roman" w:eastAsia="Times New Roman" w:hAnsi="Times New Roman" w:cs="Times New Roman"/>
          <w:color w:val="000000" w:themeColor="text1"/>
          <w:kern w:val="0"/>
          <w:szCs w:val="24"/>
          <w:lang w:eastAsia="en-IN"/>
          <w14:ligatures w14:val="none"/>
        </w:rPr>
        <w:t>variation in tiller no</w:t>
      </w:r>
      <w:r w:rsidR="002019DB" w:rsidRPr="00CF7B12">
        <w:rPr>
          <w:rFonts w:ascii="Times New Roman" w:eastAsia="Times New Roman" w:hAnsi="Times New Roman" w:cs="Times New Roman"/>
          <w:color w:val="000000" w:themeColor="text1"/>
          <w:kern w:val="0"/>
          <w:szCs w:val="24"/>
          <w:lang w:eastAsia="en-IN"/>
          <w14:ligatures w14:val="none"/>
        </w:rPr>
        <w:t>. in</w:t>
      </w:r>
      <w:r w:rsidRPr="00CF7B12">
        <w:rPr>
          <w:rFonts w:ascii="Times New Roman" w:eastAsia="Times New Roman" w:hAnsi="Times New Roman" w:cs="Times New Roman"/>
          <w:color w:val="000000" w:themeColor="text1"/>
          <w:kern w:val="0"/>
          <w:szCs w:val="24"/>
          <w:lang w:eastAsia="en-IN"/>
          <w14:ligatures w14:val="none"/>
        </w:rPr>
        <w:t xml:space="preserve"> plants suggest a possible trade-off between tiller production and individual tiller robustness (Soltis &amp; Soltis, 2012). Similarly, the highest tiller diameter was recorded in 8</w:t>
      </w:r>
      <w:r w:rsidR="002019DB" w:rsidRPr="00CF7B12">
        <w:rPr>
          <w:rFonts w:ascii="Times New Roman" w:eastAsia="Times New Roman" w:hAnsi="Times New Roman" w:cs="Times New Roman"/>
          <w:color w:val="000000" w:themeColor="text1"/>
          <w:kern w:val="0"/>
          <w:szCs w:val="24"/>
          <w:lang w:eastAsia="en-IN"/>
          <w14:ligatures w14:val="none"/>
        </w:rPr>
        <w:t>x</w:t>
      </w:r>
      <w:r w:rsidRPr="00CF7B12">
        <w:rPr>
          <w:rFonts w:ascii="Times New Roman" w:eastAsia="Times New Roman" w:hAnsi="Times New Roman" w:cs="Times New Roman"/>
          <w:color w:val="000000" w:themeColor="text1"/>
          <w:kern w:val="0"/>
          <w:szCs w:val="24"/>
          <w:lang w:eastAsia="en-IN"/>
          <w14:ligatures w14:val="none"/>
        </w:rPr>
        <w:t xml:space="preserve"> plants (4.89 mm), indicating potential structural adaptations linked to increased cell size, a common characteristic of polyploids (D’Amato, 1989). The lowest tiller diameter in 3</w:t>
      </w:r>
      <w:r w:rsidR="002019DB" w:rsidRPr="00CF7B12">
        <w:rPr>
          <w:rFonts w:ascii="Times New Roman" w:eastAsia="Times New Roman" w:hAnsi="Times New Roman" w:cs="Times New Roman"/>
          <w:color w:val="000000" w:themeColor="text1"/>
          <w:kern w:val="0"/>
          <w:szCs w:val="24"/>
          <w:lang w:eastAsia="en-IN"/>
          <w14:ligatures w14:val="none"/>
        </w:rPr>
        <w:t>x</w:t>
      </w:r>
      <w:r w:rsidRPr="00CF7B12">
        <w:rPr>
          <w:rFonts w:ascii="Times New Roman" w:eastAsia="Times New Roman" w:hAnsi="Times New Roman" w:cs="Times New Roman"/>
          <w:color w:val="000000" w:themeColor="text1"/>
          <w:kern w:val="0"/>
          <w:szCs w:val="24"/>
          <w:lang w:eastAsia="en-IN"/>
          <w14:ligatures w14:val="none"/>
        </w:rPr>
        <w:t xml:space="preserve"> plants (2 mm) reflects the reduced </w:t>
      </w:r>
      <w:proofErr w:type="spellStart"/>
      <w:r w:rsidRPr="00CF7B12">
        <w:rPr>
          <w:rFonts w:ascii="Times New Roman" w:eastAsia="Times New Roman" w:hAnsi="Times New Roman" w:cs="Times New Roman"/>
          <w:color w:val="000000" w:themeColor="text1"/>
          <w:kern w:val="0"/>
          <w:szCs w:val="24"/>
          <w:lang w:eastAsia="en-IN"/>
          <w14:ligatures w14:val="none"/>
        </w:rPr>
        <w:t>vigor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often observed in lower ploidy levels.</w:t>
      </w:r>
    </w:p>
    <w:p w14:paraId="2CBC5C2A" w14:textId="3F2B01E1" w:rsidR="003808E1" w:rsidRPr="00CF7B12" w:rsidRDefault="0040366A" w:rsidP="003808E1">
      <w:pPr>
        <w:spacing w:after="120" w:line="360" w:lineRule="auto"/>
        <w:ind w:firstLine="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The reduced leaf number at</w:t>
      </w:r>
      <w:r w:rsidR="003808E1" w:rsidRPr="00CF7B12">
        <w:rPr>
          <w:rFonts w:ascii="Times New Roman" w:eastAsia="Times New Roman" w:hAnsi="Times New Roman" w:cs="Times New Roman"/>
          <w:color w:val="000000" w:themeColor="text1"/>
          <w:kern w:val="0"/>
          <w:szCs w:val="24"/>
          <w:lang w:eastAsia="en-IN"/>
          <w14:ligatures w14:val="none"/>
        </w:rPr>
        <w:t xml:space="preserve"> higher ploidy levels may influence resource allocation, potentially </w:t>
      </w:r>
      <w:proofErr w:type="spellStart"/>
      <w:r w:rsidR="003808E1" w:rsidRPr="00CF7B12">
        <w:rPr>
          <w:rFonts w:ascii="Times New Roman" w:eastAsia="Times New Roman" w:hAnsi="Times New Roman" w:cs="Times New Roman"/>
          <w:color w:val="000000" w:themeColor="text1"/>
          <w:kern w:val="0"/>
          <w:szCs w:val="24"/>
          <w:lang w:eastAsia="en-IN"/>
          <w14:ligatures w14:val="none"/>
        </w:rPr>
        <w:t>favoring</w:t>
      </w:r>
      <w:proofErr w:type="spellEnd"/>
      <w:r w:rsidR="003808E1" w:rsidRPr="00CF7B12">
        <w:rPr>
          <w:rFonts w:ascii="Times New Roman" w:eastAsia="Times New Roman" w:hAnsi="Times New Roman" w:cs="Times New Roman"/>
          <w:color w:val="000000" w:themeColor="text1"/>
          <w:kern w:val="0"/>
          <w:szCs w:val="24"/>
          <w:lang w:eastAsia="en-IN"/>
          <w14:ligatures w14:val="none"/>
        </w:rPr>
        <w:t xml:space="preserve"> fewer but more robust leaves (</w:t>
      </w:r>
      <w:proofErr w:type="spellStart"/>
      <w:r w:rsidR="003808E1" w:rsidRPr="00CF7B12">
        <w:rPr>
          <w:rFonts w:ascii="Times New Roman" w:eastAsia="Times New Roman" w:hAnsi="Times New Roman" w:cs="Times New Roman"/>
          <w:color w:val="000000" w:themeColor="text1"/>
          <w:kern w:val="0"/>
          <w:szCs w:val="24"/>
          <w:lang w:eastAsia="en-IN"/>
          <w14:ligatures w14:val="none"/>
        </w:rPr>
        <w:t>Rieseberg</w:t>
      </w:r>
      <w:proofErr w:type="spellEnd"/>
      <w:r w:rsidR="003808E1" w:rsidRPr="00CF7B12">
        <w:rPr>
          <w:rFonts w:ascii="Times New Roman" w:eastAsia="Times New Roman" w:hAnsi="Times New Roman" w:cs="Times New Roman"/>
          <w:color w:val="000000" w:themeColor="text1"/>
          <w:kern w:val="0"/>
          <w:szCs w:val="24"/>
          <w:lang w:eastAsia="en-IN"/>
          <w14:ligatures w14:val="none"/>
        </w:rPr>
        <w:t xml:space="preserve"> &amp; Willis, 2007). Internode length </w:t>
      </w:r>
      <w:r w:rsidR="003808E1" w:rsidRPr="00CF7B12">
        <w:rPr>
          <w:rFonts w:ascii="Times New Roman" w:eastAsia="Times New Roman" w:hAnsi="Times New Roman" w:cs="Times New Roman"/>
          <w:color w:val="000000" w:themeColor="text1"/>
          <w:kern w:val="0"/>
          <w:szCs w:val="24"/>
          <w:lang w:eastAsia="en-IN"/>
          <w14:ligatures w14:val="none"/>
        </w:rPr>
        <w:lastRenderedPageBreak/>
        <w:t>variation further reinforces the impact of ploidy on plant architecture. The longest internodes were recorded in 5</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plants (18 cm), followed by 4</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plants (14 cm), suggesting enhanced elongation growth in these ploidy levels. Moderate internode lengths in 6</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7</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8</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9</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w:t>
      </w:r>
      <w:r w:rsidR="008B5A26" w:rsidRPr="00CF7B12">
        <w:rPr>
          <w:rFonts w:ascii="Times New Roman" w:eastAsia="Times New Roman" w:hAnsi="Times New Roman" w:cs="Times New Roman"/>
          <w:color w:val="000000" w:themeColor="text1"/>
          <w:kern w:val="0"/>
          <w:szCs w:val="24"/>
          <w:lang w:eastAsia="en-IN"/>
          <w14:ligatures w14:val="none"/>
        </w:rPr>
        <w:t xml:space="preserve">11x </w:t>
      </w:r>
      <w:r w:rsidR="003808E1" w:rsidRPr="00CF7B12">
        <w:rPr>
          <w:rFonts w:ascii="Times New Roman" w:eastAsia="Times New Roman" w:hAnsi="Times New Roman" w:cs="Times New Roman"/>
          <w:color w:val="000000" w:themeColor="text1"/>
          <w:kern w:val="0"/>
          <w:szCs w:val="24"/>
          <w:lang w:eastAsia="en-IN"/>
          <w14:ligatures w14:val="none"/>
        </w:rPr>
        <w:t>and SRP75 plants indicate a potential stabilizing effect of increased ploidy, whereas 3</w:t>
      </w:r>
      <w:r w:rsidR="008B5A26"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plants with the shortest internodes (3.0 cm) exhibit limited elongation capacity. These results are consistent with studies on polyploid plants where increased cell size and elongation potential are key determinants of growth performance (Ramsey &amp; Ramsey, 2014; </w:t>
      </w:r>
      <w:proofErr w:type="spellStart"/>
      <w:r w:rsidR="003808E1" w:rsidRPr="00CF7B12">
        <w:rPr>
          <w:rFonts w:ascii="Times New Roman" w:eastAsia="Times New Roman" w:hAnsi="Times New Roman" w:cs="Times New Roman"/>
          <w:color w:val="000000" w:themeColor="text1"/>
          <w:kern w:val="0"/>
          <w:szCs w:val="24"/>
          <w:lang w:eastAsia="en-IN"/>
          <w14:ligatures w14:val="none"/>
        </w:rPr>
        <w:t>Parisod</w:t>
      </w:r>
      <w:proofErr w:type="spellEnd"/>
      <w:r w:rsidR="003808E1" w:rsidRPr="00CF7B12">
        <w:rPr>
          <w:rFonts w:ascii="Times New Roman" w:eastAsia="Times New Roman" w:hAnsi="Times New Roman" w:cs="Times New Roman"/>
          <w:color w:val="000000" w:themeColor="text1"/>
          <w:kern w:val="0"/>
          <w:szCs w:val="24"/>
          <w:lang w:eastAsia="en-IN"/>
          <w14:ligatures w14:val="none"/>
        </w:rPr>
        <w:t xml:space="preserve"> et al., 2010).</w:t>
      </w:r>
      <w:r w:rsidR="00A65EBA" w:rsidRPr="00CF7B12">
        <w:rPr>
          <w:rFonts w:ascii="Times New Roman" w:eastAsia="Times New Roman" w:hAnsi="Times New Roman" w:cs="Times New Roman"/>
          <w:color w:val="000000" w:themeColor="text1"/>
          <w:kern w:val="0"/>
          <w:szCs w:val="24"/>
          <w:lang w:eastAsia="en-IN"/>
          <w14:ligatures w14:val="none"/>
        </w:rPr>
        <w:t xml:space="preserve"> </w:t>
      </w:r>
      <w:r w:rsidR="003808E1" w:rsidRPr="00CF7B12">
        <w:rPr>
          <w:rFonts w:ascii="Times New Roman" w:eastAsia="Times New Roman" w:hAnsi="Times New Roman" w:cs="Times New Roman"/>
          <w:color w:val="000000" w:themeColor="text1"/>
          <w:kern w:val="0"/>
          <w:szCs w:val="24"/>
          <w:lang w:eastAsia="en-IN"/>
          <w14:ligatures w14:val="none"/>
        </w:rPr>
        <w:t>Overall, the observed trends in growth attributes emphasize the complex interplay between genome duplication and morphological adaptations in guinea grass. Intermediate ploidy levels, particularly 5</w:t>
      </w:r>
      <w:r w:rsidR="00A65EBA"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and 8</w:t>
      </w:r>
      <w:r w:rsidR="00A65EBA"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appear to exhibit advantageous growth characteristics, while extreme low and high ploidy levels may experience growth limitations due to altered genetic regulation.</w:t>
      </w:r>
    </w:p>
    <w:p w14:paraId="168411A0" w14:textId="17BC6241" w:rsidR="00B03EF1" w:rsidRPr="00CF7B12" w:rsidRDefault="00B03EF1" w:rsidP="00B03EF1">
      <w:pPr>
        <w:spacing w:after="120" w:line="360" w:lineRule="auto"/>
        <w:jc w:val="both"/>
        <w:rPr>
          <w:rFonts w:ascii="Times New Roman" w:hAnsi="Times New Roman" w:cs="Times New Roman"/>
          <w:b/>
          <w:bCs/>
          <w:color w:val="000000" w:themeColor="text1"/>
          <w:szCs w:val="24"/>
          <w:lang w:val="en-US"/>
        </w:rPr>
      </w:pPr>
      <w:r w:rsidRPr="00CF7B12">
        <w:rPr>
          <w:rFonts w:ascii="Times New Roman" w:hAnsi="Times New Roman" w:cs="Times New Roman"/>
          <w:b/>
          <w:bCs/>
          <w:color w:val="000000" w:themeColor="text1"/>
          <w:szCs w:val="24"/>
          <w:lang w:val="en-US"/>
        </w:rPr>
        <w:t>Table 4: Growth attributes of different ploidy plants of guinea grass at 50% flowering stage</w:t>
      </w:r>
    </w:p>
    <w:tbl>
      <w:tblPr>
        <w:tblStyle w:val="TableGrid"/>
        <w:tblW w:w="536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204"/>
        <w:gridCol w:w="1550"/>
        <w:gridCol w:w="1252"/>
        <w:gridCol w:w="1188"/>
        <w:gridCol w:w="1188"/>
        <w:gridCol w:w="1593"/>
      </w:tblGrid>
      <w:tr w:rsidR="00CF7B12" w:rsidRPr="00CF7B12" w14:paraId="6B96C42D" w14:textId="77777777" w:rsidTr="004A242A">
        <w:trPr>
          <w:trHeight w:val="341"/>
          <w:jc w:val="center"/>
        </w:trPr>
        <w:tc>
          <w:tcPr>
            <w:tcW w:w="879" w:type="pct"/>
            <w:tcBorders>
              <w:top w:val="single" w:sz="4" w:space="0" w:color="auto"/>
              <w:bottom w:val="single" w:sz="4" w:space="0" w:color="auto"/>
              <w:right w:val="single" w:sz="4" w:space="0" w:color="auto"/>
            </w:tcBorders>
            <w:hideMark/>
          </w:tcPr>
          <w:p w14:paraId="63A4D1D5"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Plants</w:t>
            </w:r>
          </w:p>
        </w:tc>
        <w:tc>
          <w:tcPr>
            <w:tcW w:w="622" w:type="pct"/>
            <w:tcBorders>
              <w:left w:val="single" w:sz="4" w:space="0" w:color="auto"/>
              <w:bottom w:val="single" w:sz="4" w:space="0" w:color="auto"/>
            </w:tcBorders>
            <w:hideMark/>
          </w:tcPr>
          <w:p w14:paraId="4512C6C0"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 height</w:t>
            </w:r>
          </w:p>
          <w:p w14:paraId="7C5F7C94"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801" w:type="pct"/>
            <w:tcBorders>
              <w:bottom w:val="single" w:sz="4" w:space="0" w:color="auto"/>
            </w:tcBorders>
            <w:hideMark/>
          </w:tcPr>
          <w:p w14:paraId="763B28E2"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 of Tillers/plant</w:t>
            </w:r>
          </w:p>
        </w:tc>
        <w:tc>
          <w:tcPr>
            <w:tcW w:w="647" w:type="pct"/>
            <w:tcBorders>
              <w:bottom w:val="single" w:sz="4" w:space="0" w:color="auto"/>
            </w:tcBorders>
            <w:hideMark/>
          </w:tcPr>
          <w:p w14:paraId="569C4E53"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Average tiller diameter</w:t>
            </w:r>
          </w:p>
          <w:p w14:paraId="4575B978"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(mm)</w:t>
            </w:r>
          </w:p>
        </w:tc>
        <w:tc>
          <w:tcPr>
            <w:tcW w:w="614" w:type="pct"/>
            <w:tcBorders>
              <w:bottom w:val="single" w:sz="4" w:space="0" w:color="auto"/>
            </w:tcBorders>
            <w:hideMark/>
          </w:tcPr>
          <w:p w14:paraId="5058F8F9"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 of Leaves/</w:t>
            </w:r>
          </w:p>
          <w:p w14:paraId="00545422"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tillers</w:t>
            </w:r>
          </w:p>
        </w:tc>
        <w:tc>
          <w:tcPr>
            <w:tcW w:w="614" w:type="pct"/>
            <w:tcBorders>
              <w:bottom w:val="single" w:sz="4" w:space="0" w:color="auto"/>
            </w:tcBorders>
            <w:hideMark/>
          </w:tcPr>
          <w:p w14:paraId="3E2C5081"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 of Nodes/</w:t>
            </w:r>
          </w:p>
          <w:p w14:paraId="45192886"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tillers</w:t>
            </w:r>
          </w:p>
        </w:tc>
        <w:tc>
          <w:tcPr>
            <w:tcW w:w="823" w:type="pct"/>
            <w:tcBorders>
              <w:bottom w:val="single" w:sz="4" w:space="0" w:color="auto"/>
            </w:tcBorders>
            <w:hideMark/>
          </w:tcPr>
          <w:p w14:paraId="713485BA"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Internode length</w:t>
            </w:r>
          </w:p>
          <w:p w14:paraId="06FB23BD"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r>
      <w:tr w:rsidR="00CF7B12" w:rsidRPr="00CF7B12" w14:paraId="3B00F0A3" w14:textId="77777777" w:rsidTr="004A242A">
        <w:trPr>
          <w:trHeight w:val="341"/>
          <w:jc w:val="center"/>
        </w:trPr>
        <w:tc>
          <w:tcPr>
            <w:tcW w:w="879" w:type="pct"/>
            <w:tcBorders>
              <w:top w:val="single" w:sz="4" w:space="0" w:color="auto"/>
              <w:bottom w:val="nil"/>
              <w:right w:val="single" w:sz="4" w:space="0" w:color="auto"/>
            </w:tcBorders>
            <w:vAlign w:val="center"/>
            <w:hideMark/>
          </w:tcPr>
          <w:p w14:paraId="11F0ED3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622" w:type="pct"/>
            <w:tcBorders>
              <w:top w:val="single" w:sz="4" w:space="0" w:color="auto"/>
              <w:left w:val="single" w:sz="4" w:space="0" w:color="auto"/>
              <w:bottom w:val="nil"/>
            </w:tcBorders>
            <w:vAlign w:val="center"/>
            <w:hideMark/>
          </w:tcPr>
          <w:p w14:paraId="62C9C61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63.00</w:t>
            </w:r>
          </w:p>
        </w:tc>
        <w:tc>
          <w:tcPr>
            <w:tcW w:w="801" w:type="pct"/>
            <w:tcBorders>
              <w:top w:val="single" w:sz="4" w:space="0" w:color="auto"/>
              <w:bottom w:val="nil"/>
            </w:tcBorders>
            <w:vAlign w:val="center"/>
            <w:hideMark/>
          </w:tcPr>
          <w:p w14:paraId="71C0B85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647" w:type="pct"/>
            <w:tcBorders>
              <w:top w:val="single" w:sz="4" w:space="0" w:color="auto"/>
              <w:bottom w:val="nil"/>
            </w:tcBorders>
            <w:vAlign w:val="center"/>
            <w:hideMark/>
          </w:tcPr>
          <w:p w14:paraId="096CE1F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2.00</w:t>
            </w:r>
          </w:p>
        </w:tc>
        <w:tc>
          <w:tcPr>
            <w:tcW w:w="614" w:type="pct"/>
            <w:tcBorders>
              <w:top w:val="single" w:sz="4" w:space="0" w:color="auto"/>
              <w:bottom w:val="nil"/>
            </w:tcBorders>
            <w:vAlign w:val="center"/>
            <w:hideMark/>
          </w:tcPr>
          <w:p w14:paraId="312553B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14" w:type="pct"/>
            <w:tcBorders>
              <w:top w:val="single" w:sz="4" w:space="0" w:color="auto"/>
              <w:bottom w:val="nil"/>
            </w:tcBorders>
            <w:vAlign w:val="center"/>
            <w:hideMark/>
          </w:tcPr>
          <w:p w14:paraId="00085F0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w:t>
            </w:r>
          </w:p>
        </w:tc>
        <w:tc>
          <w:tcPr>
            <w:tcW w:w="823" w:type="pct"/>
            <w:tcBorders>
              <w:top w:val="single" w:sz="4" w:space="0" w:color="auto"/>
              <w:bottom w:val="nil"/>
            </w:tcBorders>
            <w:vAlign w:val="center"/>
            <w:hideMark/>
          </w:tcPr>
          <w:p w14:paraId="5C3366F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3.00</w:t>
            </w:r>
          </w:p>
        </w:tc>
      </w:tr>
      <w:tr w:rsidR="00CF7B12" w:rsidRPr="00CF7B12" w14:paraId="629FD252" w14:textId="77777777" w:rsidTr="004A242A">
        <w:trPr>
          <w:trHeight w:val="341"/>
          <w:jc w:val="center"/>
        </w:trPr>
        <w:tc>
          <w:tcPr>
            <w:tcW w:w="879" w:type="pct"/>
            <w:tcBorders>
              <w:top w:val="nil"/>
              <w:right w:val="single" w:sz="4" w:space="0" w:color="auto"/>
            </w:tcBorders>
            <w:vAlign w:val="center"/>
            <w:hideMark/>
          </w:tcPr>
          <w:p w14:paraId="2E1C707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622" w:type="pct"/>
            <w:tcBorders>
              <w:top w:val="nil"/>
              <w:left w:val="single" w:sz="4" w:space="0" w:color="auto"/>
            </w:tcBorders>
            <w:vAlign w:val="center"/>
            <w:hideMark/>
          </w:tcPr>
          <w:p w14:paraId="1413312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120.00</w:t>
            </w:r>
          </w:p>
        </w:tc>
        <w:tc>
          <w:tcPr>
            <w:tcW w:w="801" w:type="pct"/>
            <w:tcBorders>
              <w:top w:val="nil"/>
            </w:tcBorders>
            <w:vAlign w:val="center"/>
            <w:hideMark/>
          </w:tcPr>
          <w:p w14:paraId="3F50F67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w:t>
            </w:r>
          </w:p>
        </w:tc>
        <w:tc>
          <w:tcPr>
            <w:tcW w:w="647" w:type="pct"/>
            <w:tcBorders>
              <w:top w:val="nil"/>
            </w:tcBorders>
            <w:vAlign w:val="center"/>
            <w:hideMark/>
          </w:tcPr>
          <w:p w14:paraId="200CED0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3.96</w:t>
            </w:r>
          </w:p>
        </w:tc>
        <w:tc>
          <w:tcPr>
            <w:tcW w:w="614" w:type="pct"/>
            <w:tcBorders>
              <w:top w:val="nil"/>
            </w:tcBorders>
            <w:vAlign w:val="center"/>
            <w:hideMark/>
          </w:tcPr>
          <w:p w14:paraId="2AEE1AA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14" w:type="pct"/>
            <w:tcBorders>
              <w:top w:val="nil"/>
            </w:tcBorders>
            <w:vAlign w:val="center"/>
            <w:hideMark/>
          </w:tcPr>
          <w:p w14:paraId="0B81753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w:t>
            </w:r>
          </w:p>
        </w:tc>
        <w:tc>
          <w:tcPr>
            <w:tcW w:w="823" w:type="pct"/>
            <w:tcBorders>
              <w:top w:val="nil"/>
            </w:tcBorders>
            <w:vAlign w:val="center"/>
            <w:hideMark/>
          </w:tcPr>
          <w:p w14:paraId="0079FB0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14.00</w:t>
            </w:r>
          </w:p>
        </w:tc>
      </w:tr>
      <w:tr w:rsidR="00CF7B12" w:rsidRPr="00CF7B12" w14:paraId="36746519" w14:textId="77777777" w:rsidTr="004A242A">
        <w:trPr>
          <w:trHeight w:val="341"/>
          <w:jc w:val="center"/>
        </w:trPr>
        <w:tc>
          <w:tcPr>
            <w:tcW w:w="879" w:type="pct"/>
            <w:tcBorders>
              <w:right w:val="single" w:sz="4" w:space="0" w:color="auto"/>
            </w:tcBorders>
            <w:vAlign w:val="center"/>
            <w:hideMark/>
          </w:tcPr>
          <w:p w14:paraId="2854760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622" w:type="pct"/>
            <w:tcBorders>
              <w:left w:val="single" w:sz="4" w:space="0" w:color="auto"/>
            </w:tcBorders>
            <w:vAlign w:val="center"/>
            <w:hideMark/>
          </w:tcPr>
          <w:p w14:paraId="4B40882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139.00</w:t>
            </w:r>
          </w:p>
        </w:tc>
        <w:tc>
          <w:tcPr>
            <w:tcW w:w="801" w:type="pct"/>
            <w:vAlign w:val="center"/>
            <w:hideMark/>
          </w:tcPr>
          <w:p w14:paraId="05B39D4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47" w:type="pct"/>
            <w:vAlign w:val="center"/>
            <w:hideMark/>
          </w:tcPr>
          <w:p w14:paraId="56A487B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4.00</w:t>
            </w:r>
          </w:p>
        </w:tc>
        <w:tc>
          <w:tcPr>
            <w:tcW w:w="614" w:type="pct"/>
            <w:vAlign w:val="center"/>
            <w:hideMark/>
          </w:tcPr>
          <w:p w14:paraId="00F7BE7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14" w:type="pct"/>
            <w:vAlign w:val="center"/>
            <w:hideMark/>
          </w:tcPr>
          <w:p w14:paraId="3B53AC0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w:t>
            </w:r>
          </w:p>
        </w:tc>
        <w:tc>
          <w:tcPr>
            <w:tcW w:w="823" w:type="pct"/>
            <w:vAlign w:val="center"/>
            <w:hideMark/>
          </w:tcPr>
          <w:p w14:paraId="13FB9AF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18.00</w:t>
            </w:r>
          </w:p>
        </w:tc>
      </w:tr>
      <w:tr w:rsidR="00CF7B12" w:rsidRPr="00CF7B12" w14:paraId="5F5FC7E6" w14:textId="77777777" w:rsidTr="004A242A">
        <w:trPr>
          <w:trHeight w:val="341"/>
          <w:jc w:val="center"/>
        </w:trPr>
        <w:tc>
          <w:tcPr>
            <w:tcW w:w="879" w:type="pct"/>
            <w:tcBorders>
              <w:right w:val="single" w:sz="4" w:space="0" w:color="auto"/>
            </w:tcBorders>
            <w:vAlign w:val="center"/>
            <w:hideMark/>
          </w:tcPr>
          <w:p w14:paraId="2A573D7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622" w:type="pct"/>
            <w:tcBorders>
              <w:left w:val="single" w:sz="4" w:space="0" w:color="auto"/>
            </w:tcBorders>
            <w:vAlign w:val="center"/>
            <w:hideMark/>
          </w:tcPr>
          <w:p w14:paraId="6FDE89D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117.00</w:t>
            </w:r>
          </w:p>
        </w:tc>
        <w:tc>
          <w:tcPr>
            <w:tcW w:w="801" w:type="pct"/>
            <w:vAlign w:val="center"/>
            <w:hideMark/>
          </w:tcPr>
          <w:p w14:paraId="475C295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647" w:type="pct"/>
            <w:vAlign w:val="center"/>
            <w:hideMark/>
          </w:tcPr>
          <w:p w14:paraId="35AA0BA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4.44</w:t>
            </w:r>
          </w:p>
        </w:tc>
        <w:tc>
          <w:tcPr>
            <w:tcW w:w="614" w:type="pct"/>
            <w:vAlign w:val="center"/>
            <w:hideMark/>
          </w:tcPr>
          <w:p w14:paraId="578CD4F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w:t>
            </w:r>
          </w:p>
        </w:tc>
        <w:tc>
          <w:tcPr>
            <w:tcW w:w="614" w:type="pct"/>
            <w:vAlign w:val="center"/>
            <w:hideMark/>
          </w:tcPr>
          <w:p w14:paraId="50D3BBE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823" w:type="pct"/>
            <w:vAlign w:val="center"/>
            <w:hideMark/>
          </w:tcPr>
          <w:p w14:paraId="65DCB6D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9.50</w:t>
            </w:r>
          </w:p>
        </w:tc>
      </w:tr>
      <w:tr w:rsidR="00CF7B12" w:rsidRPr="00CF7B12" w14:paraId="69173669" w14:textId="77777777" w:rsidTr="004A242A">
        <w:trPr>
          <w:trHeight w:val="341"/>
          <w:jc w:val="center"/>
        </w:trPr>
        <w:tc>
          <w:tcPr>
            <w:tcW w:w="879" w:type="pct"/>
            <w:tcBorders>
              <w:right w:val="single" w:sz="4" w:space="0" w:color="auto"/>
            </w:tcBorders>
            <w:vAlign w:val="center"/>
            <w:hideMark/>
          </w:tcPr>
          <w:p w14:paraId="7884A24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622" w:type="pct"/>
            <w:tcBorders>
              <w:left w:val="single" w:sz="4" w:space="0" w:color="auto"/>
            </w:tcBorders>
            <w:vAlign w:val="center"/>
            <w:hideMark/>
          </w:tcPr>
          <w:p w14:paraId="1353B626" w14:textId="59F04234"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w:t>
            </w:r>
            <w:r w:rsidR="003222DB" w:rsidRPr="00CF7B12">
              <w:rPr>
                <w:rFonts w:ascii="Times New Roman" w:hAnsi="Times New Roman" w:cs="Times New Roman"/>
                <w:color w:val="000000" w:themeColor="text1"/>
                <w:szCs w:val="24"/>
                <w:lang w:val="en-US"/>
              </w:rPr>
              <w:t>06</w:t>
            </w:r>
            <w:r w:rsidRPr="00CF7B12">
              <w:rPr>
                <w:rFonts w:ascii="Times New Roman" w:hAnsi="Times New Roman" w:cs="Times New Roman"/>
                <w:color w:val="000000" w:themeColor="text1"/>
                <w:szCs w:val="24"/>
                <w:lang w:val="en-US"/>
              </w:rPr>
              <w:t>.00</w:t>
            </w:r>
          </w:p>
        </w:tc>
        <w:tc>
          <w:tcPr>
            <w:tcW w:w="801" w:type="pct"/>
            <w:vAlign w:val="center"/>
            <w:hideMark/>
          </w:tcPr>
          <w:p w14:paraId="0D7F969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47" w:type="pct"/>
            <w:vAlign w:val="center"/>
            <w:hideMark/>
          </w:tcPr>
          <w:p w14:paraId="72C1D17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3.76</w:t>
            </w:r>
          </w:p>
        </w:tc>
        <w:tc>
          <w:tcPr>
            <w:tcW w:w="614" w:type="pct"/>
            <w:vAlign w:val="center"/>
            <w:hideMark/>
          </w:tcPr>
          <w:p w14:paraId="108D803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14" w:type="pct"/>
            <w:vAlign w:val="center"/>
            <w:hideMark/>
          </w:tcPr>
          <w:p w14:paraId="1F7BE06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823" w:type="pct"/>
            <w:vAlign w:val="center"/>
            <w:hideMark/>
          </w:tcPr>
          <w:p w14:paraId="6E5C618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8.50</w:t>
            </w:r>
          </w:p>
        </w:tc>
      </w:tr>
      <w:tr w:rsidR="00CF7B12" w:rsidRPr="00CF7B12" w14:paraId="3D9673DC" w14:textId="77777777" w:rsidTr="004A242A">
        <w:trPr>
          <w:trHeight w:val="341"/>
          <w:jc w:val="center"/>
        </w:trPr>
        <w:tc>
          <w:tcPr>
            <w:tcW w:w="879" w:type="pct"/>
            <w:tcBorders>
              <w:right w:val="single" w:sz="4" w:space="0" w:color="auto"/>
            </w:tcBorders>
            <w:vAlign w:val="center"/>
            <w:hideMark/>
          </w:tcPr>
          <w:p w14:paraId="3A8F526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622" w:type="pct"/>
            <w:tcBorders>
              <w:left w:val="single" w:sz="4" w:space="0" w:color="auto"/>
            </w:tcBorders>
            <w:vAlign w:val="center"/>
            <w:hideMark/>
          </w:tcPr>
          <w:p w14:paraId="275927B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112.00</w:t>
            </w:r>
          </w:p>
        </w:tc>
        <w:tc>
          <w:tcPr>
            <w:tcW w:w="801" w:type="pct"/>
            <w:vAlign w:val="center"/>
            <w:hideMark/>
          </w:tcPr>
          <w:p w14:paraId="2255595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w:t>
            </w:r>
          </w:p>
        </w:tc>
        <w:tc>
          <w:tcPr>
            <w:tcW w:w="647" w:type="pct"/>
            <w:vAlign w:val="center"/>
            <w:hideMark/>
          </w:tcPr>
          <w:p w14:paraId="3F5151D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4.89</w:t>
            </w:r>
          </w:p>
        </w:tc>
        <w:tc>
          <w:tcPr>
            <w:tcW w:w="614" w:type="pct"/>
            <w:vAlign w:val="center"/>
            <w:hideMark/>
          </w:tcPr>
          <w:p w14:paraId="2DBDB33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w:t>
            </w:r>
          </w:p>
        </w:tc>
        <w:tc>
          <w:tcPr>
            <w:tcW w:w="614" w:type="pct"/>
            <w:vAlign w:val="center"/>
            <w:hideMark/>
          </w:tcPr>
          <w:p w14:paraId="6192415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823" w:type="pct"/>
            <w:vAlign w:val="center"/>
            <w:hideMark/>
          </w:tcPr>
          <w:p w14:paraId="42E09A9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11.50</w:t>
            </w:r>
          </w:p>
        </w:tc>
      </w:tr>
      <w:tr w:rsidR="00CF7B12" w:rsidRPr="00CF7B12" w14:paraId="2042AA7A" w14:textId="77777777" w:rsidTr="004A242A">
        <w:trPr>
          <w:trHeight w:val="341"/>
          <w:jc w:val="center"/>
        </w:trPr>
        <w:tc>
          <w:tcPr>
            <w:tcW w:w="879" w:type="pct"/>
            <w:tcBorders>
              <w:right w:val="single" w:sz="4" w:space="0" w:color="auto"/>
            </w:tcBorders>
            <w:vAlign w:val="center"/>
            <w:hideMark/>
          </w:tcPr>
          <w:p w14:paraId="4FE787D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622" w:type="pct"/>
            <w:tcBorders>
              <w:left w:val="single" w:sz="4" w:space="0" w:color="auto"/>
            </w:tcBorders>
            <w:vAlign w:val="center"/>
            <w:hideMark/>
          </w:tcPr>
          <w:p w14:paraId="00529FBE" w14:textId="20009F40"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w:t>
            </w:r>
            <w:r w:rsidR="00A81A97" w:rsidRPr="00CF7B12">
              <w:rPr>
                <w:rFonts w:ascii="Times New Roman" w:hAnsi="Times New Roman" w:cs="Times New Roman"/>
                <w:color w:val="000000" w:themeColor="text1"/>
                <w:szCs w:val="24"/>
                <w:lang w:val="en-US"/>
              </w:rPr>
              <w:t>18</w:t>
            </w:r>
            <w:r w:rsidRPr="00CF7B12">
              <w:rPr>
                <w:rFonts w:ascii="Times New Roman" w:hAnsi="Times New Roman" w:cs="Times New Roman"/>
                <w:color w:val="000000" w:themeColor="text1"/>
                <w:szCs w:val="24"/>
                <w:lang w:val="en-US"/>
              </w:rPr>
              <w:t>.00</w:t>
            </w:r>
          </w:p>
        </w:tc>
        <w:tc>
          <w:tcPr>
            <w:tcW w:w="801" w:type="pct"/>
            <w:vAlign w:val="center"/>
            <w:hideMark/>
          </w:tcPr>
          <w:p w14:paraId="7CC6F9B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w:t>
            </w:r>
          </w:p>
        </w:tc>
        <w:tc>
          <w:tcPr>
            <w:tcW w:w="647" w:type="pct"/>
            <w:vAlign w:val="center"/>
            <w:hideMark/>
          </w:tcPr>
          <w:p w14:paraId="7865C19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4.18</w:t>
            </w:r>
          </w:p>
        </w:tc>
        <w:tc>
          <w:tcPr>
            <w:tcW w:w="614" w:type="pct"/>
            <w:vAlign w:val="center"/>
            <w:hideMark/>
          </w:tcPr>
          <w:p w14:paraId="72C067E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614" w:type="pct"/>
            <w:vAlign w:val="center"/>
            <w:hideMark/>
          </w:tcPr>
          <w:p w14:paraId="5A5E6BE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823" w:type="pct"/>
            <w:vAlign w:val="center"/>
            <w:hideMark/>
          </w:tcPr>
          <w:p w14:paraId="735F0B5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10.50</w:t>
            </w:r>
          </w:p>
        </w:tc>
      </w:tr>
      <w:tr w:rsidR="00CF7B12" w:rsidRPr="00CF7B12" w14:paraId="1E5E8A75" w14:textId="77777777" w:rsidTr="004A242A">
        <w:trPr>
          <w:trHeight w:val="341"/>
          <w:jc w:val="center"/>
        </w:trPr>
        <w:tc>
          <w:tcPr>
            <w:tcW w:w="879" w:type="pct"/>
            <w:tcBorders>
              <w:right w:val="single" w:sz="4" w:space="0" w:color="auto"/>
            </w:tcBorders>
            <w:vAlign w:val="center"/>
            <w:hideMark/>
          </w:tcPr>
          <w:p w14:paraId="3892C1B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622" w:type="pct"/>
            <w:tcBorders>
              <w:left w:val="single" w:sz="4" w:space="0" w:color="auto"/>
            </w:tcBorders>
            <w:vAlign w:val="center"/>
            <w:hideMark/>
          </w:tcPr>
          <w:p w14:paraId="711D860E" w14:textId="201193EA" w:rsidR="00B03EF1" w:rsidRPr="00CF7B12" w:rsidRDefault="00EC71F0"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w:t>
            </w:r>
            <w:r w:rsidR="00F26E53" w:rsidRPr="00CF7B12">
              <w:rPr>
                <w:rFonts w:ascii="Times New Roman" w:hAnsi="Times New Roman" w:cs="Times New Roman"/>
                <w:color w:val="000000" w:themeColor="text1"/>
                <w:szCs w:val="24"/>
                <w:lang w:val="en-US"/>
              </w:rPr>
              <w:t>1</w:t>
            </w:r>
            <w:r w:rsidR="00A47012" w:rsidRPr="00CF7B12">
              <w:rPr>
                <w:rFonts w:ascii="Times New Roman" w:hAnsi="Times New Roman" w:cs="Times New Roman"/>
                <w:color w:val="000000" w:themeColor="text1"/>
                <w:szCs w:val="24"/>
                <w:lang w:val="en-US"/>
              </w:rPr>
              <w:t>0</w:t>
            </w:r>
            <w:r w:rsidR="00B03EF1" w:rsidRPr="00CF7B12">
              <w:rPr>
                <w:rFonts w:ascii="Times New Roman" w:hAnsi="Times New Roman" w:cs="Times New Roman"/>
                <w:color w:val="000000" w:themeColor="text1"/>
                <w:szCs w:val="24"/>
                <w:lang w:val="en-US"/>
              </w:rPr>
              <w:t>.00</w:t>
            </w:r>
          </w:p>
        </w:tc>
        <w:tc>
          <w:tcPr>
            <w:tcW w:w="801" w:type="pct"/>
            <w:vAlign w:val="center"/>
            <w:hideMark/>
          </w:tcPr>
          <w:p w14:paraId="14ACB05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w:t>
            </w:r>
          </w:p>
        </w:tc>
        <w:tc>
          <w:tcPr>
            <w:tcW w:w="647" w:type="pct"/>
            <w:vAlign w:val="center"/>
            <w:hideMark/>
          </w:tcPr>
          <w:p w14:paraId="3FF69B3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3.45</w:t>
            </w:r>
          </w:p>
        </w:tc>
        <w:tc>
          <w:tcPr>
            <w:tcW w:w="614" w:type="pct"/>
            <w:vAlign w:val="center"/>
            <w:hideMark/>
          </w:tcPr>
          <w:p w14:paraId="72ACF54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614" w:type="pct"/>
            <w:vAlign w:val="center"/>
            <w:hideMark/>
          </w:tcPr>
          <w:p w14:paraId="704B7BE3" w14:textId="001C4DB4" w:rsidR="00B03EF1" w:rsidRPr="00CF7B12" w:rsidRDefault="00FD70A7"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w:t>
            </w:r>
          </w:p>
        </w:tc>
        <w:tc>
          <w:tcPr>
            <w:tcW w:w="823" w:type="pct"/>
            <w:vAlign w:val="center"/>
            <w:hideMark/>
          </w:tcPr>
          <w:p w14:paraId="1ADCA97B" w14:textId="51179913" w:rsidR="00B03EF1" w:rsidRPr="00CF7B12" w:rsidRDefault="00F26E53"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w:t>
            </w:r>
            <w:r w:rsidR="00501DF2" w:rsidRPr="00CF7B12">
              <w:rPr>
                <w:rFonts w:ascii="Times New Roman" w:hAnsi="Times New Roman" w:cs="Times New Roman"/>
                <w:color w:val="000000" w:themeColor="text1"/>
                <w:szCs w:val="24"/>
                <w:lang w:val="en-US"/>
              </w:rPr>
              <w:t>0.</w:t>
            </w:r>
            <w:r w:rsidR="00A47012" w:rsidRPr="00CF7B12">
              <w:rPr>
                <w:rFonts w:ascii="Times New Roman" w:hAnsi="Times New Roman" w:cs="Times New Roman"/>
                <w:color w:val="000000" w:themeColor="text1"/>
                <w:szCs w:val="24"/>
                <w:lang w:val="en-US"/>
              </w:rPr>
              <w:t>10</w:t>
            </w:r>
          </w:p>
        </w:tc>
      </w:tr>
      <w:tr w:rsidR="00484C70" w:rsidRPr="00CF7B12" w14:paraId="6DC0DC50" w14:textId="77777777" w:rsidTr="004A242A">
        <w:trPr>
          <w:trHeight w:val="341"/>
          <w:jc w:val="center"/>
        </w:trPr>
        <w:tc>
          <w:tcPr>
            <w:tcW w:w="879" w:type="pct"/>
            <w:tcBorders>
              <w:right w:val="single" w:sz="4" w:space="0" w:color="auto"/>
            </w:tcBorders>
            <w:vAlign w:val="center"/>
            <w:hideMark/>
          </w:tcPr>
          <w:p w14:paraId="2BF27BE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622" w:type="pct"/>
            <w:tcBorders>
              <w:left w:val="single" w:sz="4" w:space="0" w:color="auto"/>
            </w:tcBorders>
            <w:vAlign w:val="center"/>
            <w:hideMark/>
          </w:tcPr>
          <w:p w14:paraId="10872442" w14:textId="0C4957DC" w:rsidR="00B03EF1" w:rsidRPr="00CF7B12" w:rsidRDefault="00D0390C"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109</w:t>
            </w:r>
            <w:r w:rsidR="00B03EF1" w:rsidRPr="00CF7B12">
              <w:rPr>
                <w:rFonts w:ascii="Times New Roman" w:hAnsi="Times New Roman" w:cs="Times New Roman"/>
                <w:color w:val="000000" w:themeColor="text1"/>
                <w:szCs w:val="24"/>
                <w:lang w:val="en-US"/>
              </w:rPr>
              <w:t>.00</w:t>
            </w:r>
          </w:p>
        </w:tc>
        <w:tc>
          <w:tcPr>
            <w:tcW w:w="801" w:type="pct"/>
            <w:vAlign w:val="center"/>
            <w:hideMark/>
          </w:tcPr>
          <w:p w14:paraId="2B86B05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647" w:type="pct"/>
            <w:vAlign w:val="center"/>
            <w:hideMark/>
          </w:tcPr>
          <w:p w14:paraId="69272A6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3.63</w:t>
            </w:r>
          </w:p>
        </w:tc>
        <w:tc>
          <w:tcPr>
            <w:tcW w:w="614" w:type="pct"/>
            <w:vAlign w:val="center"/>
            <w:hideMark/>
          </w:tcPr>
          <w:p w14:paraId="1E92B1D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614" w:type="pct"/>
            <w:vAlign w:val="center"/>
            <w:hideMark/>
          </w:tcPr>
          <w:p w14:paraId="7CBD920B" w14:textId="74BC3D67" w:rsidR="00B03EF1" w:rsidRPr="00CF7B12" w:rsidRDefault="00657B63"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823" w:type="pct"/>
            <w:vAlign w:val="center"/>
            <w:hideMark/>
          </w:tcPr>
          <w:p w14:paraId="0F98A364" w14:textId="748C983E" w:rsidR="00B03EF1" w:rsidRPr="00CF7B12" w:rsidRDefault="008917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w:t>
            </w:r>
            <w:r w:rsidR="00B03EF1" w:rsidRPr="00CF7B12">
              <w:rPr>
                <w:rFonts w:ascii="Times New Roman" w:hAnsi="Times New Roman" w:cs="Times New Roman"/>
                <w:color w:val="000000" w:themeColor="text1"/>
                <w:szCs w:val="24"/>
                <w:lang w:val="en-US"/>
              </w:rPr>
              <w:t>.00</w:t>
            </w:r>
          </w:p>
        </w:tc>
      </w:tr>
      <w:tr w:rsidR="00086B7F" w:rsidRPr="00CF7B12" w14:paraId="7E4C7879" w14:textId="77777777" w:rsidTr="004A242A">
        <w:trPr>
          <w:trHeight w:val="341"/>
          <w:jc w:val="center"/>
        </w:trPr>
        <w:tc>
          <w:tcPr>
            <w:tcW w:w="879" w:type="pct"/>
            <w:tcBorders>
              <w:bottom w:val="single" w:sz="4" w:space="0" w:color="auto"/>
              <w:right w:val="single" w:sz="4" w:space="0" w:color="auto"/>
            </w:tcBorders>
            <w:vAlign w:val="center"/>
          </w:tcPr>
          <w:p w14:paraId="099BEAA7" w14:textId="48DAF740" w:rsidR="00086B7F" w:rsidRPr="00401BF0" w:rsidRDefault="004A242A"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LSD (p=0.05)</w:t>
            </w:r>
          </w:p>
        </w:tc>
        <w:tc>
          <w:tcPr>
            <w:tcW w:w="622" w:type="pct"/>
            <w:tcBorders>
              <w:left w:val="single" w:sz="4" w:space="0" w:color="auto"/>
            </w:tcBorders>
            <w:vAlign w:val="center"/>
          </w:tcPr>
          <w:p w14:paraId="3D85BC72" w14:textId="0BEE02E3" w:rsidR="00086B7F" w:rsidRPr="00401BF0" w:rsidRDefault="004A242A"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7.87</w:t>
            </w:r>
          </w:p>
        </w:tc>
        <w:tc>
          <w:tcPr>
            <w:tcW w:w="801" w:type="pct"/>
            <w:vAlign w:val="center"/>
          </w:tcPr>
          <w:p w14:paraId="4E9B2898" w14:textId="21840561" w:rsidR="00086B7F" w:rsidRPr="00401BF0" w:rsidRDefault="00876265"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0.3</w:t>
            </w:r>
          </w:p>
        </w:tc>
        <w:tc>
          <w:tcPr>
            <w:tcW w:w="647" w:type="pct"/>
            <w:vAlign w:val="center"/>
          </w:tcPr>
          <w:p w14:paraId="31713E7D" w14:textId="116A902E" w:rsidR="00086B7F" w:rsidRPr="00401BF0" w:rsidRDefault="000227D9"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0.21</w:t>
            </w:r>
          </w:p>
        </w:tc>
        <w:tc>
          <w:tcPr>
            <w:tcW w:w="614" w:type="pct"/>
            <w:vAlign w:val="center"/>
          </w:tcPr>
          <w:p w14:paraId="60771122" w14:textId="411E9758" w:rsidR="00086B7F" w:rsidRPr="00401BF0" w:rsidRDefault="000227D9"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0.4</w:t>
            </w:r>
          </w:p>
        </w:tc>
        <w:tc>
          <w:tcPr>
            <w:tcW w:w="614" w:type="pct"/>
            <w:vAlign w:val="center"/>
          </w:tcPr>
          <w:p w14:paraId="52D92961" w14:textId="35A86945" w:rsidR="00086B7F" w:rsidRPr="00401BF0" w:rsidRDefault="000227D9"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0.4</w:t>
            </w:r>
          </w:p>
        </w:tc>
        <w:tc>
          <w:tcPr>
            <w:tcW w:w="823" w:type="pct"/>
            <w:vAlign w:val="center"/>
          </w:tcPr>
          <w:p w14:paraId="70155AE2" w14:textId="712BEB7D" w:rsidR="00086B7F" w:rsidRPr="00CF7B12" w:rsidRDefault="000227D9" w:rsidP="00BF3173">
            <w:pPr>
              <w:jc w:val="center"/>
              <w:rPr>
                <w:rFonts w:ascii="Times New Roman" w:hAnsi="Times New Roman" w:cs="Times New Roman"/>
                <w:color w:val="000000" w:themeColor="text1"/>
                <w:szCs w:val="24"/>
                <w:lang w:val="en-US"/>
              </w:rPr>
            </w:pPr>
            <w:r w:rsidRPr="00401BF0">
              <w:rPr>
                <w:rFonts w:ascii="Times New Roman" w:hAnsi="Times New Roman" w:cs="Times New Roman"/>
                <w:color w:val="000000" w:themeColor="text1"/>
                <w:szCs w:val="24"/>
                <w:highlight w:val="yellow"/>
                <w:lang w:val="en-US"/>
              </w:rPr>
              <w:t>0.70</w:t>
            </w:r>
          </w:p>
        </w:tc>
      </w:tr>
    </w:tbl>
    <w:p w14:paraId="1AD0D09E" w14:textId="77777777" w:rsidR="00B03EF1" w:rsidRPr="00CF7B12" w:rsidRDefault="00B03EF1" w:rsidP="00B03EF1">
      <w:pPr>
        <w:spacing w:after="0" w:line="240" w:lineRule="auto"/>
        <w:jc w:val="both"/>
        <w:rPr>
          <w:rFonts w:ascii="Times New Roman" w:hAnsi="Times New Roman" w:cs="Times New Roman"/>
          <w:b/>
          <w:bCs/>
          <w:color w:val="000000" w:themeColor="text1"/>
          <w:szCs w:val="24"/>
          <w:lang w:val="en-US"/>
        </w:rPr>
      </w:pPr>
    </w:p>
    <w:p w14:paraId="0706A19D" w14:textId="77777777" w:rsidR="00A65EBA" w:rsidRPr="00CF7B12" w:rsidRDefault="003808E1" w:rsidP="00A65EBA">
      <w:pPr>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Leaf and spike characterization</w:t>
      </w:r>
    </w:p>
    <w:p w14:paraId="47036671" w14:textId="020C2A1E" w:rsidR="003808E1" w:rsidRPr="00CF7B12" w:rsidRDefault="003808E1" w:rsidP="00A65EBA">
      <w:pPr>
        <w:spacing w:after="120" w:line="360" w:lineRule="auto"/>
        <w:jc w:val="both"/>
        <w:rPr>
          <w:rFonts w:ascii="Times New Roman" w:eastAsia="Aptos" w:hAnsi="Times New Roman" w:cs="Times New Roman"/>
          <w:color w:val="000000" w:themeColor="text1"/>
          <w:szCs w:val="24"/>
        </w:rPr>
      </w:pPr>
      <w:r w:rsidRPr="00CF7B12">
        <w:rPr>
          <w:rFonts w:ascii="Times New Roman" w:eastAsia="Aptos" w:hAnsi="Times New Roman" w:cs="Times New Roman"/>
          <w:color w:val="000000" w:themeColor="text1"/>
          <w:szCs w:val="24"/>
          <w:lang w:val="en-US"/>
        </w:rPr>
        <w:t>Leaf characters (length and width of flag leaf and 3</w:t>
      </w:r>
      <w:r w:rsidRPr="00CF7B12">
        <w:rPr>
          <w:rFonts w:ascii="Times New Roman" w:eastAsia="Aptos" w:hAnsi="Times New Roman" w:cs="Times New Roman"/>
          <w:color w:val="000000" w:themeColor="text1"/>
          <w:szCs w:val="24"/>
          <w:vertAlign w:val="superscript"/>
          <w:lang w:val="en-US"/>
        </w:rPr>
        <w:t>rd</w:t>
      </w:r>
      <w:r w:rsidRPr="00CF7B12">
        <w:rPr>
          <w:rFonts w:ascii="Times New Roman" w:eastAsia="Aptos" w:hAnsi="Times New Roman" w:cs="Times New Roman"/>
          <w:color w:val="000000" w:themeColor="text1"/>
          <w:szCs w:val="24"/>
          <w:lang w:val="en-US"/>
        </w:rPr>
        <w:t xml:space="preserve"> leaf), and spike characters (length and number of florets per </w:t>
      </w:r>
      <w:proofErr w:type="spellStart"/>
      <w:r w:rsidRPr="00CF7B12">
        <w:rPr>
          <w:rFonts w:ascii="Times New Roman" w:eastAsia="Aptos" w:hAnsi="Times New Roman" w:cs="Times New Roman"/>
          <w:color w:val="000000" w:themeColor="text1"/>
          <w:szCs w:val="24"/>
          <w:lang w:val="en-US"/>
        </w:rPr>
        <w:t>spik</w:t>
      </w:r>
      <w:r w:rsidR="00A770F0" w:rsidRPr="00CF7B12">
        <w:rPr>
          <w:rFonts w:ascii="Times New Roman" w:eastAsia="Aptos" w:hAnsi="Times New Roman" w:cs="Times New Roman"/>
          <w:color w:val="000000" w:themeColor="text1"/>
          <w:szCs w:val="24"/>
          <w:lang w:val="en-US"/>
        </w:rPr>
        <w:t>e</w:t>
      </w:r>
      <w:r w:rsidRPr="00CF7B12">
        <w:rPr>
          <w:rFonts w:ascii="Times New Roman" w:eastAsia="Aptos" w:hAnsi="Times New Roman" w:cs="Times New Roman"/>
          <w:color w:val="000000" w:themeColor="text1"/>
          <w:szCs w:val="24"/>
          <w:lang w:val="en-US"/>
        </w:rPr>
        <w:t>lets</w:t>
      </w:r>
      <w:proofErr w:type="spellEnd"/>
      <w:r w:rsidRPr="00CF7B12">
        <w:rPr>
          <w:rFonts w:ascii="Times New Roman" w:eastAsia="Aptos" w:hAnsi="Times New Roman" w:cs="Times New Roman"/>
          <w:color w:val="000000" w:themeColor="text1"/>
          <w:szCs w:val="24"/>
          <w:lang w:val="en-US"/>
        </w:rPr>
        <w:t>) are significantly influenced by the varied ploidy levels of guinea grass plants (Table 5).</w:t>
      </w:r>
      <w:r w:rsidR="00A65EBA" w:rsidRPr="00CF7B12">
        <w:rPr>
          <w:rFonts w:ascii="Times New Roman" w:eastAsia="Aptos" w:hAnsi="Times New Roman" w:cs="Times New Roman"/>
          <w:color w:val="000000" w:themeColor="text1"/>
          <w:szCs w:val="24"/>
          <w:lang w:val="en-US"/>
        </w:rPr>
        <w:t xml:space="preserve"> </w:t>
      </w:r>
      <w:r w:rsidRPr="00CF7B12">
        <w:rPr>
          <w:rFonts w:ascii="Times New Roman" w:eastAsia="Aptos" w:hAnsi="Times New Roman" w:cs="Times New Roman"/>
          <w:color w:val="000000" w:themeColor="text1"/>
          <w:szCs w:val="24"/>
        </w:rPr>
        <w:t xml:space="preserve">The flag leaf length varied significantly across the ploidy levels of guinea grass. Longest flag leaf of length 16 cm was observed in 7x plants, followed by SRP75 genotype (11.5 cm), whereas, the flag leaf length in the remaining ploidy plants (3x, 4x, 5x, 6x, 9x and 11x) was nearly consistent ranging from 7.0 to 9.5 cm. Similarly, the flag leaf width also varied greatly, with the highest width (1.10 cm) recorded in 6x plants, indicating </w:t>
      </w:r>
      <w:r w:rsidRPr="00CF7B12">
        <w:rPr>
          <w:rFonts w:ascii="Times New Roman" w:eastAsia="Aptos" w:hAnsi="Times New Roman" w:cs="Times New Roman"/>
          <w:color w:val="000000" w:themeColor="text1"/>
          <w:szCs w:val="24"/>
        </w:rPr>
        <w:lastRenderedPageBreak/>
        <w:t>a larger leaf surface area followed by 1.0 cm in 4x, 5x, 7x and SRP75 plants, while the narrowest flag leaves (0.45 to 0.90 cm) were observed in 3x, 8x, 9x, and 11x plants.</w:t>
      </w:r>
      <w:r w:rsidR="00873AA2" w:rsidRPr="00CF7B12">
        <w:rPr>
          <w:rFonts w:ascii="Times New Roman" w:eastAsia="Aptos" w:hAnsi="Times New Roman" w:cs="Times New Roman"/>
          <w:color w:val="000000" w:themeColor="text1"/>
          <w:szCs w:val="24"/>
        </w:rPr>
        <w:t xml:space="preserve"> Similar variation has also been observed in length and width of third leaf of guinea grass. </w:t>
      </w:r>
    </w:p>
    <w:p w14:paraId="2D191DE0" w14:textId="57B5BBDE" w:rsidR="003808E1" w:rsidRPr="00CF7B12" w:rsidRDefault="003808E1" w:rsidP="00484C70">
      <w:pPr>
        <w:spacing w:after="120" w:line="360" w:lineRule="auto"/>
        <w:ind w:firstLine="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The spike length in different ploidy plants in guinea grass varied notably, with the longest spike of 28.0 cm in 6x plants, followed by 5x and 11x plants (both 24.0 cm). The spike length in other remaining ploidy plants ranged between 13.0-22.0 cm while the shortest spike length was observed in 3x plants at 13.0 cm. The observations revealed the significant variation in no. of florets/spikelet across the different ploidy levels of guinea grass. The 6x ploidy plants had the most florets per spikelet (695 florets/spike), followed by SRP75 genotype (423 florets/spike) and 5x plants (416 florets/spike). On the contrary, the fewest florets per spike</w:t>
      </w:r>
      <w:r w:rsidR="00EF7445"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with only 73 florets were noted in 3x ploidy plants while the other remaining ploidy plants, </w:t>
      </w:r>
      <w:r w:rsidRPr="00CF7B12">
        <w:rPr>
          <w:rFonts w:ascii="Times New Roman" w:eastAsia="Times New Roman" w:hAnsi="Times New Roman" w:cs="Times New Roman"/>
          <w:i/>
          <w:iCs/>
          <w:color w:val="000000" w:themeColor="text1"/>
          <w:kern w:val="0"/>
          <w:szCs w:val="24"/>
          <w:lang w:eastAsia="en-IN"/>
          <w14:ligatures w14:val="none"/>
        </w:rPr>
        <w:t>i.e.,</w:t>
      </w:r>
      <w:r w:rsidRPr="00CF7B12">
        <w:rPr>
          <w:rFonts w:ascii="Times New Roman" w:eastAsia="Times New Roman" w:hAnsi="Times New Roman" w:cs="Times New Roman"/>
          <w:color w:val="000000" w:themeColor="text1"/>
          <w:kern w:val="0"/>
          <w:szCs w:val="24"/>
          <w:lang w:eastAsia="en-IN"/>
          <w14:ligatures w14:val="none"/>
        </w:rPr>
        <w:t xml:space="preserve"> 4x, 7x, 8x, 9x and 11x, exhibited floret counts ranging from 206 to 337 florets per spike.</w:t>
      </w:r>
      <w:r w:rsidR="00484C70"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These variations in flag leaf size, third leaf dimensions, spike length, and floret number suggest that genome duplication influences both vegetative and reproductive traits, potentially impacting photosynthetic efficiency, biomass accumulation, and reproductive output (Levin, 2002; </w:t>
      </w:r>
      <w:r w:rsidR="00CD78B6" w:rsidRPr="00CF7B12">
        <w:rPr>
          <w:rFonts w:ascii="Times New Roman" w:eastAsia="Times New Roman" w:hAnsi="Times New Roman" w:cs="Times New Roman"/>
          <w:color w:val="000000" w:themeColor="text1"/>
          <w:kern w:val="0"/>
          <w:szCs w:val="24"/>
          <w:lang w:eastAsia="en-IN"/>
          <w14:ligatures w14:val="none"/>
        </w:rPr>
        <w:fldChar w:fldCharType="begin" w:fldLock="1"/>
      </w:r>
      <w:r w:rsidR="004A33F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{"citationItems":[{"id":"ITEM-1","itemData":{"DOI":"10.1104/pp.18.00967","ISSN":"15322548","PMID":"30301776","abstract":"Polyploidization has played a key role in plant breeding and crop improvement. Although its potential to increase biomass yield is well described, the effect of polyploidization on biomass composition has largely remained unexplored. Here, we generated a series of Arabidopsis (Arabidopsis thaliana) plants with different somatic ploidy levels (2n, 4n, 6n, and 8n) and performed rigorous phenotypic characterization. Kinematic analysis showed that polyploids developed slower compared to diploids; however, tetra-and hexaploids, but not octaploids, generated larger rosettes due to delayed flowering. In addition, morphometric analysis of leaves showed that polyploidy affected epidermal pavement cells, with increased cell size and reduced cell number per leaf blade with incrementing ploidy. However, the inflorescence stem dry weight was highest in tetraploids. Cell wall characterization revealed that the basic somatic ploidy level negatively correlated with lignin and cellulose content, and positively correlated with matrix polysaccharide content (i.e. hemicellulose and pectin) in the stem tissue. In addition, higher ploidy plants displayed altered sugar composition. Such effects were linked to the delayed development of polyploids. Moreover, the changes in polyploid cell wall composition promoted saccharification yield. The results of this study indicate that induction of polyploidy is a promising breeding strategy to further tailor crops for biomass production.","author":[{"dropping-particle":"","family":"Corneillie","given":"Sander","non-dropping-particle":"","parse-names":false,"suffix":""},{"dropping-particle":"","family":"Storme","given":"Nico","non-dropping-particle":"De","parse-names":false,"suffix":""},{"dropping-particle":"","family":"Acker","given":"Rebecca","non-dropping-particle":"Van","parse-names":false,"suffix":""},{"dropping-particle":"","family":"Fangel","given":"Jonatan U.","non-dropping-particle":"","parse-names":false,"suffix":""},{"dropping-particle":"","family":"Bruyne","given":"Michiel","non-dropping-particle":"De","parse-names":false,"suffix":""},{"dropping-particle":"","family":"Rycke","given":"Riet","non-dropping-particle":"De","parse-names":false,"suffix":""},{"dropping-particle":"","family":"Geelen","given":"Danny","non-dropping-particle":"","parse-names":false,"suffix":""},{"dropping-particle":"","family":"Willats","given":"William G.T.","non-dropping-particle":"","parse-names":false,"suffix":""},{"dropping-particle":"","family":"Vanholme","given":"Bartel","non-dropping-particle":"","parse-names":false,"suffix":""},{"dropping-particle":"","family":"Boerjan","given":"Wout","non-dropping-particle":"","parse-names":false,"suffix":""}],"container-title":"Plant Physiology","id":"ITEM-1","issue":"1","issued":{"date-parts":[["2019"]]},"page":"74-87","title":"Polyploidy affects plant growth and alters cell wall composition","type":"article-journal","volume":"179"},"uris":["http://www.mendeley.com/documents/?uuid=8c47328e-3cdd-4116-87e3-68043ca2d27c"]}],"mendeley":{"formattedCitation":"(Corneillie et al., 2019)","manualFormatting":"Corneillie et al., 2019","plainTextFormattedCitation":"(Corneillie et al., 2019)","previouslyFormattedCitation":"(Corneillie et al., 2019)"},"properties":{"noteIndex":0},"schema":"https://github.com/citation-style-language/schema/raw/master/csl-citation.json"}</w:instrText>
      </w:r>
      <w:r w:rsidR="00CD78B6" w:rsidRPr="00CF7B12">
        <w:rPr>
          <w:rFonts w:ascii="Times New Roman" w:eastAsia="Times New Roman" w:hAnsi="Times New Roman" w:cs="Times New Roman"/>
          <w:color w:val="000000" w:themeColor="text1"/>
          <w:kern w:val="0"/>
          <w:szCs w:val="24"/>
          <w:lang w:eastAsia="en-IN"/>
          <w14:ligatures w14:val="none"/>
        </w:rPr>
        <w:fldChar w:fldCharType="separate"/>
      </w:r>
      <w:r w:rsidR="00CD78B6" w:rsidRPr="00CF7B12">
        <w:rPr>
          <w:rFonts w:ascii="Times New Roman" w:eastAsia="Times New Roman" w:hAnsi="Times New Roman" w:cs="Times New Roman"/>
          <w:noProof/>
          <w:color w:val="000000" w:themeColor="text1"/>
          <w:kern w:val="0"/>
          <w:szCs w:val="24"/>
          <w:lang w:eastAsia="en-IN"/>
          <w14:ligatures w14:val="none"/>
        </w:rPr>
        <w:t>Corneillie et al., 2019</w:t>
      </w:r>
      <w:r w:rsidR="00CD78B6"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w:t>
      </w:r>
      <w:r w:rsidR="0056508C" w:rsidRPr="00CF7B12">
        <w:rPr>
          <w:rFonts w:ascii="Times New Roman" w:eastAsia="Times New Roman" w:hAnsi="Times New Roman" w:cs="Times New Roman"/>
          <w:color w:val="000000" w:themeColor="text1"/>
          <w:kern w:val="0"/>
          <w:szCs w:val="24"/>
          <w:lang w:eastAsia="en-IN"/>
          <w14:ligatures w14:val="none"/>
        </w:rPr>
        <w:t>The</w:t>
      </w:r>
      <w:r w:rsidRPr="00CF7B12">
        <w:rPr>
          <w:rFonts w:ascii="Times New Roman" w:eastAsia="Times New Roman" w:hAnsi="Times New Roman" w:cs="Times New Roman"/>
          <w:color w:val="000000" w:themeColor="text1"/>
          <w:kern w:val="0"/>
          <w:szCs w:val="24"/>
          <w:lang w:eastAsia="en-IN"/>
          <w14:ligatures w14:val="none"/>
        </w:rPr>
        <w:t xml:space="preserve"> variation in leaf width may reflect differences in cell expansion and leaf architecture, which are often influenced by ploidy level (D’Amato, 1989; </w:t>
      </w:r>
      <w:proofErr w:type="spellStart"/>
      <w:r w:rsidRPr="00CF7B12">
        <w:rPr>
          <w:rFonts w:ascii="Times New Roman" w:eastAsia="Times New Roman" w:hAnsi="Times New Roman" w:cs="Times New Roman"/>
          <w:color w:val="000000" w:themeColor="text1"/>
          <w:kern w:val="0"/>
          <w:szCs w:val="24"/>
          <w:lang w:eastAsia="en-IN"/>
          <w14:ligatures w14:val="none"/>
        </w:rPr>
        <w:t>Parisod</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et al., 2010).</w:t>
      </w:r>
      <w:r w:rsidR="00484C70" w:rsidRPr="00CF7B12">
        <w:rPr>
          <w:rFonts w:ascii="Times New Roman" w:eastAsia="Times New Roman" w:hAnsi="Times New Roman" w:cs="Times New Roman"/>
          <w:color w:val="000000" w:themeColor="text1"/>
          <w:kern w:val="0"/>
          <w:szCs w:val="24"/>
          <w:lang w:eastAsia="en-IN"/>
          <w14:ligatures w14:val="none"/>
        </w:rPr>
        <w:t xml:space="preserve"> </w:t>
      </w:r>
      <w:r w:rsidR="0056508C" w:rsidRPr="00CF7B12">
        <w:rPr>
          <w:rFonts w:ascii="Times New Roman" w:eastAsia="Times New Roman" w:hAnsi="Times New Roman" w:cs="Times New Roman"/>
          <w:color w:val="000000" w:themeColor="text1"/>
          <w:kern w:val="0"/>
          <w:szCs w:val="24"/>
          <w:lang w:eastAsia="en-IN"/>
          <w14:ligatures w14:val="none"/>
        </w:rPr>
        <w:t>V</w:t>
      </w:r>
      <w:r w:rsidRPr="00CF7B12">
        <w:rPr>
          <w:rFonts w:ascii="Times New Roman" w:eastAsia="Times New Roman" w:hAnsi="Times New Roman" w:cs="Times New Roman"/>
          <w:color w:val="000000" w:themeColor="text1"/>
          <w:kern w:val="0"/>
          <w:szCs w:val="24"/>
          <w:lang w:eastAsia="en-IN"/>
          <w14:ligatures w14:val="none"/>
        </w:rPr>
        <w:t xml:space="preserve">ariations </w:t>
      </w:r>
      <w:r w:rsidR="0056508C" w:rsidRPr="00CF7B12">
        <w:rPr>
          <w:rFonts w:ascii="Times New Roman" w:eastAsia="Times New Roman" w:hAnsi="Times New Roman" w:cs="Times New Roman"/>
          <w:color w:val="000000" w:themeColor="text1"/>
          <w:kern w:val="0"/>
          <w:szCs w:val="24"/>
          <w:lang w:eastAsia="en-IN"/>
          <w14:ligatures w14:val="none"/>
        </w:rPr>
        <w:t>in spike length</w:t>
      </w:r>
      <w:r w:rsidR="007B6522" w:rsidRPr="00CF7B12">
        <w:rPr>
          <w:rFonts w:ascii="Times New Roman" w:eastAsia="Times New Roman" w:hAnsi="Times New Roman" w:cs="Times New Roman"/>
          <w:color w:val="000000" w:themeColor="text1"/>
          <w:kern w:val="0"/>
          <w:szCs w:val="24"/>
          <w:lang w:eastAsia="en-IN"/>
          <w14:ligatures w14:val="none"/>
        </w:rPr>
        <w:t xml:space="preserve"> and no. of florets/spike</w:t>
      </w:r>
      <w:r w:rsidR="0056508C"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suggest that polyploidy influences reproductive development, with intermediate ploidy levels often exhibiting superior spike characteristics, possibly due to enhanced genetic expression and metabolic efficiency (Ramsey &amp; Ramsey, 2014; </w:t>
      </w:r>
      <w:proofErr w:type="spellStart"/>
      <w:r w:rsidRPr="00CF7B12">
        <w:rPr>
          <w:rFonts w:ascii="Times New Roman" w:eastAsia="Times New Roman" w:hAnsi="Times New Roman" w:cs="Times New Roman"/>
          <w:color w:val="000000" w:themeColor="text1"/>
          <w:kern w:val="0"/>
          <w:szCs w:val="24"/>
          <w:lang w:eastAsia="en-IN"/>
          <w14:ligatures w14:val="none"/>
        </w:rPr>
        <w:t>Rieseberg</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&amp; Willis, 2007).</w:t>
      </w:r>
      <w:r w:rsidR="00257FB4"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Overall, the observed variations in leaf and spike traits across different ploidy levels of guinea grass underscore the complex effects of genome duplication on plant morphology. Intermediate ploidy levels, particularly 5x and 6x, appear to optimize both vegetative and reproductive traits, while lower and higher ploidy levels may experience trade-offs in growth and reproductive performance.</w:t>
      </w:r>
    </w:p>
    <w:p w14:paraId="184ADC7B" w14:textId="77777777" w:rsidR="00CF7B12" w:rsidRDefault="00CF7B12" w:rsidP="00B03EF1">
      <w:pPr>
        <w:spacing w:after="120" w:line="360" w:lineRule="auto"/>
        <w:jc w:val="both"/>
        <w:rPr>
          <w:rFonts w:ascii="Times New Roman" w:hAnsi="Times New Roman" w:cs="Times New Roman"/>
          <w:b/>
          <w:bCs/>
          <w:color w:val="000000" w:themeColor="text1"/>
          <w:szCs w:val="24"/>
          <w:lang w:val="en-US"/>
        </w:rPr>
      </w:pPr>
    </w:p>
    <w:p w14:paraId="122D8F36" w14:textId="77777777" w:rsidR="00CF7B12" w:rsidRDefault="00CF7B12" w:rsidP="00B03EF1">
      <w:pPr>
        <w:spacing w:after="120" w:line="360" w:lineRule="auto"/>
        <w:jc w:val="both"/>
        <w:rPr>
          <w:rFonts w:ascii="Times New Roman" w:hAnsi="Times New Roman" w:cs="Times New Roman"/>
          <w:b/>
          <w:bCs/>
          <w:color w:val="000000" w:themeColor="text1"/>
          <w:szCs w:val="24"/>
          <w:lang w:val="en-US"/>
        </w:rPr>
      </w:pPr>
    </w:p>
    <w:p w14:paraId="2490A86E" w14:textId="77777777" w:rsidR="00CF7B12" w:rsidRDefault="00CF7B12" w:rsidP="00B03EF1">
      <w:pPr>
        <w:spacing w:after="120" w:line="360" w:lineRule="auto"/>
        <w:jc w:val="both"/>
        <w:rPr>
          <w:rFonts w:ascii="Times New Roman" w:hAnsi="Times New Roman" w:cs="Times New Roman"/>
          <w:b/>
          <w:bCs/>
          <w:color w:val="000000" w:themeColor="text1"/>
          <w:szCs w:val="24"/>
          <w:lang w:val="en-US"/>
        </w:rPr>
      </w:pPr>
    </w:p>
    <w:p w14:paraId="27E26099" w14:textId="77777777" w:rsidR="00CF7B12" w:rsidRDefault="00CF7B12" w:rsidP="00B03EF1">
      <w:pPr>
        <w:spacing w:after="120" w:line="360" w:lineRule="auto"/>
        <w:jc w:val="both"/>
        <w:rPr>
          <w:rFonts w:ascii="Times New Roman" w:hAnsi="Times New Roman" w:cs="Times New Roman"/>
          <w:b/>
          <w:bCs/>
          <w:color w:val="000000" w:themeColor="text1"/>
          <w:szCs w:val="24"/>
          <w:lang w:val="en-US"/>
        </w:rPr>
      </w:pPr>
    </w:p>
    <w:p w14:paraId="377DE1FE" w14:textId="5C9A5602" w:rsidR="00B03EF1" w:rsidRPr="00CF7B12" w:rsidRDefault="00B03EF1" w:rsidP="00B03EF1">
      <w:pPr>
        <w:spacing w:after="120" w:line="360" w:lineRule="auto"/>
        <w:jc w:val="both"/>
        <w:rPr>
          <w:rFonts w:ascii="Times New Roman" w:hAnsi="Times New Roman" w:cs="Times New Roman"/>
          <w:color w:val="000000" w:themeColor="text1"/>
          <w:szCs w:val="24"/>
          <w:lang w:val="en-US"/>
        </w:rPr>
      </w:pPr>
      <w:r w:rsidRPr="00CF7B12">
        <w:rPr>
          <w:rFonts w:ascii="Times New Roman" w:hAnsi="Times New Roman" w:cs="Times New Roman"/>
          <w:b/>
          <w:bCs/>
          <w:color w:val="000000" w:themeColor="text1"/>
          <w:szCs w:val="24"/>
          <w:lang w:val="en-US"/>
        </w:rPr>
        <w:t>Table 5: Leaf and spike characterization of different ploidy plants of guinea grass at 50% flowering stage</w:t>
      </w:r>
    </w:p>
    <w:tbl>
      <w:tblPr>
        <w:tblStyle w:val="TableGrid"/>
        <w:tblW w:w="1049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210"/>
        <w:gridCol w:w="1291"/>
        <w:gridCol w:w="1246"/>
        <w:gridCol w:w="1242"/>
        <w:gridCol w:w="1252"/>
        <w:gridCol w:w="2273"/>
      </w:tblGrid>
      <w:tr w:rsidR="00CF7B12" w:rsidRPr="00CF7B12" w14:paraId="77C17594" w14:textId="77777777" w:rsidTr="00B263C1">
        <w:trPr>
          <w:trHeight w:val="56"/>
          <w:jc w:val="center"/>
        </w:trPr>
        <w:tc>
          <w:tcPr>
            <w:tcW w:w="1985" w:type="dxa"/>
            <w:vMerge w:val="restart"/>
            <w:tcBorders>
              <w:top w:val="single" w:sz="4" w:space="0" w:color="auto"/>
              <w:right w:val="single" w:sz="4" w:space="0" w:color="auto"/>
            </w:tcBorders>
          </w:tcPr>
          <w:p w14:paraId="7353AC81"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lastRenderedPageBreak/>
              <w:t>Plants</w:t>
            </w:r>
          </w:p>
        </w:tc>
        <w:tc>
          <w:tcPr>
            <w:tcW w:w="4989" w:type="dxa"/>
            <w:gridSpan w:val="4"/>
            <w:tcBorders>
              <w:top w:val="single" w:sz="4" w:space="0" w:color="auto"/>
              <w:left w:val="single" w:sz="4" w:space="0" w:color="auto"/>
              <w:bottom w:val="single" w:sz="4" w:space="0" w:color="auto"/>
              <w:right w:val="single" w:sz="4" w:space="0" w:color="auto"/>
            </w:tcBorders>
            <w:vAlign w:val="center"/>
          </w:tcPr>
          <w:p w14:paraId="6C0DCBE5" w14:textId="50B97E3B" w:rsidR="00B03EF1" w:rsidRPr="00CF7B12" w:rsidRDefault="00B03EF1" w:rsidP="00F1435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 xml:space="preserve">Leaf </w:t>
            </w:r>
          </w:p>
        </w:tc>
        <w:tc>
          <w:tcPr>
            <w:tcW w:w="3525" w:type="dxa"/>
            <w:gridSpan w:val="2"/>
            <w:tcBorders>
              <w:left w:val="single" w:sz="4" w:space="0" w:color="auto"/>
              <w:bottom w:val="single" w:sz="4" w:space="0" w:color="auto"/>
            </w:tcBorders>
            <w:vAlign w:val="center"/>
          </w:tcPr>
          <w:p w14:paraId="6853F3E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Spike</w:t>
            </w:r>
          </w:p>
        </w:tc>
      </w:tr>
      <w:tr w:rsidR="00CF7B12" w:rsidRPr="00CF7B12" w14:paraId="228165E1" w14:textId="77777777" w:rsidTr="00B263C1">
        <w:trPr>
          <w:trHeight w:val="56"/>
          <w:jc w:val="center"/>
        </w:trPr>
        <w:tc>
          <w:tcPr>
            <w:tcW w:w="1985" w:type="dxa"/>
            <w:vMerge/>
            <w:tcBorders>
              <w:bottom w:val="single" w:sz="4" w:space="0" w:color="auto"/>
              <w:right w:val="single" w:sz="4" w:space="0" w:color="auto"/>
            </w:tcBorders>
            <w:vAlign w:val="center"/>
            <w:hideMark/>
          </w:tcPr>
          <w:p w14:paraId="53C8AE98" w14:textId="77777777" w:rsidR="00B03EF1" w:rsidRPr="00CF7B12" w:rsidRDefault="00B03EF1" w:rsidP="00BF3173">
            <w:pPr>
              <w:jc w:val="center"/>
              <w:rPr>
                <w:rFonts w:ascii="Times New Roman" w:hAnsi="Times New Roman" w:cs="Times New Roman"/>
                <w:color w:val="000000" w:themeColor="text1"/>
                <w:szCs w:val="24"/>
                <w:lang w:val="en-US"/>
              </w:rPr>
            </w:pPr>
          </w:p>
        </w:tc>
        <w:tc>
          <w:tcPr>
            <w:tcW w:w="1210" w:type="dxa"/>
            <w:tcBorders>
              <w:top w:val="single" w:sz="4" w:space="0" w:color="auto"/>
              <w:left w:val="single" w:sz="4" w:space="0" w:color="auto"/>
              <w:bottom w:val="single" w:sz="4" w:space="0" w:color="auto"/>
            </w:tcBorders>
            <w:hideMark/>
          </w:tcPr>
          <w:p w14:paraId="54DED290"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Flag leaf length (cm)</w:t>
            </w:r>
          </w:p>
        </w:tc>
        <w:tc>
          <w:tcPr>
            <w:tcW w:w="1291" w:type="dxa"/>
            <w:tcBorders>
              <w:top w:val="single" w:sz="4" w:space="0" w:color="auto"/>
              <w:bottom w:val="single" w:sz="4" w:space="0" w:color="auto"/>
            </w:tcBorders>
            <w:hideMark/>
          </w:tcPr>
          <w:p w14:paraId="0340B3E2"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Flag leaf width</w:t>
            </w:r>
          </w:p>
          <w:p w14:paraId="6441A936"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1246" w:type="dxa"/>
            <w:tcBorders>
              <w:top w:val="single" w:sz="4" w:space="0" w:color="auto"/>
              <w:bottom w:val="single" w:sz="4" w:space="0" w:color="auto"/>
            </w:tcBorders>
            <w:hideMark/>
          </w:tcPr>
          <w:p w14:paraId="46055ABB"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w:t>
            </w:r>
            <w:r w:rsidRPr="00CF7B12">
              <w:rPr>
                <w:rFonts w:ascii="Times New Roman" w:hAnsi="Times New Roman" w:cs="Times New Roman"/>
                <w:color w:val="000000" w:themeColor="text1"/>
                <w:szCs w:val="24"/>
                <w:vertAlign w:val="superscript"/>
                <w:lang w:val="en-US"/>
              </w:rPr>
              <w:t>rd</w:t>
            </w:r>
            <w:r w:rsidRPr="00CF7B12">
              <w:rPr>
                <w:rFonts w:ascii="Times New Roman" w:hAnsi="Times New Roman" w:cs="Times New Roman"/>
                <w:color w:val="000000" w:themeColor="text1"/>
                <w:szCs w:val="24"/>
                <w:lang w:val="en-US"/>
              </w:rPr>
              <w:t xml:space="preserve"> Leaf length</w:t>
            </w:r>
          </w:p>
          <w:p w14:paraId="567687CE"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1242" w:type="dxa"/>
            <w:tcBorders>
              <w:top w:val="single" w:sz="4" w:space="0" w:color="auto"/>
              <w:bottom w:val="single" w:sz="4" w:space="0" w:color="auto"/>
              <w:right w:val="single" w:sz="4" w:space="0" w:color="auto"/>
            </w:tcBorders>
            <w:hideMark/>
          </w:tcPr>
          <w:p w14:paraId="1C44DBCE"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w:t>
            </w:r>
            <w:r w:rsidRPr="00CF7B12">
              <w:rPr>
                <w:rFonts w:ascii="Times New Roman" w:hAnsi="Times New Roman" w:cs="Times New Roman"/>
                <w:color w:val="000000" w:themeColor="text1"/>
                <w:szCs w:val="24"/>
                <w:vertAlign w:val="superscript"/>
                <w:lang w:val="en-US"/>
              </w:rPr>
              <w:t>rd</w:t>
            </w:r>
            <w:r w:rsidRPr="00CF7B12">
              <w:rPr>
                <w:rFonts w:ascii="Times New Roman" w:hAnsi="Times New Roman" w:cs="Times New Roman"/>
                <w:color w:val="000000" w:themeColor="text1"/>
                <w:szCs w:val="24"/>
                <w:lang w:val="en-US"/>
              </w:rPr>
              <w:t xml:space="preserve"> Leaf width</w:t>
            </w:r>
          </w:p>
          <w:p w14:paraId="18B12BE1"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1252" w:type="dxa"/>
            <w:tcBorders>
              <w:top w:val="single" w:sz="4" w:space="0" w:color="auto"/>
              <w:left w:val="single" w:sz="4" w:space="0" w:color="auto"/>
              <w:bottom w:val="single" w:sz="4" w:space="0" w:color="auto"/>
            </w:tcBorders>
            <w:hideMark/>
          </w:tcPr>
          <w:p w14:paraId="5FED197F"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Length</w:t>
            </w:r>
          </w:p>
          <w:p w14:paraId="25F81746"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2273" w:type="dxa"/>
            <w:tcBorders>
              <w:top w:val="single" w:sz="4" w:space="0" w:color="auto"/>
              <w:bottom w:val="single" w:sz="4" w:space="0" w:color="auto"/>
            </w:tcBorders>
            <w:hideMark/>
          </w:tcPr>
          <w:p w14:paraId="39A18EC1"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 of</w:t>
            </w:r>
          </w:p>
          <w:p w14:paraId="05EE500B" w14:textId="1075C17B"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florets/spike</w:t>
            </w:r>
          </w:p>
        </w:tc>
      </w:tr>
      <w:tr w:rsidR="00CF7B12" w:rsidRPr="00CF7B12" w14:paraId="13121B3B" w14:textId="77777777" w:rsidTr="00B263C1">
        <w:trPr>
          <w:trHeight w:val="56"/>
          <w:jc w:val="center"/>
        </w:trPr>
        <w:tc>
          <w:tcPr>
            <w:tcW w:w="1985" w:type="dxa"/>
            <w:tcBorders>
              <w:top w:val="single" w:sz="4" w:space="0" w:color="auto"/>
              <w:bottom w:val="nil"/>
              <w:right w:val="single" w:sz="4" w:space="0" w:color="auto"/>
            </w:tcBorders>
            <w:vAlign w:val="center"/>
            <w:hideMark/>
          </w:tcPr>
          <w:p w14:paraId="592E1ED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1210" w:type="dxa"/>
            <w:tcBorders>
              <w:top w:val="single" w:sz="4" w:space="0" w:color="auto"/>
              <w:left w:val="single" w:sz="4" w:space="0" w:color="auto"/>
              <w:bottom w:val="nil"/>
            </w:tcBorders>
            <w:vAlign w:val="center"/>
            <w:hideMark/>
          </w:tcPr>
          <w:p w14:paraId="5961D72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7.00</w:t>
            </w:r>
          </w:p>
        </w:tc>
        <w:tc>
          <w:tcPr>
            <w:tcW w:w="1291" w:type="dxa"/>
            <w:tcBorders>
              <w:top w:val="single" w:sz="4" w:space="0" w:color="auto"/>
              <w:bottom w:val="nil"/>
            </w:tcBorders>
            <w:vAlign w:val="center"/>
            <w:hideMark/>
          </w:tcPr>
          <w:p w14:paraId="1986C93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0.45</w:t>
            </w:r>
          </w:p>
        </w:tc>
        <w:tc>
          <w:tcPr>
            <w:tcW w:w="1246" w:type="dxa"/>
            <w:tcBorders>
              <w:top w:val="single" w:sz="4" w:space="0" w:color="auto"/>
              <w:bottom w:val="nil"/>
            </w:tcBorders>
            <w:vAlign w:val="center"/>
            <w:hideMark/>
          </w:tcPr>
          <w:p w14:paraId="62E2B7C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10.00</w:t>
            </w:r>
          </w:p>
        </w:tc>
        <w:tc>
          <w:tcPr>
            <w:tcW w:w="1242" w:type="dxa"/>
            <w:tcBorders>
              <w:top w:val="single" w:sz="4" w:space="0" w:color="auto"/>
              <w:bottom w:val="nil"/>
              <w:right w:val="single" w:sz="4" w:space="0" w:color="auto"/>
            </w:tcBorders>
            <w:vAlign w:val="center"/>
            <w:hideMark/>
          </w:tcPr>
          <w:p w14:paraId="2EB0EA8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0.55</w:t>
            </w:r>
          </w:p>
        </w:tc>
        <w:tc>
          <w:tcPr>
            <w:tcW w:w="1252" w:type="dxa"/>
            <w:tcBorders>
              <w:top w:val="single" w:sz="4" w:space="0" w:color="auto"/>
              <w:left w:val="single" w:sz="4" w:space="0" w:color="auto"/>
              <w:bottom w:val="nil"/>
            </w:tcBorders>
            <w:vAlign w:val="center"/>
            <w:hideMark/>
          </w:tcPr>
          <w:p w14:paraId="54219DA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13.00</w:t>
            </w:r>
          </w:p>
        </w:tc>
        <w:tc>
          <w:tcPr>
            <w:tcW w:w="2273" w:type="dxa"/>
            <w:tcBorders>
              <w:top w:val="single" w:sz="4" w:space="0" w:color="auto"/>
              <w:bottom w:val="nil"/>
            </w:tcBorders>
            <w:vAlign w:val="center"/>
            <w:hideMark/>
          </w:tcPr>
          <w:p w14:paraId="28A9BF0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73</w:t>
            </w:r>
          </w:p>
        </w:tc>
      </w:tr>
      <w:tr w:rsidR="00CF7B12" w:rsidRPr="00CF7B12" w14:paraId="1C01878B" w14:textId="77777777" w:rsidTr="00B263C1">
        <w:trPr>
          <w:trHeight w:val="56"/>
          <w:jc w:val="center"/>
        </w:trPr>
        <w:tc>
          <w:tcPr>
            <w:tcW w:w="1985" w:type="dxa"/>
            <w:tcBorders>
              <w:top w:val="nil"/>
              <w:bottom w:val="nil"/>
              <w:right w:val="single" w:sz="4" w:space="0" w:color="auto"/>
            </w:tcBorders>
            <w:vAlign w:val="center"/>
            <w:hideMark/>
          </w:tcPr>
          <w:p w14:paraId="38AB55F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1210" w:type="dxa"/>
            <w:tcBorders>
              <w:top w:val="nil"/>
              <w:left w:val="single" w:sz="4" w:space="0" w:color="auto"/>
              <w:bottom w:val="nil"/>
            </w:tcBorders>
            <w:vAlign w:val="center"/>
            <w:hideMark/>
          </w:tcPr>
          <w:p w14:paraId="200CB82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8.50</w:t>
            </w:r>
          </w:p>
        </w:tc>
        <w:tc>
          <w:tcPr>
            <w:tcW w:w="1291" w:type="dxa"/>
            <w:tcBorders>
              <w:top w:val="nil"/>
              <w:bottom w:val="nil"/>
            </w:tcBorders>
            <w:vAlign w:val="center"/>
            <w:hideMark/>
          </w:tcPr>
          <w:p w14:paraId="23023D9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46" w:type="dxa"/>
            <w:tcBorders>
              <w:top w:val="nil"/>
              <w:bottom w:val="nil"/>
            </w:tcBorders>
            <w:vAlign w:val="center"/>
            <w:hideMark/>
          </w:tcPr>
          <w:p w14:paraId="28026A6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45.00</w:t>
            </w:r>
          </w:p>
        </w:tc>
        <w:tc>
          <w:tcPr>
            <w:tcW w:w="1242" w:type="dxa"/>
            <w:tcBorders>
              <w:top w:val="nil"/>
              <w:bottom w:val="nil"/>
              <w:right w:val="single" w:sz="4" w:space="0" w:color="auto"/>
            </w:tcBorders>
            <w:vAlign w:val="center"/>
            <w:hideMark/>
          </w:tcPr>
          <w:p w14:paraId="7FB8DE5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1.70</w:t>
            </w:r>
          </w:p>
        </w:tc>
        <w:tc>
          <w:tcPr>
            <w:tcW w:w="1252" w:type="dxa"/>
            <w:tcBorders>
              <w:top w:val="nil"/>
              <w:left w:val="single" w:sz="4" w:space="0" w:color="auto"/>
              <w:bottom w:val="nil"/>
            </w:tcBorders>
            <w:vAlign w:val="center"/>
            <w:hideMark/>
          </w:tcPr>
          <w:p w14:paraId="723773A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21.00</w:t>
            </w:r>
          </w:p>
        </w:tc>
        <w:tc>
          <w:tcPr>
            <w:tcW w:w="2273" w:type="dxa"/>
            <w:tcBorders>
              <w:top w:val="nil"/>
              <w:bottom w:val="nil"/>
            </w:tcBorders>
            <w:vAlign w:val="center"/>
            <w:hideMark/>
          </w:tcPr>
          <w:p w14:paraId="545D57E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328</w:t>
            </w:r>
          </w:p>
        </w:tc>
      </w:tr>
      <w:tr w:rsidR="00CF7B12" w:rsidRPr="00CF7B12" w14:paraId="6F44B258" w14:textId="77777777" w:rsidTr="00B263C1">
        <w:trPr>
          <w:trHeight w:val="56"/>
          <w:jc w:val="center"/>
        </w:trPr>
        <w:tc>
          <w:tcPr>
            <w:tcW w:w="1985" w:type="dxa"/>
            <w:tcBorders>
              <w:top w:val="nil"/>
              <w:right w:val="single" w:sz="4" w:space="0" w:color="auto"/>
            </w:tcBorders>
            <w:vAlign w:val="center"/>
            <w:hideMark/>
          </w:tcPr>
          <w:p w14:paraId="01B99E7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1210" w:type="dxa"/>
            <w:tcBorders>
              <w:top w:val="nil"/>
              <w:left w:val="single" w:sz="4" w:space="0" w:color="auto"/>
            </w:tcBorders>
            <w:vAlign w:val="center"/>
            <w:hideMark/>
          </w:tcPr>
          <w:p w14:paraId="48FFF85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8.00</w:t>
            </w:r>
          </w:p>
        </w:tc>
        <w:tc>
          <w:tcPr>
            <w:tcW w:w="1291" w:type="dxa"/>
            <w:tcBorders>
              <w:top w:val="nil"/>
            </w:tcBorders>
            <w:vAlign w:val="center"/>
            <w:hideMark/>
          </w:tcPr>
          <w:p w14:paraId="1EE710A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46" w:type="dxa"/>
            <w:tcBorders>
              <w:top w:val="nil"/>
            </w:tcBorders>
            <w:vAlign w:val="center"/>
            <w:hideMark/>
          </w:tcPr>
          <w:p w14:paraId="2176A87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38.00</w:t>
            </w:r>
          </w:p>
        </w:tc>
        <w:tc>
          <w:tcPr>
            <w:tcW w:w="1242" w:type="dxa"/>
            <w:tcBorders>
              <w:top w:val="nil"/>
              <w:right w:val="single" w:sz="4" w:space="0" w:color="auto"/>
            </w:tcBorders>
            <w:vAlign w:val="center"/>
            <w:hideMark/>
          </w:tcPr>
          <w:p w14:paraId="602AAAB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1.80</w:t>
            </w:r>
          </w:p>
        </w:tc>
        <w:tc>
          <w:tcPr>
            <w:tcW w:w="1252" w:type="dxa"/>
            <w:tcBorders>
              <w:top w:val="nil"/>
              <w:left w:val="single" w:sz="4" w:space="0" w:color="auto"/>
            </w:tcBorders>
            <w:vAlign w:val="center"/>
            <w:hideMark/>
          </w:tcPr>
          <w:p w14:paraId="5FE4DAA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24.00</w:t>
            </w:r>
          </w:p>
        </w:tc>
        <w:tc>
          <w:tcPr>
            <w:tcW w:w="2273" w:type="dxa"/>
            <w:tcBorders>
              <w:top w:val="nil"/>
            </w:tcBorders>
            <w:vAlign w:val="center"/>
            <w:hideMark/>
          </w:tcPr>
          <w:p w14:paraId="69A4B87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416</w:t>
            </w:r>
          </w:p>
        </w:tc>
      </w:tr>
      <w:tr w:rsidR="00CF7B12" w:rsidRPr="00CF7B12" w14:paraId="746FD4D3" w14:textId="77777777" w:rsidTr="00B263C1">
        <w:trPr>
          <w:trHeight w:val="56"/>
          <w:jc w:val="center"/>
        </w:trPr>
        <w:tc>
          <w:tcPr>
            <w:tcW w:w="1985" w:type="dxa"/>
            <w:tcBorders>
              <w:right w:val="single" w:sz="4" w:space="0" w:color="auto"/>
            </w:tcBorders>
            <w:vAlign w:val="center"/>
            <w:hideMark/>
          </w:tcPr>
          <w:p w14:paraId="397ADE5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1210" w:type="dxa"/>
            <w:tcBorders>
              <w:left w:val="single" w:sz="4" w:space="0" w:color="auto"/>
            </w:tcBorders>
            <w:vAlign w:val="center"/>
            <w:hideMark/>
          </w:tcPr>
          <w:p w14:paraId="39B1947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9.00</w:t>
            </w:r>
          </w:p>
        </w:tc>
        <w:tc>
          <w:tcPr>
            <w:tcW w:w="1291" w:type="dxa"/>
            <w:vAlign w:val="center"/>
            <w:hideMark/>
          </w:tcPr>
          <w:p w14:paraId="6C9A5F2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1.10</w:t>
            </w:r>
          </w:p>
        </w:tc>
        <w:tc>
          <w:tcPr>
            <w:tcW w:w="1246" w:type="dxa"/>
            <w:vAlign w:val="center"/>
            <w:hideMark/>
          </w:tcPr>
          <w:p w14:paraId="7941D3B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46.00</w:t>
            </w:r>
          </w:p>
        </w:tc>
        <w:tc>
          <w:tcPr>
            <w:tcW w:w="1242" w:type="dxa"/>
            <w:tcBorders>
              <w:right w:val="single" w:sz="4" w:space="0" w:color="auto"/>
            </w:tcBorders>
            <w:vAlign w:val="center"/>
            <w:hideMark/>
          </w:tcPr>
          <w:p w14:paraId="6D638D8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1.80</w:t>
            </w:r>
          </w:p>
        </w:tc>
        <w:tc>
          <w:tcPr>
            <w:tcW w:w="1252" w:type="dxa"/>
            <w:tcBorders>
              <w:left w:val="single" w:sz="4" w:space="0" w:color="auto"/>
            </w:tcBorders>
            <w:vAlign w:val="center"/>
            <w:hideMark/>
          </w:tcPr>
          <w:p w14:paraId="1F3A99D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28.00</w:t>
            </w:r>
          </w:p>
        </w:tc>
        <w:tc>
          <w:tcPr>
            <w:tcW w:w="2273" w:type="dxa"/>
            <w:vAlign w:val="center"/>
            <w:hideMark/>
          </w:tcPr>
          <w:p w14:paraId="262BABF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695</w:t>
            </w:r>
          </w:p>
        </w:tc>
      </w:tr>
      <w:tr w:rsidR="00CF7B12" w:rsidRPr="00CF7B12" w14:paraId="3A27A9B8" w14:textId="77777777" w:rsidTr="00B263C1">
        <w:trPr>
          <w:trHeight w:val="56"/>
          <w:jc w:val="center"/>
        </w:trPr>
        <w:tc>
          <w:tcPr>
            <w:tcW w:w="1985" w:type="dxa"/>
            <w:tcBorders>
              <w:right w:val="single" w:sz="4" w:space="0" w:color="auto"/>
            </w:tcBorders>
            <w:vAlign w:val="center"/>
            <w:hideMark/>
          </w:tcPr>
          <w:p w14:paraId="01449D2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1210" w:type="dxa"/>
            <w:tcBorders>
              <w:left w:val="single" w:sz="4" w:space="0" w:color="auto"/>
            </w:tcBorders>
            <w:vAlign w:val="center"/>
            <w:hideMark/>
          </w:tcPr>
          <w:p w14:paraId="404E072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16.00</w:t>
            </w:r>
          </w:p>
        </w:tc>
        <w:tc>
          <w:tcPr>
            <w:tcW w:w="1291" w:type="dxa"/>
            <w:vAlign w:val="center"/>
            <w:hideMark/>
          </w:tcPr>
          <w:p w14:paraId="0C748A0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46" w:type="dxa"/>
            <w:vAlign w:val="center"/>
            <w:hideMark/>
          </w:tcPr>
          <w:p w14:paraId="6DDF27D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21.00</w:t>
            </w:r>
          </w:p>
        </w:tc>
        <w:tc>
          <w:tcPr>
            <w:tcW w:w="1242" w:type="dxa"/>
            <w:tcBorders>
              <w:right w:val="single" w:sz="4" w:space="0" w:color="auto"/>
            </w:tcBorders>
            <w:vAlign w:val="center"/>
            <w:hideMark/>
          </w:tcPr>
          <w:p w14:paraId="25078CD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52" w:type="dxa"/>
            <w:tcBorders>
              <w:left w:val="single" w:sz="4" w:space="0" w:color="auto"/>
            </w:tcBorders>
            <w:vAlign w:val="center"/>
            <w:hideMark/>
          </w:tcPr>
          <w:p w14:paraId="2DB3D19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18.00</w:t>
            </w:r>
          </w:p>
        </w:tc>
        <w:tc>
          <w:tcPr>
            <w:tcW w:w="2273" w:type="dxa"/>
            <w:vAlign w:val="center"/>
            <w:hideMark/>
          </w:tcPr>
          <w:p w14:paraId="667BE5B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206</w:t>
            </w:r>
          </w:p>
        </w:tc>
      </w:tr>
      <w:tr w:rsidR="00CF7B12" w:rsidRPr="00CF7B12" w14:paraId="6F3A29F4" w14:textId="77777777" w:rsidTr="00B263C1">
        <w:trPr>
          <w:trHeight w:val="56"/>
          <w:jc w:val="center"/>
        </w:trPr>
        <w:tc>
          <w:tcPr>
            <w:tcW w:w="1985" w:type="dxa"/>
            <w:tcBorders>
              <w:right w:val="single" w:sz="4" w:space="0" w:color="auto"/>
            </w:tcBorders>
            <w:vAlign w:val="center"/>
            <w:hideMark/>
          </w:tcPr>
          <w:p w14:paraId="1EA6B95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1210" w:type="dxa"/>
            <w:tcBorders>
              <w:left w:val="single" w:sz="4" w:space="0" w:color="auto"/>
            </w:tcBorders>
            <w:vAlign w:val="center"/>
            <w:hideMark/>
          </w:tcPr>
          <w:p w14:paraId="7D20C24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11.00</w:t>
            </w:r>
          </w:p>
        </w:tc>
        <w:tc>
          <w:tcPr>
            <w:tcW w:w="1291" w:type="dxa"/>
            <w:vAlign w:val="center"/>
            <w:hideMark/>
          </w:tcPr>
          <w:p w14:paraId="6CC9F3C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0.90</w:t>
            </w:r>
          </w:p>
        </w:tc>
        <w:tc>
          <w:tcPr>
            <w:tcW w:w="1246" w:type="dxa"/>
            <w:vAlign w:val="center"/>
            <w:hideMark/>
          </w:tcPr>
          <w:p w14:paraId="1A9B3A1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40.00</w:t>
            </w:r>
          </w:p>
        </w:tc>
        <w:tc>
          <w:tcPr>
            <w:tcW w:w="1242" w:type="dxa"/>
            <w:tcBorders>
              <w:right w:val="single" w:sz="4" w:space="0" w:color="auto"/>
            </w:tcBorders>
            <w:vAlign w:val="center"/>
            <w:hideMark/>
          </w:tcPr>
          <w:p w14:paraId="50117CB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1.20</w:t>
            </w:r>
          </w:p>
        </w:tc>
        <w:tc>
          <w:tcPr>
            <w:tcW w:w="1252" w:type="dxa"/>
            <w:tcBorders>
              <w:left w:val="single" w:sz="4" w:space="0" w:color="auto"/>
            </w:tcBorders>
            <w:vAlign w:val="center"/>
            <w:hideMark/>
          </w:tcPr>
          <w:p w14:paraId="49EA874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22.00</w:t>
            </w:r>
          </w:p>
        </w:tc>
        <w:tc>
          <w:tcPr>
            <w:tcW w:w="2273" w:type="dxa"/>
            <w:vAlign w:val="center"/>
            <w:hideMark/>
          </w:tcPr>
          <w:p w14:paraId="45552A0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337</w:t>
            </w:r>
          </w:p>
        </w:tc>
      </w:tr>
      <w:tr w:rsidR="00CF7B12" w:rsidRPr="00CF7B12" w14:paraId="5676741D" w14:textId="77777777" w:rsidTr="00B263C1">
        <w:trPr>
          <w:trHeight w:val="56"/>
          <w:jc w:val="center"/>
        </w:trPr>
        <w:tc>
          <w:tcPr>
            <w:tcW w:w="1985" w:type="dxa"/>
            <w:tcBorders>
              <w:right w:val="single" w:sz="4" w:space="0" w:color="auto"/>
            </w:tcBorders>
            <w:vAlign w:val="center"/>
            <w:hideMark/>
          </w:tcPr>
          <w:p w14:paraId="2568668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1210" w:type="dxa"/>
            <w:tcBorders>
              <w:left w:val="single" w:sz="4" w:space="0" w:color="auto"/>
            </w:tcBorders>
            <w:vAlign w:val="center"/>
            <w:hideMark/>
          </w:tcPr>
          <w:p w14:paraId="31334B9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12.10</w:t>
            </w:r>
          </w:p>
        </w:tc>
        <w:tc>
          <w:tcPr>
            <w:tcW w:w="1291" w:type="dxa"/>
            <w:vAlign w:val="center"/>
            <w:hideMark/>
          </w:tcPr>
          <w:p w14:paraId="17E809A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0.60</w:t>
            </w:r>
          </w:p>
        </w:tc>
        <w:tc>
          <w:tcPr>
            <w:tcW w:w="1246" w:type="dxa"/>
            <w:vAlign w:val="center"/>
            <w:hideMark/>
          </w:tcPr>
          <w:p w14:paraId="3BC6C95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38.50</w:t>
            </w:r>
          </w:p>
        </w:tc>
        <w:tc>
          <w:tcPr>
            <w:tcW w:w="1242" w:type="dxa"/>
            <w:tcBorders>
              <w:right w:val="single" w:sz="4" w:space="0" w:color="auto"/>
            </w:tcBorders>
            <w:vAlign w:val="center"/>
            <w:hideMark/>
          </w:tcPr>
          <w:p w14:paraId="54271CF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0.80</w:t>
            </w:r>
          </w:p>
        </w:tc>
        <w:tc>
          <w:tcPr>
            <w:tcW w:w="1252" w:type="dxa"/>
            <w:tcBorders>
              <w:left w:val="single" w:sz="4" w:space="0" w:color="auto"/>
            </w:tcBorders>
            <w:vAlign w:val="center"/>
            <w:hideMark/>
          </w:tcPr>
          <w:p w14:paraId="7B8F346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15.00</w:t>
            </w:r>
          </w:p>
        </w:tc>
        <w:tc>
          <w:tcPr>
            <w:tcW w:w="2273" w:type="dxa"/>
            <w:vAlign w:val="center"/>
            <w:hideMark/>
          </w:tcPr>
          <w:p w14:paraId="3FDB2DB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218</w:t>
            </w:r>
          </w:p>
        </w:tc>
      </w:tr>
      <w:tr w:rsidR="00CF7B12" w:rsidRPr="00CF7B12" w14:paraId="248878D4" w14:textId="77777777" w:rsidTr="00B263C1">
        <w:trPr>
          <w:trHeight w:val="56"/>
          <w:jc w:val="center"/>
        </w:trPr>
        <w:tc>
          <w:tcPr>
            <w:tcW w:w="1985" w:type="dxa"/>
            <w:tcBorders>
              <w:right w:val="single" w:sz="4" w:space="0" w:color="auto"/>
            </w:tcBorders>
            <w:vAlign w:val="center"/>
            <w:hideMark/>
          </w:tcPr>
          <w:p w14:paraId="19516F2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1210" w:type="dxa"/>
            <w:tcBorders>
              <w:left w:val="single" w:sz="4" w:space="0" w:color="auto"/>
            </w:tcBorders>
            <w:vAlign w:val="center"/>
            <w:hideMark/>
          </w:tcPr>
          <w:p w14:paraId="6422E7B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9.50</w:t>
            </w:r>
          </w:p>
        </w:tc>
        <w:tc>
          <w:tcPr>
            <w:tcW w:w="1291" w:type="dxa"/>
            <w:vAlign w:val="center"/>
            <w:hideMark/>
          </w:tcPr>
          <w:p w14:paraId="2A21280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0.90</w:t>
            </w:r>
          </w:p>
        </w:tc>
        <w:tc>
          <w:tcPr>
            <w:tcW w:w="1246" w:type="dxa"/>
            <w:vAlign w:val="center"/>
            <w:hideMark/>
          </w:tcPr>
          <w:p w14:paraId="550A9E9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40.00</w:t>
            </w:r>
          </w:p>
        </w:tc>
        <w:tc>
          <w:tcPr>
            <w:tcW w:w="1242" w:type="dxa"/>
            <w:tcBorders>
              <w:right w:val="single" w:sz="4" w:space="0" w:color="auto"/>
            </w:tcBorders>
            <w:vAlign w:val="center"/>
            <w:hideMark/>
          </w:tcPr>
          <w:p w14:paraId="1372EA3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52" w:type="dxa"/>
            <w:tcBorders>
              <w:left w:val="single" w:sz="4" w:space="0" w:color="auto"/>
            </w:tcBorders>
            <w:vAlign w:val="center"/>
            <w:hideMark/>
          </w:tcPr>
          <w:p w14:paraId="3A8FEDE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24.00</w:t>
            </w:r>
          </w:p>
        </w:tc>
        <w:tc>
          <w:tcPr>
            <w:tcW w:w="2273" w:type="dxa"/>
            <w:vAlign w:val="center"/>
            <w:hideMark/>
          </w:tcPr>
          <w:p w14:paraId="3EA6EAB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304</w:t>
            </w:r>
          </w:p>
        </w:tc>
      </w:tr>
      <w:tr w:rsidR="00B03EF1" w:rsidRPr="00CF7B12" w14:paraId="3DF34E4D" w14:textId="77777777" w:rsidTr="00B263C1">
        <w:trPr>
          <w:trHeight w:val="56"/>
          <w:jc w:val="center"/>
        </w:trPr>
        <w:tc>
          <w:tcPr>
            <w:tcW w:w="1985" w:type="dxa"/>
            <w:tcBorders>
              <w:right w:val="single" w:sz="4" w:space="0" w:color="auto"/>
            </w:tcBorders>
            <w:vAlign w:val="center"/>
            <w:hideMark/>
          </w:tcPr>
          <w:p w14:paraId="229035E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1210" w:type="dxa"/>
            <w:tcBorders>
              <w:left w:val="single" w:sz="4" w:space="0" w:color="auto"/>
            </w:tcBorders>
            <w:vAlign w:val="center"/>
            <w:hideMark/>
          </w:tcPr>
          <w:p w14:paraId="116FE2E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11.50</w:t>
            </w:r>
          </w:p>
        </w:tc>
        <w:tc>
          <w:tcPr>
            <w:tcW w:w="1291" w:type="dxa"/>
            <w:vAlign w:val="center"/>
            <w:hideMark/>
          </w:tcPr>
          <w:p w14:paraId="0C60ED3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46" w:type="dxa"/>
            <w:vAlign w:val="center"/>
            <w:hideMark/>
          </w:tcPr>
          <w:p w14:paraId="7D7A533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29.50</w:t>
            </w:r>
          </w:p>
        </w:tc>
        <w:tc>
          <w:tcPr>
            <w:tcW w:w="1242" w:type="dxa"/>
            <w:tcBorders>
              <w:right w:val="single" w:sz="4" w:space="0" w:color="auto"/>
            </w:tcBorders>
            <w:vAlign w:val="center"/>
            <w:hideMark/>
          </w:tcPr>
          <w:p w14:paraId="58D844B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1.20</w:t>
            </w:r>
          </w:p>
        </w:tc>
        <w:tc>
          <w:tcPr>
            <w:tcW w:w="1252" w:type="dxa"/>
            <w:tcBorders>
              <w:left w:val="single" w:sz="4" w:space="0" w:color="auto"/>
            </w:tcBorders>
            <w:vAlign w:val="center"/>
            <w:hideMark/>
          </w:tcPr>
          <w:p w14:paraId="7BD02C1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22.00</w:t>
            </w:r>
          </w:p>
        </w:tc>
        <w:tc>
          <w:tcPr>
            <w:tcW w:w="2273" w:type="dxa"/>
            <w:vAlign w:val="center"/>
            <w:hideMark/>
          </w:tcPr>
          <w:p w14:paraId="7C39515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423</w:t>
            </w:r>
          </w:p>
        </w:tc>
      </w:tr>
      <w:tr w:rsidR="00B263C1" w:rsidRPr="00CF7B12" w14:paraId="1CEAF618" w14:textId="77777777" w:rsidTr="00B263C1">
        <w:trPr>
          <w:trHeight w:val="56"/>
          <w:jc w:val="center"/>
        </w:trPr>
        <w:tc>
          <w:tcPr>
            <w:tcW w:w="1985" w:type="dxa"/>
            <w:tcBorders>
              <w:bottom w:val="single" w:sz="4" w:space="0" w:color="auto"/>
              <w:right w:val="single" w:sz="4" w:space="0" w:color="auto"/>
            </w:tcBorders>
            <w:vAlign w:val="center"/>
          </w:tcPr>
          <w:p w14:paraId="281EFF17" w14:textId="1566238A" w:rsidR="00B263C1" w:rsidRPr="00401BF0" w:rsidRDefault="00B263C1"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LSD (p=0.05)</w:t>
            </w:r>
          </w:p>
        </w:tc>
        <w:tc>
          <w:tcPr>
            <w:tcW w:w="1210" w:type="dxa"/>
            <w:tcBorders>
              <w:left w:val="single" w:sz="4" w:space="0" w:color="auto"/>
            </w:tcBorders>
            <w:vAlign w:val="center"/>
          </w:tcPr>
          <w:p w14:paraId="482CD8CA" w14:textId="6D57267B" w:rsidR="00B263C1" w:rsidRPr="00401BF0" w:rsidRDefault="00B92C65"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0.</w:t>
            </w:r>
            <w:r w:rsidR="004451B5" w:rsidRPr="00401BF0">
              <w:rPr>
                <w:rFonts w:ascii="Times New Roman" w:hAnsi="Times New Roman" w:cs="Times New Roman"/>
                <w:color w:val="000000" w:themeColor="text1"/>
                <w:szCs w:val="24"/>
                <w:highlight w:val="yellow"/>
                <w:lang w:val="en-US"/>
              </w:rPr>
              <w:t>83</w:t>
            </w:r>
          </w:p>
        </w:tc>
        <w:tc>
          <w:tcPr>
            <w:tcW w:w="1291" w:type="dxa"/>
            <w:vAlign w:val="center"/>
          </w:tcPr>
          <w:p w14:paraId="7B85A980" w14:textId="0200E314" w:rsidR="00B263C1" w:rsidRPr="00401BF0" w:rsidRDefault="00B92C65"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0.06</w:t>
            </w:r>
          </w:p>
        </w:tc>
        <w:tc>
          <w:tcPr>
            <w:tcW w:w="1246" w:type="dxa"/>
            <w:vAlign w:val="center"/>
          </w:tcPr>
          <w:p w14:paraId="51C497D3" w14:textId="73AEEBD1" w:rsidR="00B263C1" w:rsidRPr="00401BF0" w:rsidRDefault="0044216E"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2.06</w:t>
            </w:r>
          </w:p>
        </w:tc>
        <w:tc>
          <w:tcPr>
            <w:tcW w:w="1242" w:type="dxa"/>
            <w:tcBorders>
              <w:bottom w:val="single" w:sz="4" w:space="0" w:color="auto"/>
              <w:right w:val="single" w:sz="4" w:space="0" w:color="auto"/>
            </w:tcBorders>
            <w:vAlign w:val="center"/>
          </w:tcPr>
          <w:p w14:paraId="7E014B19" w14:textId="1F6664F4" w:rsidR="00B263C1" w:rsidRPr="00401BF0" w:rsidRDefault="0044216E"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0.09</w:t>
            </w:r>
          </w:p>
        </w:tc>
        <w:tc>
          <w:tcPr>
            <w:tcW w:w="1252" w:type="dxa"/>
            <w:tcBorders>
              <w:left w:val="single" w:sz="4" w:space="0" w:color="auto"/>
            </w:tcBorders>
            <w:vAlign w:val="center"/>
          </w:tcPr>
          <w:p w14:paraId="12AAE8EF" w14:textId="2E11A3A4" w:rsidR="00B263C1" w:rsidRPr="00401BF0" w:rsidRDefault="00DF1B5D"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1.35</w:t>
            </w:r>
          </w:p>
        </w:tc>
        <w:tc>
          <w:tcPr>
            <w:tcW w:w="2273" w:type="dxa"/>
            <w:vAlign w:val="center"/>
          </w:tcPr>
          <w:p w14:paraId="41B6CD33" w14:textId="31097C92" w:rsidR="00B263C1" w:rsidRPr="00401BF0" w:rsidRDefault="004451B5" w:rsidP="00BF3173">
            <w:pPr>
              <w:jc w:val="center"/>
              <w:rPr>
                <w:rFonts w:ascii="Times New Roman" w:hAnsi="Times New Roman" w:cs="Times New Roman"/>
                <w:color w:val="000000" w:themeColor="text1"/>
                <w:szCs w:val="24"/>
                <w:highlight w:val="yellow"/>
                <w:lang w:val="en-US"/>
              </w:rPr>
            </w:pPr>
            <w:r w:rsidRPr="00401BF0">
              <w:rPr>
                <w:rFonts w:ascii="Times New Roman" w:hAnsi="Times New Roman" w:cs="Times New Roman"/>
                <w:color w:val="000000" w:themeColor="text1"/>
                <w:szCs w:val="24"/>
                <w:highlight w:val="yellow"/>
                <w:lang w:val="en-US"/>
              </w:rPr>
              <w:t>17.8</w:t>
            </w:r>
          </w:p>
        </w:tc>
      </w:tr>
    </w:tbl>
    <w:p w14:paraId="3A0FC101" w14:textId="77777777" w:rsidR="00B03EF1" w:rsidRPr="00CF7B12" w:rsidRDefault="00B03EF1" w:rsidP="00B03EF1">
      <w:pPr>
        <w:spacing w:line="259" w:lineRule="auto"/>
        <w:rPr>
          <w:rFonts w:ascii="Times New Roman" w:hAnsi="Times New Roman" w:cs="Times New Roman"/>
          <w:color w:val="000000" w:themeColor="text1"/>
          <w:szCs w:val="24"/>
        </w:rPr>
      </w:pPr>
    </w:p>
    <w:p w14:paraId="0C460831" w14:textId="5ABFC9A3" w:rsidR="00E45E14" w:rsidRPr="00CF7B12" w:rsidRDefault="004C3E8A" w:rsidP="006329A8">
      <w:pPr>
        <w:spacing w:before="100" w:beforeAutospacing="1" w:after="120" w:afterAutospacing="1" w:line="360" w:lineRule="auto"/>
        <w:jc w:val="both"/>
        <w:rPr>
          <w:rFonts w:ascii="Times New Roman" w:hAnsi="Times New Roman" w:cs="Times New Roman"/>
          <w:b/>
          <w:bCs/>
          <w:color w:val="000000" w:themeColor="text1"/>
        </w:rPr>
      </w:pPr>
      <w:r w:rsidRPr="00CF7B12">
        <w:rPr>
          <w:rFonts w:ascii="Times New Roman" w:hAnsi="Times New Roman" w:cs="Times New Roman"/>
          <w:b/>
          <w:bCs/>
          <w:color w:val="000000" w:themeColor="text1"/>
        </w:rPr>
        <w:t>CONCLUSION</w:t>
      </w:r>
    </w:p>
    <w:p w14:paraId="0272C9A6" w14:textId="3D5F0ACF" w:rsidR="006775FC" w:rsidRPr="00CF7B12" w:rsidRDefault="006775FC" w:rsidP="006775FC">
      <w:pPr>
        <w:spacing w:line="360" w:lineRule="auto"/>
        <w:jc w:val="both"/>
        <w:rPr>
          <w:rFonts w:ascii="Times New Roman" w:hAnsi="Times New Roman" w:cs="Times New Roman"/>
          <w:color w:val="000000" w:themeColor="text1"/>
        </w:rPr>
      </w:pPr>
      <w:r w:rsidRPr="00CF7B12">
        <w:rPr>
          <w:rFonts w:ascii="Times New Roman" w:hAnsi="Times New Roman" w:cs="Times New Roman"/>
          <w:color w:val="000000" w:themeColor="text1"/>
        </w:rPr>
        <w:t xml:space="preserve">The present study highlights the significant role of ploidy level in shaping the morphological and growth characteristics of guinea grass. While all genotypes maintained a perennial habit, traits such as node and sheath hairiness, pigmentation, and leaf architecture varied notably across ploidy series. Intermediate ploidy levels, particularly 5x, 6x, and 8x, were associated with </w:t>
      </w:r>
      <w:proofErr w:type="spellStart"/>
      <w:r w:rsidRPr="00CF7B12">
        <w:rPr>
          <w:rFonts w:ascii="Times New Roman" w:hAnsi="Times New Roman" w:cs="Times New Roman"/>
          <w:color w:val="000000" w:themeColor="text1"/>
        </w:rPr>
        <w:t>favorable</w:t>
      </w:r>
      <w:proofErr w:type="spellEnd"/>
      <w:r w:rsidRPr="00CF7B12">
        <w:rPr>
          <w:rFonts w:ascii="Times New Roman" w:hAnsi="Times New Roman" w:cs="Times New Roman"/>
          <w:color w:val="000000" w:themeColor="text1"/>
        </w:rPr>
        <w:t xml:space="preserve"> agronomic traits, including increased plant height, tiller diameter, leaf area, spike length, and floret number—traits indicative of enhanced forage yield and reproductive efficiency. In contrast, extremes of ploidy (3x and 11x) tended to show reduced growth and less desirable morphological features. These findings suggest that moderate polyploidy may offer optimal genetic and physiological balance for superior performance, making these accessions promising candidates for inclusion in breeding programs aimed at improving biomass productivity, adaptability, and seed quality in guinea grass.</w:t>
      </w:r>
      <w:r w:rsidR="00C74E30" w:rsidRPr="00CF7B12">
        <w:rPr>
          <w:rFonts w:ascii="Times New Roman" w:hAnsi="Times New Roman" w:cs="Times New Roman"/>
          <w:color w:val="000000" w:themeColor="text1"/>
        </w:rPr>
        <w:t xml:space="preserve"> Guinea </w:t>
      </w:r>
      <w:r w:rsidR="00E3194D" w:rsidRPr="00CF7B12">
        <w:rPr>
          <w:rFonts w:ascii="Times New Roman" w:hAnsi="Times New Roman" w:cs="Times New Roman"/>
          <w:color w:val="000000" w:themeColor="text1"/>
        </w:rPr>
        <w:t xml:space="preserve">grass is mostly tetraploid and heterozygous at the </w:t>
      </w:r>
      <w:r w:rsidR="002F7438" w:rsidRPr="00CF7B12">
        <w:rPr>
          <w:rFonts w:ascii="Times New Roman" w:hAnsi="Times New Roman" w:cs="Times New Roman"/>
          <w:color w:val="000000" w:themeColor="text1"/>
        </w:rPr>
        <w:t>different combinations of genes/alleles at different loci maintained through apomixis</w:t>
      </w:r>
      <w:r w:rsidR="00B30F4D" w:rsidRPr="00CF7B12">
        <w:rPr>
          <w:rFonts w:ascii="Times New Roman" w:hAnsi="Times New Roman" w:cs="Times New Roman"/>
          <w:color w:val="000000" w:themeColor="text1"/>
        </w:rPr>
        <w:t xml:space="preserve">. The present ploidy series is developed through BIII &amp; I </w:t>
      </w:r>
      <w:r w:rsidR="00F7370B" w:rsidRPr="00CF7B12">
        <w:rPr>
          <w:rFonts w:ascii="Times New Roman" w:hAnsi="Times New Roman" w:cs="Times New Roman"/>
          <w:color w:val="000000" w:themeColor="text1"/>
        </w:rPr>
        <w:t>h</w:t>
      </w:r>
      <w:r w:rsidR="00B30F4D" w:rsidRPr="00CF7B12">
        <w:rPr>
          <w:rFonts w:ascii="Times New Roman" w:hAnsi="Times New Roman" w:cs="Times New Roman"/>
          <w:color w:val="000000" w:themeColor="text1"/>
        </w:rPr>
        <w:t xml:space="preserve">ybridization. </w:t>
      </w:r>
      <w:r w:rsidR="00F7370B" w:rsidRPr="00CF7B12">
        <w:rPr>
          <w:rFonts w:ascii="Times New Roman" w:hAnsi="Times New Roman" w:cs="Times New Roman"/>
          <w:color w:val="000000" w:themeColor="text1"/>
        </w:rPr>
        <w:t>So,</w:t>
      </w:r>
      <w:r w:rsidR="00B30F4D" w:rsidRPr="00CF7B12">
        <w:rPr>
          <w:rFonts w:ascii="Times New Roman" w:hAnsi="Times New Roman" w:cs="Times New Roman"/>
          <w:color w:val="000000" w:themeColor="text1"/>
        </w:rPr>
        <w:t xml:space="preserve"> the effect of polyploidy</w:t>
      </w:r>
      <w:r w:rsidR="002120B9" w:rsidRPr="00CF7B12">
        <w:rPr>
          <w:rFonts w:ascii="Times New Roman" w:hAnsi="Times New Roman" w:cs="Times New Roman"/>
          <w:color w:val="000000" w:themeColor="text1"/>
        </w:rPr>
        <w:t xml:space="preserve"> on morpho-agronomic trait through </w:t>
      </w:r>
      <w:r w:rsidR="008870BE" w:rsidRPr="00CF7B12">
        <w:rPr>
          <w:rFonts w:ascii="Times New Roman" w:hAnsi="Times New Roman" w:cs="Times New Roman"/>
          <w:color w:val="000000" w:themeColor="text1"/>
        </w:rPr>
        <w:t>auto-polyploids</w:t>
      </w:r>
      <w:r w:rsidR="002120B9" w:rsidRPr="00CF7B12">
        <w:rPr>
          <w:rFonts w:ascii="Times New Roman" w:hAnsi="Times New Roman" w:cs="Times New Roman"/>
          <w:color w:val="000000" w:themeColor="text1"/>
        </w:rPr>
        <w:t xml:space="preserve"> will </w:t>
      </w:r>
      <w:r w:rsidR="008870BE" w:rsidRPr="00CF7B12">
        <w:rPr>
          <w:rFonts w:ascii="Times New Roman" w:hAnsi="Times New Roman" w:cs="Times New Roman"/>
          <w:color w:val="000000" w:themeColor="text1"/>
        </w:rPr>
        <w:t xml:space="preserve">be helpful to confirm the findings of present study in future. </w:t>
      </w:r>
    </w:p>
    <w:p w14:paraId="536FA384" w14:textId="77777777" w:rsidR="00CF7B12" w:rsidRDefault="00CF7B12" w:rsidP="0029299A">
      <w:pPr>
        <w:jc w:val="both"/>
        <w:rPr>
          <w:rFonts w:ascii="Times New Roman" w:hAnsi="Times New Roman" w:cs="Times New Roman"/>
          <w:b/>
          <w:bCs/>
          <w:color w:val="000000" w:themeColor="text1"/>
          <w:szCs w:val="24"/>
        </w:rPr>
      </w:pPr>
    </w:p>
    <w:p w14:paraId="59F22985" w14:textId="006BBAB9" w:rsidR="00CF7B12" w:rsidRDefault="00CF7B12" w:rsidP="0029299A">
      <w:pPr>
        <w:jc w:val="both"/>
        <w:rPr>
          <w:rFonts w:ascii="Times New Roman" w:hAnsi="Times New Roman" w:cs="Times New Roman"/>
          <w:b/>
          <w:bCs/>
          <w:color w:val="000000" w:themeColor="text1"/>
          <w:szCs w:val="24"/>
        </w:rPr>
      </w:pPr>
    </w:p>
    <w:p w14:paraId="3FE70727" w14:textId="1D0A39A2" w:rsidR="004E4CF8" w:rsidRDefault="004E4CF8" w:rsidP="0029299A">
      <w:pPr>
        <w:jc w:val="both"/>
        <w:rPr>
          <w:rFonts w:ascii="Times New Roman" w:hAnsi="Times New Roman" w:cs="Times New Roman"/>
          <w:b/>
          <w:bCs/>
          <w:color w:val="000000" w:themeColor="text1"/>
          <w:szCs w:val="24"/>
        </w:rPr>
      </w:pPr>
    </w:p>
    <w:p w14:paraId="2C51B3C0" w14:textId="5569938E" w:rsidR="004E4CF8" w:rsidRDefault="004E4CF8" w:rsidP="0029299A">
      <w:pPr>
        <w:jc w:val="both"/>
        <w:rPr>
          <w:rFonts w:ascii="Times New Roman" w:hAnsi="Times New Roman" w:cs="Times New Roman"/>
          <w:b/>
          <w:bCs/>
          <w:color w:val="000000" w:themeColor="text1"/>
          <w:szCs w:val="24"/>
        </w:rPr>
      </w:pPr>
    </w:p>
    <w:p w14:paraId="05558473" w14:textId="77777777" w:rsidR="004E4CF8" w:rsidRDefault="004E4CF8" w:rsidP="004E4CF8">
      <w:pPr>
        <w:rPr>
          <w:rFonts w:ascii="Calibri" w:eastAsia="Calibri" w:hAnsi="Calibri" w:cs="Times New Roman"/>
          <w:szCs w:val="22"/>
          <w:highlight w:val="yellow"/>
          <w:lang w:val="en-US" w:bidi="ar-SA"/>
        </w:rPr>
      </w:pPr>
      <w:bookmarkStart w:id="1" w:name="_Hlk191544944"/>
      <w:r>
        <w:rPr>
          <w:rFonts w:ascii="Calibri" w:eastAsia="Calibri" w:hAnsi="Calibri" w:cs="Times New Roman"/>
          <w:highlight w:val="yellow"/>
          <w:lang w:val="en-US"/>
        </w:rPr>
        <w:lastRenderedPageBreak/>
        <w:t>Disclaimer (Artificial intelligence)</w:t>
      </w:r>
    </w:p>
    <w:p w14:paraId="32AA8193" w14:textId="50771D17" w:rsidR="004E4CF8" w:rsidRDefault="004E4CF8" w:rsidP="004E4CF8">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w:t>
      </w:r>
      <w:r w:rsidR="00580CEF">
        <w:rPr>
          <w:rFonts w:ascii="Calibri" w:eastAsia="Calibri" w:hAnsi="Calibri" w:cs="Times New Roman"/>
          <w:highlight w:val="yellow"/>
          <w:lang w:val="en-US"/>
        </w:rPr>
        <w:t>declares</w:t>
      </w:r>
      <w:r>
        <w:rPr>
          <w:rFonts w:ascii="Calibri" w:eastAsia="Calibri" w:hAnsi="Calibri" w:cs="Times New Roman"/>
          <w:highlight w:val="yellow"/>
          <w:lang w:val="en-US"/>
        </w:rPr>
        <w:t xml:space="preserve"> that NO generative AI technologies such as Large Language Models (ChatGPT, COPILOT, etc.) and text-to-image generators have been used during the writing or editing of this manuscript. </w:t>
      </w:r>
    </w:p>
    <w:bookmarkEnd w:id="1"/>
    <w:p w14:paraId="56790A39" w14:textId="77777777" w:rsidR="00EC69E3" w:rsidRPr="00CF7B12" w:rsidRDefault="00EC69E3" w:rsidP="0029299A">
      <w:pPr>
        <w:pStyle w:val="BodyText"/>
        <w:spacing w:line="360" w:lineRule="auto"/>
        <w:rPr>
          <w:rFonts w:ascii="Times New Roman" w:eastAsia="Calibri" w:hAnsi="Times New Roman"/>
          <w:color w:val="000000" w:themeColor="text1"/>
          <w:lang w:bidi="hi-IN"/>
        </w:rPr>
      </w:pPr>
    </w:p>
    <w:p w14:paraId="0DD846A1" w14:textId="420EA721" w:rsidR="006F6714" w:rsidRPr="00CF7B12" w:rsidRDefault="004C3E8A" w:rsidP="008545CD">
      <w:pPr>
        <w:spacing w:after="0"/>
        <w:rPr>
          <w:rFonts w:ascii="Times New Roman" w:hAnsi="Times New Roman" w:cs="Times New Roman"/>
          <w:b/>
          <w:bCs/>
          <w:color w:val="000000" w:themeColor="text1"/>
        </w:rPr>
      </w:pPr>
      <w:r w:rsidRPr="00CF7B12">
        <w:rPr>
          <w:rFonts w:ascii="Times New Roman" w:hAnsi="Times New Roman" w:cs="Times New Roman"/>
          <w:b/>
          <w:bCs/>
          <w:color w:val="000000" w:themeColor="text1"/>
        </w:rPr>
        <w:t>REFERENCES</w:t>
      </w:r>
    </w:p>
    <w:p w14:paraId="1AC640B5"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roofErr w:type="spellStart"/>
      <w:r w:rsidRPr="00CF7B12">
        <w:rPr>
          <w:rFonts w:ascii="Times New Roman" w:eastAsia="Times New Roman" w:hAnsi="Times New Roman" w:cs="Times New Roman"/>
          <w:color w:val="000000" w:themeColor="text1"/>
          <w:kern w:val="0"/>
          <w:szCs w:val="24"/>
          <w:lang w:eastAsia="en-IN"/>
          <w14:ligatures w14:val="none"/>
        </w:rPr>
        <w:t>Benabderrahim</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M.A., </w:t>
      </w:r>
      <w:proofErr w:type="spellStart"/>
      <w:r w:rsidRPr="00CF7B12">
        <w:rPr>
          <w:rFonts w:ascii="Times New Roman" w:eastAsia="Times New Roman" w:hAnsi="Times New Roman" w:cs="Times New Roman"/>
          <w:color w:val="000000" w:themeColor="text1"/>
          <w:kern w:val="0"/>
          <w:szCs w:val="24"/>
          <w:lang w:eastAsia="en-IN"/>
          <w14:ligatures w14:val="none"/>
        </w:rPr>
        <w:t>Elfalleh</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 (2021). Forage potential of non-native guinea grass in North African agroecosystems: Genetic, agronomic, and adaptive traits. </w:t>
      </w:r>
      <w:r w:rsidRPr="00CF7B12">
        <w:rPr>
          <w:rFonts w:ascii="Times New Roman" w:eastAsia="Times New Roman" w:hAnsi="Times New Roman" w:cs="Times New Roman"/>
          <w:i/>
          <w:iCs/>
          <w:color w:val="000000" w:themeColor="text1"/>
          <w:kern w:val="0"/>
          <w:szCs w:val="24"/>
          <w:lang w:eastAsia="en-IN"/>
          <w14:ligatures w14:val="none"/>
        </w:rPr>
        <w:t>Agronomy</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11</w:t>
      </w:r>
      <w:r w:rsidRPr="00CF7B12">
        <w:rPr>
          <w:rFonts w:ascii="Times New Roman" w:eastAsia="Times New Roman" w:hAnsi="Times New Roman" w:cs="Times New Roman"/>
          <w:color w:val="000000" w:themeColor="text1"/>
          <w:kern w:val="0"/>
          <w:szCs w:val="24"/>
          <w:lang w:eastAsia="en-IN"/>
          <w14:ligatures w14:val="none"/>
        </w:rPr>
        <w:t xml:space="preserve">: 1–10. </w:t>
      </w:r>
      <w:hyperlink r:id="rId10"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https://doi.org/10.3390/agronomy11061071</w:t>
        </w:r>
      </w:hyperlink>
    </w:p>
    <w:p w14:paraId="42AD2F67"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Boldrini A., </w:t>
      </w:r>
      <w:proofErr w:type="spellStart"/>
      <w:r w:rsidRPr="00CF7B12">
        <w:rPr>
          <w:rFonts w:ascii="Times New Roman" w:eastAsia="Times New Roman" w:hAnsi="Times New Roman" w:cs="Times New Roman"/>
          <w:color w:val="000000" w:themeColor="text1"/>
          <w:kern w:val="0"/>
          <w:szCs w:val="24"/>
          <w:lang w:eastAsia="en-IN"/>
          <w14:ligatures w14:val="none"/>
        </w:rPr>
        <w:t>Pessino</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S.C., Rodrigo J.M., Martínez E.J. (2012). Genetic diversity and ploidy levels in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germplasm collection. </w:t>
      </w:r>
      <w:r w:rsidRPr="00CF7B12">
        <w:rPr>
          <w:rFonts w:ascii="Times New Roman" w:eastAsia="Times New Roman" w:hAnsi="Times New Roman" w:cs="Times New Roman"/>
          <w:i/>
          <w:iCs/>
          <w:color w:val="000000" w:themeColor="text1"/>
          <w:kern w:val="0"/>
          <w:szCs w:val="24"/>
          <w:lang w:eastAsia="en-IN"/>
          <w14:ligatures w14:val="none"/>
        </w:rPr>
        <w:t>Trop. Grassl.</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46</w:t>
      </w:r>
      <w:r w:rsidRPr="00CF7B12">
        <w:rPr>
          <w:rFonts w:ascii="Times New Roman" w:eastAsia="Times New Roman" w:hAnsi="Times New Roman" w:cs="Times New Roman"/>
          <w:color w:val="000000" w:themeColor="text1"/>
          <w:kern w:val="0"/>
          <w:szCs w:val="24"/>
          <w:lang w:eastAsia="en-IN"/>
          <w14:ligatures w14:val="none"/>
        </w:rPr>
        <w:t>(1): 32–39.</w:t>
      </w:r>
    </w:p>
    <w:p w14:paraId="09005F7C"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Cook B.G., Pengelly B.C., Brown S.D., Donnelly J.L., Eagles D.A., Franco M.A., Schultze-Kraft R. (2005). </w:t>
      </w:r>
      <w:r w:rsidRPr="00CF7B12">
        <w:rPr>
          <w:rFonts w:ascii="Times New Roman" w:eastAsia="Times New Roman" w:hAnsi="Times New Roman" w:cs="Times New Roman"/>
          <w:i/>
          <w:iCs/>
          <w:color w:val="000000" w:themeColor="text1"/>
          <w:kern w:val="0"/>
          <w:szCs w:val="24"/>
          <w:lang w:eastAsia="en-IN"/>
          <w14:ligatures w14:val="none"/>
        </w:rPr>
        <w:t>Tropical Forages: An Interactive Selection Tool</w:t>
      </w:r>
      <w:r w:rsidRPr="00CF7B12">
        <w:rPr>
          <w:rFonts w:ascii="Times New Roman" w:eastAsia="Times New Roman" w:hAnsi="Times New Roman" w:cs="Times New Roman"/>
          <w:color w:val="000000" w:themeColor="text1"/>
          <w:kern w:val="0"/>
          <w:szCs w:val="24"/>
          <w:lang w:eastAsia="en-IN"/>
          <w14:ligatures w14:val="none"/>
        </w:rPr>
        <w:t>. CSIRO, DPI&amp;F (Qld), CIAT and ILRI.</w:t>
      </w:r>
    </w:p>
    <w:p w14:paraId="6E5BBC16"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roofErr w:type="spellStart"/>
      <w:r w:rsidRPr="00CF7B12">
        <w:rPr>
          <w:rFonts w:ascii="Times New Roman" w:eastAsia="Times New Roman" w:hAnsi="Times New Roman" w:cs="Times New Roman"/>
          <w:color w:val="000000" w:themeColor="text1"/>
          <w:kern w:val="0"/>
          <w:szCs w:val="24"/>
          <w:lang w:eastAsia="en-IN"/>
          <w14:ligatures w14:val="none"/>
        </w:rPr>
        <w:t>Corneillie</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S., De Storme N., Van Acker R., Fangel J.U., De Bruyne M., De </w:t>
      </w:r>
      <w:proofErr w:type="spellStart"/>
      <w:r w:rsidRPr="00CF7B12">
        <w:rPr>
          <w:rFonts w:ascii="Times New Roman" w:eastAsia="Times New Roman" w:hAnsi="Times New Roman" w:cs="Times New Roman"/>
          <w:color w:val="000000" w:themeColor="text1"/>
          <w:kern w:val="0"/>
          <w:szCs w:val="24"/>
          <w:lang w:eastAsia="en-IN"/>
          <w14:ligatures w14:val="none"/>
        </w:rPr>
        <w:t>Rycke</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R., Geelen D., Willats W.G.T., </w:t>
      </w:r>
      <w:proofErr w:type="spellStart"/>
      <w:r w:rsidRPr="00CF7B12">
        <w:rPr>
          <w:rFonts w:ascii="Times New Roman" w:eastAsia="Times New Roman" w:hAnsi="Times New Roman" w:cs="Times New Roman"/>
          <w:color w:val="000000" w:themeColor="text1"/>
          <w:kern w:val="0"/>
          <w:szCs w:val="24"/>
          <w:lang w:eastAsia="en-IN"/>
          <w14:ligatures w14:val="none"/>
        </w:rPr>
        <w:t>Vanholme</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B., Boerjan W. (2019). Polyploidy affects plant growth and alters cell wall composition. </w:t>
      </w:r>
      <w:r w:rsidRPr="00CF7B12">
        <w:rPr>
          <w:rFonts w:ascii="Times New Roman" w:eastAsia="Times New Roman" w:hAnsi="Times New Roman" w:cs="Times New Roman"/>
          <w:i/>
          <w:iCs/>
          <w:color w:val="000000" w:themeColor="text1"/>
          <w:kern w:val="0"/>
          <w:szCs w:val="24"/>
          <w:lang w:eastAsia="en-IN"/>
          <w14:ligatures w14:val="none"/>
        </w:rPr>
        <w:t>Plant Physiol.</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179</w:t>
      </w:r>
      <w:r w:rsidRPr="00CF7B12">
        <w:rPr>
          <w:rFonts w:ascii="Times New Roman" w:eastAsia="Times New Roman" w:hAnsi="Times New Roman" w:cs="Times New Roman"/>
          <w:color w:val="000000" w:themeColor="text1"/>
          <w:kern w:val="0"/>
          <w:szCs w:val="24"/>
          <w:lang w:eastAsia="en-IN"/>
          <w14:ligatures w14:val="none"/>
        </w:rPr>
        <w:t xml:space="preserve">: 74–87. </w:t>
      </w:r>
      <w:hyperlink r:id="rId11"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https://doi.org/10.1104/pp.18.00967</w:t>
        </w:r>
      </w:hyperlink>
    </w:p>
    <w:p w14:paraId="504B7FFE"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D’Amato F. (1989). Polyploidy in cell differentiation. </w:t>
      </w:r>
      <w:proofErr w:type="spellStart"/>
      <w:r w:rsidRPr="00CF7B12">
        <w:rPr>
          <w:rFonts w:ascii="Times New Roman" w:eastAsia="Times New Roman" w:hAnsi="Times New Roman" w:cs="Times New Roman"/>
          <w:i/>
          <w:iCs/>
          <w:color w:val="000000" w:themeColor="text1"/>
          <w:kern w:val="0"/>
          <w:szCs w:val="24"/>
          <w:lang w:eastAsia="en-IN"/>
          <w14:ligatures w14:val="none"/>
        </w:rPr>
        <w:t>Caryologia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42</w:t>
      </w:r>
      <w:r w:rsidRPr="00CF7B12">
        <w:rPr>
          <w:rFonts w:ascii="Times New Roman" w:eastAsia="Times New Roman" w:hAnsi="Times New Roman" w:cs="Times New Roman"/>
          <w:color w:val="000000" w:themeColor="text1"/>
          <w:kern w:val="0"/>
          <w:szCs w:val="24"/>
          <w:lang w:eastAsia="en-IN"/>
          <w14:ligatures w14:val="none"/>
        </w:rPr>
        <w:t xml:space="preserve">(3–4): 183–211. </w:t>
      </w:r>
      <w:hyperlink r:id="rId12"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https://doi.org/10.1080/00087114.1989.10796966</w:t>
        </w:r>
      </w:hyperlink>
    </w:p>
    <w:p w14:paraId="1BEEA95F" w14:textId="2C3598BB" w:rsidR="00CA2604" w:rsidRPr="00CF7B12" w:rsidRDefault="00CA2604" w:rsidP="00CA260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Dwivedi, K.K., Bhat, S.R., Bhat, V., Bhat, B. V., Gupta, M.G., (2007). Identification of a SCAR marker linked to apomixis in buffelgrass (Cenchrus ciliaris L.). </w:t>
      </w:r>
      <w:r w:rsidRPr="00CF7B12">
        <w:rPr>
          <w:rFonts w:ascii="Times New Roman" w:eastAsia="Times New Roman" w:hAnsi="Times New Roman" w:cs="Times New Roman"/>
          <w:i/>
          <w:iCs/>
          <w:color w:val="000000" w:themeColor="text1"/>
          <w:kern w:val="0"/>
          <w:szCs w:val="24"/>
          <w:lang w:eastAsia="en-IN"/>
          <w14:ligatures w14:val="none"/>
        </w:rPr>
        <w:t>Plant Sci.</w:t>
      </w:r>
      <w:r w:rsidRPr="00CF7B12">
        <w:rPr>
          <w:rFonts w:ascii="Times New Roman" w:eastAsia="Times New Roman" w:hAnsi="Times New Roman" w:cs="Times New Roman"/>
          <w:color w:val="000000" w:themeColor="text1"/>
          <w:kern w:val="0"/>
          <w:szCs w:val="24"/>
          <w:lang w:eastAsia="en-IN"/>
          <w14:ligatures w14:val="none"/>
        </w:rPr>
        <w:t xml:space="preserve"> 172, 788–795. https://doi.org/10.1016/j.plantsci.2006.12.006</w:t>
      </w:r>
    </w:p>
    <w:p w14:paraId="7B7A119B"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Hanna W.W., Ryley R. (2004). Morphological and agronomic characterization of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accessions. </w:t>
      </w:r>
      <w:proofErr w:type="spellStart"/>
      <w:r w:rsidRPr="00CF7B12">
        <w:rPr>
          <w:rFonts w:ascii="Times New Roman" w:eastAsia="Times New Roman" w:hAnsi="Times New Roman" w:cs="Times New Roman"/>
          <w:i/>
          <w:iCs/>
          <w:color w:val="000000" w:themeColor="text1"/>
          <w:kern w:val="0"/>
          <w:szCs w:val="24"/>
          <w:lang w:eastAsia="en-IN"/>
          <w14:ligatures w14:val="none"/>
        </w:rPr>
        <w:t>Euphytica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138</w:t>
      </w:r>
      <w:r w:rsidRPr="00CF7B12">
        <w:rPr>
          <w:rFonts w:ascii="Times New Roman" w:eastAsia="Times New Roman" w:hAnsi="Times New Roman" w:cs="Times New Roman"/>
          <w:color w:val="000000" w:themeColor="text1"/>
          <w:kern w:val="0"/>
          <w:szCs w:val="24"/>
          <w:lang w:eastAsia="en-IN"/>
          <w14:ligatures w14:val="none"/>
        </w:rPr>
        <w:t>(3): 293–302.</w:t>
      </w:r>
    </w:p>
    <w:p w14:paraId="15025B73"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Humphreys L.R. (1991). </w:t>
      </w:r>
      <w:r w:rsidRPr="00CF7B12">
        <w:rPr>
          <w:rFonts w:ascii="Times New Roman" w:eastAsia="Times New Roman" w:hAnsi="Times New Roman" w:cs="Times New Roman"/>
          <w:i/>
          <w:iCs/>
          <w:color w:val="000000" w:themeColor="text1"/>
          <w:kern w:val="0"/>
          <w:szCs w:val="24"/>
          <w:lang w:eastAsia="en-IN"/>
          <w14:ligatures w14:val="none"/>
        </w:rPr>
        <w:t>Tropical Pasture Utilisation</w:t>
      </w:r>
      <w:r w:rsidRPr="00CF7B12">
        <w:rPr>
          <w:rFonts w:ascii="Times New Roman" w:eastAsia="Times New Roman" w:hAnsi="Times New Roman" w:cs="Times New Roman"/>
          <w:color w:val="000000" w:themeColor="text1"/>
          <w:kern w:val="0"/>
          <w:szCs w:val="24"/>
          <w:lang w:eastAsia="en-IN"/>
          <w14:ligatures w14:val="none"/>
        </w:rPr>
        <w:t>. Cambridge University Press.</w:t>
      </w:r>
    </w:p>
    <w:p w14:paraId="167B133C"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Jank L., Barrios S.C.L., do Valle C.B., Simeão R.M., Alves G.F. (2011). The value of improved pastures to Brazilian beef production. </w:t>
      </w:r>
      <w:r w:rsidRPr="00CF7B12">
        <w:rPr>
          <w:rFonts w:ascii="Times New Roman" w:eastAsia="Times New Roman" w:hAnsi="Times New Roman" w:cs="Times New Roman"/>
          <w:i/>
          <w:iCs/>
          <w:color w:val="000000" w:themeColor="text1"/>
          <w:kern w:val="0"/>
          <w:szCs w:val="24"/>
          <w:lang w:eastAsia="en-IN"/>
          <w14:ligatures w14:val="none"/>
        </w:rPr>
        <w:t>Crop Pasture Sci.</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62</w:t>
      </w:r>
      <w:r w:rsidRPr="00CF7B12">
        <w:rPr>
          <w:rFonts w:ascii="Times New Roman" w:eastAsia="Times New Roman" w:hAnsi="Times New Roman" w:cs="Times New Roman"/>
          <w:color w:val="000000" w:themeColor="text1"/>
          <w:kern w:val="0"/>
          <w:szCs w:val="24"/>
          <w:lang w:eastAsia="en-IN"/>
          <w14:ligatures w14:val="none"/>
        </w:rPr>
        <w:t>(12): 953–961.</w:t>
      </w:r>
    </w:p>
    <w:p w14:paraId="0A9DB114"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Kaushal P., Dwivedi K.K., Radhakrishna A., Saxena S., Paul S., Srivastava M.K., Baig M.J., Roy A.K., Malaviya D.R. (2018). Ploidy dependent expression of apomixis and its </w:t>
      </w:r>
      <w:r w:rsidRPr="00CF7B12">
        <w:rPr>
          <w:rFonts w:ascii="Times New Roman" w:eastAsia="Times New Roman" w:hAnsi="Times New Roman" w:cs="Times New Roman"/>
          <w:color w:val="000000" w:themeColor="text1"/>
          <w:kern w:val="0"/>
          <w:szCs w:val="24"/>
          <w:lang w:eastAsia="en-IN"/>
          <w14:ligatures w14:val="none"/>
        </w:rPr>
        <w:lastRenderedPageBreak/>
        <w:t>components in guinea grass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Jacq.). </w:t>
      </w:r>
      <w:proofErr w:type="spellStart"/>
      <w:r w:rsidRPr="00CF7B12">
        <w:rPr>
          <w:rFonts w:ascii="Times New Roman" w:eastAsia="Times New Roman" w:hAnsi="Times New Roman" w:cs="Times New Roman"/>
          <w:i/>
          <w:iCs/>
          <w:color w:val="000000" w:themeColor="text1"/>
          <w:kern w:val="0"/>
          <w:szCs w:val="24"/>
          <w:lang w:eastAsia="en-IN"/>
          <w14:ligatures w14:val="none"/>
        </w:rPr>
        <w:t>Euphytica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214</w:t>
      </w:r>
      <w:r w:rsidRPr="00CF7B12">
        <w:rPr>
          <w:rFonts w:ascii="Times New Roman" w:eastAsia="Times New Roman" w:hAnsi="Times New Roman" w:cs="Times New Roman"/>
          <w:color w:val="000000" w:themeColor="text1"/>
          <w:kern w:val="0"/>
          <w:szCs w:val="24"/>
          <w:lang w:eastAsia="en-IN"/>
          <w14:ligatures w14:val="none"/>
        </w:rPr>
        <w:t xml:space="preserve">. </w:t>
      </w:r>
      <w:hyperlink r:id="rId13"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https://doi.org/10.1007/s10681-018-2232-1</w:t>
        </w:r>
      </w:hyperlink>
    </w:p>
    <w:p w14:paraId="3F446A95" w14:textId="759AA383" w:rsidR="001F410B" w:rsidRPr="00CF7B12" w:rsidRDefault="001F410B"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Kaushal, P., Paul, S., Saxena, S., Dwivedi, K.K., Chakraborti, M., Radhakrishna, A., Roy, A.K., Malaviya, D.R., (2015). Generating higher ploidies (7x and 11x) in guinea grass (Panicum maximum Jacq.) utilizing reproductive diversity and uncoupled apomixis components. Curr. Sci. 109, 1392–1395.</w:t>
      </w:r>
    </w:p>
    <w:p w14:paraId="5E9EFC4B" w14:textId="5E3C02CD"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Levin D.A. (2002). </w:t>
      </w:r>
      <w:r w:rsidRPr="00CF7B12">
        <w:rPr>
          <w:rFonts w:ascii="Times New Roman" w:eastAsia="Times New Roman" w:hAnsi="Times New Roman" w:cs="Times New Roman"/>
          <w:i/>
          <w:iCs/>
          <w:color w:val="000000" w:themeColor="text1"/>
          <w:kern w:val="0"/>
          <w:szCs w:val="24"/>
          <w:lang w:eastAsia="en-IN"/>
          <w14:ligatures w14:val="none"/>
        </w:rPr>
        <w:t>The Role of Chromosomal Change in Plant Evolution</w:t>
      </w:r>
      <w:r w:rsidRPr="00CF7B12">
        <w:rPr>
          <w:rFonts w:ascii="Times New Roman" w:eastAsia="Times New Roman" w:hAnsi="Times New Roman" w:cs="Times New Roman"/>
          <w:color w:val="000000" w:themeColor="text1"/>
          <w:kern w:val="0"/>
          <w:szCs w:val="24"/>
          <w:lang w:eastAsia="en-IN"/>
          <w14:ligatures w14:val="none"/>
        </w:rPr>
        <w:t xml:space="preserve">. Oxford University Press. </w:t>
      </w:r>
      <w:hyperlink r:id="rId14"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https://doi.org/10.1093/oso/9780195138597.001.0001</w:t>
        </w:r>
      </w:hyperlink>
    </w:p>
    <w:p w14:paraId="1441B3A6"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Miles J.W., Slaymaker J.H., Rios E. (2004). Morphological variation and characterization of guinea grass germplasm. </w:t>
      </w:r>
      <w:r w:rsidRPr="00CF7B12">
        <w:rPr>
          <w:rFonts w:ascii="Times New Roman" w:eastAsia="Times New Roman" w:hAnsi="Times New Roman" w:cs="Times New Roman"/>
          <w:i/>
          <w:iCs/>
          <w:color w:val="000000" w:themeColor="text1"/>
          <w:kern w:val="0"/>
          <w:szCs w:val="24"/>
          <w:lang w:eastAsia="en-IN"/>
          <w14:ligatures w14:val="none"/>
        </w:rPr>
        <w:t>Field Crops Res.</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89</w:t>
      </w:r>
      <w:r w:rsidRPr="00CF7B12">
        <w:rPr>
          <w:rFonts w:ascii="Times New Roman" w:eastAsia="Times New Roman" w:hAnsi="Times New Roman" w:cs="Times New Roman"/>
          <w:color w:val="000000" w:themeColor="text1"/>
          <w:kern w:val="0"/>
          <w:szCs w:val="24"/>
          <w:lang w:eastAsia="en-IN"/>
          <w14:ligatures w14:val="none"/>
        </w:rPr>
        <w:t>(2–3): 205–218.</w:t>
      </w:r>
    </w:p>
    <w:p w14:paraId="37959815"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Pagliarini M.S., do Valle C.B., Jank L. (2000). Meiotic </w:t>
      </w:r>
      <w:proofErr w:type="spellStart"/>
      <w:r w:rsidRPr="00CF7B12">
        <w:rPr>
          <w:rFonts w:ascii="Times New Roman" w:eastAsia="Times New Roman" w:hAnsi="Times New Roman" w:cs="Times New Roman"/>
          <w:color w:val="000000" w:themeColor="text1"/>
          <w:kern w:val="0"/>
          <w:szCs w:val="24"/>
          <w:lang w:eastAsia="en-IN"/>
          <w14:ligatures w14:val="none"/>
        </w:rPr>
        <w:t>behavior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in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Jacq.: cytotypes and breeding implications. </w:t>
      </w:r>
      <w:r w:rsidRPr="00CF7B12">
        <w:rPr>
          <w:rFonts w:ascii="Times New Roman" w:eastAsia="Times New Roman" w:hAnsi="Times New Roman" w:cs="Times New Roman"/>
          <w:i/>
          <w:iCs/>
          <w:color w:val="000000" w:themeColor="text1"/>
          <w:kern w:val="0"/>
          <w:szCs w:val="24"/>
          <w:lang w:eastAsia="en-IN"/>
          <w14:ligatures w14:val="none"/>
        </w:rPr>
        <w:t>Genet. Mol. Biol.</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23</w:t>
      </w:r>
      <w:r w:rsidRPr="00CF7B12">
        <w:rPr>
          <w:rFonts w:ascii="Times New Roman" w:eastAsia="Times New Roman" w:hAnsi="Times New Roman" w:cs="Times New Roman"/>
          <w:color w:val="000000" w:themeColor="text1"/>
          <w:kern w:val="0"/>
          <w:szCs w:val="24"/>
          <w:lang w:eastAsia="en-IN"/>
          <w14:ligatures w14:val="none"/>
        </w:rPr>
        <w:t>(3): 569–573.</w:t>
      </w:r>
    </w:p>
    <w:p w14:paraId="00F840FD"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Patil B.R., </w:t>
      </w:r>
      <w:proofErr w:type="spellStart"/>
      <w:r w:rsidRPr="00CF7B12">
        <w:rPr>
          <w:rFonts w:ascii="Times New Roman" w:eastAsia="Times New Roman" w:hAnsi="Times New Roman" w:cs="Times New Roman"/>
          <w:color w:val="000000" w:themeColor="text1"/>
          <w:kern w:val="0"/>
          <w:szCs w:val="24"/>
          <w:lang w:eastAsia="en-IN"/>
          <w14:ligatures w14:val="none"/>
        </w:rPr>
        <w:t>Kamatar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M.Y., </w:t>
      </w:r>
      <w:proofErr w:type="spellStart"/>
      <w:r w:rsidRPr="00CF7B12">
        <w:rPr>
          <w:rFonts w:ascii="Times New Roman" w:eastAsia="Times New Roman" w:hAnsi="Times New Roman" w:cs="Times New Roman"/>
          <w:color w:val="000000" w:themeColor="text1"/>
          <w:kern w:val="0"/>
          <w:szCs w:val="24"/>
          <w:lang w:eastAsia="en-IN"/>
          <w14:ligatures w14:val="none"/>
        </w:rPr>
        <w:t>Chimmad</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V.P. (2013). Performance of guinea grass genotypes in dryland conditions of Karnataka. </w:t>
      </w:r>
      <w:r w:rsidRPr="00CF7B12">
        <w:rPr>
          <w:rFonts w:ascii="Times New Roman" w:eastAsia="Times New Roman" w:hAnsi="Times New Roman" w:cs="Times New Roman"/>
          <w:i/>
          <w:iCs/>
          <w:color w:val="000000" w:themeColor="text1"/>
          <w:kern w:val="0"/>
          <w:szCs w:val="24"/>
          <w:lang w:eastAsia="en-IN"/>
          <w14:ligatures w14:val="none"/>
        </w:rPr>
        <w:t>Karnataka J. Agric. Sci.</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26</w:t>
      </w:r>
      <w:r w:rsidRPr="00CF7B12">
        <w:rPr>
          <w:rFonts w:ascii="Times New Roman" w:eastAsia="Times New Roman" w:hAnsi="Times New Roman" w:cs="Times New Roman"/>
          <w:color w:val="000000" w:themeColor="text1"/>
          <w:kern w:val="0"/>
          <w:szCs w:val="24"/>
          <w:lang w:eastAsia="en-IN"/>
          <w14:ligatures w14:val="none"/>
        </w:rPr>
        <w:t>(4): 525–528.</w:t>
      </w:r>
    </w:p>
    <w:p w14:paraId="0521EF7A" w14:textId="5EEA44C2" w:rsidR="00A32C89" w:rsidRPr="00CF7B12" w:rsidRDefault="00A32C89"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Radhakrishna, A., Dwivedi, K.K., Srivastava, M.K., Roy, A.K., Malaviya, D.R., Kaushal, P., (2018). Transcriptomic data of pre-meiotic stage of floret development in apomictic and sexual types of guinea grass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Jacq.). Data Br. 18, 590–593. </w:t>
      </w:r>
      <w:hyperlink r:id="rId15" w:history="1">
        <w:r w:rsidRPr="00CF7B12">
          <w:rPr>
            <w:rStyle w:val="Hyperlink"/>
            <w:rFonts w:ascii="Times New Roman" w:eastAsia="Times New Roman" w:hAnsi="Times New Roman" w:cs="Times New Roman"/>
            <w:color w:val="000000" w:themeColor="text1"/>
            <w:kern w:val="0"/>
            <w:szCs w:val="24"/>
            <w:lang w:eastAsia="en-IN"/>
            <w14:ligatures w14:val="none"/>
          </w:rPr>
          <w:t>https://doi.org/10.1016/j.dib.2018.03.001</w:t>
        </w:r>
      </w:hyperlink>
    </w:p>
    <w:p w14:paraId="4EE1D7D7" w14:textId="149722E2"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Ramsey J., Ramsey T.S. (2014). Ecological and evolutionary consequences of polyploidy in plants. </w:t>
      </w:r>
      <w:r w:rsidRPr="00CF7B12">
        <w:rPr>
          <w:rFonts w:ascii="Times New Roman" w:eastAsia="Times New Roman" w:hAnsi="Times New Roman" w:cs="Times New Roman"/>
          <w:i/>
          <w:iCs/>
          <w:color w:val="000000" w:themeColor="text1"/>
          <w:kern w:val="0"/>
          <w:szCs w:val="24"/>
          <w:lang w:eastAsia="en-IN"/>
          <w14:ligatures w14:val="none"/>
        </w:rPr>
        <w:t xml:space="preserve">Annu. Rev. Ecol. </w:t>
      </w:r>
      <w:proofErr w:type="spellStart"/>
      <w:r w:rsidRPr="00CF7B12">
        <w:rPr>
          <w:rFonts w:ascii="Times New Roman" w:eastAsia="Times New Roman" w:hAnsi="Times New Roman" w:cs="Times New Roman"/>
          <w:i/>
          <w:iCs/>
          <w:color w:val="000000" w:themeColor="text1"/>
          <w:kern w:val="0"/>
          <w:szCs w:val="24"/>
          <w:lang w:eastAsia="en-IN"/>
          <w14:ligatures w14:val="none"/>
        </w:rPr>
        <w:t>Evol</w:t>
      </w:r>
      <w:proofErr w:type="spellEnd"/>
      <w:r w:rsidRPr="00CF7B12">
        <w:rPr>
          <w:rFonts w:ascii="Times New Roman" w:eastAsia="Times New Roman" w:hAnsi="Times New Roman" w:cs="Times New Roman"/>
          <w:i/>
          <w:iCs/>
          <w:color w:val="000000" w:themeColor="text1"/>
          <w:kern w:val="0"/>
          <w:szCs w:val="24"/>
          <w:lang w:eastAsia="en-IN"/>
          <w14:ligatures w14:val="none"/>
        </w:rPr>
        <w:t>. Syst.</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45</w:t>
      </w:r>
      <w:r w:rsidRPr="00CF7B12">
        <w:rPr>
          <w:rFonts w:ascii="Times New Roman" w:eastAsia="Times New Roman" w:hAnsi="Times New Roman" w:cs="Times New Roman"/>
          <w:color w:val="000000" w:themeColor="text1"/>
          <w:kern w:val="0"/>
          <w:szCs w:val="24"/>
          <w:lang w:eastAsia="en-IN"/>
          <w14:ligatures w14:val="none"/>
        </w:rPr>
        <w:t>: 361–385.</w:t>
      </w:r>
    </w:p>
    <w:p w14:paraId="49223A35"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Ramsey J., </w:t>
      </w:r>
      <w:proofErr w:type="spellStart"/>
      <w:r w:rsidRPr="00CF7B12">
        <w:rPr>
          <w:rFonts w:ascii="Times New Roman" w:eastAsia="Times New Roman" w:hAnsi="Times New Roman" w:cs="Times New Roman"/>
          <w:color w:val="000000" w:themeColor="text1"/>
          <w:kern w:val="0"/>
          <w:szCs w:val="24"/>
          <w:lang w:eastAsia="en-IN"/>
          <w14:ligatures w14:val="none"/>
        </w:rPr>
        <w:t>Schemske</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D.W. (1998). Pathways, mechanisms, and rates of polyploid formation in flowering plants. </w:t>
      </w:r>
      <w:r w:rsidRPr="00CF7B12">
        <w:rPr>
          <w:rFonts w:ascii="Times New Roman" w:eastAsia="Times New Roman" w:hAnsi="Times New Roman" w:cs="Times New Roman"/>
          <w:i/>
          <w:iCs/>
          <w:color w:val="000000" w:themeColor="text1"/>
          <w:kern w:val="0"/>
          <w:szCs w:val="24"/>
          <w:lang w:eastAsia="en-IN"/>
          <w14:ligatures w14:val="none"/>
        </w:rPr>
        <w:t>Annu. Rev. Ecol. Syst.</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29</w:t>
      </w:r>
      <w:r w:rsidRPr="00CF7B12">
        <w:rPr>
          <w:rFonts w:ascii="Times New Roman" w:eastAsia="Times New Roman" w:hAnsi="Times New Roman" w:cs="Times New Roman"/>
          <w:color w:val="000000" w:themeColor="text1"/>
          <w:kern w:val="0"/>
          <w:szCs w:val="24"/>
          <w:lang w:eastAsia="en-IN"/>
          <w14:ligatures w14:val="none"/>
        </w:rPr>
        <w:t>: 467–501.</w:t>
      </w:r>
    </w:p>
    <w:p w14:paraId="411FE629"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roofErr w:type="spellStart"/>
      <w:r w:rsidRPr="00CF7B12">
        <w:rPr>
          <w:rFonts w:ascii="Times New Roman" w:eastAsia="Times New Roman" w:hAnsi="Times New Roman" w:cs="Times New Roman"/>
          <w:color w:val="000000" w:themeColor="text1"/>
          <w:kern w:val="0"/>
          <w:szCs w:val="24"/>
          <w:lang w:eastAsia="en-IN"/>
          <w14:ligatures w14:val="none"/>
        </w:rPr>
        <w:t>Rieseberg</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L.H., Willis J.H. (2007). Plant speciation. </w:t>
      </w:r>
      <w:r w:rsidRPr="00CF7B12">
        <w:rPr>
          <w:rFonts w:ascii="Times New Roman" w:eastAsia="Times New Roman" w:hAnsi="Times New Roman" w:cs="Times New Roman"/>
          <w:i/>
          <w:iCs/>
          <w:color w:val="000000" w:themeColor="text1"/>
          <w:kern w:val="0"/>
          <w:szCs w:val="24"/>
          <w:lang w:eastAsia="en-IN"/>
          <w14:ligatures w14:val="none"/>
        </w:rPr>
        <w:t>Science</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317</w:t>
      </w:r>
      <w:r w:rsidRPr="00CF7B12">
        <w:rPr>
          <w:rFonts w:ascii="Times New Roman" w:eastAsia="Times New Roman" w:hAnsi="Times New Roman" w:cs="Times New Roman"/>
          <w:color w:val="000000" w:themeColor="text1"/>
          <w:kern w:val="0"/>
          <w:szCs w:val="24"/>
          <w:lang w:eastAsia="en-IN"/>
          <w14:ligatures w14:val="none"/>
        </w:rPr>
        <w:t>(5840): 910–914.</w:t>
      </w:r>
    </w:p>
    <w:p w14:paraId="7FCD83BD"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Satish K., Srinivas G., Madhusudhana R., Padmaja P.G., Nagaraja Reddy R., Murali Mohan S., </w:t>
      </w:r>
      <w:proofErr w:type="spellStart"/>
      <w:r w:rsidRPr="00CF7B12">
        <w:rPr>
          <w:rFonts w:ascii="Times New Roman" w:eastAsia="Times New Roman" w:hAnsi="Times New Roman" w:cs="Times New Roman"/>
          <w:color w:val="000000" w:themeColor="text1"/>
          <w:kern w:val="0"/>
          <w:szCs w:val="24"/>
          <w:lang w:eastAsia="en-IN"/>
          <w14:ligatures w14:val="none"/>
        </w:rPr>
        <w:t>Seetharama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N. (2009). Identification of quantitative trait loci for resistance to shoot fly in sorghum (</w:t>
      </w:r>
      <w:r w:rsidRPr="00CF7B12">
        <w:rPr>
          <w:rFonts w:ascii="Times New Roman" w:eastAsia="Times New Roman" w:hAnsi="Times New Roman" w:cs="Times New Roman"/>
          <w:i/>
          <w:iCs/>
          <w:color w:val="000000" w:themeColor="text1"/>
          <w:kern w:val="0"/>
          <w:szCs w:val="24"/>
          <w:lang w:eastAsia="en-IN"/>
          <w14:ligatures w14:val="none"/>
        </w:rPr>
        <w:t xml:space="preserve">Sorghum </w:t>
      </w:r>
      <w:proofErr w:type="spellStart"/>
      <w:r w:rsidRPr="00CF7B12">
        <w:rPr>
          <w:rFonts w:ascii="Times New Roman" w:eastAsia="Times New Roman" w:hAnsi="Times New Roman" w:cs="Times New Roman"/>
          <w:i/>
          <w:iCs/>
          <w:color w:val="000000" w:themeColor="text1"/>
          <w:kern w:val="0"/>
          <w:szCs w:val="24"/>
          <w:lang w:eastAsia="en-IN"/>
          <w14:ligatures w14:val="none"/>
        </w:rPr>
        <w:t>bicolor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(L.) Moench). </w:t>
      </w:r>
      <w:r w:rsidRPr="00CF7B12">
        <w:rPr>
          <w:rFonts w:ascii="Times New Roman" w:eastAsia="Times New Roman" w:hAnsi="Times New Roman" w:cs="Times New Roman"/>
          <w:i/>
          <w:iCs/>
          <w:color w:val="000000" w:themeColor="text1"/>
          <w:kern w:val="0"/>
          <w:szCs w:val="24"/>
          <w:lang w:eastAsia="en-IN"/>
          <w14:ligatures w14:val="none"/>
        </w:rPr>
        <w:t>Theor. Appl. Genet.</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119</w:t>
      </w:r>
      <w:r w:rsidRPr="00CF7B12">
        <w:rPr>
          <w:rFonts w:ascii="Times New Roman" w:eastAsia="Times New Roman" w:hAnsi="Times New Roman" w:cs="Times New Roman"/>
          <w:color w:val="000000" w:themeColor="text1"/>
          <w:kern w:val="0"/>
          <w:szCs w:val="24"/>
          <w:lang w:eastAsia="en-IN"/>
          <w14:ligatures w14:val="none"/>
        </w:rPr>
        <w:t xml:space="preserve">: 1425–1439. </w:t>
      </w:r>
      <w:hyperlink r:id="rId16"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https://doi.org/10.1007/s00122-009-1145-8</w:t>
        </w:r>
      </w:hyperlink>
    </w:p>
    <w:p w14:paraId="0A43E97E"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Soltis P.S., Marchant D.B., Van de Peer Y., Soltis D.E. (2016). Polyploidy and genome evolution in plants. </w:t>
      </w:r>
      <w:r w:rsidRPr="00CF7B12">
        <w:rPr>
          <w:rFonts w:ascii="Times New Roman" w:eastAsia="Times New Roman" w:hAnsi="Times New Roman" w:cs="Times New Roman"/>
          <w:i/>
          <w:iCs/>
          <w:color w:val="000000" w:themeColor="text1"/>
          <w:kern w:val="0"/>
          <w:szCs w:val="24"/>
          <w:lang w:eastAsia="en-IN"/>
          <w14:ligatures w14:val="none"/>
        </w:rPr>
        <w:t xml:space="preserve">Curr. </w:t>
      </w:r>
      <w:proofErr w:type="spellStart"/>
      <w:r w:rsidRPr="00CF7B12">
        <w:rPr>
          <w:rFonts w:ascii="Times New Roman" w:eastAsia="Times New Roman" w:hAnsi="Times New Roman" w:cs="Times New Roman"/>
          <w:i/>
          <w:iCs/>
          <w:color w:val="000000" w:themeColor="text1"/>
          <w:kern w:val="0"/>
          <w:szCs w:val="24"/>
          <w:lang w:eastAsia="en-IN"/>
          <w14:ligatures w14:val="none"/>
        </w:rPr>
        <w:t>Opin</w:t>
      </w:r>
      <w:proofErr w:type="spellEnd"/>
      <w:r w:rsidRPr="00CF7B12">
        <w:rPr>
          <w:rFonts w:ascii="Times New Roman" w:eastAsia="Times New Roman" w:hAnsi="Times New Roman" w:cs="Times New Roman"/>
          <w:i/>
          <w:iCs/>
          <w:color w:val="000000" w:themeColor="text1"/>
          <w:kern w:val="0"/>
          <w:szCs w:val="24"/>
          <w:lang w:eastAsia="en-IN"/>
          <w14:ligatures w14:val="none"/>
        </w:rPr>
        <w:t>. Genet. Dev.</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37</w:t>
      </w:r>
      <w:r w:rsidRPr="00CF7B12">
        <w:rPr>
          <w:rFonts w:ascii="Times New Roman" w:eastAsia="Times New Roman" w:hAnsi="Times New Roman" w:cs="Times New Roman"/>
          <w:color w:val="000000" w:themeColor="text1"/>
          <w:kern w:val="0"/>
          <w:szCs w:val="24"/>
          <w:lang w:eastAsia="en-IN"/>
          <w14:ligatures w14:val="none"/>
        </w:rPr>
        <w:t>: 119–125.</w:t>
      </w:r>
    </w:p>
    <w:p w14:paraId="6A6135C0"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Soltis P.S., Soltis D.E. (2012). </w:t>
      </w:r>
      <w:r w:rsidRPr="00CF7B12">
        <w:rPr>
          <w:rFonts w:ascii="Times New Roman" w:eastAsia="Times New Roman" w:hAnsi="Times New Roman" w:cs="Times New Roman"/>
          <w:i/>
          <w:iCs/>
          <w:color w:val="000000" w:themeColor="text1"/>
          <w:kern w:val="0"/>
          <w:szCs w:val="24"/>
          <w:lang w:eastAsia="en-IN"/>
          <w14:ligatures w14:val="none"/>
        </w:rPr>
        <w:t>Polyploidy and Genome Evolution</w:t>
      </w:r>
      <w:r w:rsidRPr="00CF7B12">
        <w:rPr>
          <w:rFonts w:ascii="Times New Roman" w:eastAsia="Times New Roman" w:hAnsi="Times New Roman" w:cs="Times New Roman"/>
          <w:color w:val="000000" w:themeColor="text1"/>
          <w:kern w:val="0"/>
          <w:szCs w:val="24"/>
          <w:lang w:eastAsia="en-IN"/>
          <w14:ligatures w14:val="none"/>
        </w:rPr>
        <w:t>. Springer.</w:t>
      </w:r>
    </w:p>
    <w:p w14:paraId="2E5802AF"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lastRenderedPageBreak/>
        <w:t xml:space="preserve">Stebbins G.L. (1971). </w:t>
      </w:r>
      <w:r w:rsidRPr="00CF7B12">
        <w:rPr>
          <w:rFonts w:ascii="Times New Roman" w:eastAsia="Times New Roman" w:hAnsi="Times New Roman" w:cs="Times New Roman"/>
          <w:i/>
          <w:iCs/>
          <w:color w:val="000000" w:themeColor="text1"/>
          <w:kern w:val="0"/>
          <w:szCs w:val="24"/>
          <w:lang w:eastAsia="en-IN"/>
          <w14:ligatures w14:val="none"/>
        </w:rPr>
        <w:t>Chromosomal Evolution in Higher Plants</w:t>
      </w:r>
      <w:r w:rsidRPr="00CF7B12">
        <w:rPr>
          <w:rFonts w:ascii="Times New Roman" w:eastAsia="Times New Roman" w:hAnsi="Times New Roman" w:cs="Times New Roman"/>
          <w:color w:val="000000" w:themeColor="text1"/>
          <w:kern w:val="0"/>
          <w:szCs w:val="24"/>
          <w:lang w:eastAsia="en-IN"/>
          <w14:ligatures w14:val="none"/>
        </w:rPr>
        <w:t>. Edward Arnold.</w:t>
      </w:r>
    </w:p>
    <w:p w14:paraId="016BB7B0" w14:textId="77777777" w:rsidR="009775F4" w:rsidRPr="003F13EA"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val="it-IT"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Szilágyi A., Balogh Z., Dávid I., Szabó L., </w:t>
      </w:r>
      <w:proofErr w:type="spellStart"/>
      <w:r w:rsidRPr="00CF7B12">
        <w:rPr>
          <w:rFonts w:ascii="Times New Roman" w:eastAsia="Times New Roman" w:hAnsi="Times New Roman" w:cs="Times New Roman"/>
          <w:color w:val="000000" w:themeColor="text1"/>
          <w:kern w:val="0"/>
          <w:szCs w:val="24"/>
          <w:lang w:eastAsia="en-IN"/>
          <w14:ligatures w14:val="none"/>
        </w:rPr>
        <w:t>Radócz</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L. (2015). Woolly </w:t>
      </w:r>
      <w:proofErr w:type="spellStart"/>
      <w:r w:rsidRPr="00CF7B12">
        <w:rPr>
          <w:rFonts w:ascii="Times New Roman" w:eastAsia="Times New Roman" w:hAnsi="Times New Roman" w:cs="Times New Roman"/>
          <w:color w:val="000000" w:themeColor="text1"/>
          <w:kern w:val="0"/>
          <w:szCs w:val="24"/>
          <w:lang w:eastAsia="en-IN"/>
          <w14:ligatures w14:val="none"/>
        </w:rPr>
        <w:t>cupgrass</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proofErr w:type="spellStart"/>
      <w:r w:rsidRPr="00CF7B12">
        <w:rPr>
          <w:rFonts w:ascii="Times New Roman" w:eastAsia="Times New Roman" w:hAnsi="Times New Roman" w:cs="Times New Roman"/>
          <w:i/>
          <w:iCs/>
          <w:color w:val="000000" w:themeColor="text1"/>
          <w:kern w:val="0"/>
          <w:szCs w:val="24"/>
          <w:lang w:eastAsia="en-IN"/>
          <w14:ligatures w14:val="none"/>
        </w:rPr>
        <w:t>Eriochloa</w:t>
      </w:r>
      <w:proofErr w:type="spellEnd"/>
      <w:r w:rsidRPr="00CF7B12">
        <w:rPr>
          <w:rFonts w:ascii="Times New Roman" w:eastAsia="Times New Roman" w:hAnsi="Times New Roman" w:cs="Times New Roman"/>
          <w:i/>
          <w:iCs/>
          <w:color w:val="000000" w:themeColor="text1"/>
          <w:kern w:val="0"/>
          <w:szCs w:val="24"/>
          <w:lang w:eastAsia="en-IN"/>
          <w14:ligatures w14:val="none"/>
        </w:rPr>
        <w:t xml:space="preserve"> </w:t>
      </w:r>
      <w:proofErr w:type="spellStart"/>
      <w:r w:rsidRPr="00CF7B12">
        <w:rPr>
          <w:rFonts w:ascii="Times New Roman" w:eastAsia="Times New Roman" w:hAnsi="Times New Roman" w:cs="Times New Roman"/>
          <w:i/>
          <w:iCs/>
          <w:color w:val="000000" w:themeColor="text1"/>
          <w:kern w:val="0"/>
          <w:szCs w:val="24"/>
          <w:lang w:eastAsia="en-IN"/>
          <w14:ligatures w14:val="none"/>
        </w:rPr>
        <w:t>villosa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[Thunb.] </w:t>
      </w:r>
      <w:proofErr w:type="spellStart"/>
      <w:r w:rsidRPr="00CF7B12">
        <w:rPr>
          <w:rFonts w:ascii="Times New Roman" w:eastAsia="Times New Roman" w:hAnsi="Times New Roman" w:cs="Times New Roman"/>
          <w:color w:val="000000" w:themeColor="text1"/>
          <w:kern w:val="0"/>
          <w:szCs w:val="24"/>
          <w:lang w:eastAsia="en-IN"/>
          <w14:ligatures w14:val="none"/>
        </w:rPr>
        <w:t>Kunth</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 recently occurred invasive weed in Trans-Tisza Region and a trial for control in maize. </w:t>
      </w:r>
      <w:r w:rsidRPr="003F13EA">
        <w:rPr>
          <w:rFonts w:ascii="Times New Roman" w:eastAsia="Times New Roman" w:hAnsi="Times New Roman" w:cs="Times New Roman"/>
          <w:i/>
          <w:iCs/>
          <w:color w:val="000000" w:themeColor="text1"/>
          <w:kern w:val="0"/>
          <w:szCs w:val="24"/>
          <w:lang w:val="it-IT" w:eastAsia="en-IN"/>
          <w14:ligatures w14:val="none"/>
        </w:rPr>
        <w:t>Acta Agrar. Debr.</w:t>
      </w:r>
      <w:r w:rsidRPr="003F13EA">
        <w:rPr>
          <w:rFonts w:ascii="Times New Roman" w:eastAsia="Times New Roman" w:hAnsi="Times New Roman" w:cs="Times New Roman"/>
          <w:color w:val="000000" w:themeColor="text1"/>
          <w:kern w:val="0"/>
          <w:szCs w:val="24"/>
          <w:lang w:val="it-IT" w:eastAsia="en-IN"/>
          <w14:ligatures w14:val="none"/>
        </w:rPr>
        <w:t xml:space="preserve"> </w:t>
      </w:r>
      <w:r w:rsidRPr="003F13EA">
        <w:rPr>
          <w:rFonts w:ascii="Times New Roman" w:eastAsia="Times New Roman" w:hAnsi="Times New Roman" w:cs="Times New Roman"/>
          <w:b/>
          <w:bCs/>
          <w:color w:val="000000" w:themeColor="text1"/>
          <w:kern w:val="0"/>
          <w:szCs w:val="24"/>
          <w:lang w:val="it-IT" w:eastAsia="en-IN"/>
          <w14:ligatures w14:val="none"/>
        </w:rPr>
        <w:t>66</w:t>
      </w:r>
      <w:r w:rsidRPr="003F13EA">
        <w:rPr>
          <w:rFonts w:ascii="Times New Roman" w:eastAsia="Times New Roman" w:hAnsi="Times New Roman" w:cs="Times New Roman"/>
          <w:color w:val="000000" w:themeColor="text1"/>
          <w:kern w:val="0"/>
          <w:szCs w:val="24"/>
          <w:lang w:val="it-IT" w:eastAsia="en-IN"/>
          <w14:ligatures w14:val="none"/>
        </w:rPr>
        <w:t xml:space="preserve">: 53–57. </w:t>
      </w:r>
      <w:hyperlink r:id="rId17" w:tgtFrame="_new" w:history="1">
        <w:r w:rsidRPr="003F13EA">
          <w:rPr>
            <w:rFonts w:ascii="Times New Roman" w:eastAsia="Times New Roman" w:hAnsi="Times New Roman" w:cs="Times New Roman"/>
            <w:color w:val="000000" w:themeColor="text1"/>
            <w:kern w:val="0"/>
            <w:szCs w:val="24"/>
            <w:u w:val="single"/>
            <w:lang w:val="it-IT" w:eastAsia="en-IN"/>
            <w14:ligatures w14:val="none"/>
          </w:rPr>
          <w:t>https://doi.org/10.34101/actaagrar/66/1892</w:t>
        </w:r>
      </w:hyperlink>
    </w:p>
    <w:p w14:paraId="1C7292B0"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3F13EA">
        <w:rPr>
          <w:rFonts w:ascii="Times New Roman" w:eastAsia="Times New Roman" w:hAnsi="Times New Roman" w:cs="Times New Roman"/>
          <w:color w:val="000000" w:themeColor="text1"/>
          <w:kern w:val="0"/>
          <w:szCs w:val="24"/>
          <w:lang w:val="it-IT" w:eastAsia="en-IN"/>
          <w14:ligatures w14:val="none"/>
        </w:rPr>
        <w:t xml:space="preserve">Valle C.B., Pagliarini M.S. (2009). </w:t>
      </w:r>
      <w:r w:rsidRPr="00CF7B12">
        <w:rPr>
          <w:rFonts w:ascii="Times New Roman" w:eastAsia="Times New Roman" w:hAnsi="Times New Roman" w:cs="Times New Roman"/>
          <w:color w:val="000000" w:themeColor="text1"/>
          <w:kern w:val="0"/>
          <w:szCs w:val="24"/>
          <w:lang w:eastAsia="en-IN"/>
          <w14:ligatures w14:val="none"/>
        </w:rPr>
        <w:t xml:space="preserve">Cytogenetics and reproduction of tropical forages. In: </w:t>
      </w:r>
      <w:proofErr w:type="spellStart"/>
      <w:r w:rsidRPr="00CF7B12">
        <w:rPr>
          <w:rFonts w:ascii="Times New Roman" w:eastAsia="Times New Roman" w:hAnsi="Times New Roman" w:cs="Times New Roman"/>
          <w:color w:val="000000" w:themeColor="text1"/>
          <w:kern w:val="0"/>
          <w:szCs w:val="24"/>
          <w:lang w:eastAsia="en-IN"/>
          <w14:ligatures w14:val="none"/>
        </w:rPr>
        <w:t>Abberton</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M., Conner P., Teuber L.R. (eds.), </w:t>
      </w:r>
      <w:r w:rsidRPr="00CF7B12">
        <w:rPr>
          <w:rFonts w:ascii="Times New Roman" w:eastAsia="Times New Roman" w:hAnsi="Times New Roman" w:cs="Times New Roman"/>
          <w:i/>
          <w:iCs/>
          <w:color w:val="000000" w:themeColor="text1"/>
          <w:kern w:val="0"/>
          <w:szCs w:val="24"/>
          <w:lang w:eastAsia="en-IN"/>
          <w14:ligatures w14:val="none"/>
        </w:rPr>
        <w:t>Plant Breeding Reviews</w:t>
      </w:r>
      <w:r w:rsidRPr="00CF7B12">
        <w:rPr>
          <w:rFonts w:ascii="Times New Roman" w:eastAsia="Times New Roman" w:hAnsi="Times New Roman" w:cs="Times New Roman"/>
          <w:color w:val="000000" w:themeColor="text1"/>
          <w:kern w:val="0"/>
          <w:szCs w:val="24"/>
          <w:lang w:eastAsia="en-IN"/>
          <w14:ligatures w14:val="none"/>
        </w:rPr>
        <w:t>, Vol. 32. John Wiley &amp; Sons, Inc., pp. 231–252.</w:t>
      </w:r>
    </w:p>
    <w:p w14:paraId="0D350905" w14:textId="79EC0011" w:rsidR="004A33F9" w:rsidRPr="00CF7B12" w:rsidRDefault="004A33F9"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
    <w:p w14:paraId="4CE8E51B" w14:textId="77777777" w:rsidR="00FB4B0B" w:rsidRPr="00CF7B12" w:rsidRDefault="00FB4B0B"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
    <w:p w14:paraId="73F91E79" w14:textId="77777777" w:rsidR="00A73C96" w:rsidRPr="00CF7B12" w:rsidRDefault="00A73C96">
      <w:pPr>
        <w:rPr>
          <w:color w:val="000000" w:themeColor="text1"/>
        </w:rPr>
      </w:pPr>
    </w:p>
    <w:sectPr w:rsidR="00A73C96" w:rsidRPr="00CF7B1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3901E" w14:textId="77777777" w:rsidR="00B11E8F" w:rsidRDefault="00B11E8F" w:rsidP="00183014">
      <w:pPr>
        <w:spacing w:after="0" w:line="240" w:lineRule="auto"/>
      </w:pPr>
      <w:r>
        <w:separator/>
      </w:r>
    </w:p>
  </w:endnote>
  <w:endnote w:type="continuationSeparator" w:id="0">
    <w:p w14:paraId="2129A7AE" w14:textId="77777777" w:rsidR="00B11E8F" w:rsidRDefault="00B11E8F" w:rsidP="00183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5B68" w14:textId="77777777" w:rsidR="00183014" w:rsidRDefault="00183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6E19A" w14:textId="77777777" w:rsidR="00183014" w:rsidRDefault="001830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CF2C" w14:textId="77777777" w:rsidR="00183014" w:rsidRDefault="00183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FC35D" w14:textId="77777777" w:rsidR="00B11E8F" w:rsidRDefault="00B11E8F" w:rsidP="00183014">
      <w:pPr>
        <w:spacing w:after="0" w:line="240" w:lineRule="auto"/>
      </w:pPr>
      <w:r>
        <w:separator/>
      </w:r>
    </w:p>
  </w:footnote>
  <w:footnote w:type="continuationSeparator" w:id="0">
    <w:p w14:paraId="5EE83B85" w14:textId="77777777" w:rsidR="00B11E8F" w:rsidRDefault="00B11E8F" w:rsidP="00183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1E489" w14:textId="3472D20C" w:rsidR="00183014" w:rsidRDefault="00F21391">
    <w:pPr>
      <w:pStyle w:val="Header"/>
    </w:pPr>
    <w:r>
      <w:rPr>
        <w:noProof/>
      </w:rPr>
      <w:pict w14:anchorId="0E282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3307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A3F8" w14:textId="6238C559" w:rsidR="00183014" w:rsidRDefault="00F21391">
    <w:pPr>
      <w:pStyle w:val="Header"/>
    </w:pPr>
    <w:r>
      <w:rPr>
        <w:noProof/>
      </w:rPr>
      <w:pict w14:anchorId="5FBFF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3307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6BC1D" w14:textId="3E1C0C12" w:rsidR="00183014" w:rsidRDefault="00F21391">
    <w:pPr>
      <w:pStyle w:val="Header"/>
    </w:pPr>
    <w:r>
      <w:rPr>
        <w:noProof/>
      </w:rPr>
      <w:pict w14:anchorId="3EE04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3307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856C3"/>
    <w:multiLevelType w:val="multilevel"/>
    <w:tmpl w:val="94BC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6D01CD"/>
    <w:multiLevelType w:val="hybridMultilevel"/>
    <w:tmpl w:val="8DDCB996"/>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A4658C2"/>
    <w:multiLevelType w:val="hybridMultilevel"/>
    <w:tmpl w:val="95BE44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38404316">
    <w:abstractNumId w:val="2"/>
  </w:num>
  <w:num w:numId="2" w16cid:durableId="195390395">
    <w:abstractNumId w:val="1"/>
  </w:num>
  <w:num w:numId="3" w16cid:durableId="1380468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3NrG0MDQwMDQ3N7JU0lEKTi0uzszPAykwrAUAIT3xqywAAAA="/>
  </w:docVars>
  <w:rsids>
    <w:rsidRoot w:val="00E5185D"/>
    <w:rsid w:val="000227D9"/>
    <w:rsid w:val="000378A0"/>
    <w:rsid w:val="00040C02"/>
    <w:rsid w:val="00045DAD"/>
    <w:rsid w:val="000651AB"/>
    <w:rsid w:val="00085D7D"/>
    <w:rsid w:val="00086B7F"/>
    <w:rsid w:val="00092019"/>
    <w:rsid w:val="000B02DF"/>
    <w:rsid w:val="000E3518"/>
    <w:rsid w:val="000F3F2C"/>
    <w:rsid w:val="000F4DB2"/>
    <w:rsid w:val="00112278"/>
    <w:rsid w:val="00113E1D"/>
    <w:rsid w:val="001241E8"/>
    <w:rsid w:val="0012647D"/>
    <w:rsid w:val="0012770E"/>
    <w:rsid w:val="001427E5"/>
    <w:rsid w:val="001547CE"/>
    <w:rsid w:val="00183014"/>
    <w:rsid w:val="00184EB1"/>
    <w:rsid w:val="001C5D3A"/>
    <w:rsid w:val="001F25E5"/>
    <w:rsid w:val="001F410B"/>
    <w:rsid w:val="002019DB"/>
    <w:rsid w:val="002120B9"/>
    <w:rsid w:val="00257FB4"/>
    <w:rsid w:val="00261A4B"/>
    <w:rsid w:val="00290227"/>
    <w:rsid w:val="0029299A"/>
    <w:rsid w:val="002C5748"/>
    <w:rsid w:val="002C5D3B"/>
    <w:rsid w:val="002D0360"/>
    <w:rsid w:val="002F598F"/>
    <w:rsid w:val="002F7438"/>
    <w:rsid w:val="003222DB"/>
    <w:rsid w:val="0033713C"/>
    <w:rsid w:val="00340873"/>
    <w:rsid w:val="0034799B"/>
    <w:rsid w:val="00353138"/>
    <w:rsid w:val="0036704B"/>
    <w:rsid w:val="0037496B"/>
    <w:rsid w:val="003808E1"/>
    <w:rsid w:val="00386E01"/>
    <w:rsid w:val="003B6A8A"/>
    <w:rsid w:val="003C3B9B"/>
    <w:rsid w:val="003D1856"/>
    <w:rsid w:val="003D48FE"/>
    <w:rsid w:val="003F13EA"/>
    <w:rsid w:val="00401BF0"/>
    <w:rsid w:val="0040366A"/>
    <w:rsid w:val="0044216E"/>
    <w:rsid w:val="004451B5"/>
    <w:rsid w:val="004622E0"/>
    <w:rsid w:val="00463F45"/>
    <w:rsid w:val="004804D8"/>
    <w:rsid w:val="00484C70"/>
    <w:rsid w:val="004852CC"/>
    <w:rsid w:val="00487377"/>
    <w:rsid w:val="004A242A"/>
    <w:rsid w:val="004A33F9"/>
    <w:rsid w:val="004A6BA5"/>
    <w:rsid w:val="004C247B"/>
    <w:rsid w:val="004C3E8A"/>
    <w:rsid w:val="004E1038"/>
    <w:rsid w:val="004E4CF8"/>
    <w:rsid w:val="00501DF2"/>
    <w:rsid w:val="005131AB"/>
    <w:rsid w:val="00516560"/>
    <w:rsid w:val="00520735"/>
    <w:rsid w:val="00533FC0"/>
    <w:rsid w:val="00551360"/>
    <w:rsid w:val="00551653"/>
    <w:rsid w:val="00551E26"/>
    <w:rsid w:val="0056508C"/>
    <w:rsid w:val="0057296A"/>
    <w:rsid w:val="00580CEF"/>
    <w:rsid w:val="005B196E"/>
    <w:rsid w:val="005C5111"/>
    <w:rsid w:val="005F700F"/>
    <w:rsid w:val="006017D9"/>
    <w:rsid w:val="006170CE"/>
    <w:rsid w:val="006329A8"/>
    <w:rsid w:val="00657B63"/>
    <w:rsid w:val="00663533"/>
    <w:rsid w:val="00671D66"/>
    <w:rsid w:val="00676118"/>
    <w:rsid w:val="006775FC"/>
    <w:rsid w:val="006B6D5A"/>
    <w:rsid w:val="006F6714"/>
    <w:rsid w:val="00704146"/>
    <w:rsid w:val="00712DED"/>
    <w:rsid w:val="007261D3"/>
    <w:rsid w:val="007335D3"/>
    <w:rsid w:val="0075381E"/>
    <w:rsid w:val="00787795"/>
    <w:rsid w:val="007B34D0"/>
    <w:rsid w:val="007B6522"/>
    <w:rsid w:val="007D2AB4"/>
    <w:rsid w:val="007D351E"/>
    <w:rsid w:val="007D3974"/>
    <w:rsid w:val="007D4FB0"/>
    <w:rsid w:val="007F7770"/>
    <w:rsid w:val="00815B5C"/>
    <w:rsid w:val="00832D34"/>
    <w:rsid w:val="008545CD"/>
    <w:rsid w:val="0086104B"/>
    <w:rsid w:val="00873AA2"/>
    <w:rsid w:val="00876265"/>
    <w:rsid w:val="00883DE7"/>
    <w:rsid w:val="008840F0"/>
    <w:rsid w:val="0088683A"/>
    <w:rsid w:val="008870BE"/>
    <w:rsid w:val="008917F1"/>
    <w:rsid w:val="008B5A26"/>
    <w:rsid w:val="008D7E4B"/>
    <w:rsid w:val="008E7150"/>
    <w:rsid w:val="008E7520"/>
    <w:rsid w:val="008F0E2E"/>
    <w:rsid w:val="008F6E11"/>
    <w:rsid w:val="00930F08"/>
    <w:rsid w:val="00944AC6"/>
    <w:rsid w:val="009775F4"/>
    <w:rsid w:val="009A73BC"/>
    <w:rsid w:val="009C5246"/>
    <w:rsid w:val="009E060F"/>
    <w:rsid w:val="009F0F6A"/>
    <w:rsid w:val="00A04AE7"/>
    <w:rsid w:val="00A273F2"/>
    <w:rsid w:val="00A316E0"/>
    <w:rsid w:val="00A32C89"/>
    <w:rsid w:val="00A47012"/>
    <w:rsid w:val="00A65EBA"/>
    <w:rsid w:val="00A7224C"/>
    <w:rsid w:val="00A73C96"/>
    <w:rsid w:val="00A770F0"/>
    <w:rsid w:val="00A81A97"/>
    <w:rsid w:val="00A82EC4"/>
    <w:rsid w:val="00A87A64"/>
    <w:rsid w:val="00A94566"/>
    <w:rsid w:val="00AB6D34"/>
    <w:rsid w:val="00AE4843"/>
    <w:rsid w:val="00AF1958"/>
    <w:rsid w:val="00AF349A"/>
    <w:rsid w:val="00AF6779"/>
    <w:rsid w:val="00B005B6"/>
    <w:rsid w:val="00B0393E"/>
    <w:rsid w:val="00B03EF1"/>
    <w:rsid w:val="00B11E8F"/>
    <w:rsid w:val="00B1347D"/>
    <w:rsid w:val="00B2057A"/>
    <w:rsid w:val="00B263C1"/>
    <w:rsid w:val="00B30F4D"/>
    <w:rsid w:val="00B714D6"/>
    <w:rsid w:val="00B74869"/>
    <w:rsid w:val="00B92C65"/>
    <w:rsid w:val="00B93812"/>
    <w:rsid w:val="00BA58C4"/>
    <w:rsid w:val="00BF1480"/>
    <w:rsid w:val="00BF3173"/>
    <w:rsid w:val="00BF368B"/>
    <w:rsid w:val="00C104A6"/>
    <w:rsid w:val="00C20CE4"/>
    <w:rsid w:val="00C427C0"/>
    <w:rsid w:val="00C70364"/>
    <w:rsid w:val="00C74E30"/>
    <w:rsid w:val="00CA2604"/>
    <w:rsid w:val="00CB5D51"/>
    <w:rsid w:val="00CD78B6"/>
    <w:rsid w:val="00CF41C3"/>
    <w:rsid w:val="00CF7B12"/>
    <w:rsid w:val="00D0390C"/>
    <w:rsid w:val="00D0449D"/>
    <w:rsid w:val="00D121A5"/>
    <w:rsid w:val="00D56806"/>
    <w:rsid w:val="00DD3EF2"/>
    <w:rsid w:val="00DF1B5D"/>
    <w:rsid w:val="00E13F71"/>
    <w:rsid w:val="00E14675"/>
    <w:rsid w:val="00E22744"/>
    <w:rsid w:val="00E3194D"/>
    <w:rsid w:val="00E45E14"/>
    <w:rsid w:val="00E5185D"/>
    <w:rsid w:val="00E70900"/>
    <w:rsid w:val="00E74C8D"/>
    <w:rsid w:val="00E821E4"/>
    <w:rsid w:val="00E93C89"/>
    <w:rsid w:val="00EC69E3"/>
    <w:rsid w:val="00EC71F0"/>
    <w:rsid w:val="00ED414F"/>
    <w:rsid w:val="00ED5AF9"/>
    <w:rsid w:val="00EF7445"/>
    <w:rsid w:val="00F14353"/>
    <w:rsid w:val="00F21391"/>
    <w:rsid w:val="00F26E53"/>
    <w:rsid w:val="00F7370B"/>
    <w:rsid w:val="00F766CB"/>
    <w:rsid w:val="00F76D13"/>
    <w:rsid w:val="00F80C0F"/>
    <w:rsid w:val="00FB4B0B"/>
    <w:rsid w:val="00FD70A7"/>
    <w:rsid w:val="00FD70DB"/>
    <w:rsid w:val="00FE0ECC"/>
    <w:rsid w:val="00FE371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2BAA50"/>
  <w15:chartTrackingRefBased/>
  <w15:docId w15:val="{F20909AB-0077-49B1-AC4C-950E63391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202122"/>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9E3"/>
    <w:pPr>
      <w:spacing w:line="278" w:lineRule="auto"/>
    </w:pPr>
    <w:rPr>
      <w:rFonts w:asciiTheme="minorHAnsi" w:hAnsiTheme="minorHAnsi" w:cs="Mangal"/>
      <w:color w:val="auto"/>
      <w:szCs w:val="21"/>
      <w:lang w:bidi="hi-IN"/>
    </w:rPr>
  </w:style>
  <w:style w:type="paragraph" w:styleId="Heading1">
    <w:name w:val="heading 1"/>
    <w:basedOn w:val="Normal"/>
    <w:next w:val="Normal"/>
    <w:link w:val="Heading1Char"/>
    <w:uiPriority w:val="9"/>
    <w:qFormat/>
    <w:rsid w:val="00E5185D"/>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bidi="ar-SA"/>
    </w:rPr>
  </w:style>
  <w:style w:type="paragraph" w:styleId="Heading2">
    <w:name w:val="heading 2"/>
    <w:basedOn w:val="Normal"/>
    <w:next w:val="Normal"/>
    <w:link w:val="Heading2Char"/>
    <w:uiPriority w:val="9"/>
    <w:semiHidden/>
    <w:unhideWhenUsed/>
    <w:qFormat/>
    <w:rsid w:val="00E5185D"/>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bidi="ar-SA"/>
    </w:rPr>
  </w:style>
  <w:style w:type="paragraph" w:styleId="Heading3">
    <w:name w:val="heading 3"/>
    <w:basedOn w:val="Normal"/>
    <w:next w:val="Normal"/>
    <w:link w:val="Heading3Char"/>
    <w:uiPriority w:val="9"/>
    <w:semiHidden/>
    <w:unhideWhenUsed/>
    <w:qFormat/>
    <w:rsid w:val="00E5185D"/>
    <w:pPr>
      <w:keepNext/>
      <w:keepLines/>
      <w:spacing w:before="160" w:after="80" w:line="259" w:lineRule="auto"/>
      <w:outlineLvl w:val="2"/>
    </w:pPr>
    <w:rPr>
      <w:rFonts w:eastAsiaTheme="majorEastAsia" w:cstheme="majorBidi"/>
      <w:color w:val="2F5496" w:themeColor="accent1" w:themeShade="BF"/>
      <w:sz w:val="28"/>
      <w:szCs w:val="28"/>
      <w:lang w:bidi="ar-SA"/>
    </w:rPr>
  </w:style>
  <w:style w:type="paragraph" w:styleId="Heading4">
    <w:name w:val="heading 4"/>
    <w:basedOn w:val="Normal"/>
    <w:next w:val="Normal"/>
    <w:link w:val="Heading4Char"/>
    <w:uiPriority w:val="9"/>
    <w:semiHidden/>
    <w:unhideWhenUsed/>
    <w:qFormat/>
    <w:rsid w:val="00E5185D"/>
    <w:pPr>
      <w:keepNext/>
      <w:keepLines/>
      <w:spacing w:before="80" w:after="40" w:line="259" w:lineRule="auto"/>
      <w:outlineLvl w:val="3"/>
    </w:pPr>
    <w:rPr>
      <w:rFonts w:eastAsiaTheme="majorEastAsia" w:cstheme="majorBidi"/>
      <w:i/>
      <w:iCs/>
      <w:color w:val="2F5496" w:themeColor="accent1" w:themeShade="BF"/>
      <w:szCs w:val="24"/>
      <w:lang w:bidi="ar-SA"/>
    </w:rPr>
  </w:style>
  <w:style w:type="paragraph" w:styleId="Heading5">
    <w:name w:val="heading 5"/>
    <w:basedOn w:val="Normal"/>
    <w:next w:val="Normal"/>
    <w:link w:val="Heading5Char"/>
    <w:uiPriority w:val="9"/>
    <w:semiHidden/>
    <w:unhideWhenUsed/>
    <w:qFormat/>
    <w:rsid w:val="00E5185D"/>
    <w:pPr>
      <w:keepNext/>
      <w:keepLines/>
      <w:spacing w:before="80" w:after="40" w:line="259" w:lineRule="auto"/>
      <w:outlineLvl w:val="4"/>
    </w:pPr>
    <w:rPr>
      <w:rFonts w:eastAsiaTheme="majorEastAsia" w:cstheme="majorBidi"/>
      <w:color w:val="2F5496" w:themeColor="accent1" w:themeShade="BF"/>
      <w:szCs w:val="24"/>
      <w:lang w:bidi="ar-SA"/>
    </w:rPr>
  </w:style>
  <w:style w:type="paragraph" w:styleId="Heading6">
    <w:name w:val="heading 6"/>
    <w:basedOn w:val="Normal"/>
    <w:next w:val="Normal"/>
    <w:link w:val="Heading6Char"/>
    <w:uiPriority w:val="9"/>
    <w:semiHidden/>
    <w:unhideWhenUsed/>
    <w:qFormat/>
    <w:rsid w:val="00E5185D"/>
    <w:pPr>
      <w:keepNext/>
      <w:keepLines/>
      <w:spacing w:before="40" w:after="0" w:line="259" w:lineRule="auto"/>
      <w:outlineLvl w:val="5"/>
    </w:pPr>
    <w:rPr>
      <w:rFonts w:eastAsiaTheme="majorEastAsia" w:cstheme="majorBidi"/>
      <w:i/>
      <w:iCs/>
      <w:color w:val="595959" w:themeColor="text1" w:themeTint="A6"/>
      <w:szCs w:val="24"/>
      <w:lang w:bidi="ar-SA"/>
    </w:rPr>
  </w:style>
  <w:style w:type="paragraph" w:styleId="Heading7">
    <w:name w:val="heading 7"/>
    <w:basedOn w:val="Normal"/>
    <w:next w:val="Normal"/>
    <w:link w:val="Heading7Char"/>
    <w:uiPriority w:val="9"/>
    <w:semiHidden/>
    <w:unhideWhenUsed/>
    <w:qFormat/>
    <w:rsid w:val="00E5185D"/>
    <w:pPr>
      <w:keepNext/>
      <w:keepLines/>
      <w:spacing w:before="40" w:after="0" w:line="259" w:lineRule="auto"/>
      <w:outlineLvl w:val="6"/>
    </w:pPr>
    <w:rPr>
      <w:rFonts w:eastAsiaTheme="majorEastAsia" w:cstheme="majorBidi"/>
      <w:color w:val="595959" w:themeColor="text1" w:themeTint="A6"/>
      <w:szCs w:val="24"/>
      <w:lang w:bidi="ar-SA"/>
    </w:rPr>
  </w:style>
  <w:style w:type="paragraph" w:styleId="Heading8">
    <w:name w:val="heading 8"/>
    <w:basedOn w:val="Normal"/>
    <w:next w:val="Normal"/>
    <w:link w:val="Heading8Char"/>
    <w:uiPriority w:val="9"/>
    <w:semiHidden/>
    <w:unhideWhenUsed/>
    <w:qFormat/>
    <w:rsid w:val="00E5185D"/>
    <w:pPr>
      <w:keepNext/>
      <w:keepLines/>
      <w:spacing w:after="0" w:line="259" w:lineRule="auto"/>
      <w:outlineLvl w:val="7"/>
    </w:pPr>
    <w:rPr>
      <w:rFonts w:eastAsiaTheme="majorEastAsia" w:cstheme="majorBidi"/>
      <w:i/>
      <w:iCs/>
      <w:color w:val="272727" w:themeColor="text1" w:themeTint="D8"/>
      <w:szCs w:val="24"/>
      <w:lang w:bidi="ar-SA"/>
    </w:rPr>
  </w:style>
  <w:style w:type="paragraph" w:styleId="Heading9">
    <w:name w:val="heading 9"/>
    <w:basedOn w:val="Normal"/>
    <w:next w:val="Normal"/>
    <w:link w:val="Heading9Char"/>
    <w:uiPriority w:val="9"/>
    <w:semiHidden/>
    <w:unhideWhenUsed/>
    <w:qFormat/>
    <w:rsid w:val="00E5185D"/>
    <w:pPr>
      <w:keepNext/>
      <w:keepLines/>
      <w:spacing w:after="0" w:line="259" w:lineRule="auto"/>
      <w:outlineLvl w:val="8"/>
    </w:pPr>
    <w:rPr>
      <w:rFonts w:eastAsiaTheme="majorEastAsia" w:cstheme="majorBidi"/>
      <w:color w:val="272727" w:themeColor="text1" w:themeTint="D8"/>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8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18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5185D"/>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185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5185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5185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5185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5185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5185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5185D"/>
    <w:pPr>
      <w:spacing w:after="80" w:line="240" w:lineRule="auto"/>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E5185D"/>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E5185D"/>
    <w:pPr>
      <w:numPr>
        <w:ilvl w:val="1"/>
      </w:numPr>
      <w:spacing w:line="259" w:lineRule="auto"/>
    </w:pPr>
    <w:rPr>
      <w:rFonts w:eastAsiaTheme="majorEastAsia"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E5185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5185D"/>
    <w:pPr>
      <w:spacing w:before="160" w:line="259" w:lineRule="auto"/>
      <w:jc w:val="center"/>
    </w:pPr>
    <w:rPr>
      <w:rFonts w:ascii="Times New Roman" w:hAnsi="Times New Roman" w:cs="Times New Roman"/>
      <w:i/>
      <w:iCs/>
      <w:color w:val="404040" w:themeColor="text1" w:themeTint="BF"/>
      <w:szCs w:val="24"/>
      <w:lang w:bidi="ar-SA"/>
    </w:rPr>
  </w:style>
  <w:style w:type="character" w:customStyle="1" w:styleId="QuoteChar">
    <w:name w:val="Quote Char"/>
    <w:basedOn w:val="DefaultParagraphFont"/>
    <w:link w:val="Quote"/>
    <w:uiPriority w:val="29"/>
    <w:rsid w:val="00E5185D"/>
    <w:rPr>
      <w:i/>
      <w:iCs/>
      <w:color w:val="404040" w:themeColor="text1" w:themeTint="BF"/>
    </w:rPr>
  </w:style>
  <w:style w:type="paragraph" w:styleId="ListParagraph">
    <w:name w:val="List Paragraph"/>
    <w:basedOn w:val="Normal"/>
    <w:uiPriority w:val="34"/>
    <w:qFormat/>
    <w:rsid w:val="00E5185D"/>
    <w:pPr>
      <w:spacing w:line="259" w:lineRule="auto"/>
      <w:ind w:left="720"/>
      <w:contextualSpacing/>
    </w:pPr>
    <w:rPr>
      <w:rFonts w:ascii="Times New Roman" w:hAnsi="Times New Roman" w:cs="Times New Roman"/>
      <w:color w:val="202122"/>
      <w:szCs w:val="24"/>
      <w:lang w:bidi="ar-SA"/>
    </w:rPr>
  </w:style>
  <w:style w:type="character" w:styleId="IntenseEmphasis">
    <w:name w:val="Intense Emphasis"/>
    <w:basedOn w:val="DefaultParagraphFont"/>
    <w:uiPriority w:val="21"/>
    <w:qFormat/>
    <w:rsid w:val="00E5185D"/>
    <w:rPr>
      <w:i/>
      <w:iCs/>
      <w:color w:val="2F5496" w:themeColor="accent1" w:themeShade="BF"/>
    </w:rPr>
  </w:style>
  <w:style w:type="paragraph" w:styleId="IntenseQuote">
    <w:name w:val="Intense Quote"/>
    <w:basedOn w:val="Normal"/>
    <w:next w:val="Normal"/>
    <w:link w:val="IntenseQuoteChar"/>
    <w:uiPriority w:val="30"/>
    <w:qFormat/>
    <w:rsid w:val="00E5185D"/>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hAnsi="Times New Roman" w:cs="Times New Roman"/>
      <w:i/>
      <w:iCs/>
      <w:color w:val="2F5496" w:themeColor="accent1" w:themeShade="BF"/>
      <w:szCs w:val="24"/>
      <w:lang w:bidi="ar-SA"/>
    </w:rPr>
  </w:style>
  <w:style w:type="character" w:customStyle="1" w:styleId="IntenseQuoteChar">
    <w:name w:val="Intense Quote Char"/>
    <w:basedOn w:val="DefaultParagraphFont"/>
    <w:link w:val="IntenseQuote"/>
    <w:uiPriority w:val="30"/>
    <w:rsid w:val="00E5185D"/>
    <w:rPr>
      <w:i/>
      <w:iCs/>
      <w:color w:val="2F5496" w:themeColor="accent1" w:themeShade="BF"/>
    </w:rPr>
  </w:style>
  <w:style w:type="character" w:styleId="IntenseReference">
    <w:name w:val="Intense Reference"/>
    <w:basedOn w:val="DefaultParagraphFont"/>
    <w:uiPriority w:val="32"/>
    <w:qFormat/>
    <w:rsid w:val="00E5185D"/>
    <w:rPr>
      <w:b/>
      <w:bCs/>
      <w:smallCaps/>
      <w:color w:val="2F5496" w:themeColor="accent1" w:themeShade="BF"/>
      <w:spacing w:val="5"/>
    </w:rPr>
  </w:style>
  <w:style w:type="table" w:styleId="TableGrid">
    <w:name w:val="Table Grid"/>
    <w:basedOn w:val="TableNormal"/>
    <w:uiPriority w:val="39"/>
    <w:rsid w:val="00E5185D"/>
    <w:pPr>
      <w:spacing w:after="0" w:line="240" w:lineRule="auto"/>
    </w:pPr>
    <w:rPr>
      <w:rFonts w:asciiTheme="minorHAnsi" w:hAnsiTheme="minorHAnsi" w:cstheme="minorBidi"/>
      <w:color w:val="auto"/>
      <w:szCs w:val="21"/>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185D"/>
    <w:rPr>
      <w:sz w:val="16"/>
      <w:szCs w:val="16"/>
    </w:rPr>
  </w:style>
  <w:style w:type="paragraph" w:styleId="CommentText">
    <w:name w:val="annotation text"/>
    <w:basedOn w:val="Normal"/>
    <w:link w:val="CommentTextChar"/>
    <w:uiPriority w:val="99"/>
    <w:semiHidden/>
    <w:unhideWhenUsed/>
    <w:rsid w:val="00E5185D"/>
    <w:pPr>
      <w:spacing w:line="240" w:lineRule="auto"/>
    </w:pPr>
    <w:rPr>
      <w:sz w:val="20"/>
      <w:szCs w:val="18"/>
      <w14:ligatures w14:val="none"/>
    </w:rPr>
  </w:style>
  <w:style w:type="character" w:customStyle="1" w:styleId="CommentTextChar">
    <w:name w:val="Comment Text Char"/>
    <w:basedOn w:val="DefaultParagraphFont"/>
    <w:link w:val="CommentText"/>
    <w:uiPriority w:val="99"/>
    <w:semiHidden/>
    <w:rsid w:val="00E5185D"/>
    <w:rPr>
      <w:rFonts w:asciiTheme="minorHAnsi" w:hAnsiTheme="minorHAnsi" w:cs="Mangal"/>
      <w:color w:val="auto"/>
      <w:sz w:val="20"/>
      <w:szCs w:val="18"/>
      <w:lang w:bidi="hi-IN"/>
      <w14:ligatures w14:val="none"/>
    </w:rPr>
  </w:style>
  <w:style w:type="character" w:styleId="Emphasis">
    <w:name w:val="Emphasis"/>
    <w:basedOn w:val="DefaultParagraphFont"/>
    <w:uiPriority w:val="20"/>
    <w:qFormat/>
    <w:rsid w:val="00A73C96"/>
    <w:rPr>
      <w:i/>
      <w:iCs/>
    </w:rPr>
  </w:style>
  <w:style w:type="paragraph" w:styleId="NormalWeb">
    <w:name w:val="Normal (Web)"/>
    <w:basedOn w:val="Normal"/>
    <w:uiPriority w:val="99"/>
    <w:semiHidden/>
    <w:unhideWhenUsed/>
    <w:rsid w:val="00CB5D51"/>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character" w:styleId="Hyperlink">
    <w:name w:val="Hyperlink"/>
    <w:basedOn w:val="DefaultParagraphFont"/>
    <w:uiPriority w:val="99"/>
    <w:unhideWhenUsed/>
    <w:rsid w:val="00E93C89"/>
    <w:rPr>
      <w:color w:val="0563C1" w:themeColor="hyperlink"/>
      <w:u w:val="single"/>
    </w:rPr>
  </w:style>
  <w:style w:type="character" w:customStyle="1" w:styleId="contributors">
    <w:name w:val="contributors"/>
    <w:basedOn w:val="DefaultParagraphFont"/>
    <w:rsid w:val="00E93C89"/>
  </w:style>
  <w:style w:type="character" w:customStyle="1" w:styleId="publisher-location">
    <w:name w:val="publisher-location"/>
    <w:basedOn w:val="DefaultParagraphFont"/>
    <w:rsid w:val="00E93C89"/>
  </w:style>
  <w:style w:type="character" w:customStyle="1" w:styleId="print-publication-date">
    <w:name w:val="print-publication-date"/>
    <w:basedOn w:val="DefaultParagraphFont"/>
    <w:rsid w:val="00E93C89"/>
  </w:style>
  <w:style w:type="character" w:customStyle="1" w:styleId="online-edition">
    <w:name w:val="online-edition"/>
    <w:basedOn w:val="DefaultParagraphFont"/>
    <w:rsid w:val="00E93C89"/>
  </w:style>
  <w:style w:type="character" w:customStyle="1" w:styleId="containing-site">
    <w:name w:val="containing-site"/>
    <w:basedOn w:val="DefaultParagraphFont"/>
    <w:rsid w:val="00E93C89"/>
  </w:style>
  <w:style w:type="character" w:customStyle="1" w:styleId="online-publication-date">
    <w:name w:val="online-publication-date"/>
    <w:basedOn w:val="DefaultParagraphFont"/>
    <w:rsid w:val="00E93C89"/>
  </w:style>
  <w:style w:type="character" w:customStyle="1" w:styleId="accessed-date">
    <w:name w:val="accessed-date"/>
    <w:basedOn w:val="DefaultParagraphFont"/>
    <w:rsid w:val="00E93C89"/>
  </w:style>
  <w:style w:type="paragraph" w:styleId="BodyText">
    <w:name w:val="Body Text"/>
    <w:basedOn w:val="Normal"/>
    <w:link w:val="BodyTextChar"/>
    <w:rsid w:val="0029299A"/>
    <w:pPr>
      <w:spacing w:after="0" w:line="240" w:lineRule="auto"/>
      <w:jc w:val="both"/>
    </w:pPr>
    <w:rPr>
      <w:rFonts w:ascii="Book Antiqua" w:eastAsia="Times New Roman" w:hAnsi="Book Antiqua" w:cs="Times New Roman"/>
      <w:kern w:val="0"/>
      <w:szCs w:val="24"/>
      <w:lang w:val="en-US" w:bidi="ar-SA"/>
      <w14:ligatures w14:val="none"/>
    </w:rPr>
  </w:style>
  <w:style w:type="character" w:customStyle="1" w:styleId="BodyTextChar">
    <w:name w:val="Body Text Char"/>
    <w:basedOn w:val="DefaultParagraphFont"/>
    <w:link w:val="BodyText"/>
    <w:rsid w:val="0029299A"/>
    <w:rPr>
      <w:rFonts w:ascii="Book Antiqua" w:eastAsia="Times New Roman" w:hAnsi="Book Antiqua"/>
      <w:color w:val="auto"/>
      <w:kern w:val="0"/>
      <w:lang w:val="en-US"/>
      <w14:ligatures w14:val="none"/>
    </w:rPr>
  </w:style>
  <w:style w:type="character" w:customStyle="1" w:styleId="UnresolvedMention1">
    <w:name w:val="Unresolved Mention1"/>
    <w:basedOn w:val="DefaultParagraphFont"/>
    <w:uiPriority w:val="99"/>
    <w:semiHidden/>
    <w:unhideWhenUsed/>
    <w:rsid w:val="004A33F9"/>
    <w:rPr>
      <w:color w:val="605E5C"/>
      <w:shd w:val="clear" w:color="auto" w:fill="E1DFDD"/>
    </w:rPr>
  </w:style>
  <w:style w:type="paragraph" w:styleId="BalloonText">
    <w:name w:val="Balloon Text"/>
    <w:basedOn w:val="Normal"/>
    <w:link w:val="BalloonTextChar"/>
    <w:uiPriority w:val="99"/>
    <w:semiHidden/>
    <w:unhideWhenUsed/>
    <w:rsid w:val="00BF3173"/>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BF3173"/>
    <w:rPr>
      <w:rFonts w:ascii="Segoe UI" w:hAnsi="Segoe UI" w:cs="Mangal"/>
      <w:color w:val="auto"/>
      <w:sz w:val="18"/>
      <w:szCs w:val="16"/>
      <w:lang w:bidi="hi-IN"/>
    </w:rPr>
  </w:style>
  <w:style w:type="paragraph" w:styleId="Revision">
    <w:name w:val="Revision"/>
    <w:hidden/>
    <w:uiPriority w:val="99"/>
    <w:semiHidden/>
    <w:rsid w:val="00D0390C"/>
    <w:pPr>
      <w:spacing w:after="0" w:line="240" w:lineRule="auto"/>
    </w:pPr>
    <w:rPr>
      <w:rFonts w:asciiTheme="minorHAnsi" w:hAnsiTheme="minorHAnsi" w:cs="Mangal"/>
      <w:color w:val="auto"/>
      <w:szCs w:val="21"/>
      <w:lang w:bidi="hi-IN"/>
    </w:rPr>
  </w:style>
  <w:style w:type="character" w:styleId="UnresolvedMention">
    <w:name w:val="Unresolved Mention"/>
    <w:basedOn w:val="DefaultParagraphFont"/>
    <w:uiPriority w:val="99"/>
    <w:semiHidden/>
    <w:unhideWhenUsed/>
    <w:rsid w:val="00B1347D"/>
    <w:rPr>
      <w:color w:val="605E5C"/>
      <w:shd w:val="clear" w:color="auto" w:fill="E1DFDD"/>
    </w:rPr>
  </w:style>
  <w:style w:type="paragraph" w:styleId="Header">
    <w:name w:val="header"/>
    <w:basedOn w:val="Normal"/>
    <w:link w:val="HeaderChar"/>
    <w:uiPriority w:val="99"/>
    <w:unhideWhenUsed/>
    <w:rsid w:val="00183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014"/>
    <w:rPr>
      <w:rFonts w:asciiTheme="minorHAnsi" w:hAnsiTheme="minorHAnsi" w:cs="Mangal"/>
      <w:color w:val="auto"/>
      <w:szCs w:val="21"/>
      <w:lang w:bidi="hi-IN"/>
    </w:rPr>
  </w:style>
  <w:style w:type="paragraph" w:styleId="Footer">
    <w:name w:val="footer"/>
    <w:basedOn w:val="Normal"/>
    <w:link w:val="FooterChar"/>
    <w:uiPriority w:val="99"/>
    <w:unhideWhenUsed/>
    <w:rsid w:val="00183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014"/>
    <w:rPr>
      <w:rFonts w:asciiTheme="minorHAnsi" w:hAnsiTheme="minorHAnsi" w:cs="Mangal"/>
      <w:color w:val="auto"/>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129948">
      <w:bodyDiv w:val="1"/>
      <w:marLeft w:val="0"/>
      <w:marRight w:val="0"/>
      <w:marTop w:val="0"/>
      <w:marBottom w:val="0"/>
      <w:divBdr>
        <w:top w:val="none" w:sz="0" w:space="0" w:color="auto"/>
        <w:left w:val="none" w:sz="0" w:space="0" w:color="auto"/>
        <w:bottom w:val="none" w:sz="0" w:space="0" w:color="auto"/>
        <w:right w:val="none" w:sz="0" w:space="0" w:color="auto"/>
      </w:divBdr>
    </w:div>
    <w:div w:id="411587052">
      <w:bodyDiv w:val="1"/>
      <w:marLeft w:val="0"/>
      <w:marRight w:val="0"/>
      <w:marTop w:val="0"/>
      <w:marBottom w:val="0"/>
      <w:divBdr>
        <w:top w:val="none" w:sz="0" w:space="0" w:color="auto"/>
        <w:left w:val="none" w:sz="0" w:space="0" w:color="auto"/>
        <w:bottom w:val="none" w:sz="0" w:space="0" w:color="auto"/>
        <w:right w:val="none" w:sz="0" w:space="0" w:color="auto"/>
      </w:divBdr>
    </w:div>
    <w:div w:id="426662286">
      <w:bodyDiv w:val="1"/>
      <w:marLeft w:val="0"/>
      <w:marRight w:val="0"/>
      <w:marTop w:val="0"/>
      <w:marBottom w:val="0"/>
      <w:divBdr>
        <w:top w:val="none" w:sz="0" w:space="0" w:color="auto"/>
        <w:left w:val="none" w:sz="0" w:space="0" w:color="auto"/>
        <w:bottom w:val="none" w:sz="0" w:space="0" w:color="auto"/>
        <w:right w:val="none" w:sz="0" w:space="0" w:color="auto"/>
      </w:divBdr>
    </w:div>
    <w:div w:id="475756277">
      <w:bodyDiv w:val="1"/>
      <w:marLeft w:val="0"/>
      <w:marRight w:val="0"/>
      <w:marTop w:val="0"/>
      <w:marBottom w:val="0"/>
      <w:divBdr>
        <w:top w:val="none" w:sz="0" w:space="0" w:color="auto"/>
        <w:left w:val="none" w:sz="0" w:space="0" w:color="auto"/>
        <w:bottom w:val="none" w:sz="0" w:space="0" w:color="auto"/>
        <w:right w:val="none" w:sz="0" w:space="0" w:color="auto"/>
      </w:divBdr>
    </w:div>
    <w:div w:id="848062113">
      <w:bodyDiv w:val="1"/>
      <w:marLeft w:val="0"/>
      <w:marRight w:val="0"/>
      <w:marTop w:val="0"/>
      <w:marBottom w:val="0"/>
      <w:divBdr>
        <w:top w:val="none" w:sz="0" w:space="0" w:color="auto"/>
        <w:left w:val="none" w:sz="0" w:space="0" w:color="auto"/>
        <w:bottom w:val="none" w:sz="0" w:space="0" w:color="auto"/>
        <w:right w:val="none" w:sz="0" w:space="0" w:color="auto"/>
      </w:divBdr>
    </w:div>
    <w:div w:id="1002703365">
      <w:bodyDiv w:val="1"/>
      <w:marLeft w:val="0"/>
      <w:marRight w:val="0"/>
      <w:marTop w:val="0"/>
      <w:marBottom w:val="0"/>
      <w:divBdr>
        <w:top w:val="none" w:sz="0" w:space="0" w:color="auto"/>
        <w:left w:val="none" w:sz="0" w:space="0" w:color="auto"/>
        <w:bottom w:val="none" w:sz="0" w:space="0" w:color="auto"/>
        <w:right w:val="none" w:sz="0" w:space="0" w:color="auto"/>
      </w:divBdr>
    </w:div>
    <w:div w:id="1031806737">
      <w:bodyDiv w:val="1"/>
      <w:marLeft w:val="0"/>
      <w:marRight w:val="0"/>
      <w:marTop w:val="0"/>
      <w:marBottom w:val="0"/>
      <w:divBdr>
        <w:top w:val="none" w:sz="0" w:space="0" w:color="auto"/>
        <w:left w:val="none" w:sz="0" w:space="0" w:color="auto"/>
        <w:bottom w:val="none" w:sz="0" w:space="0" w:color="auto"/>
        <w:right w:val="none" w:sz="0" w:space="0" w:color="auto"/>
      </w:divBdr>
    </w:div>
    <w:div w:id="1460610505">
      <w:bodyDiv w:val="1"/>
      <w:marLeft w:val="0"/>
      <w:marRight w:val="0"/>
      <w:marTop w:val="0"/>
      <w:marBottom w:val="0"/>
      <w:divBdr>
        <w:top w:val="none" w:sz="0" w:space="0" w:color="auto"/>
        <w:left w:val="none" w:sz="0" w:space="0" w:color="auto"/>
        <w:bottom w:val="none" w:sz="0" w:space="0" w:color="auto"/>
        <w:right w:val="none" w:sz="0" w:space="0" w:color="auto"/>
      </w:divBdr>
    </w:div>
    <w:div w:id="1808547670">
      <w:bodyDiv w:val="1"/>
      <w:marLeft w:val="0"/>
      <w:marRight w:val="0"/>
      <w:marTop w:val="0"/>
      <w:marBottom w:val="0"/>
      <w:divBdr>
        <w:top w:val="none" w:sz="0" w:space="0" w:color="auto"/>
        <w:left w:val="none" w:sz="0" w:space="0" w:color="auto"/>
        <w:bottom w:val="none" w:sz="0" w:space="0" w:color="auto"/>
        <w:right w:val="none" w:sz="0" w:space="0" w:color="auto"/>
      </w:divBdr>
    </w:div>
    <w:div w:id="200049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10681-018-2232-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80/00087114.1989.10796966" TargetMode="External"/><Relationship Id="rId17" Type="http://schemas.openxmlformats.org/officeDocument/2006/relationships/hyperlink" Target="https://doi.org/10.34101/actaagrar/66/189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7/s00122-009-1145-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4/pp.18.0096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dib.2018.03.001" TargetMode="External"/><Relationship Id="rId23" Type="http://schemas.openxmlformats.org/officeDocument/2006/relationships/footer" Target="footer3.xml"/><Relationship Id="rId10" Type="http://schemas.openxmlformats.org/officeDocument/2006/relationships/hyperlink" Target="https://doi.org/10.3390/agronomy11061071"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93/oso/9780195138597.001.0001"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E23EA-C654-4B5F-B82E-A5CA81882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9396</Words>
  <Characters>53561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Asha Ram</dc:creator>
  <cp:keywords/>
  <dc:description/>
  <cp:lastModifiedBy>Dr Asha Ram</cp:lastModifiedBy>
  <cp:revision>35</cp:revision>
  <dcterms:created xsi:type="dcterms:W3CDTF">2025-04-11T15:29:00Z</dcterms:created>
  <dcterms:modified xsi:type="dcterms:W3CDTF">2025-04-11T17:41:00Z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http://www.zotero.org/styles/agroforestry-systems</vt:lpwstr>
  </property>
  <property fmtid="{D5CDD505-2E9C-101B-9397-08002B2CF9AE}" pid="3" name="Mendeley Recent Style Name 0_1">
    <vt:lpwstr>Agroforestry Systems</vt:lpwstr>
  </property>
  <property fmtid="{D5CDD505-2E9C-101B-9397-08002B2CF9AE}" pid="4" name="Mendeley Recent Style Id 1_1">
    <vt:lpwstr>http://www.zotero.org/styles/agronomy-for-sustainable-development</vt:lpwstr>
  </property>
  <property fmtid="{D5CDD505-2E9C-101B-9397-08002B2CF9AE}" pid="5" name="Mendeley Recent Style Name 1_1">
    <vt:lpwstr>Agronomy for Sustainable Development</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http://www.zotero.org/styles/current-science</vt:lpwstr>
  </property>
  <property fmtid="{D5CDD505-2E9C-101B-9397-08002B2CF9AE}" pid="9" name="Mendeley Recent Style Name 3_1">
    <vt:lpwstr>Current Science</vt:lpwstr>
  </property>
  <property fmtid="{D5CDD505-2E9C-101B-9397-08002B2CF9AE}" pid="10" name="Mendeley Recent Style Id 4_1">
    <vt:lpwstr>http://www.zotero.org/styles/field-crops-research</vt:lpwstr>
  </property>
  <property fmtid="{D5CDD505-2E9C-101B-9397-08002B2CF9AE}" pid="11" name="Mendeley Recent Style Name 4_1">
    <vt:lpwstr>Field Crops Research</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http://www.zotero.org/styles/land-degradation-and-development</vt:lpwstr>
  </property>
  <property fmtid="{D5CDD505-2E9C-101B-9397-08002B2CF9AE}" pid="15" name="Mendeley Recent Style Name 6_1">
    <vt:lpwstr>Land Degradation &amp; Development</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http://www.zotero.org/styles/rhizosphere</vt:lpwstr>
  </property>
  <property fmtid="{D5CDD505-2E9C-101B-9397-08002B2CF9AE}" pid="21" name="Mendeley Recent Style Name 9_1">
    <vt:lpwstr>Rhizosphere</vt:lpwstr>
  </property>
  <property fmtid="{D5CDD505-2E9C-101B-9397-08002B2CF9AE}" pid="22" name="Mendeley Document_1">
    <vt:lpwstr>True</vt:lpwstr>
  </property>
  <property fmtid="{D5CDD505-2E9C-101B-9397-08002B2CF9AE}" pid="23" name="Mendeley Unique User Id_1">
    <vt:lpwstr>1fa51fbe-e159-39d8-8ebc-cf77bb046cc1</vt:lpwstr>
  </property>
  <property fmtid="{D5CDD505-2E9C-101B-9397-08002B2CF9AE}" pid="24" name="Mendeley Citation Style_1">
    <vt:lpwstr>http://www.zotero.org/styles/rhizosphere</vt:lpwstr>
  </property>
</Properties>
</file>