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5FBD0" w14:textId="77777777" w:rsidR="00EC4CFD" w:rsidRPr="00EC4CFD" w:rsidRDefault="00EC4CFD" w:rsidP="00EC4CFD">
      <w:pPr>
        <w:spacing w:line="360" w:lineRule="auto"/>
        <w:jc w:val="center"/>
        <w:rPr>
          <w:rFonts w:ascii="Times New Roman" w:hAnsi="Times New Roman" w:cs="Times New Roman"/>
          <w:b/>
          <w:bCs/>
          <w:i/>
          <w:iCs/>
          <w:u w:val="single"/>
          <w:lang w:val="en-US"/>
        </w:rPr>
      </w:pPr>
      <w:r w:rsidRPr="00EC4CFD">
        <w:rPr>
          <w:rFonts w:ascii="Times New Roman" w:hAnsi="Times New Roman" w:cs="Times New Roman"/>
          <w:b/>
          <w:bCs/>
          <w:i/>
          <w:iCs/>
          <w:u w:val="single"/>
          <w:lang w:val="en-US"/>
        </w:rPr>
        <w:t xml:space="preserve">Case report </w:t>
      </w:r>
    </w:p>
    <w:p w14:paraId="68E53DBD" w14:textId="77777777" w:rsidR="00EC4CFD" w:rsidRDefault="00EC4CFD" w:rsidP="007647E8">
      <w:pPr>
        <w:spacing w:line="360" w:lineRule="auto"/>
        <w:jc w:val="center"/>
        <w:rPr>
          <w:rFonts w:ascii="Times New Roman" w:hAnsi="Times New Roman" w:cs="Times New Roman"/>
          <w:b/>
          <w:bCs/>
        </w:rPr>
      </w:pPr>
    </w:p>
    <w:p w14:paraId="5F3B0828" w14:textId="73719EC7" w:rsidR="007647E8" w:rsidRPr="00EC4CFD" w:rsidRDefault="00EE1DF8" w:rsidP="007647E8">
      <w:pPr>
        <w:spacing w:line="360" w:lineRule="auto"/>
        <w:jc w:val="center"/>
        <w:rPr>
          <w:rFonts w:ascii="Times New Roman" w:hAnsi="Times New Roman" w:cs="Times New Roman"/>
          <w:b/>
          <w:bCs/>
        </w:rPr>
      </w:pPr>
      <w:r w:rsidRPr="00EC4CFD">
        <w:rPr>
          <w:rFonts w:ascii="Times New Roman" w:hAnsi="Times New Roman" w:cs="Times New Roman"/>
          <w:b/>
          <w:bCs/>
        </w:rPr>
        <w:t>ANAPHYLACTIC REACTION DUE TO FERRIC CARBOXYMALTOSE: A CASE REPORT</w:t>
      </w:r>
    </w:p>
    <w:p w14:paraId="184328A5" w14:textId="77777777" w:rsidR="004D7D7F" w:rsidRDefault="004D7D7F" w:rsidP="007647E8">
      <w:pPr>
        <w:spacing w:line="360" w:lineRule="auto"/>
        <w:jc w:val="both"/>
        <w:rPr>
          <w:rFonts w:ascii="Times New Roman" w:hAnsi="Times New Roman" w:cs="Times New Roman"/>
          <w:b/>
          <w:bCs/>
          <w:sz w:val="28"/>
          <w:szCs w:val="28"/>
        </w:rPr>
      </w:pPr>
    </w:p>
    <w:p w14:paraId="554C9060" w14:textId="097CEAAA" w:rsidR="006563F2" w:rsidRDefault="006563F2" w:rsidP="007647E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Abstract </w:t>
      </w:r>
    </w:p>
    <w:p w14:paraId="6E705157" w14:textId="3FB2FCF6" w:rsidR="006563F2" w:rsidRDefault="006563F2" w:rsidP="007647E8">
      <w:pPr>
        <w:spacing w:line="360" w:lineRule="auto"/>
        <w:jc w:val="both"/>
        <w:rPr>
          <w:rFonts w:ascii="Times New Roman" w:hAnsi="Times New Roman" w:cs="Times New Roman"/>
          <w:sz w:val="24"/>
          <w:szCs w:val="24"/>
        </w:rPr>
      </w:pPr>
      <w:r w:rsidRPr="006563F2">
        <w:rPr>
          <w:rFonts w:ascii="Times New Roman" w:hAnsi="Times New Roman" w:cs="Times New Roman"/>
          <w:sz w:val="24"/>
          <w:szCs w:val="24"/>
        </w:rPr>
        <w:t xml:space="preserve">This case report describes a 24-year-old female patient admitted with severe iron deficiency </w:t>
      </w:r>
      <w:proofErr w:type="spellStart"/>
      <w:r w:rsidRPr="006563F2">
        <w:rPr>
          <w:rFonts w:ascii="Times New Roman" w:hAnsi="Times New Roman" w:cs="Times New Roman"/>
          <w:sz w:val="24"/>
          <w:szCs w:val="24"/>
        </w:rPr>
        <w:t>anemia</w:t>
      </w:r>
      <w:proofErr w:type="spellEnd"/>
      <w:r w:rsidRPr="006563F2">
        <w:rPr>
          <w:rFonts w:ascii="Times New Roman" w:hAnsi="Times New Roman" w:cs="Times New Roman"/>
          <w:sz w:val="24"/>
          <w:szCs w:val="24"/>
        </w:rPr>
        <w:t xml:space="preserve">, presenting with generalized weakness, easy fatigability, and decreased appetite. The patient was initially treated with oral iron supplements, intravenous iron sucrose, and blood transfusion. However, </w:t>
      </w:r>
      <w:r w:rsidR="00CE3082">
        <w:rPr>
          <w:rFonts w:ascii="Times New Roman" w:hAnsi="Times New Roman" w:cs="Times New Roman"/>
          <w:sz w:val="24"/>
          <w:szCs w:val="24"/>
        </w:rPr>
        <w:t>the patient</w:t>
      </w:r>
      <w:r w:rsidRPr="006563F2">
        <w:rPr>
          <w:rFonts w:ascii="Times New Roman" w:hAnsi="Times New Roman" w:cs="Times New Roman"/>
          <w:sz w:val="24"/>
          <w:szCs w:val="24"/>
        </w:rPr>
        <w:t xml:space="preserve"> developed adverse reactions to both blood transfusion</w:t>
      </w:r>
      <w:r w:rsidR="00CE3082">
        <w:rPr>
          <w:rFonts w:ascii="Times New Roman" w:hAnsi="Times New Roman" w:cs="Times New Roman"/>
          <w:sz w:val="24"/>
          <w:szCs w:val="24"/>
        </w:rPr>
        <w:t>s</w:t>
      </w:r>
      <w:r w:rsidRPr="006563F2">
        <w:rPr>
          <w:rFonts w:ascii="Times New Roman" w:hAnsi="Times New Roman" w:cs="Times New Roman"/>
          <w:sz w:val="24"/>
          <w:szCs w:val="24"/>
        </w:rPr>
        <w:t xml:space="preserve"> and iron sucrose. Subsequently, ferric </w:t>
      </w:r>
      <w:proofErr w:type="spellStart"/>
      <w:r w:rsidRPr="006563F2">
        <w:rPr>
          <w:rFonts w:ascii="Times New Roman" w:hAnsi="Times New Roman" w:cs="Times New Roman"/>
          <w:sz w:val="24"/>
          <w:szCs w:val="24"/>
        </w:rPr>
        <w:t>carboxymaltose</w:t>
      </w:r>
      <w:proofErr w:type="spellEnd"/>
      <w:r w:rsidRPr="006563F2">
        <w:rPr>
          <w:rFonts w:ascii="Times New Roman" w:hAnsi="Times New Roman" w:cs="Times New Roman"/>
          <w:sz w:val="24"/>
          <w:szCs w:val="24"/>
        </w:rPr>
        <w:t xml:space="preserve"> (FCM) was administered, but the patient experienced symptoms suggestive of an anaphylactic reaction, including hypotension, respiratory distress, and decreased oxygen saturation. The FCM dose was reduced and eventually discontinued. The causality assessment for both iron sucrose and FCM was determined to be 'Possible' using the WHO UMC scale and Naranjo scale. This case highlights the rare but potentially life-threatening anaphylactic reactions associated with intravenous iron preparations, emphasizing the need for healthcare providers to remain vigilant during administration and </w:t>
      </w:r>
      <w:r w:rsidR="00CE3082">
        <w:rPr>
          <w:rFonts w:ascii="Times New Roman" w:hAnsi="Times New Roman" w:cs="Times New Roman"/>
          <w:sz w:val="24"/>
          <w:szCs w:val="24"/>
        </w:rPr>
        <w:t xml:space="preserve">to </w:t>
      </w:r>
      <w:r w:rsidRPr="006563F2">
        <w:rPr>
          <w:rFonts w:ascii="Times New Roman" w:hAnsi="Times New Roman" w:cs="Times New Roman"/>
          <w:sz w:val="24"/>
          <w:szCs w:val="24"/>
        </w:rPr>
        <w:t>be prepared to manage such reactions promptly. Th</w:t>
      </w:r>
      <w:r w:rsidR="00CE3082">
        <w:rPr>
          <w:rFonts w:ascii="Times New Roman" w:hAnsi="Times New Roman" w:cs="Times New Roman"/>
          <w:sz w:val="24"/>
          <w:szCs w:val="24"/>
        </w:rPr>
        <w:t>is</w:t>
      </w:r>
      <w:r w:rsidRPr="006563F2">
        <w:rPr>
          <w:rFonts w:ascii="Times New Roman" w:hAnsi="Times New Roman" w:cs="Times New Roman"/>
          <w:sz w:val="24"/>
          <w:szCs w:val="24"/>
        </w:rPr>
        <w:t xml:space="preserve"> study underscores the importance of </w:t>
      </w:r>
      <w:r w:rsidR="003F2BF8">
        <w:rPr>
          <w:rFonts w:ascii="Times New Roman" w:hAnsi="Times New Roman" w:cs="Times New Roman"/>
          <w:sz w:val="24"/>
          <w:szCs w:val="24"/>
        </w:rPr>
        <w:t>pharmaceutical care</w:t>
      </w:r>
      <w:r w:rsidRPr="006563F2">
        <w:rPr>
          <w:rFonts w:ascii="Times New Roman" w:hAnsi="Times New Roman" w:cs="Times New Roman"/>
          <w:sz w:val="24"/>
          <w:szCs w:val="24"/>
        </w:rPr>
        <w:t xml:space="preserve"> and adherence to administration guidelines to minimize</w:t>
      </w:r>
      <w:r w:rsidR="00CE3082">
        <w:rPr>
          <w:rFonts w:ascii="Times New Roman" w:hAnsi="Times New Roman" w:cs="Times New Roman"/>
          <w:sz w:val="24"/>
          <w:szCs w:val="24"/>
        </w:rPr>
        <w:t xml:space="preserve"> the</w:t>
      </w:r>
      <w:r w:rsidRPr="006563F2">
        <w:rPr>
          <w:rFonts w:ascii="Times New Roman" w:hAnsi="Times New Roman" w:cs="Times New Roman"/>
          <w:sz w:val="24"/>
          <w:szCs w:val="24"/>
        </w:rPr>
        <w:t xml:space="preserve"> risks </w:t>
      </w:r>
      <w:r w:rsidR="003F2BF8">
        <w:rPr>
          <w:rFonts w:ascii="Times New Roman" w:hAnsi="Times New Roman" w:cs="Times New Roman"/>
          <w:sz w:val="24"/>
          <w:szCs w:val="24"/>
        </w:rPr>
        <w:t>of</w:t>
      </w:r>
      <w:r w:rsidRPr="006563F2">
        <w:rPr>
          <w:rFonts w:ascii="Times New Roman" w:hAnsi="Times New Roman" w:cs="Times New Roman"/>
          <w:sz w:val="24"/>
          <w:szCs w:val="24"/>
        </w:rPr>
        <w:t xml:space="preserve"> intravenous iron therapies.</w:t>
      </w:r>
    </w:p>
    <w:p w14:paraId="5FFFB895" w14:textId="6F28DADE" w:rsidR="00EE1DF8" w:rsidRPr="006563F2" w:rsidRDefault="00EE1DF8" w:rsidP="00EE1DF8">
      <w:pPr>
        <w:spacing w:line="360" w:lineRule="auto"/>
        <w:jc w:val="both"/>
        <w:rPr>
          <w:rFonts w:ascii="Times New Roman" w:hAnsi="Times New Roman" w:cs="Times New Roman"/>
          <w:sz w:val="24"/>
          <w:szCs w:val="24"/>
        </w:rPr>
      </w:pPr>
      <w:r w:rsidRPr="00EE1DF8">
        <w:rPr>
          <w:rFonts w:ascii="Times New Roman" w:hAnsi="Times New Roman" w:cs="Times New Roman"/>
          <w:b/>
          <w:bCs/>
          <w:sz w:val="24"/>
          <w:szCs w:val="24"/>
        </w:rPr>
        <w:t>Key words:</w:t>
      </w:r>
      <w:r>
        <w:rPr>
          <w:rFonts w:ascii="Times New Roman" w:hAnsi="Times New Roman" w:cs="Times New Roman"/>
          <w:sz w:val="24"/>
          <w:szCs w:val="24"/>
        </w:rPr>
        <w:t xml:space="preserve"> </w:t>
      </w:r>
      <w:r w:rsidRPr="00EE1DF8">
        <w:rPr>
          <w:rFonts w:ascii="Times New Roman" w:hAnsi="Times New Roman" w:cs="Times New Roman"/>
          <w:sz w:val="24"/>
          <w:szCs w:val="24"/>
        </w:rPr>
        <w:t xml:space="preserve">Iron deficiency </w:t>
      </w:r>
      <w:proofErr w:type="spellStart"/>
      <w:r w:rsidRPr="00EE1DF8">
        <w:rPr>
          <w:rFonts w:ascii="Times New Roman" w:hAnsi="Times New Roman" w:cs="Times New Roman"/>
          <w:sz w:val="24"/>
          <w:szCs w:val="24"/>
        </w:rPr>
        <w:t>anemia</w:t>
      </w:r>
      <w:proofErr w:type="spellEnd"/>
      <w:r>
        <w:rPr>
          <w:rFonts w:ascii="Times New Roman" w:hAnsi="Times New Roman" w:cs="Times New Roman"/>
          <w:sz w:val="24"/>
          <w:szCs w:val="24"/>
        </w:rPr>
        <w:t xml:space="preserve">, </w:t>
      </w:r>
      <w:r w:rsidRPr="00EE1DF8">
        <w:rPr>
          <w:rFonts w:ascii="Times New Roman" w:hAnsi="Times New Roman" w:cs="Times New Roman"/>
          <w:sz w:val="24"/>
          <w:szCs w:val="24"/>
        </w:rPr>
        <w:t>Intravenous iron therapy</w:t>
      </w:r>
      <w:r>
        <w:rPr>
          <w:rFonts w:ascii="Times New Roman" w:hAnsi="Times New Roman" w:cs="Times New Roman"/>
          <w:sz w:val="24"/>
          <w:szCs w:val="24"/>
        </w:rPr>
        <w:t xml:space="preserve">, </w:t>
      </w:r>
      <w:r w:rsidRPr="00EE1DF8">
        <w:rPr>
          <w:rFonts w:ascii="Times New Roman" w:hAnsi="Times New Roman" w:cs="Times New Roman"/>
          <w:sz w:val="24"/>
          <w:szCs w:val="24"/>
        </w:rPr>
        <w:t xml:space="preserve">Ferric </w:t>
      </w:r>
      <w:proofErr w:type="spellStart"/>
      <w:r w:rsidRPr="00EE1DF8">
        <w:rPr>
          <w:rFonts w:ascii="Times New Roman" w:hAnsi="Times New Roman" w:cs="Times New Roman"/>
          <w:sz w:val="24"/>
          <w:szCs w:val="24"/>
        </w:rPr>
        <w:t>carboxymaltose</w:t>
      </w:r>
      <w:proofErr w:type="spellEnd"/>
      <w:r>
        <w:rPr>
          <w:rFonts w:ascii="Times New Roman" w:hAnsi="Times New Roman" w:cs="Times New Roman"/>
          <w:sz w:val="24"/>
          <w:szCs w:val="24"/>
        </w:rPr>
        <w:t xml:space="preserve">, </w:t>
      </w:r>
      <w:r w:rsidRPr="00EE1DF8">
        <w:rPr>
          <w:rFonts w:ascii="Times New Roman" w:hAnsi="Times New Roman" w:cs="Times New Roman"/>
          <w:sz w:val="24"/>
          <w:szCs w:val="24"/>
        </w:rPr>
        <w:t>Anaphylactic reaction</w:t>
      </w:r>
      <w:r>
        <w:rPr>
          <w:rFonts w:ascii="Times New Roman" w:hAnsi="Times New Roman" w:cs="Times New Roman"/>
          <w:sz w:val="24"/>
          <w:szCs w:val="24"/>
        </w:rPr>
        <w:t xml:space="preserve">, </w:t>
      </w:r>
      <w:r w:rsidRPr="00EE1DF8">
        <w:rPr>
          <w:rFonts w:ascii="Times New Roman" w:hAnsi="Times New Roman" w:cs="Times New Roman"/>
          <w:sz w:val="24"/>
          <w:szCs w:val="24"/>
        </w:rPr>
        <w:t>Adverse drug reaction</w:t>
      </w:r>
      <w:r>
        <w:rPr>
          <w:rFonts w:ascii="Times New Roman" w:hAnsi="Times New Roman" w:cs="Times New Roman"/>
          <w:sz w:val="24"/>
          <w:szCs w:val="24"/>
        </w:rPr>
        <w:t xml:space="preserve">, </w:t>
      </w:r>
      <w:r w:rsidRPr="00EE1DF8">
        <w:rPr>
          <w:rFonts w:ascii="Times New Roman" w:hAnsi="Times New Roman" w:cs="Times New Roman"/>
          <w:sz w:val="24"/>
          <w:szCs w:val="24"/>
        </w:rPr>
        <w:t>Iron sucrose</w:t>
      </w:r>
      <w:r>
        <w:rPr>
          <w:rFonts w:ascii="Times New Roman" w:hAnsi="Times New Roman" w:cs="Times New Roman"/>
          <w:sz w:val="24"/>
          <w:szCs w:val="24"/>
        </w:rPr>
        <w:t xml:space="preserve">, </w:t>
      </w:r>
      <w:r w:rsidRPr="00EE1DF8">
        <w:rPr>
          <w:rFonts w:ascii="Times New Roman" w:hAnsi="Times New Roman" w:cs="Times New Roman"/>
          <w:sz w:val="24"/>
          <w:szCs w:val="24"/>
        </w:rPr>
        <w:t>Blood transfusion</w:t>
      </w:r>
      <w:r>
        <w:rPr>
          <w:rFonts w:ascii="Times New Roman" w:hAnsi="Times New Roman" w:cs="Times New Roman"/>
          <w:sz w:val="24"/>
          <w:szCs w:val="24"/>
        </w:rPr>
        <w:t xml:space="preserve">, </w:t>
      </w:r>
      <w:r w:rsidRPr="00EE1DF8">
        <w:rPr>
          <w:rFonts w:ascii="Times New Roman" w:hAnsi="Times New Roman" w:cs="Times New Roman"/>
          <w:sz w:val="24"/>
          <w:szCs w:val="24"/>
        </w:rPr>
        <w:t>Causality assessment</w:t>
      </w:r>
      <w:r>
        <w:rPr>
          <w:rFonts w:ascii="Times New Roman" w:hAnsi="Times New Roman" w:cs="Times New Roman"/>
          <w:sz w:val="24"/>
          <w:szCs w:val="24"/>
        </w:rPr>
        <w:t xml:space="preserve">, </w:t>
      </w:r>
      <w:r w:rsidRPr="00EE1DF8">
        <w:rPr>
          <w:rFonts w:ascii="Times New Roman" w:hAnsi="Times New Roman" w:cs="Times New Roman"/>
          <w:sz w:val="24"/>
          <w:szCs w:val="24"/>
        </w:rPr>
        <w:t>WHO UMC scale</w:t>
      </w:r>
      <w:r>
        <w:rPr>
          <w:rFonts w:ascii="Times New Roman" w:hAnsi="Times New Roman" w:cs="Times New Roman"/>
          <w:sz w:val="24"/>
          <w:szCs w:val="24"/>
        </w:rPr>
        <w:t xml:space="preserve">, </w:t>
      </w:r>
      <w:r w:rsidRPr="00EE1DF8">
        <w:rPr>
          <w:rFonts w:ascii="Times New Roman" w:hAnsi="Times New Roman" w:cs="Times New Roman"/>
          <w:sz w:val="24"/>
          <w:szCs w:val="24"/>
        </w:rPr>
        <w:t>Naranjo scale</w:t>
      </w:r>
      <w:r>
        <w:rPr>
          <w:rFonts w:ascii="Times New Roman" w:hAnsi="Times New Roman" w:cs="Times New Roman"/>
          <w:sz w:val="24"/>
          <w:szCs w:val="24"/>
        </w:rPr>
        <w:t xml:space="preserve">, </w:t>
      </w:r>
      <w:r w:rsidRPr="00EE1DF8">
        <w:rPr>
          <w:rFonts w:ascii="Times New Roman" w:hAnsi="Times New Roman" w:cs="Times New Roman"/>
          <w:sz w:val="24"/>
          <w:szCs w:val="24"/>
        </w:rPr>
        <w:t>Patient safety</w:t>
      </w:r>
      <w:r>
        <w:rPr>
          <w:rFonts w:ascii="Times New Roman" w:hAnsi="Times New Roman" w:cs="Times New Roman"/>
          <w:sz w:val="24"/>
          <w:szCs w:val="24"/>
        </w:rPr>
        <w:t xml:space="preserve">, </w:t>
      </w:r>
      <w:r w:rsidRPr="00EE1DF8">
        <w:rPr>
          <w:rFonts w:ascii="Times New Roman" w:hAnsi="Times New Roman" w:cs="Times New Roman"/>
          <w:sz w:val="24"/>
          <w:szCs w:val="24"/>
        </w:rPr>
        <w:t>Intravenous iron preparations</w:t>
      </w:r>
      <w:r>
        <w:rPr>
          <w:rFonts w:ascii="Times New Roman" w:hAnsi="Times New Roman" w:cs="Times New Roman"/>
          <w:sz w:val="24"/>
          <w:szCs w:val="24"/>
        </w:rPr>
        <w:t xml:space="preserve">. </w:t>
      </w:r>
    </w:p>
    <w:p w14:paraId="1E053FD1" w14:textId="00EB1335" w:rsidR="007647E8" w:rsidRPr="00A66D65" w:rsidRDefault="007647E8" w:rsidP="007647E8">
      <w:pPr>
        <w:spacing w:line="360" w:lineRule="auto"/>
        <w:jc w:val="both"/>
        <w:rPr>
          <w:rFonts w:ascii="Times New Roman" w:hAnsi="Times New Roman" w:cs="Times New Roman"/>
          <w:b/>
          <w:bCs/>
          <w:sz w:val="28"/>
          <w:szCs w:val="28"/>
        </w:rPr>
      </w:pPr>
      <w:r w:rsidRPr="00A66D65">
        <w:rPr>
          <w:rFonts w:ascii="Times New Roman" w:hAnsi="Times New Roman" w:cs="Times New Roman"/>
          <w:b/>
          <w:bCs/>
          <w:sz w:val="28"/>
          <w:szCs w:val="28"/>
        </w:rPr>
        <w:t xml:space="preserve">Introduction </w:t>
      </w:r>
    </w:p>
    <w:p w14:paraId="4DEDCD60" w14:textId="0C32D3EC" w:rsidR="007647E8" w:rsidRDefault="007647E8" w:rsidP="007647E8">
      <w:pPr>
        <w:spacing w:line="360" w:lineRule="auto"/>
        <w:jc w:val="both"/>
        <w:rPr>
          <w:rFonts w:ascii="Times New Roman" w:hAnsi="Times New Roman" w:cs="Times New Roman"/>
          <w:sz w:val="24"/>
          <w:szCs w:val="24"/>
        </w:rPr>
      </w:pPr>
      <w:r w:rsidRPr="007647E8">
        <w:rPr>
          <w:rFonts w:ascii="Times New Roman" w:hAnsi="Times New Roman" w:cs="Times New Roman"/>
          <w:sz w:val="24"/>
          <w:szCs w:val="24"/>
        </w:rPr>
        <w:t>Anaphylactic reaction, or anaphylaxis is a severe and potentially life-threatening systemic hypersensitivity reaction characterized by the rapid activation of mast cells and basophils, leading to the release of various mediators. It occurs rapidly after exposure to an allergen from certain foods (</w:t>
      </w:r>
      <w:r w:rsidR="00CE3082">
        <w:rPr>
          <w:rFonts w:ascii="Times New Roman" w:hAnsi="Times New Roman" w:cs="Times New Roman"/>
          <w:sz w:val="24"/>
          <w:szCs w:val="24"/>
        </w:rPr>
        <w:t>such as</w:t>
      </w:r>
      <w:r w:rsidRPr="007647E8">
        <w:rPr>
          <w:rFonts w:ascii="Times New Roman" w:hAnsi="Times New Roman" w:cs="Times New Roman"/>
          <w:sz w:val="24"/>
          <w:szCs w:val="24"/>
        </w:rPr>
        <w:t xml:space="preserve"> nuts or shellfish) </w:t>
      </w:r>
      <w:r w:rsidR="003F2BF8">
        <w:rPr>
          <w:rFonts w:ascii="Times New Roman" w:hAnsi="Times New Roman" w:cs="Times New Roman"/>
          <w:sz w:val="24"/>
          <w:szCs w:val="24"/>
        </w:rPr>
        <w:t>and</w:t>
      </w:r>
      <w:r w:rsidRPr="007647E8">
        <w:rPr>
          <w:rFonts w:ascii="Times New Roman" w:hAnsi="Times New Roman" w:cs="Times New Roman"/>
          <w:sz w:val="24"/>
          <w:szCs w:val="24"/>
        </w:rPr>
        <w:t xml:space="preserve"> medications, insect stings or latex. The immune system responds by releasing chemicals </w:t>
      </w:r>
      <w:r w:rsidR="00CE3082">
        <w:rPr>
          <w:rFonts w:ascii="Times New Roman" w:hAnsi="Times New Roman" w:cs="Times New Roman"/>
          <w:sz w:val="24"/>
          <w:szCs w:val="24"/>
        </w:rPr>
        <w:t>such as</w:t>
      </w:r>
      <w:r w:rsidRPr="007647E8">
        <w:rPr>
          <w:rFonts w:ascii="Times New Roman" w:hAnsi="Times New Roman" w:cs="Times New Roman"/>
          <w:sz w:val="24"/>
          <w:szCs w:val="24"/>
        </w:rPr>
        <w:t xml:space="preserve"> </w:t>
      </w:r>
      <w:r w:rsidR="003F2BF8">
        <w:rPr>
          <w:rFonts w:ascii="Times New Roman" w:hAnsi="Times New Roman" w:cs="Times New Roman"/>
          <w:sz w:val="24"/>
          <w:szCs w:val="24"/>
        </w:rPr>
        <w:t>autocoids</w:t>
      </w:r>
      <w:r w:rsidRPr="007647E8">
        <w:rPr>
          <w:rFonts w:ascii="Times New Roman" w:hAnsi="Times New Roman" w:cs="Times New Roman"/>
          <w:sz w:val="24"/>
          <w:szCs w:val="24"/>
        </w:rPr>
        <w:t xml:space="preserve">, causing a widespread inflammatory response throughout the body. Symptoms can </w:t>
      </w:r>
      <w:r w:rsidR="003F2BF8">
        <w:rPr>
          <w:rFonts w:ascii="Times New Roman" w:hAnsi="Times New Roman" w:cs="Times New Roman"/>
          <w:sz w:val="24"/>
          <w:szCs w:val="24"/>
        </w:rPr>
        <w:t xml:space="preserve">be </w:t>
      </w:r>
      <w:r w:rsidR="00C26A17" w:rsidRPr="00C26A17">
        <w:rPr>
          <w:rFonts w:ascii="Times New Roman" w:hAnsi="Times New Roman" w:cs="Times New Roman"/>
          <w:sz w:val="24"/>
          <w:szCs w:val="24"/>
        </w:rPr>
        <w:t xml:space="preserve">urticaria and </w:t>
      </w:r>
      <w:proofErr w:type="spellStart"/>
      <w:r w:rsidR="00C26A17" w:rsidRPr="00C26A17">
        <w:rPr>
          <w:rFonts w:ascii="Times New Roman" w:hAnsi="Times New Roman" w:cs="Times New Roman"/>
          <w:sz w:val="24"/>
          <w:szCs w:val="24"/>
        </w:rPr>
        <w:t>edema</w:t>
      </w:r>
      <w:proofErr w:type="spellEnd"/>
      <w:r w:rsidR="00C26A17" w:rsidRPr="00C26A17">
        <w:rPr>
          <w:rFonts w:ascii="Times New Roman" w:hAnsi="Times New Roman" w:cs="Times New Roman"/>
          <w:sz w:val="24"/>
          <w:szCs w:val="24"/>
        </w:rPr>
        <w:t xml:space="preserve">, respiratory distress, </w:t>
      </w:r>
      <w:r w:rsidR="00C26A17" w:rsidRPr="00C26A17">
        <w:rPr>
          <w:rFonts w:ascii="Times New Roman" w:hAnsi="Times New Roman" w:cs="Times New Roman"/>
          <w:sz w:val="24"/>
          <w:szCs w:val="24"/>
        </w:rPr>
        <w:lastRenderedPageBreak/>
        <w:t>gastrointestinal issues</w:t>
      </w:r>
      <w:r w:rsidRPr="007647E8">
        <w:rPr>
          <w:rFonts w:ascii="Times New Roman" w:hAnsi="Times New Roman" w:cs="Times New Roman"/>
          <w:sz w:val="24"/>
          <w:szCs w:val="24"/>
        </w:rPr>
        <w:t xml:space="preserve">, rapid pulse, </w:t>
      </w:r>
      <w:r w:rsidR="003F2BF8">
        <w:rPr>
          <w:rFonts w:ascii="Times New Roman" w:hAnsi="Times New Roman" w:cs="Times New Roman"/>
          <w:sz w:val="24"/>
          <w:szCs w:val="24"/>
        </w:rPr>
        <w:t>hypotensive shock</w:t>
      </w:r>
      <w:r w:rsidRPr="007647E8">
        <w:rPr>
          <w:rFonts w:ascii="Times New Roman" w:hAnsi="Times New Roman" w:cs="Times New Roman"/>
          <w:sz w:val="24"/>
          <w:szCs w:val="24"/>
        </w:rPr>
        <w:t xml:space="preserve"> and in severe cases, loss of consciousness.</w:t>
      </w:r>
      <w:r>
        <w:rPr>
          <w:rFonts w:ascii="Times New Roman" w:hAnsi="Times New Roman" w:cs="Times New Roman"/>
          <w:sz w:val="24"/>
          <w:szCs w:val="24"/>
          <w:vertAlign w:val="superscript"/>
        </w:rPr>
        <w:t>1</w:t>
      </w:r>
    </w:p>
    <w:p w14:paraId="5028CF94" w14:textId="38BC9BF4" w:rsidR="00FC3BFF" w:rsidRPr="00FC3BFF" w:rsidRDefault="00FC3BFF" w:rsidP="007647E8">
      <w:pPr>
        <w:spacing w:line="360" w:lineRule="auto"/>
        <w:jc w:val="both"/>
        <w:rPr>
          <w:rFonts w:ascii="Times New Roman" w:hAnsi="Times New Roman" w:cs="Times New Roman"/>
          <w:sz w:val="24"/>
          <w:szCs w:val="24"/>
        </w:rPr>
      </w:pPr>
      <w:r w:rsidRPr="00FC3BFF">
        <w:rPr>
          <w:rFonts w:ascii="Times New Roman" w:hAnsi="Times New Roman" w:cs="Times New Roman"/>
          <w:sz w:val="24"/>
          <w:szCs w:val="24"/>
          <w:highlight w:val="yellow"/>
        </w:rPr>
        <w:t xml:space="preserve">Anaphylactic reactions can be broadly categorized into </w:t>
      </w:r>
      <w:proofErr w:type="spellStart"/>
      <w:r w:rsidRPr="00FC3BFF">
        <w:rPr>
          <w:rFonts w:ascii="Times New Roman" w:hAnsi="Times New Roman" w:cs="Times New Roman"/>
          <w:sz w:val="24"/>
          <w:szCs w:val="24"/>
          <w:highlight w:val="yellow"/>
        </w:rPr>
        <w:t>IgE</w:t>
      </w:r>
      <w:proofErr w:type="spellEnd"/>
      <w:r w:rsidRPr="00FC3BFF">
        <w:rPr>
          <w:rFonts w:ascii="Times New Roman" w:hAnsi="Times New Roman" w:cs="Times New Roman"/>
          <w:sz w:val="24"/>
          <w:szCs w:val="24"/>
          <w:highlight w:val="yellow"/>
        </w:rPr>
        <w:t>-mediated and non-</w:t>
      </w:r>
      <w:proofErr w:type="spellStart"/>
      <w:r w:rsidRPr="00FC3BFF">
        <w:rPr>
          <w:rFonts w:ascii="Times New Roman" w:hAnsi="Times New Roman" w:cs="Times New Roman"/>
          <w:sz w:val="24"/>
          <w:szCs w:val="24"/>
          <w:highlight w:val="yellow"/>
        </w:rPr>
        <w:t>IgE</w:t>
      </w:r>
      <w:proofErr w:type="spellEnd"/>
      <w:r w:rsidRPr="00FC3BFF">
        <w:rPr>
          <w:rFonts w:ascii="Times New Roman" w:hAnsi="Times New Roman" w:cs="Times New Roman"/>
          <w:sz w:val="24"/>
          <w:szCs w:val="24"/>
          <w:highlight w:val="yellow"/>
        </w:rPr>
        <w:t xml:space="preserve">-mediated types. </w:t>
      </w:r>
      <w:proofErr w:type="spellStart"/>
      <w:r w:rsidRPr="00FC3BFF">
        <w:rPr>
          <w:rFonts w:ascii="Times New Roman" w:hAnsi="Times New Roman" w:cs="Times New Roman"/>
          <w:sz w:val="24"/>
          <w:szCs w:val="24"/>
          <w:highlight w:val="yellow"/>
        </w:rPr>
        <w:t>IgE</w:t>
      </w:r>
      <w:proofErr w:type="spellEnd"/>
      <w:r w:rsidRPr="00FC3BFF">
        <w:rPr>
          <w:rFonts w:ascii="Times New Roman" w:hAnsi="Times New Roman" w:cs="Times New Roman"/>
          <w:sz w:val="24"/>
          <w:szCs w:val="24"/>
          <w:highlight w:val="yellow"/>
        </w:rPr>
        <w:t>-mediated reactions are the most common and well-understood form of anaphylaxis, typically involving mast cells and basophils as the principal effector cells</w:t>
      </w:r>
      <w:r w:rsidRPr="00FC3BFF">
        <w:rPr>
          <w:rFonts w:ascii="Times New Roman" w:hAnsi="Times New Roman" w:cs="Times New Roman"/>
          <w:sz w:val="24"/>
          <w:szCs w:val="24"/>
          <w:highlight w:val="yellow"/>
        </w:rPr>
        <w:t>.</w:t>
      </w:r>
      <w:r w:rsidRPr="00FC3BFF">
        <w:rPr>
          <w:rFonts w:ascii="Times New Roman" w:hAnsi="Times New Roman" w:cs="Times New Roman"/>
          <w:sz w:val="24"/>
          <w:szCs w:val="24"/>
          <w:highlight w:val="yellow"/>
          <w:vertAlign w:val="superscript"/>
        </w:rPr>
        <w:t>1</w:t>
      </w:r>
      <w:r>
        <w:rPr>
          <w:rFonts w:ascii="Times New Roman" w:hAnsi="Times New Roman" w:cs="Times New Roman"/>
          <w:sz w:val="24"/>
          <w:szCs w:val="24"/>
        </w:rPr>
        <w:t xml:space="preserve"> </w:t>
      </w:r>
    </w:p>
    <w:p w14:paraId="2D67D5CD" w14:textId="6215311C" w:rsidR="007647E8" w:rsidRDefault="007647E8" w:rsidP="007647E8">
      <w:pPr>
        <w:spacing w:line="360" w:lineRule="auto"/>
        <w:jc w:val="both"/>
        <w:rPr>
          <w:rFonts w:ascii="Times New Roman" w:hAnsi="Times New Roman" w:cs="Times New Roman"/>
          <w:sz w:val="24"/>
          <w:szCs w:val="24"/>
        </w:rPr>
      </w:pPr>
      <w:r w:rsidRPr="007647E8">
        <w:rPr>
          <w:rFonts w:ascii="Times New Roman" w:hAnsi="Times New Roman" w:cs="Times New Roman"/>
          <w:sz w:val="24"/>
          <w:szCs w:val="24"/>
        </w:rPr>
        <w:t xml:space="preserve">Intravenous iron preparations, including ferric </w:t>
      </w:r>
      <w:proofErr w:type="spellStart"/>
      <w:r w:rsidRPr="007647E8">
        <w:rPr>
          <w:rFonts w:ascii="Times New Roman" w:hAnsi="Times New Roman" w:cs="Times New Roman"/>
          <w:sz w:val="24"/>
          <w:szCs w:val="24"/>
        </w:rPr>
        <w:t>carboxymaltose</w:t>
      </w:r>
      <w:proofErr w:type="spellEnd"/>
      <w:r w:rsidRPr="007647E8">
        <w:rPr>
          <w:rFonts w:ascii="Times New Roman" w:hAnsi="Times New Roman" w:cs="Times New Roman"/>
          <w:sz w:val="24"/>
          <w:szCs w:val="24"/>
        </w:rPr>
        <w:t xml:space="preserve"> (FCM) and iron sucrose, can cause hypersensitivity reactions, including anaphylaxis, though the incidence varies between formulations</w:t>
      </w:r>
      <w:r>
        <w:rPr>
          <w:rFonts w:ascii="Times New Roman" w:hAnsi="Times New Roman" w:cs="Times New Roman"/>
          <w:sz w:val="24"/>
          <w:szCs w:val="24"/>
        </w:rPr>
        <w:t>.</w:t>
      </w:r>
      <w:r>
        <w:rPr>
          <w:rFonts w:ascii="Times New Roman" w:hAnsi="Times New Roman" w:cs="Times New Roman"/>
          <w:sz w:val="24"/>
          <w:szCs w:val="24"/>
          <w:vertAlign w:val="superscript"/>
        </w:rPr>
        <w:t>2</w:t>
      </w:r>
      <w:r w:rsidR="00C26A17">
        <w:rPr>
          <w:rFonts w:ascii="Times New Roman" w:hAnsi="Times New Roman" w:cs="Times New Roman"/>
          <w:sz w:val="24"/>
          <w:szCs w:val="24"/>
        </w:rPr>
        <w:t xml:space="preserve"> </w:t>
      </w:r>
      <w:r w:rsidRPr="007647E8">
        <w:rPr>
          <w:rFonts w:ascii="Times New Roman" w:hAnsi="Times New Roman" w:cs="Times New Roman"/>
          <w:sz w:val="24"/>
          <w:szCs w:val="24"/>
        </w:rPr>
        <w:t xml:space="preserve">For anaphylaxis/anaphylactic shock, FCM had a lower reporting odds ratio (ROR05 8.77) </w:t>
      </w:r>
      <w:r w:rsidR="00CE3082">
        <w:rPr>
          <w:rFonts w:ascii="Times New Roman" w:hAnsi="Times New Roman" w:cs="Times New Roman"/>
          <w:sz w:val="24"/>
          <w:szCs w:val="24"/>
        </w:rPr>
        <w:t>than</w:t>
      </w:r>
      <w:r w:rsidRPr="007647E8">
        <w:rPr>
          <w:rFonts w:ascii="Times New Roman" w:hAnsi="Times New Roman" w:cs="Times New Roman"/>
          <w:sz w:val="24"/>
          <w:szCs w:val="24"/>
        </w:rPr>
        <w:t xml:space="preserve"> iron sucrose (ROR05 17.60) in the US FDA Adverse Event Reporting System database.</w:t>
      </w:r>
      <w:r w:rsidR="00622367" w:rsidRPr="00622367">
        <w:rPr>
          <w:rFonts w:ascii="Times New Roman" w:hAnsi="Times New Roman" w:cs="Times New Roman"/>
          <w:sz w:val="24"/>
          <w:szCs w:val="24"/>
          <w:highlight w:val="yellow"/>
          <w:vertAlign w:val="superscript"/>
        </w:rPr>
        <w:t>3</w:t>
      </w:r>
      <w:r w:rsidRPr="007647E8">
        <w:rPr>
          <w:rFonts w:ascii="Times New Roman" w:hAnsi="Times New Roman" w:cs="Times New Roman"/>
          <w:sz w:val="24"/>
          <w:szCs w:val="24"/>
        </w:rPr>
        <w:t xml:space="preserve"> FCM also had no associated deaths, while iron sucrose </w:t>
      </w:r>
      <w:r w:rsidR="00CE3082">
        <w:rPr>
          <w:rFonts w:ascii="Times New Roman" w:hAnsi="Times New Roman" w:cs="Times New Roman"/>
          <w:sz w:val="24"/>
          <w:szCs w:val="24"/>
        </w:rPr>
        <w:t>caused</w:t>
      </w:r>
      <w:r w:rsidRPr="007647E8">
        <w:rPr>
          <w:rFonts w:ascii="Times New Roman" w:hAnsi="Times New Roman" w:cs="Times New Roman"/>
          <w:sz w:val="24"/>
          <w:szCs w:val="24"/>
        </w:rPr>
        <w:t xml:space="preserve"> 4.7%</w:t>
      </w:r>
      <w:r w:rsidR="00CE3082">
        <w:rPr>
          <w:rFonts w:ascii="Times New Roman" w:hAnsi="Times New Roman" w:cs="Times New Roman"/>
          <w:sz w:val="24"/>
          <w:szCs w:val="24"/>
        </w:rPr>
        <w:t xml:space="preserve"> of the </w:t>
      </w:r>
      <w:r w:rsidRPr="007647E8">
        <w:rPr>
          <w:rFonts w:ascii="Times New Roman" w:hAnsi="Times New Roman" w:cs="Times New Roman"/>
          <w:sz w:val="24"/>
          <w:szCs w:val="24"/>
        </w:rPr>
        <w:t>deaths</w:t>
      </w:r>
      <w:r>
        <w:rPr>
          <w:rFonts w:ascii="Times New Roman" w:hAnsi="Times New Roman" w:cs="Times New Roman"/>
          <w:sz w:val="24"/>
          <w:szCs w:val="24"/>
        </w:rPr>
        <w:t>.</w:t>
      </w:r>
      <w:r>
        <w:rPr>
          <w:rFonts w:ascii="Times New Roman" w:hAnsi="Times New Roman" w:cs="Times New Roman"/>
          <w:sz w:val="24"/>
          <w:szCs w:val="24"/>
          <w:vertAlign w:val="superscript"/>
        </w:rPr>
        <w:t xml:space="preserve">3 </w:t>
      </w:r>
      <w:r w:rsidRPr="007647E8">
        <w:rPr>
          <w:rFonts w:ascii="Times New Roman" w:hAnsi="Times New Roman" w:cs="Times New Roman"/>
          <w:sz w:val="24"/>
          <w:szCs w:val="24"/>
        </w:rPr>
        <w:t xml:space="preserve">In European countries, FCM </w:t>
      </w:r>
      <w:r w:rsidR="00CE3082">
        <w:rPr>
          <w:rFonts w:ascii="Times New Roman" w:hAnsi="Times New Roman" w:cs="Times New Roman"/>
          <w:sz w:val="24"/>
          <w:szCs w:val="24"/>
        </w:rPr>
        <w:t>has been</w:t>
      </w:r>
      <w:r w:rsidRPr="007647E8">
        <w:rPr>
          <w:rFonts w:ascii="Times New Roman" w:hAnsi="Times New Roman" w:cs="Times New Roman"/>
          <w:sz w:val="24"/>
          <w:szCs w:val="24"/>
        </w:rPr>
        <w:t xml:space="preserve"> associated with a lower reporting rate of severe hypersensitivity reactions </w:t>
      </w:r>
      <w:r w:rsidR="00CE3082">
        <w:rPr>
          <w:rFonts w:ascii="Times New Roman" w:hAnsi="Times New Roman" w:cs="Times New Roman"/>
          <w:sz w:val="24"/>
          <w:szCs w:val="24"/>
        </w:rPr>
        <w:t>than</w:t>
      </w:r>
      <w:r w:rsidRPr="007647E8">
        <w:rPr>
          <w:rFonts w:ascii="Times New Roman" w:hAnsi="Times New Roman" w:cs="Times New Roman"/>
          <w:sz w:val="24"/>
          <w:szCs w:val="24"/>
        </w:rPr>
        <w:t xml:space="preserve"> other iron formulations</w:t>
      </w:r>
      <w:r>
        <w:rPr>
          <w:rFonts w:ascii="Times New Roman" w:hAnsi="Times New Roman" w:cs="Times New Roman"/>
          <w:sz w:val="24"/>
          <w:szCs w:val="24"/>
        </w:rPr>
        <w:t>.</w:t>
      </w:r>
      <w:r>
        <w:rPr>
          <w:rFonts w:ascii="Times New Roman" w:hAnsi="Times New Roman" w:cs="Times New Roman"/>
          <w:sz w:val="24"/>
          <w:szCs w:val="24"/>
          <w:vertAlign w:val="superscript"/>
        </w:rPr>
        <w:t>2</w:t>
      </w:r>
      <w:r w:rsidR="00C26A17">
        <w:rPr>
          <w:rFonts w:ascii="Times New Roman" w:hAnsi="Times New Roman" w:cs="Times New Roman"/>
          <w:sz w:val="24"/>
          <w:szCs w:val="24"/>
        </w:rPr>
        <w:t xml:space="preserve"> </w:t>
      </w:r>
      <w:r w:rsidR="00C26A17" w:rsidRPr="006D1D85">
        <w:rPr>
          <w:rFonts w:ascii="Times New Roman" w:hAnsi="Times New Roman" w:cs="Times New Roman"/>
          <w:sz w:val="24"/>
          <w:szCs w:val="24"/>
        </w:rPr>
        <w:t xml:space="preserve">Ferric </w:t>
      </w:r>
      <w:proofErr w:type="spellStart"/>
      <w:r w:rsidR="00C26A17" w:rsidRPr="006D1D85">
        <w:rPr>
          <w:rFonts w:ascii="Times New Roman" w:hAnsi="Times New Roman" w:cs="Times New Roman"/>
          <w:sz w:val="24"/>
          <w:szCs w:val="24"/>
        </w:rPr>
        <w:t>carboxymaltose</w:t>
      </w:r>
      <w:proofErr w:type="spellEnd"/>
      <w:r w:rsidR="00C26A17" w:rsidRPr="006D1D85">
        <w:rPr>
          <w:rFonts w:ascii="Times New Roman" w:hAnsi="Times New Roman" w:cs="Times New Roman"/>
          <w:sz w:val="24"/>
          <w:szCs w:val="24"/>
        </w:rPr>
        <w:t xml:space="preserve"> (FCM) is a third-generation intravenous iron preparation that is free </w:t>
      </w:r>
      <w:r w:rsidR="00CE3082">
        <w:rPr>
          <w:rFonts w:ascii="Times New Roman" w:hAnsi="Times New Roman" w:cs="Times New Roman"/>
          <w:sz w:val="24"/>
          <w:szCs w:val="24"/>
        </w:rPr>
        <w:t>of</w:t>
      </w:r>
      <w:r w:rsidR="00C26A17" w:rsidRPr="006D1D85">
        <w:rPr>
          <w:rFonts w:ascii="Times New Roman" w:hAnsi="Times New Roman" w:cs="Times New Roman"/>
          <w:sz w:val="24"/>
          <w:szCs w:val="24"/>
        </w:rPr>
        <w:t xml:space="preserve"> dextran. It offers the advantage of quickly normalizing </w:t>
      </w:r>
      <w:proofErr w:type="spellStart"/>
      <w:r w:rsidR="00C26A17" w:rsidRPr="006D1D85">
        <w:rPr>
          <w:rFonts w:ascii="Times New Roman" w:hAnsi="Times New Roman" w:cs="Times New Roman"/>
          <w:sz w:val="24"/>
          <w:szCs w:val="24"/>
        </w:rPr>
        <w:t>hemoglobin</w:t>
      </w:r>
      <w:proofErr w:type="spellEnd"/>
      <w:r w:rsidR="00C26A17" w:rsidRPr="006D1D85">
        <w:rPr>
          <w:rFonts w:ascii="Times New Roman" w:hAnsi="Times New Roman" w:cs="Times New Roman"/>
          <w:sz w:val="24"/>
          <w:szCs w:val="24"/>
        </w:rPr>
        <w:t xml:space="preserve"> levels and replenishing iron stores, as it can be administered rapidly and </w:t>
      </w:r>
      <w:r w:rsidR="00CE3082">
        <w:rPr>
          <w:rFonts w:ascii="Times New Roman" w:hAnsi="Times New Roman" w:cs="Times New Roman"/>
          <w:sz w:val="24"/>
          <w:szCs w:val="24"/>
        </w:rPr>
        <w:t>at</w:t>
      </w:r>
      <w:r w:rsidR="00C26A17" w:rsidRPr="006D1D85">
        <w:rPr>
          <w:rFonts w:ascii="Times New Roman" w:hAnsi="Times New Roman" w:cs="Times New Roman"/>
          <w:sz w:val="24"/>
          <w:szCs w:val="24"/>
        </w:rPr>
        <w:t xml:space="preserve"> high doses</w:t>
      </w:r>
      <w:r w:rsidR="00C26A17">
        <w:rPr>
          <w:rFonts w:ascii="Times New Roman" w:hAnsi="Times New Roman" w:cs="Times New Roman"/>
          <w:sz w:val="24"/>
          <w:szCs w:val="24"/>
        </w:rPr>
        <w:t>.</w:t>
      </w:r>
      <w:r w:rsidR="00C26A17">
        <w:rPr>
          <w:rFonts w:ascii="Times New Roman" w:hAnsi="Times New Roman" w:cs="Times New Roman"/>
          <w:sz w:val="24"/>
          <w:szCs w:val="24"/>
          <w:vertAlign w:val="superscript"/>
        </w:rPr>
        <w:t>4</w:t>
      </w:r>
    </w:p>
    <w:p w14:paraId="42C5D50C" w14:textId="77777777" w:rsidR="00C26A17" w:rsidRPr="00A66D65" w:rsidRDefault="00C26A17" w:rsidP="00C26A17">
      <w:pPr>
        <w:spacing w:line="360" w:lineRule="auto"/>
        <w:jc w:val="both"/>
        <w:rPr>
          <w:rFonts w:ascii="Times New Roman" w:hAnsi="Times New Roman" w:cs="Times New Roman"/>
          <w:b/>
          <w:bCs/>
          <w:sz w:val="28"/>
          <w:szCs w:val="28"/>
        </w:rPr>
      </w:pPr>
      <w:r w:rsidRPr="00A66D65">
        <w:rPr>
          <w:rFonts w:ascii="Times New Roman" w:hAnsi="Times New Roman" w:cs="Times New Roman"/>
          <w:b/>
          <w:bCs/>
          <w:sz w:val="28"/>
          <w:szCs w:val="28"/>
        </w:rPr>
        <w:t xml:space="preserve">Case Presentation </w:t>
      </w:r>
    </w:p>
    <w:p w14:paraId="3A8AF644" w14:textId="2BD30A6D" w:rsidR="00C26A17" w:rsidRPr="006D1D85" w:rsidRDefault="00C26A17" w:rsidP="00C26A17">
      <w:pPr>
        <w:spacing w:line="360" w:lineRule="auto"/>
        <w:jc w:val="both"/>
        <w:rPr>
          <w:rFonts w:ascii="Times New Roman" w:hAnsi="Times New Roman" w:cs="Times New Roman"/>
          <w:sz w:val="24"/>
          <w:szCs w:val="24"/>
        </w:rPr>
      </w:pPr>
      <w:r w:rsidRPr="002716BA">
        <w:rPr>
          <w:rFonts w:ascii="Times New Roman" w:hAnsi="Times New Roman" w:cs="Times New Roman"/>
          <w:sz w:val="24"/>
          <w:szCs w:val="24"/>
        </w:rPr>
        <w:t xml:space="preserve">A </w:t>
      </w:r>
      <w:r>
        <w:rPr>
          <w:rFonts w:ascii="Times New Roman" w:hAnsi="Times New Roman" w:cs="Times New Roman"/>
          <w:sz w:val="24"/>
          <w:szCs w:val="24"/>
        </w:rPr>
        <w:t>24</w:t>
      </w:r>
      <w:r w:rsidRPr="002716BA">
        <w:rPr>
          <w:rFonts w:ascii="Times New Roman" w:hAnsi="Times New Roman" w:cs="Times New Roman"/>
          <w:sz w:val="24"/>
          <w:szCs w:val="24"/>
        </w:rPr>
        <w:t xml:space="preserve">-year-old female patient was admitted </w:t>
      </w:r>
      <w:r w:rsidR="00CE3082">
        <w:rPr>
          <w:rFonts w:ascii="Times New Roman" w:hAnsi="Times New Roman" w:cs="Times New Roman"/>
          <w:sz w:val="24"/>
          <w:szCs w:val="24"/>
        </w:rPr>
        <w:t>to</w:t>
      </w:r>
      <w:r w:rsidRPr="002716BA">
        <w:rPr>
          <w:rFonts w:ascii="Times New Roman" w:hAnsi="Times New Roman" w:cs="Times New Roman"/>
          <w:sz w:val="24"/>
          <w:szCs w:val="24"/>
        </w:rPr>
        <w:t xml:space="preserve"> Ballari </w:t>
      </w:r>
      <w:r w:rsidR="00CE3082">
        <w:rPr>
          <w:rFonts w:ascii="Times New Roman" w:hAnsi="Times New Roman" w:cs="Times New Roman"/>
          <w:sz w:val="24"/>
          <w:szCs w:val="24"/>
        </w:rPr>
        <w:t>M</w:t>
      </w:r>
      <w:r w:rsidRPr="002716BA">
        <w:rPr>
          <w:rFonts w:ascii="Times New Roman" w:hAnsi="Times New Roman" w:cs="Times New Roman"/>
          <w:sz w:val="24"/>
          <w:szCs w:val="24"/>
        </w:rPr>
        <w:t xml:space="preserve">edical </w:t>
      </w:r>
      <w:r w:rsidR="00CE3082">
        <w:rPr>
          <w:rFonts w:ascii="Times New Roman" w:hAnsi="Times New Roman" w:cs="Times New Roman"/>
          <w:sz w:val="24"/>
          <w:szCs w:val="24"/>
        </w:rPr>
        <w:t>C</w:t>
      </w:r>
      <w:r w:rsidRPr="002716BA">
        <w:rPr>
          <w:rFonts w:ascii="Times New Roman" w:hAnsi="Times New Roman" w:cs="Times New Roman"/>
          <w:sz w:val="24"/>
          <w:szCs w:val="24"/>
        </w:rPr>
        <w:t xml:space="preserve">ollege and </w:t>
      </w:r>
      <w:r w:rsidR="00CE3082">
        <w:rPr>
          <w:rFonts w:ascii="Times New Roman" w:hAnsi="Times New Roman" w:cs="Times New Roman"/>
          <w:sz w:val="24"/>
          <w:szCs w:val="24"/>
        </w:rPr>
        <w:t>R</w:t>
      </w:r>
      <w:r w:rsidRPr="002716BA">
        <w:rPr>
          <w:rFonts w:ascii="Times New Roman" w:hAnsi="Times New Roman" w:cs="Times New Roman"/>
          <w:sz w:val="24"/>
          <w:szCs w:val="24"/>
        </w:rPr>
        <w:t xml:space="preserve">esearch </w:t>
      </w:r>
      <w:r w:rsidR="00CE3082">
        <w:rPr>
          <w:rFonts w:ascii="Times New Roman" w:hAnsi="Times New Roman" w:cs="Times New Roman"/>
          <w:sz w:val="24"/>
          <w:szCs w:val="24"/>
        </w:rPr>
        <w:t>C</w:t>
      </w:r>
      <w:r w:rsidRPr="002716BA">
        <w:rPr>
          <w:rFonts w:ascii="Times New Roman" w:hAnsi="Times New Roman" w:cs="Times New Roman"/>
          <w:sz w:val="24"/>
          <w:szCs w:val="24"/>
        </w:rPr>
        <w:t xml:space="preserve">entre, Ballari (Karnataka) with chief complaints of </w:t>
      </w:r>
      <w:r>
        <w:rPr>
          <w:rFonts w:ascii="Times New Roman" w:hAnsi="Times New Roman" w:cs="Times New Roman"/>
          <w:sz w:val="24"/>
          <w:szCs w:val="24"/>
        </w:rPr>
        <w:t xml:space="preserve">generalised weakness, easy fatigability and decreased appetite </w:t>
      </w:r>
      <w:proofErr w:type="gramStart"/>
      <w:r w:rsidRPr="002716BA">
        <w:rPr>
          <w:rFonts w:ascii="Times New Roman" w:hAnsi="Times New Roman" w:cs="Times New Roman"/>
          <w:sz w:val="24"/>
          <w:szCs w:val="24"/>
        </w:rPr>
        <w:t>since</w:t>
      </w:r>
      <w:proofErr w:type="gramEnd"/>
      <w:r w:rsidRPr="002716BA">
        <w:rPr>
          <w:rFonts w:ascii="Times New Roman" w:hAnsi="Times New Roman" w:cs="Times New Roman"/>
          <w:sz w:val="24"/>
          <w:szCs w:val="24"/>
        </w:rPr>
        <w:t xml:space="preserve"> </w:t>
      </w:r>
      <w:r>
        <w:rPr>
          <w:rFonts w:ascii="Times New Roman" w:hAnsi="Times New Roman" w:cs="Times New Roman"/>
          <w:sz w:val="24"/>
          <w:szCs w:val="24"/>
        </w:rPr>
        <w:t>1</w:t>
      </w:r>
      <w:r w:rsidRPr="002716BA">
        <w:rPr>
          <w:rFonts w:ascii="Times New Roman" w:hAnsi="Times New Roman" w:cs="Times New Roman"/>
          <w:sz w:val="24"/>
          <w:szCs w:val="24"/>
        </w:rPr>
        <w:t xml:space="preserve">5 days. On examination, </w:t>
      </w:r>
      <w:r w:rsidR="00CE3082">
        <w:rPr>
          <w:rFonts w:ascii="Times New Roman" w:hAnsi="Times New Roman" w:cs="Times New Roman"/>
          <w:sz w:val="24"/>
          <w:szCs w:val="24"/>
        </w:rPr>
        <w:t xml:space="preserve">the </w:t>
      </w:r>
      <w:r w:rsidRPr="002716BA">
        <w:rPr>
          <w:rFonts w:ascii="Times New Roman" w:hAnsi="Times New Roman" w:cs="Times New Roman"/>
          <w:sz w:val="24"/>
          <w:szCs w:val="24"/>
        </w:rPr>
        <w:t>patient was conscious and oriented, BP-120/80mmHg, PR</w:t>
      </w:r>
      <w:r>
        <w:rPr>
          <w:rFonts w:ascii="Times New Roman" w:hAnsi="Times New Roman" w:cs="Times New Roman"/>
          <w:sz w:val="24"/>
          <w:szCs w:val="24"/>
        </w:rPr>
        <w:t>- 89 bpm</w:t>
      </w:r>
      <w:r w:rsidRPr="002716BA">
        <w:rPr>
          <w:rFonts w:ascii="Times New Roman" w:hAnsi="Times New Roman" w:cs="Times New Roman"/>
          <w:sz w:val="24"/>
          <w:szCs w:val="24"/>
        </w:rPr>
        <w:t xml:space="preserve">, P/A-soft, </w:t>
      </w:r>
      <w:r>
        <w:rPr>
          <w:rFonts w:ascii="Times New Roman" w:hAnsi="Times New Roman" w:cs="Times New Roman"/>
          <w:sz w:val="24"/>
          <w:szCs w:val="24"/>
        </w:rPr>
        <w:t>non</w:t>
      </w:r>
      <w:r w:rsidR="00CE3082">
        <w:rPr>
          <w:rFonts w:ascii="Times New Roman" w:hAnsi="Times New Roman" w:cs="Times New Roman"/>
          <w:sz w:val="24"/>
          <w:szCs w:val="24"/>
        </w:rPr>
        <w:t xml:space="preserve">- </w:t>
      </w:r>
      <w:r>
        <w:rPr>
          <w:rFonts w:ascii="Times New Roman" w:hAnsi="Times New Roman" w:cs="Times New Roman"/>
          <w:sz w:val="24"/>
          <w:szCs w:val="24"/>
        </w:rPr>
        <w:t>tender</w:t>
      </w:r>
      <w:r w:rsidRPr="002716BA">
        <w:rPr>
          <w:rFonts w:ascii="Times New Roman" w:hAnsi="Times New Roman" w:cs="Times New Roman"/>
          <w:sz w:val="24"/>
          <w:szCs w:val="24"/>
        </w:rPr>
        <w:t>, CVS- S1S2+, R/S-B/L NVBS+.</w:t>
      </w:r>
    </w:p>
    <w:p w14:paraId="00165E6E" w14:textId="77777777" w:rsidR="00C26A17" w:rsidRPr="006D1D85" w:rsidRDefault="00C26A17" w:rsidP="00C26A17">
      <w:pPr>
        <w:spacing w:line="360" w:lineRule="auto"/>
        <w:jc w:val="both"/>
        <w:rPr>
          <w:rFonts w:ascii="Times New Roman" w:hAnsi="Times New Roman" w:cs="Times New Roman"/>
          <w:b/>
          <w:bCs/>
          <w:sz w:val="28"/>
          <w:szCs w:val="28"/>
        </w:rPr>
      </w:pPr>
      <w:r w:rsidRPr="00A66D65">
        <w:rPr>
          <w:rFonts w:ascii="Times New Roman" w:hAnsi="Times New Roman" w:cs="Times New Roman"/>
          <w:b/>
          <w:bCs/>
          <w:sz w:val="28"/>
          <w:szCs w:val="28"/>
        </w:rPr>
        <w:t>Past medication History</w:t>
      </w:r>
    </w:p>
    <w:p w14:paraId="75315FA0" w14:textId="77777777" w:rsidR="00C26A17" w:rsidRDefault="00C26A17" w:rsidP="00C26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comorbidities </w:t>
      </w:r>
    </w:p>
    <w:p w14:paraId="022E69C7" w14:textId="77777777" w:rsidR="00C26A17" w:rsidRPr="00A66D65" w:rsidRDefault="00C26A17" w:rsidP="00C26A17">
      <w:pPr>
        <w:spacing w:line="360" w:lineRule="auto"/>
        <w:jc w:val="both"/>
        <w:rPr>
          <w:rFonts w:ascii="Times New Roman" w:hAnsi="Times New Roman" w:cs="Times New Roman"/>
          <w:b/>
          <w:bCs/>
          <w:sz w:val="28"/>
          <w:szCs w:val="28"/>
        </w:rPr>
      </w:pPr>
      <w:r w:rsidRPr="00A66D65">
        <w:rPr>
          <w:rFonts w:ascii="Times New Roman" w:hAnsi="Times New Roman" w:cs="Times New Roman"/>
          <w:b/>
          <w:bCs/>
          <w:sz w:val="28"/>
          <w:szCs w:val="28"/>
        </w:rPr>
        <w:t xml:space="preserve">Personal history </w:t>
      </w:r>
    </w:p>
    <w:p w14:paraId="499CA0BA" w14:textId="3B447661" w:rsidR="00C26A17" w:rsidRDefault="00C26A17" w:rsidP="00C26A17">
      <w:pPr>
        <w:spacing w:line="360" w:lineRule="auto"/>
        <w:jc w:val="both"/>
        <w:rPr>
          <w:rFonts w:ascii="Times New Roman" w:hAnsi="Times New Roman" w:cs="Times New Roman"/>
          <w:sz w:val="24"/>
          <w:szCs w:val="24"/>
        </w:rPr>
      </w:pPr>
      <w:r w:rsidRPr="00BF2957">
        <w:rPr>
          <w:rFonts w:ascii="Times New Roman" w:hAnsi="Times New Roman" w:cs="Times New Roman"/>
          <w:sz w:val="24"/>
          <w:szCs w:val="24"/>
        </w:rPr>
        <w:t>Habits- Nil</w:t>
      </w:r>
      <w:r>
        <w:rPr>
          <w:rFonts w:ascii="Times New Roman" w:hAnsi="Times New Roman" w:cs="Times New Roman"/>
          <w:sz w:val="24"/>
          <w:szCs w:val="24"/>
        </w:rPr>
        <w:t xml:space="preserve">, mixed diet, decreased appetite, </w:t>
      </w:r>
      <w:r w:rsidR="00CE3082" w:rsidRPr="00CE3082">
        <w:rPr>
          <w:rFonts w:ascii="Times New Roman" w:hAnsi="Times New Roman" w:cs="Times New Roman"/>
          <w:sz w:val="24"/>
          <w:szCs w:val="24"/>
        </w:rPr>
        <w:t>good sleep, regular bowel and bladder</w:t>
      </w:r>
      <w:r>
        <w:rPr>
          <w:rFonts w:ascii="Times New Roman" w:hAnsi="Times New Roman" w:cs="Times New Roman"/>
          <w:sz w:val="24"/>
          <w:szCs w:val="24"/>
        </w:rPr>
        <w:t xml:space="preserve">. </w:t>
      </w:r>
    </w:p>
    <w:p w14:paraId="18CEEA93" w14:textId="7679D317" w:rsidR="00C26A17" w:rsidRPr="00A66D65" w:rsidRDefault="007C0936" w:rsidP="00C26A1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1 </w:t>
      </w:r>
      <w:r w:rsidR="00C26A17" w:rsidRPr="00A66D65">
        <w:rPr>
          <w:rFonts w:ascii="Times New Roman" w:hAnsi="Times New Roman" w:cs="Times New Roman"/>
          <w:b/>
          <w:bCs/>
          <w:sz w:val="28"/>
          <w:szCs w:val="28"/>
        </w:rPr>
        <w:t>Laboratory Investigations</w:t>
      </w:r>
    </w:p>
    <w:tbl>
      <w:tblPr>
        <w:tblStyle w:val="TableGrid"/>
        <w:tblW w:w="9016" w:type="dxa"/>
        <w:tblLook w:val="04A0" w:firstRow="1" w:lastRow="0" w:firstColumn="1" w:lastColumn="0" w:noHBand="0" w:noVBand="1"/>
      </w:tblPr>
      <w:tblGrid>
        <w:gridCol w:w="2439"/>
        <w:gridCol w:w="2433"/>
        <w:gridCol w:w="3345"/>
        <w:gridCol w:w="799"/>
      </w:tblGrid>
      <w:tr w:rsidR="00EE1DF8" w14:paraId="613E7711" w14:textId="77777777" w:rsidTr="009D0992">
        <w:tc>
          <w:tcPr>
            <w:tcW w:w="2439" w:type="dxa"/>
          </w:tcPr>
          <w:p w14:paraId="5509BC34" w14:textId="77777777" w:rsidR="00C26A17" w:rsidRDefault="00C26A17" w:rsidP="009D0992">
            <w:pPr>
              <w:spacing w:line="360" w:lineRule="auto"/>
              <w:jc w:val="both"/>
              <w:rPr>
                <w:rFonts w:ascii="Times New Roman" w:hAnsi="Times New Roman" w:cs="Times New Roman"/>
                <w:sz w:val="24"/>
                <w:szCs w:val="24"/>
              </w:rPr>
            </w:pPr>
            <w:r w:rsidRPr="00E1153B">
              <w:rPr>
                <w:rFonts w:ascii="Times New Roman" w:hAnsi="Times New Roman" w:cs="Times New Roman"/>
                <w:b/>
                <w:bCs/>
                <w:sz w:val="24"/>
                <w:szCs w:val="24"/>
              </w:rPr>
              <w:t>Laboratory test</w:t>
            </w:r>
          </w:p>
        </w:tc>
        <w:tc>
          <w:tcPr>
            <w:tcW w:w="2433" w:type="dxa"/>
          </w:tcPr>
          <w:p w14:paraId="7185F692" w14:textId="77777777" w:rsidR="00C26A17" w:rsidRDefault="00C26A17" w:rsidP="009D0992">
            <w:pPr>
              <w:spacing w:line="360" w:lineRule="auto"/>
              <w:jc w:val="both"/>
              <w:rPr>
                <w:rFonts w:ascii="Times New Roman" w:hAnsi="Times New Roman" w:cs="Times New Roman"/>
                <w:sz w:val="24"/>
                <w:szCs w:val="24"/>
              </w:rPr>
            </w:pPr>
            <w:r w:rsidRPr="00E1153B">
              <w:rPr>
                <w:rFonts w:ascii="Times New Roman" w:hAnsi="Times New Roman" w:cs="Times New Roman"/>
                <w:b/>
                <w:bCs/>
                <w:sz w:val="24"/>
                <w:szCs w:val="24"/>
              </w:rPr>
              <w:t xml:space="preserve">Lab parameters </w:t>
            </w:r>
          </w:p>
        </w:tc>
        <w:tc>
          <w:tcPr>
            <w:tcW w:w="3345" w:type="dxa"/>
          </w:tcPr>
          <w:p w14:paraId="3B513D85" w14:textId="77777777" w:rsidR="00C26A17" w:rsidRDefault="00C26A17" w:rsidP="009D0992">
            <w:pPr>
              <w:spacing w:line="360" w:lineRule="auto"/>
              <w:jc w:val="both"/>
              <w:rPr>
                <w:rFonts w:ascii="Times New Roman" w:hAnsi="Times New Roman" w:cs="Times New Roman"/>
                <w:sz w:val="24"/>
                <w:szCs w:val="24"/>
              </w:rPr>
            </w:pPr>
            <w:r w:rsidRPr="00E1153B">
              <w:rPr>
                <w:rFonts w:ascii="Times New Roman" w:hAnsi="Times New Roman" w:cs="Times New Roman"/>
                <w:b/>
                <w:bCs/>
                <w:sz w:val="24"/>
                <w:szCs w:val="24"/>
              </w:rPr>
              <w:t>D1</w:t>
            </w:r>
          </w:p>
        </w:tc>
        <w:tc>
          <w:tcPr>
            <w:tcW w:w="799" w:type="dxa"/>
          </w:tcPr>
          <w:p w14:paraId="36B1E22C" w14:textId="77777777" w:rsidR="00C26A17" w:rsidRPr="00E1153B" w:rsidRDefault="00C26A17" w:rsidP="009D099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D3</w:t>
            </w:r>
          </w:p>
        </w:tc>
      </w:tr>
      <w:tr w:rsidR="00EE1DF8" w14:paraId="32AF408B" w14:textId="77777777" w:rsidTr="009D0992">
        <w:tc>
          <w:tcPr>
            <w:tcW w:w="2439" w:type="dxa"/>
          </w:tcPr>
          <w:p w14:paraId="346AB326" w14:textId="77777777" w:rsidR="00C26A17" w:rsidRDefault="00C26A17" w:rsidP="009D09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Hematology</w:t>
            </w:r>
            <w:proofErr w:type="spellEnd"/>
          </w:p>
        </w:tc>
        <w:tc>
          <w:tcPr>
            <w:tcW w:w="2433" w:type="dxa"/>
          </w:tcPr>
          <w:p w14:paraId="7C6788D3" w14:textId="77777777" w:rsidR="00C26A17" w:rsidRDefault="00C26A17" w:rsidP="009D09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Hemoglobin</w:t>
            </w:r>
            <w:proofErr w:type="spellEnd"/>
            <w:r>
              <w:rPr>
                <w:rFonts w:ascii="Times New Roman" w:hAnsi="Times New Roman" w:cs="Times New Roman"/>
                <w:sz w:val="24"/>
                <w:szCs w:val="24"/>
              </w:rPr>
              <w:t xml:space="preserve"> </w:t>
            </w:r>
          </w:p>
          <w:p w14:paraId="2AF9068E"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RBC</w:t>
            </w:r>
          </w:p>
          <w:p w14:paraId="2E7D51D3" w14:textId="77777777" w:rsidR="00C26A17" w:rsidRDefault="00C26A17" w:rsidP="009D09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Hematocrit</w:t>
            </w:r>
            <w:proofErr w:type="spellEnd"/>
            <w:r>
              <w:rPr>
                <w:rFonts w:ascii="Times New Roman" w:hAnsi="Times New Roman" w:cs="Times New Roman"/>
                <w:sz w:val="24"/>
                <w:szCs w:val="24"/>
              </w:rPr>
              <w:t xml:space="preserve"> </w:t>
            </w:r>
          </w:p>
          <w:p w14:paraId="18B8D62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Platelets </w:t>
            </w:r>
          </w:p>
          <w:p w14:paraId="05FB9EF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WBC</w:t>
            </w:r>
          </w:p>
          <w:p w14:paraId="210DF738"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ESR</w:t>
            </w:r>
          </w:p>
        </w:tc>
        <w:tc>
          <w:tcPr>
            <w:tcW w:w="3345" w:type="dxa"/>
          </w:tcPr>
          <w:p w14:paraId="2FD1ED7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5.9 g/dL </w:t>
            </w:r>
            <w:r w:rsidRPr="00A567DE">
              <w:rPr>
                <w:rFonts w:ascii="Times New Roman" w:hAnsi="Times New Roman" w:cs="Times New Roman"/>
                <w:sz w:val="24"/>
                <w:szCs w:val="24"/>
              </w:rPr>
              <w:t>(reduced)</w:t>
            </w:r>
          </w:p>
          <w:p w14:paraId="2390E5E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1.87 </w:t>
            </w:r>
            <w:r w:rsidRPr="008A14EE">
              <w:rPr>
                <w:rFonts w:ascii="Times New Roman" w:hAnsi="Times New Roman" w:cs="Times New Roman"/>
                <w:sz w:val="24"/>
                <w:szCs w:val="24"/>
              </w:rPr>
              <w:t>million/</w:t>
            </w:r>
            <w:proofErr w:type="spellStart"/>
            <w:r w:rsidRPr="008A14EE">
              <w:rPr>
                <w:rFonts w:ascii="Times New Roman" w:hAnsi="Times New Roman" w:cs="Times New Roman"/>
                <w:sz w:val="24"/>
                <w:szCs w:val="24"/>
              </w:rPr>
              <w:t>cumm</w:t>
            </w:r>
            <w:proofErr w:type="spellEnd"/>
            <w:r>
              <w:rPr>
                <w:rFonts w:ascii="Times New Roman" w:hAnsi="Times New Roman" w:cs="Times New Roman"/>
                <w:sz w:val="24"/>
                <w:szCs w:val="24"/>
              </w:rPr>
              <w:t xml:space="preserve"> </w:t>
            </w:r>
            <w:r w:rsidRPr="00A567DE">
              <w:rPr>
                <w:rFonts w:ascii="Times New Roman" w:hAnsi="Times New Roman" w:cs="Times New Roman"/>
                <w:sz w:val="24"/>
                <w:szCs w:val="24"/>
              </w:rPr>
              <w:t>(reduced)</w:t>
            </w:r>
          </w:p>
          <w:p w14:paraId="08D15ED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11.4 % </w:t>
            </w:r>
            <w:r w:rsidRPr="00A567DE">
              <w:rPr>
                <w:rFonts w:ascii="Times New Roman" w:hAnsi="Times New Roman" w:cs="Times New Roman"/>
                <w:sz w:val="24"/>
                <w:szCs w:val="24"/>
              </w:rPr>
              <w:t>(reduced)</w:t>
            </w:r>
          </w:p>
          <w:p w14:paraId="632FF1E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2.64 </w:t>
            </w:r>
            <w:r w:rsidRPr="008A14EE">
              <w:rPr>
                <w:rFonts w:ascii="Times New Roman" w:hAnsi="Times New Roman" w:cs="Times New Roman"/>
                <w:sz w:val="24"/>
                <w:szCs w:val="24"/>
              </w:rPr>
              <w:t>lacs/</w:t>
            </w:r>
            <w:proofErr w:type="spellStart"/>
            <w:r w:rsidRPr="008A14EE">
              <w:rPr>
                <w:rFonts w:ascii="Times New Roman" w:hAnsi="Times New Roman" w:cs="Times New Roman"/>
                <w:sz w:val="24"/>
                <w:szCs w:val="24"/>
              </w:rPr>
              <w:t>cumm</w:t>
            </w:r>
            <w:proofErr w:type="spellEnd"/>
            <w:r>
              <w:rPr>
                <w:rFonts w:ascii="Times New Roman" w:hAnsi="Times New Roman" w:cs="Times New Roman"/>
                <w:sz w:val="24"/>
                <w:szCs w:val="24"/>
              </w:rPr>
              <w:t xml:space="preserve"> </w:t>
            </w:r>
          </w:p>
          <w:p w14:paraId="415F698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4010 cells/</w:t>
            </w:r>
            <w:proofErr w:type="spellStart"/>
            <w:r>
              <w:rPr>
                <w:rFonts w:ascii="Times New Roman" w:hAnsi="Times New Roman" w:cs="Times New Roman"/>
                <w:sz w:val="24"/>
                <w:szCs w:val="24"/>
              </w:rPr>
              <w:t>cumm</w:t>
            </w:r>
            <w:proofErr w:type="spellEnd"/>
            <w:r>
              <w:rPr>
                <w:rFonts w:ascii="Times New Roman" w:hAnsi="Times New Roman" w:cs="Times New Roman"/>
                <w:sz w:val="24"/>
                <w:szCs w:val="24"/>
              </w:rPr>
              <w:t xml:space="preserve"> </w:t>
            </w:r>
            <w:r w:rsidRPr="00A567DE">
              <w:rPr>
                <w:rFonts w:ascii="Times New Roman" w:hAnsi="Times New Roman" w:cs="Times New Roman"/>
                <w:sz w:val="24"/>
                <w:szCs w:val="24"/>
              </w:rPr>
              <w:t>(reduced)</w:t>
            </w:r>
          </w:p>
          <w:p w14:paraId="045F641E"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65 mm/hr (increased)</w:t>
            </w:r>
          </w:p>
        </w:tc>
        <w:tc>
          <w:tcPr>
            <w:tcW w:w="799" w:type="dxa"/>
          </w:tcPr>
          <w:p w14:paraId="5A9075BD" w14:textId="77777777" w:rsidR="00C26A17" w:rsidRPr="008A14EE" w:rsidRDefault="00C26A17" w:rsidP="009D0992">
            <w:pPr>
              <w:spacing w:line="360" w:lineRule="auto"/>
              <w:jc w:val="both"/>
              <w:rPr>
                <w:rFonts w:ascii="Times New Roman" w:hAnsi="Times New Roman" w:cs="Times New Roman"/>
                <w:b/>
                <w:bCs/>
                <w:sz w:val="24"/>
                <w:szCs w:val="24"/>
              </w:rPr>
            </w:pPr>
            <w:r w:rsidRPr="008A14EE">
              <w:rPr>
                <w:rFonts w:ascii="Times New Roman" w:hAnsi="Times New Roman" w:cs="Times New Roman"/>
                <w:b/>
                <w:bCs/>
                <w:sz w:val="24"/>
                <w:szCs w:val="24"/>
              </w:rPr>
              <w:lastRenderedPageBreak/>
              <w:t>5.0</w:t>
            </w:r>
          </w:p>
          <w:p w14:paraId="7301BF41" w14:textId="77777777" w:rsidR="00C26A17" w:rsidRPr="008A14EE" w:rsidRDefault="00C26A17" w:rsidP="009D0992">
            <w:pPr>
              <w:spacing w:line="360" w:lineRule="auto"/>
              <w:jc w:val="both"/>
              <w:rPr>
                <w:rFonts w:ascii="Times New Roman" w:hAnsi="Times New Roman" w:cs="Times New Roman"/>
                <w:b/>
                <w:bCs/>
                <w:sz w:val="24"/>
                <w:szCs w:val="24"/>
              </w:rPr>
            </w:pPr>
            <w:r w:rsidRPr="008A14EE">
              <w:rPr>
                <w:rFonts w:ascii="Times New Roman" w:hAnsi="Times New Roman" w:cs="Times New Roman"/>
                <w:b/>
                <w:bCs/>
                <w:sz w:val="24"/>
                <w:szCs w:val="24"/>
              </w:rPr>
              <w:t>2.88</w:t>
            </w:r>
          </w:p>
          <w:p w14:paraId="25131A86" w14:textId="77777777" w:rsidR="00C26A17" w:rsidRPr="008A14EE" w:rsidRDefault="00C26A17" w:rsidP="009D0992">
            <w:pPr>
              <w:spacing w:line="360" w:lineRule="auto"/>
              <w:jc w:val="both"/>
              <w:rPr>
                <w:rFonts w:ascii="Times New Roman" w:hAnsi="Times New Roman" w:cs="Times New Roman"/>
                <w:b/>
                <w:bCs/>
                <w:sz w:val="24"/>
                <w:szCs w:val="24"/>
              </w:rPr>
            </w:pPr>
            <w:r w:rsidRPr="008A14EE">
              <w:rPr>
                <w:rFonts w:ascii="Times New Roman" w:hAnsi="Times New Roman" w:cs="Times New Roman"/>
                <w:b/>
                <w:bCs/>
                <w:sz w:val="24"/>
                <w:szCs w:val="24"/>
              </w:rPr>
              <w:t>19.9</w:t>
            </w:r>
          </w:p>
          <w:p w14:paraId="68ED4E89"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2.53</w:t>
            </w:r>
          </w:p>
          <w:p w14:paraId="72EABF0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8630</w:t>
            </w:r>
          </w:p>
        </w:tc>
      </w:tr>
      <w:tr w:rsidR="00EE1DF8" w14:paraId="5C6DF515" w14:textId="77777777" w:rsidTr="009D0992">
        <w:trPr>
          <w:trHeight w:val="2024"/>
        </w:trPr>
        <w:tc>
          <w:tcPr>
            <w:tcW w:w="2439" w:type="dxa"/>
          </w:tcPr>
          <w:p w14:paraId="084BD59D" w14:textId="7CE1D62F" w:rsidR="00C26A17" w:rsidRDefault="00C26A17" w:rsidP="009D0992">
            <w:pPr>
              <w:spacing w:line="360" w:lineRule="auto"/>
              <w:jc w:val="both"/>
              <w:rPr>
                <w:rFonts w:ascii="Times New Roman" w:hAnsi="Times New Roman" w:cs="Times New Roman"/>
                <w:sz w:val="24"/>
                <w:szCs w:val="24"/>
              </w:rPr>
            </w:pPr>
          </w:p>
        </w:tc>
        <w:tc>
          <w:tcPr>
            <w:tcW w:w="2433" w:type="dxa"/>
          </w:tcPr>
          <w:p w14:paraId="604E959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LDH</w:t>
            </w:r>
          </w:p>
          <w:p w14:paraId="41CDAC7B"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Serum ferritin</w:t>
            </w:r>
          </w:p>
          <w:p w14:paraId="0A5EB05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Serum folic acid</w:t>
            </w:r>
          </w:p>
          <w:p w14:paraId="6DA0DD23"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Vitamin B12</w:t>
            </w:r>
          </w:p>
          <w:p w14:paraId="4F50837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Retic count</w:t>
            </w:r>
          </w:p>
        </w:tc>
        <w:tc>
          <w:tcPr>
            <w:tcW w:w="4144" w:type="dxa"/>
            <w:gridSpan w:val="2"/>
          </w:tcPr>
          <w:p w14:paraId="5ED17BA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199 U/L </w:t>
            </w:r>
            <w:r w:rsidRPr="00A567DE">
              <w:rPr>
                <w:rFonts w:ascii="Times New Roman" w:hAnsi="Times New Roman" w:cs="Times New Roman"/>
                <w:sz w:val="24"/>
                <w:szCs w:val="24"/>
              </w:rPr>
              <w:t>(reduced)</w:t>
            </w:r>
          </w:p>
          <w:p w14:paraId="25825BD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1.03 ng/mL </w:t>
            </w:r>
            <w:r w:rsidRPr="00A567DE">
              <w:rPr>
                <w:rFonts w:ascii="Times New Roman" w:hAnsi="Times New Roman" w:cs="Times New Roman"/>
                <w:sz w:val="24"/>
                <w:szCs w:val="24"/>
              </w:rPr>
              <w:t>(reduced)</w:t>
            </w:r>
          </w:p>
          <w:p w14:paraId="1509FF3B"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5.32 ng/mL </w:t>
            </w:r>
          </w:p>
          <w:p w14:paraId="3B912FC8"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577.3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/mL</w:t>
            </w:r>
          </w:p>
          <w:p w14:paraId="4BE2F215"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0.4%</w:t>
            </w:r>
          </w:p>
        </w:tc>
      </w:tr>
      <w:tr w:rsidR="00EE1DF8" w14:paraId="11CC86CC" w14:textId="77777777" w:rsidTr="009D0992">
        <w:tc>
          <w:tcPr>
            <w:tcW w:w="2439" w:type="dxa"/>
          </w:tcPr>
          <w:p w14:paraId="015FFE39"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Thyroid profile</w:t>
            </w:r>
          </w:p>
        </w:tc>
        <w:tc>
          <w:tcPr>
            <w:tcW w:w="2433" w:type="dxa"/>
          </w:tcPr>
          <w:p w14:paraId="5AA89125"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FT3</w:t>
            </w:r>
          </w:p>
          <w:p w14:paraId="0FD51A6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FT4</w:t>
            </w:r>
          </w:p>
          <w:p w14:paraId="7D61A35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TSH</w:t>
            </w:r>
          </w:p>
        </w:tc>
        <w:tc>
          <w:tcPr>
            <w:tcW w:w="4144" w:type="dxa"/>
            <w:gridSpan w:val="2"/>
          </w:tcPr>
          <w:p w14:paraId="25C387D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3.26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/mL</w:t>
            </w:r>
          </w:p>
          <w:p w14:paraId="593DF653"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1.18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/mL</w:t>
            </w:r>
          </w:p>
          <w:p w14:paraId="391FBE19"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1.36</w:t>
            </w:r>
          </w:p>
        </w:tc>
      </w:tr>
      <w:tr w:rsidR="00EE1DF8" w14:paraId="71DBD4FE" w14:textId="77777777" w:rsidTr="009D0992">
        <w:trPr>
          <w:trHeight w:val="824"/>
        </w:trPr>
        <w:tc>
          <w:tcPr>
            <w:tcW w:w="2439" w:type="dxa"/>
          </w:tcPr>
          <w:p w14:paraId="6E5BFF0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Peripheral smear only</w:t>
            </w:r>
          </w:p>
        </w:tc>
        <w:tc>
          <w:tcPr>
            <w:tcW w:w="6577" w:type="dxa"/>
            <w:gridSpan w:val="3"/>
          </w:tcPr>
          <w:p w14:paraId="5A545F6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Dimorphic </w:t>
            </w: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of severe degree with marked </w:t>
            </w:r>
            <w:proofErr w:type="spellStart"/>
            <w:r>
              <w:rPr>
                <w:rFonts w:ascii="Times New Roman" w:hAnsi="Times New Roman" w:cs="Times New Roman"/>
                <w:sz w:val="24"/>
                <w:szCs w:val="24"/>
              </w:rPr>
              <w:t>anisopoiklocytosis</w:t>
            </w:r>
            <w:proofErr w:type="spellEnd"/>
            <w:r>
              <w:rPr>
                <w:rFonts w:ascii="Times New Roman" w:hAnsi="Times New Roman" w:cs="Times New Roman"/>
                <w:sz w:val="24"/>
                <w:szCs w:val="24"/>
              </w:rPr>
              <w:t xml:space="preserve">. </w:t>
            </w:r>
          </w:p>
        </w:tc>
      </w:tr>
      <w:tr w:rsidR="00EE1DF8" w14:paraId="7DC2AB7F" w14:textId="77777777" w:rsidTr="009D0992">
        <w:trPr>
          <w:trHeight w:val="694"/>
        </w:trPr>
        <w:tc>
          <w:tcPr>
            <w:tcW w:w="2439" w:type="dxa"/>
          </w:tcPr>
          <w:p w14:paraId="1986FC6D"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USG Abdomen and pelvis</w:t>
            </w:r>
          </w:p>
        </w:tc>
        <w:tc>
          <w:tcPr>
            <w:tcW w:w="6577" w:type="dxa"/>
            <w:gridSpan w:val="3"/>
          </w:tcPr>
          <w:p w14:paraId="6A8EA7A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Normal study </w:t>
            </w:r>
          </w:p>
        </w:tc>
      </w:tr>
    </w:tbl>
    <w:p w14:paraId="303A34AD" w14:textId="6B88D182" w:rsidR="00C26A17" w:rsidRDefault="00EE1DF8" w:rsidP="00C26A17">
      <w:pPr>
        <w:spacing w:line="360" w:lineRule="auto"/>
        <w:jc w:val="both"/>
        <w:rPr>
          <w:rFonts w:ascii="Times New Roman" w:hAnsi="Times New Roman" w:cs="Times New Roman"/>
          <w:sz w:val="24"/>
          <w:szCs w:val="24"/>
        </w:rPr>
      </w:pPr>
      <w:r w:rsidRPr="00DA70AD">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0A2E18E7" wp14:editId="55810A4B">
            <wp:simplePos x="0" y="0"/>
            <wp:positionH relativeFrom="margin">
              <wp:posOffset>2825750</wp:posOffset>
            </wp:positionH>
            <wp:positionV relativeFrom="paragraph">
              <wp:posOffset>221615</wp:posOffset>
            </wp:positionV>
            <wp:extent cx="2625090" cy="2129790"/>
            <wp:effectExtent l="0" t="0" r="3810" b="3810"/>
            <wp:wrapSquare wrapText="bothSides"/>
            <wp:docPr id="64115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5943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5090" cy="2129790"/>
                    </a:xfrm>
                    <a:prstGeom prst="rect">
                      <a:avLst/>
                    </a:prstGeom>
                  </pic:spPr>
                </pic:pic>
              </a:graphicData>
            </a:graphic>
            <wp14:sizeRelH relativeFrom="margin">
              <wp14:pctWidth>0</wp14:pctWidth>
            </wp14:sizeRelH>
            <wp14:sizeRelV relativeFrom="margin">
              <wp14:pctHeight>0</wp14:pctHeight>
            </wp14:sizeRelV>
          </wp:anchor>
        </w:drawing>
      </w:r>
      <w:r w:rsidRPr="00DA70AD">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70AE08AD" wp14:editId="78EDCA91">
            <wp:simplePos x="0" y="0"/>
            <wp:positionH relativeFrom="margin">
              <wp:align>left</wp:align>
            </wp:positionH>
            <wp:positionV relativeFrom="paragraph">
              <wp:posOffset>221615</wp:posOffset>
            </wp:positionV>
            <wp:extent cx="2105660" cy="2152650"/>
            <wp:effectExtent l="0" t="0" r="8890" b="0"/>
            <wp:wrapSquare wrapText="bothSides"/>
            <wp:docPr id="30947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500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033" cy="2181648"/>
                    </a:xfrm>
                    <a:prstGeom prst="rect">
                      <a:avLst/>
                    </a:prstGeom>
                  </pic:spPr>
                </pic:pic>
              </a:graphicData>
            </a:graphic>
            <wp14:sizeRelH relativeFrom="margin">
              <wp14:pctWidth>0</wp14:pctWidth>
            </wp14:sizeRelH>
            <wp14:sizeRelV relativeFrom="margin">
              <wp14:pctHeight>0</wp14:pctHeight>
            </wp14:sizeRelV>
          </wp:anchor>
        </w:drawing>
      </w:r>
    </w:p>
    <w:p w14:paraId="4FD83B01" w14:textId="77777777" w:rsidR="00EE1DF8" w:rsidRDefault="00C26A17" w:rsidP="00C26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6C6C831" w14:textId="77777777" w:rsidR="00EE1DF8" w:rsidRDefault="00EE1DF8" w:rsidP="00C26A17">
      <w:pPr>
        <w:spacing w:line="360" w:lineRule="auto"/>
        <w:jc w:val="both"/>
        <w:rPr>
          <w:rFonts w:ascii="Times New Roman" w:hAnsi="Times New Roman" w:cs="Times New Roman"/>
          <w:sz w:val="24"/>
          <w:szCs w:val="24"/>
        </w:rPr>
      </w:pPr>
    </w:p>
    <w:p w14:paraId="6BB5E32C" w14:textId="77777777" w:rsidR="00EE1DF8" w:rsidRDefault="00EE1DF8" w:rsidP="00C26A17">
      <w:pPr>
        <w:spacing w:line="360" w:lineRule="auto"/>
        <w:jc w:val="both"/>
        <w:rPr>
          <w:rFonts w:ascii="Times New Roman" w:hAnsi="Times New Roman" w:cs="Times New Roman"/>
          <w:sz w:val="24"/>
          <w:szCs w:val="24"/>
        </w:rPr>
      </w:pPr>
    </w:p>
    <w:p w14:paraId="0DB614E5" w14:textId="77777777" w:rsidR="00EE1DF8" w:rsidRDefault="00EE1DF8" w:rsidP="00C26A17">
      <w:pPr>
        <w:spacing w:line="360" w:lineRule="auto"/>
        <w:jc w:val="both"/>
        <w:rPr>
          <w:rFonts w:ascii="Times New Roman" w:hAnsi="Times New Roman" w:cs="Times New Roman"/>
          <w:sz w:val="24"/>
          <w:szCs w:val="24"/>
        </w:rPr>
      </w:pPr>
    </w:p>
    <w:p w14:paraId="120B3F9E" w14:textId="77777777" w:rsidR="00EE1DF8" w:rsidRDefault="00EE1DF8" w:rsidP="00C26A17">
      <w:pPr>
        <w:spacing w:line="360" w:lineRule="auto"/>
        <w:jc w:val="both"/>
        <w:rPr>
          <w:rFonts w:ascii="Times New Roman" w:hAnsi="Times New Roman" w:cs="Times New Roman"/>
          <w:sz w:val="24"/>
          <w:szCs w:val="24"/>
        </w:rPr>
      </w:pPr>
    </w:p>
    <w:p w14:paraId="2C7966C8" w14:textId="77777777" w:rsidR="00EE1DF8" w:rsidRDefault="00EE1DF8" w:rsidP="00C26A17">
      <w:pPr>
        <w:spacing w:line="360" w:lineRule="auto"/>
        <w:jc w:val="both"/>
        <w:rPr>
          <w:rFonts w:ascii="Times New Roman" w:hAnsi="Times New Roman" w:cs="Times New Roman"/>
          <w:sz w:val="24"/>
          <w:szCs w:val="24"/>
        </w:rPr>
      </w:pPr>
    </w:p>
    <w:p w14:paraId="5C6A2B97" w14:textId="4868C4B2" w:rsidR="00C26A17" w:rsidRPr="00EE1DF8" w:rsidRDefault="00C26A17" w:rsidP="00C26A17">
      <w:pPr>
        <w:spacing w:line="360" w:lineRule="auto"/>
        <w:jc w:val="both"/>
        <w:rPr>
          <w:rFonts w:ascii="Times New Roman" w:hAnsi="Times New Roman" w:cs="Times New Roman"/>
          <w:sz w:val="24"/>
          <w:szCs w:val="24"/>
        </w:rPr>
      </w:pPr>
      <w:r w:rsidRPr="00DA70AD">
        <w:rPr>
          <w:rFonts w:ascii="Times New Roman" w:hAnsi="Times New Roman" w:cs="Times New Roman"/>
          <w:b/>
          <w:bCs/>
          <w:sz w:val="24"/>
          <w:szCs w:val="24"/>
        </w:rPr>
        <w:t>Figure No 01                                                      Figure No 02</w:t>
      </w:r>
    </w:p>
    <w:p w14:paraId="70172648" w14:textId="33830E40" w:rsidR="00C26A17" w:rsidRDefault="007C0936" w:rsidP="00C26A17">
      <w:pPr>
        <w:spacing w:line="360" w:lineRule="auto"/>
        <w:jc w:val="both"/>
        <w:rPr>
          <w:rFonts w:ascii="Times New Roman" w:hAnsi="Times New Roman" w:cs="Times New Roman"/>
          <w:sz w:val="24"/>
          <w:szCs w:val="24"/>
        </w:rPr>
      </w:pPr>
      <w:r w:rsidRPr="007C0936">
        <w:rPr>
          <w:rFonts w:ascii="Times New Roman" w:hAnsi="Times New Roman" w:cs="Times New Roman"/>
          <w:sz w:val="24"/>
          <w:szCs w:val="24"/>
        </w:rPr>
        <w:t>Fig No 1 &amp; 2: Rashes over upper limbs</w:t>
      </w:r>
    </w:p>
    <w:p w14:paraId="43247D9C" w14:textId="77777777" w:rsidR="00C26A17" w:rsidRDefault="00C26A17" w:rsidP="00C26A17">
      <w:pPr>
        <w:spacing w:line="360" w:lineRule="auto"/>
        <w:jc w:val="both"/>
        <w:rPr>
          <w:rFonts w:ascii="Times New Roman" w:hAnsi="Times New Roman" w:cs="Times New Roman"/>
          <w:sz w:val="24"/>
          <w:szCs w:val="24"/>
        </w:rPr>
      </w:pPr>
      <w:r>
        <w:rPr>
          <w:noProof/>
          <w:lang w:val="en-US"/>
        </w:rPr>
        <w:drawing>
          <wp:inline distT="0" distB="0" distL="0" distR="0" wp14:anchorId="2CADBCE2" wp14:editId="6209E5D2">
            <wp:extent cx="3174748" cy="998220"/>
            <wp:effectExtent l="0" t="0" r="6985" b="0"/>
            <wp:docPr id="808543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9631" cy="999755"/>
                    </a:xfrm>
                    <a:prstGeom prst="rect">
                      <a:avLst/>
                    </a:prstGeom>
                    <a:noFill/>
                    <a:ln>
                      <a:noFill/>
                    </a:ln>
                  </pic:spPr>
                </pic:pic>
              </a:graphicData>
            </a:graphic>
          </wp:inline>
        </w:drawing>
      </w:r>
    </w:p>
    <w:p w14:paraId="69F3A169" w14:textId="754A58B7" w:rsidR="00C26A17" w:rsidRDefault="00C26A17" w:rsidP="00C26A17">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A70AD">
        <w:rPr>
          <w:rFonts w:ascii="Times New Roman" w:hAnsi="Times New Roman" w:cs="Times New Roman"/>
          <w:b/>
          <w:bCs/>
          <w:sz w:val="24"/>
          <w:szCs w:val="24"/>
        </w:rPr>
        <w:t>Figure No 03</w:t>
      </w:r>
    </w:p>
    <w:p w14:paraId="4A9E1727" w14:textId="5A81899D" w:rsidR="00EE1DF8" w:rsidRDefault="00C26A17" w:rsidP="00C26A1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2AD0A788" w14:textId="77777777" w:rsidR="00EE1DF8" w:rsidRDefault="00C26A17" w:rsidP="00C26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A70AD">
        <w:rPr>
          <w:rFonts w:ascii="Times New Roman" w:hAnsi="Times New Roman" w:cs="Times New Roman"/>
          <w:sz w:val="24"/>
          <w:szCs w:val="24"/>
        </w:rPr>
        <w:t xml:space="preserve">Fig No 03: Periorbital </w:t>
      </w:r>
      <w:proofErr w:type="spellStart"/>
      <w:r w:rsidRPr="00DA70AD">
        <w:rPr>
          <w:rFonts w:ascii="Times New Roman" w:hAnsi="Times New Roman" w:cs="Times New Roman"/>
          <w:sz w:val="24"/>
          <w:szCs w:val="24"/>
        </w:rPr>
        <w:t>edema</w:t>
      </w:r>
      <w:proofErr w:type="spellEnd"/>
    </w:p>
    <w:p w14:paraId="674EF350" w14:textId="248F5C32" w:rsidR="00C26A17" w:rsidRDefault="00C26A17" w:rsidP="00C26A17">
      <w:pPr>
        <w:spacing w:line="360" w:lineRule="auto"/>
        <w:jc w:val="both"/>
        <w:rPr>
          <w:rFonts w:ascii="Times New Roman" w:hAnsi="Times New Roman" w:cs="Times New Roman"/>
          <w:sz w:val="24"/>
          <w:szCs w:val="24"/>
        </w:rPr>
      </w:pPr>
      <w:r w:rsidRPr="008A14EE">
        <w:rPr>
          <w:rFonts w:ascii="Times New Roman" w:hAnsi="Times New Roman" w:cs="Times New Roman"/>
          <w:sz w:val="24"/>
          <w:szCs w:val="24"/>
        </w:rPr>
        <w:t>Provisional diagnosis:</w:t>
      </w:r>
      <w:r>
        <w:rPr>
          <w:rFonts w:ascii="Times New Roman" w:hAnsi="Times New Roman" w:cs="Times New Roman"/>
          <w:sz w:val="24"/>
          <w:szCs w:val="24"/>
        </w:rPr>
        <w:t xml:space="preserve"> severe </w:t>
      </w: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secondary to iron deficiency</w:t>
      </w:r>
    </w:p>
    <w:p w14:paraId="5AD937E6" w14:textId="77777777" w:rsidR="00C26A17" w:rsidRDefault="00C26A17" w:rsidP="00C26A17">
      <w:pPr>
        <w:spacing w:line="360" w:lineRule="auto"/>
        <w:jc w:val="both"/>
        <w:rPr>
          <w:rFonts w:ascii="Times New Roman" w:hAnsi="Times New Roman" w:cs="Times New Roman"/>
          <w:b/>
          <w:bCs/>
          <w:sz w:val="24"/>
          <w:szCs w:val="24"/>
        </w:rPr>
      </w:pPr>
      <w:r w:rsidRPr="008A14EE">
        <w:rPr>
          <w:rFonts w:ascii="Times New Roman" w:hAnsi="Times New Roman" w:cs="Times New Roman"/>
          <w:b/>
          <w:bCs/>
          <w:sz w:val="24"/>
          <w:szCs w:val="24"/>
        </w:rPr>
        <w:t xml:space="preserve">Final diagnosis: Iron deficiency </w:t>
      </w:r>
      <w:proofErr w:type="spellStart"/>
      <w:r w:rsidRPr="008A14EE">
        <w:rPr>
          <w:rFonts w:ascii="Times New Roman" w:hAnsi="Times New Roman" w:cs="Times New Roman"/>
          <w:b/>
          <w:bCs/>
          <w:sz w:val="24"/>
          <w:szCs w:val="24"/>
        </w:rPr>
        <w:t>anemia</w:t>
      </w:r>
      <w:proofErr w:type="spellEnd"/>
      <w:r w:rsidRPr="008A14EE">
        <w:rPr>
          <w:rFonts w:ascii="Times New Roman" w:hAnsi="Times New Roman" w:cs="Times New Roman"/>
          <w:b/>
          <w:bCs/>
          <w:sz w:val="24"/>
          <w:szCs w:val="24"/>
        </w:rPr>
        <w:t xml:space="preserve"> </w:t>
      </w:r>
    </w:p>
    <w:p w14:paraId="5A426BB6" w14:textId="77777777" w:rsidR="00C26A17" w:rsidRDefault="00C26A17" w:rsidP="00C26A17">
      <w:pPr>
        <w:spacing w:line="360" w:lineRule="auto"/>
        <w:jc w:val="both"/>
        <w:rPr>
          <w:rFonts w:ascii="Times New Roman" w:hAnsi="Times New Roman" w:cs="Times New Roman"/>
          <w:sz w:val="24"/>
          <w:szCs w:val="24"/>
        </w:rPr>
      </w:pPr>
      <w:r w:rsidRPr="00D44819">
        <w:rPr>
          <w:rFonts w:ascii="Times New Roman" w:hAnsi="Times New Roman" w:cs="Times New Roman"/>
          <w:b/>
          <w:bCs/>
          <w:sz w:val="28"/>
          <w:szCs w:val="28"/>
        </w:rPr>
        <w:t>Treatment:</w:t>
      </w:r>
      <w:r>
        <w:rPr>
          <w:rFonts w:ascii="Times New Roman" w:hAnsi="Times New Roman" w:cs="Times New Roman"/>
          <w:b/>
          <w:bCs/>
          <w:sz w:val="24"/>
          <w:szCs w:val="24"/>
        </w:rPr>
        <w:t xml:space="preserve"> </w:t>
      </w:r>
      <w:r w:rsidRPr="00797A19">
        <w:rPr>
          <w:rFonts w:ascii="Times New Roman" w:hAnsi="Times New Roman" w:cs="Times New Roman"/>
          <w:sz w:val="24"/>
          <w:szCs w:val="24"/>
        </w:rPr>
        <w:t>She was started with the following medications</w:t>
      </w:r>
    </w:p>
    <w:p w14:paraId="696AAF5B" w14:textId="75A998B1" w:rsidR="007C0936" w:rsidRPr="002B09D5" w:rsidRDefault="007C0936" w:rsidP="00C26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w:t>
      </w:r>
      <w:r w:rsidR="00A95CF3" w:rsidRPr="0018716F">
        <w:rPr>
          <w:rFonts w:ascii="Times New Roman" w:hAnsi="Times New Roman" w:cs="Times New Roman"/>
          <w:sz w:val="24"/>
          <w:szCs w:val="24"/>
          <w:highlight w:val="green"/>
        </w:rPr>
        <w:t>Prescribed medication for the patient</w:t>
      </w:r>
    </w:p>
    <w:tbl>
      <w:tblPr>
        <w:tblStyle w:val="TableGrid"/>
        <w:tblW w:w="9223" w:type="dxa"/>
        <w:tblLook w:val="04A0" w:firstRow="1" w:lastRow="0" w:firstColumn="1" w:lastColumn="0" w:noHBand="0" w:noVBand="1"/>
      </w:tblPr>
      <w:tblGrid>
        <w:gridCol w:w="787"/>
        <w:gridCol w:w="2408"/>
        <w:gridCol w:w="1452"/>
        <w:gridCol w:w="1523"/>
        <w:gridCol w:w="1532"/>
        <w:gridCol w:w="1521"/>
      </w:tblGrid>
      <w:tr w:rsidR="00C26A17" w:rsidRPr="00182886" w14:paraId="14526071" w14:textId="77777777" w:rsidTr="009D0992">
        <w:trPr>
          <w:trHeight w:val="470"/>
        </w:trPr>
        <w:tc>
          <w:tcPr>
            <w:tcW w:w="787" w:type="dxa"/>
          </w:tcPr>
          <w:p w14:paraId="412B1A4E"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S.NO</w:t>
            </w:r>
          </w:p>
        </w:tc>
        <w:tc>
          <w:tcPr>
            <w:tcW w:w="2408" w:type="dxa"/>
          </w:tcPr>
          <w:p w14:paraId="2D9CFF79"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 xml:space="preserve">Name of the drug </w:t>
            </w:r>
          </w:p>
        </w:tc>
        <w:tc>
          <w:tcPr>
            <w:tcW w:w="1452" w:type="dxa"/>
          </w:tcPr>
          <w:p w14:paraId="7B019653"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 xml:space="preserve">Dose </w:t>
            </w:r>
          </w:p>
        </w:tc>
        <w:tc>
          <w:tcPr>
            <w:tcW w:w="1523" w:type="dxa"/>
          </w:tcPr>
          <w:p w14:paraId="06F0F866"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 xml:space="preserve">Route </w:t>
            </w:r>
          </w:p>
        </w:tc>
        <w:tc>
          <w:tcPr>
            <w:tcW w:w="1532" w:type="dxa"/>
          </w:tcPr>
          <w:p w14:paraId="65761979"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 xml:space="preserve">Frequency </w:t>
            </w:r>
          </w:p>
        </w:tc>
        <w:tc>
          <w:tcPr>
            <w:tcW w:w="1521" w:type="dxa"/>
          </w:tcPr>
          <w:p w14:paraId="7EBC2E8A"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 xml:space="preserve">Days </w:t>
            </w:r>
          </w:p>
        </w:tc>
      </w:tr>
      <w:tr w:rsidR="00C26A17" w14:paraId="1E8E929E" w14:textId="77777777" w:rsidTr="009D0992">
        <w:trPr>
          <w:trHeight w:val="470"/>
        </w:trPr>
        <w:tc>
          <w:tcPr>
            <w:tcW w:w="787" w:type="dxa"/>
          </w:tcPr>
          <w:p w14:paraId="374A8FB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08" w:type="dxa"/>
          </w:tcPr>
          <w:p w14:paraId="42782FF4"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Pantoprazole</w:t>
            </w:r>
          </w:p>
        </w:tc>
        <w:tc>
          <w:tcPr>
            <w:tcW w:w="1452" w:type="dxa"/>
          </w:tcPr>
          <w:p w14:paraId="17D480A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40 mg</w:t>
            </w:r>
          </w:p>
        </w:tc>
        <w:tc>
          <w:tcPr>
            <w:tcW w:w="1523" w:type="dxa"/>
          </w:tcPr>
          <w:p w14:paraId="4E5763E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09A140D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521" w:type="dxa"/>
          </w:tcPr>
          <w:p w14:paraId="0A41EF8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D1-D6</w:t>
            </w:r>
          </w:p>
        </w:tc>
      </w:tr>
      <w:tr w:rsidR="00C26A17" w14:paraId="6C893E73" w14:textId="77777777" w:rsidTr="009D0992">
        <w:trPr>
          <w:trHeight w:val="564"/>
        </w:trPr>
        <w:tc>
          <w:tcPr>
            <w:tcW w:w="787" w:type="dxa"/>
          </w:tcPr>
          <w:p w14:paraId="5E9B6DF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08" w:type="dxa"/>
          </w:tcPr>
          <w:p w14:paraId="0BD5BFB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Ondansetron</w:t>
            </w:r>
          </w:p>
        </w:tc>
        <w:tc>
          <w:tcPr>
            <w:tcW w:w="1452" w:type="dxa"/>
          </w:tcPr>
          <w:p w14:paraId="2229CC45"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4mg</w:t>
            </w:r>
          </w:p>
        </w:tc>
        <w:tc>
          <w:tcPr>
            <w:tcW w:w="1523" w:type="dxa"/>
          </w:tcPr>
          <w:p w14:paraId="388E2A4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40F92DB4"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1521" w:type="dxa"/>
          </w:tcPr>
          <w:p w14:paraId="325B1D8B"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D1-D6</w:t>
            </w:r>
          </w:p>
        </w:tc>
      </w:tr>
      <w:tr w:rsidR="00C26A17" w14:paraId="2D826FE1" w14:textId="77777777" w:rsidTr="009D0992">
        <w:trPr>
          <w:trHeight w:val="530"/>
        </w:trPr>
        <w:tc>
          <w:tcPr>
            <w:tcW w:w="787" w:type="dxa"/>
          </w:tcPr>
          <w:p w14:paraId="682DC3A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08" w:type="dxa"/>
          </w:tcPr>
          <w:p w14:paraId="3EB6C916" w14:textId="77777777" w:rsidR="00C26A17" w:rsidRDefault="00C26A17" w:rsidP="009D0992">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1 pint</w:t>
            </w:r>
            <w:proofErr w:type="gramEnd"/>
            <w:r>
              <w:rPr>
                <w:rFonts w:ascii="Times New Roman" w:hAnsi="Times New Roman" w:cs="Times New Roman"/>
                <w:sz w:val="24"/>
                <w:szCs w:val="24"/>
              </w:rPr>
              <w:t xml:space="preserve"> PRBC</w:t>
            </w:r>
          </w:p>
        </w:tc>
        <w:tc>
          <w:tcPr>
            <w:tcW w:w="1452" w:type="dxa"/>
          </w:tcPr>
          <w:p w14:paraId="054D236B" w14:textId="77777777" w:rsidR="00C26A17" w:rsidRDefault="00C26A17" w:rsidP="009D0992">
            <w:pPr>
              <w:spacing w:line="360" w:lineRule="auto"/>
              <w:jc w:val="both"/>
              <w:rPr>
                <w:rFonts w:ascii="Times New Roman" w:hAnsi="Times New Roman" w:cs="Times New Roman"/>
                <w:sz w:val="24"/>
                <w:szCs w:val="24"/>
              </w:rPr>
            </w:pPr>
          </w:p>
        </w:tc>
        <w:tc>
          <w:tcPr>
            <w:tcW w:w="1523" w:type="dxa"/>
          </w:tcPr>
          <w:p w14:paraId="7B546BD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70BA7BE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521" w:type="dxa"/>
          </w:tcPr>
          <w:p w14:paraId="3D3175D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w:t>
            </w:r>
          </w:p>
        </w:tc>
      </w:tr>
      <w:tr w:rsidR="00C26A17" w14:paraId="3B97CE26" w14:textId="77777777" w:rsidTr="009D0992">
        <w:trPr>
          <w:trHeight w:val="530"/>
        </w:trPr>
        <w:tc>
          <w:tcPr>
            <w:tcW w:w="787" w:type="dxa"/>
          </w:tcPr>
          <w:p w14:paraId="000ADC1D"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08" w:type="dxa"/>
          </w:tcPr>
          <w:p w14:paraId="3BAB020D"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Iron folic acid</w:t>
            </w:r>
          </w:p>
        </w:tc>
        <w:tc>
          <w:tcPr>
            <w:tcW w:w="1452" w:type="dxa"/>
          </w:tcPr>
          <w:p w14:paraId="2A7A8B6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333 mg</w:t>
            </w:r>
          </w:p>
        </w:tc>
        <w:tc>
          <w:tcPr>
            <w:tcW w:w="1523" w:type="dxa"/>
          </w:tcPr>
          <w:p w14:paraId="3A43F93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532" w:type="dxa"/>
          </w:tcPr>
          <w:p w14:paraId="5CBC8F4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1521" w:type="dxa"/>
          </w:tcPr>
          <w:p w14:paraId="48D201B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D1-D6</w:t>
            </w:r>
          </w:p>
        </w:tc>
      </w:tr>
      <w:tr w:rsidR="00C26A17" w14:paraId="75A722E7" w14:textId="77777777" w:rsidTr="009D0992">
        <w:trPr>
          <w:trHeight w:val="530"/>
        </w:trPr>
        <w:tc>
          <w:tcPr>
            <w:tcW w:w="787" w:type="dxa"/>
          </w:tcPr>
          <w:p w14:paraId="49CC6265"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08" w:type="dxa"/>
          </w:tcPr>
          <w:p w14:paraId="40E7875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Folic acid</w:t>
            </w:r>
          </w:p>
        </w:tc>
        <w:tc>
          <w:tcPr>
            <w:tcW w:w="1452" w:type="dxa"/>
          </w:tcPr>
          <w:p w14:paraId="0D3F2B5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5 mg</w:t>
            </w:r>
          </w:p>
        </w:tc>
        <w:tc>
          <w:tcPr>
            <w:tcW w:w="1523" w:type="dxa"/>
          </w:tcPr>
          <w:p w14:paraId="4B6E2DD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532" w:type="dxa"/>
          </w:tcPr>
          <w:p w14:paraId="5CE1D318"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0-1-0</w:t>
            </w:r>
          </w:p>
        </w:tc>
        <w:tc>
          <w:tcPr>
            <w:tcW w:w="1521" w:type="dxa"/>
          </w:tcPr>
          <w:p w14:paraId="5E6C23D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D1-D6</w:t>
            </w:r>
          </w:p>
        </w:tc>
      </w:tr>
      <w:tr w:rsidR="00C26A17" w14:paraId="53D1FF79" w14:textId="77777777" w:rsidTr="009D0992">
        <w:trPr>
          <w:trHeight w:val="530"/>
        </w:trPr>
        <w:tc>
          <w:tcPr>
            <w:tcW w:w="787" w:type="dxa"/>
          </w:tcPr>
          <w:p w14:paraId="27F2DC2D"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408" w:type="dxa"/>
          </w:tcPr>
          <w:p w14:paraId="2AF55F53"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Iron sucrose</w:t>
            </w:r>
          </w:p>
        </w:tc>
        <w:tc>
          <w:tcPr>
            <w:tcW w:w="1452" w:type="dxa"/>
          </w:tcPr>
          <w:p w14:paraId="2256B6BD"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200mg in 100ml NS</w:t>
            </w:r>
          </w:p>
        </w:tc>
        <w:tc>
          <w:tcPr>
            <w:tcW w:w="1523" w:type="dxa"/>
          </w:tcPr>
          <w:p w14:paraId="73AD445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59242CC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521" w:type="dxa"/>
          </w:tcPr>
          <w:p w14:paraId="5BD6A05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D1-D4</w:t>
            </w:r>
          </w:p>
        </w:tc>
      </w:tr>
      <w:tr w:rsidR="00C26A17" w14:paraId="79FBD6D4" w14:textId="77777777" w:rsidTr="009D0992">
        <w:trPr>
          <w:trHeight w:val="530"/>
        </w:trPr>
        <w:tc>
          <w:tcPr>
            <w:tcW w:w="787" w:type="dxa"/>
          </w:tcPr>
          <w:p w14:paraId="3A42A4F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408" w:type="dxa"/>
          </w:tcPr>
          <w:p w14:paraId="29BE7F2E" w14:textId="77777777" w:rsidR="00C26A17" w:rsidRDefault="00C26A17" w:rsidP="009D09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Methylcobalamin</w:t>
            </w:r>
            <w:proofErr w:type="spellEnd"/>
          </w:p>
        </w:tc>
        <w:tc>
          <w:tcPr>
            <w:tcW w:w="1452" w:type="dxa"/>
          </w:tcPr>
          <w:p w14:paraId="0C21C215"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1500mcg in 100ml NS</w:t>
            </w:r>
          </w:p>
        </w:tc>
        <w:tc>
          <w:tcPr>
            <w:tcW w:w="1523" w:type="dxa"/>
          </w:tcPr>
          <w:p w14:paraId="061F663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7DA10380" w14:textId="1F8299B5" w:rsidR="00C26A17" w:rsidRDefault="0072218F" w:rsidP="009D0992">
            <w:pPr>
              <w:spacing w:line="360" w:lineRule="auto"/>
              <w:jc w:val="both"/>
              <w:rPr>
                <w:rFonts w:ascii="Times New Roman" w:hAnsi="Times New Roman" w:cs="Times New Roman"/>
                <w:sz w:val="24"/>
                <w:szCs w:val="24"/>
              </w:rPr>
            </w:pPr>
            <w:r w:rsidRPr="0072218F">
              <w:rPr>
                <w:rFonts w:ascii="Times New Roman" w:hAnsi="Times New Roman" w:cs="Times New Roman"/>
                <w:sz w:val="24"/>
                <w:szCs w:val="24"/>
                <w:highlight w:val="yellow"/>
              </w:rPr>
              <w:t>0-1-0</w:t>
            </w:r>
          </w:p>
        </w:tc>
        <w:tc>
          <w:tcPr>
            <w:tcW w:w="1521" w:type="dxa"/>
          </w:tcPr>
          <w:p w14:paraId="2510363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D1-D6</w:t>
            </w:r>
          </w:p>
        </w:tc>
      </w:tr>
      <w:tr w:rsidR="00C26A17" w14:paraId="7F88A158" w14:textId="77777777" w:rsidTr="009D0992">
        <w:trPr>
          <w:trHeight w:val="530"/>
        </w:trPr>
        <w:tc>
          <w:tcPr>
            <w:tcW w:w="787" w:type="dxa"/>
          </w:tcPr>
          <w:p w14:paraId="4D6D8BD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408" w:type="dxa"/>
          </w:tcPr>
          <w:p w14:paraId="7E9A5E4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Ferric </w:t>
            </w:r>
            <w:proofErr w:type="spellStart"/>
            <w:r>
              <w:rPr>
                <w:rFonts w:ascii="Times New Roman" w:hAnsi="Times New Roman" w:cs="Times New Roman"/>
                <w:sz w:val="24"/>
                <w:szCs w:val="24"/>
              </w:rPr>
              <w:t>carboxymaltose</w:t>
            </w:r>
            <w:proofErr w:type="spellEnd"/>
          </w:p>
        </w:tc>
        <w:tc>
          <w:tcPr>
            <w:tcW w:w="1452" w:type="dxa"/>
          </w:tcPr>
          <w:p w14:paraId="03203D04"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1g in 100ml NS</w:t>
            </w:r>
          </w:p>
        </w:tc>
        <w:tc>
          <w:tcPr>
            <w:tcW w:w="1523" w:type="dxa"/>
          </w:tcPr>
          <w:p w14:paraId="06D166F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2A67170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521" w:type="dxa"/>
          </w:tcPr>
          <w:p w14:paraId="4FEA379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D5-D6</w:t>
            </w:r>
          </w:p>
          <w:p w14:paraId="6763ED04"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500mg on D6</w:t>
            </w:r>
          </w:p>
        </w:tc>
      </w:tr>
      <w:tr w:rsidR="00C26A17" w14:paraId="4F228743" w14:textId="77777777" w:rsidTr="009D0992">
        <w:trPr>
          <w:trHeight w:val="530"/>
        </w:trPr>
        <w:tc>
          <w:tcPr>
            <w:tcW w:w="787" w:type="dxa"/>
          </w:tcPr>
          <w:p w14:paraId="37A2A694"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408" w:type="dxa"/>
          </w:tcPr>
          <w:p w14:paraId="75DD4E1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Hydrocortisone </w:t>
            </w:r>
          </w:p>
        </w:tc>
        <w:tc>
          <w:tcPr>
            <w:tcW w:w="1452" w:type="dxa"/>
          </w:tcPr>
          <w:p w14:paraId="460A79E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200 mg</w:t>
            </w:r>
          </w:p>
        </w:tc>
        <w:tc>
          <w:tcPr>
            <w:tcW w:w="1523" w:type="dxa"/>
          </w:tcPr>
          <w:p w14:paraId="1AF3D5A9"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17586B18" w14:textId="7FE08876" w:rsidR="00C26A17" w:rsidRDefault="0072218F" w:rsidP="009D0992">
            <w:pPr>
              <w:spacing w:line="360" w:lineRule="auto"/>
              <w:jc w:val="both"/>
              <w:rPr>
                <w:rFonts w:ascii="Times New Roman" w:hAnsi="Times New Roman" w:cs="Times New Roman"/>
                <w:sz w:val="24"/>
                <w:szCs w:val="24"/>
              </w:rPr>
            </w:pPr>
            <w:r w:rsidRPr="0072218F">
              <w:rPr>
                <w:rFonts w:ascii="Times New Roman" w:hAnsi="Times New Roman" w:cs="Times New Roman"/>
                <w:sz w:val="24"/>
                <w:szCs w:val="24"/>
                <w:highlight w:val="yellow"/>
              </w:rPr>
              <w:t>1-0-0</w:t>
            </w:r>
          </w:p>
        </w:tc>
        <w:tc>
          <w:tcPr>
            <w:tcW w:w="1521" w:type="dxa"/>
          </w:tcPr>
          <w:p w14:paraId="3611422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D2</w:t>
            </w:r>
          </w:p>
        </w:tc>
      </w:tr>
      <w:tr w:rsidR="00C26A17" w14:paraId="29F77BBF" w14:textId="77777777" w:rsidTr="009D0992">
        <w:trPr>
          <w:trHeight w:val="530"/>
        </w:trPr>
        <w:tc>
          <w:tcPr>
            <w:tcW w:w="787" w:type="dxa"/>
          </w:tcPr>
          <w:p w14:paraId="7AABF3A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408" w:type="dxa"/>
          </w:tcPr>
          <w:p w14:paraId="31B001A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Chlorpheniramine </w:t>
            </w:r>
          </w:p>
        </w:tc>
        <w:tc>
          <w:tcPr>
            <w:tcW w:w="1452" w:type="dxa"/>
          </w:tcPr>
          <w:p w14:paraId="483B1F95" w14:textId="44637CD7" w:rsidR="00C26A17" w:rsidRDefault="0072218F" w:rsidP="009D0992">
            <w:pPr>
              <w:spacing w:line="360" w:lineRule="auto"/>
              <w:jc w:val="both"/>
              <w:rPr>
                <w:rFonts w:ascii="Times New Roman" w:hAnsi="Times New Roman" w:cs="Times New Roman"/>
                <w:sz w:val="24"/>
                <w:szCs w:val="24"/>
              </w:rPr>
            </w:pPr>
            <w:r w:rsidRPr="0072218F">
              <w:rPr>
                <w:rFonts w:ascii="Times New Roman" w:hAnsi="Times New Roman" w:cs="Times New Roman"/>
                <w:sz w:val="24"/>
                <w:szCs w:val="24"/>
                <w:highlight w:val="yellow"/>
              </w:rPr>
              <w:t>4 mg</w:t>
            </w:r>
          </w:p>
        </w:tc>
        <w:tc>
          <w:tcPr>
            <w:tcW w:w="1523" w:type="dxa"/>
          </w:tcPr>
          <w:p w14:paraId="1F376369"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2AED632D" w14:textId="352F9D19" w:rsidR="00C26A17" w:rsidRDefault="0072218F" w:rsidP="009D0992">
            <w:pPr>
              <w:spacing w:line="360" w:lineRule="auto"/>
              <w:jc w:val="both"/>
              <w:rPr>
                <w:rFonts w:ascii="Times New Roman" w:hAnsi="Times New Roman" w:cs="Times New Roman"/>
                <w:sz w:val="24"/>
                <w:szCs w:val="24"/>
              </w:rPr>
            </w:pPr>
            <w:r w:rsidRPr="0072218F">
              <w:rPr>
                <w:rFonts w:ascii="Times New Roman" w:hAnsi="Times New Roman" w:cs="Times New Roman"/>
                <w:sz w:val="24"/>
                <w:szCs w:val="24"/>
                <w:highlight w:val="yellow"/>
              </w:rPr>
              <w:t>1-0-0</w:t>
            </w:r>
          </w:p>
        </w:tc>
        <w:tc>
          <w:tcPr>
            <w:tcW w:w="1521" w:type="dxa"/>
          </w:tcPr>
          <w:p w14:paraId="7002796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D2</w:t>
            </w:r>
          </w:p>
        </w:tc>
      </w:tr>
    </w:tbl>
    <w:p w14:paraId="16530B75" w14:textId="77777777" w:rsidR="00C26A17" w:rsidRDefault="00C26A17" w:rsidP="00C26A17">
      <w:pPr>
        <w:spacing w:line="360" w:lineRule="auto"/>
        <w:jc w:val="both"/>
        <w:rPr>
          <w:rFonts w:ascii="Times New Roman" w:hAnsi="Times New Roman" w:cs="Times New Roman"/>
          <w:sz w:val="24"/>
          <w:szCs w:val="24"/>
        </w:rPr>
      </w:pPr>
    </w:p>
    <w:p w14:paraId="0AEB3C68" w14:textId="66845504" w:rsidR="00C26A17" w:rsidRPr="002B09D5" w:rsidRDefault="007C0936" w:rsidP="00C26A17">
      <w:pPr>
        <w:spacing w:line="360" w:lineRule="auto"/>
        <w:jc w:val="both"/>
        <w:rPr>
          <w:rFonts w:ascii="Times New Roman" w:hAnsi="Times New Roman" w:cs="Times New Roman"/>
        </w:rPr>
      </w:pPr>
      <w:r>
        <w:rPr>
          <w:rFonts w:ascii="Times New Roman" w:hAnsi="Times New Roman" w:cs="Times New Roman"/>
          <w:b/>
          <w:bCs/>
          <w:sz w:val="28"/>
          <w:szCs w:val="28"/>
        </w:rPr>
        <w:t xml:space="preserve">Table </w:t>
      </w:r>
      <w:proofErr w:type="gramStart"/>
      <w:r>
        <w:rPr>
          <w:rFonts w:ascii="Times New Roman" w:hAnsi="Times New Roman" w:cs="Times New Roman"/>
          <w:b/>
          <w:bCs/>
          <w:sz w:val="28"/>
          <w:szCs w:val="28"/>
        </w:rPr>
        <w:t>3 :</w:t>
      </w:r>
      <w:proofErr w:type="gramEnd"/>
      <w:r>
        <w:rPr>
          <w:rFonts w:ascii="Times New Roman" w:hAnsi="Times New Roman" w:cs="Times New Roman"/>
          <w:b/>
          <w:bCs/>
          <w:sz w:val="28"/>
          <w:szCs w:val="28"/>
        </w:rPr>
        <w:t xml:space="preserve"> </w:t>
      </w:r>
      <w:r w:rsidR="00C26A17" w:rsidRPr="00D44819">
        <w:rPr>
          <w:rFonts w:ascii="Times New Roman" w:hAnsi="Times New Roman" w:cs="Times New Roman"/>
          <w:b/>
          <w:bCs/>
          <w:sz w:val="28"/>
          <w:szCs w:val="28"/>
        </w:rPr>
        <w:t>Discharge medication</w:t>
      </w:r>
      <w:r w:rsidR="00C26A17">
        <w:rPr>
          <w:rFonts w:ascii="Times New Roman" w:hAnsi="Times New Roman" w:cs="Times New Roman"/>
          <w:sz w:val="28"/>
          <w:szCs w:val="28"/>
        </w:rPr>
        <w:t xml:space="preserve">: </w:t>
      </w:r>
    </w:p>
    <w:tbl>
      <w:tblPr>
        <w:tblStyle w:val="TableGrid"/>
        <w:tblW w:w="9278" w:type="dxa"/>
        <w:tblLook w:val="04A0" w:firstRow="1" w:lastRow="0" w:firstColumn="1" w:lastColumn="0" w:noHBand="0" w:noVBand="1"/>
      </w:tblPr>
      <w:tblGrid>
        <w:gridCol w:w="1016"/>
        <w:gridCol w:w="2695"/>
        <w:gridCol w:w="1855"/>
        <w:gridCol w:w="1855"/>
        <w:gridCol w:w="1857"/>
      </w:tblGrid>
      <w:tr w:rsidR="00C26A17" w:rsidRPr="002B09D5" w14:paraId="27AEBD6F" w14:textId="77777777" w:rsidTr="009D0992">
        <w:trPr>
          <w:trHeight w:val="549"/>
        </w:trPr>
        <w:tc>
          <w:tcPr>
            <w:tcW w:w="1016" w:type="dxa"/>
          </w:tcPr>
          <w:p w14:paraId="7D791E65" w14:textId="77777777" w:rsidR="00C26A17" w:rsidRPr="005920B0" w:rsidRDefault="00C26A17" w:rsidP="009D0992">
            <w:pPr>
              <w:spacing w:line="360" w:lineRule="auto"/>
              <w:jc w:val="both"/>
              <w:rPr>
                <w:sz w:val="24"/>
                <w:szCs w:val="24"/>
              </w:rPr>
            </w:pPr>
            <w:r w:rsidRPr="005920B0">
              <w:rPr>
                <w:rFonts w:ascii="Times New Roman" w:hAnsi="Times New Roman" w:cs="Times New Roman"/>
                <w:b/>
                <w:bCs/>
                <w:sz w:val="24"/>
                <w:szCs w:val="24"/>
              </w:rPr>
              <w:t>S.NO</w:t>
            </w:r>
          </w:p>
        </w:tc>
        <w:tc>
          <w:tcPr>
            <w:tcW w:w="2695" w:type="dxa"/>
          </w:tcPr>
          <w:p w14:paraId="2A9006DF" w14:textId="77777777" w:rsidR="00C26A17" w:rsidRPr="005920B0" w:rsidRDefault="00C26A17" w:rsidP="009D0992">
            <w:pPr>
              <w:spacing w:line="360" w:lineRule="auto"/>
              <w:jc w:val="both"/>
              <w:rPr>
                <w:sz w:val="24"/>
                <w:szCs w:val="24"/>
              </w:rPr>
            </w:pPr>
            <w:r w:rsidRPr="005920B0">
              <w:rPr>
                <w:rFonts w:ascii="Times New Roman" w:hAnsi="Times New Roman" w:cs="Times New Roman"/>
                <w:b/>
                <w:bCs/>
                <w:sz w:val="24"/>
                <w:szCs w:val="24"/>
              </w:rPr>
              <w:t xml:space="preserve">Name of the drug </w:t>
            </w:r>
          </w:p>
        </w:tc>
        <w:tc>
          <w:tcPr>
            <w:tcW w:w="1855" w:type="dxa"/>
          </w:tcPr>
          <w:p w14:paraId="72646E5A" w14:textId="77777777" w:rsidR="00C26A17" w:rsidRPr="005920B0" w:rsidRDefault="00C26A17" w:rsidP="009D0992">
            <w:pPr>
              <w:spacing w:line="360" w:lineRule="auto"/>
              <w:jc w:val="both"/>
              <w:rPr>
                <w:sz w:val="24"/>
                <w:szCs w:val="24"/>
              </w:rPr>
            </w:pPr>
            <w:r w:rsidRPr="005920B0">
              <w:rPr>
                <w:rFonts w:ascii="Times New Roman" w:hAnsi="Times New Roman" w:cs="Times New Roman"/>
                <w:b/>
                <w:bCs/>
                <w:sz w:val="24"/>
                <w:szCs w:val="24"/>
              </w:rPr>
              <w:t xml:space="preserve">Dose </w:t>
            </w:r>
          </w:p>
        </w:tc>
        <w:tc>
          <w:tcPr>
            <w:tcW w:w="1855" w:type="dxa"/>
          </w:tcPr>
          <w:p w14:paraId="11EA6EA1" w14:textId="77777777" w:rsidR="00C26A17" w:rsidRPr="005920B0" w:rsidRDefault="00C26A17" w:rsidP="009D0992">
            <w:pPr>
              <w:spacing w:line="360" w:lineRule="auto"/>
              <w:jc w:val="both"/>
              <w:rPr>
                <w:sz w:val="24"/>
                <w:szCs w:val="24"/>
              </w:rPr>
            </w:pPr>
            <w:r w:rsidRPr="005920B0">
              <w:rPr>
                <w:rFonts w:ascii="Times New Roman" w:hAnsi="Times New Roman" w:cs="Times New Roman"/>
                <w:b/>
                <w:bCs/>
                <w:sz w:val="24"/>
                <w:szCs w:val="24"/>
              </w:rPr>
              <w:t xml:space="preserve">Route </w:t>
            </w:r>
          </w:p>
        </w:tc>
        <w:tc>
          <w:tcPr>
            <w:tcW w:w="1857" w:type="dxa"/>
          </w:tcPr>
          <w:p w14:paraId="69A2DABF" w14:textId="77777777" w:rsidR="00C26A17" w:rsidRPr="005920B0" w:rsidRDefault="00C26A17" w:rsidP="009D0992">
            <w:pPr>
              <w:spacing w:line="360" w:lineRule="auto"/>
              <w:jc w:val="both"/>
              <w:rPr>
                <w:sz w:val="24"/>
                <w:szCs w:val="24"/>
              </w:rPr>
            </w:pPr>
            <w:r w:rsidRPr="005920B0">
              <w:rPr>
                <w:rFonts w:ascii="Times New Roman" w:hAnsi="Times New Roman" w:cs="Times New Roman"/>
                <w:b/>
                <w:bCs/>
                <w:sz w:val="24"/>
                <w:szCs w:val="24"/>
              </w:rPr>
              <w:t xml:space="preserve">Frequency </w:t>
            </w:r>
          </w:p>
        </w:tc>
      </w:tr>
      <w:tr w:rsidR="00C26A17" w:rsidRPr="002B09D5" w14:paraId="7A8E8297" w14:textId="77777777" w:rsidTr="009D0992">
        <w:trPr>
          <w:trHeight w:val="533"/>
        </w:trPr>
        <w:tc>
          <w:tcPr>
            <w:tcW w:w="1016" w:type="dxa"/>
          </w:tcPr>
          <w:p w14:paraId="75A62250" w14:textId="77777777" w:rsidR="00C26A17" w:rsidRPr="005920B0" w:rsidRDefault="00C26A17" w:rsidP="009D0992">
            <w:pPr>
              <w:spacing w:line="360" w:lineRule="auto"/>
              <w:jc w:val="both"/>
              <w:rPr>
                <w:rFonts w:ascii="Times New Roman" w:hAnsi="Times New Roman" w:cs="Times New Roman"/>
                <w:sz w:val="24"/>
                <w:szCs w:val="24"/>
              </w:rPr>
            </w:pPr>
            <w:r w:rsidRPr="005920B0">
              <w:rPr>
                <w:rFonts w:ascii="Times New Roman" w:hAnsi="Times New Roman" w:cs="Times New Roman"/>
                <w:sz w:val="24"/>
                <w:szCs w:val="24"/>
              </w:rPr>
              <w:t>1</w:t>
            </w:r>
          </w:p>
        </w:tc>
        <w:tc>
          <w:tcPr>
            <w:tcW w:w="2695" w:type="dxa"/>
          </w:tcPr>
          <w:p w14:paraId="017F52D9"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Iron folic acid</w:t>
            </w:r>
          </w:p>
        </w:tc>
        <w:tc>
          <w:tcPr>
            <w:tcW w:w="1855" w:type="dxa"/>
          </w:tcPr>
          <w:p w14:paraId="0C9A0502"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333 mg</w:t>
            </w:r>
          </w:p>
        </w:tc>
        <w:tc>
          <w:tcPr>
            <w:tcW w:w="1855" w:type="dxa"/>
          </w:tcPr>
          <w:p w14:paraId="0BBEDDB8"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857" w:type="dxa"/>
          </w:tcPr>
          <w:p w14:paraId="344C9F78"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r>
      <w:tr w:rsidR="00C26A17" w:rsidRPr="002B09D5" w14:paraId="091870FD" w14:textId="77777777" w:rsidTr="009D0992">
        <w:trPr>
          <w:trHeight w:val="549"/>
        </w:trPr>
        <w:tc>
          <w:tcPr>
            <w:tcW w:w="1016" w:type="dxa"/>
          </w:tcPr>
          <w:p w14:paraId="4834C1B2" w14:textId="77777777" w:rsidR="00C26A17" w:rsidRPr="005920B0" w:rsidRDefault="00C26A17" w:rsidP="009D0992">
            <w:pPr>
              <w:spacing w:line="360" w:lineRule="auto"/>
              <w:jc w:val="both"/>
              <w:rPr>
                <w:rFonts w:ascii="Times New Roman" w:hAnsi="Times New Roman" w:cs="Times New Roman"/>
                <w:sz w:val="24"/>
                <w:szCs w:val="24"/>
              </w:rPr>
            </w:pPr>
            <w:r w:rsidRPr="005920B0">
              <w:rPr>
                <w:rFonts w:ascii="Times New Roman" w:hAnsi="Times New Roman" w:cs="Times New Roman"/>
                <w:sz w:val="24"/>
                <w:szCs w:val="24"/>
              </w:rPr>
              <w:t>2</w:t>
            </w:r>
          </w:p>
        </w:tc>
        <w:tc>
          <w:tcPr>
            <w:tcW w:w="2695" w:type="dxa"/>
          </w:tcPr>
          <w:p w14:paraId="2AF79C03"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Folic acid</w:t>
            </w:r>
          </w:p>
        </w:tc>
        <w:tc>
          <w:tcPr>
            <w:tcW w:w="1855" w:type="dxa"/>
          </w:tcPr>
          <w:p w14:paraId="7828EA77"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5 mg</w:t>
            </w:r>
          </w:p>
        </w:tc>
        <w:tc>
          <w:tcPr>
            <w:tcW w:w="1855" w:type="dxa"/>
          </w:tcPr>
          <w:p w14:paraId="54B7CD17"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857" w:type="dxa"/>
          </w:tcPr>
          <w:p w14:paraId="2A43E0EB"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0-1-0</w:t>
            </w:r>
          </w:p>
        </w:tc>
      </w:tr>
      <w:tr w:rsidR="00C26A17" w:rsidRPr="002B09D5" w14:paraId="5301B60E" w14:textId="77777777" w:rsidTr="009D0992">
        <w:trPr>
          <w:trHeight w:val="549"/>
        </w:trPr>
        <w:tc>
          <w:tcPr>
            <w:tcW w:w="1016" w:type="dxa"/>
          </w:tcPr>
          <w:p w14:paraId="09B356AE" w14:textId="77777777" w:rsidR="00C26A17" w:rsidRPr="005920B0" w:rsidRDefault="00C26A17" w:rsidP="009D0992">
            <w:pPr>
              <w:spacing w:line="360" w:lineRule="auto"/>
              <w:jc w:val="both"/>
              <w:rPr>
                <w:rFonts w:ascii="Times New Roman" w:hAnsi="Times New Roman" w:cs="Times New Roman"/>
                <w:sz w:val="24"/>
                <w:szCs w:val="24"/>
              </w:rPr>
            </w:pPr>
            <w:r w:rsidRPr="005920B0">
              <w:rPr>
                <w:rFonts w:ascii="Times New Roman" w:hAnsi="Times New Roman" w:cs="Times New Roman"/>
                <w:sz w:val="24"/>
                <w:szCs w:val="24"/>
              </w:rPr>
              <w:t>3</w:t>
            </w:r>
          </w:p>
        </w:tc>
        <w:tc>
          <w:tcPr>
            <w:tcW w:w="2695" w:type="dxa"/>
          </w:tcPr>
          <w:p w14:paraId="4011109A"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B complex</w:t>
            </w:r>
          </w:p>
        </w:tc>
        <w:tc>
          <w:tcPr>
            <w:tcW w:w="1855" w:type="dxa"/>
          </w:tcPr>
          <w:p w14:paraId="69B6B10B" w14:textId="77777777" w:rsidR="00C26A17" w:rsidRPr="005920B0" w:rsidRDefault="00C26A17" w:rsidP="009D0992">
            <w:pPr>
              <w:spacing w:line="360" w:lineRule="auto"/>
              <w:jc w:val="both"/>
              <w:rPr>
                <w:rFonts w:ascii="Times New Roman" w:hAnsi="Times New Roman" w:cs="Times New Roman"/>
                <w:sz w:val="24"/>
                <w:szCs w:val="24"/>
              </w:rPr>
            </w:pPr>
          </w:p>
        </w:tc>
        <w:tc>
          <w:tcPr>
            <w:tcW w:w="1855" w:type="dxa"/>
          </w:tcPr>
          <w:p w14:paraId="20B2EFAE"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857" w:type="dxa"/>
          </w:tcPr>
          <w:p w14:paraId="0BA1A348"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0-1-0</w:t>
            </w:r>
          </w:p>
        </w:tc>
      </w:tr>
      <w:tr w:rsidR="00C26A17" w:rsidRPr="002B09D5" w14:paraId="3C75A601" w14:textId="77777777" w:rsidTr="009D0992">
        <w:trPr>
          <w:trHeight w:val="549"/>
        </w:trPr>
        <w:tc>
          <w:tcPr>
            <w:tcW w:w="1016" w:type="dxa"/>
          </w:tcPr>
          <w:p w14:paraId="03B21A12" w14:textId="77777777" w:rsidR="00C26A17" w:rsidRPr="005920B0" w:rsidRDefault="00C26A17" w:rsidP="009D0992">
            <w:pPr>
              <w:spacing w:line="360" w:lineRule="auto"/>
              <w:jc w:val="both"/>
              <w:rPr>
                <w:rFonts w:ascii="Times New Roman" w:hAnsi="Times New Roman" w:cs="Times New Roman"/>
                <w:sz w:val="24"/>
                <w:szCs w:val="24"/>
              </w:rPr>
            </w:pPr>
            <w:r w:rsidRPr="005920B0">
              <w:rPr>
                <w:rFonts w:ascii="Times New Roman" w:hAnsi="Times New Roman" w:cs="Times New Roman"/>
                <w:sz w:val="24"/>
                <w:szCs w:val="24"/>
              </w:rPr>
              <w:lastRenderedPageBreak/>
              <w:t>4</w:t>
            </w:r>
          </w:p>
        </w:tc>
        <w:tc>
          <w:tcPr>
            <w:tcW w:w="2695" w:type="dxa"/>
          </w:tcPr>
          <w:p w14:paraId="629ED5FD"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Ondansetron</w:t>
            </w:r>
          </w:p>
        </w:tc>
        <w:tc>
          <w:tcPr>
            <w:tcW w:w="1855" w:type="dxa"/>
          </w:tcPr>
          <w:p w14:paraId="0284469F"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4mg</w:t>
            </w:r>
          </w:p>
        </w:tc>
        <w:tc>
          <w:tcPr>
            <w:tcW w:w="1855" w:type="dxa"/>
          </w:tcPr>
          <w:p w14:paraId="2795F0F8"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857" w:type="dxa"/>
          </w:tcPr>
          <w:p w14:paraId="3E4A1E35"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r>
    </w:tbl>
    <w:p w14:paraId="59D45704" w14:textId="77777777" w:rsidR="003840DF" w:rsidRDefault="003840DF" w:rsidP="00C26A17">
      <w:pPr>
        <w:spacing w:line="360" w:lineRule="auto"/>
        <w:jc w:val="both"/>
        <w:rPr>
          <w:rFonts w:ascii="Times New Roman" w:hAnsi="Times New Roman" w:cs="Times New Roman"/>
          <w:b/>
          <w:bCs/>
          <w:sz w:val="28"/>
          <w:szCs w:val="28"/>
        </w:rPr>
      </w:pPr>
    </w:p>
    <w:p w14:paraId="59C0C6D0" w14:textId="421B1C27" w:rsidR="00C26A17" w:rsidRDefault="00C26A17" w:rsidP="00C26A17">
      <w:pPr>
        <w:spacing w:line="360" w:lineRule="auto"/>
        <w:jc w:val="both"/>
        <w:rPr>
          <w:rFonts w:ascii="Times New Roman" w:hAnsi="Times New Roman" w:cs="Times New Roman"/>
          <w:b/>
          <w:bCs/>
          <w:sz w:val="28"/>
          <w:szCs w:val="28"/>
        </w:rPr>
      </w:pPr>
      <w:r w:rsidRPr="00D44819">
        <w:rPr>
          <w:rFonts w:ascii="Times New Roman" w:hAnsi="Times New Roman" w:cs="Times New Roman"/>
          <w:b/>
          <w:bCs/>
          <w:sz w:val="28"/>
          <w:szCs w:val="28"/>
        </w:rPr>
        <w:t xml:space="preserve">Discussion </w:t>
      </w:r>
    </w:p>
    <w:p w14:paraId="78251C91" w14:textId="68C1CB73" w:rsidR="00C26A17" w:rsidRDefault="00D356EB" w:rsidP="007647E8">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is </w:t>
      </w:r>
      <w:r w:rsidR="00314A3D">
        <w:rPr>
          <w:rFonts w:ascii="Times New Roman" w:hAnsi="Times New Roman" w:cs="Times New Roman"/>
          <w:sz w:val="24"/>
          <w:szCs w:val="24"/>
        </w:rPr>
        <w:t xml:space="preserve">the </w:t>
      </w:r>
      <w:r>
        <w:rPr>
          <w:rFonts w:ascii="Times New Roman" w:hAnsi="Times New Roman" w:cs="Times New Roman"/>
          <w:sz w:val="24"/>
          <w:szCs w:val="24"/>
        </w:rPr>
        <w:t xml:space="preserve">inability of the blood to carry enough oxygen eventually leading to hypoxia of body tissues and organs resulting in fatiguability, breathlessness etc. </w:t>
      </w:r>
      <w:r w:rsidRPr="00795F90">
        <w:rPr>
          <w:rFonts w:ascii="Times New Roman" w:hAnsi="Times New Roman" w:cs="Times New Roman"/>
          <w:sz w:val="24"/>
          <w:szCs w:val="24"/>
        </w:rPr>
        <w:t>Iron, a vital component of h</w:t>
      </w:r>
      <w:r>
        <w:rPr>
          <w:rFonts w:ascii="Times New Roman" w:hAnsi="Times New Roman" w:cs="Times New Roman"/>
          <w:sz w:val="24"/>
          <w:szCs w:val="24"/>
        </w:rPr>
        <w:t>a</w:t>
      </w:r>
      <w:r w:rsidRPr="00795F90">
        <w:rPr>
          <w:rFonts w:ascii="Times New Roman" w:hAnsi="Times New Roman" w:cs="Times New Roman"/>
          <w:sz w:val="24"/>
          <w:szCs w:val="24"/>
        </w:rPr>
        <w:t xml:space="preserve">emoglobin molecule, is crucial for oxygen transport. </w:t>
      </w:r>
      <w:r w:rsidRPr="00D970EE">
        <w:rPr>
          <w:rFonts w:ascii="Times New Roman" w:hAnsi="Times New Roman" w:cs="Times New Roman"/>
          <w:sz w:val="24"/>
          <w:szCs w:val="24"/>
        </w:rPr>
        <w:t xml:space="preserve">Iron deficiency is the leading cause of </w:t>
      </w:r>
      <w:proofErr w:type="spellStart"/>
      <w:r w:rsidRPr="00D970EE">
        <w:rPr>
          <w:rFonts w:ascii="Times New Roman" w:hAnsi="Times New Roman" w:cs="Times New Roman"/>
          <w:sz w:val="24"/>
          <w:szCs w:val="24"/>
        </w:rPr>
        <w:t>anemia</w:t>
      </w:r>
      <w:proofErr w:type="spellEnd"/>
      <w:r w:rsidRPr="00D970EE">
        <w:rPr>
          <w:rFonts w:ascii="Times New Roman" w:hAnsi="Times New Roman" w:cs="Times New Roman"/>
          <w:sz w:val="24"/>
          <w:szCs w:val="24"/>
        </w:rPr>
        <w:t xml:space="preserve">, affecting 32.9% of the global population and contributing significantly to </w:t>
      </w:r>
      <w:r w:rsidR="00314A3D" w:rsidRPr="00314A3D">
        <w:rPr>
          <w:rFonts w:ascii="Times New Roman" w:hAnsi="Times New Roman" w:cs="Times New Roman"/>
          <w:sz w:val="24"/>
          <w:szCs w:val="24"/>
        </w:rPr>
        <w:t>morbidity worldwide</w:t>
      </w:r>
      <w:r w:rsidRPr="00795F90">
        <w:rPr>
          <w:rFonts w:ascii="Times New Roman" w:hAnsi="Times New Roman" w:cs="Times New Roman"/>
          <w:sz w:val="24"/>
          <w:szCs w:val="24"/>
        </w:rPr>
        <w:t>, leading to microcytic and hypochromic red blood cells, as observed on a peripheral</w:t>
      </w:r>
      <w:r w:rsidR="00502971">
        <w:rPr>
          <w:rFonts w:ascii="Times New Roman" w:hAnsi="Times New Roman" w:cs="Times New Roman"/>
          <w:sz w:val="24"/>
          <w:szCs w:val="24"/>
        </w:rPr>
        <w:t xml:space="preserve"> blood </w:t>
      </w:r>
      <w:r w:rsidRPr="00795F90">
        <w:rPr>
          <w:rFonts w:ascii="Times New Roman" w:hAnsi="Times New Roman" w:cs="Times New Roman"/>
          <w:sz w:val="24"/>
          <w:szCs w:val="24"/>
        </w:rPr>
        <w:t xml:space="preserve">smear. The underlying causes of iron deficiency can vary depending on age, </w:t>
      </w:r>
      <w:r w:rsidR="00314A3D">
        <w:rPr>
          <w:rFonts w:ascii="Times New Roman" w:hAnsi="Times New Roman" w:cs="Times New Roman"/>
          <w:sz w:val="24"/>
          <w:szCs w:val="24"/>
        </w:rPr>
        <w:t>sex</w:t>
      </w:r>
      <w:r w:rsidRPr="00795F90">
        <w:rPr>
          <w:rFonts w:ascii="Times New Roman" w:hAnsi="Times New Roman" w:cs="Times New Roman"/>
          <w:sz w:val="24"/>
          <w:szCs w:val="24"/>
        </w:rPr>
        <w:t>, and socioeconomic factors</w:t>
      </w:r>
      <w:r w:rsidRPr="00795F90">
        <w:t xml:space="preserve"> </w:t>
      </w:r>
      <w:r w:rsidRPr="00795F90">
        <w:rPr>
          <w:rFonts w:ascii="Times New Roman" w:hAnsi="Times New Roman" w:cs="Times New Roman"/>
          <w:sz w:val="24"/>
          <w:szCs w:val="24"/>
        </w:rPr>
        <w:t xml:space="preserve">and may include inadequate dietary intake, impaired absorption, or blood loss. Patients with </w:t>
      </w:r>
      <w:proofErr w:type="spellStart"/>
      <w:r w:rsidRPr="00795F90">
        <w:rPr>
          <w:rFonts w:ascii="Times New Roman" w:hAnsi="Times New Roman" w:cs="Times New Roman"/>
          <w:sz w:val="24"/>
          <w:szCs w:val="24"/>
        </w:rPr>
        <w:t>anemia</w:t>
      </w:r>
      <w:proofErr w:type="spellEnd"/>
      <w:r w:rsidRPr="00795F90">
        <w:rPr>
          <w:rFonts w:ascii="Times New Roman" w:hAnsi="Times New Roman" w:cs="Times New Roman"/>
          <w:sz w:val="24"/>
          <w:szCs w:val="24"/>
        </w:rPr>
        <w:t xml:space="preserve"> often report nonspecific symptoms such as fatigue and shortness of breath during physical activity</w:t>
      </w:r>
      <w:r>
        <w:rPr>
          <w:rFonts w:ascii="Times New Roman" w:hAnsi="Times New Roman" w:cs="Times New Roman"/>
          <w:sz w:val="24"/>
          <w:szCs w:val="24"/>
        </w:rPr>
        <w:t>.</w:t>
      </w:r>
      <w:r>
        <w:rPr>
          <w:rFonts w:ascii="Times New Roman" w:hAnsi="Times New Roman" w:cs="Times New Roman"/>
          <w:sz w:val="24"/>
          <w:szCs w:val="24"/>
          <w:vertAlign w:val="superscript"/>
        </w:rPr>
        <w:t xml:space="preserve">5 </w:t>
      </w:r>
    </w:p>
    <w:p w14:paraId="7C984C64" w14:textId="6DA6F38F" w:rsidR="00D356EB" w:rsidRDefault="00D356EB" w:rsidP="007647E8">
      <w:pPr>
        <w:spacing w:line="360" w:lineRule="auto"/>
        <w:jc w:val="both"/>
        <w:rPr>
          <w:rFonts w:ascii="Times New Roman" w:hAnsi="Times New Roman" w:cs="Times New Roman"/>
          <w:sz w:val="24"/>
          <w:szCs w:val="24"/>
        </w:rPr>
      </w:pPr>
      <w:r w:rsidRPr="006D1D85">
        <w:rPr>
          <w:rFonts w:ascii="Times New Roman" w:hAnsi="Times New Roman" w:cs="Times New Roman"/>
          <w:sz w:val="24"/>
          <w:szCs w:val="24"/>
        </w:rPr>
        <w:t xml:space="preserve">Treatment for iron deficiency </w:t>
      </w:r>
      <w:proofErr w:type="spellStart"/>
      <w:r w:rsidRPr="006D1D85">
        <w:rPr>
          <w:rFonts w:ascii="Times New Roman" w:hAnsi="Times New Roman" w:cs="Times New Roman"/>
          <w:sz w:val="24"/>
          <w:szCs w:val="24"/>
        </w:rPr>
        <w:t>anemia</w:t>
      </w:r>
      <w:proofErr w:type="spellEnd"/>
      <w:r w:rsidRPr="006D1D85">
        <w:rPr>
          <w:rFonts w:ascii="Times New Roman" w:hAnsi="Times New Roman" w:cs="Times New Roman"/>
          <w:sz w:val="24"/>
          <w:szCs w:val="24"/>
        </w:rPr>
        <w:t xml:space="preserve"> (IDA) involves oral iron supplementation, which is the first-line </w:t>
      </w:r>
      <w:r w:rsidR="00314A3D">
        <w:rPr>
          <w:rFonts w:ascii="Times New Roman" w:hAnsi="Times New Roman" w:cs="Times New Roman"/>
          <w:sz w:val="24"/>
          <w:szCs w:val="24"/>
        </w:rPr>
        <w:t>treatment</w:t>
      </w:r>
      <w:r w:rsidRPr="006D1D85">
        <w:rPr>
          <w:rFonts w:ascii="Times New Roman" w:hAnsi="Times New Roman" w:cs="Times New Roman"/>
          <w:sz w:val="24"/>
          <w:szCs w:val="24"/>
        </w:rPr>
        <w:t>. However, intravenous (IV) iron is used when oral iron is ineffective, poorly tolerated or unsuitable. IV iron carries a risk of infusion-related reactions</w:t>
      </w:r>
      <w:r>
        <w:rPr>
          <w:rFonts w:ascii="Times New Roman" w:hAnsi="Times New Roman" w:cs="Times New Roman"/>
          <w:sz w:val="24"/>
          <w:szCs w:val="24"/>
        </w:rPr>
        <w:t xml:space="preserve"> (IRRs)</w:t>
      </w:r>
      <w:r w:rsidRPr="006D1D85">
        <w:rPr>
          <w:rFonts w:ascii="Times New Roman" w:hAnsi="Times New Roman" w:cs="Times New Roman"/>
          <w:sz w:val="24"/>
          <w:szCs w:val="24"/>
        </w:rPr>
        <w:t>, ranging from mild to severe. Common IV iron formulations include iron sucrose</w:t>
      </w:r>
      <w:r>
        <w:rPr>
          <w:rFonts w:ascii="Times New Roman" w:hAnsi="Times New Roman" w:cs="Times New Roman"/>
          <w:sz w:val="24"/>
          <w:szCs w:val="24"/>
        </w:rPr>
        <w:t xml:space="preserve"> (IS)</w:t>
      </w:r>
      <w:r w:rsidRPr="006D1D85">
        <w:rPr>
          <w:rFonts w:ascii="Times New Roman" w:hAnsi="Times New Roman" w:cs="Times New Roman"/>
          <w:sz w:val="24"/>
          <w:szCs w:val="24"/>
        </w:rPr>
        <w:t>, low molecular weight iron dextran</w:t>
      </w:r>
      <w:r>
        <w:rPr>
          <w:rFonts w:ascii="Times New Roman" w:hAnsi="Times New Roman" w:cs="Times New Roman"/>
          <w:sz w:val="24"/>
          <w:szCs w:val="24"/>
        </w:rPr>
        <w:t xml:space="preserve"> (LMWID)</w:t>
      </w:r>
      <w:r w:rsidRPr="006D1D85">
        <w:rPr>
          <w:rFonts w:ascii="Times New Roman" w:hAnsi="Times New Roman" w:cs="Times New Roman"/>
          <w:sz w:val="24"/>
          <w:szCs w:val="24"/>
        </w:rPr>
        <w:t xml:space="preserve">, </w:t>
      </w:r>
      <w:proofErr w:type="spellStart"/>
      <w:r w:rsidRPr="006D1D85">
        <w:rPr>
          <w:rFonts w:ascii="Times New Roman" w:hAnsi="Times New Roman" w:cs="Times New Roman"/>
          <w:sz w:val="24"/>
          <w:szCs w:val="24"/>
        </w:rPr>
        <w:t>ferumoxytol</w:t>
      </w:r>
      <w:proofErr w:type="spellEnd"/>
      <w:r w:rsidRPr="006D1D85">
        <w:rPr>
          <w:rFonts w:ascii="Times New Roman" w:hAnsi="Times New Roman" w:cs="Times New Roman"/>
          <w:sz w:val="24"/>
          <w:szCs w:val="24"/>
        </w:rPr>
        <w:t xml:space="preserve">, ferric gluconate, ferric </w:t>
      </w:r>
      <w:proofErr w:type="spellStart"/>
      <w:r w:rsidRPr="006D1D85">
        <w:rPr>
          <w:rFonts w:ascii="Times New Roman" w:hAnsi="Times New Roman" w:cs="Times New Roman"/>
          <w:sz w:val="24"/>
          <w:szCs w:val="24"/>
        </w:rPr>
        <w:t>carboxymaltose</w:t>
      </w:r>
      <w:proofErr w:type="spellEnd"/>
      <w:r w:rsidRPr="006D1D85">
        <w:rPr>
          <w:rFonts w:ascii="Times New Roman" w:hAnsi="Times New Roman" w:cs="Times New Roman"/>
          <w:sz w:val="24"/>
          <w:szCs w:val="24"/>
        </w:rPr>
        <w:t>, and the recently approved ferric derisomaltose</w:t>
      </w:r>
      <w:r>
        <w:rPr>
          <w:rFonts w:ascii="Times New Roman" w:hAnsi="Times New Roman" w:cs="Times New Roman"/>
          <w:sz w:val="24"/>
          <w:szCs w:val="24"/>
        </w:rPr>
        <w:t>.</w:t>
      </w:r>
      <w:r>
        <w:rPr>
          <w:rFonts w:ascii="Times New Roman" w:hAnsi="Times New Roman" w:cs="Times New Roman"/>
          <w:sz w:val="24"/>
          <w:szCs w:val="24"/>
          <w:vertAlign w:val="superscript"/>
        </w:rPr>
        <w:t>6</w:t>
      </w:r>
    </w:p>
    <w:p w14:paraId="27C19D12" w14:textId="49B370F6" w:rsidR="00FC3BFF" w:rsidRDefault="00D356EB" w:rsidP="00D356EB">
      <w:pPr>
        <w:spacing w:line="360" w:lineRule="auto"/>
        <w:jc w:val="both"/>
        <w:rPr>
          <w:rFonts w:ascii="Times New Roman" w:hAnsi="Times New Roman" w:cs="Times New Roman"/>
          <w:sz w:val="24"/>
          <w:szCs w:val="24"/>
        </w:rPr>
      </w:pPr>
      <w:r w:rsidRPr="00A66D65">
        <w:rPr>
          <w:rFonts w:ascii="Times New Roman" w:hAnsi="Times New Roman" w:cs="Times New Roman"/>
          <w:sz w:val="24"/>
          <w:szCs w:val="24"/>
        </w:rPr>
        <w:t xml:space="preserve">Intravenous Iron Sucrose can notably </w:t>
      </w:r>
      <w:r w:rsidR="00314A3D">
        <w:rPr>
          <w:rFonts w:ascii="Times New Roman" w:hAnsi="Times New Roman" w:cs="Times New Roman"/>
          <w:sz w:val="24"/>
          <w:szCs w:val="24"/>
        </w:rPr>
        <w:t xml:space="preserve">increase </w:t>
      </w:r>
      <w:proofErr w:type="spellStart"/>
      <w:r w:rsidRPr="00A66D65">
        <w:rPr>
          <w:rFonts w:ascii="Times New Roman" w:hAnsi="Times New Roman" w:cs="Times New Roman"/>
          <w:sz w:val="24"/>
          <w:szCs w:val="24"/>
        </w:rPr>
        <w:t>hemoglobin</w:t>
      </w:r>
      <w:proofErr w:type="spellEnd"/>
      <w:r w:rsidRPr="00A66D65">
        <w:rPr>
          <w:rFonts w:ascii="Times New Roman" w:hAnsi="Times New Roman" w:cs="Times New Roman"/>
          <w:sz w:val="24"/>
          <w:szCs w:val="24"/>
        </w:rPr>
        <w:t xml:space="preserve"> levels and other red blood cell parameters. Common side effects include headache, dizziness, nausea, vomiting, tingling sensations, swelling and muscle pain</w:t>
      </w:r>
      <w:r>
        <w:rPr>
          <w:rFonts w:ascii="Times New Roman" w:hAnsi="Times New Roman" w:cs="Times New Roman"/>
          <w:sz w:val="24"/>
          <w:szCs w:val="24"/>
        </w:rPr>
        <w:t>.</w:t>
      </w:r>
      <w:r w:rsidRPr="000074FF">
        <w:rPr>
          <w:rFonts w:ascii="Times New Roman" w:hAnsi="Times New Roman" w:cs="Times New Roman"/>
          <w:sz w:val="24"/>
          <w:szCs w:val="24"/>
          <w:highlight w:val="yellow"/>
          <w:vertAlign w:val="superscript"/>
        </w:rPr>
        <w:t>7</w:t>
      </w:r>
    </w:p>
    <w:p w14:paraId="47CF6C2C" w14:textId="3AFBFEFD" w:rsidR="00FC3BFF" w:rsidRPr="00FC3BFF" w:rsidRDefault="00FC3BFF" w:rsidP="00D356EB">
      <w:pPr>
        <w:spacing w:line="360" w:lineRule="auto"/>
        <w:jc w:val="both"/>
        <w:rPr>
          <w:rFonts w:ascii="Times New Roman" w:hAnsi="Times New Roman" w:cs="Times New Roman"/>
          <w:sz w:val="24"/>
          <w:szCs w:val="24"/>
          <w:vertAlign w:val="superscript"/>
        </w:rPr>
      </w:pPr>
      <w:r w:rsidRPr="00FC3BFF">
        <w:rPr>
          <w:rFonts w:ascii="Times New Roman" w:hAnsi="Times New Roman" w:cs="Times New Roman"/>
          <w:sz w:val="24"/>
          <w:szCs w:val="24"/>
          <w:highlight w:val="yellow"/>
        </w:rPr>
        <w:t xml:space="preserve">Ferric </w:t>
      </w:r>
      <w:proofErr w:type="spellStart"/>
      <w:r w:rsidRPr="00FC3BFF">
        <w:rPr>
          <w:rFonts w:ascii="Times New Roman" w:hAnsi="Times New Roman" w:cs="Times New Roman"/>
          <w:sz w:val="24"/>
          <w:szCs w:val="24"/>
          <w:highlight w:val="yellow"/>
        </w:rPr>
        <w:t>carboxymaltose</w:t>
      </w:r>
      <w:proofErr w:type="spellEnd"/>
      <w:r w:rsidRPr="00FC3BFF">
        <w:rPr>
          <w:rFonts w:ascii="Times New Roman" w:hAnsi="Times New Roman" w:cs="Times New Roman"/>
          <w:sz w:val="24"/>
          <w:szCs w:val="24"/>
          <w:highlight w:val="yellow"/>
        </w:rPr>
        <w:t xml:space="preserve"> (FCM) is an intravenous iron formulation consisting of a polynuclear iron</w:t>
      </w:r>
      <w:r>
        <w:rPr>
          <w:rFonts w:ascii="Times New Roman" w:hAnsi="Times New Roman" w:cs="Times New Roman"/>
          <w:sz w:val="24"/>
          <w:szCs w:val="24"/>
          <w:highlight w:val="yellow"/>
        </w:rPr>
        <w:t xml:space="preserve"> </w:t>
      </w:r>
      <w:r w:rsidRPr="00FC3BFF">
        <w:rPr>
          <w:rFonts w:ascii="Times New Roman" w:hAnsi="Times New Roman" w:cs="Times New Roman"/>
          <w:sz w:val="24"/>
          <w:szCs w:val="24"/>
          <w:highlight w:val="yellow"/>
        </w:rPr>
        <w:t xml:space="preserve">(III)-hydroxide core stabilized by </w:t>
      </w:r>
      <w:proofErr w:type="spellStart"/>
      <w:r w:rsidRPr="00FC3BFF">
        <w:rPr>
          <w:rFonts w:ascii="Times New Roman" w:hAnsi="Times New Roman" w:cs="Times New Roman"/>
          <w:sz w:val="24"/>
          <w:szCs w:val="24"/>
          <w:highlight w:val="yellow"/>
        </w:rPr>
        <w:t>carboxymaltose</w:t>
      </w:r>
      <w:proofErr w:type="spellEnd"/>
      <w:r w:rsidRPr="00FC3BFF">
        <w:rPr>
          <w:rFonts w:ascii="Times New Roman" w:hAnsi="Times New Roman" w:cs="Times New Roman"/>
          <w:sz w:val="24"/>
          <w:szCs w:val="24"/>
          <w:highlight w:val="yellow"/>
        </w:rPr>
        <w:t xml:space="preserve">. </w:t>
      </w:r>
      <w:r w:rsidRPr="00FC3BFF">
        <w:rPr>
          <w:rFonts w:ascii="Times New Roman" w:hAnsi="Times New Roman" w:cs="Times New Roman"/>
          <w:sz w:val="24"/>
          <w:szCs w:val="24"/>
          <w:highlight w:val="yellow"/>
        </w:rPr>
        <w:t xml:space="preserve">FCM works by being gradually taken up mainly by the hepatic reticuloendothelial system, followed by effective delivery of iron to the endogenous transport system for </w:t>
      </w:r>
      <w:proofErr w:type="spellStart"/>
      <w:r w:rsidRPr="00FC3BFF">
        <w:rPr>
          <w:rFonts w:ascii="Times New Roman" w:hAnsi="Times New Roman" w:cs="Times New Roman"/>
          <w:sz w:val="24"/>
          <w:szCs w:val="24"/>
          <w:highlight w:val="yellow"/>
        </w:rPr>
        <w:t>heme</w:t>
      </w:r>
      <w:proofErr w:type="spellEnd"/>
      <w:r w:rsidRPr="00FC3BFF">
        <w:rPr>
          <w:rFonts w:ascii="Times New Roman" w:hAnsi="Times New Roman" w:cs="Times New Roman"/>
          <w:sz w:val="24"/>
          <w:szCs w:val="24"/>
          <w:highlight w:val="yellow"/>
        </w:rPr>
        <w:t xml:space="preserve"> synthesis in new erythrocytes</w:t>
      </w:r>
      <w:r w:rsidRPr="00FC3BFF">
        <w:rPr>
          <w:rFonts w:ascii="Times New Roman" w:hAnsi="Times New Roman" w:cs="Times New Roman"/>
          <w:sz w:val="24"/>
          <w:szCs w:val="24"/>
          <w:highlight w:val="yellow"/>
        </w:rPr>
        <w:t xml:space="preserve">. </w:t>
      </w:r>
      <w:r w:rsidRPr="00FC3BFF">
        <w:rPr>
          <w:rFonts w:ascii="Times New Roman" w:hAnsi="Times New Roman" w:cs="Times New Roman"/>
          <w:sz w:val="24"/>
          <w:szCs w:val="24"/>
          <w:highlight w:val="yellow"/>
        </w:rPr>
        <w:t>This controlled release mechanism helps balance effectiveness and safety, as compounds that release iron too rapidly can cause toxicity</w:t>
      </w:r>
      <w:r w:rsidRPr="00FC3BFF">
        <w:rPr>
          <w:rFonts w:ascii="Times New Roman" w:hAnsi="Times New Roman" w:cs="Times New Roman"/>
          <w:sz w:val="24"/>
          <w:szCs w:val="24"/>
          <w:highlight w:val="yellow"/>
        </w:rPr>
        <w:t>.</w:t>
      </w:r>
      <w:r w:rsidRPr="00FC3BFF">
        <w:rPr>
          <w:rFonts w:ascii="Times New Roman" w:hAnsi="Times New Roman" w:cs="Times New Roman"/>
          <w:sz w:val="24"/>
          <w:szCs w:val="24"/>
          <w:highlight w:val="yellow"/>
          <w:vertAlign w:val="superscript"/>
        </w:rPr>
        <w:t>8</w:t>
      </w:r>
    </w:p>
    <w:p w14:paraId="1B060F33" w14:textId="468A01EF" w:rsidR="00D356EB" w:rsidRPr="00883CA6" w:rsidRDefault="00D356EB" w:rsidP="00D356EB">
      <w:pPr>
        <w:spacing w:line="360" w:lineRule="auto"/>
        <w:jc w:val="both"/>
        <w:rPr>
          <w:rFonts w:ascii="Times New Roman" w:hAnsi="Times New Roman" w:cs="Times New Roman"/>
          <w:b/>
          <w:bCs/>
          <w:sz w:val="24"/>
          <w:szCs w:val="24"/>
        </w:rPr>
      </w:pPr>
      <w:r>
        <w:rPr>
          <w:rFonts w:ascii="Times New Roman" w:hAnsi="Times New Roman" w:cs="Times New Roman"/>
          <w:sz w:val="24"/>
          <w:szCs w:val="24"/>
        </w:rPr>
        <w:t>In th</w:t>
      </w:r>
      <w:r w:rsidR="00502971">
        <w:rPr>
          <w:rFonts w:ascii="Times New Roman" w:hAnsi="Times New Roman" w:cs="Times New Roman"/>
          <w:sz w:val="24"/>
          <w:szCs w:val="24"/>
        </w:rPr>
        <w:t>e present</w:t>
      </w:r>
      <w:r>
        <w:rPr>
          <w:rFonts w:ascii="Times New Roman" w:hAnsi="Times New Roman" w:cs="Times New Roman"/>
          <w:sz w:val="24"/>
          <w:szCs w:val="24"/>
        </w:rPr>
        <w:t xml:space="preserve"> case a female patient of 24 years old admitted with a complaint of easy fatigability, generalised weakness and decreased appetite </w:t>
      </w:r>
      <w:proofErr w:type="gramStart"/>
      <w:r>
        <w:rPr>
          <w:rFonts w:ascii="Times New Roman" w:hAnsi="Times New Roman" w:cs="Times New Roman"/>
          <w:sz w:val="24"/>
          <w:szCs w:val="24"/>
        </w:rPr>
        <w:t>since</w:t>
      </w:r>
      <w:proofErr w:type="gramEnd"/>
      <w:r>
        <w:rPr>
          <w:rFonts w:ascii="Times New Roman" w:hAnsi="Times New Roman" w:cs="Times New Roman"/>
          <w:sz w:val="24"/>
          <w:szCs w:val="24"/>
        </w:rPr>
        <w:t xml:space="preserve"> 15 days. She ha</w:t>
      </w:r>
      <w:r w:rsidR="00314A3D">
        <w:rPr>
          <w:rFonts w:ascii="Times New Roman" w:hAnsi="Times New Roman" w:cs="Times New Roman"/>
          <w:sz w:val="24"/>
          <w:szCs w:val="24"/>
        </w:rPr>
        <w:t>d</w:t>
      </w:r>
      <w:r>
        <w:rPr>
          <w:rFonts w:ascii="Times New Roman" w:hAnsi="Times New Roman" w:cs="Times New Roman"/>
          <w:sz w:val="24"/>
          <w:szCs w:val="24"/>
        </w:rPr>
        <w:t xml:space="preserve"> no comorbidities, so based on </w:t>
      </w:r>
      <w:r w:rsidRPr="00CE465F">
        <w:rPr>
          <w:rFonts w:ascii="Times New Roman" w:hAnsi="Times New Roman" w:cs="Times New Roman"/>
          <w:sz w:val="24"/>
          <w:szCs w:val="24"/>
        </w:rPr>
        <w:t>the patients sign and symptoms the physician has advised her for CBC,</w:t>
      </w:r>
      <w:r>
        <w:rPr>
          <w:rFonts w:ascii="Times New Roman" w:hAnsi="Times New Roman" w:cs="Times New Roman"/>
          <w:sz w:val="24"/>
          <w:szCs w:val="24"/>
        </w:rPr>
        <w:t xml:space="preserve"> serum ferritin, folic acid, vitamin B12, Thyroid profile, peripheral smear and USG </w:t>
      </w:r>
      <w:r>
        <w:rPr>
          <w:rFonts w:ascii="Times New Roman" w:hAnsi="Times New Roman" w:cs="Times New Roman"/>
          <w:sz w:val="24"/>
          <w:szCs w:val="24"/>
        </w:rPr>
        <w:lastRenderedPageBreak/>
        <w:t xml:space="preserve">abdomen. In which her </w:t>
      </w:r>
      <w:r w:rsidRPr="00883CA6">
        <w:rPr>
          <w:rFonts w:ascii="Times New Roman" w:hAnsi="Times New Roman" w:cs="Times New Roman"/>
          <w:b/>
          <w:bCs/>
          <w:sz w:val="24"/>
          <w:szCs w:val="24"/>
        </w:rPr>
        <w:t xml:space="preserve">CBC, LDH, serum ferritin </w:t>
      </w:r>
      <w:r w:rsidR="00314A3D">
        <w:rPr>
          <w:rFonts w:ascii="Times New Roman" w:hAnsi="Times New Roman" w:cs="Times New Roman"/>
          <w:b/>
          <w:bCs/>
          <w:sz w:val="24"/>
          <w:szCs w:val="24"/>
        </w:rPr>
        <w:t>levels</w:t>
      </w:r>
      <w:r w:rsidRPr="00883CA6">
        <w:rPr>
          <w:rFonts w:ascii="Times New Roman" w:hAnsi="Times New Roman" w:cs="Times New Roman"/>
          <w:b/>
          <w:bCs/>
          <w:sz w:val="24"/>
          <w:szCs w:val="24"/>
        </w:rPr>
        <w:t xml:space="preserve"> decreased</w:t>
      </w:r>
      <w:r>
        <w:rPr>
          <w:rFonts w:ascii="Times New Roman" w:hAnsi="Times New Roman" w:cs="Times New Roman"/>
          <w:sz w:val="24"/>
          <w:szCs w:val="24"/>
        </w:rPr>
        <w:t xml:space="preserve">. Peripheral smear </w:t>
      </w:r>
      <w:r w:rsidR="00314A3D" w:rsidRPr="00314A3D">
        <w:rPr>
          <w:rFonts w:ascii="Times New Roman" w:hAnsi="Times New Roman" w:cs="Times New Roman"/>
          <w:sz w:val="24"/>
          <w:szCs w:val="24"/>
        </w:rPr>
        <w:t xml:space="preserve">revealed </w:t>
      </w:r>
      <w:r w:rsidR="00314A3D" w:rsidRPr="00314A3D">
        <w:rPr>
          <w:rFonts w:ascii="Times New Roman" w:hAnsi="Times New Roman" w:cs="Times New Roman"/>
          <w:b/>
          <w:bCs/>
          <w:sz w:val="24"/>
          <w:szCs w:val="24"/>
        </w:rPr>
        <w:t>severe</w:t>
      </w:r>
      <w:r w:rsidRPr="00314A3D">
        <w:rPr>
          <w:rFonts w:ascii="Times New Roman" w:hAnsi="Times New Roman" w:cs="Times New Roman"/>
          <w:b/>
          <w:bCs/>
          <w:sz w:val="24"/>
          <w:szCs w:val="24"/>
        </w:rPr>
        <w:t xml:space="preserve"> d</w:t>
      </w:r>
      <w:r w:rsidRPr="00883CA6">
        <w:rPr>
          <w:rFonts w:ascii="Times New Roman" w:hAnsi="Times New Roman" w:cs="Times New Roman"/>
          <w:b/>
          <w:bCs/>
          <w:sz w:val="24"/>
          <w:szCs w:val="24"/>
        </w:rPr>
        <w:t xml:space="preserve">imorphic </w:t>
      </w:r>
      <w:proofErr w:type="spellStart"/>
      <w:r w:rsidRPr="00883CA6">
        <w:rPr>
          <w:rFonts w:ascii="Times New Roman" w:hAnsi="Times New Roman" w:cs="Times New Roman"/>
          <w:b/>
          <w:bCs/>
          <w:sz w:val="24"/>
          <w:szCs w:val="24"/>
        </w:rPr>
        <w:t>anemia</w:t>
      </w:r>
      <w:proofErr w:type="spellEnd"/>
      <w:r w:rsidRPr="00883CA6">
        <w:rPr>
          <w:rFonts w:ascii="Times New Roman" w:hAnsi="Times New Roman" w:cs="Times New Roman"/>
          <w:b/>
          <w:bCs/>
          <w:sz w:val="24"/>
          <w:szCs w:val="24"/>
        </w:rPr>
        <w:t xml:space="preserve"> with marked </w:t>
      </w:r>
      <w:proofErr w:type="spellStart"/>
      <w:r w:rsidRPr="00883CA6">
        <w:rPr>
          <w:rFonts w:ascii="Times New Roman" w:hAnsi="Times New Roman" w:cs="Times New Roman"/>
          <w:b/>
          <w:bCs/>
          <w:sz w:val="24"/>
          <w:szCs w:val="24"/>
        </w:rPr>
        <w:t>anisopoiklocytosis</w:t>
      </w:r>
      <w:proofErr w:type="spellEnd"/>
      <w:r w:rsidRPr="00883CA6">
        <w:rPr>
          <w:rFonts w:ascii="Times New Roman" w:hAnsi="Times New Roman" w:cs="Times New Roman"/>
          <w:b/>
          <w:bCs/>
          <w:sz w:val="24"/>
          <w:szCs w:val="24"/>
        </w:rPr>
        <w:t xml:space="preserve">. </w:t>
      </w:r>
    </w:p>
    <w:p w14:paraId="5281DA5D" w14:textId="458CC34F" w:rsidR="00D356EB" w:rsidRDefault="00D356EB" w:rsidP="00D356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Treatment was initiated with Iron folic acid, Folic acid, </w:t>
      </w:r>
      <w:proofErr w:type="spellStart"/>
      <w:r>
        <w:rPr>
          <w:rFonts w:ascii="Times New Roman" w:hAnsi="Times New Roman" w:cs="Times New Roman"/>
          <w:sz w:val="24"/>
          <w:szCs w:val="24"/>
        </w:rPr>
        <w:t>methylcobalamine</w:t>
      </w:r>
      <w:proofErr w:type="spellEnd"/>
      <w:r>
        <w:rPr>
          <w:rFonts w:ascii="Times New Roman" w:hAnsi="Times New Roman" w:cs="Times New Roman"/>
          <w:sz w:val="24"/>
          <w:szCs w:val="24"/>
        </w:rPr>
        <w:t xml:space="preserve">, Iron sucrose to treat </w:t>
      </w: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Proton pump </w:t>
      </w:r>
      <w:proofErr w:type="spellStart"/>
      <w:r>
        <w:rPr>
          <w:rFonts w:ascii="Times New Roman" w:hAnsi="Times New Roman" w:cs="Times New Roman"/>
          <w:sz w:val="24"/>
          <w:szCs w:val="24"/>
        </w:rPr>
        <w:t>inihibitors</w:t>
      </w:r>
      <w:proofErr w:type="spellEnd"/>
      <w:r>
        <w:rPr>
          <w:rFonts w:ascii="Times New Roman" w:hAnsi="Times New Roman" w:cs="Times New Roman"/>
          <w:sz w:val="24"/>
          <w:szCs w:val="24"/>
        </w:rPr>
        <w:t xml:space="preserve"> to treat GI irritation, ondansetron to treat nausea and vomiting, 1-pint PRBC transfusion was done on her 1</w:t>
      </w:r>
      <w:r w:rsidRPr="003F1DE3">
        <w:rPr>
          <w:rFonts w:ascii="Times New Roman" w:hAnsi="Times New Roman" w:cs="Times New Roman"/>
          <w:sz w:val="24"/>
          <w:szCs w:val="24"/>
          <w:vertAlign w:val="superscript"/>
        </w:rPr>
        <w:t>st</w:t>
      </w:r>
      <w:r>
        <w:rPr>
          <w:rFonts w:ascii="Times New Roman" w:hAnsi="Times New Roman" w:cs="Times New Roman"/>
          <w:sz w:val="24"/>
          <w:szCs w:val="24"/>
        </w:rPr>
        <w:t xml:space="preserve"> day of admission. </w:t>
      </w:r>
    </w:p>
    <w:p w14:paraId="5AA2FC86" w14:textId="6A9A9DC8" w:rsidR="00D356EB" w:rsidRPr="003F1DE3" w:rsidRDefault="00D356EB" w:rsidP="00D356EB">
      <w:pPr>
        <w:spacing w:line="360" w:lineRule="auto"/>
        <w:jc w:val="both"/>
        <w:rPr>
          <w:rFonts w:ascii="Times New Roman" w:hAnsi="Times New Roman" w:cs="Times New Roman"/>
          <w:sz w:val="24"/>
          <w:szCs w:val="24"/>
        </w:rPr>
      </w:pPr>
      <w:r w:rsidRPr="003F1DE3">
        <w:rPr>
          <w:rFonts w:ascii="Times New Roman" w:hAnsi="Times New Roman" w:cs="Times New Roman"/>
          <w:sz w:val="24"/>
          <w:szCs w:val="24"/>
        </w:rPr>
        <w:t xml:space="preserve">The patient developed rashes on the face and bilateral upper limbs, along with peri-orbital </w:t>
      </w:r>
      <w:proofErr w:type="spellStart"/>
      <w:r w:rsidRPr="003F1DE3">
        <w:rPr>
          <w:rFonts w:ascii="Times New Roman" w:hAnsi="Times New Roman" w:cs="Times New Roman"/>
          <w:sz w:val="24"/>
          <w:szCs w:val="24"/>
        </w:rPr>
        <w:t>edema</w:t>
      </w:r>
      <w:proofErr w:type="spellEnd"/>
      <w:r w:rsidRPr="003F1DE3">
        <w:rPr>
          <w:rFonts w:ascii="Times New Roman" w:hAnsi="Times New Roman" w:cs="Times New Roman"/>
          <w:sz w:val="24"/>
          <w:szCs w:val="24"/>
        </w:rPr>
        <w:t xml:space="preserve">, following a PRBC transfusion. The physician recommended discontinuing the PRBC transfusion and prescribed Inj. Hydrocortisone and Chlorpheniramine. On day 4 of iron sucrose administration, the patient developed abdominal pain, vomiting, and </w:t>
      </w:r>
      <w:proofErr w:type="spellStart"/>
      <w:r w:rsidRPr="003F1DE3">
        <w:rPr>
          <w:rFonts w:ascii="Times New Roman" w:hAnsi="Times New Roman" w:cs="Times New Roman"/>
          <w:sz w:val="24"/>
          <w:szCs w:val="24"/>
        </w:rPr>
        <w:t>diarrhea</w:t>
      </w:r>
      <w:proofErr w:type="spellEnd"/>
      <w:r w:rsidRPr="003F1DE3">
        <w:rPr>
          <w:rFonts w:ascii="Times New Roman" w:hAnsi="Times New Roman" w:cs="Times New Roman"/>
          <w:sz w:val="24"/>
          <w:szCs w:val="24"/>
        </w:rPr>
        <w:t xml:space="preserve">, prompting withdrawal of the drug. Inj. Ferric </w:t>
      </w:r>
      <w:proofErr w:type="spellStart"/>
      <w:r w:rsidRPr="003F1DE3">
        <w:rPr>
          <w:rFonts w:ascii="Times New Roman" w:hAnsi="Times New Roman" w:cs="Times New Roman"/>
          <w:sz w:val="24"/>
          <w:szCs w:val="24"/>
        </w:rPr>
        <w:t>Carboxymaltose</w:t>
      </w:r>
      <w:proofErr w:type="spellEnd"/>
      <w:r w:rsidRPr="003F1DE3">
        <w:rPr>
          <w:rFonts w:ascii="Times New Roman" w:hAnsi="Times New Roman" w:cs="Times New Roman"/>
          <w:sz w:val="24"/>
          <w:szCs w:val="24"/>
        </w:rPr>
        <w:t xml:space="preserve"> was then initiated, but the patient experienced adverse effects, including </w:t>
      </w:r>
      <w:r w:rsidR="007218DA">
        <w:rPr>
          <w:rFonts w:ascii="Times New Roman" w:hAnsi="Times New Roman" w:cs="Times New Roman"/>
          <w:sz w:val="24"/>
          <w:szCs w:val="24"/>
        </w:rPr>
        <w:t xml:space="preserve">hypotension, </w:t>
      </w:r>
      <w:r w:rsidR="00A364E1" w:rsidRPr="00A364E1">
        <w:rPr>
          <w:rFonts w:ascii="Times New Roman" w:hAnsi="Times New Roman" w:cs="Times New Roman"/>
          <w:sz w:val="24"/>
          <w:szCs w:val="24"/>
        </w:rPr>
        <w:t>Sudden respiratory distress</w:t>
      </w:r>
      <w:r w:rsidR="00A364E1">
        <w:rPr>
          <w:rFonts w:ascii="Times New Roman" w:hAnsi="Times New Roman" w:cs="Times New Roman"/>
          <w:sz w:val="24"/>
          <w:szCs w:val="24"/>
        </w:rPr>
        <w:t xml:space="preserve">, </w:t>
      </w:r>
      <w:r w:rsidR="00A364E1" w:rsidRPr="00A364E1">
        <w:rPr>
          <w:rFonts w:ascii="Times New Roman" w:hAnsi="Times New Roman" w:cs="Times New Roman"/>
          <w:sz w:val="24"/>
          <w:szCs w:val="24"/>
        </w:rPr>
        <w:t>SpO2 had dropped to 85%</w:t>
      </w:r>
      <w:r w:rsidR="00A364E1">
        <w:rPr>
          <w:rFonts w:ascii="Times New Roman" w:hAnsi="Times New Roman" w:cs="Times New Roman"/>
          <w:sz w:val="24"/>
          <w:szCs w:val="24"/>
        </w:rPr>
        <w:t xml:space="preserve">, </w:t>
      </w:r>
      <w:r w:rsidRPr="003F1DE3">
        <w:rPr>
          <w:rFonts w:ascii="Times New Roman" w:hAnsi="Times New Roman" w:cs="Times New Roman"/>
          <w:sz w:val="24"/>
          <w:szCs w:val="24"/>
        </w:rPr>
        <w:t>dizziness and nausea</w:t>
      </w:r>
      <w:r w:rsidR="00A364E1">
        <w:rPr>
          <w:rFonts w:ascii="Times New Roman" w:hAnsi="Times New Roman" w:cs="Times New Roman"/>
          <w:sz w:val="24"/>
          <w:szCs w:val="24"/>
        </w:rPr>
        <w:t xml:space="preserve"> (similar to case reported by </w:t>
      </w:r>
      <w:proofErr w:type="spellStart"/>
      <w:r w:rsidR="00A364E1" w:rsidRPr="00A66D65">
        <w:rPr>
          <w:rFonts w:ascii="Times New Roman" w:hAnsi="Times New Roman" w:cs="Times New Roman"/>
          <w:sz w:val="24"/>
          <w:szCs w:val="24"/>
        </w:rPr>
        <w:t>Bijalwan</w:t>
      </w:r>
      <w:proofErr w:type="spellEnd"/>
      <w:r w:rsidR="00A364E1" w:rsidRPr="00A66D65">
        <w:rPr>
          <w:rFonts w:ascii="Times New Roman" w:hAnsi="Times New Roman" w:cs="Times New Roman"/>
          <w:sz w:val="24"/>
          <w:szCs w:val="24"/>
        </w:rPr>
        <w:t xml:space="preserve"> S, Randhawa GK</w:t>
      </w:r>
      <w:r w:rsidR="00A364E1">
        <w:rPr>
          <w:rFonts w:ascii="Times New Roman" w:hAnsi="Times New Roman" w:cs="Times New Roman"/>
          <w:sz w:val="24"/>
          <w:szCs w:val="24"/>
        </w:rPr>
        <w:t xml:space="preserve"> et.al.,</w:t>
      </w:r>
      <w:r w:rsidR="007218DA">
        <w:rPr>
          <w:rFonts w:ascii="Times New Roman" w:hAnsi="Times New Roman" w:cs="Times New Roman"/>
          <w:sz w:val="24"/>
          <w:szCs w:val="24"/>
        </w:rPr>
        <w:t xml:space="preserve"> and </w:t>
      </w:r>
      <w:r w:rsidR="007218DA" w:rsidRPr="002716BA">
        <w:rPr>
          <w:rFonts w:ascii="Times New Roman" w:hAnsi="Times New Roman" w:cs="Times New Roman"/>
          <w:sz w:val="24"/>
          <w:szCs w:val="24"/>
        </w:rPr>
        <w:t>Arici AM</w:t>
      </w:r>
      <w:r w:rsidR="007218DA">
        <w:rPr>
          <w:rFonts w:ascii="Times New Roman" w:hAnsi="Times New Roman" w:cs="Times New Roman"/>
          <w:sz w:val="24"/>
          <w:szCs w:val="24"/>
        </w:rPr>
        <w:t xml:space="preserve"> et.al.,</w:t>
      </w:r>
      <w:r w:rsidR="00A364E1">
        <w:rPr>
          <w:rFonts w:ascii="Times New Roman" w:hAnsi="Times New Roman" w:cs="Times New Roman"/>
          <w:sz w:val="24"/>
          <w:szCs w:val="24"/>
        </w:rPr>
        <w:t>)</w:t>
      </w:r>
      <w:r w:rsidRPr="003F1DE3">
        <w:rPr>
          <w:rFonts w:ascii="Times New Roman" w:hAnsi="Times New Roman" w:cs="Times New Roman"/>
          <w:sz w:val="24"/>
          <w:szCs w:val="24"/>
        </w:rPr>
        <w:t xml:space="preserve"> As a result, the dose was reduced by half and eventually stopped.</w:t>
      </w:r>
    </w:p>
    <w:p w14:paraId="46721EB4" w14:textId="5C12A065" w:rsidR="00A364E1" w:rsidRDefault="00D356EB" w:rsidP="00D356EB">
      <w:pPr>
        <w:spacing w:line="360" w:lineRule="auto"/>
        <w:jc w:val="both"/>
        <w:rPr>
          <w:rFonts w:ascii="Times New Roman" w:hAnsi="Times New Roman" w:cs="Times New Roman"/>
          <w:sz w:val="24"/>
          <w:szCs w:val="24"/>
        </w:rPr>
      </w:pPr>
      <w:r w:rsidRPr="00AE54C2">
        <w:rPr>
          <w:rFonts w:ascii="Times New Roman" w:hAnsi="Times New Roman" w:cs="Times New Roman"/>
          <w:sz w:val="24"/>
          <w:szCs w:val="24"/>
        </w:rPr>
        <w:t>The Causality assessment (WHO UMC scale and Naranjo scale) was ‘Possible’ for both Iron Sucrose</w:t>
      </w:r>
      <w:r>
        <w:rPr>
          <w:rFonts w:ascii="Times New Roman" w:hAnsi="Times New Roman" w:cs="Times New Roman"/>
          <w:sz w:val="24"/>
          <w:szCs w:val="24"/>
        </w:rPr>
        <w:t xml:space="preserve"> and Ferric </w:t>
      </w:r>
      <w:proofErr w:type="spellStart"/>
      <w:r>
        <w:rPr>
          <w:rFonts w:ascii="Times New Roman" w:hAnsi="Times New Roman" w:cs="Times New Roman"/>
          <w:sz w:val="24"/>
          <w:szCs w:val="24"/>
        </w:rPr>
        <w:t>carboxymaltose</w:t>
      </w:r>
      <w:proofErr w:type="spellEnd"/>
      <w:r>
        <w:rPr>
          <w:rFonts w:ascii="Times New Roman" w:hAnsi="Times New Roman" w:cs="Times New Roman"/>
          <w:sz w:val="24"/>
          <w:szCs w:val="24"/>
        </w:rPr>
        <w:t xml:space="preserve">. </w:t>
      </w:r>
      <w:r w:rsidRPr="00883CA6">
        <w:rPr>
          <w:rFonts w:ascii="Times New Roman" w:hAnsi="Times New Roman" w:cs="Times New Roman"/>
          <w:sz w:val="24"/>
          <w:szCs w:val="24"/>
        </w:rPr>
        <w:t>The treatment was initiated as per standard treatment</w:t>
      </w:r>
      <w:r>
        <w:rPr>
          <w:rFonts w:ascii="Times New Roman" w:hAnsi="Times New Roman" w:cs="Times New Roman"/>
          <w:sz w:val="24"/>
          <w:szCs w:val="24"/>
        </w:rPr>
        <w:t xml:space="preserve"> guidelines. After prompting improvement in health </w:t>
      </w:r>
      <w:r w:rsidR="00A364E1">
        <w:rPr>
          <w:rFonts w:ascii="Times New Roman" w:hAnsi="Times New Roman" w:cs="Times New Roman"/>
          <w:sz w:val="24"/>
          <w:szCs w:val="24"/>
        </w:rPr>
        <w:t>condition,</w:t>
      </w:r>
      <w:r>
        <w:rPr>
          <w:rFonts w:ascii="Times New Roman" w:hAnsi="Times New Roman" w:cs="Times New Roman"/>
          <w:sz w:val="24"/>
          <w:szCs w:val="24"/>
        </w:rPr>
        <w:t xml:space="preserve"> the patient was </w:t>
      </w:r>
      <w:r w:rsidRPr="00883CA6">
        <w:rPr>
          <w:rFonts w:ascii="Times New Roman" w:hAnsi="Times New Roman" w:cs="Times New Roman"/>
          <w:sz w:val="24"/>
          <w:szCs w:val="24"/>
        </w:rPr>
        <w:t>discharged from the hospital with the following medications</w:t>
      </w:r>
      <w:r>
        <w:rPr>
          <w:rFonts w:ascii="Times New Roman" w:hAnsi="Times New Roman" w:cs="Times New Roman"/>
          <w:sz w:val="24"/>
          <w:szCs w:val="24"/>
        </w:rPr>
        <w:t xml:space="preserve"> Iron folic acid, folic acid and B complex to treat severe </w:t>
      </w: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ondansetron to treat nausea and vomiting. </w:t>
      </w:r>
      <w:r w:rsidRPr="00883CA6">
        <w:rPr>
          <w:rFonts w:ascii="Times New Roman" w:hAnsi="Times New Roman" w:cs="Times New Roman"/>
          <w:sz w:val="24"/>
          <w:szCs w:val="24"/>
        </w:rPr>
        <w:t>Physician advised patient to review after 10 days.</w:t>
      </w:r>
    </w:p>
    <w:p w14:paraId="71D61093" w14:textId="721A38D1" w:rsidR="003840DF" w:rsidRDefault="00971C11" w:rsidP="00D356EB">
      <w:pPr>
        <w:spacing w:line="360" w:lineRule="auto"/>
        <w:jc w:val="both"/>
        <w:rPr>
          <w:rFonts w:ascii="Times New Roman" w:hAnsi="Times New Roman" w:cs="Times New Roman"/>
          <w:sz w:val="24"/>
          <w:szCs w:val="24"/>
        </w:rPr>
      </w:pPr>
      <w:r w:rsidRPr="00971C11">
        <w:rPr>
          <w:rFonts w:ascii="Times New Roman" w:hAnsi="Times New Roman" w:cs="Times New Roman"/>
          <w:sz w:val="24"/>
          <w:szCs w:val="24"/>
          <w:highlight w:val="yellow"/>
        </w:rPr>
        <w:t>The patient showed heightened sensitivity to iron preparations and blood products, suggesting an increased risk of anaphylaxis. However, no clear predisposing factors were identified except for gender,</w:t>
      </w:r>
      <w:r w:rsidRPr="00971C11">
        <w:rPr>
          <w:highlight w:val="yellow"/>
        </w:rPr>
        <w:t xml:space="preserve"> </w:t>
      </w:r>
      <w:r w:rsidRPr="00971C11">
        <w:rPr>
          <w:rFonts w:ascii="Times New Roman" w:hAnsi="Times New Roman" w:cs="Times New Roman"/>
          <w:sz w:val="24"/>
          <w:szCs w:val="24"/>
          <w:highlight w:val="yellow"/>
        </w:rPr>
        <w:t>possibly due to its influence on immune responses.</w:t>
      </w:r>
    </w:p>
    <w:p w14:paraId="13242CE4" w14:textId="32320CFC" w:rsidR="00FC3BFF" w:rsidRPr="003840DF" w:rsidRDefault="00FC3BFF" w:rsidP="00D356EB">
      <w:pPr>
        <w:spacing w:line="360" w:lineRule="auto"/>
        <w:jc w:val="both"/>
        <w:rPr>
          <w:rFonts w:ascii="Times New Roman" w:hAnsi="Times New Roman" w:cs="Times New Roman"/>
          <w:b/>
          <w:bCs/>
          <w:sz w:val="24"/>
          <w:szCs w:val="24"/>
        </w:rPr>
      </w:pPr>
      <w:r w:rsidRPr="003840DF">
        <w:rPr>
          <w:rFonts w:ascii="Times New Roman" w:hAnsi="Times New Roman" w:cs="Times New Roman"/>
          <w:b/>
          <w:bCs/>
          <w:sz w:val="24"/>
          <w:szCs w:val="24"/>
          <w:highlight w:val="yellow"/>
        </w:rPr>
        <w:t>Some key advantages of FCM over other intravenous iron formulations include:</w:t>
      </w:r>
    </w:p>
    <w:p w14:paraId="5D896620" w14:textId="04672205" w:rsidR="00FC3BFF" w:rsidRPr="003840DF" w:rsidRDefault="00FC3BFF" w:rsidP="003840DF">
      <w:pPr>
        <w:pStyle w:val="ListParagraph"/>
        <w:numPr>
          <w:ilvl w:val="0"/>
          <w:numId w:val="3"/>
        </w:numPr>
        <w:spacing w:line="360" w:lineRule="auto"/>
        <w:jc w:val="both"/>
        <w:rPr>
          <w:rFonts w:ascii="Times New Roman" w:hAnsi="Times New Roman" w:cs="Times New Roman"/>
          <w:sz w:val="24"/>
          <w:szCs w:val="24"/>
          <w:highlight w:val="yellow"/>
        </w:rPr>
      </w:pPr>
      <w:r w:rsidRPr="003840DF">
        <w:rPr>
          <w:rFonts w:ascii="Times New Roman" w:hAnsi="Times New Roman" w:cs="Times New Roman"/>
          <w:sz w:val="24"/>
          <w:szCs w:val="24"/>
          <w:highlight w:val="yellow"/>
        </w:rPr>
        <w:t>Single high-dose administration: FCM can be given as a single high-dose, 15-minute infusion, which improves convenience and potentially reduces healthcare costs</w:t>
      </w:r>
    </w:p>
    <w:p w14:paraId="708F95C8" w14:textId="79014BCA" w:rsidR="00FC3BFF" w:rsidRPr="003840DF" w:rsidRDefault="00FC3BFF" w:rsidP="003840DF">
      <w:pPr>
        <w:pStyle w:val="ListParagraph"/>
        <w:numPr>
          <w:ilvl w:val="0"/>
          <w:numId w:val="3"/>
        </w:numPr>
        <w:spacing w:line="360" w:lineRule="auto"/>
        <w:jc w:val="both"/>
        <w:rPr>
          <w:rFonts w:ascii="Times New Roman" w:hAnsi="Times New Roman" w:cs="Times New Roman"/>
          <w:sz w:val="24"/>
          <w:szCs w:val="24"/>
          <w:highlight w:val="yellow"/>
        </w:rPr>
      </w:pPr>
      <w:r w:rsidRPr="003840DF">
        <w:rPr>
          <w:rFonts w:ascii="Times New Roman" w:hAnsi="Times New Roman" w:cs="Times New Roman"/>
          <w:sz w:val="24"/>
          <w:szCs w:val="24"/>
          <w:highlight w:val="yellow"/>
        </w:rPr>
        <w:t xml:space="preserve">Rapid iron store replenishment: FCM is effective for rapidly correcting iron deficiency </w:t>
      </w:r>
      <w:proofErr w:type="spellStart"/>
      <w:r w:rsidRPr="003840DF">
        <w:rPr>
          <w:rFonts w:ascii="Times New Roman" w:hAnsi="Times New Roman" w:cs="Times New Roman"/>
          <w:sz w:val="24"/>
          <w:szCs w:val="24"/>
          <w:highlight w:val="yellow"/>
        </w:rPr>
        <w:t>anemia</w:t>
      </w:r>
      <w:proofErr w:type="spellEnd"/>
      <w:r w:rsidRPr="003840DF">
        <w:rPr>
          <w:rFonts w:ascii="Times New Roman" w:hAnsi="Times New Roman" w:cs="Times New Roman"/>
          <w:sz w:val="24"/>
          <w:szCs w:val="24"/>
          <w:highlight w:val="yellow"/>
        </w:rPr>
        <w:t xml:space="preserve"> in various patient populations</w:t>
      </w:r>
    </w:p>
    <w:p w14:paraId="165224CA" w14:textId="16AA5F8B" w:rsidR="00FC3BFF" w:rsidRPr="003840DF" w:rsidRDefault="00FC3BFF" w:rsidP="003840DF">
      <w:pPr>
        <w:pStyle w:val="ListParagraph"/>
        <w:numPr>
          <w:ilvl w:val="0"/>
          <w:numId w:val="3"/>
        </w:numPr>
        <w:spacing w:line="360" w:lineRule="auto"/>
        <w:jc w:val="both"/>
        <w:rPr>
          <w:rFonts w:ascii="Times New Roman" w:hAnsi="Times New Roman" w:cs="Times New Roman"/>
          <w:sz w:val="24"/>
          <w:szCs w:val="24"/>
          <w:highlight w:val="yellow"/>
        </w:rPr>
      </w:pPr>
      <w:r w:rsidRPr="003840DF">
        <w:rPr>
          <w:rFonts w:ascii="Times New Roman" w:hAnsi="Times New Roman" w:cs="Times New Roman"/>
          <w:sz w:val="24"/>
          <w:szCs w:val="24"/>
          <w:highlight w:val="yellow"/>
        </w:rPr>
        <w:t xml:space="preserve">Generally well-tolerated: FCM has demonstrated a </w:t>
      </w:r>
      <w:proofErr w:type="spellStart"/>
      <w:r w:rsidRPr="003840DF">
        <w:rPr>
          <w:rFonts w:ascii="Times New Roman" w:hAnsi="Times New Roman" w:cs="Times New Roman"/>
          <w:sz w:val="24"/>
          <w:szCs w:val="24"/>
          <w:highlight w:val="yellow"/>
        </w:rPr>
        <w:t>favorable</w:t>
      </w:r>
      <w:proofErr w:type="spellEnd"/>
      <w:r w:rsidRPr="003840DF">
        <w:rPr>
          <w:rFonts w:ascii="Times New Roman" w:hAnsi="Times New Roman" w:cs="Times New Roman"/>
          <w:sz w:val="24"/>
          <w:szCs w:val="24"/>
          <w:highlight w:val="yellow"/>
        </w:rPr>
        <w:t xml:space="preserve"> safety profile in clinical trials and real-world settings</w:t>
      </w:r>
    </w:p>
    <w:p w14:paraId="2F9D2F92" w14:textId="1F286B67" w:rsidR="00FC3BFF" w:rsidRPr="003840DF" w:rsidRDefault="00FC3BFF" w:rsidP="003840DF">
      <w:pPr>
        <w:pStyle w:val="ListParagraph"/>
        <w:numPr>
          <w:ilvl w:val="0"/>
          <w:numId w:val="3"/>
        </w:numPr>
        <w:spacing w:line="360" w:lineRule="auto"/>
        <w:jc w:val="both"/>
        <w:rPr>
          <w:rFonts w:ascii="Times New Roman" w:hAnsi="Times New Roman" w:cs="Times New Roman"/>
          <w:sz w:val="24"/>
          <w:szCs w:val="24"/>
          <w:highlight w:val="yellow"/>
        </w:rPr>
      </w:pPr>
      <w:r w:rsidRPr="003840DF">
        <w:rPr>
          <w:rFonts w:ascii="Times New Roman" w:hAnsi="Times New Roman" w:cs="Times New Roman"/>
          <w:sz w:val="24"/>
          <w:szCs w:val="24"/>
          <w:highlight w:val="yellow"/>
        </w:rPr>
        <w:t>Low risk of hypersensitivity reactions: Severe hypersensitivity reactions were reported in &lt;1% of prospective trials, comparable to other modern formulations</w:t>
      </w:r>
    </w:p>
    <w:p w14:paraId="6A778DE0" w14:textId="77777777" w:rsidR="00D356EB" w:rsidRDefault="00D356EB" w:rsidP="00D356EB">
      <w:pPr>
        <w:spacing w:line="360" w:lineRule="auto"/>
        <w:jc w:val="both"/>
        <w:rPr>
          <w:rFonts w:ascii="Times New Roman" w:hAnsi="Times New Roman" w:cs="Times New Roman"/>
          <w:b/>
          <w:bCs/>
          <w:sz w:val="28"/>
          <w:szCs w:val="28"/>
        </w:rPr>
      </w:pPr>
      <w:r w:rsidRPr="00883CA6">
        <w:rPr>
          <w:rFonts w:ascii="Times New Roman" w:hAnsi="Times New Roman" w:cs="Times New Roman"/>
          <w:b/>
          <w:bCs/>
          <w:sz w:val="28"/>
          <w:szCs w:val="28"/>
        </w:rPr>
        <w:lastRenderedPageBreak/>
        <w:t>Conclusion</w:t>
      </w:r>
    </w:p>
    <w:p w14:paraId="43D200DA" w14:textId="5959F700" w:rsidR="00D356EB" w:rsidRDefault="00A364E1" w:rsidP="00D356EB">
      <w:pPr>
        <w:spacing w:line="360" w:lineRule="auto"/>
        <w:jc w:val="both"/>
        <w:rPr>
          <w:rFonts w:ascii="Times New Roman" w:hAnsi="Times New Roman" w:cs="Times New Roman"/>
          <w:sz w:val="24"/>
          <w:szCs w:val="24"/>
        </w:rPr>
      </w:pPr>
      <w:r w:rsidRPr="00A364E1">
        <w:rPr>
          <w:rFonts w:ascii="Times New Roman" w:hAnsi="Times New Roman" w:cs="Times New Roman"/>
          <w:sz w:val="24"/>
          <w:szCs w:val="24"/>
        </w:rPr>
        <w:t xml:space="preserve">Anaphylactic reactions to intravenous iron preparations, specifically ferric </w:t>
      </w:r>
      <w:proofErr w:type="spellStart"/>
      <w:r w:rsidRPr="00A364E1">
        <w:rPr>
          <w:rFonts w:ascii="Times New Roman" w:hAnsi="Times New Roman" w:cs="Times New Roman"/>
          <w:sz w:val="24"/>
          <w:szCs w:val="24"/>
        </w:rPr>
        <w:t>carboxymaltose</w:t>
      </w:r>
      <w:proofErr w:type="spellEnd"/>
      <w:r w:rsidRPr="00A364E1">
        <w:rPr>
          <w:rFonts w:ascii="Times New Roman" w:hAnsi="Times New Roman" w:cs="Times New Roman"/>
          <w:sz w:val="24"/>
          <w:szCs w:val="24"/>
        </w:rPr>
        <w:t xml:space="preserve"> and iron sucrose, are rare but potentially life-threatening. This study </w:t>
      </w:r>
      <w:r w:rsidR="00502971">
        <w:rPr>
          <w:rFonts w:ascii="Times New Roman" w:hAnsi="Times New Roman" w:cs="Times New Roman"/>
          <w:sz w:val="24"/>
          <w:szCs w:val="24"/>
        </w:rPr>
        <w:t>emphasizes</w:t>
      </w:r>
      <w:r w:rsidRPr="00A364E1">
        <w:rPr>
          <w:rFonts w:ascii="Times New Roman" w:hAnsi="Times New Roman" w:cs="Times New Roman"/>
          <w:sz w:val="24"/>
          <w:szCs w:val="24"/>
        </w:rPr>
        <w:t xml:space="preserve"> the importance of </w:t>
      </w:r>
      <w:r w:rsidR="00314A3D" w:rsidRPr="00A364E1">
        <w:rPr>
          <w:rFonts w:ascii="Times New Roman" w:hAnsi="Times New Roman" w:cs="Times New Roman"/>
          <w:sz w:val="24"/>
          <w:szCs w:val="24"/>
        </w:rPr>
        <w:t xml:space="preserve">promptly </w:t>
      </w:r>
      <w:r w:rsidRPr="00A364E1">
        <w:rPr>
          <w:rFonts w:ascii="Times New Roman" w:hAnsi="Times New Roman" w:cs="Times New Roman"/>
          <w:sz w:val="24"/>
          <w:szCs w:val="24"/>
        </w:rPr>
        <w:t>recognizing and managing th</w:t>
      </w:r>
      <w:r w:rsidR="00502971">
        <w:rPr>
          <w:rFonts w:ascii="Times New Roman" w:hAnsi="Times New Roman" w:cs="Times New Roman"/>
          <w:sz w:val="24"/>
          <w:szCs w:val="24"/>
        </w:rPr>
        <w:t>is</w:t>
      </w:r>
      <w:r w:rsidRPr="00A364E1">
        <w:rPr>
          <w:rFonts w:ascii="Times New Roman" w:hAnsi="Times New Roman" w:cs="Times New Roman"/>
          <w:sz w:val="24"/>
          <w:szCs w:val="24"/>
        </w:rPr>
        <w:t xml:space="preserve"> reaction.</w:t>
      </w:r>
      <w:r>
        <w:rPr>
          <w:rFonts w:ascii="Times New Roman" w:hAnsi="Times New Roman" w:cs="Times New Roman"/>
          <w:sz w:val="24"/>
          <w:szCs w:val="24"/>
        </w:rPr>
        <w:t xml:space="preserve"> </w:t>
      </w:r>
      <w:r w:rsidRPr="00A364E1">
        <w:rPr>
          <w:rFonts w:ascii="Times New Roman" w:hAnsi="Times New Roman" w:cs="Times New Roman"/>
          <w:sz w:val="24"/>
          <w:szCs w:val="24"/>
        </w:rPr>
        <w:t>Th</w:t>
      </w:r>
      <w:r w:rsidR="00314A3D">
        <w:rPr>
          <w:rFonts w:ascii="Times New Roman" w:hAnsi="Times New Roman" w:cs="Times New Roman"/>
          <w:sz w:val="24"/>
          <w:szCs w:val="24"/>
        </w:rPr>
        <w:t>ese</w:t>
      </w:r>
      <w:r w:rsidRPr="00A364E1">
        <w:rPr>
          <w:rFonts w:ascii="Times New Roman" w:hAnsi="Times New Roman" w:cs="Times New Roman"/>
          <w:sz w:val="24"/>
          <w:szCs w:val="24"/>
        </w:rPr>
        <w:t xml:space="preserve"> findings underscore the need for healthcare providers to remain vigilant when administering these iron preparations and be prepared to manage </w:t>
      </w:r>
      <w:r w:rsidR="00502971">
        <w:rPr>
          <w:rFonts w:ascii="Times New Roman" w:hAnsi="Times New Roman" w:cs="Times New Roman"/>
          <w:sz w:val="24"/>
          <w:szCs w:val="24"/>
        </w:rPr>
        <w:t>infusion related</w:t>
      </w:r>
      <w:r w:rsidRPr="00A364E1">
        <w:rPr>
          <w:rFonts w:ascii="Times New Roman" w:hAnsi="Times New Roman" w:cs="Times New Roman"/>
          <w:sz w:val="24"/>
          <w:szCs w:val="24"/>
        </w:rPr>
        <w:t xml:space="preserve"> reactions swiftly. While both ferric </w:t>
      </w:r>
      <w:proofErr w:type="spellStart"/>
      <w:r w:rsidRPr="00A364E1">
        <w:rPr>
          <w:rFonts w:ascii="Times New Roman" w:hAnsi="Times New Roman" w:cs="Times New Roman"/>
          <w:sz w:val="24"/>
          <w:szCs w:val="24"/>
        </w:rPr>
        <w:t>carboxymaltose</w:t>
      </w:r>
      <w:proofErr w:type="spellEnd"/>
      <w:r w:rsidRPr="00A364E1">
        <w:rPr>
          <w:rFonts w:ascii="Times New Roman" w:hAnsi="Times New Roman" w:cs="Times New Roman"/>
          <w:sz w:val="24"/>
          <w:szCs w:val="24"/>
        </w:rPr>
        <w:t xml:space="preserve"> and iron sucrose remain valuable treatment options for iron deficiency </w:t>
      </w:r>
      <w:proofErr w:type="spellStart"/>
      <w:r w:rsidRPr="00A364E1">
        <w:rPr>
          <w:rFonts w:ascii="Times New Roman" w:hAnsi="Times New Roman" w:cs="Times New Roman"/>
          <w:sz w:val="24"/>
          <w:szCs w:val="24"/>
        </w:rPr>
        <w:t>anemia</w:t>
      </w:r>
      <w:proofErr w:type="spellEnd"/>
      <w:r w:rsidRPr="00A364E1">
        <w:rPr>
          <w:rFonts w:ascii="Times New Roman" w:hAnsi="Times New Roman" w:cs="Times New Roman"/>
          <w:sz w:val="24"/>
          <w:szCs w:val="24"/>
        </w:rPr>
        <w:t>, careful patient selection and adherence to administration guidelines are crucial to minimize</w:t>
      </w:r>
      <w:r w:rsidR="00314A3D">
        <w:rPr>
          <w:rFonts w:ascii="Times New Roman" w:hAnsi="Times New Roman" w:cs="Times New Roman"/>
          <w:sz w:val="24"/>
          <w:szCs w:val="24"/>
        </w:rPr>
        <w:t xml:space="preserve"> the</w:t>
      </w:r>
      <w:r w:rsidRPr="00A364E1">
        <w:rPr>
          <w:rFonts w:ascii="Times New Roman" w:hAnsi="Times New Roman" w:cs="Times New Roman"/>
          <w:sz w:val="24"/>
          <w:szCs w:val="24"/>
        </w:rPr>
        <w:t xml:space="preserve"> risks. Further research is warranted to develop strategies </w:t>
      </w:r>
      <w:r w:rsidR="00502971">
        <w:rPr>
          <w:rFonts w:ascii="Times New Roman" w:hAnsi="Times New Roman" w:cs="Times New Roman"/>
          <w:sz w:val="24"/>
          <w:szCs w:val="24"/>
        </w:rPr>
        <w:t>such as appropriate dilution, rate of IV infusion in</w:t>
      </w:r>
      <w:r w:rsidRPr="00A364E1">
        <w:rPr>
          <w:rFonts w:ascii="Times New Roman" w:hAnsi="Times New Roman" w:cs="Times New Roman"/>
          <w:sz w:val="24"/>
          <w:szCs w:val="24"/>
        </w:rPr>
        <w:t xml:space="preserve"> identifying high-risk patients and explor</w:t>
      </w:r>
      <w:r w:rsidR="00314A3D">
        <w:rPr>
          <w:rFonts w:ascii="Times New Roman" w:hAnsi="Times New Roman" w:cs="Times New Roman"/>
          <w:sz w:val="24"/>
          <w:szCs w:val="24"/>
        </w:rPr>
        <w:t xml:space="preserve">ing the </w:t>
      </w:r>
      <w:r w:rsidR="00502971">
        <w:rPr>
          <w:rFonts w:ascii="Times New Roman" w:hAnsi="Times New Roman" w:cs="Times New Roman"/>
          <w:sz w:val="24"/>
          <w:szCs w:val="24"/>
        </w:rPr>
        <w:t xml:space="preserve">early symptoms and causes </w:t>
      </w:r>
      <w:r w:rsidRPr="00A364E1">
        <w:rPr>
          <w:rFonts w:ascii="Times New Roman" w:hAnsi="Times New Roman" w:cs="Times New Roman"/>
          <w:sz w:val="24"/>
          <w:szCs w:val="24"/>
        </w:rPr>
        <w:t>of anaphyla</w:t>
      </w:r>
      <w:r w:rsidR="00502971">
        <w:rPr>
          <w:rFonts w:ascii="Times New Roman" w:hAnsi="Times New Roman" w:cs="Times New Roman"/>
          <w:sz w:val="24"/>
          <w:szCs w:val="24"/>
        </w:rPr>
        <w:t>ctic</w:t>
      </w:r>
      <w:r w:rsidRPr="00A364E1">
        <w:rPr>
          <w:rFonts w:ascii="Times New Roman" w:hAnsi="Times New Roman" w:cs="Times New Roman"/>
          <w:sz w:val="24"/>
          <w:szCs w:val="24"/>
        </w:rPr>
        <w:t xml:space="preserve"> response t</w:t>
      </w:r>
      <w:r w:rsidR="00314A3D">
        <w:rPr>
          <w:rFonts w:ascii="Times New Roman" w:hAnsi="Times New Roman" w:cs="Times New Roman"/>
          <w:sz w:val="24"/>
          <w:szCs w:val="24"/>
        </w:rPr>
        <w:t>o</w:t>
      </w:r>
      <w:r w:rsidRPr="00A364E1">
        <w:rPr>
          <w:rFonts w:ascii="Times New Roman" w:hAnsi="Times New Roman" w:cs="Times New Roman"/>
          <w:sz w:val="24"/>
          <w:szCs w:val="24"/>
        </w:rPr>
        <w:t xml:space="preserve"> iron preparations. This knowledge will contribute to enhanc</w:t>
      </w:r>
      <w:r w:rsidR="00502971">
        <w:rPr>
          <w:rFonts w:ascii="Times New Roman" w:hAnsi="Times New Roman" w:cs="Times New Roman"/>
          <w:sz w:val="24"/>
          <w:szCs w:val="24"/>
        </w:rPr>
        <w:t>e</w:t>
      </w:r>
      <w:r w:rsidRPr="00A364E1">
        <w:rPr>
          <w:rFonts w:ascii="Times New Roman" w:hAnsi="Times New Roman" w:cs="Times New Roman"/>
          <w:sz w:val="24"/>
          <w:szCs w:val="24"/>
        </w:rPr>
        <w:t xml:space="preserve"> patient safety and optimiz</w:t>
      </w:r>
      <w:r w:rsidR="00502971">
        <w:rPr>
          <w:rFonts w:ascii="Times New Roman" w:hAnsi="Times New Roman" w:cs="Times New Roman"/>
          <w:sz w:val="24"/>
          <w:szCs w:val="24"/>
        </w:rPr>
        <w:t>e</w:t>
      </w:r>
      <w:r w:rsidRPr="00A364E1">
        <w:rPr>
          <w:rFonts w:ascii="Times New Roman" w:hAnsi="Times New Roman" w:cs="Times New Roman"/>
          <w:sz w:val="24"/>
          <w:szCs w:val="24"/>
        </w:rPr>
        <w:t xml:space="preserve"> the use of intravenous iron therap</w:t>
      </w:r>
      <w:r w:rsidR="00314A3D">
        <w:rPr>
          <w:rFonts w:ascii="Times New Roman" w:hAnsi="Times New Roman" w:cs="Times New Roman"/>
          <w:sz w:val="24"/>
          <w:szCs w:val="24"/>
        </w:rPr>
        <w:t>y</w:t>
      </w:r>
      <w:r w:rsidRPr="00A364E1">
        <w:rPr>
          <w:rFonts w:ascii="Times New Roman" w:hAnsi="Times New Roman" w:cs="Times New Roman"/>
          <w:sz w:val="24"/>
          <w:szCs w:val="24"/>
        </w:rPr>
        <w:t xml:space="preserve"> in clinical practice.</w:t>
      </w:r>
      <w:r>
        <w:rPr>
          <w:rFonts w:ascii="Times New Roman" w:hAnsi="Times New Roman" w:cs="Times New Roman"/>
          <w:sz w:val="24"/>
          <w:szCs w:val="24"/>
        </w:rPr>
        <w:t xml:space="preserve"> </w:t>
      </w:r>
    </w:p>
    <w:p w14:paraId="6463CA3C" w14:textId="77777777" w:rsidR="00CE3082" w:rsidRPr="00CE3082" w:rsidRDefault="00CE3082" w:rsidP="00D356EB">
      <w:pPr>
        <w:spacing w:line="360" w:lineRule="auto"/>
        <w:jc w:val="both"/>
        <w:rPr>
          <w:rFonts w:ascii="Times New Roman" w:hAnsi="Times New Roman" w:cs="Times New Roman"/>
          <w:b/>
          <w:bCs/>
          <w:sz w:val="24"/>
          <w:szCs w:val="24"/>
        </w:rPr>
      </w:pPr>
      <w:r w:rsidRPr="00CE3082">
        <w:rPr>
          <w:rFonts w:ascii="Times New Roman" w:hAnsi="Times New Roman" w:cs="Times New Roman"/>
          <w:b/>
          <w:bCs/>
          <w:sz w:val="24"/>
          <w:szCs w:val="24"/>
        </w:rPr>
        <w:t xml:space="preserve">Declaration of conflicting interests </w:t>
      </w:r>
    </w:p>
    <w:p w14:paraId="678210F7" w14:textId="77777777" w:rsidR="00CE3082" w:rsidRDefault="00CE3082" w:rsidP="00D356EB">
      <w:pPr>
        <w:spacing w:line="360" w:lineRule="auto"/>
        <w:jc w:val="both"/>
        <w:rPr>
          <w:rFonts w:ascii="Times New Roman" w:hAnsi="Times New Roman" w:cs="Times New Roman"/>
          <w:sz w:val="24"/>
          <w:szCs w:val="24"/>
        </w:rPr>
      </w:pPr>
      <w:r w:rsidRPr="00CE3082">
        <w:rPr>
          <w:rFonts w:ascii="Times New Roman" w:hAnsi="Times New Roman" w:cs="Times New Roman"/>
          <w:sz w:val="24"/>
          <w:szCs w:val="24"/>
        </w:rPr>
        <w:t xml:space="preserve">The author(s) declared no potential conflicts of interest with respect to the research, authorship, and/or publication of this article. </w:t>
      </w:r>
    </w:p>
    <w:p w14:paraId="76809603" w14:textId="61DFFB3A" w:rsidR="00CE3082" w:rsidRPr="00CE3082" w:rsidRDefault="00CE3082" w:rsidP="00D356EB">
      <w:pPr>
        <w:spacing w:line="360" w:lineRule="auto"/>
        <w:jc w:val="both"/>
        <w:rPr>
          <w:rFonts w:ascii="Times New Roman" w:hAnsi="Times New Roman" w:cs="Times New Roman"/>
          <w:b/>
          <w:bCs/>
          <w:sz w:val="24"/>
          <w:szCs w:val="24"/>
        </w:rPr>
      </w:pPr>
      <w:r w:rsidRPr="00CE3082">
        <w:rPr>
          <w:rFonts w:ascii="Times New Roman" w:hAnsi="Times New Roman" w:cs="Times New Roman"/>
          <w:b/>
          <w:bCs/>
          <w:sz w:val="24"/>
          <w:szCs w:val="24"/>
        </w:rPr>
        <w:t xml:space="preserve">Ethics approval </w:t>
      </w:r>
    </w:p>
    <w:p w14:paraId="508FE9B3" w14:textId="32AC2FBD" w:rsidR="00CE3082" w:rsidRDefault="00CE3082" w:rsidP="00D356EB">
      <w:pPr>
        <w:spacing w:line="360" w:lineRule="auto"/>
        <w:jc w:val="both"/>
        <w:rPr>
          <w:rFonts w:ascii="Times New Roman" w:hAnsi="Times New Roman" w:cs="Times New Roman"/>
          <w:sz w:val="24"/>
          <w:szCs w:val="24"/>
        </w:rPr>
      </w:pPr>
      <w:r w:rsidRPr="00CE3082">
        <w:rPr>
          <w:rFonts w:ascii="Times New Roman" w:hAnsi="Times New Roman" w:cs="Times New Roman"/>
          <w:sz w:val="24"/>
          <w:szCs w:val="24"/>
        </w:rPr>
        <w:t>Our institution does not require ethical approval for reporting ind</w:t>
      </w:r>
      <w:r w:rsidR="00AD31B8">
        <w:rPr>
          <w:rFonts w:ascii="Times New Roman" w:hAnsi="Times New Roman" w:cs="Times New Roman"/>
          <w:sz w:val="24"/>
          <w:szCs w:val="24"/>
        </w:rPr>
        <w:t>i</w:t>
      </w:r>
      <w:r w:rsidRPr="00CE3082">
        <w:rPr>
          <w:rFonts w:ascii="Times New Roman" w:hAnsi="Times New Roman" w:cs="Times New Roman"/>
          <w:sz w:val="24"/>
          <w:szCs w:val="24"/>
        </w:rPr>
        <w:t xml:space="preserve">vidual cases or case series. </w:t>
      </w:r>
    </w:p>
    <w:p w14:paraId="3655BE77" w14:textId="77777777" w:rsidR="00CE3082" w:rsidRPr="00CE3082" w:rsidRDefault="00CE3082" w:rsidP="00D356EB">
      <w:pPr>
        <w:spacing w:line="360" w:lineRule="auto"/>
        <w:jc w:val="both"/>
        <w:rPr>
          <w:rFonts w:ascii="Times New Roman" w:hAnsi="Times New Roman" w:cs="Times New Roman"/>
          <w:b/>
          <w:bCs/>
          <w:sz w:val="24"/>
          <w:szCs w:val="24"/>
        </w:rPr>
      </w:pPr>
      <w:r w:rsidRPr="00CE3082">
        <w:rPr>
          <w:rFonts w:ascii="Times New Roman" w:hAnsi="Times New Roman" w:cs="Times New Roman"/>
          <w:b/>
          <w:bCs/>
          <w:sz w:val="24"/>
          <w:szCs w:val="24"/>
        </w:rPr>
        <w:t xml:space="preserve">Informed consent </w:t>
      </w:r>
    </w:p>
    <w:p w14:paraId="5B7FCC7D" w14:textId="2B33527A" w:rsidR="00CE3082" w:rsidRDefault="00CE3082" w:rsidP="00D356EB">
      <w:pPr>
        <w:spacing w:line="360" w:lineRule="auto"/>
        <w:jc w:val="both"/>
        <w:rPr>
          <w:rFonts w:ascii="Times New Roman" w:hAnsi="Times New Roman" w:cs="Times New Roman"/>
          <w:sz w:val="24"/>
          <w:szCs w:val="24"/>
        </w:rPr>
      </w:pPr>
      <w:r w:rsidRPr="00CE3082">
        <w:rPr>
          <w:rFonts w:ascii="Times New Roman" w:hAnsi="Times New Roman" w:cs="Times New Roman"/>
          <w:sz w:val="24"/>
          <w:szCs w:val="24"/>
        </w:rPr>
        <w:t>Written informed consent was obtained from the patient(s) for their anonymized information to be published in this article.</w:t>
      </w:r>
    </w:p>
    <w:p w14:paraId="6AEFDB13" w14:textId="0EB4500E" w:rsidR="00A0610D" w:rsidRDefault="00A0610D" w:rsidP="00D356EB">
      <w:pPr>
        <w:spacing w:line="360" w:lineRule="auto"/>
        <w:jc w:val="both"/>
        <w:rPr>
          <w:rFonts w:ascii="Times New Roman" w:hAnsi="Times New Roman" w:cs="Times New Roman"/>
          <w:sz w:val="24"/>
          <w:szCs w:val="24"/>
        </w:rPr>
      </w:pPr>
    </w:p>
    <w:p w14:paraId="6E9E829A" w14:textId="77777777" w:rsidR="00A0610D" w:rsidRDefault="00A0610D" w:rsidP="00A0610D">
      <w:pPr>
        <w:rPr>
          <w:rFonts w:ascii="Calibri" w:eastAsia="Calibri" w:hAnsi="Calibri" w:cs="Times New Roman"/>
          <w:highlight w:val="yellow"/>
          <w:lang w:val="en-US"/>
        </w:rPr>
      </w:pPr>
      <w:bookmarkStart w:id="0" w:name="_Hlk183680988"/>
      <w:bookmarkStart w:id="1" w:name="_Hlk180402183"/>
      <w:r>
        <w:rPr>
          <w:rFonts w:ascii="Calibri" w:eastAsia="Calibri" w:hAnsi="Calibri" w:cs="Times New Roman"/>
          <w:highlight w:val="yellow"/>
          <w:lang w:val="en-US"/>
        </w:rPr>
        <w:t>Disclaimer (Artificial intelligence)</w:t>
      </w:r>
    </w:p>
    <w:p w14:paraId="52053E56" w14:textId="77777777" w:rsidR="00A0610D" w:rsidRDefault="00A0610D" w:rsidP="00A0610D">
      <w:pPr>
        <w:rPr>
          <w:rFonts w:ascii="Calibri" w:eastAsia="Calibri" w:hAnsi="Calibri" w:cs="Times New Roman"/>
          <w:highlight w:val="yellow"/>
          <w:lang w:val="en-US"/>
        </w:rPr>
      </w:pPr>
      <w:r>
        <w:rPr>
          <w:rFonts w:ascii="Calibri" w:eastAsia="Calibri" w:hAnsi="Calibri" w:cs="Times New Roman"/>
          <w:highlight w:val="yellow"/>
          <w:lang w:val="en-US"/>
        </w:rPr>
        <w:t xml:space="preserve">Option 1: </w:t>
      </w:r>
    </w:p>
    <w:p w14:paraId="2E3554C4" w14:textId="77777777" w:rsidR="00A0610D" w:rsidRDefault="00A0610D" w:rsidP="00A0610D">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F01AFC7" w14:textId="77777777" w:rsidR="00A0610D" w:rsidRDefault="00A0610D" w:rsidP="00A0610D">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0EC15790" w14:textId="77777777" w:rsidR="00A0610D" w:rsidRDefault="00A0610D" w:rsidP="00A0610D">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48E2DD" w14:textId="77777777" w:rsidR="00A0610D" w:rsidRDefault="00A0610D" w:rsidP="00A0610D">
      <w:pPr>
        <w:rPr>
          <w:rFonts w:ascii="Calibri" w:eastAsia="Calibri" w:hAnsi="Calibri" w:cs="Times New Roman"/>
          <w:highlight w:val="yellow"/>
          <w:lang w:val="en-US"/>
        </w:rPr>
      </w:pPr>
      <w:r>
        <w:rPr>
          <w:rFonts w:ascii="Calibri" w:eastAsia="Calibri" w:hAnsi="Calibri" w:cs="Times New Roman"/>
          <w:highlight w:val="yellow"/>
          <w:lang w:val="en-US"/>
        </w:rPr>
        <w:lastRenderedPageBreak/>
        <w:t>Details of the AI usage are given below:</w:t>
      </w:r>
    </w:p>
    <w:p w14:paraId="302A5A5A" w14:textId="77777777" w:rsidR="00CB5CA4" w:rsidRDefault="00A0610D" w:rsidP="00CB5CA4">
      <w:pPr>
        <w:rPr>
          <w:rFonts w:ascii="Calibri" w:eastAsia="Calibri" w:hAnsi="Calibri" w:cs="Times New Roman"/>
          <w:highlight w:val="yellow"/>
          <w:lang w:val="en-US"/>
        </w:rPr>
      </w:pPr>
      <w:r>
        <w:rPr>
          <w:rFonts w:ascii="Calibri" w:eastAsia="Calibri" w:hAnsi="Calibri" w:cs="Times New Roman"/>
          <w:highlight w:val="yellow"/>
          <w:lang w:val="en-US"/>
        </w:rPr>
        <w:t>1.</w:t>
      </w:r>
      <w:r w:rsidR="00CB5CA4">
        <w:rPr>
          <w:rFonts w:ascii="Calibri" w:eastAsia="Calibri" w:hAnsi="Calibri" w:cs="Times New Roman"/>
          <w:highlight w:val="yellow"/>
          <w:lang w:val="en-US"/>
        </w:rPr>
        <w:t xml:space="preserve"> Option 1: </w:t>
      </w:r>
      <w:r w:rsidR="00CB5CA4">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93410ED" w14:textId="63D8EBAF" w:rsidR="00A0610D" w:rsidRDefault="00A0610D" w:rsidP="00A0610D">
      <w:pPr>
        <w:rPr>
          <w:rFonts w:ascii="Calibri" w:eastAsia="Calibri" w:hAnsi="Calibri" w:cs="Times New Roman"/>
          <w:highlight w:val="yellow"/>
          <w:lang w:val="en-US"/>
        </w:rPr>
      </w:pPr>
    </w:p>
    <w:p w14:paraId="6D7A295D" w14:textId="77777777" w:rsidR="00A0610D" w:rsidRDefault="00A0610D" w:rsidP="00A0610D">
      <w:pPr>
        <w:rPr>
          <w:rFonts w:ascii="Calibri" w:eastAsia="Calibri" w:hAnsi="Calibri" w:cs="Times New Roman"/>
          <w:highlight w:val="yellow"/>
          <w:lang w:val="en-US"/>
        </w:rPr>
      </w:pPr>
      <w:r>
        <w:rPr>
          <w:rFonts w:ascii="Calibri" w:eastAsia="Calibri" w:hAnsi="Calibri" w:cs="Times New Roman"/>
          <w:highlight w:val="yellow"/>
          <w:lang w:val="en-US"/>
        </w:rPr>
        <w:t>2.</w:t>
      </w:r>
    </w:p>
    <w:p w14:paraId="0291C9C1" w14:textId="77777777" w:rsidR="00A0610D" w:rsidRDefault="00A0610D" w:rsidP="00A0610D">
      <w:pPr>
        <w:rPr>
          <w:rFonts w:ascii="Calibri" w:eastAsia="Calibri" w:hAnsi="Calibri" w:cs="Times New Roman"/>
          <w:lang w:val="en-US"/>
        </w:rPr>
      </w:pPr>
      <w:r>
        <w:rPr>
          <w:rFonts w:ascii="Calibri" w:eastAsia="Calibri" w:hAnsi="Calibri" w:cs="Times New Roman"/>
          <w:highlight w:val="yellow"/>
          <w:lang w:val="en-US"/>
        </w:rPr>
        <w:t>3.</w:t>
      </w:r>
      <w:bookmarkEnd w:id="0"/>
      <w:bookmarkEnd w:id="1"/>
    </w:p>
    <w:p w14:paraId="366FEF25" w14:textId="77777777" w:rsidR="00A0610D" w:rsidRPr="00D356EB" w:rsidRDefault="00A0610D" w:rsidP="00D356EB">
      <w:pPr>
        <w:spacing w:line="360" w:lineRule="auto"/>
        <w:jc w:val="both"/>
        <w:rPr>
          <w:rFonts w:ascii="Times New Roman" w:hAnsi="Times New Roman" w:cs="Times New Roman"/>
          <w:sz w:val="24"/>
          <w:szCs w:val="24"/>
        </w:rPr>
      </w:pPr>
    </w:p>
    <w:p w14:paraId="58F91C9E" w14:textId="1C7D4892" w:rsidR="007647E8" w:rsidRPr="007647E8" w:rsidRDefault="007647E8" w:rsidP="007647E8">
      <w:pPr>
        <w:spacing w:line="360" w:lineRule="auto"/>
        <w:jc w:val="both"/>
        <w:rPr>
          <w:rFonts w:ascii="Times New Roman" w:hAnsi="Times New Roman" w:cs="Times New Roman"/>
          <w:b/>
          <w:bCs/>
          <w:sz w:val="24"/>
          <w:szCs w:val="24"/>
        </w:rPr>
      </w:pPr>
      <w:r w:rsidRPr="007647E8">
        <w:rPr>
          <w:rFonts w:ascii="Times New Roman" w:hAnsi="Times New Roman" w:cs="Times New Roman"/>
          <w:b/>
          <w:bCs/>
          <w:sz w:val="24"/>
          <w:szCs w:val="24"/>
        </w:rPr>
        <w:t>References</w:t>
      </w:r>
    </w:p>
    <w:p w14:paraId="5BAADC13" w14:textId="779BA09E" w:rsidR="007647E8" w:rsidRDefault="007647E8" w:rsidP="007647E8">
      <w:pPr>
        <w:pStyle w:val="ListParagraph"/>
        <w:numPr>
          <w:ilvl w:val="0"/>
          <w:numId w:val="1"/>
        </w:numPr>
        <w:spacing w:line="360" w:lineRule="auto"/>
        <w:jc w:val="both"/>
        <w:rPr>
          <w:rFonts w:ascii="Times New Roman" w:hAnsi="Times New Roman" w:cs="Times New Roman"/>
          <w:sz w:val="24"/>
          <w:szCs w:val="24"/>
        </w:rPr>
      </w:pPr>
      <w:r w:rsidRPr="007647E8">
        <w:rPr>
          <w:rFonts w:ascii="Times New Roman" w:hAnsi="Times New Roman" w:cs="Times New Roman"/>
          <w:sz w:val="24"/>
          <w:szCs w:val="24"/>
        </w:rPr>
        <w:t>Muñoz-</w:t>
      </w:r>
      <w:proofErr w:type="spellStart"/>
      <w:r w:rsidRPr="007647E8">
        <w:rPr>
          <w:rFonts w:ascii="Times New Roman" w:hAnsi="Times New Roman" w:cs="Times New Roman"/>
          <w:sz w:val="24"/>
          <w:szCs w:val="24"/>
        </w:rPr>
        <w:t>Cano</w:t>
      </w:r>
      <w:proofErr w:type="spellEnd"/>
      <w:r w:rsidRPr="007647E8">
        <w:rPr>
          <w:rFonts w:ascii="Times New Roman" w:hAnsi="Times New Roman" w:cs="Times New Roman"/>
          <w:sz w:val="24"/>
          <w:szCs w:val="24"/>
        </w:rPr>
        <w:t xml:space="preserve"> R, Goikoetxea MJ, Valero AL, Araujo G, Pascal M, Bartra J, et al. Mechanisms, Cofactors, and Augmenting Factors Involved in Anaphylaxis. Frontiers in Immunology. 2017 Sep 26;8(1).</w:t>
      </w:r>
      <w:r>
        <w:rPr>
          <w:rFonts w:ascii="Times New Roman" w:hAnsi="Times New Roman" w:cs="Times New Roman"/>
          <w:sz w:val="24"/>
          <w:szCs w:val="24"/>
        </w:rPr>
        <w:t xml:space="preserve"> </w:t>
      </w:r>
    </w:p>
    <w:p w14:paraId="2F52ECED" w14:textId="1BC7D108" w:rsidR="007647E8" w:rsidRDefault="007647E8" w:rsidP="007647E8">
      <w:pPr>
        <w:pStyle w:val="ListParagraph"/>
        <w:numPr>
          <w:ilvl w:val="0"/>
          <w:numId w:val="1"/>
        </w:numPr>
        <w:spacing w:line="360" w:lineRule="auto"/>
        <w:jc w:val="both"/>
        <w:rPr>
          <w:rFonts w:ascii="Times New Roman" w:hAnsi="Times New Roman" w:cs="Times New Roman"/>
          <w:sz w:val="24"/>
          <w:szCs w:val="24"/>
        </w:rPr>
      </w:pPr>
      <w:proofErr w:type="spellStart"/>
      <w:r w:rsidRPr="007647E8">
        <w:rPr>
          <w:rFonts w:ascii="Times New Roman" w:hAnsi="Times New Roman" w:cs="Times New Roman"/>
          <w:sz w:val="24"/>
          <w:szCs w:val="24"/>
        </w:rPr>
        <w:t>Ehlken</w:t>
      </w:r>
      <w:proofErr w:type="spellEnd"/>
      <w:r w:rsidRPr="007647E8">
        <w:rPr>
          <w:rFonts w:ascii="Times New Roman" w:hAnsi="Times New Roman" w:cs="Times New Roman"/>
          <w:sz w:val="24"/>
          <w:szCs w:val="24"/>
        </w:rPr>
        <w:t xml:space="preserve"> B, </w:t>
      </w:r>
      <w:proofErr w:type="spellStart"/>
      <w:r w:rsidRPr="007647E8">
        <w:rPr>
          <w:rFonts w:ascii="Times New Roman" w:hAnsi="Times New Roman" w:cs="Times New Roman"/>
          <w:sz w:val="24"/>
          <w:szCs w:val="24"/>
        </w:rPr>
        <w:t>Nathell</w:t>
      </w:r>
      <w:proofErr w:type="spellEnd"/>
      <w:r w:rsidRPr="007647E8">
        <w:rPr>
          <w:rFonts w:ascii="Times New Roman" w:hAnsi="Times New Roman" w:cs="Times New Roman"/>
          <w:sz w:val="24"/>
          <w:szCs w:val="24"/>
        </w:rPr>
        <w:t xml:space="preserve"> L, Gohlke A, </w:t>
      </w:r>
      <w:proofErr w:type="spellStart"/>
      <w:r w:rsidRPr="007647E8">
        <w:rPr>
          <w:rFonts w:ascii="Times New Roman" w:hAnsi="Times New Roman" w:cs="Times New Roman"/>
          <w:sz w:val="24"/>
          <w:szCs w:val="24"/>
        </w:rPr>
        <w:t>Toussi</w:t>
      </w:r>
      <w:proofErr w:type="spellEnd"/>
      <w:r w:rsidRPr="007647E8">
        <w:rPr>
          <w:rFonts w:ascii="Times New Roman" w:hAnsi="Times New Roman" w:cs="Times New Roman"/>
          <w:sz w:val="24"/>
          <w:szCs w:val="24"/>
        </w:rPr>
        <w:t xml:space="preserve"> M, </w:t>
      </w:r>
      <w:proofErr w:type="spellStart"/>
      <w:r w:rsidRPr="007647E8">
        <w:rPr>
          <w:rFonts w:ascii="Times New Roman" w:hAnsi="Times New Roman" w:cs="Times New Roman"/>
          <w:sz w:val="24"/>
          <w:szCs w:val="24"/>
        </w:rPr>
        <w:t>Bocuk</w:t>
      </w:r>
      <w:proofErr w:type="spellEnd"/>
      <w:r w:rsidRPr="007647E8">
        <w:rPr>
          <w:rFonts w:ascii="Times New Roman" w:hAnsi="Times New Roman" w:cs="Times New Roman"/>
          <w:sz w:val="24"/>
          <w:szCs w:val="24"/>
        </w:rPr>
        <w:t xml:space="preserve"> D, Wohlfeil S. Evaluation of the Reported Rates of Severe Hypersensitivity Reactions Associated with Ferric </w:t>
      </w:r>
      <w:proofErr w:type="spellStart"/>
      <w:r w:rsidRPr="007647E8">
        <w:rPr>
          <w:rFonts w:ascii="Times New Roman" w:hAnsi="Times New Roman" w:cs="Times New Roman"/>
          <w:sz w:val="24"/>
          <w:szCs w:val="24"/>
        </w:rPr>
        <w:t>Carboxymaltose</w:t>
      </w:r>
      <w:proofErr w:type="spellEnd"/>
      <w:r w:rsidRPr="007647E8">
        <w:rPr>
          <w:rFonts w:ascii="Times New Roman" w:hAnsi="Times New Roman" w:cs="Times New Roman"/>
          <w:sz w:val="24"/>
          <w:szCs w:val="24"/>
        </w:rPr>
        <w:t xml:space="preserve"> and Iron (III) </w:t>
      </w:r>
      <w:proofErr w:type="spellStart"/>
      <w:r w:rsidRPr="007647E8">
        <w:rPr>
          <w:rFonts w:ascii="Times New Roman" w:hAnsi="Times New Roman" w:cs="Times New Roman"/>
          <w:sz w:val="24"/>
          <w:szCs w:val="24"/>
        </w:rPr>
        <w:t>Isomaltoside</w:t>
      </w:r>
      <w:proofErr w:type="spellEnd"/>
      <w:r w:rsidRPr="007647E8">
        <w:rPr>
          <w:rFonts w:ascii="Times New Roman" w:hAnsi="Times New Roman" w:cs="Times New Roman"/>
          <w:sz w:val="24"/>
          <w:szCs w:val="24"/>
        </w:rPr>
        <w:t xml:space="preserve"> 1000 in Europe Based on Data from </w:t>
      </w:r>
      <w:proofErr w:type="spellStart"/>
      <w:r w:rsidRPr="007647E8">
        <w:rPr>
          <w:rFonts w:ascii="Times New Roman" w:hAnsi="Times New Roman" w:cs="Times New Roman"/>
          <w:sz w:val="24"/>
          <w:szCs w:val="24"/>
        </w:rPr>
        <w:t>EudraVigilance</w:t>
      </w:r>
      <w:proofErr w:type="spellEnd"/>
      <w:r w:rsidRPr="007647E8">
        <w:rPr>
          <w:rFonts w:ascii="Times New Roman" w:hAnsi="Times New Roman" w:cs="Times New Roman"/>
          <w:sz w:val="24"/>
          <w:szCs w:val="24"/>
        </w:rPr>
        <w:t xml:space="preserve"> and </w:t>
      </w:r>
      <w:proofErr w:type="spellStart"/>
      <w:r w:rsidRPr="007647E8">
        <w:rPr>
          <w:rFonts w:ascii="Times New Roman" w:hAnsi="Times New Roman" w:cs="Times New Roman"/>
          <w:sz w:val="24"/>
          <w:szCs w:val="24"/>
        </w:rPr>
        <w:t>VigiBase</w:t>
      </w:r>
      <w:r w:rsidRPr="007647E8">
        <w:rPr>
          <w:rFonts w:ascii="Times New Roman" w:hAnsi="Times New Roman" w:cs="Times New Roman"/>
          <w:sz w:val="24"/>
          <w:szCs w:val="24"/>
          <w:vertAlign w:val="superscript"/>
        </w:rPr>
        <w:t>TM</w:t>
      </w:r>
      <w:proofErr w:type="spellEnd"/>
      <w:r w:rsidRPr="007647E8">
        <w:rPr>
          <w:rFonts w:ascii="Times New Roman" w:hAnsi="Times New Roman" w:cs="Times New Roman"/>
          <w:sz w:val="24"/>
          <w:szCs w:val="24"/>
        </w:rPr>
        <w:t> between 2014 and 2017. Drug Safety. 2018 Dec 10;42(3):463–71.</w:t>
      </w:r>
      <w:r>
        <w:rPr>
          <w:rFonts w:ascii="Times New Roman" w:hAnsi="Times New Roman" w:cs="Times New Roman"/>
          <w:sz w:val="24"/>
          <w:szCs w:val="24"/>
        </w:rPr>
        <w:t xml:space="preserve"> </w:t>
      </w:r>
    </w:p>
    <w:p w14:paraId="7959133A" w14:textId="6B773C51" w:rsidR="007647E8" w:rsidRDefault="007647E8" w:rsidP="007647E8">
      <w:pPr>
        <w:pStyle w:val="ListParagraph"/>
        <w:numPr>
          <w:ilvl w:val="0"/>
          <w:numId w:val="1"/>
        </w:numPr>
        <w:spacing w:line="360" w:lineRule="auto"/>
        <w:jc w:val="both"/>
        <w:rPr>
          <w:rFonts w:ascii="Times New Roman" w:hAnsi="Times New Roman" w:cs="Times New Roman"/>
          <w:sz w:val="24"/>
          <w:szCs w:val="24"/>
        </w:rPr>
      </w:pPr>
      <w:r w:rsidRPr="007647E8">
        <w:rPr>
          <w:rFonts w:ascii="Times New Roman" w:hAnsi="Times New Roman" w:cs="Times New Roman"/>
          <w:sz w:val="24"/>
          <w:szCs w:val="24"/>
        </w:rPr>
        <w:t>Trumbo H, Goodnough LT, Numan S, Kaluza K. Frequency and Associated Costs of Anaphylaxis- and Hypersensitivity-Related Adverse Events for Intravenous Iron Products in the USA: An Analysis Using the US Food and Drug Administration Adverse Event Reporting System. Drug Safety. 2020 Nov 25;44(1):107–19.</w:t>
      </w:r>
      <w:r>
        <w:rPr>
          <w:rFonts w:ascii="Times New Roman" w:hAnsi="Times New Roman" w:cs="Times New Roman"/>
          <w:sz w:val="24"/>
          <w:szCs w:val="24"/>
        </w:rPr>
        <w:t xml:space="preserve"> </w:t>
      </w:r>
    </w:p>
    <w:p w14:paraId="1D9ED65F" w14:textId="77777777" w:rsidR="00C26A17" w:rsidRDefault="00C26A17" w:rsidP="00C26A17">
      <w:pPr>
        <w:pStyle w:val="ListParagraph"/>
        <w:numPr>
          <w:ilvl w:val="0"/>
          <w:numId w:val="1"/>
        </w:numPr>
        <w:spacing w:line="360" w:lineRule="auto"/>
        <w:jc w:val="both"/>
        <w:rPr>
          <w:rFonts w:ascii="Times New Roman" w:hAnsi="Times New Roman" w:cs="Times New Roman"/>
          <w:sz w:val="24"/>
          <w:szCs w:val="24"/>
        </w:rPr>
      </w:pPr>
      <w:r w:rsidRPr="002716BA">
        <w:rPr>
          <w:rFonts w:ascii="Times New Roman" w:hAnsi="Times New Roman" w:cs="Times New Roman"/>
          <w:sz w:val="24"/>
          <w:szCs w:val="24"/>
        </w:rPr>
        <w:t xml:space="preserve">Arici AM, </w:t>
      </w:r>
      <w:proofErr w:type="spellStart"/>
      <w:r w:rsidRPr="002716BA">
        <w:rPr>
          <w:rFonts w:ascii="Times New Roman" w:hAnsi="Times New Roman" w:cs="Times New Roman"/>
          <w:sz w:val="24"/>
          <w:szCs w:val="24"/>
        </w:rPr>
        <w:t>Kumral</w:t>
      </w:r>
      <w:proofErr w:type="spellEnd"/>
      <w:r w:rsidRPr="002716BA">
        <w:rPr>
          <w:rFonts w:ascii="Times New Roman" w:hAnsi="Times New Roman" w:cs="Times New Roman"/>
          <w:sz w:val="24"/>
          <w:szCs w:val="24"/>
        </w:rPr>
        <w:t xml:space="preserve"> Z, Gelal A, Akdeniz B. Fatal anaphylactic reaction due to ferric </w:t>
      </w:r>
      <w:proofErr w:type="spellStart"/>
      <w:r w:rsidRPr="002716BA">
        <w:rPr>
          <w:rFonts w:ascii="Times New Roman" w:hAnsi="Times New Roman" w:cs="Times New Roman"/>
          <w:sz w:val="24"/>
          <w:szCs w:val="24"/>
        </w:rPr>
        <w:t>carboxymaltose</w:t>
      </w:r>
      <w:proofErr w:type="spellEnd"/>
      <w:r w:rsidRPr="002716BA">
        <w:rPr>
          <w:rFonts w:ascii="Times New Roman" w:hAnsi="Times New Roman" w:cs="Times New Roman"/>
          <w:sz w:val="24"/>
          <w:szCs w:val="24"/>
        </w:rPr>
        <w:t xml:space="preserve">: A case report. Anatol J </w:t>
      </w:r>
      <w:proofErr w:type="spellStart"/>
      <w:r w:rsidRPr="002716BA">
        <w:rPr>
          <w:rFonts w:ascii="Times New Roman" w:hAnsi="Times New Roman" w:cs="Times New Roman"/>
          <w:sz w:val="24"/>
          <w:szCs w:val="24"/>
        </w:rPr>
        <w:t>Cardiol</w:t>
      </w:r>
      <w:proofErr w:type="spellEnd"/>
      <w:r w:rsidRPr="002716BA">
        <w:rPr>
          <w:rFonts w:ascii="Times New Roman" w:hAnsi="Times New Roman" w:cs="Times New Roman"/>
          <w:sz w:val="24"/>
          <w:szCs w:val="24"/>
        </w:rPr>
        <w:t xml:space="preserve">. 2020 Aug;24(2):115-117. </w:t>
      </w:r>
      <w:proofErr w:type="spellStart"/>
      <w:r w:rsidRPr="002716BA">
        <w:rPr>
          <w:rFonts w:ascii="Times New Roman" w:hAnsi="Times New Roman" w:cs="Times New Roman"/>
          <w:sz w:val="24"/>
          <w:szCs w:val="24"/>
        </w:rPr>
        <w:t>doi</w:t>
      </w:r>
      <w:proofErr w:type="spellEnd"/>
      <w:r w:rsidRPr="002716BA">
        <w:rPr>
          <w:rFonts w:ascii="Times New Roman" w:hAnsi="Times New Roman" w:cs="Times New Roman"/>
          <w:sz w:val="24"/>
          <w:szCs w:val="24"/>
        </w:rPr>
        <w:t>: 10.14744/AnatolJCardiol.2020.38996. PMID: 32749249; PMCID: PMC7460686.</w:t>
      </w:r>
      <w:r>
        <w:rPr>
          <w:rFonts w:ascii="Times New Roman" w:hAnsi="Times New Roman" w:cs="Times New Roman"/>
          <w:sz w:val="24"/>
          <w:szCs w:val="24"/>
        </w:rPr>
        <w:t xml:space="preserve"> </w:t>
      </w:r>
    </w:p>
    <w:p w14:paraId="5F1D6F72" w14:textId="2BB93B4F" w:rsidR="00C26A17" w:rsidRPr="00D356EB" w:rsidRDefault="00D356EB" w:rsidP="007647E8">
      <w:pPr>
        <w:pStyle w:val="ListParagraph"/>
        <w:numPr>
          <w:ilvl w:val="0"/>
          <w:numId w:val="1"/>
        </w:numPr>
        <w:spacing w:line="360" w:lineRule="auto"/>
        <w:jc w:val="both"/>
        <w:rPr>
          <w:rFonts w:ascii="Times New Roman" w:hAnsi="Times New Roman" w:cs="Times New Roman"/>
          <w:sz w:val="24"/>
          <w:szCs w:val="24"/>
        </w:rPr>
      </w:pPr>
      <w:r w:rsidRPr="00795F90">
        <w:rPr>
          <w:rFonts w:ascii="Times New Roman" w:hAnsi="Times New Roman" w:cs="Times New Roman"/>
          <w:sz w:val="24"/>
          <w:szCs w:val="24"/>
        </w:rPr>
        <w:t xml:space="preserve">Warner MJ, Kamran MT. Iron Deficiency </w:t>
      </w:r>
      <w:proofErr w:type="spellStart"/>
      <w:r w:rsidRPr="00795F90">
        <w:rPr>
          <w:rFonts w:ascii="Times New Roman" w:hAnsi="Times New Roman" w:cs="Times New Roman"/>
          <w:sz w:val="24"/>
          <w:szCs w:val="24"/>
        </w:rPr>
        <w:t>Anemia</w:t>
      </w:r>
      <w:proofErr w:type="spellEnd"/>
      <w:r w:rsidRPr="00795F90">
        <w:rPr>
          <w:rFonts w:ascii="Times New Roman" w:hAnsi="Times New Roman" w:cs="Times New Roman"/>
          <w:sz w:val="24"/>
          <w:szCs w:val="24"/>
        </w:rPr>
        <w:t xml:space="preserve">. [Updated 2023 Aug 7]. In: </w:t>
      </w:r>
      <w:proofErr w:type="spellStart"/>
      <w:r w:rsidRPr="00795F90">
        <w:rPr>
          <w:rFonts w:ascii="Times New Roman" w:hAnsi="Times New Roman" w:cs="Times New Roman"/>
          <w:sz w:val="24"/>
          <w:szCs w:val="24"/>
        </w:rPr>
        <w:t>StatPearls</w:t>
      </w:r>
      <w:proofErr w:type="spellEnd"/>
      <w:r w:rsidRPr="00795F90">
        <w:rPr>
          <w:rFonts w:ascii="Times New Roman" w:hAnsi="Times New Roman" w:cs="Times New Roman"/>
          <w:sz w:val="24"/>
          <w:szCs w:val="24"/>
        </w:rPr>
        <w:t xml:space="preserve"> [Internet]. Treasure Island (FL): </w:t>
      </w:r>
      <w:proofErr w:type="spellStart"/>
      <w:r w:rsidRPr="00795F90">
        <w:rPr>
          <w:rFonts w:ascii="Times New Roman" w:hAnsi="Times New Roman" w:cs="Times New Roman"/>
          <w:sz w:val="24"/>
          <w:szCs w:val="24"/>
        </w:rPr>
        <w:t>StatPearls</w:t>
      </w:r>
      <w:proofErr w:type="spellEnd"/>
      <w:r w:rsidRPr="00795F90">
        <w:rPr>
          <w:rFonts w:ascii="Times New Roman" w:hAnsi="Times New Roman" w:cs="Times New Roman"/>
          <w:sz w:val="24"/>
          <w:szCs w:val="24"/>
        </w:rPr>
        <w:t xml:space="preserve"> Publishing; 2025 Jan-. Available from: </w:t>
      </w:r>
      <w:hyperlink r:id="rId10" w:history="1">
        <w:r w:rsidRPr="00D46146">
          <w:rPr>
            <w:rStyle w:val="Hyperlink"/>
            <w:rFonts w:ascii="Times New Roman" w:hAnsi="Times New Roman" w:cs="Times New Roman"/>
            <w:sz w:val="24"/>
            <w:szCs w:val="24"/>
          </w:rPr>
          <w:t>https://www.ncbi.nlm.nih.gov/books/NBK448065/</w:t>
        </w:r>
      </w:hyperlink>
    </w:p>
    <w:p w14:paraId="2B29B556" w14:textId="77777777" w:rsidR="00D356EB" w:rsidRDefault="00D356EB" w:rsidP="00D356EB">
      <w:pPr>
        <w:pStyle w:val="ListParagraph"/>
        <w:numPr>
          <w:ilvl w:val="0"/>
          <w:numId w:val="1"/>
        </w:numPr>
        <w:spacing w:line="360" w:lineRule="auto"/>
        <w:jc w:val="both"/>
        <w:rPr>
          <w:rFonts w:ascii="Times New Roman" w:hAnsi="Times New Roman" w:cs="Times New Roman"/>
          <w:sz w:val="24"/>
          <w:szCs w:val="24"/>
        </w:rPr>
      </w:pPr>
      <w:r w:rsidRPr="00D970EE">
        <w:rPr>
          <w:rFonts w:ascii="Times New Roman" w:hAnsi="Times New Roman" w:cs="Times New Roman"/>
          <w:sz w:val="24"/>
          <w:szCs w:val="24"/>
        </w:rPr>
        <w:t>Ayesha Butt, Tinatin Muradashvili</w:t>
      </w:r>
      <w:r>
        <w:rPr>
          <w:rFonts w:ascii="Times New Roman" w:hAnsi="Times New Roman" w:cs="Times New Roman"/>
          <w:sz w:val="24"/>
          <w:szCs w:val="24"/>
        </w:rPr>
        <w:t xml:space="preserve">. </w:t>
      </w:r>
      <w:r w:rsidRPr="00D970EE">
        <w:rPr>
          <w:rFonts w:ascii="Times New Roman" w:hAnsi="Times New Roman" w:cs="Times New Roman"/>
          <w:sz w:val="24"/>
          <w:szCs w:val="24"/>
        </w:rPr>
        <w:t>Iron Infusion Reactions: Risk Factors and Real-World Experience</w:t>
      </w:r>
      <w:r>
        <w:rPr>
          <w:rFonts w:ascii="Times New Roman" w:hAnsi="Times New Roman" w:cs="Times New Roman"/>
          <w:sz w:val="24"/>
          <w:szCs w:val="24"/>
        </w:rPr>
        <w:t xml:space="preserve">; </w:t>
      </w:r>
      <w:hyperlink r:id="rId11" w:tooltip="Go to table of contents for this volume/issue" w:history="1">
        <w:r w:rsidRPr="00D970EE">
          <w:rPr>
            <w:rStyle w:val="Hyperlink"/>
            <w:rFonts w:ascii="Times New Roman" w:hAnsi="Times New Roman" w:cs="Times New Roman"/>
            <w:sz w:val="24"/>
            <w:szCs w:val="24"/>
          </w:rPr>
          <w:t>Volume 138, Supplement 1</w:t>
        </w:r>
      </w:hyperlink>
      <w:r w:rsidRPr="00D970EE">
        <w:rPr>
          <w:rFonts w:ascii="Times New Roman" w:hAnsi="Times New Roman" w:cs="Times New Roman"/>
          <w:sz w:val="24"/>
          <w:szCs w:val="24"/>
        </w:rPr>
        <w:t>, 23 November 2021, Page 4154</w:t>
      </w:r>
      <w:r>
        <w:rPr>
          <w:rFonts w:ascii="Times New Roman" w:hAnsi="Times New Roman" w:cs="Times New Roman"/>
          <w:sz w:val="24"/>
          <w:szCs w:val="24"/>
        </w:rPr>
        <w:t xml:space="preserve">. Available from: </w:t>
      </w:r>
      <w:hyperlink r:id="rId12" w:tgtFrame="_blank" w:tooltip="Persistent link using digital object identifier" w:history="1">
        <w:r w:rsidRPr="00D970EE">
          <w:rPr>
            <w:rStyle w:val="Hyperlink"/>
            <w:rFonts w:ascii="Times New Roman" w:hAnsi="Times New Roman" w:cs="Times New Roman"/>
            <w:sz w:val="24"/>
            <w:szCs w:val="24"/>
          </w:rPr>
          <w:t>https://doi.org/10.1182/blood-2021-151048</w:t>
        </w:r>
      </w:hyperlink>
      <w:r>
        <w:rPr>
          <w:rFonts w:ascii="Times New Roman" w:hAnsi="Times New Roman" w:cs="Times New Roman"/>
          <w:sz w:val="24"/>
          <w:szCs w:val="24"/>
        </w:rPr>
        <w:t xml:space="preserve"> </w:t>
      </w:r>
    </w:p>
    <w:p w14:paraId="34AEA62C" w14:textId="2C41A27B" w:rsidR="00D356EB" w:rsidRPr="00CB5CA4" w:rsidRDefault="00D356EB" w:rsidP="000937C4">
      <w:pPr>
        <w:pStyle w:val="ListParagraph"/>
        <w:numPr>
          <w:ilvl w:val="0"/>
          <w:numId w:val="1"/>
        </w:numPr>
        <w:spacing w:line="360" w:lineRule="auto"/>
        <w:jc w:val="both"/>
        <w:rPr>
          <w:rFonts w:ascii="Times New Roman" w:hAnsi="Times New Roman" w:cs="Times New Roman"/>
          <w:sz w:val="24"/>
          <w:szCs w:val="24"/>
          <w:highlight w:val="yellow"/>
        </w:rPr>
      </w:pPr>
      <w:proofErr w:type="spellStart"/>
      <w:r w:rsidRPr="00A66D65">
        <w:rPr>
          <w:rFonts w:ascii="Times New Roman" w:hAnsi="Times New Roman" w:cs="Times New Roman"/>
          <w:sz w:val="24"/>
          <w:szCs w:val="24"/>
        </w:rPr>
        <w:t>Bijalwan</w:t>
      </w:r>
      <w:proofErr w:type="spellEnd"/>
      <w:r w:rsidRPr="00A66D65">
        <w:rPr>
          <w:rFonts w:ascii="Times New Roman" w:hAnsi="Times New Roman" w:cs="Times New Roman"/>
          <w:sz w:val="24"/>
          <w:szCs w:val="24"/>
        </w:rPr>
        <w:t xml:space="preserve"> S, Randhawa GK, Kohima Aggarwal DD. A Rare Case Report of Toxic Epidermal Necrolysis with Iron Sucrose/first line Anti-tuberculosis Treatment Drugs</w:t>
      </w:r>
      <w:r w:rsidRPr="00CB5CA4">
        <w:rPr>
          <w:rFonts w:ascii="Times New Roman" w:hAnsi="Times New Roman" w:cs="Times New Roman"/>
          <w:sz w:val="24"/>
          <w:szCs w:val="24"/>
          <w:highlight w:val="yellow"/>
        </w:rPr>
        <w:t xml:space="preserve">. </w:t>
      </w:r>
      <w:r w:rsidR="00CB5CA4" w:rsidRPr="00CB5CA4">
        <w:rPr>
          <w:rFonts w:ascii="Times New Roman" w:hAnsi="Times New Roman" w:cs="Times New Roman"/>
          <w:sz w:val="24"/>
          <w:szCs w:val="24"/>
          <w:highlight w:val="yellow"/>
        </w:rPr>
        <w:t>Volume 6, Issue 5; May: 2022; Page No. 20-23</w:t>
      </w:r>
      <w:r w:rsidR="00CB5CA4" w:rsidRPr="00CB5CA4">
        <w:rPr>
          <w:rFonts w:ascii="Times New Roman" w:hAnsi="Times New Roman" w:cs="Times New Roman"/>
          <w:sz w:val="24"/>
          <w:szCs w:val="24"/>
          <w:highlight w:val="yellow"/>
        </w:rPr>
        <w:t>. Available from:</w:t>
      </w:r>
      <w:r w:rsidR="00CB5CA4">
        <w:rPr>
          <w:rFonts w:ascii="Times New Roman" w:hAnsi="Times New Roman" w:cs="Times New Roman"/>
          <w:sz w:val="24"/>
          <w:szCs w:val="24"/>
          <w:highlight w:val="yellow"/>
        </w:rPr>
        <w:t xml:space="preserve"> </w:t>
      </w:r>
      <w:hyperlink r:id="rId13" w:history="1">
        <w:r w:rsidR="00CB5CA4" w:rsidRPr="0002516A">
          <w:rPr>
            <w:rStyle w:val="Hyperlink"/>
            <w:rFonts w:ascii="Times New Roman" w:hAnsi="Times New Roman" w:cs="Times New Roman"/>
            <w:sz w:val="24"/>
            <w:szCs w:val="24"/>
            <w:highlight w:val="yellow"/>
          </w:rPr>
          <w:t>https://doi.org/10.32553/ijmsdr.v6i5.940</w:t>
        </w:r>
      </w:hyperlink>
      <w:r w:rsidR="00CB5CA4" w:rsidRPr="00CB5CA4">
        <w:rPr>
          <w:rFonts w:ascii="Times New Roman" w:hAnsi="Times New Roman" w:cs="Times New Roman"/>
          <w:sz w:val="24"/>
          <w:szCs w:val="24"/>
          <w:highlight w:val="yellow"/>
        </w:rPr>
        <w:t xml:space="preserve"> </w:t>
      </w:r>
    </w:p>
    <w:p w14:paraId="62AA93E2" w14:textId="0B16164E" w:rsidR="00FC3BFF" w:rsidRPr="000937C4" w:rsidRDefault="00FC3BFF" w:rsidP="000937C4">
      <w:pPr>
        <w:pStyle w:val="ListParagraph"/>
        <w:numPr>
          <w:ilvl w:val="0"/>
          <w:numId w:val="1"/>
        </w:numPr>
        <w:spacing w:line="360" w:lineRule="auto"/>
        <w:jc w:val="both"/>
        <w:rPr>
          <w:rFonts w:ascii="Times New Roman" w:hAnsi="Times New Roman" w:cs="Times New Roman"/>
          <w:sz w:val="24"/>
          <w:szCs w:val="24"/>
        </w:rPr>
      </w:pPr>
      <w:r w:rsidRPr="00FC3BFF">
        <w:rPr>
          <w:rFonts w:ascii="Times New Roman" w:hAnsi="Times New Roman" w:cs="Times New Roman"/>
          <w:sz w:val="24"/>
          <w:szCs w:val="24"/>
        </w:rPr>
        <w:lastRenderedPageBreak/>
        <w:t xml:space="preserve">Funk, F., Ryle, P., Neiser, S., Canclini, C., &amp; Geisser, P. (2011). The new generation of intravenous iron: chemistry, pharmacology, and toxicology of ferric </w:t>
      </w:r>
      <w:proofErr w:type="spellStart"/>
      <w:r w:rsidRPr="00FC3BFF">
        <w:rPr>
          <w:rFonts w:ascii="Times New Roman" w:hAnsi="Times New Roman" w:cs="Times New Roman"/>
          <w:sz w:val="24"/>
          <w:szCs w:val="24"/>
        </w:rPr>
        <w:t>carboxymaltose</w:t>
      </w:r>
      <w:proofErr w:type="spellEnd"/>
      <w:r w:rsidRPr="00FC3BFF">
        <w:rPr>
          <w:rFonts w:ascii="Times New Roman" w:hAnsi="Times New Roman" w:cs="Times New Roman"/>
          <w:sz w:val="24"/>
          <w:szCs w:val="24"/>
        </w:rPr>
        <w:t>. </w:t>
      </w:r>
      <w:proofErr w:type="spellStart"/>
      <w:r w:rsidRPr="00FC3BFF">
        <w:rPr>
          <w:rFonts w:ascii="Times New Roman" w:hAnsi="Times New Roman" w:cs="Times New Roman"/>
          <w:i/>
          <w:iCs/>
          <w:sz w:val="24"/>
          <w:szCs w:val="24"/>
        </w:rPr>
        <w:t>Arzneimittelforschung</w:t>
      </w:r>
      <w:proofErr w:type="spellEnd"/>
      <w:r w:rsidRPr="00FC3BFF">
        <w:rPr>
          <w:rFonts w:ascii="Times New Roman" w:hAnsi="Times New Roman" w:cs="Times New Roman"/>
          <w:sz w:val="24"/>
          <w:szCs w:val="24"/>
        </w:rPr>
        <w:t>, </w:t>
      </w:r>
      <w:r w:rsidRPr="00FC3BFF">
        <w:rPr>
          <w:rFonts w:ascii="Times New Roman" w:hAnsi="Times New Roman" w:cs="Times New Roman"/>
          <w:i/>
          <w:iCs/>
          <w:sz w:val="24"/>
          <w:szCs w:val="24"/>
        </w:rPr>
        <w:t>60</w:t>
      </w:r>
      <w:r w:rsidRPr="00FC3BFF">
        <w:rPr>
          <w:rFonts w:ascii="Times New Roman" w:hAnsi="Times New Roman" w:cs="Times New Roman"/>
          <w:sz w:val="24"/>
          <w:szCs w:val="24"/>
        </w:rPr>
        <w:t xml:space="preserve">(06), 345–353. </w:t>
      </w:r>
      <w:hyperlink r:id="rId14" w:history="1">
        <w:r w:rsidRPr="0002516A">
          <w:rPr>
            <w:rStyle w:val="Hyperlink"/>
            <w:rFonts w:ascii="Times New Roman" w:hAnsi="Times New Roman" w:cs="Times New Roman"/>
            <w:sz w:val="24"/>
            <w:szCs w:val="24"/>
          </w:rPr>
          <w:t>https://doi.org/10.1055/s-0031-1296299</w:t>
        </w:r>
      </w:hyperlink>
      <w:r>
        <w:rPr>
          <w:rFonts w:ascii="Times New Roman" w:hAnsi="Times New Roman" w:cs="Times New Roman"/>
          <w:sz w:val="24"/>
          <w:szCs w:val="24"/>
        </w:rPr>
        <w:t xml:space="preserve"> </w:t>
      </w:r>
    </w:p>
    <w:sectPr w:rsidR="00FC3BFF" w:rsidRPr="000937C4" w:rsidSect="00436236">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E125D" w14:textId="77777777" w:rsidR="000425FB" w:rsidRDefault="000425FB" w:rsidP="007C0936">
      <w:pPr>
        <w:spacing w:after="0" w:line="240" w:lineRule="auto"/>
      </w:pPr>
      <w:r>
        <w:separator/>
      </w:r>
    </w:p>
  </w:endnote>
  <w:endnote w:type="continuationSeparator" w:id="0">
    <w:p w14:paraId="38D7C94D" w14:textId="77777777" w:rsidR="000425FB" w:rsidRDefault="000425FB" w:rsidP="007C0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28C8" w14:textId="77777777" w:rsidR="004D7D7F" w:rsidRDefault="004D7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18BD" w14:textId="77777777" w:rsidR="004D7D7F" w:rsidRDefault="004D7D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747D3" w14:textId="77777777" w:rsidR="004D7D7F" w:rsidRDefault="004D7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ACFC8" w14:textId="77777777" w:rsidR="000425FB" w:rsidRDefault="000425FB" w:rsidP="007C0936">
      <w:pPr>
        <w:spacing w:after="0" w:line="240" w:lineRule="auto"/>
      </w:pPr>
      <w:r>
        <w:separator/>
      </w:r>
    </w:p>
  </w:footnote>
  <w:footnote w:type="continuationSeparator" w:id="0">
    <w:p w14:paraId="3B4DD44E" w14:textId="77777777" w:rsidR="000425FB" w:rsidRDefault="000425FB" w:rsidP="007C0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DEE57" w14:textId="39EA1AC6" w:rsidR="004D7D7F" w:rsidRDefault="00000000">
    <w:pPr>
      <w:pStyle w:val="Header"/>
    </w:pPr>
    <w:r>
      <w:rPr>
        <w:noProof/>
      </w:rPr>
      <w:pict w14:anchorId="19ADC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466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6798" w14:textId="141949B2" w:rsidR="004D7D7F" w:rsidRDefault="00000000">
    <w:pPr>
      <w:pStyle w:val="Header"/>
    </w:pPr>
    <w:r>
      <w:rPr>
        <w:noProof/>
      </w:rPr>
      <w:pict w14:anchorId="78C0B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466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BE3E1" w14:textId="66682E8F" w:rsidR="004D7D7F" w:rsidRDefault="00000000">
    <w:pPr>
      <w:pStyle w:val="Header"/>
    </w:pPr>
    <w:r>
      <w:rPr>
        <w:noProof/>
      </w:rPr>
      <w:pict w14:anchorId="19517E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466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C4DD6"/>
    <w:multiLevelType w:val="hybridMultilevel"/>
    <w:tmpl w:val="5712ABA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427B3BED"/>
    <w:multiLevelType w:val="hybridMultilevel"/>
    <w:tmpl w:val="348C60A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61815CB0"/>
    <w:multiLevelType w:val="hybridMultilevel"/>
    <w:tmpl w:val="45D675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990520992">
    <w:abstractNumId w:val="0"/>
  </w:num>
  <w:num w:numId="2" w16cid:durableId="1424645875">
    <w:abstractNumId w:val="1"/>
  </w:num>
  <w:num w:numId="3" w16cid:durableId="1273516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zNrc0MjExNzYwNzBQ0lEKTi0uzszPAykwrAUADucfpiwAAAA="/>
  </w:docVars>
  <w:rsids>
    <w:rsidRoot w:val="007647E8"/>
    <w:rsid w:val="000074FF"/>
    <w:rsid w:val="000425FB"/>
    <w:rsid w:val="000937C4"/>
    <w:rsid w:val="0018716F"/>
    <w:rsid w:val="002442D6"/>
    <w:rsid w:val="0031429C"/>
    <w:rsid w:val="00314A3D"/>
    <w:rsid w:val="003840DF"/>
    <w:rsid w:val="003F2BF8"/>
    <w:rsid w:val="00436236"/>
    <w:rsid w:val="00461048"/>
    <w:rsid w:val="00487E8E"/>
    <w:rsid w:val="004A1245"/>
    <w:rsid w:val="004D7D7F"/>
    <w:rsid w:val="004F4A90"/>
    <w:rsid w:val="00502971"/>
    <w:rsid w:val="00622367"/>
    <w:rsid w:val="0062264B"/>
    <w:rsid w:val="006563F2"/>
    <w:rsid w:val="007218DA"/>
    <w:rsid w:val="0072218F"/>
    <w:rsid w:val="007647E8"/>
    <w:rsid w:val="007679AD"/>
    <w:rsid w:val="007C0936"/>
    <w:rsid w:val="00901463"/>
    <w:rsid w:val="0096727A"/>
    <w:rsid w:val="00971C11"/>
    <w:rsid w:val="00985B0B"/>
    <w:rsid w:val="009A1F17"/>
    <w:rsid w:val="009C1BE9"/>
    <w:rsid w:val="00A0610D"/>
    <w:rsid w:val="00A364E1"/>
    <w:rsid w:val="00A95CF3"/>
    <w:rsid w:val="00AD31B8"/>
    <w:rsid w:val="00B52A55"/>
    <w:rsid w:val="00C26A17"/>
    <w:rsid w:val="00C30867"/>
    <w:rsid w:val="00CA0854"/>
    <w:rsid w:val="00CB5CA4"/>
    <w:rsid w:val="00CE3082"/>
    <w:rsid w:val="00D356EB"/>
    <w:rsid w:val="00E0741E"/>
    <w:rsid w:val="00E44B50"/>
    <w:rsid w:val="00EC4CFD"/>
    <w:rsid w:val="00EE1DF8"/>
    <w:rsid w:val="00FC3B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A1E7E"/>
  <w15:chartTrackingRefBased/>
  <w15:docId w15:val="{FC64F68B-5B09-4ACE-BE8F-6B75747C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CA4"/>
  </w:style>
  <w:style w:type="paragraph" w:styleId="Heading1">
    <w:name w:val="heading 1"/>
    <w:basedOn w:val="Normal"/>
    <w:next w:val="Normal"/>
    <w:link w:val="Heading1Char"/>
    <w:uiPriority w:val="9"/>
    <w:qFormat/>
    <w:rsid w:val="007647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47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47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47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47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47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47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47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47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7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47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47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47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47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47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47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47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47E8"/>
    <w:rPr>
      <w:rFonts w:eastAsiaTheme="majorEastAsia" w:cstheme="majorBidi"/>
      <w:color w:val="272727" w:themeColor="text1" w:themeTint="D8"/>
    </w:rPr>
  </w:style>
  <w:style w:type="paragraph" w:styleId="Title">
    <w:name w:val="Title"/>
    <w:basedOn w:val="Normal"/>
    <w:next w:val="Normal"/>
    <w:link w:val="TitleChar"/>
    <w:uiPriority w:val="10"/>
    <w:qFormat/>
    <w:rsid w:val="007647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47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47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47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47E8"/>
    <w:pPr>
      <w:spacing w:before="160"/>
      <w:jc w:val="center"/>
    </w:pPr>
    <w:rPr>
      <w:i/>
      <w:iCs/>
      <w:color w:val="404040" w:themeColor="text1" w:themeTint="BF"/>
    </w:rPr>
  </w:style>
  <w:style w:type="character" w:customStyle="1" w:styleId="QuoteChar">
    <w:name w:val="Quote Char"/>
    <w:basedOn w:val="DefaultParagraphFont"/>
    <w:link w:val="Quote"/>
    <w:uiPriority w:val="29"/>
    <w:rsid w:val="007647E8"/>
    <w:rPr>
      <w:i/>
      <w:iCs/>
      <w:color w:val="404040" w:themeColor="text1" w:themeTint="BF"/>
    </w:rPr>
  </w:style>
  <w:style w:type="paragraph" w:styleId="ListParagraph">
    <w:name w:val="List Paragraph"/>
    <w:basedOn w:val="Normal"/>
    <w:uiPriority w:val="34"/>
    <w:qFormat/>
    <w:rsid w:val="007647E8"/>
    <w:pPr>
      <w:ind w:left="720"/>
      <w:contextualSpacing/>
    </w:pPr>
  </w:style>
  <w:style w:type="character" w:styleId="IntenseEmphasis">
    <w:name w:val="Intense Emphasis"/>
    <w:basedOn w:val="DefaultParagraphFont"/>
    <w:uiPriority w:val="21"/>
    <w:qFormat/>
    <w:rsid w:val="007647E8"/>
    <w:rPr>
      <w:i/>
      <w:iCs/>
      <w:color w:val="2F5496" w:themeColor="accent1" w:themeShade="BF"/>
    </w:rPr>
  </w:style>
  <w:style w:type="paragraph" w:styleId="IntenseQuote">
    <w:name w:val="Intense Quote"/>
    <w:basedOn w:val="Normal"/>
    <w:next w:val="Normal"/>
    <w:link w:val="IntenseQuoteChar"/>
    <w:uiPriority w:val="30"/>
    <w:qFormat/>
    <w:rsid w:val="007647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47E8"/>
    <w:rPr>
      <w:i/>
      <w:iCs/>
      <w:color w:val="2F5496" w:themeColor="accent1" w:themeShade="BF"/>
    </w:rPr>
  </w:style>
  <w:style w:type="character" w:styleId="IntenseReference">
    <w:name w:val="Intense Reference"/>
    <w:basedOn w:val="DefaultParagraphFont"/>
    <w:uiPriority w:val="32"/>
    <w:qFormat/>
    <w:rsid w:val="007647E8"/>
    <w:rPr>
      <w:b/>
      <w:bCs/>
      <w:smallCaps/>
      <w:color w:val="2F5496" w:themeColor="accent1" w:themeShade="BF"/>
      <w:spacing w:val="5"/>
    </w:rPr>
  </w:style>
  <w:style w:type="table" w:styleId="TableGrid">
    <w:name w:val="Table Grid"/>
    <w:basedOn w:val="TableNormal"/>
    <w:uiPriority w:val="39"/>
    <w:rsid w:val="00C2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6EB"/>
    <w:rPr>
      <w:color w:val="0563C1" w:themeColor="hyperlink"/>
      <w:u w:val="single"/>
    </w:rPr>
  </w:style>
  <w:style w:type="character" w:customStyle="1" w:styleId="UnresolvedMention1">
    <w:name w:val="Unresolved Mention1"/>
    <w:basedOn w:val="DefaultParagraphFont"/>
    <w:uiPriority w:val="99"/>
    <w:semiHidden/>
    <w:unhideWhenUsed/>
    <w:rsid w:val="009C1BE9"/>
    <w:rPr>
      <w:color w:val="605E5C"/>
      <w:shd w:val="clear" w:color="auto" w:fill="E1DFDD"/>
    </w:rPr>
  </w:style>
  <w:style w:type="paragraph" w:styleId="Header">
    <w:name w:val="header"/>
    <w:basedOn w:val="Normal"/>
    <w:link w:val="HeaderChar"/>
    <w:uiPriority w:val="99"/>
    <w:unhideWhenUsed/>
    <w:rsid w:val="007C0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936"/>
  </w:style>
  <w:style w:type="paragraph" w:styleId="Footer">
    <w:name w:val="footer"/>
    <w:basedOn w:val="Normal"/>
    <w:link w:val="FooterChar"/>
    <w:uiPriority w:val="99"/>
    <w:unhideWhenUsed/>
    <w:rsid w:val="007C0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936"/>
  </w:style>
  <w:style w:type="character" w:styleId="UnresolvedMention">
    <w:name w:val="Unresolved Mention"/>
    <w:basedOn w:val="DefaultParagraphFont"/>
    <w:uiPriority w:val="99"/>
    <w:semiHidden/>
    <w:unhideWhenUsed/>
    <w:rsid w:val="00FC3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95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2553/ijmsdr.v6i5.940"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182/blood-2021-151048"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journal/blood/vol/138/suppl/S1"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ncbi.nlm.nih.gov/books/NBK448065/"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55/s-0031-129629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9</Pages>
  <Words>2259</Words>
  <Characters>12881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Akshatha Surpur</dc:creator>
  <cp:keywords/>
  <dc:description/>
  <cp:lastModifiedBy>Akshatha Surpur</cp:lastModifiedBy>
  <cp:revision>19</cp:revision>
  <cp:lastPrinted>2025-03-23T15:48:00Z</cp:lastPrinted>
  <dcterms:created xsi:type="dcterms:W3CDTF">2025-03-23T14:22:00Z</dcterms:created>
  <dcterms:modified xsi:type="dcterms:W3CDTF">2025-04-03T16:04:00Z</dcterms:modified>
</cp:coreProperties>
</file>