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21EB2" w14:textId="772C54D0" w:rsidR="00C101EC" w:rsidRDefault="00212375">
      <w:r w:rsidRPr="00846A04">
        <w:rPr>
          <w:b/>
          <w:bCs/>
        </w:rPr>
        <w:t xml:space="preserve">Leadership Succession and </w:t>
      </w:r>
      <w:r w:rsidR="00846A04" w:rsidRPr="00846A04">
        <w:rPr>
          <w:b/>
          <w:bCs/>
        </w:rPr>
        <w:t>Sustainable Corporate Behavior</w:t>
      </w:r>
      <w:r w:rsidR="00E827BD" w:rsidRPr="00846A04">
        <w:rPr>
          <w:b/>
          <w:bCs/>
        </w:rPr>
        <w:t xml:space="preserve"> </w:t>
      </w:r>
      <w:r w:rsidRPr="00846A04">
        <w:rPr>
          <w:b/>
          <w:bCs/>
        </w:rPr>
        <w:t xml:space="preserve">of </w:t>
      </w:r>
      <w:r w:rsidR="00E827BD" w:rsidRPr="00846A04">
        <w:rPr>
          <w:b/>
          <w:bCs/>
        </w:rPr>
        <w:t>F</w:t>
      </w:r>
      <w:r w:rsidR="00F33490" w:rsidRPr="00846A04">
        <w:rPr>
          <w:b/>
          <w:bCs/>
        </w:rPr>
        <w:t>ami</w:t>
      </w:r>
      <w:r w:rsidR="00846A04" w:rsidRPr="00846A04">
        <w:rPr>
          <w:b/>
          <w:bCs/>
        </w:rPr>
        <w:t>l</w:t>
      </w:r>
      <w:r w:rsidR="00F33490" w:rsidRPr="00846A04">
        <w:rPr>
          <w:b/>
          <w:bCs/>
        </w:rPr>
        <w:t>y-run</w:t>
      </w:r>
      <w:r w:rsidR="00E827BD" w:rsidRPr="00846A04">
        <w:rPr>
          <w:b/>
          <w:bCs/>
        </w:rPr>
        <w:t xml:space="preserve"> </w:t>
      </w:r>
      <w:r w:rsidRPr="00846A04">
        <w:rPr>
          <w:b/>
          <w:bCs/>
        </w:rPr>
        <w:t>Businesses</w:t>
      </w:r>
      <w:r w:rsidR="00E827BD" w:rsidRPr="00846A04">
        <w:rPr>
          <w:b/>
          <w:bCs/>
        </w:rPr>
        <w:t xml:space="preserve"> in Pakistan</w:t>
      </w:r>
      <w:r w:rsidRPr="00C11449">
        <w:t>.</w:t>
      </w:r>
    </w:p>
    <w:p w14:paraId="13BD642D" w14:textId="77777777" w:rsidR="0013486E" w:rsidRDefault="0013486E"/>
    <w:p w14:paraId="467DD3CD" w14:textId="77777777" w:rsidR="0013486E" w:rsidRDefault="0013486E"/>
    <w:p w14:paraId="0925B3B4" w14:textId="79E3622E" w:rsidR="00C11449" w:rsidRPr="008974C6" w:rsidRDefault="00C11449" w:rsidP="00C11449">
      <w:pPr>
        <w:rPr>
          <w:b/>
          <w:bCs/>
        </w:rPr>
      </w:pPr>
      <w:r w:rsidRPr="008974C6">
        <w:rPr>
          <w:b/>
          <w:bCs/>
        </w:rPr>
        <w:t xml:space="preserve"> </w:t>
      </w:r>
      <w:commentRangeStart w:id="0"/>
      <w:r w:rsidR="007C4221">
        <w:rPr>
          <w:b/>
          <w:bCs/>
        </w:rPr>
        <w:t>Abstract</w:t>
      </w:r>
      <w:commentRangeEnd w:id="0"/>
      <w:r w:rsidR="00ED37BC">
        <w:rPr>
          <w:rStyle w:val="CommentReference"/>
        </w:rPr>
        <w:commentReference w:id="0"/>
      </w:r>
      <w:r w:rsidRPr="008974C6">
        <w:rPr>
          <w:b/>
          <w:bCs/>
        </w:rPr>
        <w:t xml:space="preserve">:  </w:t>
      </w:r>
      <w:bookmarkStart w:id="1" w:name="_GoBack"/>
      <w:bookmarkEnd w:id="1"/>
    </w:p>
    <w:p w14:paraId="71E21361" w14:textId="75D02B47" w:rsidR="00C11449" w:rsidRDefault="00212375" w:rsidP="00C11449">
      <w:pPr>
        <w:jc w:val="both"/>
      </w:pPr>
      <w:r w:rsidRPr="009D1C60">
        <w:t xml:space="preserve">This </w:t>
      </w:r>
      <w:r w:rsidR="004F746A">
        <w:t>paper</w:t>
      </w:r>
      <w:r w:rsidRPr="009D1C60">
        <w:t xml:space="preserve"> </w:t>
      </w:r>
      <w:r>
        <w:t>investigates</w:t>
      </w:r>
      <w:r w:rsidRPr="009D1C60">
        <w:t xml:space="preserve"> the </w:t>
      </w:r>
      <w:r w:rsidR="004F746A" w:rsidRPr="009D1C60">
        <w:t>impact</w:t>
      </w:r>
      <w:r w:rsidRPr="009D1C60">
        <w:t xml:space="preserve"> of leadership succession on </w:t>
      </w:r>
      <w:r w:rsidR="00BD19C6" w:rsidRPr="00BD19C6">
        <w:t>Sustainable Corporate Behavior</w:t>
      </w:r>
      <w:r w:rsidR="00BD19C6" w:rsidRPr="00846A04">
        <w:rPr>
          <w:b/>
          <w:bCs/>
        </w:rPr>
        <w:t xml:space="preserve"> </w:t>
      </w:r>
      <w:r w:rsidRPr="009D1C60">
        <w:t xml:space="preserve">in </w:t>
      </w:r>
      <w:r w:rsidR="00C86590">
        <w:t>family-run enterprises</w:t>
      </w:r>
      <w:r w:rsidRPr="009D1C60">
        <w:t xml:space="preserve"> in Pakistan, emphasizing the alterations in decision-making during intra-generational leadership transfers.</w:t>
      </w:r>
      <w:r w:rsidR="009D1C60" w:rsidRPr="009D1C60">
        <w:t xml:space="preserve"> It </w:t>
      </w:r>
      <w:r w:rsidR="00B55478">
        <w:t xml:space="preserve">evaluates the impact of </w:t>
      </w:r>
      <w:r w:rsidR="000E244D">
        <w:t>g</w:t>
      </w:r>
      <w:r w:rsidR="002460D6">
        <w:t>eneration</w:t>
      </w:r>
      <w:r w:rsidR="001303EA">
        <w:t>-</w:t>
      </w:r>
      <w:r w:rsidR="002460D6">
        <w:t>two</w:t>
      </w:r>
      <w:r w:rsidR="00B55478">
        <w:t xml:space="preserve"> involvement in family</w:t>
      </w:r>
      <w:r w:rsidR="002460D6">
        <w:t xml:space="preserve"> businesses</w:t>
      </w:r>
      <w:r w:rsidR="00B55478">
        <w:t xml:space="preserve"> on </w:t>
      </w:r>
      <w:r w:rsidR="009D1C60" w:rsidRPr="009D1C60">
        <w:t xml:space="preserve">sustainable corporate conduct. The results indicate a significant impact for companies with elevated </w:t>
      </w:r>
      <w:r w:rsidR="002460D6">
        <w:t>privatization</w:t>
      </w:r>
      <w:r w:rsidR="009D1C60" w:rsidRPr="009D1C60">
        <w:t xml:space="preserve"> and international exposure. This </w:t>
      </w:r>
      <w:r w:rsidR="00E20124">
        <w:t>paper</w:t>
      </w:r>
      <w:r w:rsidR="009D1C60" w:rsidRPr="009D1C60">
        <w:t xml:space="preserve"> emphasizes the interconnectedness of intragenerational leadership succession and strategic </w:t>
      </w:r>
      <w:r w:rsidR="00E20124">
        <w:t>business planning</w:t>
      </w:r>
      <w:r w:rsidR="009D1C60" w:rsidRPr="009D1C60">
        <w:t xml:space="preserve"> in Pakistani </w:t>
      </w:r>
      <w:r w:rsidR="00C86590">
        <w:t>family-run enterprises</w:t>
      </w:r>
      <w:r w:rsidR="009D1C60" w:rsidRPr="009D1C60">
        <w:t xml:space="preserve">, underscoring the significance of examining </w:t>
      </w:r>
      <w:r w:rsidR="00E20124">
        <w:t>s</w:t>
      </w:r>
      <w:r w:rsidR="009D1C60" w:rsidRPr="009D1C60">
        <w:t xml:space="preserve">ustainable </w:t>
      </w:r>
      <w:r w:rsidR="00E20124">
        <w:t>c</w:t>
      </w:r>
      <w:r w:rsidR="009D1C60" w:rsidRPr="009D1C60">
        <w:t xml:space="preserve">orporate practices to comprehend </w:t>
      </w:r>
      <w:r w:rsidR="00E20124">
        <w:t>the business dynamics</w:t>
      </w:r>
      <w:r w:rsidR="00277D90" w:rsidRPr="00C11449">
        <w:t>.</w:t>
      </w:r>
      <w:r w:rsidR="00C11449" w:rsidRPr="00C11449">
        <w:t xml:space="preserve"> </w:t>
      </w:r>
    </w:p>
    <w:p w14:paraId="68663D99" w14:textId="7DDCC7E5" w:rsidR="00E920EF" w:rsidRPr="00E920EF" w:rsidRDefault="00E920EF" w:rsidP="00E920EF">
      <w:pPr>
        <w:jc w:val="both"/>
      </w:pPr>
      <w:r w:rsidRPr="00880DF5">
        <w:rPr>
          <w:b/>
          <w:bCs/>
        </w:rPr>
        <w:t>Keywords:</w:t>
      </w:r>
      <w:r>
        <w:t xml:space="preserve"> </w:t>
      </w:r>
      <w:r w:rsidRPr="00E920EF">
        <w:t xml:space="preserve">Leadership </w:t>
      </w:r>
      <w:r w:rsidR="005F1350">
        <w:t>S</w:t>
      </w:r>
      <w:r w:rsidRPr="00E920EF">
        <w:t>uccession</w:t>
      </w:r>
      <w:r>
        <w:t>,</w:t>
      </w:r>
      <w:r w:rsidRPr="00E920EF">
        <w:t xml:space="preserve"> </w:t>
      </w:r>
      <w:r w:rsidR="00F708C2" w:rsidRPr="00F708C2">
        <w:t>Sustainable Corporate Behavior</w:t>
      </w:r>
      <w:r w:rsidRPr="008974C6">
        <w:t>,</w:t>
      </w:r>
      <w:r w:rsidRPr="00E920EF">
        <w:t xml:space="preserve"> Strategic Business Planning </w:t>
      </w:r>
    </w:p>
    <w:p w14:paraId="72B1DD01" w14:textId="6E2F8165" w:rsidR="00880DF5" w:rsidRDefault="000803EA" w:rsidP="00715104">
      <w:pPr>
        <w:jc w:val="both"/>
        <w:rPr>
          <w:b/>
          <w:bCs/>
        </w:rPr>
      </w:pPr>
      <w:r w:rsidRPr="000803EA">
        <w:t xml:space="preserve"> </w:t>
      </w:r>
      <w:r w:rsidRPr="000803EA">
        <w:rPr>
          <w:b/>
          <w:bCs/>
        </w:rPr>
        <w:t xml:space="preserve">1. </w:t>
      </w:r>
      <w:commentRangeStart w:id="2"/>
      <w:r w:rsidR="00277D90">
        <w:rPr>
          <w:b/>
          <w:bCs/>
        </w:rPr>
        <w:t>Introduction</w:t>
      </w:r>
      <w:commentRangeEnd w:id="2"/>
      <w:r w:rsidR="00ED37BC">
        <w:rPr>
          <w:rStyle w:val="CommentReference"/>
        </w:rPr>
        <w:commentReference w:id="2"/>
      </w:r>
    </w:p>
    <w:p w14:paraId="36B20AA3" w14:textId="46AACF9E" w:rsidR="00880DF5" w:rsidRDefault="00136C74" w:rsidP="00715104">
      <w:pPr>
        <w:jc w:val="both"/>
      </w:pPr>
      <w:r w:rsidRPr="00136C74">
        <w:t>In the global capital market, investing in sustainable corporate behaviour (SCB) has become a crucial issue. The fundamental tenet of SCB highlights how crucial it is to thoroughly evaluate how environmental, social, and governance (ESG) considerations affect investment choices in order to maximize profits and advance favorable societal outcomes (Macey, 2022; Daugaard &amp; Ding, 2022</w:t>
      </w:r>
      <w:r w:rsidR="008D3133">
        <w:t xml:space="preserve">; </w:t>
      </w:r>
      <w:r w:rsidR="00255BE1">
        <w:t xml:space="preserve">Li et al., 2025; </w:t>
      </w:r>
      <w:r w:rsidR="008D3133">
        <w:t>Islam et al., 2025</w:t>
      </w:r>
      <w:r w:rsidRPr="00136C74">
        <w:t xml:space="preserve">). </w:t>
      </w:r>
      <w:r w:rsidR="00715104" w:rsidRPr="00715104">
        <w:t xml:space="preserve"> Theory and practical application in Pakistan remain nascent. </w:t>
      </w:r>
      <w:r w:rsidR="00880DF5">
        <w:t>The current</w:t>
      </w:r>
      <w:r w:rsidR="00715104" w:rsidRPr="00715104">
        <w:t xml:space="preserve"> study has failed to </w:t>
      </w:r>
      <w:r w:rsidR="00880DF5">
        <w:t>comprehensively analyze</w:t>
      </w:r>
      <w:r w:rsidR="00715104" w:rsidRPr="00715104">
        <w:t xml:space="preserve"> the </w:t>
      </w:r>
      <w:r w:rsidR="004F746A">
        <w:t>SCB</w:t>
      </w:r>
      <w:r w:rsidR="00715104" w:rsidRPr="00715104">
        <w:t xml:space="preserve"> of publicly </w:t>
      </w:r>
      <w:r w:rsidR="0073235B">
        <w:t>traded</w:t>
      </w:r>
      <w:r w:rsidR="00715104" w:rsidRPr="00715104">
        <w:t xml:space="preserve"> companies in the Pakistani market. </w:t>
      </w:r>
      <w:r w:rsidR="0017770D">
        <w:t xml:space="preserve">An Enterprise's proactive responsiveness to investors' demands for </w:t>
      </w:r>
      <w:r w:rsidR="004F746A">
        <w:t>SCB</w:t>
      </w:r>
      <w:r w:rsidR="0017770D">
        <w:t xml:space="preserve"> illustrates its</w:t>
      </w:r>
      <w:r w:rsidR="00715104" w:rsidRPr="00715104">
        <w:t xml:space="preserve"> strategic foresight, indicating a readiness to incur short-term expenses for </w:t>
      </w:r>
      <w:r w:rsidR="00880DF5">
        <w:t>high-quality development in the long run</w:t>
      </w:r>
      <w:r w:rsidR="00715104" w:rsidRPr="00715104">
        <w:t xml:space="preserve"> (Zaidi et al., 2024). By exercising rigorous self-discipline, firms assume responsibility for </w:t>
      </w:r>
      <w:r w:rsidR="00880DF5">
        <w:t xml:space="preserve">sustainable corporate conduct, </w:t>
      </w:r>
      <w:r w:rsidR="00715104" w:rsidRPr="00715104">
        <w:t xml:space="preserve">garnering stakeholder recognition and enhancing economic benefits. The interdependence between the company and its stakeholders is a fundamental characteristic of their relationship. Organizations must </w:t>
      </w:r>
      <w:r w:rsidR="0017770D">
        <w:t xml:space="preserve">choose considering </w:t>
      </w:r>
      <w:r w:rsidR="00715104" w:rsidRPr="00715104">
        <w:t xml:space="preserve">long-term advantages (Tetteh et al., 2022). When </w:t>
      </w:r>
      <w:r w:rsidR="0017770D">
        <w:t>top</w:t>
      </w:r>
      <w:r w:rsidR="00715104" w:rsidRPr="00715104">
        <w:t xml:space="preserve"> management elucidates the </w:t>
      </w:r>
      <w:r w:rsidR="0017770D">
        <w:t>long-</w:t>
      </w:r>
      <w:r w:rsidR="0017770D" w:rsidRPr="00715104">
        <w:t>lasting</w:t>
      </w:r>
      <w:r w:rsidR="00715104" w:rsidRPr="00715104">
        <w:t xml:space="preserve"> characteristics and underlying </w:t>
      </w:r>
      <w:r w:rsidR="0017770D">
        <w:t>processe</w:t>
      </w:r>
      <w:r w:rsidR="00715104" w:rsidRPr="00715104">
        <w:t xml:space="preserve">s of the beneficial effects </w:t>
      </w:r>
      <w:r w:rsidR="0017770D">
        <w:t xml:space="preserve">of sustainable actions </w:t>
      </w:r>
      <w:r w:rsidR="00715104" w:rsidRPr="00715104">
        <w:t xml:space="preserve">on a company's </w:t>
      </w:r>
      <w:r w:rsidR="004F746A">
        <w:t>SCB</w:t>
      </w:r>
      <w:r w:rsidR="00715104" w:rsidRPr="00715104">
        <w:t xml:space="preserve"> performance </w:t>
      </w:r>
      <w:r w:rsidR="0017770D">
        <w:t>matching with</w:t>
      </w:r>
      <w:r w:rsidR="00715104" w:rsidRPr="00715104">
        <w:t xml:space="preserve"> </w:t>
      </w:r>
      <w:r w:rsidR="0017770D">
        <w:t>investors'</w:t>
      </w:r>
      <w:r w:rsidR="00715104" w:rsidRPr="00715104">
        <w:t xml:space="preserve"> prioriti</w:t>
      </w:r>
      <w:r w:rsidR="0017770D">
        <w:t>es</w:t>
      </w:r>
      <w:r w:rsidR="00715104" w:rsidRPr="00715104">
        <w:t xml:space="preserve">, they can make informed judgments on </w:t>
      </w:r>
      <w:r w:rsidR="004F746A">
        <w:t>SCB</w:t>
      </w:r>
      <w:r w:rsidR="00715104" w:rsidRPr="00715104">
        <w:t xml:space="preserve"> (Baltazar et al., 2023). Family firms represent fifty percent of Pakistan's manufacturing sector and are crucial focal points for environmental regulation and pollution control (Chang et al., 2021; Shahzad et al., 2024). </w:t>
      </w:r>
      <w:r w:rsidR="00AA060A" w:rsidRPr="00AA060A">
        <w:t>The sustainable practices of family-</w:t>
      </w:r>
      <w:r w:rsidR="00AA060A">
        <w:t>run</w:t>
      </w:r>
      <w:r w:rsidR="00AA060A" w:rsidRPr="00AA060A">
        <w:t xml:space="preserve"> </w:t>
      </w:r>
      <w:r w:rsidR="00AA060A">
        <w:t>enterprises</w:t>
      </w:r>
      <w:r w:rsidR="00AA060A" w:rsidRPr="00AA060A">
        <w:t xml:space="preserve"> are crucial to Pakistan's strategies for sustainable development. This perspective corresponds with the nation's goals for environmental preservation, suggesting that family-</w:t>
      </w:r>
      <w:r w:rsidR="00AA060A">
        <w:t>run</w:t>
      </w:r>
      <w:r w:rsidR="00AA060A" w:rsidRPr="00AA060A">
        <w:t xml:space="preserve"> </w:t>
      </w:r>
      <w:r w:rsidR="00AA060A" w:rsidRPr="00AA060A">
        <w:lastRenderedPageBreak/>
        <w:t>enterprises may exhibit a greater motivation to enhance their stake in sustainable development efforts</w:t>
      </w:r>
      <w:r w:rsidR="00F33490" w:rsidRPr="00F33490">
        <w:t>.</w:t>
      </w:r>
      <w:r w:rsidR="00715104" w:rsidRPr="00715104">
        <w:t xml:space="preserve"> </w:t>
      </w:r>
      <w:r w:rsidR="006027C9" w:rsidRPr="006027C9">
        <w:t xml:space="preserve">A common perspective suggests that, unlike </w:t>
      </w:r>
      <w:r w:rsidR="00C86590">
        <w:t>non-family-run businesses</w:t>
      </w:r>
      <w:r w:rsidR="006027C9" w:rsidRPr="006027C9">
        <w:t>, family-run companies tend to be more cautious in their approach</w:t>
      </w:r>
      <w:r w:rsidR="006027C9">
        <w:t xml:space="preserve"> </w:t>
      </w:r>
      <w:r w:rsidR="006027C9" w:rsidRPr="006027C9">
        <w:t>(Ramadani et al., 2020).</w:t>
      </w:r>
      <w:r w:rsidR="00715104" w:rsidRPr="00715104">
        <w:t xml:space="preserve"> </w:t>
      </w:r>
      <w:proofErr w:type="spellStart"/>
      <w:r w:rsidR="00C86590">
        <w:t>Famiy</w:t>
      </w:r>
      <w:proofErr w:type="spellEnd"/>
      <w:r w:rsidR="00C86590">
        <w:t>-run businesses</w:t>
      </w:r>
      <w:r w:rsidR="00647398" w:rsidRPr="00647398">
        <w:t xml:space="preserve"> are distinctive because they prioritize both </w:t>
      </w:r>
      <w:r w:rsidR="009F317C" w:rsidRPr="00647398">
        <w:t>financial</w:t>
      </w:r>
      <w:r w:rsidR="00647398" w:rsidRPr="00647398">
        <w:t xml:space="preserve"> goals for business</w:t>
      </w:r>
      <w:r w:rsidR="00015C07">
        <w:t>-oriented</w:t>
      </w:r>
      <w:r w:rsidR="00647398" w:rsidRPr="00647398">
        <w:t xml:space="preserve"> expansion and non-</w:t>
      </w:r>
      <w:r w:rsidR="009F317C">
        <w:t>financial</w:t>
      </w:r>
      <w:r w:rsidR="00647398" w:rsidRPr="00647398">
        <w:t xml:space="preserve"> goals related to </w:t>
      </w:r>
      <w:r w:rsidR="009F317C">
        <w:t>family-oriented</w:t>
      </w:r>
      <w:r w:rsidR="00647398" w:rsidRPr="00647398">
        <w:t xml:space="preserve"> development</w:t>
      </w:r>
      <w:r w:rsidR="004539A7" w:rsidRPr="004539A7">
        <w:t xml:space="preserve">. According to </w:t>
      </w:r>
      <w:r w:rsidR="003C6CE3">
        <w:t>recent literature</w:t>
      </w:r>
      <w:r w:rsidR="004539A7" w:rsidRPr="004539A7">
        <w:t xml:space="preserve">, </w:t>
      </w:r>
      <w:r w:rsidR="00C86590">
        <w:t>family-run companies</w:t>
      </w:r>
      <w:r w:rsidR="003C6CE3" w:rsidRPr="003C6CE3">
        <w:t xml:space="preserve"> are primarily motivated by non-economic objectives</w:t>
      </w:r>
      <w:r w:rsidR="0006767E">
        <w:t>,</w:t>
      </w:r>
      <w:r w:rsidR="004539A7" w:rsidRPr="004539A7">
        <w:t xml:space="preserve"> including prioritizing </w:t>
      </w:r>
      <w:r w:rsidR="007A07B3">
        <w:t xml:space="preserve">the family's long-term success and </w:t>
      </w:r>
      <w:r w:rsidR="007A07B3" w:rsidRPr="004539A7">
        <w:t xml:space="preserve">upholding </w:t>
      </w:r>
      <w:r w:rsidR="007A07B3">
        <w:t xml:space="preserve">its </w:t>
      </w:r>
      <w:r w:rsidR="007A07B3" w:rsidRPr="004539A7">
        <w:t>reputation</w:t>
      </w:r>
      <w:r w:rsidR="007A07B3">
        <w:t xml:space="preserve"> </w:t>
      </w:r>
      <w:r w:rsidR="000E244D">
        <w:t>over</w:t>
      </w:r>
      <w:r w:rsidR="004539A7" w:rsidRPr="004539A7">
        <w:t xml:space="preserve"> </w:t>
      </w:r>
      <w:r w:rsidR="00C86590">
        <w:t>non-family-run enterprises</w:t>
      </w:r>
      <w:r w:rsidR="004539A7" w:rsidRPr="004539A7">
        <w:t xml:space="preserve"> (Tabor et al., 2018). </w:t>
      </w:r>
      <w:r w:rsidR="003C6CE3" w:rsidRPr="003C6CE3">
        <w:t xml:space="preserve">Different </w:t>
      </w:r>
      <w:r w:rsidR="007A5E05">
        <w:t xml:space="preserve">types of </w:t>
      </w:r>
      <w:r w:rsidR="003C6CE3" w:rsidRPr="003C6CE3">
        <w:t xml:space="preserve">family </w:t>
      </w:r>
      <w:r w:rsidR="000E244D">
        <w:t xml:space="preserve">ownership and management rights </w:t>
      </w:r>
      <w:r w:rsidR="003C6CE3" w:rsidRPr="003C6CE3">
        <w:t xml:space="preserve">have an impact on these business goals as well. Thus, analyzing </w:t>
      </w:r>
      <w:r w:rsidR="00C86590">
        <w:t>family-run businesses'</w:t>
      </w:r>
      <w:r w:rsidR="00E25678">
        <w:t xml:space="preserve"> strategic business planning processes </w:t>
      </w:r>
      <w:r w:rsidR="003C6CE3" w:rsidRPr="003C6CE3">
        <w:t>from the viewpoint of generation-two leadership is crucial</w:t>
      </w:r>
      <w:r w:rsidR="00715104" w:rsidRPr="00715104">
        <w:t>.</w:t>
      </w:r>
    </w:p>
    <w:p w14:paraId="5BBCA267" w14:textId="57936F77" w:rsidR="00E920EF" w:rsidRDefault="00E25678" w:rsidP="00715104">
      <w:pPr>
        <w:jc w:val="both"/>
      </w:pPr>
      <w:r w:rsidRPr="00E25678">
        <w:t xml:space="preserve">This </w:t>
      </w:r>
      <w:r w:rsidR="007A5E05">
        <w:t>paper</w:t>
      </w:r>
      <w:r w:rsidRPr="00E25678">
        <w:t xml:space="preserve"> </w:t>
      </w:r>
      <w:r w:rsidR="007A5E05" w:rsidRPr="00E25678">
        <w:t>studies</w:t>
      </w:r>
      <w:r w:rsidRPr="00E25678">
        <w:t xml:space="preserve"> the </w:t>
      </w:r>
      <w:r w:rsidR="00F33490">
        <w:t>link</w:t>
      </w:r>
      <w:r w:rsidRPr="00E25678">
        <w:t xml:space="preserve"> between leadership succession and </w:t>
      </w:r>
      <w:r w:rsidR="004F746A">
        <w:t>SCB</w:t>
      </w:r>
      <w:r w:rsidRPr="00E25678">
        <w:t xml:space="preserve"> in </w:t>
      </w:r>
      <w:r w:rsidR="00C86590">
        <w:t>family-run enterprises</w:t>
      </w:r>
      <w:r w:rsidRPr="00E25678">
        <w:t xml:space="preserve">. This enhances the current body of knowledge in multiple important aspects. This study enhances the understanding of behavioral dynamics in leadership succession across generations and the execution of sustainable practices in family enterprises. </w:t>
      </w:r>
      <w:r w:rsidR="000E244D">
        <w:t>Since</w:t>
      </w:r>
      <w:r w:rsidRPr="00E25678">
        <w:t xml:space="preserve"> family businesses </w:t>
      </w:r>
      <w:r w:rsidR="000E244D">
        <w:t>are</w:t>
      </w:r>
      <w:r w:rsidRPr="00E25678">
        <w:t xml:space="preserve"> a separate field of research, there has been </w:t>
      </w:r>
      <w:r w:rsidR="000E244D">
        <w:t>much</w:t>
      </w:r>
      <w:r w:rsidRPr="00E25678">
        <w:t xml:space="preserve"> interest in the behavioral distinctions between </w:t>
      </w:r>
      <w:r w:rsidR="00F33490">
        <w:t xml:space="preserve">family-run </w:t>
      </w:r>
      <w:r w:rsidRPr="00E25678">
        <w:t xml:space="preserve">and </w:t>
      </w:r>
      <w:r w:rsidR="00F33490">
        <w:t xml:space="preserve">non-family-run </w:t>
      </w:r>
      <w:r w:rsidRPr="00E25678">
        <w:t>businesses</w:t>
      </w:r>
      <w:r w:rsidR="0006767E" w:rsidRPr="0006767E">
        <w:t xml:space="preserve"> (Tabor et al., 2018; </w:t>
      </w:r>
      <w:proofErr w:type="spellStart"/>
      <w:r w:rsidR="0006767E" w:rsidRPr="0006767E">
        <w:t>Hiebl</w:t>
      </w:r>
      <w:proofErr w:type="spellEnd"/>
      <w:r w:rsidR="0006767E" w:rsidRPr="0006767E">
        <w:t xml:space="preserve"> &amp; Li, 2020). </w:t>
      </w:r>
      <w:r w:rsidR="00715104" w:rsidRPr="00715104">
        <w:t xml:space="preserve">Nonetheless, variation among various family enterprises results in considerable discrepancies in their </w:t>
      </w:r>
      <w:r w:rsidR="008160BB">
        <w:t>strategic business planning</w:t>
      </w:r>
      <w:r w:rsidR="00715104" w:rsidRPr="00715104">
        <w:t xml:space="preserve">. </w:t>
      </w:r>
      <w:r w:rsidR="00360B07" w:rsidRPr="00360B07">
        <w:t xml:space="preserve">This study seeks to clarify the behavioral distinctions among small </w:t>
      </w:r>
      <w:r w:rsidR="00F33490">
        <w:t>family-run enterprises</w:t>
      </w:r>
      <w:r w:rsidR="00360B07" w:rsidRPr="00360B07">
        <w:t>, examine the sustainable corporate motivations for their philanthropic contributions, and investigate the effects of intra-generational succession on strategic business planning</w:t>
      </w:r>
      <w:r w:rsidR="008160BB" w:rsidRPr="008160BB">
        <w:t xml:space="preserve">. This study investigates the factors and determinants of </w:t>
      </w:r>
      <w:r w:rsidR="004F746A">
        <w:t>SCB</w:t>
      </w:r>
      <w:r w:rsidR="008160BB" w:rsidRPr="008160BB">
        <w:t xml:space="preserve"> in small </w:t>
      </w:r>
      <w:r w:rsidR="00F33490">
        <w:t>family-run businesses</w:t>
      </w:r>
      <w:r w:rsidR="008160BB" w:rsidRPr="008160BB">
        <w:t xml:space="preserve"> </w:t>
      </w:r>
      <w:r w:rsidR="003F12DB">
        <w:t>with</w:t>
      </w:r>
      <w:r w:rsidR="008160BB" w:rsidRPr="008160BB">
        <w:t xml:space="preserve"> leadership succession (</w:t>
      </w:r>
      <w:proofErr w:type="spellStart"/>
      <w:r w:rsidR="008160BB" w:rsidRPr="008160BB">
        <w:t>Ouiakoub</w:t>
      </w:r>
      <w:proofErr w:type="spellEnd"/>
      <w:r w:rsidR="008160BB" w:rsidRPr="008160BB">
        <w:t xml:space="preserve"> &amp; </w:t>
      </w:r>
      <w:proofErr w:type="spellStart"/>
      <w:r w:rsidR="008160BB" w:rsidRPr="008160BB">
        <w:t>Poulain-Rehm</w:t>
      </w:r>
      <w:proofErr w:type="spellEnd"/>
      <w:r w:rsidR="008160BB" w:rsidRPr="008160BB">
        <w:t xml:space="preserve">, 2025). </w:t>
      </w:r>
      <w:r w:rsidR="004E0BF4" w:rsidRPr="004E0BF4">
        <w:t xml:space="preserve">This study examines shifts in roles in strategic </w:t>
      </w:r>
      <w:r w:rsidR="00A84362">
        <w:t>decisions</w:t>
      </w:r>
      <w:r w:rsidR="004E0BF4" w:rsidRPr="004E0BF4">
        <w:t xml:space="preserve"> in small-family businesses </w:t>
      </w:r>
      <w:r w:rsidR="00A84362">
        <w:t xml:space="preserve">with special attention to the comparative features of strategic business planning during the intra-international transitions and </w:t>
      </w:r>
      <w:r w:rsidR="004E0BF4" w:rsidRPr="004E0BF4">
        <w:t xml:space="preserve">the impact of participation generation-two management in critical changes of </w:t>
      </w:r>
      <w:r w:rsidR="004F746A">
        <w:t>SCB</w:t>
      </w:r>
      <w:r w:rsidR="004E0BF4" w:rsidRPr="004E0BF4">
        <w:t xml:space="preserve"> in these companies.</w:t>
      </w:r>
      <w:r w:rsidR="00A84362" w:rsidRPr="00A84362">
        <w:t xml:space="preserve"> </w:t>
      </w:r>
      <w:r w:rsidR="00A84362">
        <w:t>T</w:t>
      </w:r>
      <w:r w:rsidR="00A84362" w:rsidRPr="00A84362">
        <w:t xml:space="preserve">his research </w:t>
      </w:r>
      <w:r w:rsidR="000E244D">
        <w:t>examines</w:t>
      </w:r>
      <w:r w:rsidR="00A84362" w:rsidRPr="00A84362">
        <w:t xml:space="preserve"> the influence of intragenerational leadership succession on </w:t>
      </w:r>
      <w:r w:rsidR="004F746A">
        <w:t>SCB</w:t>
      </w:r>
      <w:r w:rsidR="00A84362" w:rsidRPr="00A84362">
        <w:t xml:space="preserve"> in </w:t>
      </w:r>
      <w:r w:rsidR="00F33490">
        <w:t>family-run enterprises</w:t>
      </w:r>
      <w:r w:rsidR="00A84362" w:rsidRPr="00A84362">
        <w:t xml:space="preserve"> (Baltazar et al., 2023).</w:t>
      </w:r>
    </w:p>
    <w:p w14:paraId="4E1FFBFE" w14:textId="77777777" w:rsidR="00104EE7" w:rsidRDefault="00FC2C1E" w:rsidP="000803EA">
      <w:pPr>
        <w:jc w:val="both"/>
        <w:rPr>
          <w:b/>
          <w:bCs/>
        </w:rPr>
      </w:pPr>
      <w:r w:rsidRPr="00FC2C1E">
        <w:rPr>
          <w:b/>
          <w:bCs/>
        </w:rPr>
        <w:t xml:space="preserve">2. Literature </w:t>
      </w:r>
      <w:commentRangeStart w:id="3"/>
      <w:r w:rsidRPr="00FC2C1E">
        <w:rPr>
          <w:b/>
          <w:bCs/>
        </w:rPr>
        <w:t>review</w:t>
      </w:r>
      <w:commentRangeEnd w:id="3"/>
      <w:r w:rsidR="00ED37BC">
        <w:rPr>
          <w:rStyle w:val="CommentReference"/>
        </w:rPr>
        <w:commentReference w:id="3"/>
      </w:r>
      <w:r w:rsidRPr="00FC2C1E">
        <w:rPr>
          <w:b/>
          <w:bCs/>
        </w:rPr>
        <w:t xml:space="preserve"> </w:t>
      </w:r>
    </w:p>
    <w:p w14:paraId="42DCC909" w14:textId="72B2B7ED" w:rsidR="00104EE7" w:rsidRDefault="00FC2C1E" w:rsidP="000803EA">
      <w:pPr>
        <w:jc w:val="both"/>
        <w:rPr>
          <w:i/>
          <w:iCs/>
        </w:rPr>
      </w:pPr>
      <w:r w:rsidRPr="00FC2C1E">
        <w:rPr>
          <w:i/>
          <w:iCs/>
        </w:rPr>
        <w:t xml:space="preserve">2.1. </w:t>
      </w:r>
      <w:r w:rsidR="00E503F8">
        <w:rPr>
          <w:i/>
          <w:iCs/>
        </w:rPr>
        <w:t xml:space="preserve">Outcomes </w:t>
      </w:r>
      <w:r w:rsidRPr="00FC2C1E">
        <w:rPr>
          <w:i/>
          <w:iCs/>
        </w:rPr>
        <w:t xml:space="preserve">of </w:t>
      </w:r>
      <w:r w:rsidR="00E503F8">
        <w:rPr>
          <w:i/>
          <w:iCs/>
        </w:rPr>
        <w:t>leadership</w:t>
      </w:r>
      <w:r w:rsidRPr="00FC2C1E">
        <w:rPr>
          <w:i/>
          <w:iCs/>
        </w:rPr>
        <w:t xml:space="preserve"> succession </w:t>
      </w:r>
    </w:p>
    <w:p w14:paraId="2B38F27A" w14:textId="082341F1" w:rsidR="00286C04" w:rsidRPr="00286C04" w:rsidRDefault="007A5E05" w:rsidP="00A84362">
      <w:pPr>
        <w:tabs>
          <w:tab w:val="left" w:pos="4590"/>
        </w:tabs>
        <w:jc w:val="both"/>
      </w:pPr>
      <w:r>
        <w:t>The recent</w:t>
      </w:r>
      <w:r w:rsidR="00A84362" w:rsidRPr="00A84362">
        <w:t xml:space="preserve"> </w:t>
      </w:r>
      <w:r>
        <w:t>literature</w:t>
      </w:r>
      <w:r w:rsidR="00A84362" w:rsidRPr="00A84362">
        <w:t xml:space="preserve"> on leadership succession in small </w:t>
      </w:r>
      <w:r w:rsidR="00C86590">
        <w:t>family-run enterprises</w:t>
      </w:r>
      <w:r w:rsidR="00A84362">
        <w:t xml:space="preserve"> has almost exclusively focused on the study of generational change </w:t>
      </w:r>
      <w:r w:rsidR="000A3374">
        <w:t>in</w:t>
      </w:r>
      <w:r w:rsidR="00A84362">
        <w:t xml:space="preserve"> organizational behavior and performance (Cisneros et al., 2022)</w:t>
      </w:r>
      <w:r>
        <w:t>; additional</w:t>
      </w:r>
      <w:r w:rsidR="00A84362">
        <w:t xml:space="preserve"> research addressing other succession processes in the family business context</w:t>
      </w:r>
      <w:r w:rsidR="00A84362" w:rsidRPr="00A84362">
        <w:t xml:space="preserve"> is likewise lacking. Both economic and </w:t>
      </w:r>
      <w:r w:rsidR="000A3374">
        <w:t>non-economic</w:t>
      </w:r>
      <w:r w:rsidR="00A84362">
        <w:t xml:space="preserve"> roles are mainly observed in the influence on corporate decision-making</w:t>
      </w:r>
      <w:r w:rsidR="00A84362" w:rsidRPr="00A84362">
        <w:t xml:space="preserve">. </w:t>
      </w:r>
      <w:r w:rsidR="00A84362">
        <w:t xml:space="preserve">Leadership succession </w:t>
      </w:r>
      <w:r w:rsidR="00AA060A">
        <w:t>has a very significant impact on</w:t>
      </w:r>
      <w:r w:rsidR="00A84362">
        <w:t xml:space="preserve"> </w:t>
      </w:r>
      <w:r w:rsidR="00C86590">
        <w:t>family-run enterprises</w:t>
      </w:r>
      <w:r w:rsidR="00A84362" w:rsidRPr="00A84362">
        <w:t xml:space="preserve"> (Tang </w:t>
      </w:r>
      <w:r w:rsidR="00A84362">
        <w:t>&amp;</w:t>
      </w:r>
      <w:r w:rsidR="00A84362" w:rsidRPr="00A84362">
        <w:t xml:space="preserve"> Hussin, 2020). Generation</w:t>
      </w:r>
      <w:r w:rsidR="000A3374">
        <w:t>-</w:t>
      </w:r>
      <w:r w:rsidR="00A84362" w:rsidRPr="00A84362">
        <w:t xml:space="preserve">two management is less effective than </w:t>
      </w:r>
      <w:r w:rsidR="000A3374">
        <w:t xml:space="preserve">first-generation management for the performance </w:t>
      </w:r>
      <w:r w:rsidR="000A3374">
        <w:lastRenderedPageBreak/>
        <w:t xml:space="preserve">improvement of small </w:t>
      </w:r>
      <w:r w:rsidR="00C86590">
        <w:t>family-run businesses</w:t>
      </w:r>
      <w:r w:rsidR="000A3374">
        <w:t xml:space="preserve"> during the </w:t>
      </w:r>
      <w:r w:rsidR="00A84362" w:rsidRPr="00A84362">
        <w:t xml:space="preserve">intergenerational transition (Coffie et al., 2024; LeCounte, 2022). As </w:t>
      </w:r>
      <w:proofErr w:type="spellStart"/>
      <w:r w:rsidR="00A84362" w:rsidRPr="00A84362">
        <w:t>Gagné</w:t>
      </w:r>
      <w:proofErr w:type="spellEnd"/>
      <w:r w:rsidR="00A84362" w:rsidRPr="00A84362">
        <w:t xml:space="preserve"> et al. (2021) note, research shows that, unlike non-family businesses, small </w:t>
      </w:r>
      <w:r w:rsidR="00C86590">
        <w:t>family-run enterprises</w:t>
      </w:r>
      <w:r w:rsidR="00A84362">
        <w:t xml:space="preserve"> emphasize social responsibilities to external stakeholders, preserving </w:t>
      </w:r>
      <w:r w:rsidR="00C86590">
        <w:t xml:space="preserve">the </w:t>
      </w:r>
      <w:r w:rsidR="00A84362">
        <w:t>family reputation</w:t>
      </w:r>
      <w:r w:rsidR="00A84362" w:rsidRPr="00A84362">
        <w:t xml:space="preserve"> and accumulating socioemotional wealth. In doing so, they try to protect the </w:t>
      </w:r>
      <w:r w:rsidR="00A84362">
        <w:t>socioemotional</w:t>
      </w:r>
      <w:r w:rsidR="00A84362" w:rsidRPr="00A84362">
        <w:t xml:space="preserve"> wealth</w:t>
      </w:r>
      <w:r w:rsidR="00AA060A">
        <w:t xml:space="preserve"> of the family</w:t>
      </w:r>
      <w:r w:rsidR="00A84362" w:rsidRPr="00A84362">
        <w:t xml:space="preserve">. Family enterprises </w:t>
      </w:r>
      <w:r w:rsidR="00A84362">
        <w:t>emphasize</w:t>
      </w:r>
      <w:r w:rsidR="00A84362" w:rsidRPr="00A84362">
        <w:t xml:space="preserve"> the conservation and accumulation of familial sentiments and philanthropic contributions </w:t>
      </w:r>
      <w:r w:rsidR="00931AFC">
        <w:t>considerably</w:t>
      </w:r>
      <w:r w:rsidR="00A84362" w:rsidRPr="00A84362">
        <w:t xml:space="preserve"> positive to the development of family reputation, boosting the emotional identity and value, and </w:t>
      </w:r>
      <w:r>
        <w:t>transmitting</w:t>
      </w:r>
      <w:r w:rsidR="00A84362" w:rsidRPr="00A84362">
        <w:t xml:space="preserve"> the </w:t>
      </w:r>
      <w:r w:rsidRPr="00A84362">
        <w:t>succeeding</w:t>
      </w:r>
      <w:r w:rsidR="00A84362" w:rsidRPr="00A84362">
        <w:t xml:space="preserve"> generation about </w:t>
      </w:r>
      <w:r>
        <w:t xml:space="preserve">dealing with </w:t>
      </w:r>
      <w:r w:rsidR="00C86590">
        <w:t>family-run businesses</w:t>
      </w:r>
      <w:r w:rsidR="00A84362" w:rsidRPr="00A84362">
        <w:t xml:space="preserve"> and </w:t>
      </w:r>
      <w:r>
        <w:t xml:space="preserve">their </w:t>
      </w:r>
      <w:r w:rsidRPr="00A84362">
        <w:t>capital</w:t>
      </w:r>
      <w:r w:rsidR="00A84362" w:rsidRPr="00A84362">
        <w:t xml:space="preserve"> (Shahzad et al., 2024). This strategy can </w:t>
      </w:r>
      <w:r w:rsidR="000A3374">
        <w:t>ensure socioemotional wealth conservation for the family while facilitating both economic and noneconomic</w:t>
      </w:r>
      <w:r w:rsidR="00A84362" w:rsidRPr="00A84362">
        <w:t xml:space="preserve"> goals to a smooth balance (</w:t>
      </w:r>
      <w:proofErr w:type="spellStart"/>
      <w:r w:rsidR="00A84362" w:rsidRPr="00A84362">
        <w:t>Gagné</w:t>
      </w:r>
      <w:proofErr w:type="spellEnd"/>
      <w:r w:rsidR="001303EA">
        <w:t xml:space="preserve"> et al.</w:t>
      </w:r>
      <w:r w:rsidR="00A84362" w:rsidRPr="00A84362">
        <w:t xml:space="preserve">, 2021; Baltazar </w:t>
      </w:r>
      <w:r w:rsidR="00EA25C2">
        <w:t>et al.</w:t>
      </w:r>
      <w:r w:rsidR="00A84362" w:rsidRPr="00A84362">
        <w:t xml:space="preserve">, 2023). The </w:t>
      </w:r>
      <w:r w:rsidR="00C86590">
        <w:t>family-run enterprises</w:t>
      </w:r>
      <w:r w:rsidR="00A84362">
        <w:t xml:space="preserve"> differ</w:t>
      </w:r>
      <w:r>
        <w:t xml:space="preserve"> from </w:t>
      </w:r>
      <w:r w:rsidRPr="00A84362">
        <w:t xml:space="preserve">entrepreneurial </w:t>
      </w:r>
      <w:r>
        <w:t>businesses</w:t>
      </w:r>
      <w:r w:rsidR="00A84362">
        <w:t xml:space="preserve"> in terms of their unique preferences and the complexity of their decision-making</w:t>
      </w:r>
      <w:r w:rsidR="00A84362" w:rsidRPr="00A84362">
        <w:t xml:space="preserve"> regarding </w:t>
      </w:r>
      <w:r w:rsidR="004F746A">
        <w:t>SCB</w:t>
      </w:r>
      <w:r w:rsidR="00A84362" w:rsidRPr="00A84362">
        <w:t xml:space="preserve">. </w:t>
      </w:r>
      <w:r w:rsidR="00286C04" w:rsidRPr="00286C04">
        <w:t xml:space="preserve"> </w:t>
      </w:r>
    </w:p>
    <w:p w14:paraId="43867619" w14:textId="70AD69AC" w:rsidR="00104EE7" w:rsidRPr="00843869" w:rsidRDefault="00FC2C1E" w:rsidP="000803EA">
      <w:pPr>
        <w:jc w:val="both"/>
        <w:rPr>
          <w:b/>
          <w:bCs/>
          <w:i/>
          <w:iCs/>
        </w:rPr>
      </w:pPr>
      <w:r w:rsidRPr="00843869">
        <w:rPr>
          <w:b/>
          <w:bCs/>
          <w:i/>
          <w:iCs/>
        </w:rPr>
        <w:t xml:space="preserve">2.2. </w:t>
      </w:r>
      <w:r w:rsidR="00E50463" w:rsidRPr="00843869">
        <w:rPr>
          <w:b/>
          <w:bCs/>
          <w:i/>
          <w:iCs/>
        </w:rPr>
        <w:t>Causes</w:t>
      </w:r>
      <w:r w:rsidRPr="00843869">
        <w:rPr>
          <w:b/>
          <w:bCs/>
          <w:i/>
          <w:iCs/>
        </w:rPr>
        <w:t xml:space="preserve"> of </w:t>
      </w:r>
      <w:r w:rsidR="00E50463" w:rsidRPr="00843869">
        <w:rPr>
          <w:b/>
          <w:bCs/>
        </w:rPr>
        <w:t xml:space="preserve">Sustainable Corporate </w:t>
      </w:r>
      <w:r w:rsidR="00843869">
        <w:rPr>
          <w:b/>
          <w:bCs/>
        </w:rPr>
        <w:t>Behaviour</w:t>
      </w:r>
      <w:r w:rsidR="00E50463" w:rsidRPr="00843869">
        <w:rPr>
          <w:b/>
          <w:bCs/>
        </w:rPr>
        <w:t xml:space="preserve"> </w:t>
      </w:r>
    </w:p>
    <w:p w14:paraId="41D8E958" w14:textId="3F9B13A0" w:rsidR="00FC2C1E" w:rsidRDefault="00A84362" w:rsidP="000803EA">
      <w:pPr>
        <w:jc w:val="both"/>
      </w:pPr>
      <w:r w:rsidRPr="00A84362">
        <w:t xml:space="preserve">Corporate sustainable behavior has many socio-technical influences. Corporate social responsibility initiatives </w:t>
      </w:r>
      <w:r w:rsidR="00B30EFF">
        <w:t xml:space="preserve">are a </w:t>
      </w:r>
      <w:r w:rsidR="00931AFC">
        <w:t>significant</w:t>
      </w:r>
      <w:r w:rsidR="00B30EFF">
        <w:t xml:space="preserve"> incentive for the involvement of</w:t>
      </w:r>
      <w:r w:rsidRPr="00A84362">
        <w:t xml:space="preserve"> organizations in the regulatory path (Neri, 2021; Pollman, 2024). Businesses implementing CSR are driven to the extent that societal expectations </w:t>
      </w:r>
      <w:r w:rsidR="00931AFC">
        <w:t>influence</w:t>
      </w:r>
      <w:r w:rsidRPr="00A84362">
        <w:t xml:space="preserve"> businesses to satisfy </w:t>
      </w:r>
      <w:r w:rsidR="00931AFC">
        <w:t>stakeholders'</w:t>
      </w:r>
      <w:r w:rsidRPr="00A84362">
        <w:t xml:space="preserve"> expectations (</w:t>
      </w:r>
      <w:proofErr w:type="spellStart"/>
      <w:r w:rsidRPr="00A84362">
        <w:t>Nwuke</w:t>
      </w:r>
      <w:proofErr w:type="spellEnd"/>
      <w:r w:rsidRPr="00A84362">
        <w:t xml:space="preserve"> et al., 2020). Corporate culture and executive characteristics are important too, but less so. Organizations </w:t>
      </w:r>
      <w:r w:rsidR="000A3374">
        <w:t>that</w:t>
      </w:r>
      <w:r w:rsidRPr="00A84362">
        <w:t xml:space="preserve"> develop </w:t>
      </w:r>
      <w:r w:rsidR="000A3374">
        <w:t>a</w:t>
      </w:r>
      <w:r w:rsidRPr="00A84362">
        <w:t xml:space="preserve"> culture of responsibility and provide for versatile, independent boards are </w:t>
      </w:r>
      <w:r w:rsidR="001C0BAE">
        <w:t>highly inclined to</w:t>
      </w:r>
      <w:r w:rsidRPr="00A84362">
        <w:t xml:space="preserve"> participate in proactive corporate social responsibility initiatives (</w:t>
      </w:r>
      <w:proofErr w:type="spellStart"/>
      <w:r w:rsidRPr="00A84362">
        <w:t>Motylska-Kuzma</w:t>
      </w:r>
      <w:proofErr w:type="spellEnd"/>
      <w:r w:rsidRPr="00A84362">
        <w:t xml:space="preserve"> et al., 2023; Fries et al., 2021). Sustainable practices in </w:t>
      </w:r>
      <w:r w:rsidR="00931AFC">
        <w:t>family-run enterprises</w:t>
      </w:r>
      <w:r w:rsidRPr="00A84362">
        <w:t xml:space="preserve"> require leadership style and succession planning. Research indicates that </w:t>
      </w:r>
      <w:r w:rsidR="001C0BAE">
        <w:t>sustaining family businesses is crucial for the next generation's leadership development and successful succession strategies (Shahzad et al., 2024; Ahmad &amp; Yaseen, 2018)</w:t>
      </w:r>
      <w:r w:rsidRPr="00A84362">
        <w:t xml:space="preserve">. </w:t>
      </w:r>
      <w:r w:rsidR="000A3374">
        <w:t xml:space="preserve">Research in Pakistan underscores the influence of </w:t>
      </w:r>
      <w:r w:rsidR="001C0BAE">
        <w:t>leadership</w:t>
      </w:r>
      <w:r w:rsidR="000A3374">
        <w:t xml:space="preserve"> succession dynamics on </w:t>
      </w:r>
      <w:r w:rsidR="004F746A">
        <w:t>SCB</w:t>
      </w:r>
      <w:r w:rsidRPr="00A84362">
        <w:t xml:space="preserve">. </w:t>
      </w:r>
      <w:r w:rsidR="001C0BAE">
        <w:t>Succession planning, strategic flexibility, and leaders ' educational qualifications are essential for the success of family-run businesses in Pakistan (Chang et al., 2021; Bokhari et al., 2020)</w:t>
      </w:r>
      <w:r w:rsidRPr="00A84362">
        <w:t xml:space="preserve">. Leadership succession and strategic </w:t>
      </w:r>
      <w:r w:rsidR="000A3374">
        <w:t>decision-making challenge the long-term</w:t>
      </w:r>
      <w:r w:rsidRPr="00A84362">
        <w:t xml:space="preserve"> sustainability of organizations (Arif et al., 2022).</w:t>
      </w:r>
    </w:p>
    <w:p w14:paraId="509C6AA5" w14:textId="2EA15D7A" w:rsidR="005C2B73" w:rsidRDefault="00FC2C1E" w:rsidP="000803EA">
      <w:pPr>
        <w:jc w:val="both"/>
        <w:rPr>
          <w:b/>
          <w:bCs/>
        </w:rPr>
      </w:pPr>
      <w:r w:rsidRPr="00FC2C1E">
        <w:rPr>
          <w:b/>
          <w:bCs/>
        </w:rPr>
        <w:t xml:space="preserve">3. </w:t>
      </w:r>
      <w:r w:rsidR="00BF7B23">
        <w:rPr>
          <w:b/>
          <w:bCs/>
        </w:rPr>
        <w:t xml:space="preserve"> </w:t>
      </w:r>
      <w:commentRangeStart w:id="4"/>
      <w:r w:rsidR="00374434">
        <w:rPr>
          <w:b/>
          <w:bCs/>
        </w:rPr>
        <w:t>Methodology</w:t>
      </w:r>
      <w:commentRangeEnd w:id="4"/>
      <w:r w:rsidR="00ED37BC">
        <w:rPr>
          <w:rStyle w:val="CommentReference"/>
        </w:rPr>
        <w:commentReference w:id="4"/>
      </w:r>
      <w:r w:rsidRPr="00FC2C1E">
        <w:rPr>
          <w:b/>
          <w:bCs/>
        </w:rPr>
        <w:t xml:space="preserve"> </w:t>
      </w:r>
    </w:p>
    <w:p w14:paraId="6594F842" w14:textId="77777777" w:rsidR="005C2B73" w:rsidRDefault="00FC2C1E" w:rsidP="000803EA">
      <w:pPr>
        <w:jc w:val="both"/>
        <w:rPr>
          <w:i/>
          <w:iCs/>
        </w:rPr>
      </w:pPr>
      <w:r w:rsidRPr="00FC2C1E">
        <w:rPr>
          <w:i/>
          <w:iCs/>
        </w:rPr>
        <w:t xml:space="preserve">3.1. Empirical model </w:t>
      </w:r>
    </w:p>
    <w:p w14:paraId="5F69065D" w14:textId="5287B924" w:rsidR="005C2B73" w:rsidRDefault="001C0BAE" w:rsidP="000803EA">
      <w:pPr>
        <w:jc w:val="both"/>
      </w:pPr>
      <w:r w:rsidRPr="001C0BAE">
        <w:t>Model (1)</w:t>
      </w:r>
      <w:r w:rsidR="000B5BA9">
        <w:t xml:space="preserve"> below</w:t>
      </w:r>
      <w:r w:rsidRPr="001C0BAE">
        <w:t xml:space="preserve"> illustrates the basic econometric equation </w:t>
      </w:r>
      <w:r>
        <w:t>utilized</w:t>
      </w:r>
      <w:r w:rsidRPr="001C0BAE">
        <w:t xml:space="preserve"> in this investigation</w:t>
      </w:r>
      <w:r w:rsidR="00FC2C1E" w:rsidRPr="00FC2C1E">
        <w:t xml:space="preserve">: </w:t>
      </w:r>
    </w:p>
    <w:p w14:paraId="56A30C46" w14:textId="51337B23" w:rsidR="001026F5" w:rsidRDefault="002C254F" w:rsidP="000803EA">
      <w:pPr>
        <w:jc w:val="both"/>
      </w:pPr>
      <m:oMathPara>
        <m:oMath>
          <m:sSub>
            <m:sSubPr>
              <m:ctrlPr>
                <w:rPr>
                  <w:rFonts w:ascii="Cambria Math" w:hAnsi="Cambria Math"/>
                  <w:i/>
                  <w:iCs/>
                </w:rPr>
              </m:ctrlPr>
            </m:sSubPr>
            <m:e>
              <m:r>
                <w:rPr>
                  <w:rFonts w:ascii="Cambria Math" w:hAnsi="Cambria Math"/>
                </w:rPr>
                <m:t>ESG</m:t>
              </m:r>
            </m:e>
            <m:sub>
              <m:r>
                <w:rPr>
                  <w:rFonts w:ascii="Cambria Math" w:hAnsi="Cambria Math"/>
                </w:rPr>
                <m:t>i,t</m:t>
              </m:r>
            </m:sub>
          </m:sSub>
          <m:r>
            <m:rPr>
              <m:sty m:val="p"/>
            </m:rPr>
            <w:rPr>
              <w:rFonts w:ascii="Cambria Math" w:hAnsi="Cambria Math"/>
            </w:rPr>
            <m:t xml:space="preserve">= </m:t>
          </m:r>
          <m:sSub>
            <m:sSubPr>
              <m:ctrlPr>
                <w:rPr>
                  <w:rFonts w:ascii="Cambria Math" w:hAnsi="Cambria Math"/>
                  <w:i/>
                  <w:iCs/>
                </w:rPr>
              </m:ctrlPr>
            </m:sSubPr>
            <m:e>
              <m:r>
                <w:rPr>
                  <w:rFonts w:ascii="Cambria Math" w:hAnsi="Cambria Math"/>
                </w:rPr>
                <m:t>β</m:t>
              </m:r>
            </m:e>
            <m:sub>
              <m:r>
                <m:rPr>
                  <m:sty m:val="p"/>
                </m:rPr>
                <w:rPr>
                  <w:rFonts w:ascii="Cambria Math" w:hAnsi="Cambria Math"/>
                </w:rPr>
                <m:t>0</m:t>
              </m:r>
            </m:sub>
          </m:sSub>
          <m:r>
            <m:rPr>
              <m:sty m:val="p"/>
            </m:rPr>
            <w:rPr>
              <w:rFonts w:ascii="Cambria Math" w:hAnsi="Cambria Math"/>
            </w:rPr>
            <m:t xml:space="preserve"> + </m:t>
          </m:r>
          <m:sSub>
            <m:sSubPr>
              <m:ctrlPr>
                <w:rPr>
                  <w:rFonts w:ascii="Cambria Math" w:hAnsi="Cambria Math"/>
                  <w:i/>
                  <w:iCs/>
                </w:rPr>
              </m:ctrlPr>
            </m:sSubPr>
            <m:e>
              <m:sSub>
                <m:sSubPr>
                  <m:ctrlPr>
                    <w:rPr>
                      <w:rFonts w:ascii="Cambria Math" w:hAnsi="Cambria Math"/>
                      <w:i/>
                      <w:iCs/>
                    </w:rPr>
                  </m:ctrlPr>
                </m:sSubPr>
                <m:e>
                  <m:r>
                    <w:rPr>
                      <w:rFonts w:ascii="Cambria Math" w:hAnsi="Cambria Math"/>
                    </w:rPr>
                    <m:t>β</m:t>
                  </m:r>
                </m:e>
                <m:sub>
                  <m:r>
                    <m:rPr>
                      <m:sty m:val="p"/>
                    </m:rPr>
                    <w:rPr>
                      <w:rFonts w:ascii="Cambria Math" w:hAnsi="Cambria Math"/>
                    </w:rPr>
                    <m:t>1</m:t>
                  </m:r>
                </m:sub>
              </m:sSub>
              <m:r>
                <w:rPr>
                  <w:rFonts w:ascii="Cambria Math" w:hAnsi="Cambria Math"/>
                </w:rPr>
                <m:t>leadership succession</m:t>
              </m:r>
            </m:e>
            <m:sub>
              <m:r>
                <w:rPr>
                  <w:rFonts w:ascii="Cambria Math" w:hAnsi="Cambria Math"/>
                </w:rPr>
                <m:t>i,t-</m:t>
              </m:r>
              <m:r>
                <m:rPr>
                  <m:sty m:val="p"/>
                </m:rPr>
                <w:rPr>
                  <w:rFonts w:ascii="Cambria Math" w:hAnsi="Cambria Math"/>
                </w:rPr>
                <m:t>1</m:t>
              </m:r>
            </m:sub>
          </m:sSub>
          <m:r>
            <m:rPr>
              <m:sty m:val="p"/>
            </m:rPr>
            <w:rPr>
              <w:rFonts w:ascii="Cambria Math" w:hAnsi="Cambria Math"/>
            </w:rPr>
            <m:t xml:space="preserve">+ </m:t>
          </m:r>
          <m:sSup>
            <m:sSupPr>
              <m:ctrlPr>
                <w:rPr>
                  <w:rFonts w:ascii="Cambria Math" w:hAnsi="Cambria Math"/>
                </w:rPr>
              </m:ctrlPr>
            </m:sSupPr>
            <m:e>
              <m:r>
                <w:rPr>
                  <w:rFonts w:ascii="Cambria Math" w:hAnsi="Cambria Math"/>
                </w:rPr>
                <m:t>β</m:t>
              </m:r>
            </m:e>
            <m:sup>
              <m:r>
                <w:rPr>
                  <w:rFonts w:ascii="Cambria Math" w:hAnsi="Cambria Math"/>
                </w:rPr>
                <m:t>'</m:t>
              </m:r>
            </m:sup>
          </m:sSup>
          <m:sSup>
            <m:sSupPr>
              <m:ctrlPr>
                <w:rPr>
                  <w:rFonts w:ascii="Cambria Math" w:hAnsi="Cambria Math"/>
                </w:rPr>
              </m:ctrlPr>
            </m:sSupPr>
            <m:e>
              <m:r>
                <w:rPr>
                  <w:rFonts w:ascii="Cambria Math" w:hAnsi="Cambria Math"/>
                </w:rPr>
                <m:t>X</m:t>
              </m:r>
            </m:e>
            <m:sup>
              <m:r>
                <w:rPr>
                  <w:rFonts w:ascii="Cambria Math" w:hAnsi="Cambria Math"/>
                </w:rPr>
                <m:t>'</m:t>
              </m:r>
            </m:sup>
          </m:sSup>
          <m:r>
            <m:rPr>
              <m:sty m:val="p"/>
            </m:rPr>
            <w:rPr>
              <w:rFonts w:ascii="Cambria Math" w:hAnsi="Cambria Math"/>
            </w:rPr>
            <m:t>+</m:t>
          </m:r>
          <m:nary>
            <m:naryPr>
              <m:chr m:val="∑"/>
              <m:limLoc m:val="undOvr"/>
              <m:subHide m:val="1"/>
              <m:supHide m:val="1"/>
              <m:ctrlPr>
                <w:rPr>
                  <w:rFonts w:ascii="Cambria Math" w:hAnsi="Cambria Math"/>
                </w:rPr>
              </m:ctrlPr>
            </m:naryPr>
            <m:sub/>
            <m:sup/>
            <m:e>
              <m:r>
                <w:rPr>
                  <w:rFonts w:ascii="Cambria Math" w:hAnsi="Cambria Math"/>
                </w:rPr>
                <m:t xml:space="preserve">industry </m:t>
              </m:r>
            </m:e>
          </m:nary>
          <m:r>
            <m:rPr>
              <m:sty m:val="p"/>
            </m:rPr>
            <w:rPr>
              <w:rFonts w:ascii="Cambria Math" w:hAnsi="Cambria Math"/>
            </w:rPr>
            <m:t>+</m:t>
          </m:r>
          <m:nary>
            <m:naryPr>
              <m:chr m:val="∑"/>
              <m:limLoc m:val="undOvr"/>
              <m:subHide m:val="1"/>
              <m:supHide m:val="1"/>
              <m:ctrlPr>
                <w:rPr>
                  <w:rFonts w:ascii="Cambria Math" w:hAnsi="Cambria Math"/>
                </w:rPr>
              </m:ctrlPr>
            </m:naryPr>
            <m:sub/>
            <m:sup/>
            <m:e>
              <m:r>
                <w:rPr>
                  <w:rFonts w:ascii="Cambria Math" w:hAnsi="Cambria Math"/>
                </w:rPr>
                <m:t>year</m:t>
              </m:r>
            </m:e>
          </m:nary>
          <m:r>
            <w:rPr>
              <w:rFonts w:ascii="Cambria Math" w:hAnsi="Cambria Math"/>
            </w:rPr>
            <m:t xml:space="preserve"> </m:t>
          </m:r>
          <m:r>
            <m:rPr>
              <m:sty m:val="p"/>
            </m:rPr>
            <w:rPr>
              <w:rFonts w:ascii="Cambria Math" w:hAnsi="Cambria Math"/>
            </w:rPr>
            <m:t xml:space="preserve">+ </m:t>
          </m:r>
          <m:sSub>
            <m:sSubPr>
              <m:ctrlPr>
                <w:rPr>
                  <w:rFonts w:ascii="Cambria Math" w:hAnsi="Cambria Math"/>
                </w:rPr>
              </m:ctrlPr>
            </m:sSubPr>
            <m:e>
              <m:r>
                <w:rPr>
                  <w:rFonts w:ascii="Cambria Math" w:hAnsi="Cambria Math"/>
                </w:rPr>
                <m:t>ε</m:t>
              </m:r>
            </m:e>
            <m:sub>
              <m:r>
                <w:rPr>
                  <w:rFonts w:ascii="Cambria Math" w:hAnsi="Cambria Math"/>
                </w:rPr>
                <m:t>i,t</m:t>
              </m:r>
            </m:sub>
          </m:sSub>
        </m:oMath>
      </m:oMathPara>
    </w:p>
    <w:p w14:paraId="62A52D58" w14:textId="0FF94C5B" w:rsidR="00831EBE" w:rsidRDefault="00564F2A" w:rsidP="007C7875">
      <w:pPr>
        <w:jc w:val="both"/>
      </w:pPr>
      <w:r>
        <w:t>That</w:t>
      </w:r>
      <w:r w:rsidR="009E2517" w:rsidRPr="009E2517">
        <w:t xml:space="preserve"> examines the connections between leadership transitions and </w:t>
      </w:r>
      <w:r w:rsidR="004F746A">
        <w:t>SCB</w:t>
      </w:r>
      <w:r w:rsidR="009E2517" w:rsidRPr="009E2517">
        <w:t xml:space="preserve"> performance. </w:t>
      </w:r>
      <w:r w:rsidR="00D55EA9" w:rsidRPr="00D55EA9">
        <w:t xml:space="preserve">This paper will explain how </w:t>
      </w:r>
      <w:r>
        <w:t>generation-two</w:t>
      </w:r>
      <w:r w:rsidR="000778FC">
        <w:t xml:space="preserve"> </w:t>
      </w:r>
      <w:r w:rsidR="00276754">
        <w:t>attitudes</w:t>
      </w:r>
      <w:r w:rsidR="000778FC">
        <w:t xml:space="preserve"> and involvement</w:t>
      </w:r>
      <w:r>
        <w:t xml:space="preserve"> in management can be used as a marker to gauge the extent of intragenerational leadership succession in </w:t>
      </w:r>
      <w:r w:rsidR="00931AFC">
        <w:t>family-run businesses</w:t>
      </w:r>
      <w:r w:rsidR="00D55EA9" w:rsidRPr="00D55EA9">
        <w:t>, especially where the passing of the baton for leadership roles such as Chairman or General Manager is concerned. The level of involvement of the generation</w:t>
      </w:r>
      <w:r w:rsidR="00D55EA9">
        <w:t>-two</w:t>
      </w:r>
      <w:r w:rsidR="00D55EA9" w:rsidRPr="00D55EA9">
        <w:t xml:space="preserve"> in leadership is </w:t>
      </w:r>
      <w:r w:rsidR="00033C75">
        <w:t>accessed using</w:t>
      </w:r>
      <w:r w:rsidR="00D55EA9" w:rsidRPr="00D55EA9">
        <w:t xml:space="preserve"> a dummy variable </w:t>
      </w:r>
      <w:r w:rsidR="00033C75">
        <w:t>related to</w:t>
      </w:r>
      <w:r w:rsidR="00D55EA9" w:rsidRPr="00D55EA9">
        <w:t xml:space="preserve"> succession. When </w:t>
      </w:r>
      <w:r w:rsidR="00033C75">
        <w:t xml:space="preserve">the members of </w:t>
      </w:r>
      <w:r>
        <w:t>generation</w:t>
      </w:r>
      <w:r w:rsidR="00B30EFF">
        <w:t>-</w:t>
      </w:r>
      <w:r>
        <w:t xml:space="preserve">two hold the </w:t>
      </w:r>
      <w:r w:rsidR="00033C75">
        <w:t xml:space="preserve">deputy general manager, supervisor, or </w:t>
      </w:r>
      <w:r>
        <w:t>director position, this</w:t>
      </w:r>
      <w:r w:rsidR="00D55EA9" w:rsidRPr="00D55EA9">
        <w:t xml:space="preserve"> is given a value of one. If members of the generation</w:t>
      </w:r>
      <w:r w:rsidR="00D55EA9">
        <w:t>-two</w:t>
      </w:r>
      <w:r w:rsidR="00D55EA9" w:rsidRPr="00D55EA9">
        <w:t xml:space="preserve"> are occupying senior positions such as the managing director or the Chairman</w:t>
      </w:r>
      <w:r>
        <w:t>,</w:t>
      </w:r>
      <w:r w:rsidR="00D55EA9" w:rsidRPr="00D55EA9">
        <w:t xml:space="preserve"> then the value is given as 2. If not, it is given a score of zero.</w:t>
      </w:r>
      <w:r w:rsidR="00FC2C1E" w:rsidRPr="005C2B73">
        <w:t xml:space="preserve"> </w:t>
      </w:r>
    </w:p>
    <w:p w14:paraId="44C1697C" w14:textId="71931FB9" w:rsidR="007C7875" w:rsidRDefault="007C7875" w:rsidP="007C7875">
      <w:pPr>
        <w:jc w:val="both"/>
        <w:rPr>
          <w:b/>
          <w:bCs/>
        </w:rPr>
      </w:pPr>
      <w:r w:rsidRPr="007C7875">
        <w:rPr>
          <w:b/>
          <w:bCs/>
        </w:rPr>
        <w:t xml:space="preserve">Table 1: </w:t>
      </w:r>
      <w:r w:rsidR="00077054">
        <w:rPr>
          <w:b/>
          <w:bCs/>
        </w:rPr>
        <w:t xml:space="preserve">Descriptive </w:t>
      </w:r>
      <w:r w:rsidRPr="007C7875">
        <w:rPr>
          <w:b/>
          <w:bCs/>
        </w:rPr>
        <w:t>Statistics</w:t>
      </w:r>
    </w:p>
    <w:tbl>
      <w:tblPr>
        <w:tblStyle w:val="TableGrid"/>
        <w:tblW w:w="9290" w:type="dxa"/>
        <w:tblInd w:w="108" w:type="dxa"/>
        <w:tblLook w:val="04A0" w:firstRow="1" w:lastRow="0" w:firstColumn="1" w:lastColumn="0" w:noHBand="0" w:noVBand="1"/>
      </w:tblPr>
      <w:tblGrid>
        <w:gridCol w:w="3574"/>
        <w:gridCol w:w="850"/>
        <w:gridCol w:w="980"/>
        <w:gridCol w:w="909"/>
        <w:gridCol w:w="1016"/>
        <w:gridCol w:w="909"/>
        <w:gridCol w:w="1052"/>
      </w:tblGrid>
      <w:tr w:rsidR="002B7A48" w:rsidRPr="002B7A48" w14:paraId="22C1C76B" w14:textId="77777777" w:rsidTr="004D21CC">
        <w:trPr>
          <w:trHeight w:val="480"/>
        </w:trPr>
        <w:tc>
          <w:tcPr>
            <w:tcW w:w="3574" w:type="dxa"/>
            <w:vAlign w:val="center"/>
            <w:hideMark/>
          </w:tcPr>
          <w:p w14:paraId="329CF780" w14:textId="32DB2576" w:rsidR="002B7A48" w:rsidRPr="002B7A48" w:rsidRDefault="002B7A48" w:rsidP="002B7A48">
            <w:pPr>
              <w:spacing w:after="160" w:line="278" w:lineRule="auto"/>
              <w:jc w:val="both"/>
              <w:rPr>
                <w:b/>
                <w:bCs/>
              </w:rPr>
            </w:pPr>
            <w:r>
              <w:rPr>
                <w:rFonts w:ascii="Segoe UI" w:hAnsi="Segoe UI" w:cs="Segoe UI"/>
                <w:b/>
                <w:bCs/>
                <w:color w:val="242424"/>
                <w:sz w:val="21"/>
                <w:szCs w:val="21"/>
              </w:rPr>
              <w:t>Variable</w:t>
            </w:r>
          </w:p>
        </w:tc>
        <w:tc>
          <w:tcPr>
            <w:tcW w:w="0" w:type="auto"/>
            <w:vAlign w:val="center"/>
            <w:hideMark/>
          </w:tcPr>
          <w:p w14:paraId="4ACFC13E" w14:textId="506BCAF4" w:rsidR="002B7A48" w:rsidRPr="002B7A48" w:rsidRDefault="002B7A48" w:rsidP="002B7A48">
            <w:pPr>
              <w:spacing w:after="160" w:line="278" w:lineRule="auto"/>
              <w:jc w:val="both"/>
              <w:rPr>
                <w:b/>
                <w:bCs/>
              </w:rPr>
            </w:pPr>
            <w:r>
              <w:rPr>
                <w:rFonts w:ascii="Segoe UI" w:hAnsi="Segoe UI" w:cs="Segoe UI"/>
                <w:b/>
                <w:bCs/>
                <w:color w:val="242424"/>
                <w:sz w:val="21"/>
                <w:szCs w:val="21"/>
              </w:rPr>
              <w:t>N</w:t>
            </w:r>
          </w:p>
        </w:tc>
        <w:tc>
          <w:tcPr>
            <w:tcW w:w="0" w:type="auto"/>
            <w:vAlign w:val="center"/>
            <w:hideMark/>
          </w:tcPr>
          <w:p w14:paraId="1F3535E7" w14:textId="3F1F8D0A" w:rsidR="002B7A48" w:rsidRPr="002B7A48" w:rsidRDefault="002B7A48" w:rsidP="002B7A48">
            <w:pPr>
              <w:spacing w:after="160" w:line="278" w:lineRule="auto"/>
              <w:jc w:val="both"/>
              <w:rPr>
                <w:b/>
                <w:bCs/>
              </w:rPr>
            </w:pPr>
            <w:r>
              <w:rPr>
                <w:rFonts w:ascii="Segoe UI" w:hAnsi="Segoe UI" w:cs="Segoe UI"/>
                <w:b/>
                <w:bCs/>
                <w:color w:val="242424"/>
                <w:sz w:val="21"/>
                <w:szCs w:val="21"/>
              </w:rPr>
              <w:t>Mean</w:t>
            </w:r>
          </w:p>
        </w:tc>
        <w:tc>
          <w:tcPr>
            <w:tcW w:w="0" w:type="auto"/>
            <w:vAlign w:val="center"/>
            <w:hideMark/>
          </w:tcPr>
          <w:p w14:paraId="5761923E" w14:textId="1D86E7D9" w:rsidR="002B7A48" w:rsidRPr="002B7A48" w:rsidRDefault="002B7A48" w:rsidP="002B7A48">
            <w:pPr>
              <w:spacing w:after="160" w:line="278" w:lineRule="auto"/>
              <w:jc w:val="both"/>
              <w:rPr>
                <w:b/>
                <w:bCs/>
              </w:rPr>
            </w:pPr>
            <w:r>
              <w:rPr>
                <w:rFonts w:ascii="Segoe UI" w:hAnsi="Segoe UI" w:cs="Segoe UI"/>
                <w:b/>
                <w:bCs/>
                <w:color w:val="242424"/>
                <w:sz w:val="21"/>
                <w:szCs w:val="21"/>
              </w:rPr>
              <w:t>S.D.</w:t>
            </w:r>
          </w:p>
        </w:tc>
        <w:tc>
          <w:tcPr>
            <w:tcW w:w="0" w:type="auto"/>
            <w:vAlign w:val="center"/>
            <w:hideMark/>
          </w:tcPr>
          <w:p w14:paraId="55343E9F" w14:textId="5406DFF2" w:rsidR="002B7A48" w:rsidRPr="002B7A48" w:rsidRDefault="002B7A48" w:rsidP="002B7A48">
            <w:pPr>
              <w:spacing w:after="160" w:line="278" w:lineRule="auto"/>
              <w:jc w:val="both"/>
              <w:rPr>
                <w:b/>
                <w:bCs/>
              </w:rPr>
            </w:pPr>
            <w:r>
              <w:rPr>
                <w:rFonts w:ascii="Segoe UI" w:hAnsi="Segoe UI" w:cs="Segoe UI"/>
                <w:b/>
                <w:bCs/>
                <w:color w:val="242424"/>
                <w:sz w:val="21"/>
                <w:szCs w:val="21"/>
              </w:rPr>
              <w:t>Min.</w:t>
            </w:r>
          </w:p>
        </w:tc>
        <w:tc>
          <w:tcPr>
            <w:tcW w:w="0" w:type="auto"/>
            <w:vAlign w:val="center"/>
            <w:hideMark/>
          </w:tcPr>
          <w:p w14:paraId="50533B65" w14:textId="32ADC56B" w:rsidR="002B7A48" w:rsidRPr="002B7A48" w:rsidRDefault="002B7A48" w:rsidP="002B7A48">
            <w:pPr>
              <w:spacing w:after="160" w:line="278" w:lineRule="auto"/>
              <w:jc w:val="both"/>
              <w:rPr>
                <w:b/>
                <w:bCs/>
              </w:rPr>
            </w:pPr>
            <w:r>
              <w:rPr>
                <w:rFonts w:ascii="Segoe UI" w:hAnsi="Segoe UI" w:cs="Segoe UI"/>
                <w:b/>
                <w:bCs/>
                <w:color w:val="242424"/>
                <w:sz w:val="21"/>
                <w:szCs w:val="21"/>
              </w:rPr>
              <w:t>p-50</w:t>
            </w:r>
          </w:p>
        </w:tc>
        <w:tc>
          <w:tcPr>
            <w:tcW w:w="0" w:type="auto"/>
            <w:vAlign w:val="center"/>
            <w:hideMark/>
          </w:tcPr>
          <w:p w14:paraId="241A5F2B" w14:textId="4A332B68" w:rsidR="002B7A48" w:rsidRPr="002B7A48" w:rsidRDefault="002B7A48" w:rsidP="002B7A48">
            <w:pPr>
              <w:spacing w:after="160" w:line="278" w:lineRule="auto"/>
              <w:jc w:val="both"/>
              <w:rPr>
                <w:b/>
                <w:bCs/>
              </w:rPr>
            </w:pPr>
            <w:r>
              <w:rPr>
                <w:rFonts w:ascii="Segoe UI" w:hAnsi="Segoe UI" w:cs="Segoe UI"/>
                <w:b/>
                <w:bCs/>
                <w:color w:val="242424"/>
                <w:sz w:val="21"/>
                <w:szCs w:val="21"/>
              </w:rPr>
              <w:t>Max.</w:t>
            </w:r>
          </w:p>
        </w:tc>
      </w:tr>
      <w:tr w:rsidR="002B7A48" w:rsidRPr="002B7A48" w14:paraId="37711A0C" w14:textId="77777777" w:rsidTr="004D21CC">
        <w:trPr>
          <w:trHeight w:val="480"/>
        </w:trPr>
        <w:tc>
          <w:tcPr>
            <w:tcW w:w="3574" w:type="dxa"/>
            <w:vAlign w:val="center"/>
            <w:hideMark/>
          </w:tcPr>
          <w:p w14:paraId="7F0C22B1" w14:textId="4B269833" w:rsidR="002B7A48" w:rsidRPr="002B7A48" w:rsidRDefault="002B7A48" w:rsidP="002B7A48">
            <w:pPr>
              <w:spacing w:after="160" w:line="278" w:lineRule="auto"/>
              <w:jc w:val="both"/>
              <w:rPr>
                <w:b/>
                <w:bCs/>
              </w:rPr>
            </w:pPr>
            <w:r>
              <w:rPr>
                <w:rFonts w:ascii="Segoe UI" w:hAnsi="Segoe UI" w:cs="Segoe UI"/>
                <w:color w:val="242424"/>
                <w:sz w:val="21"/>
                <w:szCs w:val="21"/>
              </w:rPr>
              <w:t>Leadership Succession</w:t>
            </w:r>
          </w:p>
        </w:tc>
        <w:tc>
          <w:tcPr>
            <w:tcW w:w="0" w:type="auto"/>
            <w:vAlign w:val="center"/>
            <w:hideMark/>
          </w:tcPr>
          <w:p w14:paraId="0F9BE3CE" w14:textId="658391C6" w:rsidR="002B7A48" w:rsidRPr="002B7A48" w:rsidRDefault="002B7A48" w:rsidP="002B7A48">
            <w:pPr>
              <w:spacing w:after="160" w:line="278" w:lineRule="auto"/>
              <w:jc w:val="both"/>
              <w:rPr>
                <w:b/>
                <w:bCs/>
              </w:rPr>
            </w:pPr>
            <w:r>
              <w:rPr>
                <w:rFonts w:ascii="Segoe UI" w:hAnsi="Segoe UI" w:cs="Segoe UI"/>
                <w:color w:val="242424"/>
                <w:sz w:val="21"/>
                <w:szCs w:val="21"/>
              </w:rPr>
              <w:t>8437</w:t>
            </w:r>
          </w:p>
        </w:tc>
        <w:tc>
          <w:tcPr>
            <w:tcW w:w="0" w:type="auto"/>
            <w:vAlign w:val="center"/>
            <w:hideMark/>
          </w:tcPr>
          <w:p w14:paraId="6A7F00EB" w14:textId="50A5CADD" w:rsidR="002B7A48" w:rsidRPr="002B7A48" w:rsidRDefault="002B7A48" w:rsidP="002B7A48">
            <w:pPr>
              <w:spacing w:after="160" w:line="278" w:lineRule="auto"/>
              <w:jc w:val="both"/>
              <w:rPr>
                <w:b/>
                <w:bCs/>
              </w:rPr>
            </w:pPr>
            <w:r>
              <w:rPr>
                <w:rFonts w:ascii="Segoe UI" w:hAnsi="Segoe UI" w:cs="Segoe UI"/>
                <w:color w:val="242424"/>
                <w:sz w:val="21"/>
                <w:szCs w:val="21"/>
              </w:rPr>
              <w:t>0.247</w:t>
            </w:r>
          </w:p>
        </w:tc>
        <w:tc>
          <w:tcPr>
            <w:tcW w:w="0" w:type="auto"/>
            <w:vAlign w:val="center"/>
            <w:hideMark/>
          </w:tcPr>
          <w:p w14:paraId="25532239" w14:textId="3E355487" w:rsidR="002B7A48" w:rsidRPr="002B7A48" w:rsidRDefault="002B7A48" w:rsidP="002B7A48">
            <w:pPr>
              <w:spacing w:after="160" w:line="278" w:lineRule="auto"/>
              <w:jc w:val="both"/>
              <w:rPr>
                <w:b/>
                <w:bCs/>
              </w:rPr>
            </w:pPr>
            <w:r>
              <w:rPr>
                <w:rFonts w:ascii="Segoe UI" w:hAnsi="Segoe UI" w:cs="Segoe UI"/>
                <w:color w:val="242424"/>
                <w:sz w:val="21"/>
                <w:szCs w:val="21"/>
              </w:rPr>
              <w:t>0.612</w:t>
            </w:r>
          </w:p>
        </w:tc>
        <w:tc>
          <w:tcPr>
            <w:tcW w:w="0" w:type="auto"/>
            <w:vAlign w:val="center"/>
            <w:hideMark/>
          </w:tcPr>
          <w:p w14:paraId="015498F0" w14:textId="40A0D833" w:rsidR="002B7A48" w:rsidRPr="002B7A48" w:rsidRDefault="002B7A48" w:rsidP="002B7A48">
            <w:pPr>
              <w:spacing w:after="160" w:line="278" w:lineRule="auto"/>
              <w:jc w:val="both"/>
              <w:rPr>
                <w:b/>
                <w:bCs/>
              </w:rPr>
            </w:pPr>
            <w:r>
              <w:rPr>
                <w:rFonts w:ascii="Segoe UI" w:hAnsi="Segoe UI" w:cs="Segoe UI"/>
                <w:color w:val="242424"/>
                <w:sz w:val="21"/>
                <w:szCs w:val="21"/>
              </w:rPr>
              <w:t>0.000</w:t>
            </w:r>
          </w:p>
        </w:tc>
        <w:tc>
          <w:tcPr>
            <w:tcW w:w="0" w:type="auto"/>
            <w:vAlign w:val="center"/>
            <w:hideMark/>
          </w:tcPr>
          <w:p w14:paraId="257BD374" w14:textId="1FE2FE44" w:rsidR="002B7A48" w:rsidRPr="002B7A48" w:rsidRDefault="002B7A48" w:rsidP="002B7A48">
            <w:pPr>
              <w:spacing w:after="160" w:line="278" w:lineRule="auto"/>
              <w:jc w:val="both"/>
              <w:rPr>
                <w:b/>
                <w:bCs/>
              </w:rPr>
            </w:pPr>
            <w:r>
              <w:rPr>
                <w:rFonts w:ascii="Segoe UI" w:hAnsi="Segoe UI" w:cs="Segoe UI"/>
                <w:color w:val="242424"/>
                <w:sz w:val="21"/>
                <w:szCs w:val="21"/>
              </w:rPr>
              <w:t>0.000</w:t>
            </w:r>
          </w:p>
        </w:tc>
        <w:tc>
          <w:tcPr>
            <w:tcW w:w="0" w:type="auto"/>
            <w:vAlign w:val="center"/>
            <w:hideMark/>
          </w:tcPr>
          <w:p w14:paraId="1A6BDFB0" w14:textId="7AAB24FB" w:rsidR="002B7A48" w:rsidRPr="002B7A48" w:rsidRDefault="002B7A48" w:rsidP="002B7A48">
            <w:pPr>
              <w:spacing w:after="160" w:line="278" w:lineRule="auto"/>
              <w:jc w:val="both"/>
              <w:rPr>
                <w:b/>
                <w:bCs/>
              </w:rPr>
            </w:pPr>
            <w:r>
              <w:rPr>
                <w:rFonts w:ascii="Segoe UI" w:hAnsi="Segoe UI" w:cs="Segoe UI"/>
                <w:color w:val="242424"/>
                <w:sz w:val="21"/>
                <w:szCs w:val="21"/>
              </w:rPr>
              <w:t>2.000</w:t>
            </w:r>
          </w:p>
        </w:tc>
      </w:tr>
      <w:tr w:rsidR="002B7A48" w:rsidRPr="002B7A48" w14:paraId="3311365D" w14:textId="77777777" w:rsidTr="004D21CC">
        <w:trPr>
          <w:trHeight w:val="480"/>
        </w:trPr>
        <w:tc>
          <w:tcPr>
            <w:tcW w:w="3574" w:type="dxa"/>
            <w:vAlign w:val="center"/>
            <w:hideMark/>
          </w:tcPr>
          <w:p w14:paraId="09011BE9" w14:textId="0507FCFE" w:rsidR="002B7A48" w:rsidRPr="002B7A48" w:rsidRDefault="002B7A48" w:rsidP="002B7A48">
            <w:pPr>
              <w:spacing w:after="160" w:line="278" w:lineRule="auto"/>
              <w:jc w:val="both"/>
              <w:rPr>
                <w:b/>
                <w:bCs/>
              </w:rPr>
            </w:pPr>
            <w:r>
              <w:rPr>
                <w:rFonts w:ascii="Segoe UI" w:hAnsi="Segoe UI" w:cs="Segoe UI"/>
                <w:color w:val="242424"/>
                <w:sz w:val="21"/>
                <w:szCs w:val="21"/>
              </w:rPr>
              <w:t>SCB</w:t>
            </w:r>
          </w:p>
        </w:tc>
        <w:tc>
          <w:tcPr>
            <w:tcW w:w="0" w:type="auto"/>
            <w:vAlign w:val="center"/>
            <w:hideMark/>
          </w:tcPr>
          <w:p w14:paraId="0A9877D7" w14:textId="621F6772" w:rsidR="002B7A48" w:rsidRPr="002B7A48" w:rsidRDefault="002B7A48" w:rsidP="002B7A48">
            <w:pPr>
              <w:spacing w:after="160" w:line="278" w:lineRule="auto"/>
              <w:jc w:val="both"/>
              <w:rPr>
                <w:b/>
                <w:bCs/>
              </w:rPr>
            </w:pPr>
            <w:r>
              <w:rPr>
                <w:rFonts w:ascii="Segoe UI" w:hAnsi="Segoe UI" w:cs="Segoe UI"/>
                <w:color w:val="242424"/>
                <w:sz w:val="21"/>
                <w:szCs w:val="21"/>
              </w:rPr>
              <w:t>8437</w:t>
            </w:r>
          </w:p>
        </w:tc>
        <w:tc>
          <w:tcPr>
            <w:tcW w:w="0" w:type="auto"/>
            <w:vAlign w:val="center"/>
            <w:hideMark/>
          </w:tcPr>
          <w:p w14:paraId="163A1D71" w14:textId="7C1CFF03" w:rsidR="002B7A48" w:rsidRPr="002B7A48" w:rsidRDefault="002B7A48" w:rsidP="002B7A48">
            <w:pPr>
              <w:spacing w:after="160" w:line="278" w:lineRule="auto"/>
              <w:jc w:val="both"/>
              <w:rPr>
                <w:b/>
                <w:bCs/>
              </w:rPr>
            </w:pPr>
            <w:r>
              <w:rPr>
                <w:rFonts w:ascii="Segoe UI" w:hAnsi="Segoe UI" w:cs="Segoe UI"/>
                <w:color w:val="242424"/>
                <w:sz w:val="21"/>
                <w:szCs w:val="21"/>
              </w:rPr>
              <w:t>6.840</w:t>
            </w:r>
          </w:p>
        </w:tc>
        <w:tc>
          <w:tcPr>
            <w:tcW w:w="0" w:type="auto"/>
            <w:vAlign w:val="center"/>
            <w:hideMark/>
          </w:tcPr>
          <w:p w14:paraId="4E884394" w14:textId="0753CCC2" w:rsidR="002B7A48" w:rsidRPr="002B7A48" w:rsidRDefault="002B7A48" w:rsidP="002B7A48">
            <w:pPr>
              <w:spacing w:after="160" w:line="278" w:lineRule="auto"/>
              <w:jc w:val="both"/>
              <w:rPr>
                <w:b/>
                <w:bCs/>
              </w:rPr>
            </w:pPr>
            <w:r>
              <w:rPr>
                <w:rFonts w:ascii="Segoe UI" w:hAnsi="Segoe UI" w:cs="Segoe UI"/>
                <w:color w:val="242424"/>
                <w:sz w:val="21"/>
                <w:szCs w:val="21"/>
              </w:rPr>
              <w:t>1.190</w:t>
            </w:r>
          </w:p>
        </w:tc>
        <w:tc>
          <w:tcPr>
            <w:tcW w:w="0" w:type="auto"/>
            <w:vAlign w:val="center"/>
            <w:hideMark/>
          </w:tcPr>
          <w:p w14:paraId="5C956233" w14:textId="7D203509" w:rsidR="002B7A48" w:rsidRPr="002B7A48" w:rsidRDefault="002B7A48" w:rsidP="002B7A48">
            <w:pPr>
              <w:spacing w:after="160" w:line="278" w:lineRule="auto"/>
              <w:jc w:val="both"/>
              <w:rPr>
                <w:b/>
                <w:bCs/>
              </w:rPr>
            </w:pPr>
            <w:r>
              <w:rPr>
                <w:rFonts w:ascii="Segoe UI" w:hAnsi="Segoe UI" w:cs="Segoe UI"/>
                <w:color w:val="242424"/>
                <w:sz w:val="21"/>
                <w:szCs w:val="21"/>
              </w:rPr>
              <w:t>1.000</w:t>
            </w:r>
          </w:p>
        </w:tc>
        <w:tc>
          <w:tcPr>
            <w:tcW w:w="0" w:type="auto"/>
            <w:vAlign w:val="center"/>
            <w:hideMark/>
          </w:tcPr>
          <w:p w14:paraId="69E52BC5" w14:textId="2129A361" w:rsidR="002B7A48" w:rsidRPr="002B7A48" w:rsidRDefault="002B7A48" w:rsidP="002B7A48">
            <w:pPr>
              <w:spacing w:after="160" w:line="278" w:lineRule="auto"/>
              <w:jc w:val="both"/>
              <w:rPr>
                <w:b/>
                <w:bCs/>
              </w:rPr>
            </w:pPr>
            <w:r>
              <w:rPr>
                <w:rFonts w:ascii="Segoe UI" w:hAnsi="Segoe UI" w:cs="Segoe UI"/>
                <w:color w:val="242424"/>
                <w:sz w:val="21"/>
                <w:szCs w:val="21"/>
              </w:rPr>
              <w:t>5.000</w:t>
            </w:r>
          </w:p>
        </w:tc>
        <w:tc>
          <w:tcPr>
            <w:tcW w:w="0" w:type="auto"/>
            <w:vAlign w:val="center"/>
            <w:hideMark/>
          </w:tcPr>
          <w:p w14:paraId="17CD1E54" w14:textId="6458D581" w:rsidR="002B7A48" w:rsidRPr="002B7A48" w:rsidRDefault="002B7A48" w:rsidP="002B7A48">
            <w:pPr>
              <w:spacing w:after="160" w:line="278" w:lineRule="auto"/>
              <w:jc w:val="both"/>
              <w:rPr>
                <w:b/>
                <w:bCs/>
              </w:rPr>
            </w:pPr>
            <w:r>
              <w:rPr>
                <w:rFonts w:ascii="Segoe UI" w:hAnsi="Segoe UI" w:cs="Segoe UI"/>
                <w:color w:val="242424"/>
                <w:sz w:val="21"/>
                <w:szCs w:val="21"/>
              </w:rPr>
              <w:t>3.700</w:t>
            </w:r>
          </w:p>
        </w:tc>
      </w:tr>
      <w:tr w:rsidR="002B7A48" w:rsidRPr="002B7A48" w14:paraId="0D1A7F02" w14:textId="77777777" w:rsidTr="004D21CC">
        <w:trPr>
          <w:trHeight w:val="480"/>
        </w:trPr>
        <w:tc>
          <w:tcPr>
            <w:tcW w:w="3574" w:type="dxa"/>
            <w:vAlign w:val="center"/>
            <w:hideMark/>
          </w:tcPr>
          <w:p w14:paraId="365F49F4" w14:textId="069E5EB7" w:rsidR="002B7A48" w:rsidRPr="002B7A48" w:rsidRDefault="002B7A48" w:rsidP="002B7A48">
            <w:pPr>
              <w:spacing w:after="160" w:line="278" w:lineRule="auto"/>
              <w:jc w:val="both"/>
              <w:rPr>
                <w:b/>
                <w:bCs/>
              </w:rPr>
            </w:pPr>
            <w:r>
              <w:rPr>
                <w:rFonts w:ascii="Segoe UI" w:hAnsi="Segoe UI" w:cs="Segoe UI"/>
                <w:color w:val="242424"/>
                <w:sz w:val="21"/>
                <w:szCs w:val="21"/>
              </w:rPr>
              <w:t>Company Size</w:t>
            </w:r>
          </w:p>
        </w:tc>
        <w:tc>
          <w:tcPr>
            <w:tcW w:w="0" w:type="auto"/>
            <w:vAlign w:val="center"/>
            <w:hideMark/>
          </w:tcPr>
          <w:p w14:paraId="00A4EA04" w14:textId="2A62191B" w:rsidR="002B7A48" w:rsidRPr="002B7A48" w:rsidRDefault="002B7A48" w:rsidP="002B7A48">
            <w:pPr>
              <w:spacing w:after="160" w:line="278" w:lineRule="auto"/>
              <w:jc w:val="both"/>
              <w:rPr>
                <w:b/>
                <w:bCs/>
              </w:rPr>
            </w:pPr>
            <w:r>
              <w:rPr>
                <w:rFonts w:ascii="Segoe UI" w:hAnsi="Segoe UI" w:cs="Segoe UI"/>
                <w:color w:val="242424"/>
                <w:sz w:val="21"/>
                <w:szCs w:val="21"/>
              </w:rPr>
              <w:t>8437</w:t>
            </w:r>
          </w:p>
        </w:tc>
        <w:tc>
          <w:tcPr>
            <w:tcW w:w="0" w:type="auto"/>
            <w:vAlign w:val="center"/>
            <w:hideMark/>
          </w:tcPr>
          <w:p w14:paraId="51B23CCC" w14:textId="4788E01D" w:rsidR="002B7A48" w:rsidRPr="002B7A48" w:rsidRDefault="002B7A48" w:rsidP="002B7A48">
            <w:pPr>
              <w:spacing w:after="160" w:line="278" w:lineRule="auto"/>
              <w:jc w:val="both"/>
              <w:rPr>
                <w:b/>
                <w:bCs/>
              </w:rPr>
            </w:pPr>
            <w:r>
              <w:rPr>
                <w:rFonts w:ascii="Segoe UI" w:hAnsi="Segoe UI" w:cs="Segoe UI"/>
                <w:color w:val="242424"/>
                <w:sz w:val="21"/>
                <w:szCs w:val="21"/>
              </w:rPr>
              <w:t>7.465</w:t>
            </w:r>
          </w:p>
        </w:tc>
        <w:tc>
          <w:tcPr>
            <w:tcW w:w="0" w:type="auto"/>
            <w:vAlign w:val="center"/>
            <w:hideMark/>
          </w:tcPr>
          <w:p w14:paraId="3DD3316E" w14:textId="5545228E" w:rsidR="002B7A48" w:rsidRPr="002B7A48" w:rsidRDefault="002B7A48" w:rsidP="002B7A48">
            <w:pPr>
              <w:spacing w:after="160" w:line="278" w:lineRule="auto"/>
              <w:jc w:val="both"/>
              <w:rPr>
                <w:b/>
                <w:bCs/>
              </w:rPr>
            </w:pPr>
            <w:r>
              <w:rPr>
                <w:rFonts w:ascii="Segoe UI" w:hAnsi="Segoe UI" w:cs="Segoe UI"/>
                <w:color w:val="242424"/>
                <w:sz w:val="21"/>
                <w:szCs w:val="21"/>
              </w:rPr>
              <w:t>1.085</w:t>
            </w:r>
          </w:p>
        </w:tc>
        <w:tc>
          <w:tcPr>
            <w:tcW w:w="0" w:type="auto"/>
            <w:vAlign w:val="center"/>
            <w:hideMark/>
          </w:tcPr>
          <w:p w14:paraId="6A1C2DAA" w14:textId="649F6130" w:rsidR="002B7A48" w:rsidRPr="002B7A48" w:rsidRDefault="002B7A48" w:rsidP="002B7A48">
            <w:pPr>
              <w:spacing w:after="160" w:line="278" w:lineRule="auto"/>
              <w:jc w:val="both"/>
              <w:rPr>
                <w:b/>
                <w:bCs/>
              </w:rPr>
            </w:pPr>
            <w:r>
              <w:rPr>
                <w:rFonts w:ascii="Segoe UI" w:hAnsi="Segoe UI" w:cs="Segoe UI"/>
                <w:color w:val="242424"/>
                <w:sz w:val="21"/>
                <w:szCs w:val="21"/>
              </w:rPr>
              <w:t>2.400</w:t>
            </w:r>
          </w:p>
        </w:tc>
        <w:tc>
          <w:tcPr>
            <w:tcW w:w="0" w:type="auto"/>
            <w:vAlign w:val="center"/>
            <w:hideMark/>
          </w:tcPr>
          <w:p w14:paraId="5610B164" w14:textId="7881DDC7" w:rsidR="002B7A48" w:rsidRPr="002B7A48" w:rsidRDefault="002B7A48" w:rsidP="002B7A48">
            <w:pPr>
              <w:spacing w:after="160" w:line="278" w:lineRule="auto"/>
              <w:jc w:val="both"/>
              <w:rPr>
                <w:b/>
                <w:bCs/>
              </w:rPr>
            </w:pPr>
            <w:r>
              <w:rPr>
                <w:rFonts w:ascii="Segoe UI" w:hAnsi="Segoe UI" w:cs="Segoe UI"/>
                <w:color w:val="242424"/>
                <w:sz w:val="21"/>
                <w:szCs w:val="21"/>
              </w:rPr>
              <w:t>7.410</w:t>
            </w:r>
          </w:p>
        </w:tc>
        <w:tc>
          <w:tcPr>
            <w:tcW w:w="0" w:type="auto"/>
            <w:vAlign w:val="center"/>
            <w:hideMark/>
          </w:tcPr>
          <w:p w14:paraId="597232FA" w14:textId="3413DED1" w:rsidR="002B7A48" w:rsidRPr="002B7A48" w:rsidRDefault="002B7A48" w:rsidP="002B7A48">
            <w:pPr>
              <w:spacing w:after="160" w:line="278" w:lineRule="auto"/>
              <w:jc w:val="both"/>
              <w:rPr>
                <w:b/>
                <w:bCs/>
              </w:rPr>
            </w:pPr>
            <w:r>
              <w:rPr>
                <w:rFonts w:ascii="Segoe UI" w:hAnsi="Segoe UI" w:cs="Segoe UI"/>
                <w:color w:val="242424"/>
                <w:sz w:val="21"/>
                <w:szCs w:val="21"/>
              </w:rPr>
              <w:t>12.145</w:t>
            </w:r>
          </w:p>
        </w:tc>
      </w:tr>
      <w:tr w:rsidR="002B7A48" w:rsidRPr="002B7A48" w14:paraId="0DCC1382" w14:textId="77777777" w:rsidTr="004D21CC">
        <w:trPr>
          <w:trHeight w:val="480"/>
        </w:trPr>
        <w:tc>
          <w:tcPr>
            <w:tcW w:w="3574" w:type="dxa"/>
            <w:vAlign w:val="center"/>
            <w:hideMark/>
          </w:tcPr>
          <w:p w14:paraId="4C872F91" w14:textId="363FDE98" w:rsidR="002B7A48" w:rsidRPr="002B7A48" w:rsidRDefault="002B7A48" w:rsidP="002B7A48">
            <w:pPr>
              <w:spacing w:after="160" w:line="278" w:lineRule="auto"/>
              <w:jc w:val="both"/>
              <w:rPr>
                <w:b/>
                <w:bCs/>
              </w:rPr>
            </w:pPr>
            <w:r>
              <w:rPr>
                <w:rFonts w:ascii="Segoe UI" w:hAnsi="Segoe UI" w:cs="Segoe UI"/>
                <w:color w:val="242424"/>
                <w:sz w:val="21"/>
                <w:szCs w:val="21"/>
              </w:rPr>
              <w:t>Leverage Ratio</w:t>
            </w:r>
          </w:p>
        </w:tc>
        <w:tc>
          <w:tcPr>
            <w:tcW w:w="0" w:type="auto"/>
            <w:vAlign w:val="center"/>
            <w:hideMark/>
          </w:tcPr>
          <w:p w14:paraId="79389E38" w14:textId="22E91100" w:rsidR="002B7A48" w:rsidRPr="002B7A48" w:rsidRDefault="002B7A48" w:rsidP="002B7A48">
            <w:pPr>
              <w:spacing w:after="160" w:line="278" w:lineRule="auto"/>
              <w:jc w:val="both"/>
              <w:rPr>
                <w:b/>
                <w:bCs/>
              </w:rPr>
            </w:pPr>
            <w:r>
              <w:rPr>
                <w:rFonts w:ascii="Segoe UI" w:hAnsi="Segoe UI" w:cs="Segoe UI"/>
                <w:color w:val="242424"/>
                <w:sz w:val="21"/>
                <w:szCs w:val="21"/>
              </w:rPr>
              <w:t>8437</w:t>
            </w:r>
          </w:p>
        </w:tc>
        <w:tc>
          <w:tcPr>
            <w:tcW w:w="0" w:type="auto"/>
            <w:vAlign w:val="center"/>
            <w:hideMark/>
          </w:tcPr>
          <w:p w14:paraId="0C1AD4AA" w14:textId="7F294854" w:rsidR="002B7A48" w:rsidRPr="002B7A48" w:rsidRDefault="002B7A48" w:rsidP="002B7A48">
            <w:pPr>
              <w:spacing w:after="160" w:line="278" w:lineRule="auto"/>
              <w:jc w:val="both"/>
              <w:rPr>
                <w:b/>
                <w:bCs/>
              </w:rPr>
            </w:pPr>
            <w:r>
              <w:rPr>
                <w:rFonts w:ascii="Segoe UI" w:hAnsi="Segoe UI" w:cs="Segoe UI"/>
                <w:color w:val="242424"/>
                <w:sz w:val="21"/>
                <w:szCs w:val="21"/>
              </w:rPr>
              <w:t>0.400</w:t>
            </w:r>
          </w:p>
        </w:tc>
        <w:tc>
          <w:tcPr>
            <w:tcW w:w="0" w:type="auto"/>
            <w:vAlign w:val="center"/>
            <w:hideMark/>
          </w:tcPr>
          <w:p w14:paraId="7C5D3D38" w14:textId="47C83BEC" w:rsidR="002B7A48" w:rsidRPr="002B7A48" w:rsidRDefault="002B7A48" w:rsidP="002B7A48">
            <w:pPr>
              <w:spacing w:after="160" w:line="278" w:lineRule="auto"/>
              <w:jc w:val="both"/>
              <w:rPr>
                <w:b/>
                <w:bCs/>
              </w:rPr>
            </w:pPr>
            <w:r>
              <w:rPr>
                <w:rFonts w:ascii="Segoe UI" w:hAnsi="Segoe UI" w:cs="Segoe UI"/>
                <w:color w:val="242424"/>
                <w:sz w:val="21"/>
                <w:szCs w:val="21"/>
              </w:rPr>
              <w:t>0.200</w:t>
            </w:r>
          </w:p>
        </w:tc>
        <w:tc>
          <w:tcPr>
            <w:tcW w:w="0" w:type="auto"/>
            <w:vAlign w:val="center"/>
            <w:hideMark/>
          </w:tcPr>
          <w:p w14:paraId="200287C7" w14:textId="561803C9" w:rsidR="002B7A48" w:rsidRPr="002B7A48" w:rsidRDefault="002B7A48" w:rsidP="002B7A48">
            <w:pPr>
              <w:spacing w:after="160" w:line="278" w:lineRule="auto"/>
              <w:jc w:val="both"/>
              <w:rPr>
                <w:b/>
                <w:bCs/>
              </w:rPr>
            </w:pPr>
            <w:r>
              <w:rPr>
                <w:rFonts w:ascii="Segoe UI" w:hAnsi="Segoe UI" w:cs="Segoe UI"/>
                <w:color w:val="242424"/>
                <w:sz w:val="21"/>
                <w:szCs w:val="21"/>
              </w:rPr>
              <w:t>0.050</w:t>
            </w:r>
          </w:p>
        </w:tc>
        <w:tc>
          <w:tcPr>
            <w:tcW w:w="0" w:type="auto"/>
            <w:vAlign w:val="center"/>
            <w:hideMark/>
          </w:tcPr>
          <w:p w14:paraId="1C1FAFA4" w14:textId="69B9C774" w:rsidR="002B7A48" w:rsidRPr="002B7A48" w:rsidRDefault="002B7A48" w:rsidP="002B7A48">
            <w:pPr>
              <w:spacing w:after="160" w:line="278" w:lineRule="auto"/>
              <w:jc w:val="both"/>
              <w:rPr>
                <w:b/>
                <w:bCs/>
              </w:rPr>
            </w:pPr>
            <w:r>
              <w:rPr>
                <w:rFonts w:ascii="Segoe UI" w:hAnsi="Segoe UI" w:cs="Segoe UI"/>
                <w:color w:val="242424"/>
                <w:sz w:val="21"/>
                <w:szCs w:val="21"/>
              </w:rPr>
              <w:t>0.385</w:t>
            </w:r>
          </w:p>
        </w:tc>
        <w:tc>
          <w:tcPr>
            <w:tcW w:w="0" w:type="auto"/>
            <w:vAlign w:val="center"/>
            <w:hideMark/>
          </w:tcPr>
          <w:p w14:paraId="06A1F1F6" w14:textId="1B8ED99C" w:rsidR="002B7A48" w:rsidRPr="002B7A48" w:rsidRDefault="002B7A48" w:rsidP="002B7A48">
            <w:pPr>
              <w:spacing w:after="160" w:line="278" w:lineRule="auto"/>
              <w:jc w:val="both"/>
              <w:rPr>
                <w:b/>
                <w:bCs/>
              </w:rPr>
            </w:pPr>
            <w:r>
              <w:rPr>
                <w:rFonts w:ascii="Segoe UI" w:hAnsi="Segoe UI" w:cs="Segoe UI"/>
                <w:color w:val="242424"/>
                <w:sz w:val="21"/>
                <w:szCs w:val="21"/>
              </w:rPr>
              <w:t>0.900</w:t>
            </w:r>
          </w:p>
        </w:tc>
      </w:tr>
      <w:tr w:rsidR="002B7A48" w:rsidRPr="002B7A48" w14:paraId="3A9BE92B" w14:textId="77777777" w:rsidTr="004D21CC">
        <w:trPr>
          <w:trHeight w:val="480"/>
        </w:trPr>
        <w:tc>
          <w:tcPr>
            <w:tcW w:w="3574" w:type="dxa"/>
            <w:vAlign w:val="center"/>
            <w:hideMark/>
          </w:tcPr>
          <w:p w14:paraId="69150AFC" w14:textId="5340DFF1" w:rsidR="002B7A48" w:rsidRPr="002B7A48" w:rsidRDefault="002B7A48" w:rsidP="002B7A48">
            <w:pPr>
              <w:spacing w:after="160" w:line="278" w:lineRule="auto"/>
              <w:jc w:val="both"/>
              <w:rPr>
                <w:b/>
                <w:bCs/>
              </w:rPr>
            </w:pPr>
            <w:r>
              <w:rPr>
                <w:rFonts w:ascii="Segoe UI" w:hAnsi="Segoe UI" w:cs="Segoe UI"/>
                <w:color w:val="242424"/>
                <w:sz w:val="21"/>
                <w:szCs w:val="21"/>
              </w:rPr>
              <w:t>Return on Assets (ROA)</w:t>
            </w:r>
          </w:p>
        </w:tc>
        <w:tc>
          <w:tcPr>
            <w:tcW w:w="0" w:type="auto"/>
            <w:vAlign w:val="center"/>
            <w:hideMark/>
          </w:tcPr>
          <w:p w14:paraId="67535E8E" w14:textId="638C26B9" w:rsidR="002B7A48" w:rsidRPr="002B7A48" w:rsidRDefault="002B7A48" w:rsidP="002B7A48">
            <w:pPr>
              <w:spacing w:after="160" w:line="278" w:lineRule="auto"/>
              <w:jc w:val="both"/>
              <w:rPr>
                <w:b/>
                <w:bCs/>
              </w:rPr>
            </w:pPr>
            <w:r>
              <w:rPr>
                <w:rFonts w:ascii="Segoe UI" w:hAnsi="Segoe UI" w:cs="Segoe UI"/>
                <w:color w:val="242424"/>
                <w:sz w:val="21"/>
                <w:szCs w:val="21"/>
              </w:rPr>
              <w:t>8437</w:t>
            </w:r>
          </w:p>
        </w:tc>
        <w:tc>
          <w:tcPr>
            <w:tcW w:w="0" w:type="auto"/>
            <w:vAlign w:val="center"/>
            <w:hideMark/>
          </w:tcPr>
          <w:p w14:paraId="045F54D7" w14:textId="7D08B4BF" w:rsidR="002B7A48" w:rsidRPr="002B7A48" w:rsidRDefault="002B7A48" w:rsidP="002B7A48">
            <w:pPr>
              <w:spacing w:after="160" w:line="278" w:lineRule="auto"/>
              <w:jc w:val="both"/>
              <w:rPr>
                <w:b/>
                <w:bCs/>
              </w:rPr>
            </w:pPr>
            <w:r>
              <w:rPr>
                <w:rFonts w:ascii="Segoe UI" w:hAnsi="Segoe UI" w:cs="Segoe UI"/>
                <w:color w:val="242424"/>
                <w:sz w:val="21"/>
                <w:szCs w:val="21"/>
              </w:rPr>
              <w:t>0.041</w:t>
            </w:r>
          </w:p>
        </w:tc>
        <w:tc>
          <w:tcPr>
            <w:tcW w:w="0" w:type="auto"/>
            <w:vAlign w:val="center"/>
            <w:hideMark/>
          </w:tcPr>
          <w:p w14:paraId="58467B1E" w14:textId="0CAF3CEF" w:rsidR="002B7A48" w:rsidRPr="002B7A48" w:rsidRDefault="002B7A48" w:rsidP="002B7A48">
            <w:pPr>
              <w:spacing w:after="160" w:line="278" w:lineRule="auto"/>
              <w:jc w:val="both"/>
              <w:rPr>
                <w:b/>
                <w:bCs/>
              </w:rPr>
            </w:pPr>
            <w:r>
              <w:rPr>
                <w:rFonts w:ascii="Segoe UI" w:hAnsi="Segoe UI" w:cs="Segoe UI"/>
                <w:color w:val="242424"/>
                <w:sz w:val="21"/>
                <w:szCs w:val="21"/>
              </w:rPr>
              <w:t>0.070</w:t>
            </w:r>
          </w:p>
        </w:tc>
        <w:tc>
          <w:tcPr>
            <w:tcW w:w="0" w:type="auto"/>
            <w:vAlign w:val="center"/>
            <w:hideMark/>
          </w:tcPr>
          <w:p w14:paraId="22EE24E3" w14:textId="46246350" w:rsidR="002B7A48" w:rsidRPr="002B7A48" w:rsidRDefault="002B7A48" w:rsidP="002B7A48">
            <w:pPr>
              <w:spacing w:after="160" w:line="278" w:lineRule="auto"/>
              <w:jc w:val="both"/>
              <w:rPr>
                <w:b/>
                <w:bCs/>
              </w:rPr>
            </w:pPr>
            <w:r>
              <w:rPr>
                <w:rFonts w:ascii="Segoe UI" w:hAnsi="Segoe UI" w:cs="Segoe UI"/>
                <w:color w:val="242424"/>
                <w:sz w:val="21"/>
                <w:szCs w:val="21"/>
              </w:rPr>
              <w:t>-0.230</w:t>
            </w:r>
          </w:p>
        </w:tc>
        <w:tc>
          <w:tcPr>
            <w:tcW w:w="0" w:type="auto"/>
            <w:vAlign w:val="center"/>
            <w:hideMark/>
          </w:tcPr>
          <w:p w14:paraId="2509DD07" w14:textId="6D999FFF" w:rsidR="002B7A48" w:rsidRPr="002B7A48" w:rsidRDefault="002B7A48" w:rsidP="002B7A48">
            <w:pPr>
              <w:spacing w:after="160" w:line="278" w:lineRule="auto"/>
              <w:jc w:val="both"/>
              <w:rPr>
                <w:b/>
                <w:bCs/>
              </w:rPr>
            </w:pPr>
            <w:r>
              <w:rPr>
                <w:rFonts w:ascii="Segoe UI" w:hAnsi="Segoe UI" w:cs="Segoe UI"/>
                <w:color w:val="242424"/>
                <w:sz w:val="21"/>
                <w:szCs w:val="21"/>
              </w:rPr>
              <w:t>0.040</w:t>
            </w:r>
          </w:p>
        </w:tc>
        <w:tc>
          <w:tcPr>
            <w:tcW w:w="0" w:type="auto"/>
            <w:vAlign w:val="center"/>
            <w:hideMark/>
          </w:tcPr>
          <w:p w14:paraId="067110BD" w14:textId="2C8AE45C" w:rsidR="002B7A48" w:rsidRPr="002B7A48" w:rsidRDefault="002B7A48" w:rsidP="002B7A48">
            <w:pPr>
              <w:spacing w:after="160" w:line="278" w:lineRule="auto"/>
              <w:jc w:val="both"/>
              <w:rPr>
                <w:b/>
                <w:bCs/>
              </w:rPr>
            </w:pPr>
            <w:r>
              <w:rPr>
                <w:rFonts w:ascii="Segoe UI" w:hAnsi="Segoe UI" w:cs="Segoe UI"/>
                <w:color w:val="242424"/>
                <w:sz w:val="21"/>
                <w:szCs w:val="21"/>
              </w:rPr>
              <w:t>0.215</w:t>
            </w:r>
          </w:p>
        </w:tc>
      </w:tr>
      <w:tr w:rsidR="002B7A48" w:rsidRPr="002B7A48" w14:paraId="2210F916" w14:textId="77777777" w:rsidTr="004D21CC">
        <w:trPr>
          <w:trHeight w:val="480"/>
        </w:trPr>
        <w:tc>
          <w:tcPr>
            <w:tcW w:w="3574" w:type="dxa"/>
            <w:vAlign w:val="center"/>
            <w:hideMark/>
          </w:tcPr>
          <w:p w14:paraId="0A4CED8B" w14:textId="0371A3E4" w:rsidR="002B7A48" w:rsidRPr="002B7A48" w:rsidRDefault="002B7A48" w:rsidP="002B7A48">
            <w:pPr>
              <w:spacing w:after="160" w:line="278" w:lineRule="auto"/>
              <w:jc w:val="both"/>
              <w:rPr>
                <w:b/>
                <w:bCs/>
              </w:rPr>
            </w:pPr>
            <w:r>
              <w:rPr>
                <w:rFonts w:ascii="Segoe UI" w:hAnsi="Segoe UI" w:cs="Segoe UI"/>
                <w:color w:val="242424"/>
                <w:sz w:val="21"/>
                <w:szCs w:val="21"/>
              </w:rPr>
              <w:t>Board Independence</w:t>
            </w:r>
          </w:p>
        </w:tc>
        <w:tc>
          <w:tcPr>
            <w:tcW w:w="0" w:type="auto"/>
            <w:vAlign w:val="center"/>
            <w:hideMark/>
          </w:tcPr>
          <w:p w14:paraId="44419595" w14:textId="2827318D" w:rsidR="002B7A48" w:rsidRPr="002B7A48" w:rsidRDefault="002B7A48" w:rsidP="002B7A48">
            <w:pPr>
              <w:spacing w:after="160" w:line="278" w:lineRule="auto"/>
              <w:jc w:val="both"/>
              <w:rPr>
                <w:b/>
                <w:bCs/>
              </w:rPr>
            </w:pPr>
            <w:r>
              <w:rPr>
                <w:rFonts w:ascii="Segoe UI" w:hAnsi="Segoe UI" w:cs="Segoe UI"/>
                <w:color w:val="242424"/>
                <w:sz w:val="21"/>
                <w:szCs w:val="21"/>
              </w:rPr>
              <w:t>8437</w:t>
            </w:r>
          </w:p>
        </w:tc>
        <w:tc>
          <w:tcPr>
            <w:tcW w:w="0" w:type="auto"/>
            <w:vAlign w:val="center"/>
            <w:hideMark/>
          </w:tcPr>
          <w:p w14:paraId="231455CA" w14:textId="03A7E180" w:rsidR="002B7A48" w:rsidRPr="002B7A48" w:rsidRDefault="002B7A48" w:rsidP="002B7A48">
            <w:pPr>
              <w:spacing w:after="160" w:line="278" w:lineRule="auto"/>
              <w:jc w:val="both"/>
              <w:rPr>
                <w:b/>
                <w:bCs/>
              </w:rPr>
            </w:pPr>
            <w:r>
              <w:rPr>
                <w:rFonts w:ascii="Segoe UI" w:hAnsi="Segoe UI" w:cs="Segoe UI"/>
                <w:color w:val="242424"/>
                <w:sz w:val="21"/>
                <w:szCs w:val="21"/>
              </w:rPr>
              <w:t>2.100</w:t>
            </w:r>
          </w:p>
        </w:tc>
        <w:tc>
          <w:tcPr>
            <w:tcW w:w="0" w:type="auto"/>
            <w:vAlign w:val="center"/>
            <w:hideMark/>
          </w:tcPr>
          <w:p w14:paraId="5E2BE5FF" w14:textId="617B5594" w:rsidR="002B7A48" w:rsidRPr="002B7A48" w:rsidRDefault="002B7A48" w:rsidP="002B7A48">
            <w:pPr>
              <w:spacing w:after="160" w:line="278" w:lineRule="auto"/>
              <w:jc w:val="both"/>
              <w:rPr>
                <w:b/>
                <w:bCs/>
              </w:rPr>
            </w:pPr>
            <w:r>
              <w:rPr>
                <w:rFonts w:ascii="Segoe UI" w:hAnsi="Segoe UI" w:cs="Segoe UI"/>
                <w:color w:val="242424"/>
                <w:sz w:val="21"/>
                <w:szCs w:val="21"/>
              </w:rPr>
              <w:t>0.195</w:t>
            </w:r>
          </w:p>
        </w:tc>
        <w:tc>
          <w:tcPr>
            <w:tcW w:w="0" w:type="auto"/>
            <w:vAlign w:val="center"/>
            <w:hideMark/>
          </w:tcPr>
          <w:p w14:paraId="552349A4" w14:textId="2D4D4AAC" w:rsidR="002B7A48" w:rsidRPr="002B7A48" w:rsidRDefault="002B7A48" w:rsidP="002B7A48">
            <w:pPr>
              <w:spacing w:after="160" w:line="278" w:lineRule="auto"/>
              <w:jc w:val="both"/>
              <w:rPr>
                <w:b/>
                <w:bCs/>
              </w:rPr>
            </w:pPr>
            <w:r>
              <w:rPr>
                <w:rFonts w:ascii="Segoe UI" w:hAnsi="Segoe UI" w:cs="Segoe UI"/>
                <w:color w:val="242424"/>
                <w:sz w:val="21"/>
                <w:szCs w:val="21"/>
              </w:rPr>
              <w:t>1.610</w:t>
            </w:r>
          </w:p>
        </w:tc>
        <w:tc>
          <w:tcPr>
            <w:tcW w:w="0" w:type="auto"/>
            <w:vAlign w:val="center"/>
            <w:hideMark/>
          </w:tcPr>
          <w:p w14:paraId="45CD08E5" w14:textId="06E86D3B" w:rsidR="002B7A48" w:rsidRPr="002B7A48" w:rsidRDefault="002B7A48" w:rsidP="002B7A48">
            <w:pPr>
              <w:spacing w:after="160" w:line="278" w:lineRule="auto"/>
              <w:jc w:val="both"/>
              <w:rPr>
                <w:b/>
                <w:bCs/>
              </w:rPr>
            </w:pPr>
            <w:r>
              <w:rPr>
                <w:rFonts w:ascii="Segoe UI" w:hAnsi="Segoe UI" w:cs="Segoe UI"/>
                <w:color w:val="242424"/>
                <w:sz w:val="21"/>
                <w:szCs w:val="21"/>
              </w:rPr>
              <w:t>2.200</w:t>
            </w:r>
          </w:p>
        </w:tc>
        <w:tc>
          <w:tcPr>
            <w:tcW w:w="0" w:type="auto"/>
            <w:vAlign w:val="center"/>
            <w:hideMark/>
          </w:tcPr>
          <w:p w14:paraId="65DB1DBE" w14:textId="7C97F1C3" w:rsidR="002B7A48" w:rsidRPr="002B7A48" w:rsidRDefault="002B7A48" w:rsidP="002B7A48">
            <w:pPr>
              <w:spacing w:after="160" w:line="278" w:lineRule="auto"/>
              <w:jc w:val="both"/>
              <w:rPr>
                <w:b/>
                <w:bCs/>
              </w:rPr>
            </w:pPr>
            <w:r>
              <w:rPr>
                <w:rFonts w:ascii="Segoe UI" w:hAnsi="Segoe UI" w:cs="Segoe UI"/>
                <w:color w:val="242424"/>
                <w:sz w:val="21"/>
                <w:szCs w:val="21"/>
              </w:rPr>
              <w:t>2.710</w:t>
            </w:r>
          </w:p>
        </w:tc>
      </w:tr>
      <w:tr w:rsidR="002B7A48" w:rsidRPr="002B7A48" w14:paraId="5D241E69" w14:textId="77777777" w:rsidTr="004D21CC">
        <w:trPr>
          <w:trHeight w:val="470"/>
        </w:trPr>
        <w:tc>
          <w:tcPr>
            <w:tcW w:w="3574" w:type="dxa"/>
            <w:vAlign w:val="center"/>
            <w:hideMark/>
          </w:tcPr>
          <w:p w14:paraId="00308C86" w14:textId="0B59B9AA" w:rsidR="002B7A48" w:rsidRPr="002B7A48" w:rsidRDefault="002B7A48" w:rsidP="002B7A48">
            <w:pPr>
              <w:spacing w:after="160" w:line="278" w:lineRule="auto"/>
              <w:jc w:val="both"/>
              <w:rPr>
                <w:b/>
                <w:bCs/>
              </w:rPr>
            </w:pPr>
            <w:r>
              <w:rPr>
                <w:rFonts w:ascii="Segoe UI" w:hAnsi="Segoe UI" w:cs="Segoe UI"/>
                <w:color w:val="242424"/>
                <w:sz w:val="21"/>
                <w:szCs w:val="21"/>
              </w:rPr>
              <w:t>Top Management Ownership</w:t>
            </w:r>
          </w:p>
        </w:tc>
        <w:tc>
          <w:tcPr>
            <w:tcW w:w="0" w:type="auto"/>
            <w:vAlign w:val="center"/>
            <w:hideMark/>
          </w:tcPr>
          <w:p w14:paraId="618BA7C0" w14:textId="4F05BC5A" w:rsidR="002B7A48" w:rsidRPr="002B7A48" w:rsidRDefault="002B7A48" w:rsidP="002B7A48">
            <w:pPr>
              <w:spacing w:after="160" w:line="278" w:lineRule="auto"/>
              <w:jc w:val="both"/>
              <w:rPr>
                <w:b/>
                <w:bCs/>
              </w:rPr>
            </w:pPr>
            <w:r>
              <w:rPr>
                <w:rFonts w:ascii="Segoe UI" w:hAnsi="Segoe UI" w:cs="Segoe UI"/>
                <w:color w:val="242424"/>
                <w:sz w:val="21"/>
                <w:szCs w:val="21"/>
              </w:rPr>
              <w:t>8437</w:t>
            </w:r>
          </w:p>
        </w:tc>
        <w:tc>
          <w:tcPr>
            <w:tcW w:w="0" w:type="auto"/>
            <w:vAlign w:val="center"/>
            <w:hideMark/>
          </w:tcPr>
          <w:p w14:paraId="45AF5DFF" w14:textId="65E0492B" w:rsidR="002B7A48" w:rsidRPr="002B7A48" w:rsidRDefault="002B7A48" w:rsidP="002B7A48">
            <w:pPr>
              <w:spacing w:after="160" w:line="278" w:lineRule="auto"/>
              <w:jc w:val="both"/>
              <w:rPr>
                <w:b/>
                <w:bCs/>
              </w:rPr>
            </w:pPr>
            <w:r>
              <w:rPr>
                <w:rFonts w:ascii="Segoe UI" w:hAnsi="Segoe UI" w:cs="Segoe UI"/>
                <w:color w:val="242424"/>
                <w:sz w:val="21"/>
                <w:szCs w:val="21"/>
              </w:rPr>
              <w:t>0.328</w:t>
            </w:r>
          </w:p>
        </w:tc>
        <w:tc>
          <w:tcPr>
            <w:tcW w:w="0" w:type="auto"/>
            <w:vAlign w:val="center"/>
            <w:hideMark/>
          </w:tcPr>
          <w:p w14:paraId="73B5E16A" w14:textId="5874CE36" w:rsidR="002B7A48" w:rsidRPr="002B7A48" w:rsidRDefault="002B7A48" w:rsidP="002B7A48">
            <w:pPr>
              <w:spacing w:after="160" w:line="278" w:lineRule="auto"/>
              <w:jc w:val="both"/>
              <w:rPr>
                <w:b/>
                <w:bCs/>
              </w:rPr>
            </w:pPr>
            <w:r>
              <w:rPr>
                <w:rFonts w:ascii="Segoe UI" w:hAnsi="Segoe UI" w:cs="Segoe UI"/>
                <w:color w:val="242424"/>
                <w:sz w:val="21"/>
                <w:szCs w:val="21"/>
              </w:rPr>
              <w:t>0.142</w:t>
            </w:r>
          </w:p>
        </w:tc>
        <w:tc>
          <w:tcPr>
            <w:tcW w:w="0" w:type="auto"/>
            <w:vAlign w:val="center"/>
            <w:hideMark/>
          </w:tcPr>
          <w:p w14:paraId="2395A149" w14:textId="6F9C218D" w:rsidR="002B7A48" w:rsidRPr="002B7A48" w:rsidRDefault="002B7A48" w:rsidP="002B7A48">
            <w:pPr>
              <w:spacing w:after="160" w:line="278" w:lineRule="auto"/>
              <w:jc w:val="both"/>
              <w:rPr>
                <w:b/>
                <w:bCs/>
              </w:rPr>
            </w:pPr>
            <w:r>
              <w:rPr>
                <w:rFonts w:ascii="Segoe UI" w:hAnsi="Segoe UI" w:cs="Segoe UI"/>
                <w:color w:val="242424"/>
                <w:sz w:val="21"/>
                <w:szCs w:val="21"/>
              </w:rPr>
              <w:t>0.090</w:t>
            </w:r>
          </w:p>
        </w:tc>
        <w:tc>
          <w:tcPr>
            <w:tcW w:w="0" w:type="auto"/>
            <w:vAlign w:val="center"/>
            <w:hideMark/>
          </w:tcPr>
          <w:p w14:paraId="3E593813" w14:textId="0C3F4EA4" w:rsidR="002B7A48" w:rsidRPr="002B7A48" w:rsidRDefault="002B7A48" w:rsidP="002B7A48">
            <w:pPr>
              <w:spacing w:after="160" w:line="278" w:lineRule="auto"/>
              <w:jc w:val="both"/>
              <w:rPr>
                <w:b/>
                <w:bCs/>
              </w:rPr>
            </w:pPr>
            <w:r>
              <w:rPr>
                <w:rFonts w:ascii="Segoe UI" w:hAnsi="Segoe UI" w:cs="Segoe UI"/>
                <w:color w:val="242424"/>
                <w:sz w:val="21"/>
                <w:szCs w:val="21"/>
              </w:rPr>
              <w:t>0.305</w:t>
            </w:r>
          </w:p>
        </w:tc>
        <w:tc>
          <w:tcPr>
            <w:tcW w:w="0" w:type="auto"/>
            <w:vAlign w:val="center"/>
            <w:hideMark/>
          </w:tcPr>
          <w:p w14:paraId="7FC90079" w14:textId="0DD54398" w:rsidR="002B7A48" w:rsidRPr="002B7A48" w:rsidRDefault="002B7A48" w:rsidP="002B7A48">
            <w:pPr>
              <w:spacing w:after="160" w:line="278" w:lineRule="auto"/>
              <w:jc w:val="both"/>
              <w:rPr>
                <w:b/>
                <w:bCs/>
              </w:rPr>
            </w:pPr>
            <w:r>
              <w:rPr>
                <w:rFonts w:ascii="Segoe UI" w:hAnsi="Segoe UI" w:cs="Segoe UI"/>
                <w:color w:val="242424"/>
                <w:sz w:val="21"/>
                <w:szCs w:val="21"/>
              </w:rPr>
              <w:t>0.748</w:t>
            </w:r>
          </w:p>
        </w:tc>
      </w:tr>
      <w:tr w:rsidR="002B7A48" w:rsidRPr="002B7A48" w14:paraId="5EC2A33D" w14:textId="77777777" w:rsidTr="004D21CC">
        <w:trPr>
          <w:trHeight w:val="480"/>
        </w:trPr>
        <w:tc>
          <w:tcPr>
            <w:tcW w:w="3574" w:type="dxa"/>
            <w:vAlign w:val="center"/>
            <w:hideMark/>
          </w:tcPr>
          <w:p w14:paraId="4DAF971B" w14:textId="0A4B4618" w:rsidR="002B7A48" w:rsidRPr="002B7A48" w:rsidRDefault="002B7A48" w:rsidP="002B7A48">
            <w:pPr>
              <w:spacing w:after="160" w:line="278" w:lineRule="auto"/>
              <w:jc w:val="both"/>
              <w:rPr>
                <w:b/>
                <w:bCs/>
              </w:rPr>
            </w:pPr>
            <w:r>
              <w:rPr>
                <w:rFonts w:ascii="Segoe UI" w:hAnsi="Segoe UI" w:cs="Segoe UI"/>
                <w:color w:val="242424"/>
                <w:sz w:val="21"/>
                <w:szCs w:val="21"/>
              </w:rPr>
              <w:t>Growth Rate</w:t>
            </w:r>
          </w:p>
        </w:tc>
        <w:tc>
          <w:tcPr>
            <w:tcW w:w="0" w:type="auto"/>
            <w:vAlign w:val="center"/>
            <w:hideMark/>
          </w:tcPr>
          <w:p w14:paraId="6444D567" w14:textId="3D5A9E79" w:rsidR="002B7A48" w:rsidRPr="002B7A48" w:rsidRDefault="002B7A48" w:rsidP="002B7A48">
            <w:pPr>
              <w:spacing w:after="160" w:line="278" w:lineRule="auto"/>
              <w:jc w:val="both"/>
              <w:rPr>
                <w:b/>
                <w:bCs/>
              </w:rPr>
            </w:pPr>
            <w:r>
              <w:rPr>
                <w:rFonts w:ascii="Segoe UI" w:hAnsi="Segoe UI" w:cs="Segoe UI"/>
                <w:color w:val="242424"/>
                <w:sz w:val="21"/>
                <w:szCs w:val="21"/>
              </w:rPr>
              <w:t>8437</w:t>
            </w:r>
          </w:p>
        </w:tc>
        <w:tc>
          <w:tcPr>
            <w:tcW w:w="0" w:type="auto"/>
            <w:vAlign w:val="center"/>
            <w:hideMark/>
          </w:tcPr>
          <w:p w14:paraId="3FBBAE27" w14:textId="049A13DA" w:rsidR="002B7A48" w:rsidRPr="002B7A48" w:rsidRDefault="002B7A48" w:rsidP="002B7A48">
            <w:pPr>
              <w:spacing w:after="160" w:line="278" w:lineRule="auto"/>
              <w:jc w:val="both"/>
              <w:rPr>
                <w:b/>
                <w:bCs/>
              </w:rPr>
            </w:pPr>
            <w:r>
              <w:rPr>
                <w:rFonts w:ascii="Segoe UI" w:hAnsi="Segoe UI" w:cs="Segoe UI"/>
                <w:color w:val="242424"/>
                <w:sz w:val="21"/>
                <w:szCs w:val="21"/>
              </w:rPr>
              <w:t>0.196</w:t>
            </w:r>
          </w:p>
        </w:tc>
        <w:tc>
          <w:tcPr>
            <w:tcW w:w="0" w:type="auto"/>
            <w:vAlign w:val="center"/>
            <w:hideMark/>
          </w:tcPr>
          <w:p w14:paraId="1E14F0ED" w14:textId="41FFD8DD" w:rsidR="002B7A48" w:rsidRPr="002B7A48" w:rsidRDefault="002B7A48" w:rsidP="002B7A48">
            <w:pPr>
              <w:spacing w:after="160" w:line="278" w:lineRule="auto"/>
              <w:jc w:val="both"/>
              <w:rPr>
                <w:b/>
                <w:bCs/>
              </w:rPr>
            </w:pPr>
            <w:r>
              <w:rPr>
                <w:rFonts w:ascii="Segoe UI" w:hAnsi="Segoe UI" w:cs="Segoe UI"/>
                <w:color w:val="242424"/>
                <w:sz w:val="21"/>
                <w:szCs w:val="21"/>
              </w:rPr>
              <w:t>0.415</w:t>
            </w:r>
          </w:p>
        </w:tc>
        <w:tc>
          <w:tcPr>
            <w:tcW w:w="0" w:type="auto"/>
            <w:vAlign w:val="center"/>
            <w:hideMark/>
          </w:tcPr>
          <w:p w14:paraId="246B7703" w14:textId="26C87183" w:rsidR="002B7A48" w:rsidRPr="002B7A48" w:rsidRDefault="002B7A48" w:rsidP="002B7A48">
            <w:pPr>
              <w:spacing w:after="160" w:line="278" w:lineRule="auto"/>
              <w:jc w:val="both"/>
              <w:rPr>
                <w:b/>
                <w:bCs/>
              </w:rPr>
            </w:pPr>
            <w:r>
              <w:rPr>
                <w:rFonts w:ascii="Segoe UI" w:hAnsi="Segoe UI" w:cs="Segoe UI"/>
                <w:color w:val="242424"/>
                <w:sz w:val="21"/>
                <w:szCs w:val="21"/>
              </w:rPr>
              <w:t>-0.585</w:t>
            </w:r>
          </w:p>
        </w:tc>
        <w:tc>
          <w:tcPr>
            <w:tcW w:w="0" w:type="auto"/>
            <w:vAlign w:val="center"/>
            <w:hideMark/>
          </w:tcPr>
          <w:p w14:paraId="49C1696F" w14:textId="009BB374" w:rsidR="002B7A48" w:rsidRPr="002B7A48" w:rsidRDefault="002B7A48" w:rsidP="002B7A48">
            <w:pPr>
              <w:spacing w:after="160" w:line="278" w:lineRule="auto"/>
              <w:jc w:val="both"/>
              <w:rPr>
                <w:b/>
                <w:bCs/>
              </w:rPr>
            </w:pPr>
            <w:r>
              <w:rPr>
                <w:rFonts w:ascii="Segoe UI" w:hAnsi="Segoe UI" w:cs="Segoe UI"/>
                <w:color w:val="242424"/>
                <w:sz w:val="21"/>
                <w:szCs w:val="21"/>
              </w:rPr>
              <w:t>0.130</w:t>
            </w:r>
          </w:p>
        </w:tc>
        <w:tc>
          <w:tcPr>
            <w:tcW w:w="0" w:type="auto"/>
            <w:vAlign w:val="center"/>
            <w:hideMark/>
          </w:tcPr>
          <w:p w14:paraId="1BF69BC5" w14:textId="688514D3" w:rsidR="002B7A48" w:rsidRPr="002B7A48" w:rsidRDefault="002B7A48" w:rsidP="002B7A48">
            <w:pPr>
              <w:spacing w:after="160" w:line="278" w:lineRule="auto"/>
              <w:jc w:val="both"/>
              <w:rPr>
                <w:b/>
                <w:bCs/>
              </w:rPr>
            </w:pPr>
            <w:r>
              <w:rPr>
                <w:rFonts w:ascii="Segoe UI" w:hAnsi="Segoe UI" w:cs="Segoe UI"/>
                <w:color w:val="242424"/>
                <w:sz w:val="21"/>
                <w:szCs w:val="21"/>
              </w:rPr>
              <w:t>2.560</w:t>
            </w:r>
          </w:p>
        </w:tc>
      </w:tr>
      <w:tr w:rsidR="002B7A48" w:rsidRPr="002B7A48" w14:paraId="5FA59B86" w14:textId="77777777" w:rsidTr="004D21CC">
        <w:trPr>
          <w:trHeight w:val="480"/>
        </w:trPr>
        <w:tc>
          <w:tcPr>
            <w:tcW w:w="3574" w:type="dxa"/>
            <w:vAlign w:val="center"/>
            <w:hideMark/>
          </w:tcPr>
          <w:p w14:paraId="6BFD50B8" w14:textId="5503C9A5" w:rsidR="002B7A48" w:rsidRPr="002B7A48" w:rsidRDefault="002B7A48" w:rsidP="002B7A48">
            <w:pPr>
              <w:spacing w:after="160" w:line="278" w:lineRule="auto"/>
              <w:jc w:val="both"/>
              <w:rPr>
                <w:b/>
                <w:bCs/>
              </w:rPr>
            </w:pPr>
            <w:r>
              <w:rPr>
                <w:rFonts w:ascii="Segoe UI" w:hAnsi="Segoe UI" w:cs="Segoe UI"/>
                <w:color w:val="242424"/>
                <w:sz w:val="21"/>
                <w:szCs w:val="21"/>
              </w:rPr>
              <w:t>Firm Age</w:t>
            </w:r>
          </w:p>
        </w:tc>
        <w:tc>
          <w:tcPr>
            <w:tcW w:w="0" w:type="auto"/>
            <w:vAlign w:val="center"/>
            <w:hideMark/>
          </w:tcPr>
          <w:p w14:paraId="700EA2D2" w14:textId="0FBBAE6A" w:rsidR="002B7A48" w:rsidRPr="002B7A48" w:rsidRDefault="002B7A48" w:rsidP="002B7A48">
            <w:pPr>
              <w:spacing w:after="160" w:line="278" w:lineRule="auto"/>
              <w:jc w:val="both"/>
              <w:rPr>
                <w:b/>
                <w:bCs/>
              </w:rPr>
            </w:pPr>
            <w:r>
              <w:rPr>
                <w:rFonts w:ascii="Segoe UI" w:hAnsi="Segoe UI" w:cs="Segoe UI"/>
                <w:color w:val="242424"/>
                <w:sz w:val="21"/>
                <w:szCs w:val="21"/>
              </w:rPr>
              <w:t>8437</w:t>
            </w:r>
          </w:p>
        </w:tc>
        <w:tc>
          <w:tcPr>
            <w:tcW w:w="0" w:type="auto"/>
            <w:vAlign w:val="center"/>
            <w:hideMark/>
          </w:tcPr>
          <w:p w14:paraId="7C89356A" w14:textId="7113B6BB" w:rsidR="002B7A48" w:rsidRPr="002B7A48" w:rsidRDefault="002B7A48" w:rsidP="002B7A48">
            <w:pPr>
              <w:spacing w:after="160" w:line="278" w:lineRule="auto"/>
              <w:jc w:val="both"/>
              <w:rPr>
                <w:b/>
                <w:bCs/>
              </w:rPr>
            </w:pPr>
            <w:r>
              <w:rPr>
                <w:rFonts w:ascii="Segoe UI" w:hAnsi="Segoe UI" w:cs="Segoe UI"/>
                <w:color w:val="242424"/>
                <w:sz w:val="21"/>
                <w:szCs w:val="21"/>
              </w:rPr>
              <w:t>2.000</w:t>
            </w:r>
          </w:p>
        </w:tc>
        <w:tc>
          <w:tcPr>
            <w:tcW w:w="0" w:type="auto"/>
            <w:vAlign w:val="center"/>
            <w:hideMark/>
          </w:tcPr>
          <w:p w14:paraId="36D32FB3" w14:textId="2CCF85D4" w:rsidR="002B7A48" w:rsidRPr="002B7A48" w:rsidRDefault="002B7A48" w:rsidP="002B7A48">
            <w:pPr>
              <w:spacing w:after="160" w:line="278" w:lineRule="auto"/>
              <w:jc w:val="both"/>
              <w:rPr>
                <w:b/>
                <w:bCs/>
              </w:rPr>
            </w:pPr>
            <w:r>
              <w:rPr>
                <w:rFonts w:ascii="Segoe UI" w:hAnsi="Segoe UI" w:cs="Segoe UI"/>
                <w:color w:val="242424"/>
                <w:sz w:val="21"/>
                <w:szCs w:val="21"/>
              </w:rPr>
              <w:t>0.725</w:t>
            </w:r>
          </w:p>
        </w:tc>
        <w:tc>
          <w:tcPr>
            <w:tcW w:w="0" w:type="auto"/>
            <w:vAlign w:val="center"/>
            <w:hideMark/>
          </w:tcPr>
          <w:p w14:paraId="5ED9BA2C" w14:textId="384DDDDD" w:rsidR="002B7A48" w:rsidRPr="002B7A48" w:rsidRDefault="002B7A48" w:rsidP="002B7A48">
            <w:pPr>
              <w:spacing w:after="160" w:line="278" w:lineRule="auto"/>
              <w:jc w:val="both"/>
              <w:rPr>
                <w:b/>
                <w:bCs/>
              </w:rPr>
            </w:pPr>
            <w:r>
              <w:rPr>
                <w:rFonts w:ascii="Segoe UI" w:hAnsi="Segoe UI" w:cs="Segoe UI"/>
                <w:color w:val="242424"/>
                <w:sz w:val="21"/>
                <w:szCs w:val="21"/>
              </w:rPr>
              <w:t>0.695</w:t>
            </w:r>
          </w:p>
        </w:tc>
        <w:tc>
          <w:tcPr>
            <w:tcW w:w="0" w:type="auto"/>
            <w:vAlign w:val="center"/>
            <w:hideMark/>
          </w:tcPr>
          <w:p w14:paraId="61C80326" w14:textId="5E0086EA" w:rsidR="002B7A48" w:rsidRPr="002B7A48" w:rsidRDefault="002B7A48" w:rsidP="002B7A48">
            <w:pPr>
              <w:spacing w:after="160" w:line="278" w:lineRule="auto"/>
              <w:jc w:val="both"/>
              <w:rPr>
                <w:b/>
                <w:bCs/>
              </w:rPr>
            </w:pPr>
            <w:r>
              <w:rPr>
                <w:rFonts w:ascii="Segoe UI" w:hAnsi="Segoe UI" w:cs="Segoe UI"/>
                <w:color w:val="242424"/>
                <w:sz w:val="21"/>
                <w:szCs w:val="21"/>
              </w:rPr>
              <w:t>2.080</w:t>
            </w:r>
          </w:p>
        </w:tc>
        <w:tc>
          <w:tcPr>
            <w:tcW w:w="0" w:type="auto"/>
            <w:vAlign w:val="center"/>
            <w:hideMark/>
          </w:tcPr>
          <w:p w14:paraId="512DA87D" w14:textId="43F06B45" w:rsidR="002B7A48" w:rsidRPr="002B7A48" w:rsidRDefault="002B7A48" w:rsidP="002B7A48">
            <w:pPr>
              <w:spacing w:after="160" w:line="278" w:lineRule="auto"/>
              <w:jc w:val="both"/>
              <w:rPr>
                <w:b/>
                <w:bCs/>
              </w:rPr>
            </w:pPr>
            <w:r>
              <w:rPr>
                <w:rFonts w:ascii="Segoe UI" w:hAnsi="Segoe UI" w:cs="Segoe UI"/>
                <w:color w:val="242424"/>
                <w:sz w:val="21"/>
                <w:szCs w:val="21"/>
              </w:rPr>
              <w:t>3.300</w:t>
            </w:r>
          </w:p>
        </w:tc>
      </w:tr>
    </w:tbl>
    <w:p w14:paraId="5AA12260" w14:textId="1D3D4699" w:rsidR="00077054" w:rsidRPr="00077054" w:rsidRDefault="00077054" w:rsidP="00077054">
      <w:pPr>
        <w:jc w:val="both"/>
      </w:pPr>
    </w:p>
    <w:p w14:paraId="7B67A033" w14:textId="4B6002F0" w:rsidR="008646B8" w:rsidRPr="008F7748" w:rsidRDefault="008646B8" w:rsidP="005C2B73">
      <w:pPr>
        <w:jc w:val="both"/>
        <w:rPr>
          <w:b/>
          <w:bCs/>
        </w:rPr>
      </w:pPr>
      <w:r w:rsidRPr="008F7748">
        <w:rPr>
          <w:b/>
          <w:bCs/>
        </w:rPr>
        <w:t>Table 2:</w:t>
      </w:r>
      <w:r w:rsidR="00323A5F" w:rsidRPr="008F7748">
        <w:rPr>
          <w:b/>
          <w:bCs/>
        </w:rPr>
        <w:t xml:space="preserve"> </w:t>
      </w:r>
      <w:r w:rsidR="008F7748" w:rsidRPr="008F7748">
        <w:rPr>
          <w:b/>
          <w:bCs/>
        </w:rPr>
        <w:t>B</w:t>
      </w:r>
      <w:r w:rsidR="00323A5F" w:rsidRPr="008F7748">
        <w:rPr>
          <w:b/>
          <w:bCs/>
        </w:rPr>
        <w:t xml:space="preserve">aseline </w:t>
      </w:r>
      <w:commentRangeStart w:id="5"/>
      <w:r w:rsidR="008F7748" w:rsidRPr="008F7748">
        <w:rPr>
          <w:b/>
          <w:bCs/>
        </w:rPr>
        <w:t>R</w:t>
      </w:r>
      <w:r w:rsidR="00323A5F" w:rsidRPr="008F7748">
        <w:rPr>
          <w:b/>
          <w:bCs/>
        </w:rPr>
        <w:t>esult</w:t>
      </w:r>
      <w:commentRangeEnd w:id="5"/>
      <w:r w:rsidR="008A0227">
        <w:rPr>
          <w:rStyle w:val="CommentReference"/>
        </w:rPr>
        <w:commentReference w:id="5"/>
      </w:r>
      <w:r w:rsidR="00323A5F" w:rsidRPr="008F7748">
        <w:rPr>
          <w:b/>
          <w:bCs/>
        </w:rPr>
        <w:t xml:space="preserve"> </w:t>
      </w:r>
    </w:p>
    <w:tbl>
      <w:tblPr>
        <w:tblStyle w:val="TableGrid"/>
        <w:tblW w:w="9360" w:type="dxa"/>
        <w:tblInd w:w="108" w:type="dxa"/>
        <w:tblLook w:val="04A0" w:firstRow="1" w:lastRow="0" w:firstColumn="1" w:lastColumn="0" w:noHBand="0" w:noVBand="1"/>
      </w:tblPr>
      <w:tblGrid>
        <w:gridCol w:w="3586"/>
        <w:gridCol w:w="3074"/>
        <w:gridCol w:w="2700"/>
      </w:tblGrid>
      <w:tr w:rsidR="0035435A" w:rsidRPr="00D46299" w14:paraId="3D1E057E" w14:textId="77777777" w:rsidTr="008D3133">
        <w:trPr>
          <w:trHeight w:val="20"/>
        </w:trPr>
        <w:tc>
          <w:tcPr>
            <w:tcW w:w="3586" w:type="dxa"/>
            <w:hideMark/>
          </w:tcPr>
          <w:p w14:paraId="1BA8577C" w14:textId="77777777" w:rsidR="00D46299" w:rsidRPr="00D46299" w:rsidRDefault="00D46299" w:rsidP="007218E8">
            <w:pPr>
              <w:spacing w:line="278" w:lineRule="auto"/>
              <w:jc w:val="both"/>
              <w:rPr>
                <w:b/>
                <w:bCs/>
              </w:rPr>
            </w:pPr>
            <w:r w:rsidRPr="00D46299">
              <w:rPr>
                <w:b/>
                <w:bCs/>
              </w:rPr>
              <w:t>Variable</w:t>
            </w:r>
          </w:p>
        </w:tc>
        <w:tc>
          <w:tcPr>
            <w:tcW w:w="3074" w:type="dxa"/>
            <w:hideMark/>
          </w:tcPr>
          <w:p w14:paraId="23229D1D" w14:textId="60E9133D" w:rsidR="004D0B61" w:rsidRPr="007218E8" w:rsidRDefault="00D46299" w:rsidP="007218E8">
            <w:pPr>
              <w:spacing w:line="278" w:lineRule="auto"/>
              <w:jc w:val="center"/>
              <w:rPr>
                <w:b/>
                <w:bCs/>
              </w:rPr>
            </w:pPr>
            <w:r w:rsidRPr="00D46299">
              <w:rPr>
                <w:b/>
                <w:bCs/>
              </w:rPr>
              <w:t>(</w:t>
            </w:r>
            <w:r w:rsidR="004D0B61" w:rsidRPr="007218E8">
              <w:rPr>
                <w:b/>
                <w:bCs/>
              </w:rPr>
              <w:t>1)</w:t>
            </w:r>
          </w:p>
          <w:p w14:paraId="2430E1E0" w14:textId="23DFA7AB" w:rsidR="00D46299" w:rsidRPr="00D46299" w:rsidRDefault="004F746A" w:rsidP="007218E8">
            <w:pPr>
              <w:spacing w:line="278" w:lineRule="auto"/>
              <w:jc w:val="center"/>
              <w:rPr>
                <w:b/>
                <w:bCs/>
              </w:rPr>
            </w:pPr>
            <w:r>
              <w:rPr>
                <w:b/>
                <w:bCs/>
              </w:rPr>
              <w:t>SCB</w:t>
            </w:r>
          </w:p>
        </w:tc>
        <w:tc>
          <w:tcPr>
            <w:tcW w:w="2700" w:type="dxa"/>
            <w:hideMark/>
          </w:tcPr>
          <w:p w14:paraId="4C49D1F3" w14:textId="3F424415" w:rsidR="004D0B61" w:rsidRPr="007218E8" w:rsidRDefault="00D46299" w:rsidP="007218E8">
            <w:pPr>
              <w:spacing w:line="278" w:lineRule="auto"/>
              <w:jc w:val="center"/>
              <w:rPr>
                <w:b/>
                <w:bCs/>
              </w:rPr>
            </w:pPr>
            <w:r w:rsidRPr="00D46299">
              <w:rPr>
                <w:b/>
                <w:bCs/>
              </w:rPr>
              <w:t>(2)</w:t>
            </w:r>
          </w:p>
          <w:p w14:paraId="02562033" w14:textId="0FD3055F" w:rsidR="00D46299" w:rsidRPr="00D46299" w:rsidRDefault="004F746A" w:rsidP="007218E8">
            <w:pPr>
              <w:spacing w:line="278" w:lineRule="auto"/>
              <w:jc w:val="center"/>
              <w:rPr>
                <w:b/>
                <w:bCs/>
              </w:rPr>
            </w:pPr>
            <w:r>
              <w:rPr>
                <w:b/>
                <w:bCs/>
              </w:rPr>
              <w:t>SCB</w:t>
            </w:r>
          </w:p>
        </w:tc>
      </w:tr>
      <w:tr w:rsidR="00A4335E" w:rsidRPr="00D46299" w14:paraId="39B19815" w14:textId="77777777" w:rsidTr="008D3133">
        <w:trPr>
          <w:trHeight w:val="20"/>
        </w:trPr>
        <w:tc>
          <w:tcPr>
            <w:tcW w:w="3586" w:type="dxa"/>
            <w:vAlign w:val="center"/>
            <w:hideMark/>
          </w:tcPr>
          <w:p w14:paraId="22548357" w14:textId="488330E9" w:rsidR="00A4335E" w:rsidRPr="00D46299" w:rsidRDefault="00A4335E" w:rsidP="00A4335E">
            <w:pPr>
              <w:spacing w:after="160" w:line="278" w:lineRule="auto"/>
              <w:jc w:val="both"/>
            </w:pPr>
            <w:r>
              <w:rPr>
                <w:rFonts w:ascii="Calibri" w:hAnsi="Calibri" w:cs="Calibri"/>
                <w:color w:val="000000"/>
                <w:sz w:val="22"/>
                <w:szCs w:val="22"/>
              </w:rPr>
              <w:t>Leadership Succession</w:t>
            </w:r>
          </w:p>
        </w:tc>
        <w:tc>
          <w:tcPr>
            <w:tcW w:w="3074" w:type="dxa"/>
            <w:vAlign w:val="center"/>
            <w:hideMark/>
          </w:tcPr>
          <w:p w14:paraId="43C4EED2" w14:textId="77777777" w:rsidR="008D3133" w:rsidRDefault="00A4335E" w:rsidP="00A4335E">
            <w:pPr>
              <w:spacing w:after="160" w:line="278" w:lineRule="auto"/>
              <w:jc w:val="both"/>
              <w:rPr>
                <w:rFonts w:ascii="Calibri" w:hAnsi="Calibri" w:cs="Calibri"/>
                <w:color w:val="000000"/>
                <w:sz w:val="22"/>
                <w:szCs w:val="22"/>
              </w:rPr>
            </w:pPr>
            <w:r>
              <w:rPr>
                <w:rFonts w:ascii="Calibri" w:hAnsi="Calibri" w:cs="Calibri"/>
                <w:color w:val="000000"/>
                <w:sz w:val="22"/>
                <w:szCs w:val="22"/>
              </w:rPr>
              <w:t>0.525***</w:t>
            </w:r>
          </w:p>
          <w:p w14:paraId="1F3F726E" w14:textId="750AD11E" w:rsidR="00A4335E" w:rsidRPr="00D46299" w:rsidRDefault="00A4335E" w:rsidP="00A4335E">
            <w:pPr>
              <w:spacing w:after="160" w:line="278" w:lineRule="auto"/>
              <w:jc w:val="both"/>
            </w:pPr>
            <w:r>
              <w:rPr>
                <w:rFonts w:ascii="Calibri" w:hAnsi="Calibri" w:cs="Calibri"/>
                <w:color w:val="000000"/>
                <w:sz w:val="22"/>
                <w:szCs w:val="22"/>
              </w:rPr>
              <w:t>(3.150)</w:t>
            </w:r>
          </w:p>
        </w:tc>
        <w:tc>
          <w:tcPr>
            <w:tcW w:w="2700" w:type="dxa"/>
            <w:vAlign w:val="center"/>
            <w:hideMark/>
          </w:tcPr>
          <w:p w14:paraId="16BB4452" w14:textId="77777777" w:rsidR="008D3133" w:rsidRDefault="00A4335E" w:rsidP="00A4335E">
            <w:pPr>
              <w:spacing w:after="160" w:line="278" w:lineRule="auto"/>
              <w:jc w:val="both"/>
              <w:rPr>
                <w:rFonts w:ascii="Calibri" w:hAnsi="Calibri" w:cs="Calibri"/>
                <w:color w:val="000000"/>
                <w:sz w:val="22"/>
                <w:szCs w:val="22"/>
              </w:rPr>
            </w:pPr>
            <w:r>
              <w:rPr>
                <w:rFonts w:ascii="Calibri" w:hAnsi="Calibri" w:cs="Calibri"/>
                <w:color w:val="000000"/>
                <w:sz w:val="22"/>
                <w:szCs w:val="22"/>
              </w:rPr>
              <w:t>5.850***</w:t>
            </w:r>
          </w:p>
          <w:p w14:paraId="6015A6EC" w14:textId="57ACAED0" w:rsidR="00A4335E" w:rsidRPr="00D46299" w:rsidRDefault="00A4335E" w:rsidP="00A4335E">
            <w:pPr>
              <w:spacing w:after="160" w:line="278" w:lineRule="auto"/>
              <w:jc w:val="both"/>
            </w:pPr>
            <w:r>
              <w:rPr>
                <w:rFonts w:ascii="Calibri" w:hAnsi="Calibri" w:cs="Calibri"/>
                <w:color w:val="000000"/>
                <w:sz w:val="22"/>
                <w:szCs w:val="22"/>
              </w:rPr>
              <w:t>(3.785)</w:t>
            </w:r>
          </w:p>
        </w:tc>
      </w:tr>
      <w:tr w:rsidR="00A4335E" w:rsidRPr="00D46299" w14:paraId="50104CDA" w14:textId="77777777" w:rsidTr="008D3133">
        <w:trPr>
          <w:trHeight w:val="20"/>
        </w:trPr>
        <w:tc>
          <w:tcPr>
            <w:tcW w:w="3586" w:type="dxa"/>
            <w:vAlign w:val="center"/>
            <w:hideMark/>
          </w:tcPr>
          <w:p w14:paraId="6D242A21" w14:textId="70B96F33" w:rsidR="00A4335E" w:rsidRPr="00D46299" w:rsidRDefault="00A4335E" w:rsidP="00A4335E">
            <w:pPr>
              <w:spacing w:after="160" w:line="278" w:lineRule="auto"/>
              <w:jc w:val="both"/>
            </w:pPr>
            <w:r>
              <w:rPr>
                <w:rFonts w:ascii="Calibri" w:hAnsi="Calibri" w:cs="Calibri"/>
                <w:color w:val="000000"/>
                <w:sz w:val="22"/>
                <w:szCs w:val="22"/>
              </w:rPr>
              <w:t>Company Size</w:t>
            </w:r>
          </w:p>
        </w:tc>
        <w:tc>
          <w:tcPr>
            <w:tcW w:w="3074" w:type="dxa"/>
            <w:vAlign w:val="center"/>
            <w:hideMark/>
          </w:tcPr>
          <w:p w14:paraId="1F711F4A" w14:textId="77777777" w:rsidR="00A4335E" w:rsidRPr="00D46299" w:rsidRDefault="00A4335E" w:rsidP="00A4335E">
            <w:pPr>
              <w:spacing w:after="160" w:line="278" w:lineRule="auto"/>
              <w:jc w:val="both"/>
            </w:pPr>
          </w:p>
        </w:tc>
        <w:tc>
          <w:tcPr>
            <w:tcW w:w="2700" w:type="dxa"/>
            <w:vAlign w:val="center"/>
            <w:hideMark/>
          </w:tcPr>
          <w:p w14:paraId="014574BD" w14:textId="77777777" w:rsidR="008D3133" w:rsidRDefault="00A4335E" w:rsidP="00A4335E">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5.795*** </w:t>
            </w:r>
          </w:p>
          <w:p w14:paraId="51CA118E" w14:textId="2938C0B4" w:rsidR="00A4335E" w:rsidRPr="00D46299" w:rsidRDefault="00A4335E" w:rsidP="00A4335E">
            <w:pPr>
              <w:spacing w:after="160" w:line="278" w:lineRule="auto"/>
              <w:jc w:val="both"/>
            </w:pPr>
            <w:r>
              <w:rPr>
                <w:rFonts w:ascii="Calibri" w:hAnsi="Calibri" w:cs="Calibri"/>
                <w:color w:val="000000"/>
                <w:sz w:val="22"/>
                <w:szCs w:val="22"/>
              </w:rPr>
              <w:t>(8.965)</w:t>
            </w:r>
          </w:p>
        </w:tc>
      </w:tr>
      <w:tr w:rsidR="00A4335E" w:rsidRPr="00D46299" w14:paraId="3E2085F0" w14:textId="77777777" w:rsidTr="008D3133">
        <w:trPr>
          <w:trHeight w:val="20"/>
        </w:trPr>
        <w:tc>
          <w:tcPr>
            <w:tcW w:w="3586" w:type="dxa"/>
            <w:vAlign w:val="center"/>
            <w:hideMark/>
          </w:tcPr>
          <w:p w14:paraId="1C611FFD" w14:textId="748D9C37" w:rsidR="00A4335E" w:rsidRPr="00D46299" w:rsidRDefault="00A4335E" w:rsidP="00A4335E">
            <w:pPr>
              <w:spacing w:after="160" w:line="278" w:lineRule="auto"/>
              <w:jc w:val="both"/>
            </w:pPr>
            <w:r>
              <w:rPr>
                <w:rFonts w:ascii="Calibri" w:hAnsi="Calibri" w:cs="Calibri"/>
                <w:color w:val="000000"/>
                <w:sz w:val="22"/>
                <w:szCs w:val="22"/>
              </w:rPr>
              <w:t>Leverage Ratio</w:t>
            </w:r>
          </w:p>
        </w:tc>
        <w:tc>
          <w:tcPr>
            <w:tcW w:w="3074" w:type="dxa"/>
            <w:vAlign w:val="center"/>
            <w:hideMark/>
          </w:tcPr>
          <w:p w14:paraId="5514E9C0" w14:textId="77777777" w:rsidR="00A4335E" w:rsidRPr="00D46299" w:rsidRDefault="00A4335E" w:rsidP="00A4335E">
            <w:pPr>
              <w:spacing w:after="160" w:line="278" w:lineRule="auto"/>
              <w:jc w:val="both"/>
            </w:pPr>
          </w:p>
        </w:tc>
        <w:tc>
          <w:tcPr>
            <w:tcW w:w="2700" w:type="dxa"/>
            <w:vAlign w:val="center"/>
            <w:hideMark/>
          </w:tcPr>
          <w:p w14:paraId="613A5BB3" w14:textId="77777777" w:rsidR="008D3133" w:rsidRDefault="00A4335E" w:rsidP="00A4335E">
            <w:pPr>
              <w:tabs>
                <w:tab w:val="left" w:pos="2635"/>
              </w:tabs>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0.965 </w:t>
            </w:r>
          </w:p>
          <w:p w14:paraId="1E585779" w14:textId="609C24BD" w:rsidR="00A4335E" w:rsidRPr="00D46299" w:rsidRDefault="00A4335E" w:rsidP="00A4335E">
            <w:pPr>
              <w:tabs>
                <w:tab w:val="left" w:pos="2635"/>
              </w:tabs>
              <w:spacing w:after="160" w:line="278" w:lineRule="auto"/>
              <w:jc w:val="both"/>
            </w:pPr>
            <w:r>
              <w:rPr>
                <w:rFonts w:ascii="Calibri" w:hAnsi="Calibri" w:cs="Calibri"/>
                <w:color w:val="000000"/>
                <w:sz w:val="22"/>
                <w:szCs w:val="22"/>
              </w:rPr>
              <w:t>(0.235)</w:t>
            </w:r>
          </w:p>
        </w:tc>
      </w:tr>
      <w:tr w:rsidR="00A4335E" w:rsidRPr="00D46299" w14:paraId="01BE40B0" w14:textId="77777777" w:rsidTr="008D3133">
        <w:trPr>
          <w:trHeight w:val="20"/>
        </w:trPr>
        <w:tc>
          <w:tcPr>
            <w:tcW w:w="3586" w:type="dxa"/>
            <w:vAlign w:val="center"/>
            <w:hideMark/>
          </w:tcPr>
          <w:p w14:paraId="00BF1EE2" w14:textId="71A8F3A0" w:rsidR="00A4335E" w:rsidRPr="00D46299" w:rsidRDefault="00A4335E" w:rsidP="00A4335E">
            <w:pPr>
              <w:spacing w:after="160" w:line="278" w:lineRule="auto"/>
              <w:jc w:val="both"/>
            </w:pPr>
            <w:r>
              <w:rPr>
                <w:rFonts w:ascii="Calibri" w:hAnsi="Calibri" w:cs="Calibri"/>
                <w:color w:val="000000"/>
                <w:sz w:val="22"/>
                <w:szCs w:val="22"/>
              </w:rPr>
              <w:t>Return on Assets (ROA)</w:t>
            </w:r>
          </w:p>
        </w:tc>
        <w:tc>
          <w:tcPr>
            <w:tcW w:w="3074" w:type="dxa"/>
            <w:vAlign w:val="center"/>
            <w:hideMark/>
          </w:tcPr>
          <w:p w14:paraId="3F107DA6" w14:textId="77777777" w:rsidR="00A4335E" w:rsidRPr="00D46299" w:rsidRDefault="00A4335E" w:rsidP="00A4335E">
            <w:pPr>
              <w:spacing w:after="160" w:line="278" w:lineRule="auto"/>
              <w:jc w:val="both"/>
            </w:pPr>
          </w:p>
        </w:tc>
        <w:tc>
          <w:tcPr>
            <w:tcW w:w="2700" w:type="dxa"/>
            <w:vAlign w:val="center"/>
            <w:hideMark/>
          </w:tcPr>
          <w:p w14:paraId="2D3FA3E6" w14:textId="77777777" w:rsidR="008D3133" w:rsidRDefault="00A4335E" w:rsidP="00A4335E">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70.640*** </w:t>
            </w:r>
          </w:p>
          <w:p w14:paraId="76B10FF6" w14:textId="16DCBCB2" w:rsidR="00A4335E" w:rsidRPr="00D46299" w:rsidRDefault="00A4335E" w:rsidP="00A4335E">
            <w:pPr>
              <w:spacing w:after="160" w:line="278" w:lineRule="auto"/>
              <w:jc w:val="both"/>
            </w:pPr>
            <w:r>
              <w:rPr>
                <w:rFonts w:ascii="Calibri" w:hAnsi="Calibri" w:cs="Calibri"/>
                <w:color w:val="000000"/>
                <w:sz w:val="22"/>
                <w:szCs w:val="22"/>
              </w:rPr>
              <w:t>(5.460)</w:t>
            </w:r>
          </w:p>
        </w:tc>
      </w:tr>
      <w:tr w:rsidR="00A4335E" w:rsidRPr="00D46299" w14:paraId="33EE220A" w14:textId="77777777" w:rsidTr="008D3133">
        <w:trPr>
          <w:trHeight w:val="20"/>
        </w:trPr>
        <w:tc>
          <w:tcPr>
            <w:tcW w:w="3586" w:type="dxa"/>
            <w:vAlign w:val="center"/>
            <w:hideMark/>
          </w:tcPr>
          <w:p w14:paraId="7AC45E33" w14:textId="116E3CED" w:rsidR="00A4335E" w:rsidRPr="00D46299" w:rsidRDefault="00A4335E" w:rsidP="00A4335E">
            <w:pPr>
              <w:spacing w:after="160" w:line="278" w:lineRule="auto"/>
              <w:jc w:val="both"/>
            </w:pPr>
            <w:r>
              <w:rPr>
                <w:rFonts w:ascii="Calibri" w:hAnsi="Calibri" w:cs="Calibri"/>
                <w:color w:val="000000"/>
                <w:sz w:val="22"/>
                <w:szCs w:val="22"/>
              </w:rPr>
              <w:t>Board Independence</w:t>
            </w:r>
          </w:p>
        </w:tc>
        <w:tc>
          <w:tcPr>
            <w:tcW w:w="3074" w:type="dxa"/>
            <w:vAlign w:val="center"/>
            <w:hideMark/>
          </w:tcPr>
          <w:p w14:paraId="5A5EC88F" w14:textId="77777777" w:rsidR="00A4335E" w:rsidRPr="00D46299" w:rsidRDefault="00A4335E" w:rsidP="00A4335E">
            <w:pPr>
              <w:spacing w:after="160" w:line="278" w:lineRule="auto"/>
              <w:jc w:val="both"/>
            </w:pPr>
          </w:p>
        </w:tc>
        <w:tc>
          <w:tcPr>
            <w:tcW w:w="2700" w:type="dxa"/>
            <w:vAlign w:val="center"/>
            <w:hideMark/>
          </w:tcPr>
          <w:p w14:paraId="1F83C92B" w14:textId="77777777" w:rsidR="008D3133" w:rsidRDefault="00A4335E" w:rsidP="00A4335E">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4.278 </w:t>
            </w:r>
          </w:p>
          <w:p w14:paraId="0140F470" w14:textId="7D7F80F9" w:rsidR="00A4335E" w:rsidRPr="00D46299" w:rsidRDefault="00A4335E" w:rsidP="00A4335E">
            <w:pPr>
              <w:spacing w:after="160" w:line="278" w:lineRule="auto"/>
              <w:jc w:val="both"/>
            </w:pPr>
            <w:r>
              <w:rPr>
                <w:rFonts w:ascii="Calibri" w:hAnsi="Calibri" w:cs="Calibri"/>
                <w:color w:val="000000"/>
                <w:sz w:val="22"/>
                <w:szCs w:val="22"/>
              </w:rPr>
              <w:t>(1.365)</w:t>
            </w:r>
          </w:p>
        </w:tc>
      </w:tr>
      <w:tr w:rsidR="00A4335E" w:rsidRPr="00D46299" w14:paraId="23D98D7F" w14:textId="77777777" w:rsidTr="008D3133">
        <w:trPr>
          <w:trHeight w:val="20"/>
        </w:trPr>
        <w:tc>
          <w:tcPr>
            <w:tcW w:w="3586" w:type="dxa"/>
            <w:vAlign w:val="center"/>
            <w:hideMark/>
          </w:tcPr>
          <w:p w14:paraId="519C99B2" w14:textId="081B086D" w:rsidR="00A4335E" w:rsidRPr="00D46299" w:rsidRDefault="00A4335E" w:rsidP="00A4335E">
            <w:pPr>
              <w:spacing w:after="160" w:line="278" w:lineRule="auto"/>
              <w:jc w:val="both"/>
            </w:pPr>
            <w:r>
              <w:rPr>
                <w:rFonts w:ascii="Calibri" w:hAnsi="Calibri" w:cs="Calibri"/>
                <w:color w:val="000000"/>
                <w:sz w:val="22"/>
                <w:szCs w:val="22"/>
              </w:rPr>
              <w:t>Growth Rate</w:t>
            </w:r>
          </w:p>
        </w:tc>
        <w:tc>
          <w:tcPr>
            <w:tcW w:w="3074" w:type="dxa"/>
            <w:vAlign w:val="center"/>
            <w:hideMark/>
          </w:tcPr>
          <w:p w14:paraId="7FC1329D" w14:textId="77777777" w:rsidR="00A4335E" w:rsidRPr="00D46299" w:rsidRDefault="00A4335E" w:rsidP="00A4335E">
            <w:pPr>
              <w:spacing w:after="160" w:line="278" w:lineRule="auto"/>
              <w:jc w:val="both"/>
            </w:pPr>
          </w:p>
        </w:tc>
        <w:tc>
          <w:tcPr>
            <w:tcW w:w="2700" w:type="dxa"/>
            <w:vAlign w:val="center"/>
            <w:hideMark/>
          </w:tcPr>
          <w:p w14:paraId="4CF8A95E" w14:textId="77777777" w:rsidR="008D3133" w:rsidRDefault="00A4335E" w:rsidP="00A4335E">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-1.890 </w:t>
            </w:r>
          </w:p>
          <w:p w14:paraId="31BFBD9A" w14:textId="1DC94214" w:rsidR="00A4335E" w:rsidRPr="00D46299" w:rsidRDefault="00A4335E" w:rsidP="00A4335E">
            <w:pPr>
              <w:spacing w:after="160" w:line="278" w:lineRule="auto"/>
              <w:jc w:val="both"/>
            </w:pPr>
            <w:r>
              <w:rPr>
                <w:rFonts w:ascii="Calibri" w:hAnsi="Calibri" w:cs="Calibri"/>
                <w:color w:val="000000"/>
                <w:sz w:val="22"/>
                <w:szCs w:val="22"/>
              </w:rPr>
              <w:t>(-1.195)</w:t>
            </w:r>
          </w:p>
        </w:tc>
      </w:tr>
      <w:tr w:rsidR="00A4335E" w:rsidRPr="00D46299" w14:paraId="505DD5E9" w14:textId="77777777" w:rsidTr="008D3133">
        <w:trPr>
          <w:trHeight w:val="20"/>
        </w:trPr>
        <w:tc>
          <w:tcPr>
            <w:tcW w:w="3586" w:type="dxa"/>
            <w:vAlign w:val="center"/>
            <w:hideMark/>
          </w:tcPr>
          <w:p w14:paraId="6C15FEBA" w14:textId="14A7DB9C" w:rsidR="00A4335E" w:rsidRPr="00D46299" w:rsidRDefault="00A4335E" w:rsidP="00A4335E">
            <w:pPr>
              <w:spacing w:after="160" w:line="278" w:lineRule="auto"/>
              <w:jc w:val="both"/>
            </w:pPr>
            <w:r>
              <w:rPr>
                <w:rFonts w:ascii="Calibri" w:hAnsi="Calibri" w:cs="Calibri"/>
                <w:color w:val="000000"/>
                <w:sz w:val="22"/>
                <w:szCs w:val="22"/>
              </w:rPr>
              <w:t>Top Management Ownership</w:t>
            </w:r>
          </w:p>
        </w:tc>
        <w:tc>
          <w:tcPr>
            <w:tcW w:w="3074" w:type="dxa"/>
            <w:vAlign w:val="center"/>
            <w:hideMark/>
          </w:tcPr>
          <w:p w14:paraId="22DA0B40" w14:textId="77777777" w:rsidR="00A4335E" w:rsidRPr="00D46299" w:rsidRDefault="00A4335E" w:rsidP="00A4335E">
            <w:pPr>
              <w:spacing w:after="160" w:line="278" w:lineRule="auto"/>
              <w:jc w:val="both"/>
            </w:pPr>
          </w:p>
        </w:tc>
        <w:tc>
          <w:tcPr>
            <w:tcW w:w="2700" w:type="dxa"/>
            <w:vAlign w:val="center"/>
            <w:hideMark/>
          </w:tcPr>
          <w:p w14:paraId="11FDD6FA" w14:textId="77777777" w:rsidR="008D3133" w:rsidRDefault="00A4335E" w:rsidP="00A4335E">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-6.015 </w:t>
            </w:r>
          </w:p>
          <w:p w14:paraId="21EE5C76" w14:textId="7A866C83" w:rsidR="00A4335E" w:rsidRPr="00D46299" w:rsidRDefault="00A4335E" w:rsidP="00A4335E">
            <w:pPr>
              <w:spacing w:after="160" w:line="278" w:lineRule="auto"/>
              <w:jc w:val="both"/>
            </w:pPr>
            <w:r>
              <w:rPr>
                <w:rFonts w:ascii="Calibri" w:hAnsi="Calibri" w:cs="Calibri"/>
                <w:color w:val="000000"/>
                <w:sz w:val="22"/>
                <w:szCs w:val="22"/>
              </w:rPr>
              <w:t>(-1.435)</w:t>
            </w:r>
          </w:p>
        </w:tc>
      </w:tr>
      <w:tr w:rsidR="00A4335E" w:rsidRPr="00D46299" w14:paraId="4F6424CF" w14:textId="77777777" w:rsidTr="008D3133">
        <w:trPr>
          <w:trHeight w:val="20"/>
        </w:trPr>
        <w:tc>
          <w:tcPr>
            <w:tcW w:w="3586" w:type="dxa"/>
            <w:vAlign w:val="center"/>
            <w:hideMark/>
          </w:tcPr>
          <w:p w14:paraId="3AE42A94" w14:textId="1D2A98F8" w:rsidR="00A4335E" w:rsidRPr="00D46299" w:rsidRDefault="00A4335E" w:rsidP="00A4335E">
            <w:pPr>
              <w:spacing w:after="160" w:line="278" w:lineRule="auto"/>
              <w:jc w:val="both"/>
            </w:pPr>
            <w:r>
              <w:rPr>
                <w:rFonts w:ascii="Calibri" w:hAnsi="Calibri" w:cs="Calibri"/>
                <w:color w:val="000000"/>
                <w:sz w:val="22"/>
                <w:szCs w:val="22"/>
              </w:rPr>
              <w:t>Firm Age</w:t>
            </w:r>
          </w:p>
        </w:tc>
        <w:tc>
          <w:tcPr>
            <w:tcW w:w="3074" w:type="dxa"/>
            <w:vAlign w:val="center"/>
            <w:hideMark/>
          </w:tcPr>
          <w:p w14:paraId="5E424EEC" w14:textId="77777777" w:rsidR="00A4335E" w:rsidRPr="00D46299" w:rsidRDefault="00A4335E" w:rsidP="00A4335E">
            <w:pPr>
              <w:spacing w:after="160" w:line="278" w:lineRule="auto"/>
              <w:jc w:val="both"/>
            </w:pPr>
          </w:p>
        </w:tc>
        <w:tc>
          <w:tcPr>
            <w:tcW w:w="2700" w:type="dxa"/>
            <w:vAlign w:val="center"/>
            <w:hideMark/>
          </w:tcPr>
          <w:p w14:paraId="30DAA7CD" w14:textId="2397B523" w:rsidR="00A4335E" w:rsidRPr="00D46299" w:rsidRDefault="00A4335E" w:rsidP="00A4335E">
            <w:pPr>
              <w:spacing w:after="160" w:line="278" w:lineRule="auto"/>
              <w:jc w:val="both"/>
            </w:pPr>
            <w:r>
              <w:rPr>
                <w:rFonts w:ascii="Calibri" w:hAnsi="Calibri" w:cs="Calibri"/>
                <w:color w:val="000000"/>
                <w:sz w:val="22"/>
                <w:szCs w:val="22"/>
              </w:rPr>
              <w:t>4.310*** (4.205)</w:t>
            </w:r>
          </w:p>
        </w:tc>
      </w:tr>
      <w:tr w:rsidR="00A4335E" w:rsidRPr="00D46299" w14:paraId="2062735A" w14:textId="77777777" w:rsidTr="008D3133">
        <w:trPr>
          <w:trHeight w:val="20"/>
        </w:trPr>
        <w:tc>
          <w:tcPr>
            <w:tcW w:w="3586" w:type="dxa"/>
            <w:vAlign w:val="center"/>
            <w:hideMark/>
          </w:tcPr>
          <w:p w14:paraId="4FE50206" w14:textId="193D4539" w:rsidR="00A4335E" w:rsidRPr="00D46299" w:rsidRDefault="00A4335E" w:rsidP="00A4335E">
            <w:pPr>
              <w:spacing w:after="160" w:line="278" w:lineRule="auto"/>
              <w:jc w:val="both"/>
            </w:pPr>
            <w:r>
              <w:rPr>
                <w:rFonts w:ascii="Calibri" w:hAnsi="Calibri" w:cs="Calibri"/>
                <w:color w:val="000000"/>
                <w:sz w:val="22"/>
                <w:szCs w:val="22"/>
              </w:rPr>
              <w:t>Constant</w:t>
            </w:r>
          </w:p>
        </w:tc>
        <w:tc>
          <w:tcPr>
            <w:tcW w:w="3074" w:type="dxa"/>
            <w:vAlign w:val="center"/>
            <w:hideMark/>
          </w:tcPr>
          <w:p w14:paraId="2153EC36" w14:textId="77777777" w:rsidR="008D3133" w:rsidRDefault="00A4335E" w:rsidP="00A4335E">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-4.660*** </w:t>
            </w:r>
          </w:p>
          <w:p w14:paraId="1F8B7E71" w14:textId="522CF230" w:rsidR="00A4335E" w:rsidRPr="00D46299" w:rsidRDefault="00A4335E" w:rsidP="00A4335E">
            <w:pPr>
              <w:spacing w:after="160" w:line="278" w:lineRule="auto"/>
              <w:jc w:val="both"/>
            </w:pPr>
            <w:r>
              <w:rPr>
                <w:rFonts w:ascii="Calibri" w:hAnsi="Calibri" w:cs="Calibri"/>
                <w:color w:val="000000"/>
                <w:sz w:val="22"/>
                <w:szCs w:val="22"/>
              </w:rPr>
              <w:t>(-6.910)</w:t>
            </w:r>
          </w:p>
        </w:tc>
        <w:tc>
          <w:tcPr>
            <w:tcW w:w="2700" w:type="dxa"/>
            <w:vAlign w:val="center"/>
            <w:hideMark/>
          </w:tcPr>
          <w:p w14:paraId="40867FDA" w14:textId="77777777" w:rsidR="008D3133" w:rsidRDefault="00A4335E" w:rsidP="00A4335E">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-128.260*** </w:t>
            </w:r>
          </w:p>
          <w:p w14:paraId="457E7BDC" w14:textId="2B99A61D" w:rsidR="00A4335E" w:rsidRPr="00D46299" w:rsidRDefault="00A4335E" w:rsidP="00A4335E">
            <w:pPr>
              <w:spacing w:after="160" w:line="278" w:lineRule="auto"/>
              <w:jc w:val="both"/>
            </w:pPr>
            <w:r>
              <w:rPr>
                <w:rFonts w:ascii="Calibri" w:hAnsi="Calibri" w:cs="Calibri"/>
                <w:color w:val="000000"/>
                <w:sz w:val="22"/>
                <w:szCs w:val="22"/>
              </w:rPr>
              <w:t>(-10.790)</w:t>
            </w:r>
          </w:p>
        </w:tc>
      </w:tr>
      <w:tr w:rsidR="00D42A60" w:rsidRPr="00D46299" w14:paraId="51FD0B96" w14:textId="77777777" w:rsidTr="008D3133">
        <w:trPr>
          <w:trHeight w:val="20"/>
        </w:trPr>
        <w:tc>
          <w:tcPr>
            <w:tcW w:w="3586" w:type="dxa"/>
            <w:vAlign w:val="center"/>
            <w:hideMark/>
          </w:tcPr>
          <w:p w14:paraId="7BF001A8" w14:textId="02F1590C" w:rsidR="00D42A60" w:rsidRPr="00D46299" w:rsidRDefault="00D42A60" w:rsidP="00D42A60">
            <w:pPr>
              <w:spacing w:after="160" w:line="278" w:lineRule="auto"/>
              <w:jc w:val="both"/>
            </w:pPr>
            <w:r w:rsidRPr="00343B6B">
              <w:rPr>
                <w:rFonts w:ascii="Calibri" w:hAnsi="Calibri" w:cs="Calibri"/>
                <w:color w:val="000000"/>
                <w:sz w:val="22"/>
                <w:szCs w:val="22"/>
              </w:rPr>
              <w:t>Annual Fixed Effects</w:t>
            </w:r>
          </w:p>
        </w:tc>
        <w:tc>
          <w:tcPr>
            <w:tcW w:w="3074" w:type="dxa"/>
            <w:vAlign w:val="center"/>
            <w:hideMark/>
          </w:tcPr>
          <w:p w14:paraId="417C928D" w14:textId="454468F6" w:rsidR="00D42A60" w:rsidRPr="00D46299" w:rsidRDefault="00D42A60" w:rsidP="00D42A60">
            <w:pPr>
              <w:spacing w:after="160" w:line="278" w:lineRule="auto"/>
              <w:jc w:val="both"/>
            </w:pPr>
            <w:r>
              <w:rPr>
                <w:rFonts w:ascii="Calibri" w:hAnsi="Calibri" w:cs="Calibri"/>
                <w:color w:val="000000"/>
                <w:sz w:val="22"/>
                <w:szCs w:val="22"/>
              </w:rPr>
              <w:t>control</w:t>
            </w:r>
          </w:p>
        </w:tc>
        <w:tc>
          <w:tcPr>
            <w:tcW w:w="2700" w:type="dxa"/>
            <w:vAlign w:val="center"/>
            <w:hideMark/>
          </w:tcPr>
          <w:p w14:paraId="630F0343" w14:textId="5ACB8EE8" w:rsidR="00D42A60" w:rsidRPr="00D46299" w:rsidRDefault="00D42A60" w:rsidP="00D42A60">
            <w:pPr>
              <w:spacing w:after="160" w:line="278" w:lineRule="auto"/>
              <w:jc w:val="both"/>
            </w:pPr>
            <w:r>
              <w:rPr>
                <w:rFonts w:ascii="Calibri" w:hAnsi="Calibri" w:cs="Calibri"/>
                <w:color w:val="000000"/>
                <w:sz w:val="22"/>
                <w:szCs w:val="22"/>
              </w:rPr>
              <w:t>control</w:t>
            </w:r>
          </w:p>
        </w:tc>
      </w:tr>
      <w:tr w:rsidR="00D42A60" w:rsidRPr="00D46299" w14:paraId="51451F10" w14:textId="77777777" w:rsidTr="008D3133">
        <w:trPr>
          <w:trHeight w:val="20"/>
        </w:trPr>
        <w:tc>
          <w:tcPr>
            <w:tcW w:w="3586" w:type="dxa"/>
            <w:vAlign w:val="center"/>
            <w:hideMark/>
          </w:tcPr>
          <w:p w14:paraId="73B2690F" w14:textId="7B034CF9" w:rsidR="00D42A60" w:rsidRPr="00D46299" w:rsidRDefault="00D42A60" w:rsidP="00D42A60">
            <w:pPr>
              <w:spacing w:after="160" w:line="278" w:lineRule="auto"/>
              <w:jc w:val="both"/>
            </w:pPr>
            <w:r w:rsidRPr="00343B6B">
              <w:rPr>
                <w:rFonts w:ascii="Calibri" w:hAnsi="Calibri" w:cs="Calibri"/>
                <w:color w:val="000000"/>
                <w:sz w:val="22"/>
                <w:szCs w:val="22"/>
              </w:rPr>
              <w:t>Sector Fixed Effects</w:t>
            </w:r>
          </w:p>
        </w:tc>
        <w:tc>
          <w:tcPr>
            <w:tcW w:w="3074" w:type="dxa"/>
            <w:vAlign w:val="center"/>
            <w:hideMark/>
          </w:tcPr>
          <w:p w14:paraId="1E75500C" w14:textId="3F3C2A6B" w:rsidR="00D42A60" w:rsidRPr="00D46299" w:rsidRDefault="00D42A60" w:rsidP="00D42A60">
            <w:pPr>
              <w:spacing w:after="160" w:line="278" w:lineRule="auto"/>
              <w:jc w:val="both"/>
            </w:pPr>
            <w:r>
              <w:rPr>
                <w:rFonts w:ascii="Calibri" w:hAnsi="Calibri" w:cs="Calibri"/>
                <w:color w:val="000000"/>
                <w:sz w:val="22"/>
                <w:szCs w:val="22"/>
              </w:rPr>
              <w:t>control</w:t>
            </w:r>
          </w:p>
        </w:tc>
        <w:tc>
          <w:tcPr>
            <w:tcW w:w="2700" w:type="dxa"/>
            <w:vAlign w:val="center"/>
            <w:hideMark/>
          </w:tcPr>
          <w:p w14:paraId="158CAFE8" w14:textId="24B93411" w:rsidR="00D42A60" w:rsidRPr="00D46299" w:rsidRDefault="00D42A60" w:rsidP="00D42A60">
            <w:pPr>
              <w:spacing w:after="160" w:line="278" w:lineRule="auto"/>
              <w:jc w:val="both"/>
            </w:pPr>
            <w:r>
              <w:rPr>
                <w:rFonts w:ascii="Calibri" w:hAnsi="Calibri" w:cs="Calibri"/>
                <w:color w:val="000000"/>
                <w:sz w:val="22"/>
                <w:szCs w:val="22"/>
              </w:rPr>
              <w:t>control</w:t>
            </w:r>
          </w:p>
        </w:tc>
      </w:tr>
      <w:tr w:rsidR="00D42A60" w:rsidRPr="00D46299" w14:paraId="2E8A2214" w14:textId="77777777" w:rsidTr="008D3133">
        <w:trPr>
          <w:trHeight w:val="20"/>
        </w:trPr>
        <w:tc>
          <w:tcPr>
            <w:tcW w:w="3586" w:type="dxa"/>
            <w:vAlign w:val="center"/>
            <w:hideMark/>
          </w:tcPr>
          <w:p w14:paraId="63C58319" w14:textId="2E30936F" w:rsidR="00D42A60" w:rsidRPr="00D46299" w:rsidRDefault="00D42A60" w:rsidP="00D42A60">
            <w:pPr>
              <w:spacing w:after="160" w:line="278" w:lineRule="auto"/>
              <w:jc w:val="both"/>
            </w:pPr>
            <w:r w:rsidRPr="00343B6B">
              <w:rPr>
                <w:rFonts w:ascii="Calibri" w:hAnsi="Calibri" w:cs="Calibri"/>
                <w:color w:val="000000"/>
                <w:sz w:val="22"/>
                <w:szCs w:val="22"/>
              </w:rPr>
              <w:t>Sample Size</w:t>
            </w:r>
          </w:p>
        </w:tc>
        <w:tc>
          <w:tcPr>
            <w:tcW w:w="3074" w:type="dxa"/>
            <w:vAlign w:val="center"/>
            <w:hideMark/>
          </w:tcPr>
          <w:p w14:paraId="2B435191" w14:textId="1213CC8D" w:rsidR="00D42A60" w:rsidRPr="00D46299" w:rsidRDefault="00276754" w:rsidP="00D42A60">
            <w:pPr>
              <w:spacing w:after="160" w:line="278" w:lineRule="auto"/>
              <w:jc w:val="both"/>
            </w:pPr>
            <w:r>
              <w:rPr>
                <w:rFonts w:ascii="Calibri" w:hAnsi="Calibri" w:cs="Calibri"/>
                <w:color w:val="000000"/>
                <w:sz w:val="22"/>
                <w:szCs w:val="22"/>
              </w:rPr>
              <w:t>8473</w:t>
            </w:r>
          </w:p>
        </w:tc>
        <w:tc>
          <w:tcPr>
            <w:tcW w:w="2700" w:type="dxa"/>
            <w:vAlign w:val="center"/>
            <w:hideMark/>
          </w:tcPr>
          <w:p w14:paraId="509CE857" w14:textId="01443B5B" w:rsidR="00D42A60" w:rsidRPr="00D46299" w:rsidRDefault="00276754" w:rsidP="00D42A60">
            <w:pPr>
              <w:spacing w:after="160" w:line="278" w:lineRule="auto"/>
              <w:jc w:val="both"/>
            </w:pPr>
            <w:r>
              <w:rPr>
                <w:rFonts w:ascii="Calibri" w:hAnsi="Calibri" w:cs="Calibri"/>
                <w:color w:val="000000"/>
                <w:sz w:val="22"/>
                <w:szCs w:val="22"/>
              </w:rPr>
              <w:t>8473</w:t>
            </w:r>
          </w:p>
        </w:tc>
      </w:tr>
      <w:tr w:rsidR="00D42A60" w:rsidRPr="00D46299" w14:paraId="51537BA5" w14:textId="77777777" w:rsidTr="008D3133">
        <w:trPr>
          <w:trHeight w:val="20"/>
        </w:trPr>
        <w:tc>
          <w:tcPr>
            <w:tcW w:w="3586" w:type="dxa"/>
            <w:vAlign w:val="center"/>
            <w:hideMark/>
          </w:tcPr>
          <w:p w14:paraId="044A3641" w14:textId="219C8249" w:rsidR="00D42A60" w:rsidRPr="00D46299" w:rsidRDefault="00D42A60" w:rsidP="00D42A60">
            <w:pPr>
              <w:spacing w:after="160" w:line="278" w:lineRule="auto"/>
              <w:jc w:val="both"/>
            </w:pPr>
            <w:r>
              <w:rPr>
                <w:rFonts w:ascii="Calibri" w:hAnsi="Calibri" w:cs="Calibri"/>
                <w:color w:val="000000"/>
                <w:sz w:val="22"/>
                <w:szCs w:val="22"/>
              </w:rPr>
              <w:t>R</w:t>
            </w:r>
            <w:r w:rsidRPr="00343B6B">
              <w:rPr>
                <w:rFonts w:ascii="Calibri" w:hAnsi="Calibri" w:cs="Calibri"/>
                <w:color w:val="000000"/>
                <w:sz w:val="22"/>
                <w:szCs w:val="22"/>
                <w:vertAlign w:val="superscript"/>
              </w:rPr>
              <w:t>2</w:t>
            </w:r>
          </w:p>
        </w:tc>
        <w:tc>
          <w:tcPr>
            <w:tcW w:w="3074" w:type="dxa"/>
            <w:vAlign w:val="center"/>
            <w:hideMark/>
          </w:tcPr>
          <w:p w14:paraId="2E101F0D" w14:textId="3EF96F6F" w:rsidR="00D42A60" w:rsidRPr="00D46299" w:rsidRDefault="00D42A60" w:rsidP="00D42A60">
            <w:pPr>
              <w:spacing w:after="160" w:line="278" w:lineRule="auto"/>
              <w:jc w:val="both"/>
            </w:pPr>
            <w:r>
              <w:rPr>
                <w:rFonts w:ascii="Calibri" w:hAnsi="Calibri" w:cs="Calibri"/>
                <w:color w:val="000000"/>
                <w:sz w:val="22"/>
                <w:szCs w:val="22"/>
              </w:rPr>
              <w:t>0.11</w:t>
            </w:r>
          </w:p>
        </w:tc>
        <w:tc>
          <w:tcPr>
            <w:tcW w:w="2700" w:type="dxa"/>
            <w:vAlign w:val="center"/>
            <w:hideMark/>
          </w:tcPr>
          <w:p w14:paraId="3B83FB7B" w14:textId="3DB49EAC" w:rsidR="00D42A60" w:rsidRPr="00D46299" w:rsidRDefault="00D42A60" w:rsidP="00D42A60">
            <w:pPr>
              <w:spacing w:after="160" w:line="278" w:lineRule="auto"/>
              <w:jc w:val="both"/>
            </w:pPr>
            <w:r>
              <w:rPr>
                <w:rFonts w:ascii="Calibri" w:hAnsi="Calibri" w:cs="Calibri"/>
                <w:color w:val="000000"/>
                <w:sz w:val="22"/>
                <w:szCs w:val="22"/>
              </w:rPr>
              <w:t>0.13</w:t>
            </w:r>
          </w:p>
        </w:tc>
      </w:tr>
    </w:tbl>
    <w:p w14:paraId="5CDD5FC9" w14:textId="2F504297" w:rsidR="00077054" w:rsidRDefault="0098443C" w:rsidP="005C2B73">
      <w:pPr>
        <w:jc w:val="both"/>
      </w:pPr>
      <w:r>
        <w:t xml:space="preserve">Note: </w:t>
      </w:r>
      <w:r w:rsidRPr="001B2E05">
        <w:t>***, **, and * denote statistical significance at the 1% (p &lt; 0.01), 5% (p &lt; 0.05), and 10% (p &lt; 0.10) levels, respectively. T-values are provided in parentheses</w:t>
      </w:r>
      <w:r w:rsidR="00077054" w:rsidRPr="00077054">
        <w:t>.</w:t>
      </w:r>
    </w:p>
    <w:p w14:paraId="26B409B3" w14:textId="2FA765F1" w:rsidR="008646B8" w:rsidRDefault="00284CCA" w:rsidP="005C2B73">
      <w:pPr>
        <w:jc w:val="both"/>
      </w:pPr>
      <w:r w:rsidRPr="00284CCA">
        <w:t>Pakistan Sustainable Index (PSI) is an ESG (Environmental, Social</w:t>
      </w:r>
      <w:r>
        <w:t xml:space="preserve">, and Governance) rating product that measures the </w:t>
      </w:r>
      <w:r w:rsidRPr="00284CCA">
        <w:t>weighted corporate sustainable performance of traded companies. These ratings range from AAA to C</w:t>
      </w:r>
      <w:r>
        <w:t>, and their performance is</w:t>
      </w:r>
      <w:r w:rsidRPr="00284CCA">
        <w:t xml:space="preserve"> rated with values from 1 to 9, order ascending, 1 being best and 9 being worst. In fact, this study introduces a vector of control variables </w:t>
      </w:r>
      <w:r>
        <w:t xml:space="preserve">to provide a comprehensive analysis </w:t>
      </w:r>
      <w:r w:rsidR="002A4868">
        <w:t>(</w:t>
      </w:r>
      <w:r>
        <w:t>Shahzad, Akhlaq</w:t>
      </w:r>
      <w:r w:rsidRPr="00284CCA">
        <w:t xml:space="preserve"> </w:t>
      </w:r>
      <w:r w:rsidR="002A4868">
        <w:t>&amp;</w:t>
      </w:r>
      <w:r w:rsidRPr="00284CCA">
        <w:t xml:space="preserve"> Ghaffar</w:t>
      </w:r>
      <w:r w:rsidR="002A4868">
        <w:t xml:space="preserve">, </w:t>
      </w:r>
      <w:r w:rsidRPr="00284CCA">
        <w:t xml:space="preserve">2024). </w:t>
      </w:r>
      <w:r w:rsidR="00936BB0" w:rsidRPr="00936BB0">
        <w:t>The variables include the size of the board (Board), the age of the company (Age</w:t>
      </w:r>
      <w:r w:rsidR="0094721A" w:rsidRPr="00936BB0">
        <w:t xml:space="preserve">), the equity concentration (Top 1), </w:t>
      </w:r>
      <w:r w:rsidR="00936BB0" w:rsidRPr="00936BB0">
        <w:t xml:space="preserve">the return on assets (ROA), </w:t>
      </w:r>
      <w:r w:rsidR="0094721A" w:rsidRPr="00936BB0">
        <w:t>the growth rate (Growth),</w:t>
      </w:r>
      <w:r w:rsidR="0094721A">
        <w:t xml:space="preserve"> </w:t>
      </w:r>
      <w:r w:rsidR="00936BB0" w:rsidRPr="00936BB0">
        <w:t xml:space="preserve">and the total firm assets (Size). </w:t>
      </w:r>
      <w:r w:rsidR="0094721A" w:rsidRPr="0094721A">
        <w:t>Return on Assets (ROA) is a company's net income divided by its total assets for a given year. The size of a firm is quantified by calculating the natural logarithm of its total market value</w:t>
      </w:r>
      <w:r w:rsidR="0094721A">
        <w:t>.</w:t>
      </w:r>
      <w:r w:rsidR="00936BB0" w:rsidRPr="00936BB0">
        <w:t xml:space="preserve"> </w:t>
      </w:r>
      <w:r w:rsidR="008B6FC2" w:rsidRPr="008B6FC2">
        <w:t xml:space="preserve"> Growth is characteri</w:t>
      </w:r>
      <w:r w:rsidR="006C65A1">
        <w:t>z</w:t>
      </w:r>
      <w:r w:rsidR="008B6FC2" w:rsidRPr="008B6FC2">
        <w:t xml:space="preserve">ed by the rate of increase in operating revenue, indicating the company's capacity for expansion. </w:t>
      </w:r>
      <w:r w:rsidR="0094721A" w:rsidRPr="0094721A">
        <w:t>Equity concentration, indicated by Top1, denotes the percentage</w:t>
      </w:r>
      <w:r w:rsidR="003941B7">
        <w:t xml:space="preserve"> of</w:t>
      </w:r>
      <w:r w:rsidR="0094721A" w:rsidRPr="0094721A">
        <w:t xml:space="preserve"> </w:t>
      </w:r>
      <w:r w:rsidR="003941B7" w:rsidRPr="0094721A">
        <w:t>ownership</w:t>
      </w:r>
      <w:r w:rsidR="003941B7">
        <w:t xml:space="preserve"> the principal shareholders possess</w:t>
      </w:r>
      <w:r w:rsidR="006C65A1" w:rsidRPr="006C65A1">
        <w:t xml:space="preserve">. Firm age, which indicates longevity and experience, is determined by the amount of time that has passed since the company's first stock market listing. The complexity and level of experience of the governance structure are reflected in the size of the board, </w:t>
      </w:r>
      <w:r w:rsidR="00BA5D7C" w:rsidRPr="00BA5D7C">
        <w:t xml:space="preserve">quantified as the logarithm of the total </w:t>
      </w:r>
      <w:r w:rsidR="004C14FF" w:rsidRPr="00BA5D7C">
        <w:t>figure</w:t>
      </w:r>
      <w:r w:rsidR="00BA5D7C" w:rsidRPr="00BA5D7C">
        <w:t xml:space="preserve"> of directors</w:t>
      </w:r>
      <w:r w:rsidR="00A35D69" w:rsidRPr="00A35D69">
        <w:t xml:space="preserve">. By incorporating these variables, the study aims </w:t>
      </w:r>
      <w:r w:rsidR="00876EA8">
        <w:t>to understand better</w:t>
      </w:r>
      <w:r w:rsidR="00A35D69" w:rsidRPr="00A35D69">
        <w:t xml:space="preserve"> the factors influencing </w:t>
      </w:r>
      <w:r w:rsidR="004F746A">
        <w:t>SCB</w:t>
      </w:r>
      <w:r w:rsidR="00A35D69" w:rsidRPr="00A35D69">
        <w:t xml:space="preserve"> in </w:t>
      </w:r>
      <w:r w:rsidR="00931AFC">
        <w:t>family-run businesses</w:t>
      </w:r>
      <w:r w:rsidR="00A35D69" w:rsidRPr="00A35D69">
        <w:t>.</w:t>
      </w:r>
    </w:p>
    <w:p w14:paraId="14DB1834" w14:textId="77777777" w:rsidR="00EC1F0F" w:rsidRDefault="00657100" w:rsidP="005C2B73">
      <w:pPr>
        <w:jc w:val="both"/>
        <w:rPr>
          <w:i/>
          <w:iCs/>
        </w:rPr>
      </w:pPr>
      <w:r w:rsidRPr="00657100">
        <w:rPr>
          <w:i/>
          <w:iCs/>
        </w:rPr>
        <w:t xml:space="preserve">3.2. Variables </w:t>
      </w:r>
    </w:p>
    <w:p w14:paraId="798A0C7F" w14:textId="2E7CDCB9" w:rsidR="00657100" w:rsidRDefault="00234BFE" w:rsidP="005C2B73">
      <w:pPr>
        <w:jc w:val="both"/>
      </w:pPr>
      <w:r w:rsidRPr="00234BFE">
        <w:t xml:space="preserve">This study focused on </w:t>
      </w:r>
      <w:r w:rsidR="00931AFC">
        <w:t>family-run businesses</w:t>
      </w:r>
      <w:r w:rsidRPr="00234BFE">
        <w:t xml:space="preserve"> </w:t>
      </w:r>
      <w:r w:rsidR="00F624DC" w:rsidRPr="00234BFE">
        <w:t>registered</w:t>
      </w:r>
      <w:r w:rsidRPr="00234BFE">
        <w:t xml:space="preserve"> in Pakistan between 200</w:t>
      </w:r>
      <w:r w:rsidR="00D111B0">
        <w:t>9</w:t>
      </w:r>
      <w:r w:rsidRPr="00234BFE">
        <w:t xml:space="preserve"> </w:t>
      </w:r>
      <w:r w:rsidR="00F624DC">
        <w:t>to</w:t>
      </w:r>
      <w:r w:rsidRPr="00234BFE">
        <w:t xml:space="preserve"> 202</w:t>
      </w:r>
      <w:r w:rsidR="00D111B0">
        <w:t>2</w:t>
      </w:r>
      <w:r w:rsidRPr="00234BFE">
        <w:t xml:space="preserve"> as the sample for analysis. </w:t>
      </w:r>
      <w:r w:rsidR="00463C27" w:rsidRPr="00463C27">
        <w:t xml:space="preserve">A family business is </w:t>
      </w:r>
      <w:r w:rsidR="00463C27">
        <w:t>characterized by the degree to which a family influences business operations through the interaction of family member's</w:t>
      </w:r>
      <w:r w:rsidR="00463C27" w:rsidRPr="00463C27">
        <w:t xml:space="preserve"> involvement in the enterprise and ownership</w:t>
      </w:r>
      <w:r w:rsidRPr="00234BFE">
        <w:t xml:space="preserve">. Following the removal of ST and *ST companies, as well as samples from the financial and insurance sectors, and eliminating those with substantial data gaps or irregularities, a total of </w:t>
      </w:r>
      <w:r w:rsidR="00276754">
        <w:t>8473</w:t>
      </w:r>
      <w:r w:rsidRPr="00234BFE">
        <w:t xml:space="preserve"> observations were collected (Chang et al., 2021; Shahzad et al., 2024). </w:t>
      </w:r>
      <w:r w:rsidR="00C726A4" w:rsidRPr="00C726A4">
        <w:t>The Pakistan Stock Exchange (PSX) database served as the primary source of the control variables used in this investigation</w:t>
      </w:r>
      <w:r w:rsidR="006B2673">
        <w:t xml:space="preserve"> (Shahid &amp; Sattar)</w:t>
      </w:r>
      <w:r w:rsidR="00C726A4" w:rsidRPr="00C726A4">
        <w:t xml:space="preserve">. S&amp;P Global and the Securities and Exchange Commission of Pakistan (SECP) provided the data used in the ESG ratings. Data was meticulously gathered and arranged from official company websites, annual reports, and other online resources like the Pakistan Information Network and </w:t>
      </w:r>
      <w:proofErr w:type="spellStart"/>
      <w:r w:rsidR="00C726A4" w:rsidRPr="00C726A4">
        <w:t>PakData</w:t>
      </w:r>
      <w:proofErr w:type="spellEnd"/>
      <w:r w:rsidR="00C726A4" w:rsidRPr="00C726A4">
        <w:t xml:space="preserve"> for the moderating factor of the founder's political identity and the explanatory variable of intragenerational succession in family-run businesses (Ahmad &amp; Yaseen, 2018; Bokhari et al., 2020)</w:t>
      </w:r>
      <w:r w:rsidRPr="00234BFE">
        <w:t xml:space="preserve">. </w:t>
      </w:r>
      <w:r w:rsidR="00657100" w:rsidRPr="00657100">
        <w:t xml:space="preserve"> </w:t>
      </w:r>
    </w:p>
    <w:p w14:paraId="106BC714" w14:textId="3A4EBD08" w:rsidR="009F6144" w:rsidRPr="00D46299" w:rsidRDefault="00FA415F" w:rsidP="009F6144">
      <w:pPr>
        <w:jc w:val="both"/>
        <w:rPr>
          <w:b/>
          <w:bCs/>
        </w:rPr>
      </w:pPr>
      <w:r w:rsidRPr="00FA415F">
        <w:rPr>
          <w:b/>
          <w:bCs/>
        </w:rPr>
        <w:t>Table 3: Diverse Outcomes Based on Privatization Degree</w:t>
      </w:r>
    </w:p>
    <w:tbl>
      <w:tblPr>
        <w:tblStyle w:val="TableGrid"/>
        <w:tblW w:w="9360" w:type="dxa"/>
        <w:tblInd w:w="108" w:type="dxa"/>
        <w:tblLook w:val="04A0" w:firstRow="1" w:lastRow="0" w:firstColumn="1" w:lastColumn="0" w:noHBand="0" w:noVBand="1"/>
      </w:tblPr>
      <w:tblGrid>
        <w:gridCol w:w="3330"/>
        <w:gridCol w:w="3330"/>
        <w:gridCol w:w="2700"/>
      </w:tblGrid>
      <w:tr w:rsidR="009F6144" w:rsidRPr="00D46299" w14:paraId="641ABB1E" w14:textId="77777777" w:rsidTr="00ED22AC">
        <w:trPr>
          <w:trHeight w:val="1007"/>
        </w:trPr>
        <w:tc>
          <w:tcPr>
            <w:tcW w:w="3330" w:type="dxa"/>
            <w:hideMark/>
          </w:tcPr>
          <w:p w14:paraId="11C10C21" w14:textId="77777777" w:rsidR="009F6144" w:rsidRPr="00D46299" w:rsidRDefault="009F6144" w:rsidP="005B39B3">
            <w:pPr>
              <w:spacing w:line="278" w:lineRule="auto"/>
              <w:jc w:val="both"/>
              <w:rPr>
                <w:b/>
                <w:bCs/>
              </w:rPr>
            </w:pPr>
            <w:r w:rsidRPr="00D46299">
              <w:rPr>
                <w:b/>
                <w:bCs/>
              </w:rPr>
              <w:t>Variable</w:t>
            </w:r>
          </w:p>
        </w:tc>
        <w:tc>
          <w:tcPr>
            <w:tcW w:w="3330" w:type="dxa"/>
            <w:hideMark/>
          </w:tcPr>
          <w:p w14:paraId="35FB1ADE" w14:textId="77777777" w:rsidR="009F6144" w:rsidRDefault="009F6144" w:rsidP="005B39B3">
            <w:pPr>
              <w:spacing w:line="278" w:lineRule="auto"/>
              <w:jc w:val="center"/>
              <w:rPr>
                <w:b/>
                <w:bCs/>
              </w:rPr>
            </w:pPr>
            <w:r w:rsidRPr="00D46299">
              <w:rPr>
                <w:b/>
                <w:bCs/>
              </w:rPr>
              <w:t>(1)</w:t>
            </w:r>
          </w:p>
          <w:p w14:paraId="7D42780F" w14:textId="0116206F" w:rsidR="009F6144" w:rsidRDefault="004F746A" w:rsidP="005B39B3">
            <w:pPr>
              <w:spacing w:line="278" w:lineRule="auto"/>
              <w:jc w:val="center"/>
            </w:pPr>
            <w:r>
              <w:t>SCB</w:t>
            </w:r>
          </w:p>
          <w:p w14:paraId="7A04C73D" w14:textId="14882F36" w:rsidR="009F6144" w:rsidRPr="00D46299" w:rsidRDefault="009F6144" w:rsidP="005B39B3">
            <w:pPr>
              <w:spacing w:line="278" w:lineRule="auto"/>
              <w:jc w:val="center"/>
              <w:rPr>
                <w:b/>
                <w:bCs/>
              </w:rPr>
            </w:pPr>
            <w:r w:rsidRPr="00D46299">
              <w:rPr>
                <w:b/>
                <w:bCs/>
              </w:rPr>
              <w:t xml:space="preserve">High </w:t>
            </w:r>
            <w:r w:rsidR="002460D6">
              <w:rPr>
                <w:b/>
                <w:bCs/>
              </w:rPr>
              <w:t>Privatization</w:t>
            </w:r>
          </w:p>
        </w:tc>
        <w:tc>
          <w:tcPr>
            <w:tcW w:w="2700" w:type="dxa"/>
            <w:hideMark/>
          </w:tcPr>
          <w:p w14:paraId="245C6FAA" w14:textId="77777777" w:rsidR="009F6144" w:rsidRDefault="009F6144" w:rsidP="005B39B3">
            <w:pPr>
              <w:spacing w:line="278" w:lineRule="auto"/>
              <w:jc w:val="center"/>
              <w:rPr>
                <w:b/>
                <w:bCs/>
              </w:rPr>
            </w:pPr>
            <w:r w:rsidRPr="00D46299">
              <w:rPr>
                <w:b/>
                <w:bCs/>
              </w:rPr>
              <w:t>(2)</w:t>
            </w:r>
          </w:p>
          <w:p w14:paraId="09349405" w14:textId="6130F6F8" w:rsidR="009F6144" w:rsidRDefault="004F746A" w:rsidP="005B39B3">
            <w:pPr>
              <w:spacing w:line="278" w:lineRule="auto"/>
              <w:jc w:val="center"/>
            </w:pPr>
            <w:r>
              <w:t>SCB</w:t>
            </w:r>
          </w:p>
          <w:p w14:paraId="411F2D54" w14:textId="46487A63" w:rsidR="009F6144" w:rsidRPr="00D46299" w:rsidRDefault="009F6144" w:rsidP="005B39B3">
            <w:pPr>
              <w:spacing w:line="278" w:lineRule="auto"/>
              <w:jc w:val="center"/>
              <w:rPr>
                <w:b/>
                <w:bCs/>
              </w:rPr>
            </w:pPr>
            <w:r w:rsidRPr="00D46299">
              <w:rPr>
                <w:b/>
                <w:bCs/>
              </w:rPr>
              <w:t xml:space="preserve">Low </w:t>
            </w:r>
            <w:r w:rsidR="002460D6">
              <w:rPr>
                <w:b/>
                <w:bCs/>
              </w:rPr>
              <w:t>Privatization</w:t>
            </w:r>
          </w:p>
        </w:tc>
      </w:tr>
      <w:tr w:rsidR="000C43E7" w:rsidRPr="00D46299" w14:paraId="16B956C1" w14:textId="77777777" w:rsidTr="00465F82">
        <w:trPr>
          <w:trHeight w:val="420"/>
        </w:trPr>
        <w:tc>
          <w:tcPr>
            <w:tcW w:w="3330" w:type="dxa"/>
            <w:vAlign w:val="center"/>
            <w:hideMark/>
          </w:tcPr>
          <w:p w14:paraId="7089524D" w14:textId="58976CD0" w:rsidR="000C43E7" w:rsidRPr="00D46299" w:rsidRDefault="000C43E7" w:rsidP="000C43E7">
            <w:pPr>
              <w:spacing w:after="160" w:line="278" w:lineRule="auto"/>
              <w:jc w:val="both"/>
            </w:pPr>
            <w:r>
              <w:rPr>
                <w:rFonts w:ascii="Calibri" w:hAnsi="Calibri" w:cs="Calibri"/>
                <w:color w:val="000000"/>
                <w:sz w:val="22"/>
                <w:szCs w:val="22"/>
              </w:rPr>
              <w:t>Leadership Succession</w:t>
            </w:r>
          </w:p>
        </w:tc>
        <w:tc>
          <w:tcPr>
            <w:tcW w:w="3330" w:type="dxa"/>
            <w:vAlign w:val="center"/>
            <w:hideMark/>
          </w:tcPr>
          <w:p w14:paraId="17D7B5E5" w14:textId="77777777" w:rsidR="008D3133" w:rsidRDefault="000C43E7" w:rsidP="000C43E7">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0.565*** </w:t>
            </w:r>
          </w:p>
          <w:p w14:paraId="5F273D18" w14:textId="754CA15F" w:rsidR="000C43E7" w:rsidRPr="00D46299" w:rsidRDefault="000C43E7" w:rsidP="000C43E7">
            <w:pPr>
              <w:spacing w:after="160" w:line="278" w:lineRule="auto"/>
              <w:jc w:val="both"/>
            </w:pPr>
            <w:r>
              <w:rPr>
                <w:rFonts w:ascii="Calibri" w:hAnsi="Calibri" w:cs="Calibri"/>
                <w:color w:val="000000"/>
                <w:sz w:val="22"/>
                <w:szCs w:val="22"/>
              </w:rPr>
              <w:t>(6.380)</w:t>
            </w:r>
          </w:p>
        </w:tc>
        <w:tc>
          <w:tcPr>
            <w:tcW w:w="2700" w:type="dxa"/>
            <w:vAlign w:val="center"/>
            <w:hideMark/>
          </w:tcPr>
          <w:p w14:paraId="498E1BA1" w14:textId="77777777" w:rsidR="008D3133" w:rsidRDefault="000C43E7" w:rsidP="000C43E7">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0.290** </w:t>
            </w:r>
          </w:p>
          <w:p w14:paraId="7F5FBBEC" w14:textId="559829F2" w:rsidR="000C43E7" w:rsidRPr="00D46299" w:rsidRDefault="000C43E7" w:rsidP="000C43E7">
            <w:pPr>
              <w:spacing w:after="160" w:line="278" w:lineRule="auto"/>
              <w:jc w:val="both"/>
            </w:pPr>
            <w:r>
              <w:rPr>
                <w:rFonts w:ascii="Calibri" w:hAnsi="Calibri" w:cs="Calibri"/>
                <w:color w:val="000000"/>
                <w:sz w:val="22"/>
                <w:szCs w:val="22"/>
              </w:rPr>
              <w:t>(2.220)</w:t>
            </w:r>
          </w:p>
        </w:tc>
      </w:tr>
      <w:tr w:rsidR="000C43E7" w:rsidRPr="00D46299" w14:paraId="3C778462" w14:textId="77777777" w:rsidTr="00465F82">
        <w:trPr>
          <w:trHeight w:val="432"/>
        </w:trPr>
        <w:tc>
          <w:tcPr>
            <w:tcW w:w="3330" w:type="dxa"/>
            <w:vAlign w:val="center"/>
            <w:hideMark/>
          </w:tcPr>
          <w:p w14:paraId="5F41F411" w14:textId="138AEA70" w:rsidR="000C43E7" w:rsidRPr="00D46299" w:rsidRDefault="000C43E7" w:rsidP="000C43E7">
            <w:pPr>
              <w:spacing w:after="160" w:line="278" w:lineRule="auto"/>
              <w:jc w:val="both"/>
            </w:pPr>
            <w:r>
              <w:rPr>
                <w:rFonts w:ascii="Calibri" w:hAnsi="Calibri" w:cs="Calibri"/>
                <w:color w:val="000000"/>
                <w:sz w:val="22"/>
                <w:szCs w:val="22"/>
              </w:rPr>
              <w:t>Company Size</w:t>
            </w:r>
          </w:p>
        </w:tc>
        <w:tc>
          <w:tcPr>
            <w:tcW w:w="3330" w:type="dxa"/>
            <w:vAlign w:val="center"/>
            <w:hideMark/>
          </w:tcPr>
          <w:p w14:paraId="7CD36021" w14:textId="77777777" w:rsidR="008D3133" w:rsidRDefault="000C43E7" w:rsidP="000C43E7">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0.146*** </w:t>
            </w:r>
          </w:p>
          <w:p w14:paraId="003D14BC" w14:textId="4969D9BF" w:rsidR="000C43E7" w:rsidRPr="00D46299" w:rsidRDefault="000C43E7" w:rsidP="000C43E7">
            <w:pPr>
              <w:spacing w:after="160" w:line="278" w:lineRule="auto"/>
              <w:jc w:val="both"/>
            </w:pPr>
            <w:r>
              <w:rPr>
                <w:rFonts w:ascii="Calibri" w:hAnsi="Calibri" w:cs="Calibri"/>
                <w:color w:val="000000"/>
                <w:sz w:val="22"/>
                <w:szCs w:val="22"/>
              </w:rPr>
              <w:t>(2.920)</w:t>
            </w:r>
          </w:p>
        </w:tc>
        <w:tc>
          <w:tcPr>
            <w:tcW w:w="2700" w:type="dxa"/>
            <w:vAlign w:val="center"/>
            <w:hideMark/>
          </w:tcPr>
          <w:p w14:paraId="07760485" w14:textId="77777777" w:rsidR="008D3133" w:rsidRDefault="000C43E7" w:rsidP="000C43E7">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0.097 </w:t>
            </w:r>
          </w:p>
          <w:p w14:paraId="42511AA2" w14:textId="0F77F170" w:rsidR="000C43E7" w:rsidRPr="00D46299" w:rsidRDefault="000C43E7" w:rsidP="000C43E7">
            <w:pPr>
              <w:spacing w:after="160" w:line="278" w:lineRule="auto"/>
              <w:jc w:val="both"/>
            </w:pPr>
            <w:r>
              <w:rPr>
                <w:rFonts w:ascii="Calibri" w:hAnsi="Calibri" w:cs="Calibri"/>
                <w:color w:val="000000"/>
                <w:sz w:val="22"/>
                <w:szCs w:val="22"/>
              </w:rPr>
              <w:t>(1.390)</w:t>
            </w:r>
          </w:p>
        </w:tc>
      </w:tr>
      <w:tr w:rsidR="000C43E7" w:rsidRPr="00D46299" w14:paraId="67D3BFA7" w14:textId="77777777" w:rsidTr="00465F82">
        <w:trPr>
          <w:trHeight w:val="420"/>
        </w:trPr>
        <w:tc>
          <w:tcPr>
            <w:tcW w:w="3330" w:type="dxa"/>
            <w:vAlign w:val="center"/>
            <w:hideMark/>
          </w:tcPr>
          <w:p w14:paraId="501E690F" w14:textId="5339E830" w:rsidR="000C43E7" w:rsidRPr="00D46299" w:rsidRDefault="000C43E7" w:rsidP="000C43E7">
            <w:pPr>
              <w:spacing w:after="160" w:line="278" w:lineRule="auto"/>
              <w:jc w:val="both"/>
            </w:pPr>
            <w:r>
              <w:rPr>
                <w:rFonts w:ascii="Calibri" w:hAnsi="Calibri" w:cs="Calibri"/>
                <w:color w:val="000000"/>
                <w:sz w:val="22"/>
                <w:szCs w:val="22"/>
              </w:rPr>
              <w:t>Leverage Ratio</w:t>
            </w:r>
          </w:p>
        </w:tc>
        <w:tc>
          <w:tcPr>
            <w:tcW w:w="3330" w:type="dxa"/>
            <w:vAlign w:val="center"/>
            <w:hideMark/>
          </w:tcPr>
          <w:p w14:paraId="4B80A65B" w14:textId="77777777" w:rsidR="008D3133" w:rsidRDefault="000C43E7" w:rsidP="000C43E7">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0.281 </w:t>
            </w:r>
          </w:p>
          <w:p w14:paraId="39B14CE6" w14:textId="541BD9D5" w:rsidR="000C43E7" w:rsidRPr="00D46299" w:rsidRDefault="000C43E7" w:rsidP="000C43E7">
            <w:pPr>
              <w:spacing w:after="160" w:line="278" w:lineRule="auto"/>
              <w:jc w:val="both"/>
            </w:pPr>
            <w:r>
              <w:rPr>
                <w:rFonts w:ascii="Calibri" w:hAnsi="Calibri" w:cs="Calibri"/>
                <w:color w:val="000000"/>
                <w:sz w:val="22"/>
                <w:szCs w:val="22"/>
              </w:rPr>
              <w:t>(0.900)</w:t>
            </w:r>
          </w:p>
        </w:tc>
        <w:tc>
          <w:tcPr>
            <w:tcW w:w="2700" w:type="dxa"/>
            <w:vAlign w:val="center"/>
            <w:hideMark/>
          </w:tcPr>
          <w:p w14:paraId="44AD871C" w14:textId="77777777" w:rsidR="008D3133" w:rsidRDefault="000C43E7" w:rsidP="000C43E7">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-0.272 </w:t>
            </w:r>
          </w:p>
          <w:p w14:paraId="61DFF556" w14:textId="6BC6CCD9" w:rsidR="000C43E7" w:rsidRPr="00D46299" w:rsidRDefault="000C43E7" w:rsidP="000C43E7">
            <w:pPr>
              <w:spacing w:after="160" w:line="278" w:lineRule="auto"/>
              <w:jc w:val="both"/>
            </w:pPr>
            <w:r>
              <w:rPr>
                <w:rFonts w:ascii="Calibri" w:hAnsi="Calibri" w:cs="Calibri"/>
                <w:color w:val="000000"/>
                <w:sz w:val="22"/>
                <w:szCs w:val="22"/>
              </w:rPr>
              <w:t>(-0.670)</w:t>
            </w:r>
          </w:p>
        </w:tc>
      </w:tr>
      <w:tr w:rsidR="000C43E7" w:rsidRPr="00D46299" w14:paraId="65FE9BAA" w14:textId="77777777" w:rsidTr="00465F82">
        <w:trPr>
          <w:trHeight w:val="432"/>
        </w:trPr>
        <w:tc>
          <w:tcPr>
            <w:tcW w:w="3330" w:type="dxa"/>
            <w:vAlign w:val="center"/>
            <w:hideMark/>
          </w:tcPr>
          <w:p w14:paraId="416C5A96" w14:textId="7905B4C2" w:rsidR="000C43E7" w:rsidRPr="00D46299" w:rsidRDefault="000C43E7" w:rsidP="000C43E7">
            <w:pPr>
              <w:spacing w:after="160" w:line="278" w:lineRule="auto"/>
              <w:jc w:val="both"/>
            </w:pPr>
            <w:r>
              <w:rPr>
                <w:rFonts w:ascii="Calibri" w:hAnsi="Calibri" w:cs="Calibri"/>
                <w:color w:val="000000"/>
                <w:sz w:val="22"/>
                <w:szCs w:val="22"/>
              </w:rPr>
              <w:t>Return on Assets (ROA)</w:t>
            </w:r>
          </w:p>
        </w:tc>
        <w:tc>
          <w:tcPr>
            <w:tcW w:w="3330" w:type="dxa"/>
            <w:vAlign w:val="center"/>
            <w:hideMark/>
          </w:tcPr>
          <w:p w14:paraId="7FFFFD20" w14:textId="77777777" w:rsidR="008D3133" w:rsidRDefault="000C43E7" w:rsidP="000C43E7">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6.270*** </w:t>
            </w:r>
          </w:p>
          <w:p w14:paraId="74DBFC10" w14:textId="217AD311" w:rsidR="000C43E7" w:rsidRPr="00D46299" w:rsidRDefault="000C43E7" w:rsidP="000C43E7">
            <w:pPr>
              <w:spacing w:after="160" w:line="278" w:lineRule="auto"/>
              <w:jc w:val="both"/>
            </w:pPr>
            <w:r>
              <w:rPr>
                <w:rFonts w:ascii="Calibri" w:hAnsi="Calibri" w:cs="Calibri"/>
                <w:color w:val="000000"/>
                <w:sz w:val="22"/>
                <w:szCs w:val="22"/>
              </w:rPr>
              <w:t>(6.640)</w:t>
            </w:r>
          </w:p>
        </w:tc>
        <w:tc>
          <w:tcPr>
            <w:tcW w:w="2700" w:type="dxa"/>
            <w:vAlign w:val="center"/>
            <w:hideMark/>
          </w:tcPr>
          <w:p w14:paraId="399A63A4" w14:textId="77777777" w:rsidR="008D3133" w:rsidRDefault="000C43E7" w:rsidP="000C43E7">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17.720*** </w:t>
            </w:r>
          </w:p>
          <w:p w14:paraId="3661EE45" w14:textId="502514C3" w:rsidR="000C43E7" w:rsidRPr="00D46299" w:rsidRDefault="000C43E7" w:rsidP="000C43E7">
            <w:pPr>
              <w:spacing w:after="160" w:line="278" w:lineRule="auto"/>
              <w:jc w:val="both"/>
            </w:pPr>
            <w:r>
              <w:rPr>
                <w:rFonts w:ascii="Calibri" w:hAnsi="Calibri" w:cs="Calibri"/>
                <w:color w:val="000000"/>
                <w:sz w:val="22"/>
                <w:szCs w:val="22"/>
              </w:rPr>
              <w:t>(15.900)</w:t>
            </w:r>
          </w:p>
        </w:tc>
      </w:tr>
      <w:tr w:rsidR="000C43E7" w:rsidRPr="00D46299" w14:paraId="092698A1" w14:textId="77777777" w:rsidTr="00465F82">
        <w:trPr>
          <w:trHeight w:val="420"/>
        </w:trPr>
        <w:tc>
          <w:tcPr>
            <w:tcW w:w="3330" w:type="dxa"/>
            <w:vAlign w:val="center"/>
            <w:hideMark/>
          </w:tcPr>
          <w:p w14:paraId="73A6B759" w14:textId="4B33219A" w:rsidR="000C43E7" w:rsidRPr="00D46299" w:rsidRDefault="000C43E7" w:rsidP="000C43E7">
            <w:pPr>
              <w:spacing w:after="160" w:line="278" w:lineRule="auto"/>
              <w:jc w:val="both"/>
            </w:pPr>
            <w:r>
              <w:rPr>
                <w:rFonts w:ascii="Calibri" w:hAnsi="Calibri" w:cs="Calibri"/>
                <w:color w:val="000000"/>
                <w:sz w:val="22"/>
                <w:szCs w:val="22"/>
              </w:rPr>
              <w:t>Board Independence</w:t>
            </w:r>
          </w:p>
        </w:tc>
        <w:tc>
          <w:tcPr>
            <w:tcW w:w="3330" w:type="dxa"/>
            <w:vAlign w:val="center"/>
            <w:hideMark/>
          </w:tcPr>
          <w:p w14:paraId="57270858" w14:textId="77777777" w:rsidR="008D3133" w:rsidRDefault="000C43E7" w:rsidP="000C43E7">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-0.227 </w:t>
            </w:r>
          </w:p>
          <w:p w14:paraId="5DD4D56E" w14:textId="1A9EBF8B" w:rsidR="000C43E7" w:rsidRPr="00D46299" w:rsidRDefault="000C43E7" w:rsidP="000C43E7">
            <w:pPr>
              <w:spacing w:after="160" w:line="278" w:lineRule="auto"/>
              <w:jc w:val="both"/>
            </w:pPr>
            <w:r>
              <w:rPr>
                <w:rFonts w:ascii="Calibri" w:hAnsi="Calibri" w:cs="Calibri"/>
                <w:color w:val="000000"/>
                <w:sz w:val="22"/>
                <w:szCs w:val="22"/>
              </w:rPr>
              <w:t>(-0.920)</w:t>
            </w:r>
          </w:p>
        </w:tc>
        <w:tc>
          <w:tcPr>
            <w:tcW w:w="2700" w:type="dxa"/>
            <w:vAlign w:val="center"/>
            <w:hideMark/>
          </w:tcPr>
          <w:p w14:paraId="1968A094" w14:textId="77777777" w:rsidR="008D3133" w:rsidRDefault="000C43E7" w:rsidP="000C43E7">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-0.080 </w:t>
            </w:r>
          </w:p>
          <w:p w14:paraId="490CBFCB" w14:textId="72ED6C82" w:rsidR="000C43E7" w:rsidRPr="00D46299" w:rsidRDefault="000C43E7" w:rsidP="000C43E7">
            <w:pPr>
              <w:spacing w:after="160" w:line="278" w:lineRule="auto"/>
              <w:jc w:val="both"/>
            </w:pPr>
            <w:r>
              <w:rPr>
                <w:rFonts w:ascii="Calibri" w:hAnsi="Calibri" w:cs="Calibri"/>
                <w:color w:val="000000"/>
                <w:sz w:val="22"/>
                <w:szCs w:val="22"/>
              </w:rPr>
              <w:t>(-0.230)</w:t>
            </w:r>
          </w:p>
        </w:tc>
      </w:tr>
      <w:tr w:rsidR="000C43E7" w:rsidRPr="00D46299" w14:paraId="10A51991" w14:textId="77777777" w:rsidTr="00465F82">
        <w:trPr>
          <w:trHeight w:val="432"/>
        </w:trPr>
        <w:tc>
          <w:tcPr>
            <w:tcW w:w="3330" w:type="dxa"/>
            <w:vAlign w:val="center"/>
            <w:hideMark/>
          </w:tcPr>
          <w:p w14:paraId="28BA0FB6" w14:textId="61498487" w:rsidR="000C43E7" w:rsidRPr="00D46299" w:rsidRDefault="000C43E7" w:rsidP="000C43E7">
            <w:pPr>
              <w:spacing w:after="160" w:line="278" w:lineRule="auto"/>
              <w:jc w:val="both"/>
            </w:pPr>
            <w:r>
              <w:rPr>
                <w:rFonts w:ascii="Calibri" w:hAnsi="Calibri" w:cs="Calibri"/>
                <w:color w:val="000000"/>
                <w:sz w:val="22"/>
                <w:szCs w:val="22"/>
              </w:rPr>
              <w:t>Growth Rate</w:t>
            </w:r>
          </w:p>
        </w:tc>
        <w:tc>
          <w:tcPr>
            <w:tcW w:w="3330" w:type="dxa"/>
            <w:vAlign w:val="center"/>
            <w:hideMark/>
          </w:tcPr>
          <w:p w14:paraId="0CA509F9" w14:textId="77777777" w:rsidR="008D3133" w:rsidRDefault="000C43E7" w:rsidP="000C43E7">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0.179 </w:t>
            </w:r>
          </w:p>
          <w:p w14:paraId="04F98DF1" w14:textId="43C58C52" w:rsidR="000C43E7" w:rsidRPr="00D46299" w:rsidRDefault="000C43E7" w:rsidP="000C43E7">
            <w:pPr>
              <w:spacing w:after="160" w:line="278" w:lineRule="auto"/>
              <w:jc w:val="both"/>
            </w:pPr>
            <w:r>
              <w:rPr>
                <w:rFonts w:ascii="Calibri" w:hAnsi="Calibri" w:cs="Calibri"/>
                <w:color w:val="000000"/>
                <w:sz w:val="22"/>
                <w:szCs w:val="22"/>
              </w:rPr>
              <w:t>(1.620)</w:t>
            </w:r>
          </w:p>
        </w:tc>
        <w:tc>
          <w:tcPr>
            <w:tcW w:w="2700" w:type="dxa"/>
            <w:vAlign w:val="center"/>
            <w:hideMark/>
          </w:tcPr>
          <w:p w14:paraId="37AC5F55" w14:textId="77777777" w:rsidR="008D3133" w:rsidRDefault="000C43E7" w:rsidP="000C43E7">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0.029 </w:t>
            </w:r>
          </w:p>
          <w:p w14:paraId="74C6FB56" w14:textId="5DE5103A" w:rsidR="000C43E7" w:rsidRPr="00D46299" w:rsidRDefault="000C43E7" w:rsidP="000C43E7">
            <w:pPr>
              <w:spacing w:after="160" w:line="278" w:lineRule="auto"/>
              <w:jc w:val="both"/>
            </w:pPr>
            <w:r>
              <w:rPr>
                <w:rFonts w:ascii="Calibri" w:hAnsi="Calibri" w:cs="Calibri"/>
                <w:color w:val="000000"/>
                <w:sz w:val="22"/>
                <w:szCs w:val="22"/>
              </w:rPr>
              <w:t>(0.165)</w:t>
            </w:r>
          </w:p>
        </w:tc>
      </w:tr>
      <w:tr w:rsidR="000C43E7" w:rsidRPr="00D46299" w14:paraId="550CC83A" w14:textId="77777777" w:rsidTr="00465F82">
        <w:trPr>
          <w:trHeight w:val="420"/>
        </w:trPr>
        <w:tc>
          <w:tcPr>
            <w:tcW w:w="3330" w:type="dxa"/>
            <w:vAlign w:val="center"/>
            <w:hideMark/>
          </w:tcPr>
          <w:p w14:paraId="28D284F4" w14:textId="1D976E23" w:rsidR="000C43E7" w:rsidRPr="00D46299" w:rsidRDefault="000C43E7" w:rsidP="000C43E7">
            <w:pPr>
              <w:spacing w:after="160" w:line="278" w:lineRule="auto"/>
              <w:jc w:val="both"/>
            </w:pPr>
            <w:r>
              <w:rPr>
                <w:rFonts w:ascii="Calibri" w:hAnsi="Calibri" w:cs="Calibri"/>
                <w:color w:val="000000"/>
                <w:sz w:val="22"/>
                <w:szCs w:val="22"/>
              </w:rPr>
              <w:t>Top Management Ownership</w:t>
            </w:r>
          </w:p>
        </w:tc>
        <w:tc>
          <w:tcPr>
            <w:tcW w:w="3330" w:type="dxa"/>
            <w:vAlign w:val="center"/>
            <w:hideMark/>
          </w:tcPr>
          <w:p w14:paraId="743F845B" w14:textId="77777777" w:rsidR="008D3133" w:rsidRDefault="000C43E7" w:rsidP="000C43E7">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0.116 </w:t>
            </w:r>
          </w:p>
          <w:p w14:paraId="2F433DBD" w14:textId="03872FC0" w:rsidR="000C43E7" w:rsidRPr="00D46299" w:rsidRDefault="000C43E7" w:rsidP="000C43E7">
            <w:pPr>
              <w:spacing w:after="160" w:line="278" w:lineRule="auto"/>
              <w:jc w:val="both"/>
            </w:pPr>
            <w:r>
              <w:rPr>
                <w:rFonts w:ascii="Calibri" w:hAnsi="Calibri" w:cs="Calibri"/>
                <w:color w:val="000000"/>
                <w:sz w:val="22"/>
                <w:szCs w:val="22"/>
              </w:rPr>
              <w:t>(0.350)</w:t>
            </w:r>
          </w:p>
        </w:tc>
        <w:tc>
          <w:tcPr>
            <w:tcW w:w="2700" w:type="dxa"/>
            <w:vAlign w:val="center"/>
            <w:hideMark/>
          </w:tcPr>
          <w:p w14:paraId="16575A5E" w14:textId="77777777" w:rsidR="008D3133" w:rsidRDefault="000C43E7" w:rsidP="000C43E7">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0.455 </w:t>
            </w:r>
          </w:p>
          <w:p w14:paraId="41A43EDF" w14:textId="6AD206AF" w:rsidR="000C43E7" w:rsidRPr="00D46299" w:rsidRDefault="000C43E7" w:rsidP="000C43E7">
            <w:pPr>
              <w:spacing w:after="160" w:line="278" w:lineRule="auto"/>
              <w:jc w:val="both"/>
            </w:pPr>
            <w:r>
              <w:rPr>
                <w:rFonts w:ascii="Calibri" w:hAnsi="Calibri" w:cs="Calibri"/>
                <w:color w:val="000000"/>
                <w:sz w:val="22"/>
                <w:szCs w:val="22"/>
              </w:rPr>
              <w:t>(0.950)</w:t>
            </w:r>
          </w:p>
        </w:tc>
      </w:tr>
      <w:tr w:rsidR="000C43E7" w:rsidRPr="00D46299" w14:paraId="05A62EC3" w14:textId="77777777" w:rsidTr="00465F82">
        <w:trPr>
          <w:trHeight w:val="432"/>
        </w:trPr>
        <w:tc>
          <w:tcPr>
            <w:tcW w:w="3330" w:type="dxa"/>
            <w:vAlign w:val="center"/>
            <w:hideMark/>
          </w:tcPr>
          <w:p w14:paraId="666A4364" w14:textId="2FCF2B8F" w:rsidR="000C43E7" w:rsidRPr="00D46299" w:rsidRDefault="000C43E7" w:rsidP="000C43E7">
            <w:pPr>
              <w:spacing w:after="160" w:line="278" w:lineRule="auto"/>
              <w:jc w:val="both"/>
            </w:pPr>
            <w:r>
              <w:rPr>
                <w:rFonts w:ascii="Calibri" w:hAnsi="Calibri" w:cs="Calibri"/>
                <w:color w:val="000000"/>
                <w:sz w:val="22"/>
                <w:szCs w:val="22"/>
              </w:rPr>
              <w:t>Firm Age</w:t>
            </w:r>
          </w:p>
        </w:tc>
        <w:tc>
          <w:tcPr>
            <w:tcW w:w="3330" w:type="dxa"/>
            <w:vAlign w:val="center"/>
            <w:hideMark/>
          </w:tcPr>
          <w:p w14:paraId="5ECD42C4" w14:textId="77777777" w:rsidR="008D3133" w:rsidRDefault="000C43E7" w:rsidP="000C43E7">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0.222*** </w:t>
            </w:r>
          </w:p>
          <w:p w14:paraId="15A849DE" w14:textId="6EAC307E" w:rsidR="000C43E7" w:rsidRPr="00D46299" w:rsidRDefault="000C43E7" w:rsidP="000C43E7">
            <w:pPr>
              <w:spacing w:after="160" w:line="278" w:lineRule="auto"/>
              <w:jc w:val="both"/>
            </w:pPr>
            <w:r>
              <w:rPr>
                <w:rFonts w:ascii="Calibri" w:hAnsi="Calibri" w:cs="Calibri"/>
                <w:color w:val="000000"/>
                <w:sz w:val="22"/>
                <w:szCs w:val="22"/>
              </w:rPr>
              <w:t>(2.970)</w:t>
            </w:r>
          </w:p>
        </w:tc>
        <w:tc>
          <w:tcPr>
            <w:tcW w:w="2700" w:type="dxa"/>
            <w:vAlign w:val="center"/>
            <w:hideMark/>
          </w:tcPr>
          <w:p w14:paraId="1D4FE8B2" w14:textId="77777777" w:rsidR="008D3133" w:rsidRDefault="000C43E7" w:rsidP="000C43E7">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0.177* </w:t>
            </w:r>
          </w:p>
          <w:p w14:paraId="74268AC2" w14:textId="3032861E" w:rsidR="000C43E7" w:rsidRPr="00D46299" w:rsidRDefault="000C43E7" w:rsidP="000C43E7">
            <w:pPr>
              <w:spacing w:after="160" w:line="278" w:lineRule="auto"/>
              <w:jc w:val="both"/>
            </w:pPr>
            <w:r>
              <w:rPr>
                <w:rFonts w:ascii="Calibri" w:hAnsi="Calibri" w:cs="Calibri"/>
                <w:color w:val="000000"/>
                <w:sz w:val="22"/>
                <w:szCs w:val="22"/>
              </w:rPr>
              <w:t>(1.720)</w:t>
            </w:r>
          </w:p>
        </w:tc>
      </w:tr>
      <w:tr w:rsidR="000C43E7" w:rsidRPr="00D46299" w14:paraId="4D54DC9A" w14:textId="77777777" w:rsidTr="00465F82">
        <w:trPr>
          <w:trHeight w:val="420"/>
        </w:trPr>
        <w:tc>
          <w:tcPr>
            <w:tcW w:w="3330" w:type="dxa"/>
            <w:vAlign w:val="center"/>
            <w:hideMark/>
          </w:tcPr>
          <w:p w14:paraId="535CB319" w14:textId="6512EB64" w:rsidR="000C43E7" w:rsidRPr="00D46299" w:rsidRDefault="000C43E7" w:rsidP="000C43E7">
            <w:pPr>
              <w:spacing w:after="160" w:line="278" w:lineRule="auto"/>
              <w:jc w:val="both"/>
            </w:pPr>
            <w:r>
              <w:rPr>
                <w:rFonts w:ascii="Calibri" w:hAnsi="Calibri" w:cs="Calibri"/>
                <w:color w:val="000000"/>
                <w:sz w:val="22"/>
                <w:szCs w:val="22"/>
              </w:rPr>
              <w:t>Constant</w:t>
            </w:r>
          </w:p>
        </w:tc>
        <w:tc>
          <w:tcPr>
            <w:tcW w:w="3330" w:type="dxa"/>
            <w:vAlign w:val="center"/>
            <w:hideMark/>
          </w:tcPr>
          <w:p w14:paraId="4D8E7F08" w14:textId="77777777" w:rsidR="008D3133" w:rsidRDefault="000C43E7" w:rsidP="000C43E7">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-3.940*** </w:t>
            </w:r>
          </w:p>
          <w:p w14:paraId="264FB221" w14:textId="2D3E63FC" w:rsidR="000C43E7" w:rsidRPr="00D46299" w:rsidRDefault="000C43E7" w:rsidP="000C43E7">
            <w:pPr>
              <w:spacing w:after="160" w:line="278" w:lineRule="auto"/>
              <w:jc w:val="both"/>
            </w:pPr>
            <w:r>
              <w:rPr>
                <w:rFonts w:ascii="Calibri" w:hAnsi="Calibri" w:cs="Calibri"/>
                <w:color w:val="000000"/>
                <w:sz w:val="22"/>
                <w:szCs w:val="22"/>
              </w:rPr>
              <w:t>(-4.000)</w:t>
            </w:r>
          </w:p>
        </w:tc>
        <w:tc>
          <w:tcPr>
            <w:tcW w:w="2700" w:type="dxa"/>
            <w:vAlign w:val="center"/>
            <w:hideMark/>
          </w:tcPr>
          <w:p w14:paraId="6A5A821C" w14:textId="77777777" w:rsidR="008D3133" w:rsidRDefault="000C43E7" w:rsidP="000C43E7">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-0.870 </w:t>
            </w:r>
          </w:p>
          <w:p w14:paraId="5A7172FB" w14:textId="1D9EA632" w:rsidR="000C43E7" w:rsidRPr="00D46299" w:rsidRDefault="000C43E7" w:rsidP="000C43E7">
            <w:pPr>
              <w:spacing w:after="160" w:line="278" w:lineRule="auto"/>
              <w:jc w:val="both"/>
            </w:pPr>
            <w:r>
              <w:rPr>
                <w:rFonts w:ascii="Calibri" w:hAnsi="Calibri" w:cs="Calibri"/>
                <w:color w:val="000000"/>
                <w:sz w:val="22"/>
                <w:szCs w:val="22"/>
              </w:rPr>
              <w:t>(-0.610)</w:t>
            </w:r>
          </w:p>
        </w:tc>
      </w:tr>
      <w:tr w:rsidR="00343B6B" w:rsidRPr="00D46299" w14:paraId="15D7CBD4" w14:textId="77777777" w:rsidTr="00465F82">
        <w:trPr>
          <w:trHeight w:val="432"/>
        </w:trPr>
        <w:tc>
          <w:tcPr>
            <w:tcW w:w="3330" w:type="dxa"/>
            <w:vAlign w:val="center"/>
            <w:hideMark/>
          </w:tcPr>
          <w:p w14:paraId="4B9FDC7B" w14:textId="6692FDC7" w:rsidR="00343B6B" w:rsidRPr="00D46299" w:rsidRDefault="00343B6B" w:rsidP="00343B6B">
            <w:pPr>
              <w:spacing w:after="160" w:line="278" w:lineRule="auto"/>
              <w:jc w:val="both"/>
            </w:pPr>
            <w:r w:rsidRPr="00343B6B">
              <w:rPr>
                <w:rFonts w:ascii="Calibri" w:hAnsi="Calibri" w:cs="Calibri"/>
                <w:color w:val="000000"/>
                <w:sz w:val="22"/>
                <w:szCs w:val="22"/>
              </w:rPr>
              <w:t>Annual Fixed Effects</w:t>
            </w:r>
          </w:p>
        </w:tc>
        <w:tc>
          <w:tcPr>
            <w:tcW w:w="3330" w:type="dxa"/>
            <w:vAlign w:val="center"/>
            <w:hideMark/>
          </w:tcPr>
          <w:p w14:paraId="4EDA4109" w14:textId="5C16E388" w:rsidR="00343B6B" w:rsidRPr="00D46299" w:rsidRDefault="00343B6B" w:rsidP="00343B6B">
            <w:pPr>
              <w:spacing w:after="160" w:line="278" w:lineRule="auto"/>
              <w:jc w:val="both"/>
            </w:pPr>
            <w:r>
              <w:rPr>
                <w:rFonts w:ascii="Calibri" w:hAnsi="Calibri" w:cs="Calibri"/>
                <w:color w:val="000000"/>
                <w:sz w:val="22"/>
                <w:szCs w:val="22"/>
              </w:rPr>
              <w:t>Control</w:t>
            </w:r>
          </w:p>
        </w:tc>
        <w:tc>
          <w:tcPr>
            <w:tcW w:w="2700" w:type="dxa"/>
            <w:vAlign w:val="center"/>
            <w:hideMark/>
          </w:tcPr>
          <w:p w14:paraId="25FDD4C2" w14:textId="76574299" w:rsidR="00343B6B" w:rsidRPr="00D46299" w:rsidRDefault="00343B6B" w:rsidP="00343B6B">
            <w:pPr>
              <w:spacing w:after="160" w:line="278" w:lineRule="auto"/>
              <w:jc w:val="both"/>
            </w:pPr>
            <w:r>
              <w:rPr>
                <w:rFonts w:ascii="Calibri" w:hAnsi="Calibri" w:cs="Calibri"/>
                <w:color w:val="000000"/>
                <w:sz w:val="22"/>
                <w:szCs w:val="22"/>
              </w:rPr>
              <w:t>Control</w:t>
            </w:r>
          </w:p>
        </w:tc>
      </w:tr>
      <w:tr w:rsidR="00343B6B" w:rsidRPr="00D46299" w14:paraId="05F66322" w14:textId="77777777" w:rsidTr="00465F82">
        <w:trPr>
          <w:trHeight w:val="420"/>
        </w:trPr>
        <w:tc>
          <w:tcPr>
            <w:tcW w:w="3330" w:type="dxa"/>
            <w:vAlign w:val="center"/>
            <w:hideMark/>
          </w:tcPr>
          <w:p w14:paraId="12B34415" w14:textId="23656755" w:rsidR="00343B6B" w:rsidRPr="00D46299" w:rsidRDefault="00343B6B" w:rsidP="00343B6B">
            <w:pPr>
              <w:spacing w:after="160" w:line="278" w:lineRule="auto"/>
              <w:jc w:val="both"/>
            </w:pPr>
            <w:r w:rsidRPr="00343B6B">
              <w:rPr>
                <w:rFonts w:ascii="Calibri" w:hAnsi="Calibri" w:cs="Calibri"/>
                <w:color w:val="000000"/>
                <w:sz w:val="22"/>
                <w:szCs w:val="22"/>
              </w:rPr>
              <w:t>Sector Fixed Effects</w:t>
            </w:r>
          </w:p>
        </w:tc>
        <w:tc>
          <w:tcPr>
            <w:tcW w:w="3330" w:type="dxa"/>
            <w:vAlign w:val="center"/>
            <w:hideMark/>
          </w:tcPr>
          <w:p w14:paraId="024798B9" w14:textId="64751737" w:rsidR="00343B6B" w:rsidRPr="00D46299" w:rsidRDefault="00343B6B" w:rsidP="00343B6B">
            <w:pPr>
              <w:spacing w:after="160" w:line="278" w:lineRule="auto"/>
              <w:jc w:val="both"/>
            </w:pPr>
            <w:r>
              <w:rPr>
                <w:rFonts w:ascii="Calibri" w:hAnsi="Calibri" w:cs="Calibri"/>
                <w:color w:val="000000"/>
                <w:sz w:val="22"/>
                <w:szCs w:val="22"/>
              </w:rPr>
              <w:t>Control</w:t>
            </w:r>
          </w:p>
        </w:tc>
        <w:tc>
          <w:tcPr>
            <w:tcW w:w="2700" w:type="dxa"/>
            <w:vAlign w:val="center"/>
            <w:hideMark/>
          </w:tcPr>
          <w:p w14:paraId="0FBAA270" w14:textId="131D5AEE" w:rsidR="00343B6B" w:rsidRPr="00D46299" w:rsidRDefault="00343B6B" w:rsidP="00343B6B">
            <w:pPr>
              <w:spacing w:after="160" w:line="278" w:lineRule="auto"/>
              <w:jc w:val="both"/>
            </w:pPr>
            <w:r>
              <w:rPr>
                <w:rFonts w:ascii="Calibri" w:hAnsi="Calibri" w:cs="Calibri"/>
                <w:color w:val="000000"/>
                <w:sz w:val="22"/>
                <w:szCs w:val="22"/>
              </w:rPr>
              <w:t>Control</w:t>
            </w:r>
          </w:p>
        </w:tc>
      </w:tr>
      <w:tr w:rsidR="00343B6B" w:rsidRPr="00D46299" w14:paraId="54914612" w14:textId="77777777" w:rsidTr="00465F82">
        <w:trPr>
          <w:trHeight w:val="432"/>
        </w:trPr>
        <w:tc>
          <w:tcPr>
            <w:tcW w:w="3330" w:type="dxa"/>
            <w:vAlign w:val="center"/>
            <w:hideMark/>
          </w:tcPr>
          <w:p w14:paraId="5845BB8F" w14:textId="3C952D3A" w:rsidR="00343B6B" w:rsidRPr="00D46299" w:rsidRDefault="00343B6B" w:rsidP="00343B6B">
            <w:pPr>
              <w:spacing w:after="160" w:line="278" w:lineRule="auto"/>
              <w:jc w:val="both"/>
            </w:pPr>
            <w:r w:rsidRPr="00343B6B">
              <w:rPr>
                <w:rFonts w:ascii="Calibri" w:hAnsi="Calibri" w:cs="Calibri"/>
                <w:color w:val="000000"/>
                <w:sz w:val="22"/>
                <w:szCs w:val="22"/>
              </w:rPr>
              <w:t>Sample Size</w:t>
            </w:r>
          </w:p>
        </w:tc>
        <w:tc>
          <w:tcPr>
            <w:tcW w:w="3330" w:type="dxa"/>
            <w:vAlign w:val="center"/>
            <w:hideMark/>
          </w:tcPr>
          <w:p w14:paraId="06393D3C" w14:textId="55AAE9B2" w:rsidR="00343B6B" w:rsidRPr="00D46299" w:rsidRDefault="00343B6B" w:rsidP="00343B6B">
            <w:pPr>
              <w:spacing w:after="160" w:line="278" w:lineRule="auto"/>
              <w:jc w:val="both"/>
            </w:pPr>
            <w:r>
              <w:rPr>
                <w:rFonts w:ascii="Calibri" w:hAnsi="Calibri" w:cs="Calibri"/>
                <w:color w:val="000000"/>
                <w:sz w:val="22"/>
                <w:szCs w:val="22"/>
              </w:rPr>
              <w:t>4</w:t>
            </w:r>
            <w:r w:rsidR="00276754">
              <w:rPr>
                <w:rFonts w:ascii="Calibri" w:hAnsi="Calibri" w:cs="Calibri"/>
                <w:color w:val="000000"/>
                <w:sz w:val="22"/>
                <w:szCs w:val="22"/>
              </w:rPr>
              <w:t>4</w:t>
            </w:r>
            <w:r>
              <w:rPr>
                <w:rFonts w:ascii="Calibri" w:hAnsi="Calibri" w:cs="Calibri"/>
                <w:color w:val="000000"/>
                <w:sz w:val="22"/>
                <w:szCs w:val="22"/>
              </w:rPr>
              <w:t>40</w:t>
            </w:r>
          </w:p>
        </w:tc>
        <w:tc>
          <w:tcPr>
            <w:tcW w:w="2700" w:type="dxa"/>
            <w:vAlign w:val="center"/>
            <w:hideMark/>
          </w:tcPr>
          <w:p w14:paraId="5CEEE9EE" w14:textId="0C7B8329" w:rsidR="00343B6B" w:rsidRPr="00D46299" w:rsidRDefault="00343B6B" w:rsidP="00343B6B">
            <w:pPr>
              <w:spacing w:after="160" w:line="278" w:lineRule="auto"/>
              <w:jc w:val="both"/>
            </w:pPr>
            <w:r>
              <w:rPr>
                <w:rFonts w:ascii="Calibri" w:hAnsi="Calibri" w:cs="Calibri"/>
                <w:color w:val="000000"/>
                <w:sz w:val="22"/>
                <w:szCs w:val="22"/>
              </w:rPr>
              <w:t>40</w:t>
            </w:r>
            <w:r w:rsidR="00276754">
              <w:rPr>
                <w:rFonts w:ascii="Calibri" w:hAnsi="Calibri" w:cs="Calibri"/>
                <w:color w:val="000000"/>
                <w:sz w:val="22"/>
                <w:szCs w:val="22"/>
              </w:rPr>
              <w:t>3</w:t>
            </w:r>
            <w:r w:rsidR="00685882">
              <w:rPr>
                <w:rFonts w:ascii="Calibri" w:hAnsi="Calibri" w:cs="Calibri"/>
                <w:color w:val="000000"/>
                <w:sz w:val="22"/>
                <w:szCs w:val="22"/>
              </w:rPr>
              <w:t>3</w:t>
            </w:r>
          </w:p>
        </w:tc>
      </w:tr>
      <w:tr w:rsidR="00343B6B" w:rsidRPr="00D46299" w14:paraId="0BD80F42" w14:textId="77777777" w:rsidTr="00465F82">
        <w:trPr>
          <w:trHeight w:val="420"/>
        </w:trPr>
        <w:tc>
          <w:tcPr>
            <w:tcW w:w="3330" w:type="dxa"/>
            <w:vAlign w:val="center"/>
            <w:hideMark/>
          </w:tcPr>
          <w:p w14:paraId="643A0EFB" w14:textId="6C8D1FA8" w:rsidR="00343B6B" w:rsidRPr="00D46299" w:rsidRDefault="00343B6B" w:rsidP="00343B6B">
            <w:pPr>
              <w:spacing w:after="160" w:line="278" w:lineRule="auto"/>
              <w:jc w:val="both"/>
            </w:pPr>
            <w:r>
              <w:rPr>
                <w:rFonts w:ascii="Calibri" w:hAnsi="Calibri" w:cs="Calibri"/>
                <w:color w:val="000000"/>
                <w:sz w:val="22"/>
                <w:szCs w:val="22"/>
              </w:rPr>
              <w:t>R</w:t>
            </w:r>
            <w:r w:rsidRPr="00343B6B">
              <w:rPr>
                <w:rFonts w:ascii="Calibri" w:hAnsi="Calibri" w:cs="Calibri"/>
                <w:color w:val="000000"/>
                <w:sz w:val="22"/>
                <w:szCs w:val="22"/>
                <w:vertAlign w:val="superscript"/>
              </w:rPr>
              <w:t>2</w:t>
            </w:r>
          </w:p>
        </w:tc>
        <w:tc>
          <w:tcPr>
            <w:tcW w:w="3330" w:type="dxa"/>
            <w:vAlign w:val="center"/>
            <w:hideMark/>
          </w:tcPr>
          <w:p w14:paraId="225DA959" w14:textId="45B8FFC7" w:rsidR="00343B6B" w:rsidRPr="00D46299" w:rsidRDefault="00343B6B" w:rsidP="00343B6B">
            <w:pPr>
              <w:spacing w:after="160" w:line="278" w:lineRule="auto"/>
              <w:jc w:val="both"/>
            </w:pPr>
            <w:r>
              <w:rPr>
                <w:rFonts w:ascii="Calibri" w:hAnsi="Calibri" w:cs="Calibri"/>
                <w:color w:val="000000"/>
                <w:sz w:val="22"/>
                <w:szCs w:val="22"/>
              </w:rPr>
              <w:t>0.25</w:t>
            </w:r>
          </w:p>
        </w:tc>
        <w:tc>
          <w:tcPr>
            <w:tcW w:w="2700" w:type="dxa"/>
            <w:vAlign w:val="center"/>
            <w:hideMark/>
          </w:tcPr>
          <w:p w14:paraId="7E367FF6" w14:textId="6438AA87" w:rsidR="00343B6B" w:rsidRPr="00D46299" w:rsidRDefault="00343B6B" w:rsidP="00343B6B">
            <w:pPr>
              <w:spacing w:after="160" w:line="278" w:lineRule="auto"/>
              <w:jc w:val="both"/>
            </w:pPr>
            <w:r>
              <w:rPr>
                <w:rFonts w:ascii="Calibri" w:hAnsi="Calibri" w:cs="Calibri"/>
                <w:color w:val="000000"/>
                <w:sz w:val="22"/>
                <w:szCs w:val="22"/>
              </w:rPr>
              <w:t>0.21</w:t>
            </w:r>
          </w:p>
        </w:tc>
      </w:tr>
      <w:tr w:rsidR="00343B6B" w:rsidRPr="00D46299" w14:paraId="559E7829" w14:textId="77777777" w:rsidTr="00465F82">
        <w:trPr>
          <w:trHeight w:val="432"/>
        </w:trPr>
        <w:tc>
          <w:tcPr>
            <w:tcW w:w="3330" w:type="dxa"/>
            <w:vAlign w:val="center"/>
            <w:hideMark/>
          </w:tcPr>
          <w:p w14:paraId="7ACE196F" w14:textId="2C5E560C" w:rsidR="00343B6B" w:rsidRPr="00D46299" w:rsidRDefault="00343B6B" w:rsidP="00343B6B">
            <w:pPr>
              <w:spacing w:after="160" w:line="278" w:lineRule="auto"/>
              <w:jc w:val="both"/>
            </w:pPr>
            <w:r>
              <w:rPr>
                <w:rFonts w:ascii="Calibri" w:hAnsi="Calibri" w:cs="Calibri"/>
                <w:color w:val="000000"/>
                <w:sz w:val="22"/>
                <w:szCs w:val="22"/>
              </w:rPr>
              <w:t xml:space="preserve">Chow / </w:t>
            </w:r>
            <w:r w:rsidRPr="00343B6B">
              <w:rPr>
                <w:rFonts w:ascii="Calibri" w:hAnsi="Calibri" w:cs="Calibri"/>
                <w:color w:val="000000"/>
                <w:sz w:val="22"/>
                <w:szCs w:val="22"/>
              </w:rPr>
              <w:t>Structural Break</w:t>
            </w:r>
            <w:r>
              <w:rPr>
                <w:rFonts w:ascii="Calibri" w:hAnsi="Calibri" w:cs="Calibri"/>
                <w:color w:val="000000"/>
                <w:sz w:val="22"/>
                <w:szCs w:val="22"/>
              </w:rPr>
              <w:t xml:space="preserve"> test</w:t>
            </w:r>
          </w:p>
        </w:tc>
        <w:tc>
          <w:tcPr>
            <w:tcW w:w="3330" w:type="dxa"/>
            <w:vAlign w:val="center"/>
            <w:hideMark/>
          </w:tcPr>
          <w:p w14:paraId="4FB2BBF2" w14:textId="05C56EFA" w:rsidR="00343B6B" w:rsidRPr="00D46299" w:rsidRDefault="00343B6B" w:rsidP="00343B6B">
            <w:pPr>
              <w:spacing w:after="160" w:line="278" w:lineRule="auto"/>
              <w:jc w:val="both"/>
            </w:pPr>
            <w:r>
              <w:rPr>
                <w:rFonts w:ascii="Calibri" w:hAnsi="Calibri" w:cs="Calibri"/>
                <w:color w:val="000000"/>
                <w:sz w:val="22"/>
                <w:szCs w:val="22"/>
              </w:rPr>
              <w:t>3.16***</w:t>
            </w:r>
          </w:p>
        </w:tc>
        <w:tc>
          <w:tcPr>
            <w:tcW w:w="2700" w:type="dxa"/>
            <w:vAlign w:val="center"/>
            <w:hideMark/>
          </w:tcPr>
          <w:p w14:paraId="16E1203D" w14:textId="77777777" w:rsidR="00343B6B" w:rsidRPr="00D46299" w:rsidRDefault="00343B6B" w:rsidP="00343B6B">
            <w:pPr>
              <w:spacing w:after="160" w:line="278" w:lineRule="auto"/>
              <w:jc w:val="both"/>
            </w:pPr>
          </w:p>
        </w:tc>
      </w:tr>
    </w:tbl>
    <w:p w14:paraId="3B7498FB" w14:textId="5E359F11" w:rsidR="009F6144" w:rsidRPr="00D46299" w:rsidRDefault="001B2E05" w:rsidP="009F6144">
      <w:pPr>
        <w:jc w:val="both"/>
      </w:pPr>
      <w:r>
        <w:t xml:space="preserve">Note: </w:t>
      </w:r>
      <w:r w:rsidRPr="001B2E05">
        <w:t>***, **, and * denote statistical significance at the 1% (p &lt; 0.01), 5% (p &lt; 0.05), and 10% (p &lt; 0.10) levels, respectively. T-values are provided in parentheses</w:t>
      </w:r>
      <w:r w:rsidR="009F6144" w:rsidRPr="00D46299">
        <w:t>.</w:t>
      </w:r>
    </w:p>
    <w:p w14:paraId="2EE36AA4" w14:textId="77777777" w:rsidR="00885F50" w:rsidRDefault="00DE2B04" w:rsidP="005C2B73">
      <w:pPr>
        <w:jc w:val="both"/>
        <w:rPr>
          <w:b/>
          <w:bCs/>
        </w:rPr>
      </w:pPr>
      <w:r w:rsidRPr="00DE2B04">
        <w:rPr>
          <w:b/>
          <w:bCs/>
        </w:rPr>
        <w:t xml:space="preserve">4. </w:t>
      </w:r>
      <w:commentRangeStart w:id="6"/>
      <w:r w:rsidRPr="00DE2B04">
        <w:rPr>
          <w:b/>
          <w:bCs/>
        </w:rPr>
        <w:t xml:space="preserve">Empirical results </w:t>
      </w:r>
      <w:commentRangeEnd w:id="6"/>
      <w:r w:rsidR="008A0227">
        <w:rPr>
          <w:rStyle w:val="CommentReference"/>
        </w:rPr>
        <w:commentReference w:id="6"/>
      </w:r>
    </w:p>
    <w:p w14:paraId="50383E9D" w14:textId="77777777" w:rsidR="00885F50" w:rsidRDefault="00DE2B04" w:rsidP="005C2B73">
      <w:pPr>
        <w:jc w:val="both"/>
        <w:rPr>
          <w:i/>
          <w:iCs/>
        </w:rPr>
      </w:pPr>
      <w:r w:rsidRPr="00DE2B04">
        <w:rPr>
          <w:i/>
          <w:iCs/>
        </w:rPr>
        <w:t xml:space="preserve">4.1. Descriptive statistics </w:t>
      </w:r>
    </w:p>
    <w:p w14:paraId="123B8DF1" w14:textId="133D8613" w:rsidR="007A5D77" w:rsidRDefault="00791E53" w:rsidP="005C2B73">
      <w:pPr>
        <w:jc w:val="both"/>
      </w:pPr>
      <w:r w:rsidRPr="00791E53">
        <w:t>Table 1 summari</w:t>
      </w:r>
      <w:r w:rsidR="000A3374">
        <w:t>z</w:t>
      </w:r>
      <w:r w:rsidRPr="00791E53">
        <w:t xml:space="preserve">es important variables, including the mean, standard deviation, median, number of observations, </w:t>
      </w:r>
      <w:r w:rsidR="00D07C48">
        <w:t xml:space="preserve">and </w:t>
      </w:r>
      <w:r w:rsidRPr="00791E53">
        <w:t xml:space="preserve">maximum and minimum values. </w:t>
      </w:r>
      <w:r w:rsidR="00DF695A">
        <w:t xml:space="preserve">The descriptive analysis gives general trends about the variables (Li et al., 2024. </w:t>
      </w:r>
      <w:r w:rsidR="007F040B" w:rsidRPr="007F040B">
        <w:t>Shahid et al., 2021</w:t>
      </w:r>
      <w:r w:rsidR="00DF695A">
        <w:t xml:space="preserve">). </w:t>
      </w:r>
      <w:r w:rsidRPr="00791E53">
        <w:t xml:space="preserve">The </w:t>
      </w:r>
      <w:r w:rsidR="00D5254C" w:rsidRPr="00D5254C">
        <w:t xml:space="preserve">average score for </w:t>
      </w:r>
      <w:r w:rsidR="004F746A">
        <w:t>SCB</w:t>
      </w:r>
      <w:r w:rsidR="00D5254C" w:rsidRPr="00D5254C">
        <w:t xml:space="preserve"> presented in Table 1 is 6.840, accompanied by an SD of 1.190, indicating </w:t>
      </w:r>
      <w:r w:rsidR="000A3374">
        <w:t>differences in sustainable practices across the companies. Because of the hysteresis effect and endogeneity problem</w:t>
      </w:r>
      <w:r w:rsidR="001513DF">
        <w:t xml:space="preserve">, </w:t>
      </w:r>
      <w:r w:rsidR="000A3374">
        <w:t xml:space="preserve">each </w:t>
      </w:r>
      <w:r w:rsidR="00D07C48">
        <w:t>independent variable</w:t>
      </w:r>
      <w:r w:rsidR="000A3374">
        <w:t xml:space="preserve"> typically lags one period behind the dependent variables </w:t>
      </w:r>
      <w:r w:rsidR="00D5254C" w:rsidRPr="00D5254C">
        <w:t>to reduce potential biases</w:t>
      </w:r>
      <w:r w:rsidR="00A93EEB" w:rsidRPr="00A93EEB">
        <w:t>.</w:t>
      </w:r>
      <w:r w:rsidR="00A93EEB">
        <w:t xml:space="preserve"> </w:t>
      </w:r>
    </w:p>
    <w:p w14:paraId="36541896" w14:textId="77777777" w:rsidR="007A5D77" w:rsidRDefault="00DE2B04" w:rsidP="005C2B73">
      <w:pPr>
        <w:jc w:val="both"/>
        <w:rPr>
          <w:i/>
          <w:iCs/>
        </w:rPr>
      </w:pPr>
      <w:r w:rsidRPr="00DE2B04">
        <w:rPr>
          <w:i/>
          <w:iCs/>
        </w:rPr>
        <w:t xml:space="preserve">4.2. Baseline results </w:t>
      </w:r>
    </w:p>
    <w:p w14:paraId="71F4E79C" w14:textId="747B4919" w:rsidR="0008640A" w:rsidRPr="0008640A" w:rsidRDefault="002B7DC6" w:rsidP="0008640A">
      <w:pPr>
        <w:jc w:val="both"/>
      </w:pPr>
      <w:r w:rsidRPr="002B7DC6">
        <w:t>The results of the baseline regression analysis for Model (2) are shown in Table 2 below.</w:t>
      </w:r>
      <w:r w:rsidR="00186ED6" w:rsidRPr="00186ED6">
        <w:t xml:space="preserve"> Column (1) reveals that</w:t>
      </w:r>
      <w:r w:rsidR="00D07C48">
        <w:t xml:space="preserve"> leadership succession significantly positively affects </w:t>
      </w:r>
      <w:r w:rsidR="004F746A">
        <w:t>SCB</w:t>
      </w:r>
      <w:r w:rsidR="00D07C48">
        <w:t xml:space="preserve"> in the absence of control variables</w:t>
      </w:r>
      <w:r w:rsidR="00186ED6" w:rsidRPr="00186ED6">
        <w:t xml:space="preserve">. This suggests that the involvement of the second generation plays a crucial role in shaping the sustainable practices of </w:t>
      </w:r>
      <w:r w:rsidR="00931AFC">
        <w:t>family-run enterprises</w:t>
      </w:r>
      <w:r w:rsidR="00186ED6" w:rsidRPr="00186ED6">
        <w:t xml:space="preserve">. The impact of leadership succession on </w:t>
      </w:r>
      <w:r w:rsidR="004F746A">
        <w:t>SCB</w:t>
      </w:r>
      <w:r w:rsidR="00186ED6" w:rsidRPr="00186ED6">
        <w:t xml:space="preserve"> is further supported by the regression coefficients for leadership succession in Column (2), which includes control variables. </w:t>
      </w:r>
      <w:r w:rsidR="006C6B83" w:rsidRPr="006C6B83">
        <w:t>These coefficients, which are both statistically significant at one percent (%), are 0.525 and 5.850 in Column (1) and Column</w:t>
      </w:r>
      <w:r w:rsidR="006C6B83">
        <w:t xml:space="preserve"> </w:t>
      </w:r>
      <w:r w:rsidR="006C6B83" w:rsidRPr="006C6B83">
        <w:t>(2), respectively</w:t>
      </w:r>
      <w:r w:rsidR="00186ED6" w:rsidRPr="00186ED6">
        <w:t xml:space="preserve">. The findings underscore the importance of leadership succession in promoting </w:t>
      </w:r>
      <w:r w:rsidR="004F746A">
        <w:t>SCB</w:t>
      </w:r>
      <w:r w:rsidR="00186ED6" w:rsidRPr="00186ED6">
        <w:t>. The findings</w:t>
      </w:r>
      <w:r w:rsidR="00186ED6">
        <w:t xml:space="preserve"> also</w:t>
      </w:r>
      <w:r w:rsidR="00186ED6" w:rsidRPr="00186ED6">
        <w:t xml:space="preserve"> show how the </w:t>
      </w:r>
      <w:r w:rsidR="004F746A">
        <w:t>SCB</w:t>
      </w:r>
      <w:r w:rsidR="00186ED6" w:rsidRPr="00186ED6">
        <w:t xml:space="preserve"> of </w:t>
      </w:r>
      <w:r w:rsidR="00931AFC">
        <w:t>family-run firms</w:t>
      </w:r>
      <w:r w:rsidR="00186ED6" w:rsidRPr="00186ED6">
        <w:t xml:space="preserve"> is positively impacted when</w:t>
      </w:r>
      <w:r w:rsidR="00D07C48">
        <w:t xml:space="preserve"> </w:t>
      </w:r>
      <w:r w:rsidR="00186ED6" w:rsidRPr="00186ED6">
        <w:t>generation</w:t>
      </w:r>
      <w:r w:rsidR="00186ED6">
        <w:t>-two</w:t>
      </w:r>
      <w:r w:rsidR="00186ED6" w:rsidRPr="00186ED6">
        <w:t xml:space="preserve"> is involved in management</w:t>
      </w:r>
      <w:r w:rsidR="00873C78" w:rsidRPr="00873C78">
        <w:t>.</w:t>
      </w:r>
      <w:r w:rsidR="004D662C">
        <w:t xml:space="preserve">                                                                                                                                                                                                                                </w:t>
      </w:r>
    </w:p>
    <w:p w14:paraId="1D7D41B4" w14:textId="53AB5469" w:rsidR="009F6144" w:rsidRPr="00D46299" w:rsidRDefault="000F28B7" w:rsidP="009F6144">
      <w:pPr>
        <w:jc w:val="both"/>
        <w:rPr>
          <w:b/>
          <w:bCs/>
        </w:rPr>
      </w:pPr>
      <w:r w:rsidRPr="000F28B7">
        <w:rPr>
          <w:b/>
          <w:bCs/>
        </w:rPr>
        <w:t xml:space="preserve">Table 4: </w:t>
      </w:r>
      <w:r w:rsidR="00B23301">
        <w:rPr>
          <w:b/>
          <w:bCs/>
        </w:rPr>
        <w:t>Diverse</w:t>
      </w:r>
      <w:r w:rsidRPr="000F28B7">
        <w:rPr>
          <w:b/>
          <w:bCs/>
        </w:rPr>
        <w:t xml:space="preserve"> Outcomes Based on International Experience</w:t>
      </w:r>
    </w:p>
    <w:tbl>
      <w:tblPr>
        <w:tblStyle w:val="TableGrid"/>
        <w:tblW w:w="9360" w:type="dxa"/>
        <w:tblInd w:w="108" w:type="dxa"/>
        <w:tblLook w:val="04A0" w:firstRow="1" w:lastRow="0" w:firstColumn="1" w:lastColumn="0" w:noHBand="0" w:noVBand="1"/>
      </w:tblPr>
      <w:tblGrid>
        <w:gridCol w:w="2880"/>
        <w:gridCol w:w="3330"/>
        <w:gridCol w:w="3150"/>
      </w:tblGrid>
      <w:tr w:rsidR="0098463D" w:rsidRPr="00D46299" w14:paraId="485B8B3E" w14:textId="77777777" w:rsidTr="00465F82">
        <w:trPr>
          <w:trHeight w:val="445"/>
        </w:trPr>
        <w:tc>
          <w:tcPr>
            <w:tcW w:w="2880" w:type="dxa"/>
            <w:hideMark/>
          </w:tcPr>
          <w:p w14:paraId="694E5AF3" w14:textId="77777777" w:rsidR="009F6144" w:rsidRPr="00D46299" w:rsidRDefault="009F6144" w:rsidP="00264A16">
            <w:pPr>
              <w:spacing w:line="278" w:lineRule="auto"/>
              <w:jc w:val="both"/>
              <w:rPr>
                <w:b/>
                <w:bCs/>
              </w:rPr>
            </w:pPr>
            <w:r w:rsidRPr="00D46299">
              <w:rPr>
                <w:b/>
                <w:bCs/>
              </w:rPr>
              <w:t>Variable</w:t>
            </w:r>
          </w:p>
        </w:tc>
        <w:tc>
          <w:tcPr>
            <w:tcW w:w="3330" w:type="dxa"/>
            <w:hideMark/>
          </w:tcPr>
          <w:p w14:paraId="7D19401E" w14:textId="71772D9C" w:rsidR="00264A16" w:rsidRDefault="009F6144" w:rsidP="00264A16">
            <w:pPr>
              <w:spacing w:line="278" w:lineRule="auto"/>
              <w:jc w:val="center"/>
              <w:rPr>
                <w:b/>
                <w:bCs/>
              </w:rPr>
            </w:pPr>
            <w:r w:rsidRPr="00D46299">
              <w:rPr>
                <w:b/>
                <w:bCs/>
              </w:rPr>
              <w:t>(1)</w:t>
            </w:r>
          </w:p>
          <w:p w14:paraId="0CB056C5" w14:textId="522F6AC0" w:rsidR="00264A16" w:rsidRDefault="004F746A" w:rsidP="00264A16">
            <w:pPr>
              <w:spacing w:line="278" w:lineRule="auto"/>
              <w:jc w:val="center"/>
            </w:pPr>
            <w:r>
              <w:t>SCB</w:t>
            </w:r>
          </w:p>
          <w:p w14:paraId="7E03FDD5" w14:textId="3E6390A1" w:rsidR="009F6144" w:rsidRPr="00D46299" w:rsidRDefault="009F6144" w:rsidP="00264A16">
            <w:pPr>
              <w:spacing w:line="278" w:lineRule="auto"/>
              <w:jc w:val="center"/>
              <w:rPr>
                <w:b/>
                <w:bCs/>
              </w:rPr>
            </w:pPr>
            <w:r w:rsidRPr="00D46299">
              <w:rPr>
                <w:b/>
                <w:bCs/>
              </w:rPr>
              <w:t>Rich overseas experience</w:t>
            </w:r>
          </w:p>
        </w:tc>
        <w:tc>
          <w:tcPr>
            <w:tcW w:w="3150" w:type="dxa"/>
            <w:hideMark/>
          </w:tcPr>
          <w:p w14:paraId="5E8DD73D" w14:textId="041DB2AF" w:rsidR="00264A16" w:rsidRDefault="009F6144" w:rsidP="00264A16">
            <w:pPr>
              <w:spacing w:line="278" w:lineRule="auto"/>
              <w:jc w:val="center"/>
              <w:rPr>
                <w:b/>
                <w:bCs/>
              </w:rPr>
            </w:pPr>
            <w:r w:rsidRPr="00D46299">
              <w:rPr>
                <w:b/>
                <w:bCs/>
              </w:rPr>
              <w:t>(2)</w:t>
            </w:r>
          </w:p>
          <w:p w14:paraId="771165B1" w14:textId="46B9FF9F" w:rsidR="00264A16" w:rsidRDefault="004F746A" w:rsidP="00264A16">
            <w:pPr>
              <w:spacing w:line="278" w:lineRule="auto"/>
              <w:jc w:val="center"/>
            </w:pPr>
            <w:r>
              <w:t>SCB</w:t>
            </w:r>
          </w:p>
          <w:p w14:paraId="7A2DC13F" w14:textId="15805389" w:rsidR="009F6144" w:rsidRPr="00D46299" w:rsidRDefault="009F6144" w:rsidP="00264A16">
            <w:pPr>
              <w:spacing w:line="278" w:lineRule="auto"/>
              <w:jc w:val="center"/>
              <w:rPr>
                <w:b/>
                <w:bCs/>
              </w:rPr>
            </w:pPr>
            <w:r w:rsidRPr="00D46299">
              <w:rPr>
                <w:b/>
                <w:bCs/>
              </w:rPr>
              <w:t>Poor overseas experience</w:t>
            </w:r>
          </w:p>
        </w:tc>
      </w:tr>
      <w:tr w:rsidR="0098463D" w:rsidRPr="00D46299" w14:paraId="0BC71980" w14:textId="77777777" w:rsidTr="00465F82">
        <w:trPr>
          <w:trHeight w:val="456"/>
        </w:trPr>
        <w:tc>
          <w:tcPr>
            <w:tcW w:w="2880" w:type="dxa"/>
            <w:vAlign w:val="center"/>
            <w:hideMark/>
          </w:tcPr>
          <w:p w14:paraId="488C4D39" w14:textId="6C61B496" w:rsidR="0098463D" w:rsidRPr="00D46299" w:rsidRDefault="0098463D" w:rsidP="0098463D">
            <w:pPr>
              <w:spacing w:after="160" w:line="278" w:lineRule="auto"/>
              <w:jc w:val="both"/>
            </w:pPr>
            <w:r>
              <w:rPr>
                <w:rFonts w:ascii="Calibri" w:hAnsi="Calibri" w:cs="Calibri"/>
                <w:color w:val="000000"/>
                <w:sz w:val="22"/>
                <w:szCs w:val="22"/>
              </w:rPr>
              <w:t>Leadership Succession</w:t>
            </w:r>
          </w:p>
        </w:tc>
        <w:tc>
          <w:tcPr>
            <w:tcW w:w="3330" w:type="dxa"/>
            <w:vAlign w:val="center"/>
            <w:hideMark/>
          </w:tcPr>
          <w:p w14:paraId="2D5C4130" w14:textId="77777777" w:rsidR="008D3133" w:rsidRDefault="0098463D" w:rsidP="0098463D">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0.520*** </w:t>
            </w:r>
          </w:p>
          <w:p w14:paraId="497B5587" w14:textId="670B08C4" w:rsidR="0098463D" w:rsidRPr="00D46299" w:rsidRDefault="0098463D" w:rsidP="0098463D">
            <w:pPr>
              <w:spacing w:after="160" w:line="278" w:lineRule="auto"/>
              <w:jc w:val="both"/>
            </w:pPr>
            <w:r>
              <w:rPr>
                <w:rFonts w:ascii="Calibri" w:hAnsi="Calibri" w:cs="Calibri"/>
                <w:color w:val="000000"/>
                <w:sz w:val="22"/>
                <w:szCs w:val="22"/>
              </w:rPr>
              <w:t>(5.030)</w:t>
            </w:r>
          </w:p>
        </w:tc>
        <w:tc>
          <w:tcPr>
            <w:tcW w:w="3150" w:type="dxa"/>
            <w:vAlign w:val="center"/>
            <w:hideMark/>
          </w:tcPr>
          <w:p w14:paraId="21C4109B" w14:textId="77777777" w:rsidR="008D3133" w:rsidRDefault="0098463D" w:rsidP="0098463D">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0.245** </w:t>
            </w:r>
          </w:p>
          <w:p w14:paraId="1B8D035F" w14:textId="473D9D30" w:rsidR="0098463D" w:rsidRPr="00D46299" w:rsidRDefault="0098463D" w:rsidP="0098463D">
            <w:pPr>
              <w:spacing w:after="160" w:line="278" w:lineRule="auto"/>
              <w:jc w:val="both"/>
            </w:pPr>
            <w:r>
              <w:rPr>
                <w:rFonts w:ascii="Calibri" w:hAnsi="Calibri" w:cs="Calibri"/>
                <w:color w:val="000000"/>
                <w:sz w:val="22"/>
                <w:szCs w:val="22"/>
              </w:rPr>
              <w:t>(2.125)</w:t>
            </w:r>
          </w:p>
        </w:tc>
      </w:tr>
      <w:tr w:rsidR="0098463D" w:rsidRPr="00D46299" w14:paraId="4CF09A64" w14:textId="77777777" w:rsidTr="00465F82">
        <w:trPr>
          <w:trHeight w:val="445"/>
        </w:trPr>
        <w:tc>
          <w:tcPr>
            <w:tcW w:w="2880" w:type="dxa"/>
            <w:vAlign w:val="center"/>
            <w:hideMark/>
          </w:tcPr>
          <w:p w14:paraId="7029E9A3" w14:textId="05AE1128" w:rsidR="0098463D" w:rsidRPr="00D46299" w:rsidRDefault="0098463D" w:rsidP="0098463D">
            <w:pPr>
              <w:spacing w:after="160" w:line="278" w:lineRule="auto"/>
              <w:jc w:val="both"/>
            </w:pPr>
            <w:r>
              <w:rPr>
                <w:rFonts w:ascii="Calibri" w:hAnsi="Calibri" w:cs="Calibri"/>
                <w:color w:val="000000"/>
                <w:sz w:val="22"/>
                <w:szCs w:val="22"/>
              </w:rPr>
              <w:t>Company Size</w:t>
            </w:r>
          </w:p>
        </w:tc>
        <w:tc>
          <w:tcPr>
            <w:tcW w:w="3330" w:type="dxa"/>
            <w:vAlign w:val="center"/>
            <w:hideMark/>
          </w:tcPr>
          <w:p w14:paraId="2436D80C" w14:textId="77777777" w:rsidR="008D3133" w:rsidRDefault="0098463D" w:rsidP="0098463D">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0.088 </w:t>
            </w:r>
          </w:p>
          <w:p w14:paraId="12F4FD84" w14:textId="5139747E" w:rsidR="0098463D" w:rsidRPr="00D46299" w:rsidRDefault="0098463D" w:rsidP="0098463D">
            <w:pPr>
              <w:spacing w:after="160" w:line="278" w:lineRule="auto"/>
              <w:jc w:val="both"/>
            </w:pPr>
            <w:r>
              <w:rPr>
                <w:rFonts w:ascii="Calibri" w:hAnsi="Calibri" w:cs="Calibri"/>
                <w:color w:val="000000"/>
                <w:sz w:val="22"/>
                <w:szCs w:val="22"/>
              </w:rPr>
              <w:t>(1.600)</w:t>
            </w:r>
          </w:p>
        </w:tc>
        <w:tc>
          <w:tcPr>
            <w:tcW w:w="3150" w:type="dxa"/>
            <w:vAlign w:val="center"/>
            <w:hideMark/>
          </w:tcPr>
          <w:p w14:paraId="043F9EFB" w14:textId="77777777" w:rsidR="008D3133" w:rsidRDefault="0098463D" w:rsidP="0098463D">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0.180** </w:t>
            </w:r>
          </w:p>
          <w:p w14:paraId="5BAE68A0" w14:textId="79BDDFCC" w:rsidR="0098463D" w:rsidRPr="00D46299" w:rsidRDefault="0098463D" w:rsidP="0098463D">
            <w:pPr>
              <w:spacing w:after="160" w:line="278" w:lineRule="auto"/>
              <w:jc w:val="both"/>
            </w:pPr>
            <w:r>
              <w:rPr>
                <w:rFonts w:ascii="Calibri" w:hAnsi="Calibri" w:cs="Calibri"/>
                <w:color w:val="000000"/>
                <w:sz w:val="22"/>
                <w:szCs w:val="22"/>
              </w:rPr>
              <w:t>(2.570)</w:t>
            </w:r>
          </w:p>
        </w:tc>
      </w:tr>
      <w:tr w:rsidR="0098463D" w:rsidRPr="00D46299" w14:paraId="56B2599A" w14:textId="77777777" w:rsidTr="00465F82">
        <w:trPr>
          <w:trHeight w:val="445"/>
        </w:trPr>
        <w:tc>
          <w:tcPr>
            <w:tcW w:w="2880" w:type="dxa"/>
            <w:vAlign w:val="center"/>
            <w:hideMark/>
          </w:tcPr>
          <w:p w14:paraId="455FC71E" w14:textId="794AB503" w:rsidR="0098463D" w:rsidRPr="00D46299" w:rsidRDefault="0098463D" w:rsidP="0098463D">
            <w:pPr>
              <w:spacing w:after="160" w:line="278" w:lineRule="auto"/>
              <w:jc w:val="both"/>
            </w:pPr>
            <w:r>
              <w:rPr>
                <w:rFonts w:ascii="Calibri" w:hAnsi="Calibri" w:cs="Calibri"/>
                <w:color w:val="000000"/>
                <w:sz w:val="22"/>
                <w:szCs w:val="22"/>
              </w:rPr>
              <w:t>Leverage Ratio</w:t>
            </w:r>
          </w:p>
        </w:tc>
        <w:tc>
          <w:tcPr>
            <w:tcW w:w="3330" w:type="dxa"/>
            <w:vAlign w:val="center"/>
            <w:hideMark/>
          </w:tcPr>
          <w:p w14:paraId="0548B44C" w14:textId="77777777" w:rsidR="008D3133" w:rsidRDefault="0098463D" w:rsidP="0098463D">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0.270 </w:t>
            </w:r>
          </w:p>
          <w:p w14:paraId="0666AD1B" w14:textId="5542F89E" w:rsidR="0098463D" w:rsidRPr="00D46299" w:rsidRDefault="0098463D" w:rsidP="0098463D">
            <w:pPr>
              <w:spacing w:after="160" w:line="278" w:lineRule="auto"/>
              <w:jc w:val="both"/>
            </w:pPr>
            <w:r>
              <w:rPr>
                <w:rFonts w:ascii="Calibri" w:hAnsi="Calibri" w:cs="Calibri"/>
                <w:color w:val="000000"/>
                <w:sz w:val="22"/>
                <w:szCs w:val="22"/>
              </w:rPr>
              <w:t>(0.770)</w:t>
            </w:r>
          </w:p>
        </w:tc>
        <w:tc>
          <w:tcPr>
            <w:tcW w:w="3150" w:type="dxa"/>
            <w:vAlign w:val="center"/>
            <w:hideMark/>
          </w:tcPr>
          <w:p w14:paraId="25283495" w14:textId="77777777" w:rsidR="008D3133" w:rsidRDefault="0098463D" w:rsidP="0098463D">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-0.305 </w:t>
            </w:r>
          </w:p>
          <w:p w14:paraId="2C0BAB2B" w14:textId="17C2BF0E" w:rsidR="0098463D" w:rsidRPr="00D46299" w:rsidRDefault="0098463D" w:rsidP="0098463D">
            <w:pPr>
              <w:spacing w:after="160" w:line="278" w:lineRule="auto"/>
              <w:jc w:val="both"/>
            </w:pPr>
            <w:r>
              <w:rPr>
                <w:rFonts w:ascii="Calibri" w:hAnsi="Calibri" w:cs="Calibri"/>
                <w:color w:val="000000"/>
                <w:sz w:val="22"/>
                <w:szCs w:val="22"/>
              </w:rPr>
              <w:t>(-0.800)</w:t>
            </w:r>
          </w:p>
        </w:tc>
      </w:tr>
      <w:tr w:rsidR="0098463D" w:rsidRPr="00D46299" w14:paraId="77356915" w14:textId="77777777" w:rsidTr="00465F82">
        <w:trPr>
          <w:trHeight w:val="445"/>
        </w:trPr>
        <w:tc>
          <w:tcPr>
            <w:tcW w:w="2880" w:type="dxa"/>
            <w:vAlign w:val="center"/>
            <w:hideMark/>
          </w:tcPr>
          <w:p w14:paraId="13243FA4" w14:textId="1C3446AC" w:rsidR="0098463D" w:rsidRPr="00D46299" w:rsidRDefault="0098463D" w:rsidP="0098463D">
            <w:pPr>
              <w:spacing w:after="160" w:line="278" w:lineRule="auto"/>
              <w:jc w:val="both"/>
            </w:pPr>
            <w:r>
              <w:rPr>
                <w:rFonts w:ascii="Calibri" w:hAnsi="Calibri" w:cs="Calibri"/>
                <w:color w:val="000000"/>
                <w:sz w:val="22"/>
                <w:szCs w:val="22"/>
              </w:rPr>
              <w:t>Return on Assets (ROA)</w:t>
            </w:r>
          </w:p>
        </w:tc>
        <w:tc>
          <w:tcPr>
            <w:tcW w:w="3330" w:type="dxa"/>
            <w:vAlign w:val="center"/>
            <w:hideMark/>
          </w:tcPr>
          <w:p w14:paraId="12294B85" w14:textId="77777777" w:rsidR="008D3133" w:rsidRDefault="0098463D" w:rsidP="0098463D">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12.660*** </w:t>
            </w:r>
          </w:p>
          <w:p w14:paraId="70AA301F" w14:textId="335D022D" w:rsidR="0098463D" w:rsidRPr="00D46299" w:rsidRDefault="0098463D" w:rsidP="0098463D">
            <w:pPr>
              <w:spacing w:after="160" w:line="278" w:lineRule="auto"/>
              <w:jc w:val="both"/>
            </w:pPr>
            <w:r>
              <w:rPr>
                <w:rFonts w:ascii="Calibri" w:hAnsi="Calibri" w:cs="Calibri"/>
                <w:color w:val="000000"/>
                <w:sz w:val="22"/>
                <w:szCs w:val="22"/>
              </w:rPr>
              <w:t>(14.230)</w:t>
            </w:r>
          </w:p>
        </w:tc>
        <w:tc>
          <w:tcPr>
            <w:tcW w:w="3150" w:type="dxa"/>
            <w:vAlign w:val="center"/>
            <w:hideMark/>
          </w:tcPr>
          <w:p w14:paraId="565CEB9C" w14:textId="77777777" w:rsidR="008D3133" w:rsidRDefault="0098463D" w:rsidP="0098463D">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15.225*** </w:t>
            </w:r>
          </w:p>
          <w:p w14:paraId="4C050248" w14:textId="12761053" w:rsidR="0098463D" w:rsidRPr="00D46299" w:rsidRDefault="0098463D" w:rsidP="0098463D">
            <w:pPr>
              <w:spacing w:after="160" w:line="278" w:lineRule="auto"/>
              <w:jc w:val="both"/>
            </w:pPr>
            <w:r>
              <w:rPr>
                <w:rFonts w:ascii="Calibri" w:hAnsi="Calibri" w:cs="Calibri"/>
                <w:color w:val="000000"/>
                <w:sz w:val="22"/>
                <w:szCs w:val="22"/>
              </w:rPr>
              <w:t>(13.195)</w:t>
            </w:r>
          </w:p>
        </w:tc>
      </w:tr>
      <w:tr w:rsidR="0098463D" w:rsidRPr="00D46299" w14:paraId="44A0FB46" w14:textId="77777777" w:rsidTr="00465F82">
        <w:trPr>
          <w:trHeight w:val="456"/>
        </w:trPr>
        <w:tc>
          <w:tcPr>
            <w:tcW w:w="2880" w:type="dxa"/>
            <w:vAlign w:val="center"/>
            <w:hideMark/>
          </w:tcPr>
          <w:p w14:paraId="570D3E2B" w14:textId="644BC73A" w:rsidR="0098463D" w:rsidRPr="00D46299" w:rsidRDefault="0098463D" w:rsidP="0098463D">
            <w:pPr>
              <w:spacing w:after="160" w:line="278" w:lineRule="auto"/>
              <w:jc w:val="both"/>
            </w:pPr>
            <w:r>
              <w:rPr>
                <w:rFonts w:ascii="Calibri" w:hAnsi="Calibri" w:cs="Calibri"/>
                <w:color w:val="000000"/>
                <w:sz w:val="22"/>
                <w:szCs w:val="22"/>
              </w:rPr>
              <w:t>Board Independence</w:t>
            </w:r>
          </w:p>
        </w:tc>
        <w:tc>
          <w:tcPr>
            <w:tcW w:w="3330" w:type="dxa"/>
            <w:vAlign w:val="center"/>
            <w:hideMark/>
          </w:tcPr>
          <w:p w14:paraId="0C65AAFA" w14:textId="77777777" w:rsidR="008D3133" w:rsidRDefault="0098463D" w:rsidP="0098463D">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0.122 </w:t>
            </w:r>
          </w:p>
          <w:p w14:paraId="3216D50F" w14:textId="6CF4F4F1" w:rsidR="0098463D" w:rsidRPr="00D46299" w:rsidRDefault="0098463D" w:rsidP="0098463D">
            <w:pPr>
              <w:spacing w:after="160" w:line="278" w:lineRule="auto"/>
              <w:jc w:val="both"/>
            </w:pPr>
            <w:r>
              <w:rPr>
                <w:rFonts w:ascii="Calibri" w:hAnsi="Calibri" w:cs="Calibri"/>
                <w:color w:val="000000"/>
                <w:sz w:val="22"/>
                <w:szCs w:val="22"/>
              </w:rPr>
              <w:t>(0.425)</w:t>
            </w:r>
          </w:p>
        </w:tc>
        <w:tc>
          <w:tcPr>
            <w:tcW w:w="3150" w:type="dxa"/>
            <w:vAlign w:val="center"/>
            <w:hideMark/>
          </w:tcPr>
          <w:p w14:paraId="175E70FC" w14:textId="77777777" w:rsidR="008D3133" w:rsidRDefault="0098463D" w:rsidP="0098463D">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-0.366 </w:t>
            </w:r>
          </w:p>
          <w:p w14:paraId="30F86755" w14:textId="45C7A6FF" w:rsidR="0098463D" w:rsidRPr="00D46299" w:rsidRDefault="0098463D" w:rsidP="0098463D">
            <w:pPr>
              <w:spacing w:after="160" w:line="278" w:lineRule="auto"/>
              <w:jc w:val="both"/>
            </w:pPr>
            <w:r>
              <w:rPr>
                <w:rFonts w:ascii="Calibri" w:hAnsi="Calibri" w:cs="Calibri"/>
                <w:color w:val="000000"/>
                <w:sz w:val="22"/>
                <w:szCs w:val="22"/>
              </w:rPr>
              <w:t>(-1.175)</w:t>
            </w:r>
          </w:p>
        </w:tc>
      </w:tr>
      <w:tr w:rsidR="0098463D" w:rsidRPr="00D46299" w14:paraId="08724422" w14:textId="77777777" w:rsidTr="00465F82">
        <w:trPr>
          <w:trHeight w:val="445"/>
        </w:trPr>
        <w:tc>
          <w:tcPr>
            <w:tcW w:w="2880" w:type="dxa"/>
            <w:vAlign w:val="center"/>
            <w:hideMark/>
          </w:tcPr>
          <w:p w14:paraId="6ED48CA3" w14:textId="6AF3B99F" w:rsidR="0098463D" w:rsidRPr="00D46299" w:rsidRDefault="0098463D" w:rsidP="0098463D">
            <w:pPr>
              <w:spacing w:after="160" w:line="278" w:lineRule="auto"/>
              <w:jc w:val="both"/>
            </w:pPr>
            <w:r>
              <w:rPr>
                <w:rFonts w:ascii="Calibri" w:hAnsi="Calibri" w:cs="Calibri"/>
                <w:color w:val="000000"/>
                <w:sz w:val="22"/>
                <w:szCs w:val="22"/>
              </w:rPr>
              <w:t>Growth Rate</w:t>
            </w:r>
          </w:p>
        </w:tc>
        <w:tc>
          <w:tcPr>
            <w:tcW w:w="3330" w:type="dxa"/>
            <w:vAlign w:val="center"/>
            <w:hideMark/>
          </w:tcPr>
          <w:p w14:paraId="0C64A1E5" w14:textId="77777777" w:rsidR="008D3133" w:rsidRDefault="0098463D" w:rsidP="0098463D">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0.160 </w:t>
            </w:r>
          </w:p>
          <w:p w14:paraId="6B242BBE" w14:textId="29250604" w:rsidR="0098463D" w:rsidRPr="00D46299" w:rsidRDefault="0098463D" w:rsidP="0098463D">
            <w:pPr>
              <w:spacing w:after="160" w:line="278" w:lineRule="auto"/>
              <w:jc w:val="both"/>
            </w:pPr>
            <w:r>
              <w:rPr>
                <w:rFonts w:ascii="Calibri" w:hAnsi="Calibri" w:cs="Calibri"/>
                <w:color w:val="000000"/>
                <w:sz w:val="22"/>
                <w:szCs w:val="22"/>
              </w:rPr>
              <w:t>(1.155)</w:t>
            </w:r>
          </w:p>
        </w:tc>
        <w:tc>
          <w:tcPr>
            <w:tcW w:w="3150" w:type="dxa"/>
            <w:vAlign w:val="center"/>
            <w:hideMark/>
          </w:tcPr>
          <w:p w14:paraId="4536E110" w14:textId="77777777" w:rsidR="008D3133" w:rsidRDefault="0098463D" w:rsidP="0098463D">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0.208 </w:t>
            </w:r>
          </w:p>
          <w:p w14:paraId="65AF12D4" w14:textId="01F23DBB" w:rsidR="0098463D" w:rsidRPr="00D46299" w:rsidRDefault="0098463D" w:rsidP="0098463D">
            <w:pPr>
              <w:spacing w:after="160" w:line="278" w:lineRule="auto"/>
              <w:jc w:val="both"/>
            </w:pPr>
            <w:r>
              <w:rPr>
                <w:rFonts w:ascii="Calibri" w:hAnsi="Calibri" w:cs="Calibri"/>
                <w:color w:val="000000"/>
                <w:sz w:val="22"/>
                <w:szCs w:val="22"/>
              </w:rPr>
              <w:t>(1.455)</w:t>
            </w:r>
          </w:p>
        </w:tc>
      </w:tr>
      <w:tr w:rsidR="0098463D" w:rsidRPr="00D46299" w14:paraId="718A00CD" w14:textId="77777777" w:rsidTr="00465F82">
        <w:trPr>
          <w:trHeight w:val="445"/>
        </w:trPr>
        <w:tc>
          <w:tcPr>
            <w:tcW w:w="2880" w:type="dxa"/>
            <w:vAlign w:val="center"/>
            <w:hideMark/>
          </w:tcPr>
          <w:p w14:paraId="22AC7C28" w14:textId="436CE33C" w:rsidR="0098463D" w:rsidRPr="00D46299" w:rsidRDefault="0098463D" w:rsidP="0098463D">
            <w:pPr>
              <w:spacing w:after="160" w:line="278" w:lineRule="auto"/>
              <w:jc w:val="both"/>
            </w:pPr>
            <w:r>
              <w:rPr>
                <w:rFonts w:ascii="Calibri" w:hAnsi="Calibri" w:cs="Calibri"/>
                <w:color w:val="000000"/>
                <w:sz w:val="22"/>
                <w:szCs w:val="22"/>
              </w:rPr>
              <w:t>Top Management Ownership</w:t>
            </w:r>
          </w:p>
        </w:tc>
        <w:tc>
          <w:tcPr>
            <w:tcW w:w="3330" w:type="dxa"/>
            <w:vAlign w:val="center"/>
            <w:hideMark/>
          </w:tcPr>
          <w:p w14:paraId="1C13DEE3" w14:textId="77777777" w:rsidR="008D3133" w:rsidRDefault="0098463D" w:rsidP="0098463D">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0.598 </w:t>
            </w:r>
          </w:p>
          <w:p w14:paraId="4E23E006" w14:textId="0BA38AE3" w:rsidR="0098463D" w:rsidRPr="00D46299" w:rsidRDefault="0098463D" w:rsidP="0098463D">
            <w:pPr>
              <w:spacing w:after="160" w:line="278" w:lineRule="auto"/>
              <w:jc w:val="both"/>
            </w:pPr>
            <w:r>
              <w:rPr>
                <w:rFonts w:ascii="Calibri" w:hAnsi="Calibri" w:cs="Calibri"/>
                <w:color w:val="000000"/>
                <w:sz w:val="22"/>
                <w:szCs w:val="22"/>
              </w:rPr>
              <w:t>(1.515)</w:t>
            </w:r>
          </w:p>
        </w:tc>
        <w:tc>
          <w:tcPr>
            <w:tcW w:w="3150" w:type="dxa"/>
            <w:vAlign w:val="center"/>
            <w:hideMark/>
          </w:tcPr>
          <w:p w14:paraId="6B777B49" w14:textId="77777777" w:rsidR="008D3133" w:rsidRDefault="0098463D" w:rsidP="0098463D">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-0.076 </w:t>
            </w:r>
          </w:p>
          <w:p w14:paraId="515629AF" w14:textId="6564EA25" w:rsidR="0098463D" w:rsidRPr="00D46299" w:rsidRDefault="0098463D" w:rsidP="0098463D">
            <w:pPr>
              <w:spacing w:after="160" w:line="278" w:lineRule="auto"/>
              <w:jc w:val="both"/>
            </w:pPr>
            <w:r>
              <w:rPr>
                <w:rFonts w:ascii="Calibri" w:hAnsi="Calibri" w:cs="Calibri"/>
                <w:color w:val="000000"/>
                <w:sz w:val="22"/>
                <w:szCs w:val="22"/>
              </w:rPr>
              <w:t>(-0.180)</w:t>
            </w:r>
          </w:p>
        </w:tc>
      </w:tr>
      <w:tr w:rsidR="0098463D" w:rsidRPr="00D46299" w14:paraId="4A15D07F" w14:textId="77777777" w:rsidTr="00465F82">
        <w:trPr>
          <w:trHeight w:val="445"/>
        </w:trPr>
        <w:tc>
          <w:tcPr>
            <w:tcW w:w="2880" w:type="dxa"/>
            <w:vAlign w:val="center"/>
            <w:hideMark/>
          </w:tcPr>
          <w:p w14:paraId="564DBDB2" w14:textId="60341BE6" w:rsidR="0098463D" w:rsidRPr="00D46299" w:rsidRDefault="0098463D" w:rsidP="0098463D">
            <w:pPr>
              <w:spacing w:after="160" w:line="278" w:lineRule="auto"/>
              <w:jc w:val="both"/>
            </w:pPr>
            <w:r>
              <w:rPr>
                <w:rFonts w:ascii="Calibri" w:hAnsi="Calibri" w:cs="Calibri"/>
                <w:color w:val="000000"/>
                <w:sz w:val="22"/>
                <w:szCs w:val="22"/>
              </w:rPr>
              <w:t>Firm Age</w:t>
            </w:r>
          </w:p>
        </w:tc>
        <w:tc>
          <w:tcPr>
            <w:tcW w:w="3330" w:type="dxa"/>
            <w:vAlign w:val="center"/>
            <w:hideMark/>
          </w:tcPr>
          <w:p w14:paraId="4747E4E1" w14:textId="77777777" w:rsidR="008D3133" w:rsidRDefault="0098463D" w:rsidP="0098463D">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0.280*** </w:t>
            </w:r>
          </w:p>
          <w:p w14:paraId="7F732E00" w14:textId="415A7BB0" w:rsidR="0098463D" w:rsidRPr="00D46299" w:rsidRDefault="0098463D" w:rsidP="0098463D">
            <w:pPr>
              <w:spacing w:after="160" w:line="278" w:lineRule="auto"/>
              <w:jc w:val="both"/>
            </w:pPr>
            <w:r>
              <w:rPr>
                <w:rFonts w:ascii="Calibri" w:hAnsi="Calibri" w:cs="Calibri"/>
                <w:color w:val="000000"/>
                <w:sz w:val="22"/>
                <w:szCs w:val="22"/>
              </w:rPr>
              <w:t>(3.030)</w:t>
            </w:r>
          </w:p>
        </w:tc>
        <w:tc>
          <w:tcPr>
            <w:tcW w:w="3150" w:type="dxa"/>
            <w:vAlign w:val="center"/>
            <w:hideMark/>
          </w:tcPr>
          <w:p w14:paraId="57FD3D49" w14:textId="77777777" w:rsidR="008D3133" w:rsidRDefault="0098463D" w:rsidP="0098463D">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0.160* </w:t>
            </w:r>
          </w:p>
          <w:p w14:paraId="00B8BC20" w14:textId="61C1844C" w:rsidR="0098463D" w:rsidRPr="00D46299" w:rsidRDefault="0098463D" w:rsidP="0098463D">
            <w:pPr>
              <w:spacing w:after="160" w:line="278" w:lineRule="auto"/>
              <w:jc w:val="both"/>
            </w:pPr>
            <w:r>
              <w:rPr>
                <w:rFonts w:ascii="Calibri" w:hAnsi="Calibri" w:cs="Calibri"/>
                <w:color w:val="000000"/>
                <w:sz w:val="22"/>
                <w:szCs w:val="22"/>
              </w:rPr>
              <w:t>(1.780)</w:t>
            </w:r>
          </w:p>
        </w:tc>
      </w:tr>
      <w:tr w:rsidR="0098463D" w:rsidRPr="00D46299" w14:paraId="066870C4" w14:textId="77777777" w:rsidTr="00465F82">
        <w:trPr>
          <w:trHeight w:val="445"/>
        </w:trPr>
        <w:tc>
          <w:tcPr>
            <w:tcW w:w="2880" w:type="dxa"/>
            <w:vAlign w:val="center"/>
            <w:hideMark/>
          </w:tcPr>
          <w:p w14:paraId="41EC6CCF" w14:textId="0F957E5E" w:rsidR="0098463D" w:rsidRPr="00D46299" w:rsidRDefault="0098463D" w:rsidP="0098463D">
            <w:pPr>
              <w:spacing w:after="160" w:line="278" w:lineRule="auto"/>
              <w:jc w:val="both"/>
            </w:pPr>
            <w:r>
              <w:rPr>
                <w:rFonts w:ascii="Calibri" w:hAnsi="Calibri" w:cs="Calibri"/>
                <w:color w:val="000000"/>
                <w:sz w:val="22"/>
                <w:szCs w:val="22"/>
              </w:rPr>
              <w:t>Constant</w:t>
            </w:r>
          </w:p>
        </w:tc>
        <w:tc>
          <w:tcPr>
            <w:tcW w:w="3330" w:type="dxa"/>
            <w:vAlign w:val="center"/>
            <w:hideMark/>
          </w:tcPr>
          <w:p w14:paraId="0D50B9CF" w14:textId="77777777" w:rsidR="008D3133" w:rsidRDefault="0098463D" w:rsidP="0098463D">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-4.310*** </w:t>
            </w:r>
          </w:p>
          <w:p w14:paraId="261709E2" w14:textId="2C2472B1" w:rsidR="0098463D" w:rsidRPr="00D46299" w:rsidRDefault="0098463D" w:rsidP="0098463D">
            <w:pPr>
              <w:spacing w:after="160" w:line="278" w:lineRule="auto"/>
              <w:jc w:val="both"/>
            </w:pPr>
            <w:r>
              <w:rPr>
                <w:rFonts w:ascii="Calibri" w:hAnsi="Calibri" w:cs="Calibri"/>
                <w:color w:val="000000"/>
                <w:sz w:val="22"/>
                <w:szCs w:val="22"/>
              </w:rPr>
              <w:t>(-3.640)</w:t>
            </w:r>
          </w:p>
        </w:tc>
        <w:tc>
          <w:tcPr>
            <w:tcW w:w="3150" w:type="dxa"/>
            <w:vAlign w:val="center"/>
            <w:hideMark/>
          </w:tcPr>
          <w:p w14:paraId="642F3432" w14:textId="77777777" w:rsidR="008D3133" w:rsidRDefault="0098463D" w:rsidP="0098463D">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-0.865 </w:t>
            </w:r>
          </w:p>
          <w:p w14:paraId="5CE2DDEB" w14:textId="327C4350" w:rsidR="0098463D" w:rsidRPr="00D46299" w:rsidRDefault="0098463D" w:rsidP="0098463D">
            <w:pPr>
              <w:spacing w:after="160" w:line="278" w:lineRule="auto"/>
              <w:jc w:val="both"/>
            </w:pPr>
            <w:r>
              <w:rPr>
                <w:rFonts w:ascii="Calibri" w:hAnsi="Calibri" w:cs="Calibri"/>
                <w:color w:val="000000"/>
                <w:sz w:val="22"/>
                <w:szCs w:val="22"/>
              </w:rPr>
              <w:t>(-0.685)</w:t>
            </w:r>
          </w:p>
        </w:tc>
      </w:tr>
      <w:tr w:rsidR="0098463D" w:rsidRPr="00D46299" w14:paraId="14B4A8AC" w14:textId="77777777" w:rsidTr="00465F82">
        <w:trPr>
          <w:trHeight w:val="456"/>
        </w:trPr>
        <w:tc>
          <w:tcPr>
            <w:tcW w:w="2880" w:type="dxa"/>
            <w:vAlign w:val="center"/>
            <w:hideMark/>
          </w:tcPr>
          <w:p w14:paraId="6FBAD45C" w14:textId="635F27FE" w:rsidR="0098463D" w:rsidRPr="00D46299" w:rsidRDefault="00343B6B" w:rsidP="0098463D">
            <w:pPr>
              <w:spacing w:after="160" w:line="278" w:lineRule="auto"/>
              <w:jc w:val="both"/>
            </w:pPr>
            <w:r w:rsidRPr="00343B6B">
              <w:rPr>
                <w:rFonts w:ascii="Calibri" w:hAnsi="Calibri" w:cs="Calibri"/>
                <w:color w:val="000000"/>
                <w:sz w:val="22"/>
                <w:szCs w:val="22"/>
              </w:rPr>
              <w:t>Annual Fixed Effects</w:t>
            </w:r>
          </w:p>
        </w:tc>
        <w:tc>
          <w:tcPr>
            <w:tcW w:w="3330" w:type="dxa"/>
            <w:vAlign w:val="center"/>
            <w:hideMark/>
          </w:tcPr>
          <w:p w14:paraId="6D71C05C" w14:textId="4C2931EF" w:rsidR="0098463D" w:rsidRPr="00D46299" w:rsidRDefault="0098463D" w:rsidP="0098463D">
            <w:pPr>
              <w:spacing w:after="160" w:line="278" w:lineRule="auto"/>
              <w:jc w:val="both"/>
            </w:pPr>
            <w:r>
              <w:rPr>
                <w:rFonts w:ascii="Calibri" w:hAnsi="Calibri" w:cs="Calibri"/>
                <w:color w:val="000000"/>
                <w:sz w:val="22"/>
                <w:szCs w:val="22"/>
              </w:rPr>
              <w:t>contro</w:t>
            </w:r>
            <w:r w:rsidR="00465F82">
              <w:rPr>
                <w:rFonts w:ascii="Calibri" w:hAnsi="Calibri" w:cs="Calibri"/>
                <w:color w:val="000000"/>
                <w:sz w:val="22"/>
                <w:szCs w:val="22"/>
              </w:rPr>
              <w:t>l</w:t>
            </w:r>
          </w:p>
        </w:tc>
        <w:tc>
          <w:tcPr>
            <w:tcW w:w="3150" w:type="dxa"/>
            <w:vAlign w:val="center"/>
            <w:hideMark/>
          </w:tcPr>
          <w:p w14:paraId="3FED7BD6" w14:textId="573D9EDF" w:rsidR="0098463D" w:rsidRPr="00D46299" w:rsidRDefault="0098463D" w:rsidP="0098463D">
            <w:pPr>
              <w:spacing w:after="160" w:line="278" w:lineRule="auto"/>
              <w:jc w:val="both"/>
            </w:pPr>
            <w:r>
              <w:rPr>
                <w:rFonts w:ascii="Calibri" w:hAnsi="Calibri" w:cs="Calibri"/>
                <w:color w:val="000000"/>
                <w:sz w:val="22"/>
                <w:szCs w:val="22"/>
              </w:rPr>
              <w:t>control</w:t>
            </w:r>
          </w:p>
        </w:tc>
      </w:tr>
      <w:tr w:rsidR="0098463D" w:rsidRPr="00D46299" w14:paraId="25397E96" w14:textId="77777777" w:rsidTr="00465F82">
        <w:trPr>
          <w:trHeight w:val="445"/>
        </w:trPr>
        <w:tc>
          <w:tcPr>
            <w:tcW w:w="2880" w:type="dxa"/>
            <w:vAlign w:val="center"/>
            <w:hideMark/>
          </w:tcPr>
          <w:p w14:paraId="71B77F7C" w14:textId="47D5FC47" w:rsidR="0098463D" w:rsidRPr="00D46299" w:rsidRDefault="00343B6B" w:rsidP="0098463D">
            <w:pPr>
              <w:spacing w:after="160" w:line="278" w:lineRule="auto"/>
              <w:jc w:val="both"/>
            </w:pPr>
            <w:r w:rsidRPr="00343B6B">
              <w:rPr>
                <w:rFonts w:ascii="Calibri" w:hAnsi="Calibri" w:cs="Calibri"/>
                <w:color w:val="000000"/>
                <w:sz w:val="22"/>
                <w:szCs w:val="22"/>
              </w:rPr>
              <w:t>Sector Fixed Effects</w:t>
            </w:r>
          </w:p>
        </w:tc>
        <w:tc>
          <w:tcPr>
            <w:tcW w:w="3330" w:type="dxa"/>
            <w:vAlign w:val="center"/>
            <w:hideMark/>
          </w:tcPr>
          <w:p w14:paraId="27A2B04F" w14:textId="435F29B6" w:rsidR="0098463D" w:rsidRPr="00D46299" w:rsidRDefault="0098463D" w:rsidP="0098463D">
            <w:pPr>
              <w:spacing w:after="160" w:line="278" w:lineRule="auto"/>
              <w:jc w:val="both"/>
            </w:pPr>
            <w:r>
              <w:rPr>
                <w:rFonts w:ascii="Calibri" w:hAnsi="Calibri" w:cs="Calibri"/>
                <w:color w:val="000000"/>
                <w:sz w:val="22"/>
                <w:szCs w:val="22"/>
              </w:rPr>
              <w:t>control</w:t>
            </w:r>
          </w:p>
        </w:tc>
        <w:tc>
          <w:tcPr>
            <w:tcW w:w="3150" w:type="dxa"/>
            <w:vAlign w:val="center"/>
            <w:hideMark/>
          </w:tcPr>
          <w:p w14:paraId="27528EB5" w14:textId="29E54D7D" w:rsidR="0098463D" w:rsidRPr="00D46299" w:rsidRDefault="0098463D" w:rsidP="0098463D">
            <w:pPr>
              <w:spacing w:after="160" w:line="278" w:lineRule="auto"/>
              <w:jc w:val="both"/>
            </w:pPr>
            <w:r>
              <w:rPr>
                <w:rFonts w:ascii="Calibri" w:hAnsi="Calibri" w:cs="Calibri"/>
                <w:color w:val="000000"/>
                <w:sz w:val="22"/>
                <w:szCs w:val="22"/>
              </w:rPr>
              <w:t>control</w:t>
            </w:r>
          </w:p>
        </w:tc>
      </w:tr>
      <w:tr w:rsidR="0098463D" w:rsidRPr="00D46299" w14:paraId="4B79B907" w14:textId="77777777" w:rsidTr="00465F82">
        <w:trPr>
          <w:trHeight w:val="445"/>
        </w:trPr>
        <w:tc>
          <w:tcPr>
            <w:tcW w:w="2880" w:type="dxa"/>
            <w:vAlign w:val="center"/>
            <w:hideMark/>
          </w:tcPr>
          <w:p w14:paraId="29BA0940" w14:textId="57028EDF" w:rsidR="0098463D" w:rsidRPr="00D46299" w:rsidRDefault="00343B6B" w:rsidP="0098463D">
            <w:pPr>
              <w:spacing w:after="160" w:line="278" w:lineRule="auto"/>
              <w:jc w:val="both"/>
            </w:pPr>
            <w:r w:rsidRPr="00343B6B">
              <w:rPr>
                <w:rFonts w:ascii="Calibri" w:hAnsi="Calibri" w:cs="Calibri"/>
                <w:color w:val="000000"/>
                <w:sz w:val="22"/>
                <w:szCs w:val="22"/>
              </w:rPr>
              <w:t>Sample Size</w:t>
            </w:r>
          </w:p>
        </w:tc>
        <w:tc>
          <w:tcPr>
            <w:tcW w:w="3330" w:type="dxa"/>
            <w:vAlign w:val="center"/>
            <w:hideMark/>
          </w:tcPr>
          <w:p w14:paraId="61019E09" w14:textId="1CA5C423" w:rsidR="0098463D" w:rsidRPr="00D46299" w:rsidRDefault="0098463D" w:rsidP="0098463D">
            <w:pPr>
              <w:spacing w:after="160" w:line="278" w:lineRule="auto"/>
              <w:jc w:val="both"/>
            </w:pPr>
            <w:r>
              <w:rPr>
                <w:rFonts w:ascii="Calibri" w:hAnsi="Calibri" w:cs="Calibri"/>
                <w:color w:val="000000"/>
                <w:sz w:val="22"/>
                <w:szCs w:val="22"/>
              </w:rPr>
              <w:t>412</w:t>
            </w:r>
            <w:r w:rsidR="00276754">
              <w:rPr>
                <w:rFonts w:ascii="Calibri" w:hAnsi="Calibri" w:cs="Calibri"/>
                <w:color w:val="000000"/>
                <w:sz w:val="22"/>
                <w:szCs w:val="22"/>
              </w:rPr>
              <w:t>8</w:t>
            </w:r>
          </w:p>
        </w:tc>
        <w:tc>
          <w:tcPr>
            <w:tcW w:w="3150" w:type="dxa"/>
            <w:vAlign w:val="center"/>
            <w:hideMark/>
          </w:tcPr>
          <w:p w14:paraId="1618AB8B" w14:textId="548A7E0E" w:rsidR="0098463D" w:rsidRPr="00D46299" w:rsidRDefault="0098463D" w:rsidP="0098463D">
            <w:pPr>
              <w:spacing w:after="160" w:line="278" w:lineRule="auto"/>
              <w:jc w:val="both"/>
            </w:pPr>
            <w:r>
              <w:rPr>
                <w:rFonts w:ascii="Calibri" w:hAnsi="Calibri" w:cs="Calibri"/>
                <w:color w:val="000000"/>
                <w:sz w:val="22"/>
                <w:szCs w:val="22"/>
              </w:rPr>
              <w:t>4</w:t>
            </w:r>
            <w:r w:rsidR="00276754">
              <w:rPr>
                <w:rFonts w:ascii="Calibri" w:hAnsi="Calibri" w:cs="Calibri"/>
                <w:color w:val="000000"/>
                <w:sz w:val="22"/>
                <w:szCs w:val="22"/>
              </w:rPr>
              <w:t>3</w:t>
            </w:r>
            <w:r>
              <w:rPr>
                <w:rFonts w:ascii="Calibri" w:hAnsi="Calibri" w:cs="Calibri"/>
                <w:color w:val="000000"/>
                <w:sz w:val="22"/>
                <w:szCs w:val="22"/>
              </w:rPr>
              <w:t>45</w:t>
            </w:r>
          </w:p>
        </w:tc>
      </w:tr>
      <w:tr w:rsidR="0098463D" w:rsidRPr="00D46299" w14:paraId="21DE8EEA" w14:textId="77777777" w:rsidTr="00465F82">
        <w:trPr>
          <w:trHeight w:val="445"/>
        </w:trPr>
        <w:tc>
          <w:tcPr>
            <w:tcW w:w="2880" w:type="dxa"/>
            <w:vAlign w:val="center"/>
            <w:hideMark/>
          </w:tcPr>
          <w:p w14:paraId="17BC30F7" w14:textId="7E188D61" w:rsidR="0098463D" w:rsidRPr="00D46299" w:rsidRDefault="0098463D" w:rsidP="0098463D">
            <w:pPr>
              <w:spacing w:after="160" w:line="278" w:lineRule="auto"/>
              <w:jc w:val="both"/>
            </w:pPr>
            <w:r>
              <w:rPr>
                <w:rFonts w:ascii="Calibri" w:hAnsi="Calibri" w:cs="Calibri"/>
                <w:color w:val="000000"/>
                <w:sz w:val="22"/>
                <w:szCs w:val="22"/>
              </w:rPr>
              <w:t>R</w:t>
            </w:r>
            <w:r w:rsidR="00343B6B" w:rsidRPr="00343B6B">
              <w:rPr>
                <w:rFonts w:ascii="Calibri" w:hAnsi="Calibri" w:cs="Calibri"/>
                <w:color w:val="000000"/>
                <w:sz w:val="22"/>
                <w:szCs w:val="22"/>
                <w:vertAlign w:val="superscript"/>
              </w:rPr>
              <w:t>2</w:t>
            </w:r>
          </w:p>
        </w:tc>
        <w:tc>
          <w:tcPr>
            <w:tcW w:w="3330" w:type="dxa"/>
            <w:vAlign w:val="center"/>
            <w:hideMark/>
          </w:tcPr>
          <w:p w14:paraId="29AF2B07" w14:textId="67B70868" w:rsidR="0098463D" w:rsidRPr="00D46299" w:rsidRDefault="0098463D" w:rsidP="0098463D">
            <w:pPr>
              <w:spacing w:after="160" w:line="278" w:lineRule="auto"/>
              <w:jc w:val="both"/>
            </w:pPr>
            <w:r>
              <w:rPr>
                <w:rFonts w:ascii="Calibri" w:hAnsi="Calibri" w:cs="Calibri"/>
                <w:color w:val="000000"/>
                <w:sz w:val="22"/>
                <w:szCs w:val="22"/>
              </w:rPr>
              <w:t>0.241</w:t>
            </w:r>
          </w:p>
        </w:tc>
        <w:tc>
          <w:tcPr>
            <w:tcW w:w="3150" w:type="dxa"/>
            <w:vAlign w:val="center"/>
            <w:hideMark/>
          </w:tcPr>
          <w:p w14:paraId="40128755" w14:textId="35175A5B" w:rsidR="0098463D" w:rsidRPr="00D46299" w:rsidRDefault="0098463D" w:rsidP="0098463D">
            <w:pPr>
              <w:spacing w:after="160" w:line="278" w:lineRule="auto"/>
              <w:jc w:val="both"/>
            </w:pPr>
            <w:r>
              <w:rPr>
                <w:rFonts w:ascii="Calibri" w:hAnsi="Calibri" w:cs="Calibri"/>
                <w:color w:val="000000"/>
                <w:sz w:val="22"/>
                <w:szCs w:val="22"/>
              </w:rPr>
              <w:t>0.198</w:t>
            </w:r>
          </w:p>
        </w:tc>
      </w:tr>
      <w:tr w:rsidR="0098463D" w:rsidRPr="00D46299" w14:paraId="2D79F41E" w14:textId="77777777" w:rsidTr="00465F82">
        <w:trPr>
          <w:trHeight w:val="445"/>
        </w:trPr>
        <w:tc>
          <w:tcPr>
            <w:tcW w:w="2880" w:type="dxa"/>
            <w:vAlign w:val="center"/>
            <w:hideMark/>
          </w:tcPr>
          <w:p w14:paraId="721D61F9" w14:textId="38BF272A" w:rsidR="0098463D" w:rsidRPr="00D46299" w:rsidRDefault="0098463D" w:rsidP="0098463D">
            <w:pPr>
              <w:spacing w:after="160" w:line="278" w:lineRule="auto"/>
              <w:jc w:val="both"/>
            </w:pPr>
            <w:r>
              <w:rPr>
                <w:rFonts w:ascii="Calibri" w:hAnsi="Calibri" w:cs="Calibri"/>
                <w:color w:val="000000"/>
                <w:sz w:val="22"/>
                <w:szCs w:val="22"/>
              </w:rPr>
              <w:t>Chow</w:t>
            </w:r>
            <w:r w:rsidR="00343B6B">
              <w:rPr>
                <w:rFonts w:ascii="Calibri" w:hAnsi="Calibri" w:cs="Calibri"/>
                <w:color w:val="000000"/>
                <w:sz w:val="22"/>
                <w:szCs w:val="22"/>
              </w:rPr>
              <w:t xml:space="preserve"> / </w:t>
            </w:r>
            <w:r w:rsidR="00343B6B" w:rsidRPr="00343B6B">
              <w:rPr>
                <w:rFonts w:ascii="Calibri" w:hAnsi="Calibri" w:cs="Calibri"/>
                <w:color w:val="000000"/>
                <w:sz w:val="22"/>
                <w:szCs w:val="22"/>
              </w:rPr>
              <w:t>Structural Break</w:t>
            </w:r>
            <w:r>
              <w:rPr>
                <w:rFonts w:ascii="Calibri" w:hAnsi="Calibri" w:cs="Calibri"/>
                <w:color w:val="000000"/>
                <w:sz w:val="22"/>
                <w:szCs w:val="22"/>
              </w:rPr>
              <w:t xml:space="preserve"> test</w:t>
            </w:r>
          </w:p>
        </w:tc>
        <w:tc>
          <w:tcPr>
            <w:tcW w:w="3330" w:type="dxa"/>
            <w:vAlign w:val="center"/>
            <w:hideMark/>
          </w:tcPr>
          <w:p w14:paraId="6C448BC9" w14:textId="632C7015" w:rsidR="0098463D" w:rsidRPr="00D46299" w:rsidRDefault="0098463D" w:rsidP="0098463D">
            <w:pPr>
              <w:spacing w:after="160" w:line="278" w:lineRule="auto"/>
              <w:jc w:val="both"/>
            </w:pPr>
            <w:r>
              <w:rPr>
                <w:rFonts w:ascii="Calibri" w:hAnsi="Calibri" w:cs="Calibri"/>
                <w:color w:val="000000"/>
                <w:sz w:val="22"/>
                <w:szCs w:val="22"/>
              </w:rPr>
              <w:t>2.15***</w:t>
            </w:r>
          </w:p>
        </w:tc>
        <w:tc>
          <w:tcPr>
            <w:tcW w:w="3150" w:type="dxa"/>
            <w:vAlign w:val="center"/>
            <w:hideMark/>
          </w:tcPr>
          <w:p w14:paraId="1CB38174" w14:textId="77777777" w:rsidR="0098463D" w:rsidRPr="00D46299" w:rsidRDefault="0098463D" w:rsidP="0098463D">
            <w:pPr>
              <w:spacing w:after="160" w:line="278" w:lineRule="auto"/>
              <w:jc w:val="both"/>
            </w:pPr>
          </w:p>
        </w:tc>
      </w:tr>
    </w:tbl>
    <w:p w14:paraId="3A96E67C" w14:textId="1349CA67" w:rsidR="009F6144" w:rsidRDefault="001B2E05" w:rsidP="009F6144">
      <w:pPr>
        <w:jc w:val="both"/>
      </w:pPr>
      <w:r>
        <w:t xml:space="preserve">Note: </w:t>
      </w:r>
      <w:r w:rsidRPr="001B2E05">
        <w:t>***, **, and * denote statistical significance at the 1% (p &lt; 0.01), 5% (p &lt; 0.05), and 10% (p &lt; 0.10) levels, respectively. T-values are provided in parentheses.</w:t>
      </w:r>
    </w:p>
    <w:p w14:paraId="6AD1B8F5" w14:textId="7DCA4E2B" w:rsidR="004F746A" w:rsidRDefault="00245185" w:rsidP="005C2B73">
      <w:pPr>
        <w:jc w:val="both"/>
      </w:pPr>
      <w:r w:rsidRPr="00245185">
        <w:t xml:space="preserve">The transition to </w:t>
      </w:r>
      <w:r w:rsidR="003735F1" w:rsidRPr="00245185">
        <w:t>privatization</w:t>
      </w:r>
      <w:r w:rsidRPr="00245185">
        <w:t xml:space="preserve"> has significantly influenced Pakistan's economic development. Nonetheless, the problem of unequal regional growth has gained more attention. The extent of </w:t>
      </w:r>
      <w:r w:rsidR="003735F1" w:rsidRPr="00245185">
        <w:t>privatization</w:t>
      </w:r>
      <w:r w:rsidRPr="00245185">
        <w:t xml:space="preserve">, as a critical element of the external business environment, significantly influences strategic planning by top management and the achievement of sustainable corporate responsibilities. In regions </w:t>
      </w:r>
      <w:r w:rsidR="003735F1" w:rsidRPr="00245185">
        <w:t>characterized</w:t>
      </w:r>
      <w:r w:rsidRPr="00245185">
        <w:t xml:space="preserve"> by a higher degree of </w:t>
      </w:r>
      <w:r w:rsidR="003735F1" w:rsidRPr="00245185">
        <w:t>privatization</w:t>
      </w:r>
      <w:r w:rsidRPr="00245185">
        <w:t xml:space="preserve">, the reputation mechanism influencing top </w:t>
      </w:r>
      <w:r w:rsidR="003735F1">
        <w:t>management</w:t>
      </w:r>
      <w:r w:rsidRPr="00245185">
        <w:t xml:space="preserve"> exerts a more pronounced effect, enhancing their ability to make decisions and moral integrity, thereby increasing their focus on fulfilling </w:t>
      </w:r>
      <w:r w:rsidR="004F746A">
        <w:t>SCB</w:t>
      </w:r>
      <w:r w:rsidRPr="00245185">
        <w:t xml:space="preserve"> requirements. Conversely</w:t>
      </w:r>
      <w:r w:rsidR="003735F1">
        <w:t>, social norms tend to be more standardized in areas characterized by greater privatization</w:t>
      </w:r>
      <w:r w:rsidRPr="00245185">
        <w:t xml:space="preserve">, the legal environment exhibits increased security, and market information symmetry is enhanced. This enables top executives to objectively assess the risk levels associated with their decisions, encouraging </w:t>
      </w:r>
      <w:r w:rsidR="004F746A">
        <w:t>more remarkable</w:t>
      </w:r>
      <w:r w:rsidRPr="00245185">
        <w:t xml:space="preserve"> meticulousness and stability. </w:t>
      </w:r>
      <w:r w:rsidR="00791E53" w:rsidRPr="00791E53">
        <w:t xml:space="preserve">Top management's educational backgrounds and the </w:t>
      </w:r>
      <w:r w:rsidR="000A3374">
        <w:t>privatization</w:t>
      </w:r>
      <w:r w:rsidR="00791E53" w:rsidRPr="00791E53">
        <w:t xml:space="preserve"> process work in tandem to shape how sustainable corporate duties are fulfilled</w:t>
      </w:r>
      <w:r w:rsidRPr="00245185">
        <w:t>.</w:t>
      </w:r>
    </w:p>
    <w:p w14:paraId="592361B3" w14:textId="35FAA76A" w:rsidR="007A5D77" w:rsidRDefault="009B1105" w:rsidP="005C2B73">
      <w:pPr>
        <w:jc w:val="both"/>
      </w:pPr>
      <w:r>
        <w:t xml:space="preserve">Furthermore, </w:t>
      </w:r>
      <w:r w:rsidR="00D45E00">
        <w:t xml:space="preserve">Pakistan's institutional framework, characterized by regional heterogeneity, is a critical contextual factor impacting corporate development and survival. As a result, it will considerably impact the connection between leadership succession and </w:t>
      </w:r>
      <w:r w:rsidR="004F746A">
        <w:t>SCB</w:t>
      </w:r>
      <w:r w:rsidR="00D45E00">
        <w:t>. This study looks at how the institutional context influences this relationship</w:t>
      </w:r>
      <w:r w:rsidR="00245185" w:rsidRPr="00245185">
        <w:t xml:space="preserve">. </w:t>
      </w:r>
      <w:r w:rsidR="00564515" w:rsidRPr="00564515">
        <w:t xml:space="preserve">The regression results confirm that the institutional framework </w:t>
      </w:r>
      <w:r w:rsidR="00CC0E78">
        <w:t>acts as</w:t>
      </w:r>
      <w:r w:rsidR="00564515" w:rsidRPr="00564515">
        <w:t xml:space="preserve"> a moderator, as shown in Table 3. According to column (1), the regression value for the </w:t>
      </w:r>
      <w:r w:rsidR="00CC0E78">
        <w:t>leadership succession</w:t>
      </w:r>
      <w:r w:rsidR="00564515" w:rsidRPr="00564515">
        <w:t xml:space="preserve"> in the group with a higher degree of privatization is 0.56</w:t>
      </w:r>
      <w:r w:rsidR="00CC0E78">
        <w:t>5</w:t>
      </w:r>
      <w:r w:rsidR="00564515" w:rsidRPr="00564515">
        <w:t xml:space="preserve">, which is substantially positive at </w:t>
      </w:r>
      <w:r w:rsidR="00975972" w:rsidRPr="002854CE">
        <w:t>one percent (%)</w:t>
      </w:r>
      <w:r w:rsidR="00245185" w:rsidRPr="00245185">
        <w:t>.</w:t>
      </w:r>
      <w:r w:rsidR="0068765A">
        <w:t xml:space="preserve"> thus, increased</w:t>
      </w:r>
      <w:r w:rsidR="003735F1">
        <w:t xml:space="preserve"> </w:t>
      </w:r>
      <w:r w:rsidR="003735F1" w:rsidRPr="00245185">
        <w:t>privatization</w:t>
      </w:r>
      <w:r w:rsidR="00245185" w:rsidRPr="00245185">
        <w:t xml:space="preserve"> correlates with a more significant positive effect of </w:t>
      </w:r>
      <w:r w:rsidR="00E426F2">
        <w:t>generation two’s</w:t>
      </w:r>
      <w:r w:rsidR="00245185" w:rsidRPr="00245185">
        <w:t xml:space="preserve"> involvement in </w:t>
      </w:r>
      <w:r w:rsidR="004F746A">
        <w:t>SCB</w:t>
      </w:r>
      <w:r w:rsidR="00245185" w:rsidRPr="00245185">
        <w:t xml:space="preserve"> of </w:t>
      </w:r>
      <w:r w:rsidR="00931AFC">
        <w:t>family-run businesses</w:t>
      </w:r>
      <w:r w:rsidR="00245185" w:rsidRPr="00245185">
        <w:t xml:space="preserve">. </w:t>
      </w:r>
      <w:r w:rsidR="003735F1">
        <w:t>This effect is less pronounced in areas characterized by a lower level of privatization</w:t>
      </w:r>
      <w:r w:rsidR="00245185" w:rsidRPr="00245185">
        <w:t>.</w:t>
      </w:r>
      <w:r w:rsidR="00E426F2">
        <w:t xml:space="preserve"> </w:t>
      </w:r>
      <w:r w:rsidR="00245185" w:rsidRPr="00245185">
        <w:t>The board's international experience represents a significant aspect of its human capital</w:t>
      </w:r>
      <w:r w:rsidR="00E426F2">
        <w:t>, such as</w:t>
      </w:r>
      <w:r w:rsidR="00245185" w:rsidRPr="00245185">
        <w:t xml:space="preserve"> </w:t>
      </w:r>
      <w:r w:rsidR="00E426F2">
        <w:t>d</w:t>
      </w:r>
      <w:r w:rsidR="00245185" w:rsidRPr="00245185">
        <w:t xml:space="preserve">irectors possessing international </w:t>
      </w:r>
      <w:r w:rsidR="00E426F2">
        <w:t xml:space="preserve">exposure, exhibiting high adoption inclination, and understanding </w:t>
      </w:r>
      <w:r w:rsidR="00AE30B6" w:rsidRPr="00245185">
        <w:t>innovative</w:t>
      </w:r>
      <w:r w:rsidR="00245185" w:rsidRPr="00245185">
        <w:t xml:space="preserve"> </w:t>
      </w:r>
      <w:r w:rsidR="00AE30B6" w:rsidRPr="00AE30B6">
        <w:t>environmentally friendly development strategies</w:t>
      </w:r>
      <w:r w:rsidR="00AE30B6">
        <w:t xml:space="preserve"> </w:t>
      </w:r>
      <w:r w:rsidR="00245185" w:rsidRPr="00245185">
        <w:t xml:space="preserve">and a global viewpoint. </w:t>
      </w:r>
      <w:r w:rsidR="00726BEB" w:rsidRPr="00726BEB">
        <w:t xml:space="preserve">The idea of sustainable business behavior </w:t>
      </w:r>
      <w:r w:rsidR="00567298">
        <w:t>primarily</w:t>
      </w:r>
      <w:r w:rsidR="00726BEB" w:rsidRPr="00726BEB">
        <w:t xml:space="preserve"> comes from global investment theories and environmental protection knowledge. Foreign directors may have a more extensive global perspective </w:t>
      </w:r>
      <w:r w:rsidR="002855AE">
        <w:t>on</w:t>
      </w:r>
      <w:r w:rsidR="00726BEB" w:rsidRPr="00726BEB">
        <w:t xml:space="preserve"> regional positioning </w:t>
      </w:r>
      <w:r w:rsidR="002855AE">
        <w:t>than</w:t>
      </w:r>
      <w:r w:rsidR="00726BEB" w:rsidRPr="00726BEB">
        <w:t xml:space="preserve"> local directors</w:t>
      </w:r>
      <w:r w:rsidR="00245185" w:rsidRPr="00245185">
        <w:t xml:space="preserve">. They </w:t>
      </w:r>
      <w:r w:rsidR="002855AE" w:rsidRPr="00245185">
        <w:t>support</w:t>
      </w:r>
      <w:r w:rsidR="00245185" w:rsidRPr="00245185">
        <w:t xml:space="preserve"> </w:t>
      </w:r>
      <w:r w:rsidR="002855AE">
        <w:t>enterprises</w:t>
      </w:r>
      <w:r w:rsidR="00245185" w:rsidRPr="00245185">
        <w:t xml:space="preserve"> in entering international markets and delivering services while also providing sophisticated corporate management strategies and philosophies to traded firms, thereby improving regulatory effectiveness. </w:t>
      </w:r>
      <w:r w:rsidR="00726BEB">
        <w:t xml:space="preserve"> </w:t>
      </w:r>
      <w:r w:rsidR="002854CE" w:rsidRPr="002854CE">
        <w:t xml:space="preserve">Table 4 examines the connection between </w:t>
      </w:r>
      <w:r w:rsidR="004F746A">
        <w:t>SCB</w:t>
      </w:r>
      <w:r w:rsidR="002854CE" w:rsidRPr="002854CE">
        <w:t xml:space="preserve"> and leadership succession, concentrating on a subsample defined based on the directors' foreign experience. The findings in Column (1) showed that, at the one percent (%) significance level, the positive coefficient was statistically significant at 0.5</w:t>
      </w:r>
      <w:r w:rsidR="00460231">
        <w:t>20</w:t>
      </w:r>
      <w:r w:rsidR="002854CE" w:rsidRPr="002854CE">
        <w:t xml:space="preserve">. This suggests that in family businesses involved in intragenerational leadership succession, the global exposure of successors positively influences </w:t>
      </w:r>
      <w:r w:rsidR="004F746A">
        <w:t>SCB</w:t>
      </w:r>
      <w:r w:rsidR="002854CE" w:rsidRPr="002854CE">
        <w:t>s</w:t>
      </w:r>
      <w:r w:rsidR="00DE2B04" w:rsidRPr="00DE2B04">
        <w:t xml:space="preserve">. </w:t>
      </w:r>
    </w:p>
    <w:p w14:paraId="3135B6E6" w14:textId="79B7024B" w:rsidR="004C33E9" w:rsidRPr="004C33E9" w:rsidRDefault="00DE2B04" w:rsidP="004C33E9">
      <w:pPr>
        <w:jc w:val="both"/>
      </w:pPr>
      <w:r w:rsidRPr="00DE2B04">
        <w:rPr>
          <w:b/>
          <w:bCs/>
        </w:rPr>
        <w:t xml:space="preserve">5. </w:t>
      </w:r>
      <w:commentRangeStart w:id="7"/>
      <w:r w:rsidRPr="00DE2B04">
        <w:rPr>
          <w:b/>
          <w:bCs/>
        </w:rPr>
        <w:t>Conclusion</w:t>
      </w:r>
      <w:commentRangeEnd w:id="7"/>
      <w:r w:rsidR="008A0227">
        <w:rPr>
          <w:rStyle w:val="CommentReference"/>
        </w:rPr>
        <w:commentReference w:id="7"/>
      </w:r>
      <w:r w:rsidRPr="00DE2B04">
        <w:rPr>
          <w:b/>
          <w:bCs/>
        </w:rPr>
        <w:t xml:space="preserve"> </w:t>
      </w:r>
      <w:r w:rsidR="004C33E9" w:rsidRPr="004C33E9">
        <w:t xml:space="preserve">This study identifies </w:t>
      </w:r>
      <w:r w:rsidR="005F6F09">
        <w:t>leadership</w:t>
      </w:r>
      <w:r w:rsidR="004C33E9" w:rsidRPr="004C33E9">
        <w:t xml:space="preserve"> succession as a crucial element affecting </w:t>
      </w:r>
      <w:r w:rsidR="005F6F09">
        <w:t xml:space="preserve">the </w:t>
      </w:r>
      <w:r w:rsidR="004F746A">
        <w:t>SCB</w:t>
      </w:r>
      <w:r w:rsidR="005F6F09">
        <w:t xml:space="preserve"> of </w:t>
      </w:r>
      <w:r w:rsidR="00931AFC">
        <w:t>family-run businesses</w:t>
      </w:r>
      <w:r w:rsidR="004C33E9" w:rsidRPr="004C33E9">
        <w:t xml:space="preserve">. </w:t>
      </w:r>
      <w:r w:rsidR="005F6F09">
        <w:t>The study explores the transformations in strategic business planning frameworks during intragenerational transitions</w:t>
      </w:r>
      <w:r w:rsidR="00343B6B">
        <w:t>. It assesses</w:t>
      </w:r>
      <w:r w:rsidR="004C33E9" w:rsidRPr="004C33E9">
        <w:t xml:space="preserve"> </w:t>
      </w:r>
      <w:r w:rsidR="006B0F46">
        <w:t>how</w:t>
      </w:r>
      <w:r w:rsidR="004C33E9" w:rsidRPr="004C33E9">
        <w:t xml:space="preserve"> the active participation of the generation</w:t>
      </w:r>
      <w:r w:rsidR="005F6F09">
        <w:t>-two</w:t>
      </w:r>
      <w:r w:rsidR="004C33E9" w:rsidRPr="004C33E9">
        <w:t xml:space="preserve"> influences the </w:t>
      </w:r>
      <w:r w:rsidR="004F746A">
        <w:t>SCB</w:t>
      </w:r>
      <w:r w:rsidR="006B0F46">
        <w:t xml:space="preserve"> </w:t>
      </w:r>
      <w:r w:rsidR="005E03FA">
        <w:t>mechanism</w:t>
      </w:r>
      <w:r w:rsidR="004C33E9" w:rsidRPr="004C33E9">
        <w:t xml:space="preserve"> of </w:t>
      </w:r>
      <w:r w:rsidR="00931AFC">
        <w:t>family-run enterprises</w:t>
      </w:r>
      <w:r w:rsidR="004C33E9" w:rsidRPr="004C33E9">
        <w:t xml:space="preserve">. </w:t>
      </w:r>
      <w:r w:rsidR="005F6F09">
        <w:t>These findings</w:t>
      </w:r>
      <w:r w:rsidR="004C33E9" w:rsidRPr="004C33E9">
        <w:t xml:space="preserve"> are particularly evident in samples characterized by higher levels of </w:t>
      </w:r>
      <w:r w:rsidR="005F6F09">
        <w:t>privatization</w:t>
      </w:r>
      <w:r w:rsidR="004C33E9" w:rsidRPr="004C33E9">
        <w:t xml:space="preserve"> and international experience. The analysis examines the challenges </w:t>
      </w:r>
      <w:r w:rsidR="00931AFC">
        <w:t>family-run businesses</w:t>
      </w:r>
      <w:r w:rsidR="005F6F09">
        <w:t xml:space="preserve"> face</w:t>
      </w:r>
      <w:r w:rsidR="004C33E9" w:rsidRPr="004C33E9">
        <w:t xml:space="preserve"> in Pakistan regarding leadership succession, emphasizing the strong connection to strategic business planning issues. </w:t>
      </w:r>
      <w:r w:rsidR="006B0F46">
        <w:t>Investigating</w:t>
      </w:r>
      <w:r w:rsidR="004C33E9" w:rsidRPr="004C33E9">
        <w:t xml:space="preserve"> the </w:t>
      </w:r>
      <w:r w:rsidR="004F746A">
        <w:t>SCB</w:t>
      </w:r>
      <w:r w:rsidR="004C33E9" w:rsidRPr="004C33E9">
        <w:t xml:space="preserve"> tendencies of family enterprises provides </w:t>
      </w:r>
      <w:r w:rsidR="005F6F09">
        <w:t xml:space="preserve">a </w:t>
      </w:r>
      <w:r w:rsidR="004C33E9" w:rsidRPr="004C33E9">
        <w:t>significant understanding of the relationship between intragenerational tran</w:t>
      </w:r>
      <w:r w:rsidR="00526DE6">
        <w:t>sitions</w:t>
      </w:r>
      <w:r w:rsidR="004C33E9" w:rsidRPr="004C33E9">
        <w:t xml:space="preserve"> and corporate strategic decisions. </w:t>
      </w:r>
    </w:p>
    <w:p w14:paraId="4541CCA9" w14:textId="74B66893" w:rsidR="00DE2B04" w:rsidRDefault="00DE2B04" w:rsidP="005C2B73">
      <w:pPr>
        <w:jc w:val="both"/>
      </w:pPr>
      <w:r w:rsidRPr="00DE2B04">
        <w:t xml:space="preserve"> </w:t>
      </w:r>
    </w:p>
    <w:p w14:paraId="036E48A4" w14:textId="77777777" w:rsidR="00DE2B04" w:rsidRDefault="00DE2B04" w:rsidP="005C2B73">
      <w:pPr>
        <w:jc w:val="both"/>
      </w:pPr>
    </w:p>
    <w:p w14:paraId="082FDBD4" w14:textId="77777777" w:rsidR="00DE2B04" w:rsidRDefault="00DE2B04" w:rsidP="005C2B73">
      <w:pPr>
        <w:jc w:val="both"/>
        <w:sectPr w:rsidR="00DE2B0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14:paraId="560490B2" w14:textId="2ADA6420" w:rsidR="00DE2B04" w:rsidRDefault="00DE2B04" w:rsidP="005C2B73">
      <w:pPr>
        <w:jc w:val="both"/>
        <w:rPr>
          <w:b/>
          <w:bCs/>
        </w:rPr>
      </w:pPr>
      <w:commentRangeStart w:id="8"/>
      <w:r w:rsidRPr="00DE2B04">
        <w:rPr>
          <w:b/>
          <w:bCs/>
        </w:rPr>
        <w:t xml:space="preserve">References </w:t>
      </w:r>
      <w:commentRangeEnd w:id="8"/>
      <w:r w:rsidR="008A0227">
        <w:rPr>
          <w:rStyle w:val="CommentReference"/>
        </w:rPr>
        <w:commentReference w:id="8"/>
      </w:r>
    </w:p>
    <w:p w14:paraId="52593404" w14:textId="7136840B" w:rsidR="0050783F" w:rsidRPr="007F040B" w:rsidRDefault="0050783F" w:rsidP="0050783F">
      <w:pPr>
        <w:jc w:val="both"/>
        <w:rPr>
          <w:rFonts w:ascii="Times New Roman" w:hAnsi="Times New Roman" w:cs="Times New Roman"/>
          <w:sz w:val="20"/>
          <w:szCs w:val="20"/>
        </w:rPr>
      </w:pPr>
      <w:r w:rsidRPr="007F040B">
        <w:rPr>
          <w:rFonts w:ascii="Times New Roman" w:hAnsi="Times New Roman" w:cs="Times New Roman"/>
          <w:sz w:val="20"/>
          <w:szCs w:val="20"/>
        </w:rPr>
        <w:t>Ahmad, Z., &amp; Yaseen, M. R. (2018). Moderating role of education on succession process in small family businesses in Pakistan. </w:t>
      </w:r>
      <w:r w:rsidRPr="007F040B">
        <w:rPr>
          <w:rFonts w:ascii="Times New Roman" w:hAnsi="Times New Roman" w:cs="Times New Roman"/>
          <w:i/>
          <w:iCs/>
          <w:sz w:val="20"/>
          <w:szCs w:val="20"/>
        </w:rPr>
        <w:t>Journal of Family Business Management</w:t>
      </w:r>
      <w:r w:rsidRPr="007F040B">
        <w:rPr>
          <w:rFonts w:ascii="Times New Roman" w:hAnsi="Times New Roman" w:cs="Times New Roman"/>
          <w:sz w:val="20"/>
          <w:szCs w:val="20"/>
        </w:rPr>
        <w:t>, </w:t>
      </w:r>
      <w:r w:rsidRPr="007F040B">
        <w:rPr>
          <w:rFonts w:ascii="Times New Roman" w:hAnsi="Times New Roman" w:cs="Times New Roman"/>
          <w:i/>
          <w:iCs/>
          <w:sz w:val="20"/>
          <w:szCs w:val="20"/>
        </w:rPr>
        <w:t>8</w:t>
      </w:r>
      <w:r w:rsidRPr="007F040B">
        <w:rPr>
          <w:rFonts w:ascii="Times New Roman" w:hAnsi="Times New Roman" w:cs="Times New Roman"/>
          <w:sz w:val="20"/>
          <w:szCs w:val="20"/>
        </w:rPr>
        <w:t>(3), 293</w:t>
      </w:r>
      <w:r w:rsidR="005C07E0" w:rsidRPr="007F040B">
        <w:rPr>
          <w:rFonts w:ascii="Times New Roman" w:hAnsi="Times New Roman" w:cs="Times New Roman"/>
          <w:sz w:val="20"/>
          <w:szCs w:val="20"/>
        </w:rPr>
        <w:t>–</w:t>
      </w:r>
      <w:r w:rsidRPr="007F040B">
        <w:rPr>
          <w:rFonts w:ascii="Times New Roman" w:hAnsi="Times New Roman" w:cs="Times New Roman"/>
          <w:sz w:val="20"/>
          <w:szCs w:val="20"/>
        </w:rPr>
        <w:t>305.</w:t>
      </w:r>
    </w:p>
    <w:p w14:paraId="432D5B6A" w14:textId="77777777" w:rsidR="0050783F" w:rsidRPr="007F040B" w:rsidRDefault="0050783F" w:rsidP="0050783F">
      <w:pPr>
        <w:jc w:val="both"/>
        <w:rPr>
          <w:rFonts w:ascii="Times New Roman" w:hAnsi="Times New Roman" w:cs="Times New Roman"/>
          <w:sz w:val="20"/>
          <w:szCs w:val="20"/>
        </w:rPr>
      </w:pPr>
      <w:r w:rsidRPr="007F040B">
        <w:rPr>
          <w:rFonts w:ascii="Times New Roman" w:hAnsi="Times New Roman" w:cs="Times New Roman"/>
          <w:sz w:val="20"/>
          <w:szCs w:val="20"/>
        </w:rPr>
        <w:t>Ahmed, B. (2019). </w:t>
      </w:r>
      <w:r w:rsidRPr="007F040B">
        <w:rPr>
          <w:rFonts w:ascii="Times New Roman" w:hAnsi="Times New Roman" w:cs="Times New Roman"/>
          <w:i/>
          <w:iCs/>
          <w:sz w:val="20"/>
          <w:szCs w:val="20"/>
        </w:rPr>
        <w:t>Issues in Family Business Succession and First-Generation Management Strategies: A Case Study Research from Pakistan's Industrial Context</w:t>
      </w:r>
      <w:r w:rsidRPr="007F040B">
        <w:rPr>
          <w:rFonts w:ascii="Times New Roman" w:hAnsi="Times New Roman" w:cs="Times New Roman"/>
          <w:sz w:val="20"/>
          <w:szCs w:val="20"/>
        </w:rPr>
        <w:t> (Master's thesis, International Islamic University Islamabad).</w:t>
      </w:r>
    </w:p>
    <w:p w14:paraId="3E18C2CE" w14:textId="77777777" w:rsidR="0050783F" w:rsidRPr="007F040B" w:rsidRDefault="0050783F" w:rsidP="0050783F">
      <w:pPr>
        <w:jc w:val="both"/>
        <w:rPr>
          <w:rFonts w:ascii="Times New Roman" w:hAnsi="Times New Roman" w:cs="Times New Roman"/>
          <w:sz w:val="20"/>
          <w:szCs w:val="20"/>
        </w:rPr>
      </w:pPr>
      <w:r w:rsidRPr="007F040B">
        <w:rPr>
          <w:rFonts w:ascii="Times New Roman" w:hAnsi="Times New Roman" w:cs="Times New Roman"/>
          <w:sz w:val="20"/>
          <w:szCs w:val="20"/>
        </w:rPr>
        <w:t>Aich, S., Thakur, A., Nanda, D., Tripathy, S., &amp; Kim, H. C. (2021). Factors affecting ESG towards impact on investment: A structural approach. </w:t>
      </w:r>
      <w:r w:rsidRPr="007F040B">
        <w:rPr>
          <w:rFonts w:ascii="Times New Roman" w:hAnsi="Times New Roman" w:cs="Times New Roman"/>
          <w:i/>
          <w:iCs/>
          <w:sz w:val="20"/>
          <w:szCs w:val="20"/>
        </w:rPr>
        <w:t>Sustainability</w:t>
      </w:r>
      <w:r w:rsidRPr="007F040B">
        <w:rPr>
          <w:rFonts w:ascii="Times New Roman" w:hAnsi="Times New Roman" w:cs="Times New Roman"/>
          <w:sz w:val="20"/>
          <w:szCs w:val="20"/>
        </w:rPr>
        <w:t>, </w:t>
      </w:r>
      <w:r w:rsidRPr="007F040B">
        <w:rPr>
          <w:rFonts w:ascii="Times New Roman" w:hAnsi="Times New Roman" w:cs="Times New Roman"/>
          <w:i/>
          <w:iCs/>
          <w:sz w:val="20"/>
          <w:szCs w:val="20"/>
        </w:rPr>
        <w:t>13</w:t>
      </w:r>
      <w:r w:rsidRPr="007F040B">
        <w:rPr>
          <w:rFonts w:ascii="Times New Roman" w:hAnsi="Times New Roman" w:cs="Times New Roman"/>
          <w:sz w:val="20"/>
          <w:szCs w:val="20"/>
        </w:rPr>
        <w:t>(19), 10868.</w:t>
      </w:r>
    </w:p>
    <w:p w14:paraId="56F635BF" w14:textId="77777777" w:rsidR="0050783F" w:rsidRPr="007F040B" w:rsidRDefault="0050783F" w:rsidP="0050783F">
      <w:pPr>
        <w:jc w:val="both"/>
        <w:rPr>
          <w:rFonts w:ascii="Times New Roman" w:hAnsi="Times New Roman" w:cs="Times New Roman"/>
          <w:sz w:val="20"/>
          <w:szCs w:val="20"/>
        </w:rPr>
      </w:pPr>
      <w:proofErr w:type="spellStart"/>
      <w:r w:rsidRPr="007F040B">
        <w:rPr>
          <w:rFonts w:ascii="Times New Roman" w:hAnsi="Times New Roman" w:cs="Times New Roman"/>
          <w:sz w:val="20"/>
          <w:szCs w:val="20"/>
        </w:rPr>
        <w:t>Aladejebi</w:t>
      </w:r>
      <w:proofErr w:type="spellEnd"/>
      <w:r w:rsidRPr="007F040B">
        <w:rPr>
          <w:rFonts w:ascii="Times New Roman" w:hAnsi="Times New Roman" w:cs="Times New Roman"/>
          <w:sz w:val="20"/>
          <w:szCs w:val="20"/>
        </w:rPr>
        <w:t>, O. (2021). Succession planning: A key to sustainable family business. </w:t>
      </w:r>
      <w:r w:rsidRPr="007F040B">
        <w:rPr>
          <w:rFonts w:ascii="Times New Roman" w:hAnsi="Times New Roman" w:cs="Times New Roman"/>
          <w:i/>
          <w:iCs/>
          <w:sz w:val="20"/>
          <w:szCs w:val="20"/>
        </w:rPr>
        <w:t>Journal of Business and Social Science Review</w:t>
      </w:r>
      <w:r w:rsidRPr="007F040B">
        <w:rPr>
          <w:rFonts w:ascii="Times New Roman" w:hAnsi="Times New Roman" w:cs="Times New Roman"/>
          <w:sz w:val="20"/>
          <w:szCs w:val="20"/>
        </w:rPr>
        <w:t>, </w:t>
      </w:r>
      <w:r w:rsidRPr="007F040B">
        <w:rPr>
          <w:rFonts w:ascii="Times New Roman" w:hAnsi="Times New Roman" w:cs="Times New Roman"/>
          <w:i/>
          <w:iCs/>
          <w:sz w:val="20"/>
          <w:szCs w:val="20"/>
        </w:rPr>
        <w:t>2</w:t>
      </w:r>
      <w:r w:rsidRPr="007F040B">
        <w:rPr>
          <w:rFonts w:ascii="Times New Roman" w:hAnsi="Times New Roman" w:cs="Times New Roman"/>
          <w:sz w:val="20"/>
          <w:szCs w:val="20"/>
        </w:rPr>
        <w:t>(7), 26-38.</w:t>
      </w:r>
    </w:p>
    <w:p w14:paraId="3E78C338" w14:textId="77777777" w:rsidR="0050783F" w:rsidRPr="007F040B" w:rsidRDefault="0050783F" w:rsidP="0050783F">
      <w:pPr>
        <w:jc w:val="both"/>
        <w:rPr>
          <w:rFonts w:ascii="Times New Roman" w:hAnsi="Times New Roman" w:cs="Times New Roman"/>
          <w:sz w:val="20"/>
          <w:szCs w:val="20"/>
        </w:rPr>
      </w:pPr>
      <w:r w:rsidRPr="007F040B">
        <w:rPr>
          <w:rFonts w:ascii="Times New Roman" w:hAnsi="Times New Roman" w:cs="Times New Roman"/>
          <w:sz w:val="20"/>
          <w:szCs w:val="20"/>
        </w:rPr>
        <w:t>Arif, M., Dogar, M. N., Kashif, S., &amp; Ahmed, B. (2022). Leadership Succession in Family Businesses of Pakistan: Challenges and their Management. </w:t>
      </w:r>
      <w:r w:rsidRPr="007F040B">
        <w:rPr>
          <w:rFonts w:ascii="Times New Roman" w:hAnsi="Times New Roman" w:cs="Times New Roman"/>
          <w:i/>
          <w:iCs/>
          <w:sz w:val="20"/>
          <w:szCs w:val="20"/>
        </w:rPr>
        <w:t>Indian Journal of Economics and Business</w:t>
      </w:r>
      <w:r w:rsidRPr="007F040B">
        <w:rPr>
          <w:rFonts w:ascii="Times New Roman" w:hAnsi="Times New Roman" w:cs="Times New Roman"/>
          <w:sz w:val="20"/>
          <w:szCs w:val="20"/>
        </w:rPr>
        <w:t>, </w:t>
      </w:r>
      <w:r w:rsidRPr="007F040B">
        <w:rPr>
          <w:rFonts w:ascii="Times New Roman" w:hAnsi="Times New Roman" w:cs="Times New Roman"/>
          <w:i/>
          <w:iCs/>
          <w:sz w:val="20"/>
          <w:szCs w:val="20"/>
        </w:rPr>
        <w:t>21</w:t>
      </w:r>
      <w:r w:rsidRPr="007F040B">
        <w:rPr>
          <w:rFonts w:ascii="Times New Roman" w:hAnsi="Times New Roman" w:cs="Times New Roman"/>
          <w:sz w:val="20"/>
          <w:szCs w:val="20"/>
        </w:rPr>
        <w:t>(1).</w:t>
      </w:r>
    </w:p>
    <w:p w14:paraId="4863394B" w14:textId="77777777" w:rsidR="0050783F" w:rsidRPr="007F040B" w:rsidRDefault="0050783F" w:rsidP="0050783F">
      <w:pPr>
        <w:jc w:val="both"/>
        <w:rPr>
          <w:rFonts w:ascii="Times New Roman" w:hAnsi="Times New Roman" w:cs="Times New Roman"/>
          <w:sz w:val="20"/>
          <w:szCs w:val="20"/>
        </w:rPr>
      </w:pPr>
      <w:r w:rsidRPr="007F040B">
        <w:rPr>
          <w:rFonts w:ascii="Times New Roman" w:hAnsi="Times New Roman" w:cs="Times New Roman"/>
          <w:sz w:val="20"/>
          <w:szCs w:val="20"/>
        </w:rPr>
        <w:t>Baltazar, J. R., Fernandes, C. I., Ramadani, V., &amp; Hughes, M. (2023). Family business succession and innovation: a systematic literature review. </w:t>
      </w:r>
      <w:r w:rsidRPr="007F040B">
        <w:rPr>
          <w:rFonts w:ascii="Times New Roman" w:hAnsi="Times New Roman" w:cs="Times New Roman"/>
          <w:i/>
          <w:iCs/>
          <w:sz w:val="20"/>
          <w:szCs w:val="20"/>
        </w:rPr>
        <w:t>Review of Managerial Science</w:t>
      </w:r>
      <w:r w:rsidRPr="007F040B">
        <w:rPr>
          <w:rFonts w:ascii="Times New Roman" w:hAnsi="Times New Roman" w:cs="Times New Roman"/>
          <w:sz w:val="20"/>
          <w:szCs w:val="20"/>
        </w:rPr>
        <w:t>, </w:t>
      </w:r>
      <w:r w:rsidRPr="007F040B">
        <w:rPr>
          <w:rFonts w:ascii="Times New Roman" w:hAnsi="Times New Roman" w:cs="Times New Roman"/>
          <w:i/>
          <w:iCs/>
          <w:sz w:val="20"/>
          <w:szCs w:val="20"/>
        </w:rPr>
        <w:t>17</w:t>
      </w:r>
      <w:r w:rsidRPr="007F040B">
        <w:rPr>
          <w:rFonts w:ascii="Times New Roman" w:hAnsi="Times New Roman" w:cs="Times New Roman"/>
          <w:sz w:val="20"/>
          <w:szCs w:val="20"/>
        </w:rPr>
        <w:t>(8), 2897-2920.</w:t>
      </w:r>
    </w:p>
    <w:p w14:paraId="2199C711" w14:textId="1450B57B" w:rsidR="0050783F" w:rsidRPr="007F040B" w:rsidRDefault="0050783F" w:rsidP="0050783F">
      <w:pPr>
        <w:jc w:val="both"/>
        <w:rPr>
          <w:rFonts w:ascii="Times New Roman" w:hAnsi="Times New Roman" w:cs="Times New Roman"/>
          <w:sz w:val="20"/>
          <w:szCs w:val="20"/>
        </w:rPr>
      </w:pPr>
      <w:r w:rsidRPr="007F040B">
        <w:rPr>
          <w:rFonts w:ascii="Times New Roman" w:hAnsi="Times New Roman" w:cs="Times New Roman"/>
          <w:sz w:val="20"/>
          <w:szCs w:val="20"/>
          <w:lang w:val="da-DK"/>
        </w:rPr>
        <w:t xml:space="preserve">Bertschi-Michel, A., Sieger, P., &amp; Kammerlander, N. (2021). </w:t>
      </w:r>
      <w:r w:rsidRPr="007F040B">
        <w:rPr>
          <w:rFonts w:ascii="Times New Roman" w:hAnsi="Times New Roman" w:cs="Times New Roman"/>
          <w:sz w:val="20"/>
          <w:szCs w:val="20"/>
        </w:rPr>
        <w:t xml:space="preserve">Succession in </w:t>
      </w:r>
      <w:proofErr w:type="spellStart"/>
      <w:r w:rsidR="00F33490" w:rsidRPr="007F040B">
        <w:rPr>
          <w:rFonts w:ascii="Times New Roman" w:hAnsi="Times New Roman" w:cs="Times New Roman"/>
          <w:sz w:val="20"/>
          <w:szCs w:val="20"/>
        </w:rPr>
        <w:t>famiy-run</w:t>
      </w:r>
      <w:r w:rsidRPr="007F040B">
        <w:rPr>
          <w:rFonts w:ascii="Times New Roman" w:hAnsi="Times New Roman" w:cs="Times New Roman"/>
          <w:sz w:val="20"/>
          <w:szCs w:val="20"/>
        </w:rPr>
        <w:t>SMEs</w:t>
      </w:r>
      <w:proofErr w:type="spellEnd"/>
      <w:r w:rsidRPr="007F040B">
        <w:rPr>
          <w:rFonts w:ascii="Times New Roman" w:hAnsi="Times New Roman" w:cs="Times New Roman"/>
          <w:sz w:val="20"/>
          <w:szCs w:val="20"/>
        </w:rPr>
        <w:t>: the impact of advisors. </w:t>
      </w:r>
      <w:r w:rsidRPr="007F040B">
        <w:rPr>
          <w:rFonts w:ascii="Times New Roman" w:hAnsi="Times New Roman" w:cs="Times New Roman"/>
          <w:i/>
          <w:iCs/>
          <w:sz w:val="20"/>
          <w:szCs w:val="20"/>
        </w:rPr>
        <w:t>Small Business Economics</w:t>
      </w:r>
      <w:r w:rsidRPr="007F040B">
        <w:rPr>
          <w:rFonts w:ascii="Times New Roman" w:hAnsi="Times New Roman" w:cs="Times New Roman"/>
          <w:sz w:val="20"/>
          <w:szCs w:val="20"/>
        </w:rPr>
        <w:t>, </w:t>
      </w:r>
      <w:r w:rsidRPr="007F040B">
        <w:rPr>
          <w:rFonts w:ascii="Times New Roman" w:hAnsi="Times New Roman" w:cs="Times New Roman"/>
          <w:i/>
          <w:iCs/>
          <w:sz w:val="20"/>
          <w:szCs w:val="20"/>
        </w:rPr>
        <w:t>56</w:t>
      </w:r>
      <w:r w:rsidRPr="007F040B">
        <w:rPr>
          <w:rFonts w:ascii="Times New Roman" w:hAnsi="Times New Roman" w:cs="Times New Roman"/>
          <w:sz w:val="20"/>
          <w:szCs w:val="20"/>
        </w:rPr>
        <w:t>(4), 1531-1551.</w:t>
      </w:r>
    </w:p>
    <w:p w14:paraId="2376A255" w14:textId="2C33421D" w:rsidR="0050783F" w:rsidRPr="007F040B" w:rsidRDefault="0050783F" w:rsidP="0050783F">
      <w:pPr>
        <w:jc w:val="both"/>
        <w:rPr>
          <w:rFonts w:ascii="Times New Roman" w:hAnsi="Times New Roman" w:cs="Times New Roman"/>
          <w:sz w:val="20"/>
          <w:szCs w:val="20"/>
        </w:rPr>
      </w:pPr>
      <w:r w:rsidRPr="007F040B">
        <w:rPr>
          <w:rFonts w:ascii="Times New Roman" w:hAnsi="Times New Roman" w:cs="Times New Roman"/>
          <w:sz w:val="20"/>
          <w:szCs w:val="20"/>
        </w:rPr>
        <w:t xml:space="preserve">Bokhari, I. H., Muhammad, A. B., &amp; Zakaria, N. (2020). Succession planning, strategic flexibility as predictors of business sustainability in </w:t>
      </w:r>
      <w:proofErr w:type="spellStart"/>
      <w:r w:rsidR="00F33490" w:rsidRPr="007F040B">
        <w:rPr>
          <w:rFonts w:ascii="Times New Roman" w:hAnsi="Times New Roman" w:cs="Times New Roman"/>
          <w:sz w:val="20"/>
          <w:szCs w:val="20"/>
        </w:rPr>
        <w:t>famiy-run</w:t>
      </w:r>
      <w:r w:rsidRPr="007F040B">
        <w:rPr>
          <w:rFonts w:ascii="Times New Roman" w:hAnsi="Times New Roman" w:cs="Times New Roman"/>
          <w:sz w:val="20"/>
          <w:szCs w:val="20"/>
        </w:rPr>
        <w:t>SMEs</w:t>
      </w:r>
      <w:proofErr w:type="spellEnd"/>
      <w:r w:rsidRPr="007F040B">
        <w:rPr>
          <w:rFonts w:ascii="Times New Roman" w:hAnsi="Times New Roman" w:cs="Times New Roman"/>
          <w:sz w:val="20"/>
          <w:szCs w:val="20"/>
        </w:rPr>
        <w:t>: Moderating role of organization improvisation. </w:t>
      </w:r>
      <w:r w:rsidRPr="007F040B">
        <w:rPr>
          <w:rFonts w:ascii="Times New Roman" w:hAnsi="Times New Roman" w:cs="Times New Roman"/>
          <w:i/>
          <w:iCs/>
          <w:sz w:val="20"/>
          <w:szCs w:val="20"/>
        </w:rPr>
        <w:t>Pakistan Journal of Commerce and Social Sciences (PJCSS)</w:t>
      </w:r>
      <w:r w:rsidRPr="007F040B">
        <w:rPr>
          <w:rFonts w:ascii="Times New Roman" w:hAnsi="Times New Roman" w:cs="Times New Roman"/>
          <w:sz w:val="20"/>
          <w:szCs w:val="20"/>
        </w:rPr>
        <w:t>, </w:t>
      </w:r>
      <w:r w:rsidRPr="007F040B">
        <w:rPr>
          <w:rFonts w:ascii="Times New Roman" w:hAnsi="Times New Roman" w:cs="Times New Roman"/>
          <w:i/>
          <w:iCs/>
          <w:sz w:val="20"/>
          <w:szCs w:val="20"/>
        </w:rPr>
        <w:t>14</w:t>
      </w:r>
      <w:r w:rsidRPr="007F040B">
        <w:rPr>
          <w:rFonts w:ascii="Times New Roman" w:hAnsi="Times New Roman" w:cs="Times New Roman"/>
          <w:sz w:val="20"/>
          <w:szCs w:val="20"/>
        </w:rPr>
        <w:t>(1), 368-387.</w:t>
      </w:r>
    </w:p>
    <w:p w14:paraId="193E517A" w14:textId="77777777" w:rsidR="0050783F" w:rsidRPr="007F040B" w:rsidRDefault="0050783F" w:rsidP="0050783F">
      <w:pPr>
        <w:jc w:val="both"/>
        <w:rPr>
          <w:rFonts w:ascii="Times New Roman" w:hAnsi="Times New Roman" w:cs="Times New Roman"/>
          <w:sz w:val="20"/>
          <w:szCs w:val="20"/>
        </w:rPr>
      </w:pPr>
      <w:proofErr w:type="spellStart"/>
      <w:r w:rsidRPr="007F040B">
        <w:rPr>
          <w:rFonts w:ascii="Times New Roman" w:hAnsi="Times New Roman" w:cs="Times New Roman"/>
          <w:sz w:val="20"/>
          <w:szCs w:val="20"/>
        </w:rPr>
        <w:t>Boukhabza</w:t>
      </w:r>
      <w:proofErr w:type="spellEnd"/>
      <w:r w:rsidRPr="007F040B">
        <w:rPr>
          <w:rFonts w:ascii="Times New Roman" w:hAnsi="Times New Roman" w:cs="Times New Roman"/>
          <w:sz w:val="20"/>
          <w:szCs w:val="20"/>
        </w:rPr>
        <w:t xml:space="preserve">, S., &amp; </w:t>
      </w:r>
      <w:proofErr w:type="spellStart"/>
      <w:r w:rsidRPr="007F040B">
        <w:rPr>
          <w:rFonts w:ascii="Times New Roman" w:hAnsi="Times New Roman" w:cs="Times New Roman"/>
          <w:sz w:val="20"/>
          <w:szCs w:val="20"/>
        </w:rPr>
        <w:t>Ouhadi</w:t>
      </w:r>
      <w:proofErr w:type="spellEnd"/>
      <w:r w:rsidRPr="007F040B">
        <w:rPr>
          <w:rFonts w:ascii="Times New Roman" w:hAnsi="Times New Roman" w:cs="Times New Roman"/>
          <w:sz w:val="20"/>
          <w:szCs w:val="20"/>
        </w:rPr>
        <w:t>, S. (2023). Women in family business succession: a systematic literature review and future research agenda. </w:t>
      </w:r>
      <w:r w:rsidRPr="007F040B">
        <w:rPr>
          <w:rFonts w:ascii="Times New Roman" w:hAnsi="Times New Roman" w:cs="Times New Roman"/>
          <w:i/>
          <w:iCs/>
          <w:sz w:val="20"/>
          <w:szCs w:val="20"/>
        </w:rPr>
        <w:t>Management Review Quarterly</w:t>
      </w:r>
      <w:r w:rsidRPr="007F040B">
        <w:rPr>
          <w:rFonts w:ascii="Times New Roman" w:hAnsi="Times New Roman" w:cs="Times New Roman"/>
          <w:sz w:val="20"/>
          <w:szCs w:val="20"/>
        </w:rPr>
        <w:t>, 1-34.</w:t>
      </w:r>
    </w:p>
    <w:p w14:paraId="06C86A73" w14:textId="4345B255" w:rsidR="0050783F" w:rsidRPr="007F040B" w:rsidRDefault="005C07E0" w:rsidP="0050783F">
      <w:pPr>
        <w:jc w:val="both"/>
        <w:rPr>
          <w:rFonts w:ascii="Times New Roman" w:hAnsi="Times New Roman" w:cs="Times New Roman"/>
          <w:sz w:val="20"/>
          <w:szCs w:val="20"/>
        </w:rPr>
      </w:pPr>
      <w:r w:rsidRPr="007F040B">
        <w:rPr>
          <w:rFonts w:ascii="Times New Roman" w:hAnsi="Times New Roman" w:cs="Times New Roman"/>
          <w:sz w:val="20"/>
          <w:szCs w:val="20"/>
        </w:rPr>
        <w:t xml:space="preserve">Chang, A. A., Mubarik, M. S., &amp; </w:t>
      </w:r>
      <w:proofErr w:type="spellStart"/>
      <w:r w:rsidRPr="007F040B">
        <w:rPr>
          <w:rFonts w:ascii="Times New Roman" w:hAnsi="Times New Roman" w:cs="Times New Roman"/>
          <w:sz w:val="20"/>
          <w:szCs w:val="20"/>
        </w:rPr>
        <w:t>Naghavi</w:t>
      </w:r>
      <w:proofErr w:type="spellEnd"/>
      <w:r w:rsidRPr="007F040B">
        <w:rPr>
          <w:rFonts w:ascii="Times New Roman" w:hAnsi="Times New Roman" w:cs="Times New Roman"/>
          <w:sz w:val="20"/>
          <w:szCs w:val="20"/>
        </w:rPr>
        <w:t>, N. (2021). Passing on the legacy: exploring the dynamics of succession in family businesses in Pakistan. </w:t>
      </w:r>
      <w:r w:rsidRPr="007F040B">
        <w:rPr>
          <w:rFonts w:ascii="Times New Roman" w:hAnsi="Times New Roman" w:cs="Times New Roman"/>
          <w:i/>
          <w:iCs/>
          <w:sz w:val="20"/>
          <w:szCs w:val="20"/>
        </w:rPr>
        <w:t>Journal of Family Business Management</w:t>
      </w:r>
      <w:r w:rsidRPr="007F040B">
        <w:rPr>
          <w:rFonts w:ascii="Times New Roman" w:hAnsi="Times New Roman" w:cs="Times New Roman"/>
          <w:sz w:val="20"/>
          <w:szCs w:val="20"/>
        </w:rPr>
        <w:t>, </w:t>
      </w:r>
      <w:r w:rsidRPr="007F040B">
        <w:rPr>
          <w:rFonts w:ascii="Times New Roman" w:hAnsi="Times New Roman" w:cs="Times New Roman"/>
          <w:i/>
          <w:iCs/>
          <w:sz w:val="20"/>
          <w:szCs w:val="20"/>
        </w:rPr>
        <w:t>11</w:t>
      </w:r>
      <w:r w:rsidRPr="007F040B">
        <w:rPr>
          <w:rFonts w:ascii="Times New Roman" w:hAnsi="Times New Roman" w:cs="Times New Roman"/>
          <w:sz w:val="20"/>
          <w:szCs w:val="20"/>
        </w:rPr>
        <w:t>(2), 161-184.</w:t>
      </w:r>
    </w:p>
    <w:p w14:paraId="51A868EF" w14:textId="77777777" w:rsidR="0050783F" w:rsidRPr="007F040B" w:rsidRDefault="0050783F" w:rsidP="0050783F">
      <w:pPr>
        <w:jc w:val="both"/>
        <w:rPr>
          <w:rFonts w:ascii="Times New Roman" w:hAnsi="Times New Roman" w:cs="Times New Roman"/>
          <w:sz w:val="20"/>
          <w:szCs w:val="20"/>
        </w:rPr>
      </w:pPr>
      <w:r w:rsidRPr="007F040B">
        <w:rPr>
          <w:rFonts w:ascii="Times New Roman" w:hAnsi="Times New Roman" w:cs="Times New Roman"/>
          <w:sz w:val="20"/>
          <w:szCs w:val="20"/>
        </w:rPr>
        <w:t>Cisneros, L., Deschamps, B., Chirita, G. M., &amp; Geindre, S. (2022). Successful family firm succession: Transferring external social capital to a shared-leadership team of siblings. </w:t>
      </w:r>
      <w:r w:rsidRPr="007F040B">
        <w:rPr>
          <w:rFonts w:ascii="Times New Roman" w:hAnsi="Times New Roman" w:cs="Times New Roman"/>
          <w:i/>
          <w:iCs/>
          <w:sz w:val="20"/>
          <w:szCs w:val="20"/>
        </w:rPr>
        <w:t>Journal of Family Business Strategy</w:t>
      </w:r>
      <w:r w:rsidRPr="007F040B">
        <w:rPr>
          <w:rFonts w:ascii="Times New Roman" w:hAnsi="Times New Roman" w:cs="Times New Roman"/>
          <w:sz w:val="20"/>
          <w:szCs w:val="20"/>
        </w:rPr>
        <w:t>, </w:t>
      </w:r>
      <w:r w:rsidRPr="007F040B">
        <w:rPr>
          <w:rFonts w:ascii="Times New Roman" w:hAnsi="Times New Roman" w:cs="Times New Roman"/>
          <w:i/>
          <w:iCs/>
          <w:sz w:val="20"/>
          <w:szCs w:val="20"/>
        </w:rPr>
        <w:t>13</w:t>
      </w:r>
      <w:r w:rsidRPr="007F040B">
        <w:rPr>
          <w:rFonts w:ascii="Times New Roman" w:hAnsi="Times New Roman" w:cs="Times New Roman"/>
          <w:sz w:val="20"/>
          <w:szCs w:val="20"/>
        </w:rPr>
        <w:t>(3), 100467.</w:t>
      </w:r>
    </w:p>
    <w:p w14:paraId="44CE8AA4" w14:textId="4729B746" w:rsidR="0050783F" w:rsidRPr="007F040B" w:rsidRDefault="005C07E0" w:rsidP="0050783F">
      <w:pPr>
        <w:jc w:val="both"/>
        <w:rPr>
          <w:rFonts w:ascii="Times New Roman" w:hAnsi="Times New Roman" w:cs="Times New Roman"/>
          <w:sz w:val="20"/>
          <w:szCs w:val="20"/>
        </w:rPr>
      </w:pPr>
      <w:r w:rsidRPr="007F040B">
        <w:rPr>
          <w:rFonts w:ascii="Times New Roman" w:hAnsi="Times New Roman" w:cs="Times New Roman"/>
          <w:sz w:val="20"/>
          <w:szCs w:val="20"/>
        </w:rPr>
        <w:t xml:space="preserve">Coffie, I. S., Müller, R. A., Marfo, M., </w:t>
      </w:r>
      <w:proofErr w:type="spellStart"/>
      <w:r w:rsidRPr="007F040B">
        <w:rPr>
          <w:rFonts w:ascii="Times New Roman" w:hAnsi="Times New Roman" w:cs="Times New Roman"/>
          <w:sz w:val="20"/>
          <w:szCs w:val="20"/>
        </w:rPr>
        <w:t>Ocloo</w:t>
      </w:r>
      <w:proofErr w:type="spellEnd"/>
      <w:r w:rsidRPr="007F040B">
        <w:rPr>
          <w:rFonts w:ascii="Times New Roman" w:hAnsi="Times New Roman" w:cs="Times New Roman"/>
          <w:sz w:val="20"/>
          <w:szCs w:val="20"/>
        </w:rPr>
        <w:t xml:space="preserve">, E. C., &amp; de Klerk, N. (2024). Succession planning practices and succession success in </w:t>
      </w:r>
      <w:proofErr w:type="spellStart"/>
      <w:r w:rsidR="00F33490" w:rsidRPr="007F040B">
        <w:rPr>
          <w:rFonts w:ascii="Times New Roman" w:hAnsi="Times New Roman" w:cs="Times New Roman"/>
          <w:sz w:val="20"/>
          <w:szCs w:val="20"/>
        </w:rPr>
        <w:t>famiy-run</w:t>
      </w:r>
      <w:r w:rsidRPr="007F040B">
        <w:rPr>
          <w:rFonts w:ascii="Times New Roman" w:hAnsi="Times New Roman" w:cs="Times New Roman"/>
          <w:sz w:val="20"/>
          <w:szCs w:val="20"/>
        </w:rPr>
        <w:t>businesses</w:t>
      </w:r>
      <w:proofErr w:type="spellEnd"/>
      <w:r w:rsidRPr="007F040B">
        <w:rPr>
          <w:rFonts w:ascii="Times New Roman" w:hAnsi="Times New Roman" w:cs="Times New Roman"/>
          <w:sz w:val="20"/>
          <w:szCs w:val="20"/>
        </w:rPr>
        <w:t>: the role of leadership style as internal branding mechanism. </w:t>
      </w:r>
      <w:r w:rsidRPr="007F040B">
        <w:rPr>
          <w:rFonts w:ascii="Times New Roman" w:hAnsi="Times New Roman" w:cs="Times New Roman"/>
          <w:i/>
          <w:iCs/>
          <w:sz w:val="20"/>
          <w:szCs w:val="20"/>
        </w:rPr>
        <w:t>Journal of Family Business Management</w:t>
      </w:r>
      <w:r w:rsidRPr="007F040B">
        <w:rPr>
          <w:rFonts w:ascii="Times New Roman" w:hAnsi="Times New Roman" w:cs="Times New Roman"/>
          <w:sz w:val="20"/>
          <w:szCs w:val="20"/>
        </w:rPr>
        <w:t>.</w:t>
      </w:r>
    </w:p>
    <w:p w14:paraId="42A98C0C" w14:textId="77777777" w:rsidR="0050783F" w:rsidRPr="007F040B" w:rsidRDefault="0050783F" w:rsidP="0050783F">
      <w:pPr>
        <w:jc w:val="both"/>
        <w:rPr>
          <w:rFonts w:ascii="Times New Roman" w:hAnsi="Times New Roman" w:cs="Times New Roman"/>
          <w:sz w:val="20"/>
          <w:szCs w:val="20"/>
        </w:rPr>
      </w:pPr>
      <w:r w:rsidRPr="007F040B">
        <w:rPr>
          <w:rFonts w:ascii="Times New Roman" w:hAnsi="Times New Roman" w:cs="Times New Roman"/>
          <w:sz w:val="20"/>
          <w:szCs w:val="20"/>
        </w:rPr>
        <w:t>Daugaard, D., &amp; Ding, A. (2022). Global drivers for ESG performance: The body of knowledge. </w:t>
      </w:r>
      <w:r w:rsidRPr="007F040B">
        <w:rPr>
          <w:rFonts w:ascii="Times New Roman" w:hAnsi="Times New Roman" w:cs="Times New Roman"/>
          <w:i/>
          <w:iCs/>
          <w:sz w:val="20"/>
          <w:szCs w:val="20"/>
        </w:rPr>
        <w:t>Sustainability</w:t>
      </w:r>
      <w:r w:rsidRPr="007F040B">
        <w:rPr>
          <w:rFonts w:ascii="Times New Roman" w:hAnsi="Times New Roman" w:cs="Times New Roman"/>
          <w:sz w:val="20"/>
          <w:szCs w:val="20"/>
        </w:rPr>
        <w:t>, </w:t>
      </w:r>
      <w:r w:rsidRPr="007F040B">
        <w:rPr>
          <w:rFonts w:ascii="Times New Roman" w:hAnsi="Times New Roman" w:cs="Times New Roman"/>
          <w:i/>
          <w:iCs/>
          <w:sz w:val="20"/>
          <w:szCs w:val="20"/>
        </w:rPr>
        <w:t>14</w:t>
      </w:r>
      <w:r w:rsidRPr="007F040B">
        <w:rPr>
          <w:rFonts w:ascii="Times New Roman" w:hAnsi="Times New Roman" w:cs="Times New Roman"/>
          <w:sz w:val="20"/>
          <w:szCs w:val="20"/>
        </w:rPr>
        <w:t>(4), 2322.</w:t>
      </w:r>
    </w:p>
    <w:p w14:paraId="7D6E735C" w14:textId="778FCE50" w:rsidR="0050783F" w:rsidRPr="007F040B" w:rsidRDefault="0050783F" w:rsidP="0050783F">
      <w:pPr>
        <w:jc w:val="both"/>
        <w:rPr>
          <w:rFonts w:ascii="Times New Roman" w:hAnsi="Times New Roman" w:cs="Times New Roman"/>
          <w:sz w:val="20"/>
          <w:szCs w:val="20"/>
        </w:rPr>
      </w:pPr>
      <w:r w:rsidRPr="007F040B">
        <w:rPr>
          <w:rFonts w:ascii="Times New Roman" w:hAnsi="Times New Roman" w:cs="Times New Roman"/>
          <w:sz w:val="20"/>
          <w:szCs w:val="20"/>
        </w:rPr>
        <w:t>Edmans, A. (2023). The end of ESG. </w:t>
      </w:r>
      <w:r w:rsidRPr="007F040B">
        <w:rPr>
          <w:rFonts w:ascii="Times New Roman" w:hAnsi="Times New Roman" w:cs="Times New Roman"/>
          <w:i/>
          <w:iCs/>
          <w:sz w:val="20"/>
          <w:szCs w:val="20"/>
        </w:rPr>
        <w:t>Financial Management</w:t>
      </w:r>
      <w:r w:rsidRPr="007F040B">
        <w:rPr>
          <w:rFonts w:ascii="Times New Roman" w:hAnsi="Times New Roman" w:cs="Times New Roman"/>
          <w:sz w:val="20"/>
          <w:szCs w:val="20"/>
        </w:rPr>
        <w:t>, </w:t>
      </w:r>
      <w:r w:rsidRPr="007F040B">
        <w:rPr>
          <w:rFonts w:ascii="Times New Roman" w:hAnsi="Times New Roman" w:cs="Times New Roman"/>
          <w:i/>
          <w:iCs/>
          <w:sz w:val="20"/>
          <w:szCs w:val="20"/>
        </w:rPr>
        <w:t>52</w:t>
      </w:r>
      <w:r w:rsidRPr="007F040B">
        <w:rPr>
          <w:rFonts w:ascii="Times New Roman" w:hAnsi="Times New Roman" w:cs="Times New Roman"/>
          <w:sz w:val="20"/>
          <w:szCs w:val="20"/>
        </w:rPr>
        <w:t>(1), 3</w:t>
      </w:r>
      <w:r w:rsidR="005C07E0" w:rsidRPr="007F040B">
        <w:rPr>
          <w:rFonts w:ascii="Times New Roman" w:hAnsi="Times New Roman" w:cs="Times New Roman"/>
          <w:sz w:val="20"/>
          <w:szCs w:val="20"/>
        </w:rPr>
        <w:t>–</w:t>
      </w:r>
      <w:r w:rsidRPr="007F040B">
        <w:rPr>
          <w:rFonts w:ascii="Times New Roman" w:hAnsi="Times New Roman" w:cs="Times New Roman"/>
          <w:sz w:val="20"/>
          <w:szCs w:val="20"/>
        </w:rPr>
        <w:t>17.</w:t>
      </w:r>
    </w:p>
    <w:p w14:paraId="114C89CF" w14:textId="77777777" w:rsidR="0050783F" w:rsidRPr="007F040B" w:rsidRDefault="0050783F" w:rsidP="0050783F">
      <w:pPr>
        <w:jc w:val="both"/>
        <w:rPr>
          <w:rFonts w:ascii="Times New Roman" w:hAnsi="Times New Roman" w:cs="Times New Roman"/>
          <w:sz w:val="20"/>
          <w:szCs w:val="20"/>
        </w:rPr>
      </w:pPr>
      <w:r w:rsidRPr="007F040B">
        <w:rPr>
          <w:rFonts w:ascii="Times New Roman" w:hAnsi="Times New Roman" w:cs="Times New Roman"/>
          <w:sz w:val="20"/>
          <w:szCs w:val="20"/>
        </w:rPr>
        <w:t xml:space="preserve">Fries, A., </w:t>
      </w:r>
      <w:proofErr w:type="spellStart"/>
      <w:r w:rsidRPr="007F040B">
        <w:rPr>
          <w:rFonts w:ascii="Times New Roman" w:hAnsi="Times New Roman" w:cs="Times New Roman"/>
          <w:sz w:val="20"/>
          <w:szCs w:val="20"/>
        </w:rPr>
        <w:t>Kammerlander</w:t>
      </w:r>
      <w:proofErr w:type="spellEnd"/>
      <w:r w:rsidRPr="007F040B">
        <w:rPr>
          <w:rFonts w:ascii="Times New Roman" w:hAnsi="Times New Roman" w:cs="Times New Roman"/>
          <w:sz w:val="20"/>
          <w:szCs w:val="20"/>
        </w:rPr>
        <w:t xml:space="preserve">, N., &amp; </w:t>
      </w:r>
      <w:proofErr w:type="spellStart"/>
      <w:r w:rsidRPr="007F040B">
        <w:rPr>
          <w:rFonts w:ascii="Times New Roman" w:hAnsi="Times New Roman" w:cs="Times New Roman"/>
          <w:sz w:val="20"/>
          <w:szCs w:val="20"/>
        </w:rPr>
        <w:t>Leitterstorf</w:t>
      </w:r>
      <w:proofErr w:type="spellEnd"/>
      <w:r w:rsidRPr="007F040B">
        <w:rPr>
          <w:rFonts w:ascii="Times New Roman" w:hAnsi="Times New Roman" w:cs="Times New Roman"/>
          <w:sz w:val="20"/>
          <w:szCs w:val="20"/>
        </w:rPr>
        <w:t>, M. (2021). Leadership styles and leadership behaviors in family firms: A systematic literature review. </w:t>
      </w:r>
      <w:r w:rsidRPr="007F040B">
        <w:rPr>
          <w:rFonts w:ascii="Times New Roman" w:hAnsi="Times New Roman" w:cs="Times New Roman"/>
          <w:i/>
          <w:iCs/>
          <w:sz w:val="20"/>
          <w:szCs w:val="20"/>
        </w:rPr>
        <w:t>Journal of Family Business Strategy</w:t>
      </w:r>
      <w:r w:rsidRPr="007F040B">
        <w:rPr>
          <w:rFonts w:ascii="Times New Roman" w:hAnsi="Times New Roman" w:cs="Times New Roman"/>
          <w:sz w:val="20"/>
          <w:szCs w:val="20"/>
        </w:rPr>
        <w:t>, </w:t>
      </w:r>
      <w:r w:rsidRPr="007F040B">
        <w:rPr>
          <w:rFonts w:ascii="Times New Roman" w:hAnsi="Times New Roman" w:cs="Times New Roman"/>
          <w:i/>
          <w:iCs/>
          <w:sz w:val="20"/>
          <w:szCs w:val="20"/>
        </w:rPr>
        <w:t>12</w:t>
      </w:r>
      <w:r w:rsidRPr="007F040B">
        <w:rPr>
          <w:rFonts w:ascii="Times New Roman" w:hAnsi="Times New Roman" w:cs="Times New Roman"/>
          <w:sz w:val="20"/>
          <w:szCs w:val="20"/>
        </w:rPr>
        <w:t>(1), 100374.</w:t>
      </w:r>
    </w:p>
    <w:p w14:paraId="404F8791" w14:textId="77777777" w:rsidR="0050783F" w:rsidRPr="007F040B" w:rsidRDefault="0050783F" w:rsidP="0050783F">
      <w:pPr>
        <w:jc w:val="both"/>
        <w:rPr>
          <w:rFonts w:ascii="Times New Roman" w:hAnsi="Times New Roman" w:cs="Times New Roman"/>
          <w:sz w:val="20"/>
          <w:szCs w:val="20"/>
        </w:rPr>
      </w:pPr>
      <w:proofErr w:type="spellStart"/>
      <w:r w:rsidRPr="007F040B">
        <w:rPr>
          <w:rFonts w:ascii="Times New Roman" w:hAnsi="Times New Roman" w:cs="Times New Roman"/>
          <w:sz w:val="20"/>
          <w:szCs w:val="20"/>
        </w:rPr>
        <w:t>Gagné</w:t>
      </w:r>
      <w:proofErr w:type="spellEnd"/>
      <w:r w:rsidRPr="007F040B">
        <w:rPr>
          <w:rFonts w:ascii="Times New Roman" w:hAnsi="Times New Roman" w:cs="Times New Roman"/>
          <w:sz w:val="20"/>
          <w:szCs w:val="20"/>
        </w:rPr>
        <w:t xml:space="preserve">, M., Marwick, C., </w:t>
      </w:r>
      <w:proofErr w:type="spellStart"/>
      <w:r w:rsidRPr="007F040B">
        <w:rPr>
          <w:rFonts w:ascii="Times New Roman" w:hAnsi="Times New Roman" w:cs="Times New Roman"/>
          <w:sz w:val="20"/>
          <w:szCs w:val="20"/>
        </w:rPr>
        <w:t>Brun</w:t>
      </w:r>
      <w:proofErr w:type="spellEnd"/>
      <w:r w:rsidRPr="007F040B">
        <w:rPr>
          <w:rFonts w:ascii="Times New Roman" w:hAnsi="Times New Roman" w:cs="Times New Roman"/>
          <w:sz w:val="20"/>
          <w:szCs w:val="20"/>
        </w:rPr>
        <w:t xml:space="preserve"> de </w:t>
      </w:r>
      <w:proofErr w:type="spellStart"/>
      <w:r w:rsidRPr="007F040B">
        <w:rPr>
          <w:rFonts w:ascii="Times New Roman" w:hAnsi="Times New Roman" w:cs="Times New Roman"/>
          <w:sz w:val="20"/>
          <w:szCs w:val="20"/>
        </w:rPr>
        <w:t>Pontet</w:t>
      </w:r>
      <w:proofErr w:type="spellEnd"/>
      <w:r w:rsidRPr="007F040B">
        <w:rPr>
          <w:rFonts w:ascii="Times New Roman" w:hAnsi="Times New Roman" w:cs="Times New Roman"/>
          <w:sz w:val="20"/>
          <w:szCs w:val="20"/>
        </w:rPr>
        <w:t xml:space="preserve">, S., &amp; </w:t>
      </w:r>
      <w:proofErr w:type="spellStart"/>
      <w:r w:rsidRPr="007F040B">
        <w:rPr>
          <w:rFonts w:ascii="Times New Roman" w:hAnsi="Times New Roman" w:cs="Times New Roman"/>
          <w:sz w:val="20"/>
          <w:szCs w:val="20"/>
        </w:rPr>
        <w:t>Wrosch</w:t>
      </w:r>
      <w:proofErr w:type="spellEnd"/>
      <w:r w:rsidRPr="007F040B">
        <w:rPr>
          <w:rFonts w:ascii="Times New Roman" w:hAnsi="Times New Roman" w:cs="Times New Roman"/>
          <w:sz w:val="20"/>
          <w:szCs w:val="20"/>
        </w:rPr>
        <w:t>, C. (2021). Family business succession: what’s motivation got to do with it? </w:t>
      </w:r>
      <w:r w:rsidRPr="007F040B">
        <w:rPr>
          <w:rFonts w:ascii="Times New Roman" w:hAnsi="Times New Roman" w:cs="Times New Roman"/>
          <w:i/>
          <w:iCs/>
          <w:sz w:val="20"/>
          <w:szCs w:val="20"/>
        </w:rPr>
        <w:t>Family Business Review</w:t>
      </w:r>
      <w:r w:rsidRPr="007F040B">
        <w:rPr>
          <w:rFonts w:ascii="Times New Roman" w:hAnsi="Times New Roman" w:cs="Times New Roman"/>
          <w:sz w:val="20"/>
          <w:szCs w:val="20"/>
        </w:rPr>
        <w:t>, </w:t>
      </w:r>
      <w:r w:rsidRPr="007F040B">
        <w:rPr>
          <w:rFonts w:ascii="Times New Roman" w:hAnsi="Times New Roman" w:cs="Times New Roman"/>
          <w:i/>
          <w:iCs/>
          <w:sz w:val="20"/>
          <w:szCs w:val="20"/>
        </w:rPr>
        <w:t>34</w:t>
      </w:r>
      <w:r w:rsidRPr="007F040B">
        <w:rPr>
          <w:rFonts w:ascii="Times New Roman" w:hAnsi="Times New Roman" w:cs="Times New Roman"/>
          <w:sz w:val="20"/>
          <w:szCs w:val="20"/>
        </w:rPr>
        <w:t>(2), 154-167.</w:t>
      </w:r>
    </w:p>
    <w:p w14:paraId="46109673" w14:textId="1B96CEB0" w:rsidR="0050783F" w:rsidRPr="007F040B" w:rsidRDefault="005C07E0" w:rsidP="0050783F">
      <w:pPr>
        <w:jc w:val="both"/>
        <w:rPr>
          <w:rFonts w:ascii="Times New Roman" w:hAnsi="Times New Roman" w:cs="Times New Roman"/>
          <w:sz w:val="20"/>
          <w:szCs w:val="20"/>
        </w:rPr>
      </w:pPr>
      <w:proofErr w:type="spellStart"/>
      <w:r w:rsidRPr="007F040B">
        <w:rPr>
          <w:rFonts w:ascii="Times New Roman" w:hAnsi="Times New Roman" w:cs="Times New Roman"/>
          <w:sz w:val="20"/>
          <w:szCs w:val="20"/>
        </w:rPr>
        <w:t>Hiebl</w:t>
      </w:r>
      <w:proofErr w:type="spellEnd"/>
      <w:r w:rsidRPr="007F040B">
        <w:rPr>
          <w:rFonts w:ascii="Times New Roman" w:hAnsi="Times New Roman" w:cs="Times New Roman"/>
          <w:sz w:val="20"/>
          <w:szCs w:val="20"/>
        </w:rPr>
        <w:t>, M. R., &amp; Li, Z. (2020). Non-family managers in family firms: review, integrative framework and future research agenda. </w:t>
      </w:r>
      <w:r w:rsidRPr="007F040B">
        <w:rPr>
          <w:rFonts w:ascii="Times New Roman" w:hAnsi="Times New Roman" w:cs="Times New Roman"/>
          <w:i/>
          <w:iCs/>
          <w:sz w:val="20"/>
          <w:szCs w:val="20"/>
        </w:rPr>
        <w:t>Review of Managerial Science</w:t>
      </w:r>
      <w:r w:rsidRPr="007F040B">
        <w:rPr>
          <w:rFonts w:ascii="Times New Roman" w:hAnsi="Times New Roman" w:cs="Times New Roman"/>
          <w:sz w:val="20"/>
          <w:szCs w:val="20"/>
        </w:rPr>
        <w:t>, </w:t>
      </w:r>
      <w:r w:rsidRPr="007F040B">
        <w:rPr>
          <w:rFonts w:ascii="Times New Roman" w:hAnsi="Times New Roman" w:cs="Times New Roman"/>
          <w:i/>
          <w:iCs/>
          <w:sz w:val="20"/>
          <w:szCs w:val="20"/>
        </w:rPr>
        <w:t>14</w:t>
      </w:r>
      <w:r w:rsidRPr="007F040B">
        <w:rPr>
          <w:rFonts w:ascii="Times New Roman" w:hAnsi="Times New Roman" w:cs="Times New Roman"/>
          <w:sz w:val="20"/>
          <w:szCs w:val="20"/>
        </w:rPr>
        <w:t>, 763-807.</w:t>
      </w:r>
    </w:p>
    <w:p w14:paraId="3C44AA23" w14:textId="0582F66C" w:rsidR="00D66CF7" w:rsidRPr="007F040B" w:rsidRDefault="00D66CF7" w:rsidP="0050783F">
      <w:pPr>
        <w:jc w:val="both"/>
        <w:rPr>
          <w:rFonts w:ascii="Times New Roman" w:hAnsi="Times New Roman" w:cs="Times New Roman"/>
          <w:sz w:val="20"/>
          <w:szCs w:val="20"/>
        </w:rPr>
      </w:pPr>
      <w:r w:rsidRPr="007F040B">
        <w:rPr>
          <w:rFonts w:ascii="Times New Roman" w:hAnsi="Times New Roman" w:cs="Times New Roman"/>
          <w:sz w:val="20"/>
          <w:szCs w:val="20"/>
        </w:rPr>
        <w:t>Islam, M. U., Abdul Hamid, B., &amp; Shahid, M. N. (2025). ESG activities and bank performance with the moderating influence of competition and regulatory quality: a study in the organization of Islamic countries. </w:t>
      </w:r>
      <w:r w:rsidRPr="007F040B">
        <w:rPr>
          <w:rFonts w:ascii="Times New Roman" w:hAnsi="Times New Roman" w:cs="Times New Roman"/>
          <w:i/>
          <w:iCs/>
          <w:sz w:val="20"/>
          <w:szCs w:val="20"/>
        </w:rPr>
        <w:t>International Journal of Islamic and Middle Eastern Finance and Management</w:t>
      </w:r>
      <w:r w:rsidRPr="007F040B">
        <w:rPr>
          <w:rFonts w:ascii="Times New Roman" w:hAnsi="Times New Roman" w:cs="Times New Roman"/>
          <w:sz w:val="20"/>
          <w:szCs w:val="20"/>
        </w:rPr>
        <w:t>.</w:t>
      </w:r>
    </w:p>
    <w:p w14:paraId="05688C47" w14:textId="77777777" w:rsidR="0050783F" w:rsidRPr="007F040B" w:rsidRDefault="0050783F" w:rsidP="0050783F">
      <w:pPr>
        <w:jc w:val="both"/>
        <w:rPr>
          <w:rFonts w:ascii="Times New Roman" w:hAnsi="Times New Roman" w:cs="Times New Roman"/>
          <w:sz w:val="20"/>
          <w:szCs w:val="20"/>
        </w:rPr>
      </w:pPr>
      <w:proofErr w:type="spellStart"/>
      <w:r w:rsidRPr="007F040B">
        <w:rPr>
          <w:rFonts w:ascii="Times New Roman" w:hAnsi="Times New Roman" w:cs="Times New Roman"/>
          <w:sz w:val="20"/>
          <w:szCs w:val="20"/>
        </w:rPr>
        <w:t>Kandade</w:t>
      </w:r>
      <w:proofErr w:type="spellEnd"/>
      <w:r w:rsidRPr="007F040B">
        <w:rPr>
          <w:rFonts w:ascii="Times New Roman" w:hAnsi="Times New Roman" w:cs="Times New Roman"/>
          <w:sz w:val="20"/>
          <w:szCs w:val="20"/>
        </w:rPr>
        <w:t>, K., Samara, G., Parada, M. J., &amp; Dawson, A. (2021). From family successors to successful business leaders: A qualitative study of how high-quality relationships develop in family businesses. </w:t>
      </w:r>
      <w:r w:rsidRPr="007F040B">
        <w:rPr>
          <w:rFonts w:ascii="Times New Roman" w:hAnsi="Times New Roman" w:cs="Times New Roman"/>
          <w:i/>
          <w:iCs/>
          <w:sz w:val="20"/>
          <w:szCs w:val="20"/>
        </w:rPr>
        <w:t>Journal of Family Business Strategy</w:t>
      </w:r>
      <w:r w:rsidRPr="007F040B">
        <w:rPr>
          <w:rFonts w:ascii="Times New Roman" w:hAnsi="Times New Roman" w:cs="Times New Roman"/>
          <w:sz w:val="20"/>
          <w:szCs w:val="20"/>
        </w:rPr>
        <w:t>, </w:t>
      </w:r>
      <w:r w:rsidRPr="007F040B">
        <w:rPr>
          <w:rFonts w:ascii="Times New Roman" w:hAnsi="Times New Roman" w:cs="Times New Roman"/>
          <w:i/>
          <w:iCs/>
          <w:sz w:val="20"/>
          <w:szCs w:val="20"/>
        </w:rPr>
        <w:t>12</w:t>
      </w:r>
      <w:r w:rsidRPr="007F040B">
        <w:rPr>
          <w:rFonts w:ascii="Times New Roman" w:hAnsi="Times New Roman" w:cs="Times New Roman"/>
          <w:sz w:val="20"/>
          <w:szCs w:val="20"/>
        </w:rPr>
        <w:t>(2), 100334.</w:t>
      </w:r>
    </w:p>
    <w:p w14:paraId="16DA32BF" w14:textId="77777777" w:rsidR="0050783F" w:rsidRPr="007F040B" w:rsidRDefault="0050783F" w:rsidP="0050783F">
      <w:pPr>
        <w:jc w:val="both"/>
        <w:rPr>
          <w:rFonts w:ascii="Times New Roman" w:hAnsi="Times New Roman" w:cs="Times New Roman"/>
          <w:sz w:val="20"/>
          <w:szCs w:val="20"/>
        </w:rPr>
      </w:pPr>
      <w:r w:rsidRPr="007F040B">
        <w:rPr>
          <w:rFonts w:ascii="Times New Roman" w:hAnsi="Times New Roman" w:cs="Times New Roman"/>
          <w:sz w:val="20"/>
          <w:szCs w:val="20"/>
        </w:rPr>
        <w:t>Khan, K. M., &amp; Mahmood, Z. (2023). Impact of corporate governance on firm performance: a case of Pakistan stock exchange. </w:t>
      </w:r>
      <w:r w:rsidRPr="007F040B">
        <w:rPr>
          <w:rFonts w:ascii="Times New Roman" w:hAnsi="Times New Roman" w:cs="Times New Roman"/>
          <w:i/>
          <w:iCs/>
          <w:sz w:val="20"/>
          <w:szCs w:val="20"/>
        </w:rPr>
        <w:t>Liberal Arts and Social Sciences International Journal (LASSIJ)</w:t>
      </w:r>
      <w:r w:rsidRPr="007F040B">
        <w:rPr>
          <w:rFonts w:ascii="Times New Roman" w:hAnsi="Times New Roman" w:cs="Times New Roman"/>
          <w:sz w:val="20"/>
          <w:szCs w:val="20"/>
        </w:rPr>
        <w:t>, </w:t>
      </w:r>
      <w:r w:rsidRPr="007F040B">
        <w:rPr>
          <w:rFonts w:ascii="Times New Roman" w:hAnsi="Times New Roman" w:cs="Times New Roman"/>
          <w:i/>
          <w:iCs/>
          <w:sz w:val="20"/>
          <w:szCs w:val="20"/>
        </w:rPr>
        <w:t>7</w:t>
      </w:r>
      <w:r w:rsidRPr="007F040B">
        <w:rPr>
          <w:rFonts w:ascii="Times New Roman" w:hAnsi="Times New Roman" w:cs="Times New Roman"/>
          <w:sz w:val="20"/>
          <w:szCs w:val="20"/>
        </w:rPr>
        <w:t>(1), 24-38.</w:t>
      </w:r>
    </w:p>
    <w:p w14:paraId="4BD990A5" w14:textId="432F24DD" w:rsidR="0050783F" w:rsidRPr="007F040B" w:rsidRDefault="0050783F" w:rsidP="0050783F">
      <w:pPr>
        <w:jc w:val="both"/>
        <w:rPr>
          <w:rFonts w:ascii="Times New Roman" w:hAnsi="Times New Roman" w:cs="Times New Roman"/>
          <w:sz w:val="20"/>
          <w:szCs w:val="20"/>
        </w:rPr>
      </w:pPr>
      <w:r w:rsidRPr="007F040B">
        <w:rPr>
          <w:rFonts w:ascii="Times New Roman" w:hAnsi="Times New Roman" w:cs="Times New Roman"/>
          <w:sz w:val="20"/>
          <w:szCs w:val="20"/>
        </w:rPr>
        <w:t xml:space="preserve">LeCounte, J. F. (2022). Founder-CEOs: Succession planning for </w:t>
      </w:r>
      <w:r w:rsidR="007F040B" w:rsidRPr="007F040B">
        <w:rPr>
          <w:rFonts w:ascii="Times New Roman" w:hAnsi="Times New Roman" w:cs="Times New Roman"/>
          <w:sz w:val="20"/>
          <w:szCs w:val="20"/>
        </w:rPr>
        <w:t>family firms' success, growth, and legacy</w:t>
      </w:r>
      <w:r w:rsidRPr="007F040B">
        <w:rPr>
          <w:rFonts w:ascii="Times New Roman" w:hAnsi="Times New Roman" w:cs="Times New Roman"/>
          <w:sz w:val="20"/>
          <w:szCs w:val="20"/>
        </w:rPr>
        <w:t>. </w:t>
      </w:r>
      <w:r w:rsidRPr="007F040B">
        <w:rPr>
          <w:rFonts w:ascii="Times New Roman" w:hAnsi="Times New Roman" w:cs="Times New Roman"/>
          <w:i/>
          <w:iCs/>
          <w:sz w:val="20"/>
          <w:szCs w:val="20"/>
        </w:rPr>
        <w:t>Journal of Small Business Management</w:t>
      </w:r>
      <w:r w:rsidRPr="007F040B">
        <w:rPr>
          <w:rFonts w:ascii="Times New Roman" w:hAnsi="Times New Roman" w:cs="Times New Roman"/>
          <w:sz w:val="20"/>
          <w:szCs w:val="20"/>
        </w:rPr>
        <w:t>, </w:t>
      </w:r>
      <w:r w:rsidRPr="007F040B">
        <w:rPr>
          <w:rFonts w:ascii="Times New Roman" w:hAnsi="Times New Roman" w:cs="Times New Roman"/>
          <w:i/>
          <w:iCs/>
          <w:sz w:val="20"/>
          <w:szCs w:val="20"/>
        </w:rPr>
        <w:t>60</w:t>
      </w:r>
      <w:r w:rsidRPr="007F040B">
        <w:rPr>
          <w:rFonts w:ascii="Times New Roman" w:hAnsi="Times New Roman" w:cs="Times New Roman"/>
          <w:sz w:val="20"/>
          <w:szCs w:val="20"/>
        </w:rPr>
        <w:t>(3), 616</w:t>
      </w:r>
      <w:r w:rsidR="005C07E0" w:rsidRPr="007F040B">
        <w:rPr>
          <w:rFonts w:ascii="Times New Roman" w:hAnsi="Times New Roman" w:cs="Times New Roman"/>
          <w:sz w:val="20"/>
          <w:szCs w:val="20"/>
        </w:rPr>
        <w:t>–</w:t>
      </w:r>
      <w:r w:rsidRPr="007F040B">
        <w:rPr>
          <w:rFonts w:ascii="Times New Roman" w:hAnsi="Times New Roman" w:cs="Times New Roman"/>
          <w:sz w:val="20"/>
          <w:szCs w:val="20"/>
        </w:rPr>
        <w:t>633.</w:t>
      </w:r>
    </w:p>
    <w:p w14:paraId="0D635853" w14:textId="77777777" w:rsidR="00255BE1" w:rsidRPr="007F040B" w:rsidRDefault="00255BE1" w:rsidP="00255BE1">
      <w:pPr>
        <w:jc w:val="both"/>
        <w:rPr>
          <w:rFonts w:ascii="Times New Roman" w:hAnsi="Times New Roman" w:cs="Times New Roman"/>
          <w:sz w:val="20"/>
          <w:szCs w:val="20"/>
        </w:rPr>
      </w:pPr>
      <w:r w:rsidRPr="007F040B">
        <w:rPr>
          <w:rFonts w:ascii="Times New Roman" w:hAnsi="Times New Roman" w:cs="Times New Roman"/>
          <w:sz w:val="20"/>
          <w:szCs w:val="20"/>
        </w:rPr>
        <w:t xml:space="preserve">Li, Y., Shahid, M. N., Ali, A., &amp; Umer, U. (2025). Determinants of Stock Pledge Risk, ESG and Firm-specific Financial Factors. A novel model to measure Risk associated with Stock </w:t>
      </w:r>
      <w:proofErr w:type="gramStart"/>
      <w:r w:rsidRPr="007F040B">
        <w:rPr>
          <w:rFonts w:ascii="Times New Roman" w:hAnsi="Times New Roman" w:cs="Times New Roman"/>
          <w:sz w:val="20"/>
          <w:szCs w:val="20"/>
        </w:rPr>
        <w:t>Pledges . </w:t>
      </w:r>
      <w:proofErr w:type="gramEnd"/>
      <w:r w:rsidRPr="007F040B">
        <w:rPr>
          <w:rFonts w:ascii="Times New Roman" w:hAnsi="Times New Roman" w:cs="Times New Roman"/>
          <w:i/>
          <w:iCs/>
          <w:sz w:val="20"/>
          <w:szCs w:val="20"/>
        </w:rPr>
        <w:t xml:space="preserve">Journal of Economics, Finance and Accounting </w:t>
      </w:r>
      <w:proofErr w:type="gramStart"/>
      <w:r w:rsidRPr="007F040B">
        <w:rPr>
          <w:rFonts w:ascii="Times New Roman" w:hAnsi="Times New Roman" w:cs="Times New Roman"/>
          <w:i/>
          <w:iCs/>
          <w:sz w:val="20"/>
          <w:szCs w:val="20"/>
        </w:rPr>
        <w:t>Studies </w:t>
      </w:r>
      <w:r w:rsidRPr="007F040B">
        <w:rPr>
          <w:rFonts w:ascii="Times New Roman" w:hAnsi="Times New Roman" w:cs="Times New Roman"/>
          <w:sz w:val="20"/>
          <w:szCs w:val="20"/>
        </w:rPr>
        <w:t>,</w:t>
      </w:r>
      <w:proofErr w:type="gramEnd"/>
      <w:r w:rsidRPr="007F040B">
        <w:rPr>
          <w:rFonts w:ascii="Times New Roman" w:hAnsi="Times New Roman" w:cs="Times New Roman"/>
          <w:sz w:val="20"/>
          <w:szCs w:val="20"/>
        </w:rPr>
        <w:t> </w:t>
      </w:r>
      <w:r w:rsidRPr="007F040B">
        <w:rPr>
          <w:rFonts w:ascii="Times New Roman" w:hAnsi="Times New Roman" w:cs="Times New Roman"/>
          <w:i/>
          <w:iCs/>
          <w:sz w:val="20"/>
          <w:szCs w:val="20"/>
        </w:rPr>
        <w:t>7</w:t>
      </w:r>
      <w:r w:rsidRPr="007F040B">
        <w:rPr>
          <w:rFonts w:ascii="Times New Roman" w:hAnsi="Times New Roman" w:cs="Times New Roman"/>
          <w:sz w:val="20"/>
          <w:szCs w:val="20"/>
        </w:rPr>
        <w:t>(1), 16-25.</w:t>
      </w:r>
    </w:p>
    <w:p w14:paraId="1DD7D1B5" w14:textId="77777777" w:rsidR="007F040B" w:rsidRPr="007F040B" w:rsidRDefault="007F040B" w:rsidP="007F040B">
      <w:pPr>
        <w:suppressAutoHyphens/>
        <w:spacing w:after="0" w:line="240" w:lineRule="auto"/>
        <w:ind w:right="864"/>
        <w:jc w:val="both"/>
        <w:rPr>
          <w:rFonts w:ascii="Times New Roman" w:hAnsi="Times New Roman" w:cs="Times New Roman"/>
          <w:sz w:val="20"/>
          <w:szCs w:val="20"/>
        </w:rPr>
      </w:pPr>
      <w:r w:rsidRPr="007F040B">
        <w:rPr>
          <w:rFonts w:ascii="Times New Roman" w:hAnsi="Times New Roman" w:cs="Times New Roman"/>
          <w:sz w:val="20"/>
          <w:szCs w:val="20"/>
        </w:rPr>
        <w:t>Li, Y., Shahid, M. N., Islam, M. U., &amp; Deme, F. (2024). The Role of Green Technological Innovation, Fintech, and Financial Development in Environmental Sustainability: A Study on Selected Asian Countries. </w:t>
      </w:r>
      <w:r w:rsidRPr="007F040B">
        <w:rPr>
          <w:rFonts w:ascii="Times New Roman" w:hAnsi="Times New Roman" w:cs="Times New Roman"/>
          <w:i/>
          <w:iCs/>
          <w:sz w:val="20"/>
          <w:szCs w:val="20"/>
        </w:rPr>
        <w:t>Journal of Economics, Finance and Accounting Studies, 6(</w:t>
      </w:r>
      <w:r w:rsidRPr="007F040B">
        <w:rPr>
          <w:rFonts w:ascii="Times New Roman" w:hAnsi="Times New Roman" w:cs="Times New Roman"/>
          <w:sz w:val="20"/>
          <w:szCs w:val="20"/>
        </w:rPr>
        <w:t xml:space="preserve">3), 32–39. </w:t>
      </w:r>
      <w:hyperlink r:id="rId15" w:history="1">
        <w:r w:rsidRPr="007F040B">
          <w:rPr>
            <w:rStyle w:val="Hyperlink"/>
            <w:rFonts w:ascii="Times New Roman" w:hAnsi="Times New Roman" w:cs="Times New Roman"/>
            <w:color w:val="auto"/>
            <w:sz w:val="20"/>
            <w:szCs w:val="20"/>
          </w:rPr>
          <w:t>https://doi.org/10.32996/jefas.2024.6.3.4</w:t>
        </w:r>
      </w:hyperlink>
      <w:r w:rsidRPr="007F040B">
        <w:rPr>
          <w:rFonts w:ascii="Times New Roman" w:hAnsi="Times New Roman" w:cs="Times New Roman"/>
          <w:sz w:val="20"/>
          <w:szCs w:val="20"/>
        </w:rPr>
        <w:t xml:space="preserve"> </w:t>
      </w:r>
    </w:p>
    <w:p w14:paraId="6370DC4D" w14:textId="77777777" w:rsidR="007F040B" w:rsidRPr="007F040B" w:rsidRDefault="007F040B" w:rsidP="007F040B">
      <w:pPr>
        <w:suppressAutoHyphens/>
        <w:spacing w:after="0" w:line="240" w:lineRule="auto"/>
        <w:ind w:right="864"/>
        <w:jc w:val="both"/>
        <w:rPr>
          <w:rFonts w:ascii="Times New Roman" w:hAnsi="Times New Roman" w:cs="Times New Roman"/>
          <w:sz w:val="20"/>
          <w:szCs w:val="20"/>
        </w:rPr>
      </w:pPr>
    </w:p>
    <w:p w14:paraId="748ED9D0" w14:textId="77777777" w:rsidR="0050783F" w:rsidRPr="007F040B" w:rsidRDefault="0050783F" w:rsidP="0050783F">
      <w:pPr>
        <w:jc w:val="both"/>
        <w:rPr>
          <w:rFonts w:ascii="Times New Roman" w:hAnsi="Times New Roman" w:cs="Times New Roman"/>
          <w:sz w:val="20"/>
          <w:szCs w:val="20"/>
        </w:rPr>
      </w:pPr>
      <w:r w:rsidRPr="007F040B">
        <w:rPr>
          <w:rFonts w:ascii="Times New Roman" w:hAnsi="Times New Roman" w:cs="Times New Roman"/>
          <w:sz w:val="20"/>
          <w:szCs w:val="20"/>
        </w:rPr>
        <w:t>Macey, J. R. (2022). ESG Investing: Why Here? Why Now</w:t>
      </w:r>
      <w:proofErr w:type="gramStart"/>
      <w:r w:rsidRPr="007F040B">
        <w:rPr>
          <w:rFonts w:ascii="Times New Roman" w:hAnsi="Times New Roman" w:cs="Times New Roman"/>
          <w:sz w:val="20"/>
          <w:szCs w:val="20"/>
        </w:rPr>
        <w:t>?.</w:t>
      </w:r>
      <w:proofErr w:type="gramEnd"/>
      <w:r w:rsidRPr="007F040B">
        <w:rPr>
          <w:rFonts w:ascii="Times New Roman" w:hAnsi="Times New Roman" w:cs="Times New Roman"/>
          <w:sz w:val="20"/>
          <w:szCs w:val="20"/>
        </w:rPr>
        <w:t> </w:t>
      </w:r>
      <w:r w:rsidRPr="007F040B">
        <w:rPr>
          <w:rFonts w:ascii="Times New Roman" w:hAnsi="Times New Roman" w:cs="Times New Roman"/>
          <w:i/>
          <w:iCs/>
          <w:sz w:val="20"/>
          <w:szCs w:val="20"/>
        </w:rPr>
        <w:t>Berkeley Bus. LJ</w:t>
      </w:r>
      <w:r w:rsidRPr="007F040B">
        <w:rPr>
          <w:rFonts w:ascii="Times New Roman" w:hAnsi="Times New Roman" w:cs="Times New Roman"/>
          <w:sz w:val="20"/>
          <w:szCs w:val="20"/>
        </w:rPr>
        <w:t>, </w:t>
      </w:r>
      <w:r w:rsidRPr="007F040B">
        <w:rPr>
          <w:rFonts w:ascii="Times New Roman" w:hAnsi="Times New Roman" w:cs="Times New Roman"/>
          <w:i/>
          <w:iCs/>
          <w:sz w:val="20"/>
          <w:szCs w:val="20"/>
        </w:rPr>
        <w:t>19</w:t>
      </w:r>
      <w:r w:rsidRPr="007F040B">
        <w:rPr>
          <w:rFonts w:ascii="Times New Roman" w:hAnsi="Times New Roman" w:cs="Times New Roman"/>
          <w:sz w:val="20"/>
          <w:szCs w:val="20"/>
        </w:rPr>
        <w:t>, 258.</w:t>
      </w:r>
    </w:p>
    <w:p w14:paraId="2746F288" w14:textId="1BE4CEEF" w:rsidR="0050783F" w:rsidRPr="007F040B" w:rsidRDefault="0050783F" w:rsidP="0050783F">
      <w:pPr>
        <w:jc w:val="both"/>
        <w:rPr>
          <w:rFonts w:ascii="Times New Roman" w:hAnsi="Times New Roman" w:cs="Times New Roman"/>
          <w:sz w:val="20"/>
          <w:szCs w:val="20"/>
        </w:rPr>
      </w:pPr>
      <w:r w:rsidRPr="007F040B">
        <w:rPr>
          <w:rFonts w:ascii="Times New Roman" w:hAnsi="Times New Roman" w:cs="Times New Roman"/>
          <w:sz w:val="20"/>
          <w:szCs w:val="20"/>
        </w:rPr>
        <w:t xml:space="preserve">Magasi, C. (2021). Management succession planning and </w:t>
      </w:r>
      <w:proofErr w:type="spellStart"/>
      <w:r w:rsidR="00F33490" w:rsidRPr="007F040B">
        <w:rPr>
          <w:rFonts w:ascii="Times New Roman" w:hAnsi="Times New Roman" w:cs="Times New Roman"/>
          <w:sz w:val="20"/>
          <w:szCs w:val="20"/>
        </w:rPr>
        <w:t>famiy-run</w:t>
      </w:r>
      <w:r w:rsidRPr="007F040B">
        <w:rPr>
          <w:rFonts w:ascii="Times New Roman" w:hAnsi="Times New Roman" w:cs="Times New Roman"/>
          <w:sz w:val="20"/>
          <w:szCs w:val="20"/>
        </w:rPr>
        <w:t>manufacturing</w:t>
      </w:r>
      <w:proofErr w:type="spellEnd"/>
      <w:r w:rsidRPr="007F040B">
        <w:rPr>
          <w:rFonts w:ascii="Times New Roman" w:hAnsi="Times New Roman" w:cs="Times New Roman"/>
          <w:sz w:val="20"/>
          <w:szCs w:val="20"/>
        </w:rPr>
        <w:t xml:space="preserve"> businesses survival: The moderating role of firm’s background variables. </w:t>
      </w:r>
      <w:r w:rsidRPr="007F040B">
        <w:rPr>
          <w:rFonts w:ascii="Times New Roman" w:hAnsi="Times New Roman" w:cs="Times New Roman"/>
          <w:i/>
          <w:iCs/>
          <w:sz w:val="20"/>
          <w:szCs w:val="20"/>
        </w:rPr>
        <w:t>International Journal of Research in Business and Social Science (2147</w:t>
      </w:r>
      <w:r w:rsidR="005C07E0" w:rsidRPr="007F040B">
        <w:rPr>
          <w:rFonts w:ascii="Times New Roman" w:hAnsi="Times New Roman" w:cs="Times New Roman"/>
          <w:i/>
          <w:iCs/>
          <w:sz w:val="20"/>
          <w:szCs w:val="20"/>
        </w:rPr>
        <w:t>–</w:t>
      </w:r>
      <w:r w:rsidRPr="007F040B">
        <w:rPr>
          <w:rFonts w:ascii="Times New Roman" w:hAnsi="Times New Roman" w:cs="Times New Roman"/>
          <w:i/>
          <w:iCs/>
          <w:sz w:val="20"/>
          <w:szCs w:val="20"/>
        </w:rPr>
        <w:t>4478)</w:t>
      </w:r>
      <w:r w:rsidRPr="007F040B">
        <w:rPr>
          <w:rFonts w:ascii="Times New Roman" w:hAnsi="Times New Roman" w:cs="Times New Roman"/>
          <w:sz w:val="20"/>
          <w:szCs w:val="20"/>
        </w:rPr>
        <w:t>, </w:t>
      </w:r>
      <w:r w:rsidRPr="007F040B">
        <w:rPr>
          <w:rFonts w:ascii="Times New Roman" w:hAnsi="Times New Roman" w:cs="Times New Roman"/>
          <w:i/>
          <w:iCs/>
          <w:sz w:val="20"/>
          <w:szCs w:val="20"/>
        </w:rPr>
        <w:t>10</w:t>
      </w:r>
      <w:r w:rsidRPr="007F040B">
        <w:rPr>
          <w:rFonts w:ascii="Times New Roman" w:hAnsi="Times New Roman" w:cs="Times New Roman"/>
          <w:sz w:val="20"/>
          <w:szCs w:val="20"/>
        </w:rPr>
        <w:t>(8), 12</w:t>
      </w:r>
      <w:r w:rsidR="005C07E0" w:rsidRPr="007F040B">
        <w:rPr>
          <w:rFonts w:ascii="Times New Roman" w:hAnsi="Times New Roman" w:cs="Times New Roman"/>
          <w:sz w:val="20"/>
          <w:szCs w:val="20"/>
        </w:rPr>
        <w:t>–</w:t>
      </w:r>
      <w:r w:rsidRPr="007F040B">
        <w:rPr>
          <w:rFonts w:ascii="Times New Roman" w:hAnsi="Times New Roman" w:cs="Times New Roman"/>
          <w:sz w:val="20"/>
          <w:szCs w:val="20"/>
        </w:rPr>
        <w:t>24.</w:t>
      </w:r>
    </w:p>
    <w:p w14:paraId="67D30985" w14:textId="77777777" w:rsidR="0050783F" w:rsidRPr="007F040B" w:rsidRDefault="0050783F" w:rsidP="0050783F">
      <w:pPr>
        <w:jc w:val="both"/>
        <w:rPr>
          <w:rFonts w:ascii="Times New Roman" w:hAnsi="Times New Roman" w:cs="Times New Roman"/>
          <w:sz w:val="20"/>
          <w:szCs w:val="20"/>
        </w:rPr>
      </w:pPr>
      <w:r w:rsidRPr="007F040B">
        <w:rPr>
          <w:rFonts w:ascii="Times New Roman" w:hAnsi="Times New Roman" w:cs="Times New Roman"/>
          <w:sz w:val="20"/>
          <w:szCs w:val="20"/>
        </w:rPr>
        <w:t>Marques, I. C. P., Leitao, J., Ferreira, J., &amp; Cavalcanti, A. (2023). The socioemotional wealth of leaders in family firm succession and corporate governance processes: a systematic literature review. </w:t>
      </w:r>
      <w:r w:rsidRPr="007F040B">
        <w:rPr>
          <w:rFonts w:ascii="Times New Roman" w:hAnsi="Times New Roman" w:cs="Times New Roman"/>
          <w:i/>
          <w:iCs/>
          <w:sz w:val="20"/>
          <w:szCs w:val="20"/>
        </w:rPr>
        <w:t>International Journal of Entrepreneurial Behavior &amp; Research</w:t>
      </w:r>
      <w:r w:rsidRPr="007F040B">
        <w:rPr>
          <w:rFonts w:ascii="Times New Roman" w:hAnsi="Times New Roman" w:cs="Times New Roman"/>
          <w:sz w:val="20"/>
          <w:szCs w:val="20"/>
        </w:rPr>
        <w:t>, </w:t>
      </w:r>
      <w:r w:rsidRPr="007F040B">
        <w:rPr>
          <w:rFonts w:ascii="Times New Roman" w:hAnsi="Times New Roman" w:cs="Times New Roman"/>
          <w:i/>
          <w:iCs/>
          <w:sz w:val="20"/>
          <w:szCs w:val="20"/>
        </w:rPr>
        <w:t>29</w:t>
      </w:r>
      <w:r w:rsidRPr="007F040B">
        <w:rPr>
          <w:rFonts w:ascii="Times New Roman" w:hAnsi="Times New Roman" w:cs="Times New Roman"/>
          <w:sz w:val="20"/>
          <w:szCs w:val="20"/>
        </w:rPr>
        <w:t>(1), 268-295.</w:t>
      </w:r>
    </w:p>
    <w:p w14:paraId="26212369" w14:textId="45427F37" w:rsidR="0050783F" w:rsidRPr="007F040B" w:rsidRDefault="005C07E0" w:rsidP="0050783F">
      <w:pPr>
        <w:jc w:val="both"/>
        <w:rPr>
          <w:rFonts w:ascii="Times New Roman" w:hAnsi="Times New Roman" w:cs="Times New Roman"/>
          <w:sz w:val="20"/>
          <w:szCs w:val="20"/>
        </w:rPr>
      </w:pPr>
      <w:proofErr w:type="spellStart"/>
      <w:r w:rsidRPr="007F040B">
        <w:rPr>
          <w:rFonts w:ascii="Times New Roman" w:hAnsi="Times New Roman" w:cs="Times New Roman"/>
          <w:sz w:val="20"/>
          <w:szCs w:val="20"/>
        </w:rPr>
        <w:t>Motylska-Kuzma</w:t>
      </w:r>
      <w:proofErr w:type="spellEnd"/>
      <w:r w:rsidRPr="007F040B">
        <w:rPr>
          <w:rFonts w:ascii="Times New Roman" w:hAnsi="Times New Roman" w:cs="Times New Roman"/>
          <w:sz w:val="20"/>
          <w:szCs w:val="20"/>
        </w:rPr>
        <w:t>, A., Szymanska, I., &amp; Safin, K. (2023). Family influence and succession strategies in private businesses at the cusp of leadership change: comparison between family firms and lone founder enterprises. </w:t>
      </w:r>
      <w:r w:rsidRPr="007F040B">
        <w:rPr>
          <w:rFonts w:ascii="Times New Roman" w:hAnsi="Times New Roman" w:cs="Times New Roman"/>
          <w:i/>
          <w:iCs/>
          <w:sz w:val="20"/>
          <w:szCs w:val="20"/>
        </w:rPr>
        <w:t>Journal of Family Business Management</w:t>
      </w:r>
      <w:r w:rsidRPr="007F040B">
        <w:rPr>
          <w:rFonts w:ascii="Times New Roman" w:hAnsi="Times New Roman" w:cs="Times New Roman"/>
          <w:sz w:val="20"/>
          <w:szCs w:val="20"/>
        </w:rPr>
        <w:t>, </w:t>
      </w:r>
      <w:r w:rsidRPr="007F040B">
        <w:rPr>
          <w:rFonts w:ascii="Times New Roman" w:hAnsi="Times New Roman" w:cs="Times New Roman"/>
          <w:i/>
          <w:iCs/>
          <w:sz w:val="20"/>
          <w:szCs w:val="20"/>
        </w:rPr>
        <w:t>13</w:t>
      </w:r>
      <w:r w:rsidRPr="007F040B">
        <w:rPr>
          <w:rFonts w:ascii="Times New Roman" w:hAnsi="Times New Roman" w:cs="Times New Roman"/>
          <w:sz w:val="20"/>
          <w:szCs w:val="20"/>
        </w:rPr>
        <w:t>(4), 955-989.</w:t>
      </w:r>
    </w:p>
    <w:p w14:paraId="605842CB" w14:textId="77777777" w:rsidR="0050783F" w:rsidRPr="007F040B" w:rsidRDefault="0050783F" w:rsidP="0050783F">
      <w:pPr>
        <w:jc w:val="both"/>
        <w:rPr>
          <w:rFonts w:ascii="Times New Roman" w:hAnsi="Times New Roman" w:cs="Times New Roman"/>
          <w:sz w:val="20"/>
          <w:szCs w:val="20"/>
        </w:rPr>
      </w:pPr>
      <w:r w:rsidRPr="007F040B">
        <w:rPr>
          <w:rFonts w:ascii="Times New Roman" w:hAnsi="Times New Roman" w:cs="Times New Roman"/>
          <w:sz w:val="20"/>
          <w:szCs w:val="20"/>
        </w:rPr>
        <w:t xml:space="preserve">Nave, E., Ferreira, J. J., Fernandes, C. I., do </w:t>
      </w:r>
      <w:proofErr w:type="spellStart"/>
      <w:r w:rsidRPr="007F040B">
        <w:rPr>
          <w:rFonts w:ascii="Times New Roman" w:hAnsi="Times New Roman" w:cs="Times New Roman"/>
          <w:sz w:val="20"/>
          <w:szCs w:val="20"/>
        </w:rPr>
        <w:t>Paço</w:t>
      </w:r>
      <w:proofErr w:type="spellEnd"/>
      <w:r w:rsidRPr="007F040B">
        <w:rPr>
          <w:rFonts w:ascii="Times New Roman" w:hAnsi="Times New Roman" w:cs="Times New Roman"/>
          <w:sz w:val="20"/>
          <w:szCs w:val="20"/>
        </w:rPr>
        <w:t>, A., Alves, H., &amp; Raposo, M. (2022). A review of succession strategies in family business: content analysis and future research directions. </w:t>
      </w:r>
      <w:r w:rsidRPr="007F040B">
        <w:rPr>
          <w:rFonts w:ascii="Times New Roman" w:hAnsi="Times New Roman" w:cs="Times New Roman"/>
          <w:i/>
          <w:iCs/>
          <w:sz w:val="20"/>
          <w:szCs w:val="20"/>
        </w:rPr>
        <w:t>Journal of Management &amp; Organization</w:t>
      </w:r>
      <w:r w:rsidRPr="007F040B">
        <w:rPr>
          <w:rFonts w:ascii="Times New Roman" w:hAnsi="Times New Roman" w:cs="Times New Roman"/>
          <w:sz w:val="20"/>
          <w:szCs w:val="20"/>
        </w:rPr>
        <w:t>, 1-25.</w:t>
      </w:r>
    </w:p>
    <w:p w14:paraId="350742CF" w14:textId="54DFE5E0" w:rsidR="0050783F" w:rsidRPr="007F040B" w:rsidRDefault="0050783F" w:rsidP="0050783F">
      <w:pPr>
        <w:jc w:val="both"/>
        <w:rPr>
          <w:rFonts w:ascii="Times New Roman" w:hAnsi="Times New Roman" w:cs="Times New Roman"/>
          <w:sz w:val="20"/>
          <w:szCs w:val="20"/>
        </w:rPr>
      </w:pPr>
      <w:r w:rsidRPr="007F040B">
        <w:rPr>
          <w:rFonts w:ascii="Times New Roman" w:hAnsi="Times New Roman" w:cs="Times New Roman"/>
          <w:sz w:val="20"/>
          <w:szCs w:val="20"/>
        </w:rPr>
        <w:t>Neri, S. (2021). Environmental, social, and governance (ESG) and integrated reporting. </w:t>
      </w:r>
      <w:r w:rsidRPr="007F040B">
        <w:rPr>
          <w:rFonts w:ascii="Times New Roman" w:hAnsi="Times New Roman" w:cs="Times New Roman"/>
          <w:i/>
          <w:iCs/>
          <w:sz w:val="20"/>
          <w:szCs w:val="20"/>
        </w:rPr>
        <w:t>Global Challenges to CSR and Sustainable Development: Root Causes and Evidence from Case Studies, 293</w:t>
      </w:r>
      <w:r w:rsidR="003431BD" w:rsidRPr="007F040B">
        <w:rPr>
          <w:rFonts w:ascii="Times New Roman" w:hAnsi="Times New Roman" w:cs="Times New Roman"/>
          <w:i/>
          <w:iCs/>
          <w:sz w:val="20"/>
          <w:szCs w:val="20"/>
        </w:rPr>
        <w:t>–</w:t>
      </w:r>
      <w:r w:rsidRPr="007F040B">
        <w:rPr>
          <w:rFonts w:ascii="Times New Roman" w:hAnsi="Times New Roman" w:cs="Times New Roman"/>
          <w:i/>
          <w:iCs/>
          <w:sz w:val="20"/>
          <w:szCs w:val="20"/>
        </w:rPr>
        <w:t>302.</w:t>
      </w:r>
    </w:p>
    <w:p w14:paraId="729AC99A" w14:textId="2D85AC74" w:rsidR="0050783F" w:rsidRPr="007F040B" w:rsidRDefault="003431BD" w:rsidP="0050783F">
      <w:pPr>
        <w:jc w:val="both"/>
        <w:rPr>
          <w:rFonts w:ascii="Times New Roman" w:hAnsi="Times New Roman" w:cs="Times New Roman"/>
          <w:sz w:val="20"/>
          <w:szCs w:val="20"/>
        </w:rPr>
      </w:pPr>
      <w:proofErr w:type="spellStart"/>
      <w:r w:rsidRPr="007F040B">
        <w:rPr>
          <w:rFonts w:ascii="Times New Roman" w:hAnsi="Times New Roman" w:cs="Times New Roman"/>
          <w:sz w:val="20"/>
          <w:szCs w:val="20"/>
        </w:rPr>
        <w:t>Nwuke</w:t>
      </w:r>
      <w:proofErr w:type="spellEnd"/>
      <w:r w:rsidRPr="007F040B">
        <w:rPr>
          <w:rFonts w:ascii="Times New Roman" w:hAnsi="Times New Roman" w:cs="Times New Roman"/>
          <w:sz w:val="20"/>
          <w:szCs w:val="20"/>
        </w:rPr>
        <w:t xml:space="preserve">, O., Nwoye, C., &amp; </w:t>
      </w:r>
      <w:proofErr w:type="spellStart"/>
      <w:r w:rsidRPr="007F040B">
        <w:rPr>
          <w:rFonts w:ascii="Times New Roman" w:hAnsi="Times New Roman" w:cs="Times New Roman"/>
          <w:sz w:val="20"/>
          <w:szCs w:val="20"/>
        </w:rPr>
        <w:t>Onoyima</w:t>
      </w:r>
      <w:proofErr w:type="spellEnd"/>
      <w:r w:rsidRPr="007F040B">
        <w:rPr>
          <w:rFonts w:ascii="Times New Roman" w:hAnsi="Times New Roman" w:cs="Times New Roman"/>
          <w:sz w:val="20"/>
          <w:szCs w:val="20"/>
        </w:rPr>
        <w:t>, N. (2020). Family businesses, succession, and survival strategies. In </w:t>
      </w:r>
      <w:r w:rsidRPr="007F040B">
        <w:rPr>
          <w:rFonts w:ascii="Times New Roman" w:hAnsi="Times New Roman" w:cs="Times New Roman"/>
          <w:i/>
          <w:iCs/>
          <w:sz w:val="20"/>
          <w:szCs w:val="20"/>
        </w:rPr>
        <w:t>Indigenous African Enterprise</w:t>
      </w:r>
      <w:r w:rsidRPr="007F040B">
        <w:rPr>
          <w:rFonts w:ascii="Times New Roman" w:hAnsi="Times New Roman" w:cs="Times New Roman"/>
          <w:sz w:val="20"/>
          <w:szCs w:val="20"/>
        </w:rPr>
        <w:t> (Vol. 26, pp. 59–71). Emerald Publishing Limited.</w:t>
      </w:r>
    </w:p>
    <w:p w14:paraId="373500F2" w14:textId="62F5C608" w:rsidR="0050783F" w:rsidRPr="007F040B" w:rsidRDefault="003431BD" w:rsidP="0050783F">
      <w:pPr>
        <w:jc w:val="both"/>
        <w:rPr>
          <w:rFonts w:ascii="Times New Roman" w:hAnsi="Times New Roman" w:cs="Times New Roman"/>
          <w:sz w:val="20"/>
          <w:szCs w:val="20"/>
        </w:rPr>
      </w:pPr>
      <w:proofErr w:type="spellStart"/>
      <w:r w:rsidRPr="007F040B">
        <w:rPr>
          <w:rFonts w:ascii="Times New Roman" w:hAnsi="Times New Roman" w:cs="Times New Roman"/>
          <w:sz w:val="20"/>
          <w:szCs w:val="20"/>
        </w:rPr>
        <w:t>Ouiakoub</w:t>
      </w:r>
      <w:proofErr w:type="spellEnd"/>
      <w:r w:rsidRPr="007F040B">
        <w:rPr>
          <w:rFonts w:ascii="Times New Roman" w:hAnsi="Times New Roman" w:cs="Times New Roman"/>
          <w:sz w:val="20"/>
          <w:szCs w:val="20"/>
        </w:rPr>
        <w:t>, M., &amp; Poulain-Rehm, T. (2025). Succession in family businesses: an opportunity to change the business model. </w:t>
      </w:r>
      <w:r w:rsidRPr="007F040B">
        <w:rPr>
          <w:rFonts w:ascii="Times New Roman" w:hAnsi="Times New Roman" w:cs="Times New Roman"/>
          <w:i/>
          <w:iCs/>
          <w:sz w:val="20"/>
          <w:szCs w:val="20"/>
        </w:rPr>
        <w:t>International Journal of Entrepreneurship and Small Business</w:t>
      </w:r>
      <w:r w:rsidRPr="007F040B">
        <w:rPr>
          <w:rFonts w:ascii="Times New Roman" w:hAnsi="Times New Roman" w:cs="Times New Roman"/>
          <w:sz w:val="20"/>
          <w:szCs w:val="20"/>
        </w:rPr>
        <w:t>, </w:t>
      </w:r>
      <w:r w:rsidRPr="007F040B">
        <w:rPr>
          <w:rFonts w:ascii="Times New Roman" w:hAnsi="Times New Roman" w:cs="Times New Roman"/>
          <w:i/>
          <w:iCs/>
          <w:sz w:val="20"/>
          <w:szCs w:val="20"/>
        </w:rPr>
        <w:t>54</w:t>
      </w:r>
      <w:r w:rsidRPr="007F040B">
        <w:rPr>
          <w:rFonts w:ascii="Times New Roman" w:hAnsi="Times New Roman" w:cs="Times New Roman"/>
          <w:sz w:val="20"/>
          <w:szCs w:val="20"/>
        </w:rPr>
        <w:t>(1), 98-129.</w:t>
      </w:r>
    </w:p>
    <w:p w14:paraId="07722241" w14:textId="77777777" w:rsidR="0050783F" w:rsidRPr="007F040B" w:rsidRDefault="0050783F" w:rsidP="0050783F">
      <w:pPr>
        <w:jc w:val="both"/>
        <w:rPr>
          <w:rFonts w:ascii="Times New Roman" w:hAnsi="Times New Roman" w:cs="Times New Roman"/>
          <w:sz w:val="20"/>
          <w:szCs w:val="20"/>
        </w:rPr>
      </w:pPr>
      <w:proofErr w:type="spellStart"/>
      <w:r w:rsidRPr="007F040B">
        <w:rPr>
          <w:rFonts w:ascii="Times New Roman" w:hAnsi="Times New Roman" w:cs="Times New Roman"/>
          <w:sz w:val="20"/>
          <w:szCs w:val="20"/>
        </w:rPr>
        <w:t>Paço</w:t>
      </w:r>
      <w:proofErr w:type="spellEnd"/>
      <w:r w:rsidRPr="007F040B">
        <w:rPr>
          <w:rFonts w:ascii="Times New Roman" w:hAnsi="Times New Roman" w:cs="Times New Roman"/>
          <w:sz w:val="20"/>
          <w:szCs w:val="20"/>
        </w:rPr>
        <w:t>, A., Fernandes, C., Nave, E., Alves, H., Ferreira, J. J. D. M., &amp; Raposo, M. (2021). Succession planning and strategies in family business: A multiple case study. </w:t>
      </w:r>
      <w:r w:rsidRPr="007F040B">
        <w:rPr>
          <w:rFonts w:ascii="Times New Roman" w:hAnsi="Times New Roman" w:cs="Times New Roman"/>
          <w:i/>
          <w:iCs/>
          <w:sz w:val="20"/>
          <w:szCs w:val="20"/>
        </w:rPr>
        <w:t>International Entrepreneurship Journal</w:t>
      </w:r>
      <w:r w:rsidRPr="007F040B">
        <w:rPr>
          <w:rFonts w:ascii="Times New Roman" w:hAnsi="Times New Roman" w:cs="Times New Roman"/>
          <w:sz w:val="20"/>
          <w:szCs w:val="20"/>
        </w:rPr>
        <w:t>, </w:t>
      </w:r>
      <w:r w:rsidRPr="007F040B">
        <w:rPr>
          <w:rFonts w:ascii="Times New Roman" w:hAnsi="Times New Roman" w:cs="Times New Roman"/>
          <w:i/>
          <w:iCs/>
          <w:sz w:val="20"/>
          <w:szCs w:val="20"/>
        </w:rPr>
        <w:t>25</w:t>
      </w:r>
      <w:r w:rsidRPr="007F040B">
        <w:rPr>
          <w:rFonts w:ascii="Times New Roman" w:hAnsi="Times New Roman" w:cs="Times New Roman"/>
          <w:sz w:val="20"/>
          <w:szCs w:val="20"/>
        </w:rPr>
        <w:t>(Special Issue 1), 1-12.</w:t>
      </w:r>
    </w:p>
    <w:p w14:paraId="4098BF07" w14:textId="77777777" w:rsidR="0050783F" w:rsidRPr="007F040B" w:rsidRDefault="0050783F" w:rsidP="0050783F">
      <w:pPr>
        <w:jc w:val="both"/>
        <w:rPr>
          <w:rFonts w:ascii="Times New Roman" w:hAnsi="Times New Roman" w:cs="Times New Roman"/>
          <w:sz w:val="20"/>
          <w:szCs w:val="20"/>
        </w:rPr>
      </w:pPr>
      <w:r w:rsidRPr="007F040B">
        <w:rPr>
          <w:rFonts w:ascii="Times New Roman" w:hAnsi="Times New Roman" w:cs="Times New Roman"/>
          <w:sz w:val="20"/>
          <w:szCs w:val="20"/>
        </w:rPr>
        <w:t xml:space="preserve">Pakistan Stock Exchange (2024). Data Portal. Retrieved from </w:t>
      </w:r>
      <w:hyperlink r:id="rId16" w:history="1">
        <w:r w:rsidRPr="007F040B">
          <w:rPr>
            <w:rStyle w:val="Hyperlink"/>
            <w:rFonts w:ascii="Times New Roman" w:hAnsi="Times New Roman" w:cs="Times New Roman"/>
            <w:sz w:val="20"/>
            <w:szCs w:val="20"/>
          </w:rPr>
          <w:t>https://dps.psx.com.pk/</w:t>
        </w:r>
      </w:hyperlink>
      <w:r w:rsidRPr="007F040B">
        <w:rPr>
          <w:rFonts w:ascii="Times New Roman" w:hAnsi="Times New Roman" w:cs="Times New Roman"/>
          <w:sz w:val="20"/>
          <w:szCs w:val="20"/>
        </w:rPr>
        <w:t xml:space="preserve"> (Accessed 15 July 2024).</w:t>
      </w:r>
    </w:p>
    <w:p w14:paraId="3EE537D9" w14:textId="77777777" w:rsidR="0050783F" w:rsidRPr="007F040B" w:rsidRDefault="0050783F" w:rsidP="0050783F">
      <w:pPr>
        <w:jc w:val="both"/>
        <w:rPr>
          <w:rFonts w:ascii="Times New Roman" w:hAnsi="Times New Roman" w:cs="Times New Roman"/>
          <w:sz w:val="20"/>
          <w:szCs w:val="20"/>
        </w:rPr>
      </w:pPr>
      <w:r w:rsidRPr="007F040B">
        <w:rPr>
          <w:rFonts w:ascii="Times New Roman" w:hAnsi="Times New Roman" w:cs="Times New Roman"/>
          <w:sz w:val="20"/>
          <w:szCs w:val="20"/>
        </w:rPr>
        <w:t>Pollman, E. (2024). The making and meaning of ESG. </w:t>
      </w:r>
      <w:r w:rsidRPr="007F040B">
        <w:rPr>
          <w:rFonts w:ascii="Times New Roman" w:hAnsi="Times New Roman" w:cs="Times New Roman"/>
          <w:i/>
          <w:iCs/>
          <w:sz w:val="20"/>
          <w:szCs w:val="20"/>
        </w:rPr>
        <w:t>Harv. Bus. L. Rev.</w:t>
      </w:r>
      <w:r w:rsidRPr="007F040B">
        <w:rPr>
          <w:rFonts w:ascii="Times New Roman" w:hAnsi="Times New Roman" w:cs="Times New Roman"/>
          <w:sz w:val="20"/>
          <w:szCs w:val="20"/>
        </w:rPr>
        <w:t>, </w:t>
      </w:r>
      <w:r w:rsidRPr="007F040B">
        <w:rPr>
          <w:rFonts w:ascii="Times New Roman" w:hAnsi="Times New Roman" w:cs="Times New Roman"/>
          <w:i/>
          <w:iCs/>
          <w:sz w:val="20"/>
          <w:szCs w:val="20"/>
        </w:rPr>
        <w:t>14</w:t>
      </w:r>
      <w:r w:rsidRPr="007F040B">
        <w:rPr>
          <w:rFonts w:ascii="Times New Roman" w:hAnsi="Times New Roman" w:cs="Times New Roman"/>
          <w:sz w:val="20"/>
          <w:szCs w:val="20"/>
        </w:rPr>
        <w:t>, 403.</w:t>
      </w:r>
    </w:p>
    <w:p w14:paraId="7A9C6488" w14:textId="7CCB2D7E" w:rsidR="0050783F" w:rsidRPr="007F040B" w:rsidRDefault="0040265F" w:rsidP="0050783F">
      <w:pPr>
        <w:jc w:val="both"/>
        <w:rPr>
          <w:rFonts w:ascii="Times New Roman" w:hAnsi="Times New Roman" w:cs="Times New Roman"/>
          <w:sz w:val="20"/>
          <w:szCs w:val="20"/>
        </w:rPr>
      </w:pPr>
      <w:r w:rsidRPr="007F040B">
        <w:rPr>
          <w:rFonts w:ascii="Times New Roman" w:hAnsi="Times New Roman" w:cs="Times New Roman"/>
          <w:sz w:val="20"/>
          <w:szCs w:val="20"/>
        </w:rPr>
        <w:t xml:space="preserve">Ramadani, V., </w:t>
      </w:r>
      <w:proofErr w:type="spellStart"/>
      <w:r w:rsidRPr="007F040B">
        <w:rPr>
          <w:rFonts w:ascii="Times New Roman" w:hAnsi="Times New Roman" w:cs="Times New Roman"/>
          <w:sz w:val="20"/>
          <w:szCs w:val="20"/>
        </w:rPr>
        <w:t>Memili</w:t>
      </w:r>
      <w:proofErr w:type="spellEnd"/>
      <w:r w:rsidRPr="007F040B">
        <w:rPr>
          <w:rFonts w:ascii="Times New Roman" w:hAnsi="Times New Roman" w:cs="Times New Roman"/>
          <w:sz w:val="20"/>
          <w:szCs w:val="20"/>
        </w:rPr>
        <w:t xml:space="preserve">, E., </w:t>
      </w:r>
      <w:proofErr w:type="spellStart"/>
      <w:r w:rsidRPr="007F040B">
        <w:rPr>
          <w:rFonts w:ascii="Times New Roman" w:hAnsi="Times New Roman" w:cs="Times New Roman"/>
          <w:sz w:val="20"/>
          <w:szCs w:val="20"/>
        </w:rPr>
        <w:t>Palalić</w:t>
      </w:r>
      <w:proofErr w:type="spellEnd"/>
      <w:r w:rsidRPr="007F040B">
        <w:rPr>
          <w:rFonts w:ascii="Times New Roman" w:hAnsi="Times New Roman" w:cs="Times New Roman"/>
          <w:sz w:val="20"/>
          <w:szCs w:val="20"/>
        </w:rPr>
        <w:t>, R., &amp; Chang, E. P. (2020). </w:t>
      </w:r>
      <w:r w:rsidRPr="007F040B">
        <w:rPr>
          <w:rFonts w:ascii="Times New Roman" w:hAnsi="Times New Roman" w:cs="Times New Roman"/>
          <w:i/>
          <w:iCs/>
          <w:sz w:val="20"/>
          <w:szCs w:val="20"/>
        </w:rPr>
        <w:t>Entrepreneurial family businesses</w:t>
      </w:r>
      <w:r w:rsidRPr="007F040B">
        <w:rPr>
          <w:rFonts w:ascii="Times New Roman" w:hAnsi="Times New Roman" w:cs="Times New Roman"/>
          <w:sz w:val="20"/>
          <w:szCs w:val="20"/>
        </w:rPr>
        <w:t>. Springer International Publishing.</w:t>
      </w:r>
    </w:p>
    <w:p w14:paraId="5CC9BA67" w14:textId="77777777" w:rsidR="0050783F" w:rsidRPr="007F040B" w:rsidRDefault="0050783F" w:rsidP="0050783F">
      <w:pPr>
        <w:jc w:val="both"/>
        <w:rPr>
          <w:rFonts w:ascii="Times New Roman" w:hAnsi="Times New Roman" w:cs="Times New Roman"/>
          <w:sz w:val="20"/>
          <w:szCs w:val="20"/>
        </w:rPr>
      </w:pPr>
      <w:r w:rsidRPr="007F040B">
        <w:rPr>
          <w:rFonts w:ascii="Times New Roman" w:hAnsi="Times New Roman" w:cs="Times New Roman"/>
          <w:sz w:val="20"/>
          <w:szCs w:val="20"/>
        </w:rPr>
        <w:t>Rothwell, W. J., &amp; Prescott, R. K. (Eds.). (2022). </w:t>
      </w:r>
      <w:r w:rsidRPr="007F040B">
        <w:rPr>
          <w:rFonts w:ascii="Times New Roman" w:hAnsi="Times New Roman" w:cs="Times New Roman"/>
          <w:i/>
          <w:iCs/>
          <w:sz w:val="20"/>
          <w:szCs w:val="20"/>
        </w:rPr>
        <w:t>Succession planning for small and family businesses: Navigating successful transitions</w:t>
      </w:r>
      <w:r w:rsidRPr="007F040B">
        <w:rPr>
          <w:rFonts w:ascii="Times New Roman" w:hAnsi="Times New Roman" w:cs="Times New Roman"/>
          <w:sz w:val="20"/>
          <w:szCs w:val="20"/>
        </w:rPr>
        <w:t>. CRC Press.</w:t>
      </w:r>
    </w:p>
    <w:p w14:paraId="4200EB24" w14:textId="77777777" w:rsidR="0050783F" w:rsidRPr="007F040B" w:rsidRDefault="0050783F" w:rsidP="0050783F">
      <w:pPr>
        <w:jc w:val="both"/>
        <w:rPr>
          <w:rFonts w:ascii="Times New Roman" w:hAnsi="Times New Roman" w:cs="Times New Roman"/>
          <w:sz w:val="20"/>
          <w:szCs w:val="20"/>
        </w:rPr>
      </w:pPr>
      <w:r w:rsidRPr="007F040B">
        <w:rPr>
          <w:rFonts w:ascii="Times New Roman" w:hAnsi="Times New Roman" w:cs="Times New Roman"/>
          <w:sz w:val="20"/>
          <w:szCs w:val="20"/>
        </w:rPr>
        <w:t xml:space="preserve">S&amp;P Global (2024). Sustainability Solutions. Retrieved from: </w:t>
      </w:r>
      <w:hyperlink r:id="rId17" w:anchor="RequestFollowUpFix" w:history="1">
        <w:r w:rsidRPr="007F040B">
          <w:rPr>
            <w:rStyle w:val="Hyperlink"/>
            <w:rFonts w:ascii="Times New Roman" w:hAnsi="Times New Roman" w:cs="Times New Roman"/>
            <w:sz w:val="20"/>
            <w:szCs w:val="20"/>
          </w:rPr>
          <w:t>https://www.spglobal.com/market-intelligence/en/industries/corporations#RequestFollowUpFix</w:t>
        </w:r>
      </w:hyperlink>
      <w:r w:rsidRPr="007F040B">
        <w:rPr>
          <w:rFonts w:ascii="Times New Roman" w:hAnsi="Times New Roman" w:cs="Times New Roman"/>
          <w:sz w:val="20"/>
          <w:szCs w:val="20"/>
        </w:rPr>
        <w:t xml:space="preserve"> </w:t>
      </w:r>
    </w:p>
    <w:p w14:paraId="3849A93B" w14:textId="5F8C945B" w:rsidR="0050783F" w:rsidRPr="007F040B" w:rsidRDefault="0050783F" w:rsidP="0050783F">
      <w:pPr>
        <w:jc w:val="both"/>
        <w:rPr>
          <w:rFonts w:ascii="Times New Roman" w:hAnsi="Times New Roman" w:cs="Times New Roman"/>
          <w:sz w:val="20"/>
          <w:szCs w:val="20"/>
        </w:rPr>
      </w:pPr>
      <w:r w:rsidRPr="007F040B">
        <w:rPr>
          <w:rFonts w:ascii="Times New Roman" w:hAnsi="Times New Roman" w:cs="Times New Roman"/>
          <w:sz w:val="20"/>
          <w:szCs w:val="20"/>
        </w:rPr>
        <w:t xml:space="preserve">Securities and Exchange Commission of Pakistan (2024). ESG Performance. Retrieved from </w:t>
      </w:r>
      <w:hyperlink r:id="rId18" w:history="1">
        <w:r w:rsidR="00330739" w:rsidRPr="007F040B">
          <w:rPr>
            <w:rStyle w:val="Hyperlink"/>
            <w:rFonts w:ascii="Times New Roman" w:hAnsi="Times New Roman" w:cs="Times New Roman"/>
            <w:sz w:val="20"/>
            <w:szCs w:val="20"/>
          </w:rPr>
          <w:t>https://esgsustain.secp.gov.pk/esg-performance/</w:t>
        </w:r>
      </w:hyperlink>
      <w:r w:rsidR="00330739" w:rsidRPr="007F040B">
        <w:rPr>
          <w:rFonts w:ascii="Times New Roman" w:hAnsi="Times New Roman" w:cs="Times New Roman"/>
          <w:sz w:val="20"/>
          <w:szCs w:val="20"/>
        </w:rPr>
        <w:t xml:space="preserve"> </w:t>
      </w:r>
      <w:r w:rsidRPr="007F040B">
        <w:rPr>
          <w:rFonts w:ascii="Times New Roman" w:hAnsi="Times New Roman" w:cs="Times New Roman"/>
          <w:sz w:val="20"/>
          <w:szCs w:val="20"/>
        </w:rPr>
        <w:t>(Accessed 15 July 2024).</w:t>
      </w:r>
    </w:p>
    <w:p w14:paraId="73926B8D" w14:textId="77777777" w:rsidR="007F040B" w:rsidRDefault="007F040B" w:rsidP="007F040B">
      <w:pPr>
        <w:rPr>
          <w:rFonts w:ascii="Times New Roman" w:hAnsi="Times New Roman" w:cs="Times New Roman"/>
          <w:color w:val="222222"/>
          <w:sz w:val="20"/>
          <w:szCs w:val="20"/>
          <w:shd w:val="clear" w:color="auto" w:fill="FFFFFF"/>
        </w:rPr>
      </w:pPr>
      <w:r w:rsidRPr="007F040B">
        <w:rPr>
          <w:rFonts w:ascii="Times New Roman" w:hAnsi="Times New Roman" w:cs="Times New Roman"/>
          <w:color w:val="222222"/>
          <w:sz w:val="20"/>
          <w:szCs w:val="20"/>
          <w:shd w:val="clear" w:color="auto" w:fill="FFFFFF"/>
        </w:rPr>
        <w:t>Shahid, M. N., Ateeq, A., Sattar. A., Lodhi, R. N., &amp; Islam, M. U. (2021). Monday anomaly manifests adaptive behavior. A firm level evidence from emerging market. </w:t>
      </w:r>
      <w:r w:rsidRPr="007F040B">
        <w:rPr>
          <w:rFonts w:ascii="Times New Roman" w:hAnsi="Times New Roman" w:cs="Times New Roman"/>
          <w:i/>
          <w:iCs/>
          <w:color w:val="222222"/>
          <w:sz w:val="20"/>
          <w:szCs w:val="20"/>
          <w:shd w:val="clear" w:color="auto" w:fill="FFFFFF"/>
        </w:rPr>
        <w:t>The journal of contemporary issues in business and government</w:t>
      </w:r>
      <w:r w:rsidRPr="007F040B">
        <w:rPr>
          <w:rFonts w:ascii="Times New Roman" w:hAnsi="Times New Roman" w:cs="Times New Roman"/>
          <w:color w:val="222222"/>
          <w:sz w:val="20"/>
          <w:szCs w:val="20"/>
          <w:shd w:val="clear" w:color="auto" w:fill="FFFFFF"/>
        </w:rPr>
        <w:t>, </w:t>
      </w:r>
      <w:r w:rsidRPr="007F040B">
        <w:rPr>
          <w:rFonts w:ascii="Times New Roman" w:hAnsi="Times New Roman" w:cs="Times New Roman"/>
          <w:i/>
          <w:iCs/>
          <w:color w:val="222222"/>
          <w:sz w:val="20"/>
          <w:szCs w:val="20"/>
          <w:shd w:val="clear" w:color="auto" w:fill="FFFFFF"/>
        </w:rPr>
        <w:t>27</w:t>
      </w:r>
      <w:r w:rsidRPr="007F040B">
        <w:rPr>
          <w:rFonts w:ascii="Times New Roman" w:hAnsi="Times New Roman" w:cs="Times New Roman"/>
          <w:color w:val="222222"/>
          <w:sz w:val="20"/>
          <w:szCs w:val="20"/>
          <w:shd w:val="clear" w:color="auto" w:fill="FFFFFF"/>
        </w:rPr>
        <w:t>(3), 2421-2444.</w:t>
      </w:r>
    </w:p>
    <w:p w14:paraId="1611024E" w14:textId="3B376357" w:rsidR="006B2673" w:rsidRPr="006B2673" w:rsidRDefault="006B2673" w:rsidP="006B2673">
      <w:pPr>
        <w:suppressAutoHyphens/>
        <w:spacing w:after="0" w:line="240" w:lineRule="auto"/>
        <w:jc w:val="both"/>
        <w:rPr>
          <w:rFonts w:ascii="Times New Roman" w:hAnsi="Times New Roman" w:cs="Times New Roman"/>
          <w:color w:val="222222"/>
          <w:sz w:val="20"/>
          <w:szCs w:val="20"/>
          <w:shd w:val="clear" w:color="auto" w:fill="FFFFFF"/>
        </w:rPr>
      </w:pPr>
      <w:r w:rsidRPr="006B2673">
        <w:rPr>
          <w:rFonts w:ascii="Times New Roman" w:hAnsi="Times New Roman" w:cs="Times New Roman"/>
          <w:noProof/>
          <w:sz w:val="20"/>
          <w:szCs w:val="20"/>
        </w:rPr>
        <w:t xml:space="preserve">Shahid, M. N., &amp; Sattar, A. (2017). Behavior of Calendar Anomalies, Market Conditions and Adaptive Market Hypothesis: Evidence from Pakistan Stock Exchange. </w:t>
      </w:r>
      <w:r w:rsidRPr="006B2673">
        <w:rPr>
          <w:rFonts w:ascii="Times New Roman" w:hAnsi="Times New Roman" w:cs="Times New Roman"/>
          <w:i/>
          <w:iCs/>
          <w:noProof/>
          <w:sz w:val="20"/>
          <w:szCs w:val="20"/>
        </w:rPr>
        <w:t>Pakistan Journal of Commerce and Social Sciences, 11</w:t>
      </w:r>
      <w:r w:rsidRPr="006B2673">
        <w:rPr>
          <w:rFonts w:ascii="Times New Roman" w:hAnsi="Times New Roman" w:cs="Times New Roman"/>
          <w:noProof/>
          <w:sz w:val="20"/>
          <w:szCs w:val="20"/>
        </w:rPr>
        <w:t>(2), 471-504.</w:t>
      </w:r>
    </w:p>
    <w:p w14:paraId="56157EE0" w14:textId="3661F2BF" w:rsidR="0050783F" w:rsidRPr="007F040B" w:rsidRDefault="0050783F" w:rsidP="0050783F">
      <w:pPr>
        <w:jc w:val="both"/>
        <w:rPr>
          <w:rFonts w:ascii="Times New Roman" w:hAnsi="Times New Roman" w:cs="Times New Roman"/>
          <w:sz w:val="20"/>
          <w:szCs w:val="20"/>
        </w:rPr>
      </w:pPr>
      <w:r w:rsidRPr="007F040B">
        <w:rPr>
          <w:rFonts w:ascii="Times New Roman" w:hAnsi="Times New Roman" w:cs="Times New Roman"/>
          <w:sz w:val="20"/>
          <w:szCs w:val="20"/>
        </w:rPr>
        <w:t xml:space="preserve">Shahzad, F., Akhlaq, A., &amp; Ghaffar, C. (2024). Exploring business succession dynamics in </w:t>
      </w:r>
      <w:proofErr w:type="spellStart"/>
      <w:r w:rsidR="00F33490" w:rsidRPr="007F040B">
        <w:rPr>
          <w:rFonts w:ascii="Times New Roman" w:hAnsi="Times New Roman" w:cs="Times New Roman"/>
          <w:sz w:val="20"/>
          <w:szCs w:val="20"/>
        </w:rPr>
        <w:t>famiy-run</w:t>
      </w:r>
      <w:r w:rsidRPr="007F040B">
        <w:rPr>
          <w:rFonts w:ascii="Times New Roman" w:hAnsi="Times New Roman" w:cs="Times New Roman"/>
          <w:sz w:val="20"/>
          <w:szCs w:val="20"/>
        </w:rPr>
        <w:t>businesses</w:t>
      </w:r>
      <w:proofErr w:type="spellEnd"/>
      <w:r w:rsidRPr="007F040B">
        <w:rPr>
          <w:rFonts w:ascii="Times New Roman" w:hAnsi="Times New Roman" w:cs="Times New Roman"/>
          <w:sz w:val="20"/>
          <w:szCs w:val="20"/>
        </w:rPr>
        <w:t>: lessons from Pakistani case studies. </w:t>
      </w:r>
      <w:r w:rsidRPr="007F040B">
        <w:rPr>
          <w:rFonts w:ascii="Times New Roman" w:hAnsi="Times New Roman" w:cs="Times New Roman"/>
          <w:i/>
          <w:iCs/>
          <w:sz w:val="20"/>
          <w:szCs w:val="20"/>
        </w:rPr>
        <w:t>Journal of Family Business Management</w:t>
      </w:r>
      <w:r w:rsidRPr="007F040B">
        <w:rPr>
          <w:rFonts w:ascii="Times New Roman" w:hAnsi="Times New Roman" w:cs="Times New Roman"/>
          <w:sz w:val="20"/>
          <w:szCs w:val="20"/>
        </w:rPr>
        <w:t>.</w:t>
      </w:r>
    </w:p>
    <w:p w14:paraId="11B137D0" w14:textId="67B74E86" w:rsidR="0050783F" w:rsidRPr="007F040B" w:rsidRDefault="0050783F" w:rsidP="0050783F">
      <w:pPr>
        <w:jc w:val="both"/>
        <w:rPr>
          <w:rFonts w:ascii="Times New Roman" w:hAnsi="Times New Roman" w:cs="Times New Roman"/>
          <w:sz w:val="20"/>
          <w:szCs w:val="20"/>
        </w:rPr>
      </w:pPr>
      <w:r w:rsidRPr="007F040B">
        <w:rPr>
          <w:rFonts w:ascii="Times New Roman" w:hAnsi="Times New Roman" w:cs="Times New Roman"/>
          <w:sz w:val="20"/>
          <w:szCs w:val="20"/>
        </w:rPr>
        <w:t>Sheehan, N. T., Vaidyanathan, G., Fox, K. A., &amp; Klassen, M. (2023). Making the invisible, visible: Overcoming barriers to ESG performance with an ESG mindset. </w:t>
      </w:r>
      <w:r w:rsidRPr="007F040B">
        <w:rPr>
          <w:rFonts w:ascii="Times New Roman" w:hAnsi="Times New Roman" w:cs="Times New Roman"/>
          <w:i/>
          <w:iCs/>
          <w:sz w:val="20"/>
          <w:szCs w:val="20"/>
        </w:rPr>
        <w:t>Business Horizons</w:t>
      </w:r>
      <w:r w:rsidRPr="007F040B">
        <w:rPr>
          <w:rFonts w:ascii="Times New Roman" w:hAnsi="Times New Roman" w:cs="Times New Roman"/>
          <w:sz w:val="20"/>
          <w:szCs w:val="20"/>
        </w:rPr>
        <w:t>, </w:t>
      </w:r>
      <w:r w:rsidRPr="007F040B">
        <w:rPr>
          <w:rFonts w:ascii="Times New Roman" w:hAnsi="Times New Roman" w:cs="Times New Roman"/>
          <w:i/>
          <w:iCs/>
          <w:sz w:val="20"/>
          <w:szCs w:val="20"/>
        </w:rPr>
        <w:t>66</w:t>
      </w:r>
      <w:r w:rsidRPr="007F040B">
        <w:rPr>
          <w:rFonts w:ascii="Times New Roman" w:hAnsi="Times New Roman" w:cs="Times New Roman"/>
          <w:sz w:val="20"/>
          <w:szCs w:val="20"/>
        </w:rPr>
        <w:t>(2), 265</w:t>
      </w:r>
      <w:r w:rsidR="0040265F" w:rsidRPr="007F040B">
        <w:rPr>
          <w:rFonts w:ascii="Times New Roman" w:hAnsi="Times New Roman" w:cs="Times New Roman"/>
          <w:sz w:val="20"/>
          <w:szCs w:val="20"/>
        </w:rPr>
        <w:t>–</w:t>
      </w:r>
      <w:r w:rsidRPr="007F040B">
        <w:rPr>
          <w:rFonts w:ascii="Times New Roman" w:hAnsi="Times New Roman" w:cs="Times New Roman"/>
          <w:sz w:val="20"/>
          <w:szCs w:val="20"/>
        </w:rPr>
        <w:t>276.</w:t>
      </w:r>
    </w:p>
    <w:p w14:paraId="5A8C0882" w14:textId="77777777" w:rsidR="0040265F" w:rsidRPr="007F040B" w:rsidRDefault="0040265F" w:rsidP="0050783F">
      <w:pPr>
        <w:jc w:val="both"/>
        <w:rPr>
          <w:rFonts w:ascii="Times New Roman" w:hAnsi="Times New Roman" w:cs="Times New Roman"/>
          <w:sz w:val="20"/>
          <w:szCs w:val="20"/>
        </w:rPr>
      </w:pPr>
      <w:r w:rsidRPr="007F040B">
        <w:rPr>
          <w:rFonts w:ascii="Times New Roman" w:hAnsi="Times New Roman" w:cs="Times New Roman"/>
          <w:sz w:val="20"/>
          <w:szCs w:val="20"/>
        </w:rPr>
        <w:t>Tabor, W., Chrisman, J. J., Madison, K., &amp; Vardaman, J. M. (2018). Nonfamily members in family firms: A review and future research agenda. </w:t>
      </w:r>
      <w:r w:rsidRPr="007F040B">
        <w:rPr>
          <w:rFonts w:ascii="Times New Roman" w:hAnsi="Times New Roman" w:cs="Times New Roman"/>
          <w:i/>
          <w:iCs/>
          <w:sz w:val="20"/>
          <w:szCs w:val="20"/>
        </w:rPr>
        <w:t>Family Business Review</w:t>
      </w:r>
      <w:r w:rsidRPr="007F040B">
        <w:rPr>
          <w:rFonts w:ascii="Times New Roman" w:hAnsi="Times New Roman" w:cs="Times New Roman"/>
          <w:sz w:val="20"/>
          <w:szCs w:val="20"/>
        </w:rPr>
        <w:t>, </w:t>
      </w:r>
      <w:r w:rsidRPr="007F040B">
        <w:rPr>
          <w:rFonts w:ascii="Times New Roman" w:hAnsi="Times New Roman" w:cs="Times New Roman"/>
          <w:i/>
          <w:iCs/>
          <w:sz w:val="20"/>
          <w:szCs w:val="20"/>
        </w:rPr>
        <w:t>31</w:t>
      </w:r>
      <w:r w:rsidRPr="007F040B">
        <w:rPr>
          <w:rFonts w:ascii="Times New Roman" w:hAnsi="Times New Roman" w:cs="Times New Roman"/>
          <w:sz w:val="20"/>
          <w:szCs w:val="20"/>
        </w:rPr>
        <w:t>(1), 54-79.</w:t>
      </w:r>
    </w:p>
    <w:p w14:paraId="3E873270" w14:textId="0C566F74" w:rsidR="0050783F" w:rsidRPr="007F040B" w:rsidRDefault="0040265F" w:rsidP="0050783F">
      <w:pPr>
        <w:jc w:val="both"/>
        <w:rPr>
          <w:rFonts w:ascii="Times New Roman" w:hAnsi="Times New Roman" w:cs="Times New Roman"/>
          <w:sz w:val="20"/>
          <w:szCs w:val="20"/>
        </w:rPr>
      </w:pPr>
      <w:r w:rsidRPr="007F040B">
        <w:rPr>
          <w:rFonts w:ascii="Times New Roman" w:hAnsi="Times New Roman" w:cs="Times New Roman"/>
          <w:sz w:val="20"/>
          <w:szCs w:val="20"/>
        </w:rPr>
        <w:t>Tang, J. K. K., &amp; Hussin, W. S. (2020). Next-generation leadership development: a management succession perspective. </w:t>
      </w:r>
      <w:r w:rsidRPr="007F040B">
        <w:rPr>
          <w:rFonts w:ascii="Times New Roman" w:hAnsi="Times New Roman" w:cs="Times New Roman"/>
          <w:i/>
          <w:iCs/>
          <w:sz w:val="20"/>
          <w:szCs w:val="20"/>
        </w:rPr>
        <w:t>Journal of Family Business Management</w:t>
      </w:r>
      <w:r w:rsidRPr="007F040B">
        <w:rPr>
          <w:rFonts w:ascii="Times New Roman" w:hAnsi="Times New Roman" w:cs="Times New Roman"/>
          <w:sz w:val="20"/>
          <w:szCs w:val="20"/>
        </w:rPr>
        <w:t>.</w:t>
      </w:r>
    </w:p>
    <w:p w14:paraId="239D5F03" w14:textId="48C3E584" w:rsidR="001A757E" w:rsidRPr="007F040B" w:rsidRDefault="0050783F" w:rsidP="0050783F">
      <w:pPr>
        <w:jc w:val="both"/>
        <w:rPr>
          <w:rFonts w:ascii="Times New Roman" w:hAnsi="Times New Roman" w:cs="Times New Roman"/>
          <w:sz w:val="20"/>
          <w:szCs w:val="20"/>
        </w:rPr>
      </w:pPr>
      <w:r w:rsidRPr="007F040B">
        <w:rPr>
          <w:rFonts w:ascii="Times New Roman" w:hAnsi="Times New Roman" w:cs="Times New Roman"/>
          <w:sz w:val="20"/>
          <w:szCs w:val="20"/>
        </w:rPr>
        <w:t xml:space="preserve">Tetteh, L. A., </w:t>
      </w:r>
      <w:proofErr w:type="spellStart"/>
      <w:r w:rsidRPr="007F040B">
        <w:rPr>
          <w:rFonts w:ascii="Times New Roman" w:hAnsi="Times New Roman" w:cs="Times New Roman"/>
          <w:sz w:val="20"/>
          <w:szCs w:val="20"/>
        </w:rPr>
        <w:t>Aklamanu</w:t>
      </w:r>
      <w:proofErr w:type="spellEnd"/>
      <w:r w:rsidRPr="007F040B">
        <w:rPr>
          <w:rFonts w:ascii="Times New Roman" w:hAnsi="Times New Roman" w:cs="Times New Roman"/>
          <w:sz w:val="20"/>
          <w:szCs w:val="20"/>
        </w:rPr>
        <w:t xml:space="preserve">, A. M. K., Lamptey, L. L., </w:t>
      </w:r>
      <w:proofErr w:type="spellStart"/>
      <w:r w:rsidRPr="007F040B">
        <w:rPr>
          <w:rFonts w:ascii="Times New Roman" w:hAnsi="Times New Roman" w:cs="Times New Roman"/>
          <w:sz w:val="20"/>
          <w:szCs w:val="20"/>
        </w:rPr>
        <w:t>Soku</w:t>
      </w:r>
      <w:proofErr w:type="spellEnd"/>
      <w:r w:rsidRPr="007F040B">
        <w:rPr>
          <w:rFonts w:ascii="Times New Roman" w:hAnsi="Times New Roman" w:cs="Times New Roman"/>
          <w:sz w:val="20"/>
          <w:szCs w:val="20"/>
        </w:rPr>
        <w:t xml:space="preserve">, M. G., Sunu, P., Muda, P., &amp; </w:t>
      </w:r>
      <w:proofErr w:type="spellStart"/>
      <w:r w:rsidRPr="007F040B">
        <w:rPr>
          <w:rFonts w:ascii="Times New Roman" w:hAnsi="Times New Roman" w:cs="Times New Roman"/>
          <w:sz w:val="20"/>
          <w:szCs w:val="20"/>
        </w:rPr>
        <w:t>Aneyire</w:t>
      </w:r>
      <w:proofErr w:type="spellEnd"/>
      <w:r w:rsidRPr="007F040B">
        <w:rPr>
          <w:rFonts w:ascii="Times New Roman" w:hAnsi="Times New Roman" w:cs="Times New Roman"/>
          <w:sz w:val="20"/>
          <w:szCs w:val="20"/>
        </w:rPr>
        <w:t xml:space="preserve">, T. K. (2022). Corporate governance and </w:t>
      </w:r>
      <w:proofErr w:type="spellStart"/>
      <w:r w:rsidR="00F33490" w:rsidRPr="007F040B">
        <w:rPr>
          <w:rFonts w:ascii="Times New Roman" w:hAnsi="Times New Roman" w:cs="Times New Roman"/>
          <w:sz w:val="20"/>
          <w:szCs w:val="20"/>
        </w:rPr>
        <w:t>famiy-run</w:t>
      </w:r>
      <w:r w:rsidRPr="007F040B">
        <w:rPr>
          <w:rFonts w:ascii="Times New Roman" w:hAnsi="Times New Roman" w:cs="Times New Roman"/>
          <w:sz w:val="20"/>
          <w:szCs w:val="20"/>
        </w:rPr>
        <w:t>business</w:t>
      </w:r>
      <w:proofErr w:type="spellEnd"/>
      <w:r w:rsidRPr="007F040B">
        <w:rPr>
          <w:rFonts w:ascii="Times New Roman" w:hAnsi="Times New Roman" w:cs="Times New Roman"/>
          <w:sz w:val="20"/>
          <w:szCs w:val="20"/>
        </w:rPr>
        <w:t xml:space="preserve"> performance: the role of strategic decision and succession planning. </w:t>
      </w:r>
      <w:r w:rsidRPr="007F040B">
        <w:rPr>
          <w:rFonts w:ascii="Times New Roman" w:hAnsi="Times New Roman" w:cs="Times New Roman"/>
          <w:i/>
          <w:iCs/>
          <w:sz w:val="20"/>
          <w:szCs w:val="20"/>
        </w:rPr>
        <w:t>Academy of Accounting and Financial Studies Journal</w:t>
      </w:r>
      <w:r w:rsidRPr="007F040B">
        <w:rPr>
          <w:rFonts w:ascii="Times New Roman" w:hAnsi="Times New Roman" w:cs="Times New Roman"/>
          <w:sz w:val="20"/>
          <w:szCs w:val="20"/>
        </w:rPr>
        <w:t>, </w:t>
      </w:r>
      <w:r w:rsidRPr="007F040B">
        <w:rPr>
          <w:rFonts w:ascii="Times New Roman" w:hAnsi="Times New Roman" w:cs="Times New Roman"/>
          <w:i/>
          <w:iCs/>
          <w:sz w:val="20"/>
          <w:szCs w:val="20"/>
        </w:rPr>
        <w:t>26</w:t>
      </w:r>
      <w:r w:rsidRPr="007F040B">
        <w:rPr>
          <w:rFonts w:ascii="Times New Roman" w:hAnsi="Times New Roman" w:cs="Times New Roman"/>
          <w:sz w:val="20"/>
          <w:szCs w:val="20"/>
        </w:rPr>
        <w:t>, 1-19.</w:t>
      </w:r>
    </w:p>
    <w:p w14:paraId="35567F2A" w14:textId="0E74A613" w:rsidR="0050783F" w:rsidRPr="007F040B" w:rsidRDefault="0050783F" w:rsidP="0050783F">
      <w:pPr>
        <w:jc w:val="both"/>
        <w:rPr>
          <w:rFonts w:ascii="Times New Roman" w:hAnsi="Times New Roman" w:cs="Times New Roman"/>
          <w:b/>
          <w:bCs/>
          <w:sz w:val="20"/>
          <w:szCs w:val="20"/>
        </w:rPr>
      </w:pPr>
      <w:r w:rsidRPr="007F040B">
        <w:rPr>
          <w:rFonts w:ascii="Times New Roman" w:hAnsi="Times New Roman" w:cs="Times New Roman"/>
          <w:sz w:val="20"/>
          <w:szCs w:val="20"/>
        </w:rPr>
        <w:t>Zaidi, S. Y. A., Waqas, M., &amp; Mahmood, F. (2024). Exploring Challenges Forefront to Family Business Leaders: A Perspective of Family Business Owners. </w:t>
      </w:r>
      <w:r w:rsidRPr="007F040B">
        <w:rPr>
          <w:rFonts w:ascii="Times New Roman" w:hAnsi="Times New Roman" w:cs="Times New Roman"/>
          <w:i/>
          <w:iCs/>
          <w:sz w:val="20"/>
          <w:szCs w:val="20"/>
        </w:rPr>
        <w:t>International Journal of Management Research and Emerging Sciences</w:t>
      </w:r>
      <w:r w:rsidRPr="007F040B">
        <w:rPr>
          <w:rFonts w:ascii="Times New Roman" w:hAnsi="Times New Roman" w:cs="Times New Roman"/>
          <w:sz w:val="20"/>
          <w:szCs w:val="20"/>
        </w:rPr>
        <w:t>, </w:t>
      </w:r>
      <w:r w:rsidRPr="007F040B">
        <w:rPr>
          <w:rFonts w:ascii="Times New Roman" w:hAnsi="Times New Roman" w:cs="Times New Roman"/>
          <w:i/>
          <w:iCs/>
          <w:sz w:val="20"/>
          <w:szCs w:val="20"/>
        </w:rPr>
        <w:t>14</w:t>
      </w:r>
      <w:r w:rsidRPr="007F040B">
        <w:rPr>
          <w:rFonts w:ascii="Times New Roman" w:hAnsi="Times New Roman" w:cs="Times New Roman"/>
          <w:sz w:val="20"/>
          <w:szCs w:val="20"/>
        </w:rPr>
        <w:t>(1).</w:t>
      </w:r>
    </w:p>
    <w:p w14:paraId="6AE43B48" w14:textId="70828166" w:rsidR="00003414" w:rsidRPr="007F040B" w:rsidRDefault="00003414" w:rsidP="005C2B73">
      <w:pPr>
        <w:jc w:val="both"/>
        <w:rPr>
          <w:rFonts w:ascii="Times New Roman" w:hAnsi="Times New Roman" w:cs="Times New Roman"/>
          <w:sz w:val="20"/>
          <w:szCs w:val="20"/>
        </w:rPr>
      </w:pPr>
    </w:p>
    <w:sectPr w:rsidR="00003414" w:rsidRPr="007F040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harjahlaptop" w:date="2025-03-05T13:18:00Z" w:initials="s">
    <w:p w14:paraId="5FE7B1D3" w14:textId="77777777" w:rsidR="00ED37BC" w:rsidRDefault="00ED37BC" w:rsidP="00ED37BC">
      <w:pPr>
        <w:pStyle w:val="CommentText"/>
      </w:pPr>
      <w:r>
        <w:rPr>
          <w:rStyle w:val="CommentReference"/>
        </w:rPr>
        <w:annotationRef/>
      </w:r>
      <w:r>
        <w:t>The abstract is overly brief and does not come close to summing up the study. A highly structured abstract will cover these bases: List the research problem. State the hypothesis. Briefly describe the methodology. State the major result (conclusion). Tell why the result is important.</w:t>
      </w:r>
    </w:p>
    <w:p w14:paraId="569DCA23" w14:textId="77777777" w:rsidR="00ED37BC" w:rsidRDefault="00ED37BC" w:rsidP="00ED37BC">
      <w:pPr>
        <w:pStyle w:val="CommentText"/>
      </w:pPr>
      <w:r>
        <w:t>Research Problem: Clearly state the gap in the literature and why this study is needed.</w:t>
      </w:r>
    </w:p>
    <w:p w14:paraId="7E607C6C" w14:textId="77777777" w:rsidR="00ED37BC" w:rsidRDefault="00ED37BC" w:rsidP="00ED37BC">
      <w:pPr>
        <w:pStyle w:val="CommentText"/>
      </w:pPr>
      <w:r>
        <w:t>Objective: Specify the purpose of the research in a concise manner.</w:t>
      </w:r>
    </w:p>
    <w:p w14:paraId="56924806" w14:textId="77777777" w:rsidR="00ED37BC" w:rsidRDefault="00ED37BC" w:rsidP="00ED37BC">
      <w:pPr>
        <w:pStyle w:val="CommentText"/>
      </w:pPr>
      <w:r>
        <w:t>Methodology: Briefly mention the data source (e.g., Pakistan Stock Exchange) and the statistical techniques used (e.g., regression analysis).</w:t>
      </w:r>
    </w:p>
    <w:p w14:paraId="44E1F3B5" w14:textId="77777777" w:rsidR="00ED37BC" w:rsidRDefault="00ED37BC" w:rsidP="00ED37BC">
      <w:pPr>
        <w:pStyle w:val="CommentText"/>
      </w:pPr>
      <w:r>
        <w:t>Key Findings: Summarize the most important results, such as the impact of leadership succession on Sustainable Corporate Behavior (SCB).</w:t>
      </w:r>
    </w:p>
    <w:p w14:paraId="2B4F4551" w14:textId="77777777" w:rsidR="00ED37BC" w:rsidRDefault="00ED37BC" w:rsidP="00ED37BC">
      <w:pPr>
        <w:pStyle w:val="CommentText"/>
      </w:pPr>
      <w:r>
        <w:t>Practical Implications: Highlight how the findings contribute to both academia and industry, particularly for policymakers and family business owners.</w:t>
      </w:r>
    </w:p>
    <w:p w14:paraId="6F91C768" w14:textId="1B22F0BF" w:rsidR="00ED37BC" w:rsidRDefault="00ED37BC" w:rsidP="00ED37BC">
      <w:pPr>
        <w:pStyle w:val="CommentText"/>
      </w:pPr>
      <w:r>
        <w:t>Suggested Improvement: Expand the abstract to at least 200–250 words to ensure that it provides a complete overview of the study. Adding more specific details about the methodology and key findings will improve clarity and engagement for the reader</w:t>
      </w:r>
    </w:p>
    <w:p w14:paraId="703682D3" w14:textId="7AC5C964" w:rsidR="00ED37BC" w:rsidRDefault="00ED37BC">
      <w:pPr>
        <w:pStyle w:val="CommentText"/>
      </w:pPr>
      <w:r>
        <w:rPr>
          <w:b/>
          <w:bCs/>
          <w:sz w:val="24"/>
          <w:szCs w:val="24"/>
        </w:rPr>
        <w:pict w14:anchorId="614D20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5.25pt;height:42.75pt" strokeweight="1pt">
            <v:imagedata r:id="rId1" o:title="" croptop="-401f" cropbottom="-9777f" cropleft="-75897f" cropright="-26241f"/>
            <v:path shadowok="f"/>
            <o:lock v:ext="edit" aspectratio="f"/>
            <o:ink i="AIoBHQIkYgEgWM9UiuaXxU+PBvi60uGbIgBoDAAAAAAAwAAAAAAAAEYDHWUFFEYAAAAASBVFIxsC&#10;OYsARiMbAjmLAFcNAAAABQILZBkUMggAoBUCWSxWQjMIAIAMAlVVVUIRq6rTQQoRAQdOAkAKABEg&#10;UM/VOaeN2wEKEQEGWAdiCgARIHBqxj2njdsB&#10;"/>
          </v:shape>
        </w:pict>
      </w:r>
    </w:p>
  </w:comment>
  <w:comment w:id="2" w:author="sharjahlaptop" w:date="2025-03-05T13:25:00Z" w:initials="s">
    <w:p w14:paraId="1F9A330A" w14:textId="161A39B5" w:rsidR="00ED37BC" w:rsidRDefault="00ED37BC">
      <w:pPr>
        <w:pStyle w:val="CommentText"/>
        <w:rPr>
          <w:rFonts w:ascii="Arial" w:hAnsi="Arial" w:cs="Arial"/>
          <w:color w:val="09090B"/>
          <w:sz w:val="21"/>
          <w:szCs w:val="21"/>
          <w:shd w:val="clear" w:color="auto" w:fill="FFFFFF"/>
        </w:rPr>
      </w:pPr>
      <w:r>
        <w:rPr>
          <w:rStyle w:val="CommentReference"/>
        </w:rPr>
        <w:annotationRef/>
      </w:r>
      <w:r>
        <w:rPr>
          <w:rFonts w:ascii="Arial" w:hAnsi="Arial" w:cs="Arial"/>
          <w:color w:val="09090B"/>
          <w:sz w:val="21"/>
          <w:szCs w:val="21"/>
          <w:shd w:val="clear" w:color="auto" w:fill="FFFFFF"/>
        </w:rPr>
        <w:t>Expand on Pakistan’s Context:</w:t>
      </w:r>
    </w:p>
    <w:p w14:paraId="6956D170" w14:textId="77777777" w:rsidR="00ED37BC" w:rsidRDefault="00ED37BC" w:rsidP="00ED37BC">
      <w:pPr>
        <w:pStyle w:val="text-pretty"/>
        <w:pBdr>
          <w:top w:val="single" w:sz="2" w:space="0" w:color="auto"/>
          <w:left w:val="single" w:sz="2" w:space="0" w:color="auto"/>
          <w:bottom w:val="single" w:sz="2" w:space="0" w:color="auto"/>
          <w:right w:val="single" w:sz="2" w:space="0" w:color="auto"/>
        </w:pBdr>
        <w:shd w:val="clear" w:color="auto" w:fill="FFFFFF"/>
        <w:rPr>
          <w:rFonts w:ascii="Arial" w:hAnsi="Arial" w:cs="Arial"/>
          <w:color w:val="09090B"/>
          <w:sz w:val="21"/>
          <w:szCs w:val="21"/>
        </w:rPr>
      </w:pPr>
      <w:r>
        <w:rPr>
          <w:rFonts w:ascii="Arial" w:hAnsi="Arial" w:cs="Arial"/>
          <w:color w:val="09090B"/>
          <w:sz w:val="21"/>
          <w:szCs w:val="21"/>
        </w:rPr>
        <w:t>Delve deeper into why the context of Pakistan is unique and how this study addresses an overlooked area.</w:t>
      </w:r>
    </w:p>
    <w:p w14:paraId="42ADA21C" w14:textId="77777777" w:rsidR="00ED37BC" w:rsidRDefault="00ED37BC" w:rsidP="00ED37BC">
      <w:pPr>
        <w:pStyle w:val="text-pretty"/>
        <w:pBdr>
          <w:top w:val="single" w:sz="2" w:space="0" w:color="auto"/>
          <w:left w:val="single" w:sz="2" w:space="0" w:color="auto"/>
          <w:bottom w:val="single" w:sz="2" w:space="0" w:color="auto"/>
          <w:right w:val="single" w:sz="2" w:space="0" w:color="auto"/>
        </w:pBdr>
        <w:shd w:val="clear" w:color="auto" w:fill="FFFFFF"/>
        <w:rPr>
          <w:rFonts w:ascii="Arial" w:hAnsi="Arial" w:cs="Arial"/>
          <w:color w:val="09090B"/>
          <w:sz w:val="21"/>
          <w:szCs w:val="21"/>
        </w:rPr>
      </w:pPr>
      <w:r>
        <w:rPr>
          <w:rFonts w:ascii="Arial" w:hAnsi="Arial" w:cs="Arial"/>
          <w:color w:val="09090B"/>
          <w:sz w:val="21"/>
          <w:szCs w:val="21"/>
        </w:rPr>
        <w:t>Provide Empirical Evidence:</w:t>
      </w:r>
    </w:p>
    <w:p w14:paraId="1A30DFA5" w14:textId="77777777" w:rsidR="00ED37BC" w:rsidRDefault="00ED37BC" w:rsidP="00ED37BC">
      <w:pPr>
        <w:pStyle w:val="text-pretty"/>
        <w:pBdr>
          <w:top w:val="single" w:sz="2" w:space="0" w:color="auto"/>
          <w:left w:val="single" w:sz="2" w:space="0" w:color="auto"/>
          <w:bottom w:val="single" w:sz="2" w:space="0" w:color="auto"/>
          <w:right w:val="single" w:sz="2" w:space="0" w:color="auto"/>
        </w:pBdr>
        <w:shd w:val="clear" w:color="auto" w:fill="FFFFFF"/>
        <w:rPr>
          <w:rFonts w:ascii="Arial" w:hAnsi="Arial" w:cs="Arial"/>
          <w:color w:val="09090B"/>
          <w:sz w:val="21"/>
          <w:szCs w:val="21"/>
        </w:rPr>
      </w:pPr>
      <w:r>
        <w:rPr>
          <w:rFonts w:ascii="Arial" w:hAnsi="Arial" w:cs="Arial"/>
          <w:color w:val="09090B"/>
          <w:sz w:val="21"/>
          <w:szCs w:val="21"/>
        </w:rPr>
        <w:t>Half of the Pakistan's manufacturing sector consists of family firms, and they are very important for environmental regulation and pollution control.</w:t>
      </w:r>
    </w:p>
    <w:p w14:paraId="60007DC1" w14:textId="77777777" w:rsidR="00ED37BC" w:rsidRDefault="00ED37BC" w:rsidP="00ED37BC">
      <w:pPr>
        <w:pStyle w:val="text-pretty"/>
        <w:pBdr>
          <w:top w:val="single" w:sz="2" w:space="0" w:color="auto"/>
          <w:left w:val="single" w:sz="2" w:space="0" w:color="auto"/>
          <w:bottom w:val="single" w:sz="2" w:space="0" w:color="auto"/>
          <w:right w:val="single" w:sz="2" w:space="0" w:color="auto"/>
        </w:pBdr>
        <w:shd w:val="clear" w:color="auto" w:fill="FFFFFF"/>
        <w:rPr>
          <w:rFonts w:ascii="Arial" w:hAnsi="Arial" w:cs="Arial"/>
          <w:color w:val="09090B"/>
          <w:sz w:val="21"/>
          <w:szCs w:val="21"/>
        </w:rPr>
      </w:pPr>
      <w:r>
        <w:rPr>
          <w:rFonts w:ascii="Arial" w:hAnsi="Arial" w:cs="Arial"/>
          <w:color w:val="09090B"/>
          <w:sz w:val="21"/>
          <w:szCs w:val="21"/>
        </w:rPr>
        <w:t>Empirical evidence and sources could be supplied in greater number to support this claim.</w:t>
      </w:r>
    </w:p>
    <w:p w14:paraId="0DE53387" w14:textId="77777777" w:rsidR="00ED37BC" w:rsidRDefault="00ED37BC" w:rsidP="00ED37BC">
      <w:pPr>
        <w:pStyle w:val="text-pretty"/>
        <w:pBdr>
          <w:top w:val="single" w:sz="2" w:space="0" w:color="auto"/>
          <w:left w:val="single" w:sz="2" w:space="0" w:color="auto"/>
          <w:bottom w:val="single" w:sz="2" w:space="0" w:color="auto"/>
          <w:right w:val="single" w:sz="2" w:space="0" w:color="auto"/>
        </w:pBdr>
        <w:shd w:val="clear" w:color="auto" w:fill="FFFFFF"/>
        <w:rPr>
          <w:rFonts w:ascii="Arial" w:hAnsi="Arial" w:cs="Arial"/>
          <w:color w:val="09090B"/>
          <w:sz w:val="21"/>
          <w:szCs w:val="21"/>
        </w:rPr>
      </w:pPr>
      <w:r>
        <w:rPr>
          <w:rFonts w:ascii="Arial" w:hAnsi="Arial" w:cs="Arial"/>
          <w:color w:val="09090B"/>
          <w:sz w:val="21"/>
          <w:szCs w:val="21"/>
        </w:rPr>
        <w:t>Clarify Dual Objectives:</w:t>
      </w:r>
    </w:p>
    <w:p w14:paraId="2CF6706D" w14:textId="77777777" w:rsidR="00ED37BC" w:rsidRDefault="00ED37BC" w:rsidP="00ED37BC">
      <w:pPr>
        <w:pStyle w:val="text-pretty"/>
        <w:pBdr>
          <w:top w:val="single" w:sz="2" w:space="0" w:color="auto"/>
          <w:left w:val="single" w:sz="2" w:space="0" w:color="auto"/>
          <w:bottom w:val="single" w:sz="2" w:space="0" w:color="auto"/>
          <w:right w:val="single" w:sz="2" w:space="0" w:color="auto"/>
        </w:pBdr>
        <w:shd w:val="clear" w:color="auto" w:fill="FFFFFF"/>
        <w:rPr>
          <w:rFonts w:ascii="Arial" w:hAnsi="Arial" w:cs="Arial"/>
          <w:color w:val="09090B"/>
          <w:sz w:val="21"/>
          <w:szCs w:val="21"/>
        </w:rPr>
      </w:pPr>
      <w:r>
        <w:rPr>
          <w:rFonts w:ascii="Arial" w:hAnsi="Arial" w:cs="Arial"/>
          <w:color w:val="09090B"/>
          <w:sz w:val="21"/>
          <w:szCs w:val="21"/>
        </w:rPr>
        <w:t>"Both financial and non-financial goals guide family businesses. Formally known as family firms, these institutions prioritize financial objectives that promote business-oriented expansion. They equally value non-financial goals that promote family-oriented development. Illustrative of a long tradition, the family firm is a key institution worldwide. It has a unique profile that sets it apart from non-family firms.</w:t>
      </w:r>
    </w:p>
    <w:p w14:paraId="0543C9C9" w14:textId="77777777" w:rsidR="00ED37BC" w:rsidRDefault="00ED37BC" w:rsidP="00ED37BC">
      <w:pPr>
        <w:pStyle w:val="text-pretty"/>
        <w:pBdr>
          <w:top w:val="single" w:sz="2" w:space="0" w:color="auto"/>
          <w:left w:val="single" w:sz="2" w:space="0" w:color="auto"/>
          <w:bottom w:val="single" w:sz="2" w:space="0" w:color="auto"/>
          <w:right w:val="single" w:sz="2" w:space="0" w:color="auto"/>
        </w:pBdr>
        <w:shd w:val="clear" w:color="auto" w:fill="FFFFFF"/>
        <w:rPr>
          <w:rFonts w:ascii="Arial" w:hAnsi="Arial" w:cs="Arial"/>
          <w:color w:val="09090B"/>
          <w:sz w:val="21"/>
          <w:szCs w:val="21"/>
        </w:rPr>
      </w:pPr>
      <w:r>
        <w:rPr>
          <w:rFonts w:ascii="Arial" w:hAnsi="Arial" w:cs="Arial"/>
          <w:color w:val="09090B"/>
          <w:sz w:val="21"/>
          <w:szCs w:val="21"/>
        </w:rPr>
        <w:t>Rephrase the text to maintain the structure and format of the source material while expressing the same ideas in different words. This includes keeping any lists intact and in the same order.</w:t>
      </w:r>
    </w:p>
    <w:p w14:paraId="14A0E2BD" w14:textId="77777777" w:rsidR="00ED37BC" w:rsidRDefault="00ED37BC" w:rsidP="00ED37BC">
      <w:pPr>
        <w:pStyle w:val="text-pretty"/>
        <w:pBdr>
          <w:top w:val="single" w:sz="2" w:space="0" w:color="auto"/>
          <w:left w:val="single" w:sz="2" w:space="0" w:color="auto"/>
          <w:bottom w:val="single" w:sz="2" w:space="0" w:color="auto"/>
          <w:right w:val="single" w:sz="2" w:space="0" w:color="auto"/>
        </w:pBdr>
        <w:shd w:val="clear" w:color="auto" w:fill="FFFFFF"/>
        <w:rPr>
          <w:rFonts w:ascii="Arial" w:hAnsi="Arial" w:cs="Arial"/>
          <w:color w:val="09090B"/>
          <w:sz w:val="21"/>
          <w:szCs w:val="21"/>
        </w:rPr>
      </w:pPr>
      <w:r>
        <w:rPr>
          <w:rFonts w:ascii="Arial" w:hAnsi="Arial" w:cs="Arial"/>
          <w:color w:val="09090B"/>
          <w:sz w:val="21"/>
          <w:szCs w:val="21"/>
        </w:rPr>
        <w:t>Specify Behavioral Dynamics:</w:t>
      </w:r>
    </w:p>
    <w:p w14:paraId="7B272168" w14:textId="77777777" w:rsidR="00ED37BC" w:rsidRDefault="00ED37BC" w:rsidP="00ED37BC">
      <w:pPr>
        <w:pStyle w:val="text-pretty"/>
        <w:pBdr>
          <w:top w:val="single" w:sz="2" w:space="0" w:color="auto"/>
          <w:left w:val="single" w:sz="2" w:space="0" w:color="auto"/>
          <w:bottom w:val="single" w:sz="2" w:space="0" w:color="auto"/>
          <w:right w:val="single" w:sz="2" w:space="0" w:color="auto"/>
        </w:pBdr>
        <w:shd w:val="clear" w:color="auto" w:fill="FFFFFF"/>
        <w:rPr>
          <w:rFonts w:ascii="Arial" w:hAnsi="Arial" w:cs="Arial"/>
          <w:color w:val="09090B"/>
          <w:sz w:val="21"/>
          <w:szCs w:val="21"/>
        </w:rPr>
      </w:pPr>
      <w:r>
        <w:rPr>
          <w:rFonts w:ascii="Arial" w:hAnsi="Arial" w:cs="Arial"/>
          <w:color w:val="09090B"/>
          <w:sz w:val="21"/>
          <w:szCs w:val="21"/>
        </w:rPr>
        <w:t>Behavioral dynamics in leadership succession across generations and the execution of sustainable practices in family enterprises are understood much better now. This study goes deep into those areas.</w:t>
      </w:r>
    </w:p>
    <w:p w14:paraId="27398E31" w14:textId="77777777" w:rsidR="00ED37BC" w:rsidRDefault="00ED37BC" w:rsidP="00ED37BC">
      <w:pPr>
        <w:pStyle w:val="text-pretty"/>
        <w:pBdr>
          <w:top w:val="single" w:sz="2" w:space="0" w:color="auto"/>
          <w:left w:val="single" w:sz="2" w:space="0" w:color="auto"/>
          <w:bottom w:val="single" w:sz="2" w:space="0" w:color="auto"/>
          <w:right w:val="single" w:sz="2" w:space="0" w:color="auto"/>
        </w:pBdr>
        <w:shd w:val="clear" w:color="auto" w:fill="FFFFFF"/>
        <w:rPr>
          <w:rFonts w:ascii="Arial" w:hAnsi="Arial" w:cs="Arial"/>
          <w:color w:val="09090B"/>
          <w:sz w:val="21"/>
          <w:szCs w:val="21"/>
        </w:rPr>
      </w:pPr>
      <w:r>
        <w:rPr>
          <w:rFonts w:ascii="Arial" w:hAnsi="Arial" w:cs="Arial"/>
          <w:color w:val="09090B"/>
          <w:sz w:val="21"/>
          <w:szCs w:val="21"/>
        </w:rPr>
        <w:t>It would be useful to designate what types of behavioral dynamics are being examined and in what ways they affect the sustainability of corporate behavior.</w:t>
      </w:r>
    </w:p>
    <w:p w14:paraId="07249772" w14:textId="6610A792" w:rsidR="00ED37BC" w:rsidRDefault="00ED37BC">
      <w:pPr>
        <w:pStyle w:val="CommentText"/>
      </w:pPr>
    </w:p>
    <w:p w14:paraId="27F9679A" w14:textId="77777777" w:rsidR="00ED37BC" w:rsidRDefault="00ED37BC">
      <w:pPr>
        <w:pStyle w:val="CommentText"/>
      </w:pPr>
    </w:p>
    <w:p w14:paraId="267A8B55" w14:textId="4E699486" w:rsidR="00ED37BC" w:rsidRDefault="00ED37BC">
      <w:pPr>
        <w:pStyle w:val="CommentText"/>
      </w:pPr>
      <w:r>
        <w:rPr>
          <w:b/>
          <w:bCs/>
          <w:sz w:val="24"/>
          <w:szCs w:val="24"/>
        </w:rPr>
        <w:pict w14:anchorId="441F20D2">
          <v:shape id="_x0000_i1039" type="#_x0000_t75" style="width:39pt;height:18pt" strokeweight="1pt">
            <v:imagedata r:id="rId2" o:title="" croptop="-256318f" cropbottom="-141994f" cropleft="-49834f" cropright="-19017f"/>
            <v:path shadowok="f"/>
            <o:lock v:ext="edit" aspectratio="f"/>
            <o:ink i="AIwBHQIyBgEgWM9UiuaXxU+PBvi60uGbIgBoDAAAAAAAwAAAAAAAAEYDHWUFFEYAAAAASBVFIxsC&#10;OYsARiMbAjmLAFcNAAAABQILZBkUMggAoBUCWSxWQjMIAIAMAlVVVUIRq6rTQQoTAgdYrAZBAAoA&#10;ESCAqhkmqI3bAQoRAQZQBXAKABEgEL0MJ6iN2wG=&#10;"/>
          </v:shape>
        </w:pict>
      </w:r>
    </w:p>
  </w:comment>
  <w:comment w:id="3" w:author="sharjahlaptop" w:date="2025-03-05T13:28:00Z" w:initials="s">
    <w:p w14:paraId="5D2AA794" w14:textId="77777777" w:rsidR="00ED37BC" w:rsidRDefault="00ED37BC" w:rsidP="00ED37BC">
      <w:pPr>
        <w:pStyle w:val="CommentText"/>
      </w:pPr>
      <w:r>
        <w:rPr>
          <w:rStyle w:val="CommentReference"/>
        </w:rPr>
        <w:annotationRef/>
      </w:r>
      <w:r>
        <w:t>Expand on Research Gaps</w:t>
      </w:r>
    </w:p>
    <w:p w14:paraId="486BC7BC" w14:textId="77777777" w:rsidR="00ED37BC" w:rsidRDefault="00ED37BC" w:rsidP="00ED37BC">
      <w:pPr>
        <w:pStyle w:val="CommentText"/>
      </w:pPr>
      <w:r>
        <w:t>Recent studies on leadership succession in small family businesses have targeted generational change. However, this study does not. It somewhat addresses what happens when you don't have generational change and why that type of leadership succession might occur within the context of small, family-run firms.</w:t>
      </w:r>
    </w:p>
    <w:p w14:paraId="69DA5182" w14:textId="77777777" w:rsidR="00ED37BC" w:rsidRDefault="00ED37BC" w:rsidP="00ED37BC">
      <w:pPr>
        <w:pStyle w:val="CommentText"/>
      </w:pPr>
    </w:p>
    <w:p w14:paraId="7775DCBD" w14:textId="77777777" w:rsidR="00ED37BC" w:rsidRDefault="00ED37BC" w:rsidP="00ED37BC">
      <w:pPr>
        <w:pStyle w:val="CommentText"/>
      </w:pPr>
      <w:r>
        <w:t>In a small portion of the chapter, I also cover what the recent studies have found with regard to the behaviors and performance of organizations that have gone through generational change.</w:t>
      </w:r>
    </w:p>
    <w:p w14:paraId="7FA229CE" w14:textId="77777777" w:rsidR="00ED37BC" w:rsidRDefault="00ED37BC" w:rsidP="00ED37BC">
      <w:pPr>
        <w:pStyle w:val="CommentText"/>
      </w:pPr>
      <w:r>
        <w:t>Strengthen Theoretical Integration:</w:t>
      </w:r>
    </w:p>
    <w:p w14:paraId="0B2ABA73" w14:textId="77777777" w:rsidR="00ED37BC" w:rsidRDefault="00ED37BC" w:rsidP="00ED37BC">
      <w:pPr>
        <w:pStyle w:val="CommentText"/>
      </w:pPr>
      <w:r>
        <w:t>The influence on corporate decision-making is primarily seen in both economic and non-economic roles.</w:t>
      </w:r>
    </w:p>
    <w:p w14:paraId="013F95F0" w14:textId="77777777" w:rsidR="00ED37BC" w:rsidRDefault="00ED37BC" w:rsidP="00ED37BC">
      <w:pPr>
        <w:pStyle w:val="CommentText"/>
      </w:pPr>
      <w:r>
        <w:t>Clarify the Role of Generation-Two Management</w:t>
      </w:r>
    </w:p>
    <w:p w14:paraId="7F67C896" w14:textId="77777777" w:rsidR="00ED37BC" w:rsidRDefault="00ED37BC" w:rsidP="00ED37BC">
      <w:pPr>
        <w:pStyle w:val="CommentText"/>
      </w:pPr>
      <w:r>
        <w:t>Management by the second generation is not as effective as management by the first generation for the performance enhancement of small family-owned businesses during the transition from one generation to the next. There is a big question of why second-generation management is not as good as first-generation management. We do have some ideas. One idea is that second-generation managers just don't have the experience that first-generation managers have. Another idea is that second-generation managers resist change more than first-generation managers do. There might be a few other factors. Anyway, you get the idea. Second-generation management is not as good as first-generation management, and we do not really know why!</w:t>
      </w:r>
    </w:p>
    <w:p w14:paraId="4B872FBC" w14:textId="77777777" w:rsidR="00ED37BC" w:rsidRDefault="00ED37BC" w:rsidP="00ED37BC">
      <w:pPr>
        <w:pStyle w:val="CommentText"/>
      </w:pPr>
      <w:r>
        <w:t>Discuss Contradictory Findings</w:t>
      </w:r>
    </w:p>
    <w:p w14:paraId="1C3F0D73" w14:textId="77777777" w:rsidR="00ED37BC" w:rsidRDefault="00ED37BC" w:rsidP="00ED37BC">
      <w:pPr>
        <w:pStyle w:val="CommentText"/>
      </w:pPr>
      <w:r>
        <w:t>The preservation and enhancement of familial sentiments and the making of philanthropic contributions are of utmost importance to family businesses. These enterprises strive not only for financial sustainability but also for "sustainable family businesses," which must include the following aspects: the family should be respected; the family should not threaten the community; and the family should contribute positively to the community in both financial and non-financial ways. In a way, family businesses are like double bottom line (DBL) businesses. Some studies have focused on the DBL aspect of family businesses and have pointed out the absence of substantial contributions to communities.</w:t>
      </w:r>
    </w:p>
    <w:p w14:paraId="39F3B990" w14:textId="77777777" w:rsidR="00ED37BC" w:rsidRDefault="00ED37BC" w:rsidP="00ED37BC">
      <w:pPr>
        <w:pStyle w:val="CommentText"/>
      </w:pPr>
      <w:r>
        <w:t>Explain the Role of External Stakeholders</w:t>
      </w:r>
    </w:p>
    <w:p w14:paraId="45F235A9" w14:textId="56229969" w:rsidR="00ED37BC" w:rsidRDefault="00ED37BC" w:rsidP="00ED37BC">
      <w:pPr>
        <w:pStyle w:val="CommentText"/>
      </w:pPr>
      <w:r>
        <w:t>Organizations that cultivate a culture of responsibility and have flexible, self-sufficient boards are very much inclined to take the initiative in practicing corporate social responsibility. How do external stakeholders, regulatory agencies, or competition in the marketplace push family businesses to practice sustainability? Family businesses are set apart by unique characteristics. Expanding on this discussion pushes us so far into the SCB arena that we risk coming out the other side with something a little more than SCB.</w:t>
      </w:r>
    </w:p>
    <w:p w14:paraId="26085770" w14:textId="2DD83F05" w:rsidR="00ED37BC" w:rsidRDefault="00ED37BC">
      <w:pPr>
        <w:pStyle w:val="CommentText"/>
      </w:pPr>
      <w:r>
        <w:rPr>
          <w:b/>
          <w:bCs/>
          <w:sz w:val="24"/>
          <w:szCs w:val="24"/>
        </w:rPr>
        <w:pict w14:anchorId="672E8527">
          <v:shape id="_x0000_i1042" type="#_x0000_t75" style="width:24pt;height:15.75pt" strokeweight="1pt">
            <v:imagedata r:id="rId3" o:title="" croptop="-577425f" cropbottom="-345392f" cropleft="-1092857f" cropright="-345392f"/>
            <v:path shadowok="f"/>
            <o:lock v:ext="edit" aspectratio="f"/>
            <o:ink i="AHcdAgICASBYz1SK5pfFT48G+LrS4ZsiAGgMAAAAAADAAAAAAAAARgMdZQUURgAAAABIFUUjGwI5&#10;iwBGIxsCOYsAVw0AAAAFAgtkGRQyCACgFQJZLFZCMwgAgAwCVVVVQhGrqtNBChEBBmAFaAoAESAw&#10;cvOhqI3bAY==&#10;"/>
          </v:shape>
        </w:pict>
      </w:r>
    </w:p>
  </w:comment>
  <w:comment w:id="4" w:author="sharjahlaptop" w:date="2025-03-05T13:32:00Z" w:initials="s">
    <w:p w14:paraId="0197D861" w14:textId="77777777" w:rsidR="00ED37BC" w:rsidRDefault="00ED37BC" w:rsidP="00ED37BC">
      <w:pPr>
        <w:pStyle w:val="CommentText"/>
      </w:pPr>
      <w:r>
        <w:rPr>
          <w:rStyle w:val="CommentReference"/>
        </w:rPr>
        <w:annotationRef/>
      </w:r>
      <w:r>
        <w:t>Clarify the Research Design:</w:t>
      </w:r>
    </w:p>
    <w:p w14:paraId="3954BD7B" w14:textId="77777777" w:rsidR="00ED37BC" w:rsidRDefault="00ED37BC" w:rsidP="00ED37BC">
      <w:pPr>
        <w:pStyle w:val="CommentText"/>
      </w:pPr>
      <w:r>
        <w:t>The fundamental equation used in this investigation is displayed in Model (1) below. It is useful to say right now whether this study is employing a quantitative, qualitative, or mixed-methods approach before introducing the basic econometric model.</w:t>
      </w:r>
    </w:p>
    <w:p w14:paraId="02F5F307" w14:textId="77777777" w:rsidR="00ED37BC" w:rsidRDefault="00ED37BC" w:rsidP="00ED37BC">
      <w:pPr>
        <w:pStyle w:val="CommentText"/>
      </w:pPr>
      <w:r>
        <w:t>Justify the Use of Dummy Variables:</w:t>
      </w:r>
    </w:p>
    <w:p w14:paraId="3078FC3B" w14:textId="77777777" w:rsidR="00ED37BC" w:rsidRDefault="00ED37BC" w:rsidP="00ED37BC">
      <w:pPr>
        <w:pStyle w:val="CommentText"/>
      </w:pPr>
      <w:r>
        <w:t>The evaluation of how deeply the second generation is involved in leadership uses a dummy variable that relates to succession. The variable can take on one of three values. Why weren’t these values explained with more detail in the text? For example, why was using a dummy variable—from the variable that relates to role succession—that measures whether the first or second leadership generation is controlling for the organization chosen over some other method of coding the data?</w:t>
      </w:r>
    </w:p>
    <w:p w14:paraId="2C712F1D" w14:textId="77777777" w:rsidR="00ED37BC" w:rsidRDefault="00ED37BC" w:rsidP="00ED37BC">
      <w:pPr>
        <w:pStyle w:val="CommentText"/>
      </w:pPr>
      <w:r>
        <w:t xml:space="preserve">Address Potential Biases &amp; </w:t>
      </w:r>
      <w:proofErr w:type="spellStart"/>
      <w:r>
        <w:t>Endogeneity</w:t>
      </w:r>
      <w:proofErr w:type="spellEnd"/>
      <w:r>
        <w:t>:</w:t>
      </w:r>
    </w:p>
    <w:p w14:paraId="0D29478D" w14:textId="77777777" w:rsidR="00ED37BC" w:rsidRDefault="00ED37BC" w:rsidP="00ED37BC">
      <w:pPr>
        <w:pStyle w:val="CommentText"/>
      </w:pPr>
      <w:r>
        <w:t xml:space="preserve">The hysteresis effect and </w:t>
      </w:r>
      <w:proofErr w:type="spellStart"/>
      <w:r>
        <w:t>endogeneity</w:t>
      </w:r>
      <w:proofErr w:type="spellEnd"/>
      <w:r>
        <w:t xml:space="preserve"> problem mean that each independent variable usually lags one period behind the dependent variable to cut down on bias. But you can't just throw in lagged variables and expect your estimates to be credible. You should also consider other strategies for addressing </w:t>
      </w:r>
      <w:proofErr w:type="spellStart"/>
      <w:r>
        <w:t>endogeneity</w:t>
      </w:r>
      <w:proofErr w:type="spellEnd"/>
      <w:r>
        <w:t>, such as using instrumental variables (which, it turns out, is a pretty odd thing to do), adding fixed effects (which is hard to do in the logit model), or running robustness checks (which might help if your model's a mess).</w:t>
      </w:r>
    </w:p>
    <w:p w14:paraId="03AAA1CD" w14:textId="77777777" w:rsidR="00ED37BC" w:rsidRDefault="00ED37BC" w:rsidP="00ED37BC">
      <w:pPr>
        <w:pStyle w:val="CommentText"/>
      </w:pPr>
      <w:r>
        <w:t>Provide More Details on Sample Selection:</w:t>
      </w:r>
    </w:p>
    <w:p w14:paraId="440DE414" w14:textId="77777777" w:rsidR="00ED37BC" w:rsidRDefault="00ED37BC" w:rsidP="00ED37BC">
      <w:pPr>
        <w:pStyle w:val="CommentText"/>
      </w:pPr>
      <w:r>
        <w:t>The analysis was centered on family-run businesses that were registered in Pakistan from 2009 to 2022. These businesses were identified using specific criteria that I will elaborate on.</w:t>
      </w:r>
    </w:p>
    <w:p w14:paraId="63F3AC5A" w14:textId="77777777" w:rsidR="00ED37BC" w:rsidRDefault="00ED37BC" w:rsidP="00ED37BC">
      <w:pPr>
        <w:pStyle w:val="CommentText"/>
      </w:pPr>
      <w:r>
        <w:t>Discuss Data Sources &amp; Reliability:</w:t>
      </w:r>
    </w:p>
    <w:p w14:paraId="1627F7C7" w14:textId="77777777" w:rsidR="00ED37BC" w:rsidRDefault="00ED37BC" w:rsidP="00ED37BC">
      <w:pPr>
        <w:pStyle w:val="CommentText"/>
      </w:pPr>
      <w:r>
        <w:t>The primary source for the control variables used in this investigation was the Pakistan Stock Exchange (PSX) database. We obtained the necessary data from the PSX database, a comprehensive and reliable source of stock market data in Pakistan. Still, issues such as missing data points or inconsistencies in the dataset are common when dealing with such a large volume of data. In this case, however, the PSX database was sufficiently reliable that the data cleaning steps we took did not introduce any new variables or alter the existing ones in the manner typically associated with data cleaning.</w:t>
      </w:r>
    </w:p>
    <w:p w14:paraId="1659432B" w14:textId="77777777" w:rsidR="00ED37BC" w:rsidRDefault="00ED37BC" w:rsidP="00ED37BC">
      <w:pPr>
        <w:pStyle w:val="CommentText"/>
      </w:pPr>
      <w:r>
        <w:t>Explain the Moderating &amp; Control Variables:</w:t>
      </w:r>
    </w:p>
    <w:p w14:paraId="79729319" w14:textId="77777777" w:rsidR="00ED37BC" w:rsidRDefault="00ED37BC" w:rsidP="00ED37BC">
      <w:pPr>
        <w:pStyle w:val="CommentText"/>
      </w:pPr>
      <w:r>
        <w:t>This study includes a large number of control variables in its analysis.</w:t>
      </w:r>
    </w:p>
    <w:p w14:paraId="3B82150D" w14:textId="77777777" w:rsidR="00ED37BC" w:rsidRDefault="00ED37BC" w:rsidP="00ED37BC">
      <w:pPr>
        <w:pStyle w:val="CommentText"/>
      </w:pPr>
    </w:p>
    <w:p w14:paraId="086E6E04" w14:textId="77777777" w:rsidR="00ED37BC" w:rsidRDefault="00ED37BC" w:rsidP="00ED37BC">
      <w:pPr>
        <w:pStyle w:val="CommentText"/>
      </w:pPr>
      <w:r>
        <w:t>Control; Variable: Firm Age</w:t>
      </w:r>
    </w:p>
    <w:p w14:paraId="0F7F3E36" w14:textId="77777777" w:rsidR="00ED37BC" w:rsidRDefault="00ED37BC" w:rsidP="00ED37BC">
      <w:pPr>
        <w:pStyle w:val="CommentText"/>
      </w:pPr>
      <w:r>
        <w:t xml:space="preserve"> Why it was Selected: Older firms may have had more time to adopt SCB. </w:t>
      </w:r>
    </w:p>
    <w:p w14:paraId="1F825E48" w14:textId="77777777" w:rsidR="00ED37BC" w:rsidRDefault="00ED37BC" w:rsidP="00ED37BC">
      <w:pPr>
        <w:pStyle w:val="CommentText"/>
      </w:pPr>
      <w:r>
        <w:t xml:space="preserve">Possible Influence: Affects both the time a firm has had to adopt SCB and possibly the resources it has had to commit to it. </w:t>
      </w:r>
    </w:p>
    <w:p w14:paraId="6767C0A1" w14:textId="77777777" w:rsidR="00ED37BC" w:rsidRDefault="00ED37BC" w:rsidP="00ED37BC">
      <w:pPr>
        <w:pStyle w:val="CommentText"/>
      </w:pPr>
    </w:p>
    <w:p w14:paraId="1255BD7A" w14:textId="77777777" w:rsidR="00ED37BC" w:rsidRDefault="00ED37BC" w:rsidP="00ED37BC">
      <w:pPr>
        <w:pStyle w:val="CommentText"/>
      </w:pPr>
      <w:r>
        <w:t>Control; Variable: Return on Assets (ROA)</w:t>
      </w:r>
    </w:p>
    <w:p w14:paraId="7E52B4C1" w14:textId="77777777" w:rsidR="00ED37BC" w:rsidRDefault="00ED37BC" w:rsidP="00ED37BC">
      <w:pPr>
        <w:pStyle w:val="CommentText"/>
      </w:pPr>
      <w:r>
        <w:t xml:space="preserve"> Why it was Selected: A "fundamental" measure of profitability. ROA may affect the ability of the firm to adopt SCB. </w:t>
      </w:r>
    </w:p>
    <w:p w14:paraId="45ED3C3C" w14:textId="77777777" w:rsidR="00ED37BC" w:rsidRDefault="00ED37BC" w:rsidP="00ED37BC">
      <w:pPr>
        <w:pStyle w:val="CommentText"/>
      </w:pPr>
      <w:r>
        <w:t xml:space="preserve">Possible Influence: Affects a firm's resources (and possibly some of those which might be directed towards adopting SCB). </w:t>
      </w:r>
    </w:p>
    <w:p w14:paraId="392CA7D5" w14:textId="77777777" w:rsidR="00ED37BC" w:rsidRDefault="00ED37BC" w:rsidP="00ED37BC">
      <w:pPr>
        <w:pStyle w:val="CommentText"/>
      </w:pPr>
    </w:p>
    <w:p w14:paraId="012F6EA6" w14:textId="77777777" w:rsidR="00ED37BC" w:rsidRDefault="00ED37BC" w:rsidP="00ED37BC">
      <w:pPr>
        <w:pStyle w:val="CommentText"/>
      </w:pPr>
      <w:r>
        <w:t>Control; Variable: Leverage Ratio</w:t>
      </w:r>
    </w:p>
    <w:p w14:paraId="13B488BC" w14:textId="77777777" w:rsidR="00ED37BC" w:rsidRDefault="00ED37BC" w:rsidP="00ED37BC">
      <w:pPr>
        <w:pStyle w:val="CommentText"/>
      </w:pPr>
      <w:r>
        <w:t xml:space="preserve"> Why it was Selected: Firms that are more heavily indebted may be less able to adopt SCB. </w:t>
      </w:r>
    </w:p>
    <w:p w14:paraId="34B52901" w14:textId="0FEE5125" w:rsidR="00ED37BC" w:rsidRDefault="00ED37BC" w:rsidP="00ED37BC">
      <w:pPr>
        <w:pStyle w:val="CommentText"/>
      </w:pPr>
      <w:r>
        <w:t>Possible Influence: This measures a firm's degree of indebtedness and effects that might have on its ability to adopt SCB.</w:t>
      </w:r>
    </w:p>
    <w:p w14:paraId="086431A8" w14:textId="3D498B6F" w:rsidR="00ED37BC" w:rsidRDefault="00ED37BC">
      <w:pPr>
        <w:pStyle w:val="CommentText"/>
      </w:pPr>
      <w:r>
        <w:rPr>
          <w:b/>
          <w:bCs/>
          <w:sz w:val="24"/>
          <w:szCs w:val="24"/>
        </w:rPr>
        <w:pict w14:anchorId="12D1AA47">
          <v:shape id="_x0000_i1045" type="#_x0000_t75" style="width:36pt;height:.75pt" strokeweight="1pt">
            <v:imagedata r:id="rId4" o:title=""/>
            <v:path shadowok="f"/>
            <o:lock v:ext="edit" aspectratio="f"/>
            <o:ink i="AAC=&#10;"/>
          </v:shape>
        </w:pict>
      </w:r>
    </w:p>
  </w:comment>
  <w:comment w:id="5" w:author="sharjahlaptop" w:date="2025-03-05T13:35:00Z" w:initials="s">
    <w:p w14:paraId="7E1E1B5A" w14:textId="77777777" w:rsidR="008A0227" w:rsidRDefault="008A0227" w:rsidP="008A0227">
      <w:pPr>
        <w:pStyle w:val="CommentText"/>
      </w:pPr>
      <w:r>
        <w:rPr>
          <w:rStyle w:val="CommentReference"/>
        </w:rPr>
        <w:annotationRef/>
      </w:r>
      <w:r>
        <w:t>Interpret Statistical Significance Clearly:</w:t>
      </w:r>
    </w:p>
    <w:p w14:paraId="640C3950" w14:textId="77777777" w:rsidR="008A0227" w:rsidRDefault="008A0227" w:rsidP="008A0227">
      <w:pPr>
        <w:pStyle w:val="CommentText"/>
      </w:pPr>
      <w:r>
        <w:t xml:space="preserve">(1) </w:t>
      </w:r>
      <w:proofErr w:type="gramStart"/>
      <w:r>
        <w:t>leadership</w:t>
      </w:r>
      <w:proofErr w:type="gramEnd"/>
      <w:r>
        <w:t xml:space="preserve"> succession positively and significantly affects SCB in the absence of control variables; (2) in comparison, with control variables present, leadership succession is less clear but still has a positive effect on SCB; (3) overall, with and without control variables, leadership succession numerically affects SCB in a desirable way.</w:t>
      </w:r>
    </w:p>
    <w:p w14:paraId="43FFA860" w14:textId="77777777" w:rsidR="008A0227" w:rsidRDefault="008A0227" w:rsidP="008A0227">
      <w:pPr>
        <w:pStyle w:val="CommentText"/>
      </w:pPr>
      <w:r>
        <w:t>Clarify the Economic Significance:</w:t>
      </w:r>
    </w:p>
    <w:p w14:paraId="41EB3D72" w14:textId="77777777" w:rsidR="008A0227" w:rsidRDefault="008A0227" w:rsidP="008A0227">
      <w:pPr>
        <w:pStyle w:val="CommentText"/>
      </w:pPr>
      <w:r>
        <w:t>The results stress the necessity of following successful leadership in the SCB-promoting activities of firms. They find that firms undertaking SCB-promoting activities are reliably led by post-successors—individuals who haven’t retired from the firm—but the statistical significance of this finding leaves me questioning how much difference it makes in the real world.</w:t>
      </w:r>
    </w:p>
    <w:p w14:paraId="78A11EB2" w14:textId="77777777" w:rsidR="008A0227" w:rsidRDefault="008A0227" w:rsidP="008A0227">
      <w:pPr>
        <w:pStyle w:val="CommentText"/>
      </w:pPr>
      <w:r>
        <w:t>Discuss Potential Confounding Effects:</w:t>
      </w:r>
    </w:p>
    <w:p w14:paraId="58237C29" w14:textId="77777777" w:rsidR="008A0227" w:rsidRDefault="008A0227" w:rsidP="008A0227">
      <w:pPr>
        <w:pStyle w:val="CommentText"/>
      </w:pPr>
      <w:r>
        <w:t>The results also demonstrate how the SCB of family-owned businesses benefits when second-generation family members are in management roles. Could there be other factors that also influence both the selection of leadership and the SCB—influence, for example, firm culture or external regulatory pressures? If the SCB really is better in this situation, what is the causal factor?</w:t>
      </w:r>
    </w:p>
    <w:p w14:paraId="645F2781" w14:textId="77777777" w:rsidR="008A0227" w:rsidRDefault="008A0227" w:rsidP="008A0227">
      <w:pPr>
        <w:pStyle w:val="CommentText"/>
      </w:pPr>
      <w:r>
        <w:t>Address Model Fit &amp; Robustness:</w:t>
      </w:r>
    </w:p>
    <w:p w14:paraId="317B6E4F" w14:textId="77777777" w:rsidR="008A0227" w:rsidRDefault="008A0227" w:rsidP="008A0227">
      <w:pPr>
        <w:pStyle w:val="CommentText"/>
      </w:pPr>
      <w:r>
        <w:t xml:space="preserve">The model's explanatory power is indicated by R² values of 0.11 and 0.13. </w:t>
      </w:r>
    </w:p>
    <w:p w14:paraId="67439C7F" w14:textId="77777777" w:rsidR="008A0227" w:rsidRDefault="008A0227" w:rsidP="008A0227">
      <w:pPr>
        <w:pStyle w:val="CommentText"/>
      </w:pPr>
    </w:p>
    <w:p w14:paraId="27D79F23" w14:textId="77777777" w:rsidR="008A0227" w:rsidRDefault="008A0227" w:rsidP="008A0227">
      <w:pPr>
        <w:pStyle w:val="CommentText"/>
      </w:pPr>
      <w:r>
        <w:t xml:space="preserve">These R² values suggest that a large proportion of SCB variation is unexplained by the model. </w:t>
      </w:r>
    </w:p>
    <w:p w14:paraId="1600C3E1" w14:textId="77777777" w:rsidR="008A0227" w:rsidRDefault="008A0227" w:rsidP="008A0227">
      <w:pPr>
        <w:pStyle w:val="CommentText"/>
      </w:pPr>
    </w:p>
    <w:p w14:paraId="36675120" w14:textId="77777777" w:rsidR="008A0227" w:rsidRDefault="008A0227" w:rsidP="008A0227">
      <w:pPr>
        <w:pStyle w:val="CommentText"/>
      </w:pPr>
      <w:r>
        <w:t>Consider discussing whether adding interaction terms or additional explanatory variables could improve model fit.</w:t>
      </w:r>
    </w:p>
    <w:p w14:paraId="34A00FEB" w14:textId="77777777" w:rsidR="008A0227" w:rsidRDefault="008A0227" w:rsidP="008A0227">
      <w:pPr>
        <w:pStyle w:val="CommentText"/>
      </w:pPr>
      <w:r>
        <w:t>Compare with Prior Studies:</w:t>
      </w:r>
    </w:p>
    <w:p w14:paraId="7B8F754C" w14:textId="77777777" w:rsidR="008A0227" w:rsidRDefault="008A0227" w:rsidP="008A0227">
      <w:pPr>
        <w:pStyle w:val="CommentText"/>
      </w:pPr>
      <w:r>
        <w:t>The relationship between leadership succession and SCB is more than just positive; it is also robust. SCB is a function of governance, as much as anything. So, it stands to reason that when it comes to the outcomes of any governance model, there is bound to be some effect, either good or bad, on significant constituents of that model. If models of governance have an effect on constituencies, what is the effect of leadership succession on those models and on the constituencies that they govern?</w:t>
      </w:r>
    </w:p>
    <w:p w14:paraId="4993D706" w14:textId="77777777" w:rsidR="008A0227" w:rsidRDefault="008A0227" w:rsidP="008A0227">
      <w:pPr>
        <w:pStyle w:val="CommentText"/>
      </w:pPr>
      <w:r>
        <w:t>Discuss Robustness Checks:</w:t>
      </w:r>
    </w:p>
    <w:p w14:paraId="0CEC9780" w14:textId="47ACE91B" w:rsidR="008A0227" w:rsidRDefault="008A0227" w:rsidP="008A0227">
      <w:pPr>
        <w:pStyle w:val="CommentText"/>
      </w:pPr>
      <w:r>
        <w:t>Were any robustness checks conducted (e.g., alternative model specifications, sub-sample analyses) to ensure findings were not driven by specific assumptions? These checks improve the credibility of results; thus, mentioning any performed would benefit this report.</w:t>
      </w:r>
    </w:p>
    <w:p w14:paraId="441D6456" w14:textId="2ECA00B8" w:rsidR="008A0227" w:rsidRDefault="008A0227">
      <w:pPr>
        <w:pStyle w:val="CommentText"/>
      </w:pPr>
      <w:r>
        <w:rPr>
          <w:b/>
          <w:bCs/>
          <w:sz w:val="24"/>
          <w:szCs w:val="24"/>
        </w:rPr>
        <w:pict w14:anchorId="2C64A93E">
          <v:shape id="_x0000_i1048" type="#_x0000_t75" style="width:36pt;height:.75pt" strokeweight="1pt">
            <v:imagedata r:id="rId4" o:title=""/>
            <v:path shadowok="f"/>
            <o:lock v:ext="edit" aspectratio="f"/>
            <o:ink i="AAA=&#10;"/>
          </v:shape>
        </w:pict>
      </w:r>
    </w:p>
  </w:comment>
  <w:comment w:id="6" w:author="sharjahlaptop" w:date="2025-03-05T13:41:00Z" w:initials="s">
    <w:p w14:paraId="14BD74AD" w14:textId="77777777" w:rsidR="008A0227" w:rsidRDefault="008A0227" w:rsidP="008A0227">
      <w:pPr>
        <w:pStyle w:val="CommentText"/>
      </w:pPr>
      <w:r>
        <w:rPr>
          <w:rStyle w:val="CommentReference"/>
        </w:rPr>
        <w:annotationRef/>
      </w:r>
      <w:r>
        <w:t>Clarify the Direction &amp; Strength of Relationships:</w:t>
      </w:r>
    </w:p>
    <w:p w14:paraId="4331DC3A" w14:textId="77777777" w:rsidR="008A0227" w:rsidRDefault="008A0227" w:rsidP="008A0227">
      <w:pPr>
        <w:pStyle w:val="CommentText"/>
      </w:pPr>
      <w:r>
        <w:t>(1) Column shows that succession in leadership has a direct and marked effect on SCB.</w:t>
      </w:r>
    </w:p>
    <w:p w14:paraId="6ADA6C91" w14:textId="77777777" w:rsidR="008A0227" w:rsidRDefault="008A0227" w:rsidP="008A0227">
      <w:pPr>
        <w:pStyle w:val="CommentText"/>
      </w:pPr>
      <w:r>
        <w:t>Provide a Deeper Explanation of Control Variables:</w:t>
      </w:r>
    </w:p>
    <w:p w14:paraId="5883EC2A" w14:textId="77777777" w:rsidR="008A0227" w:rsidRDefault="008A0227" w:rsidP="008A0227">
      <w:pPr>
        <w:pStyle w:val="CommentText"/>
      </w:pPr>
      <w:r>
        <w:t xml:space="preserve">The effect of leadership succession on SCB is accentuated by the regression coefficients for leadership succession found in Column (2). Control variables are also included in this estimation. These control variables are company size, board independence, and ROA; they are also used in almost all business-related econometric studies, but especially in governance studies. Why do we include them, and why are they significant (or not significant)? Discussing the importance of these control variables (or </w:t>
      </w:r>
      <w:proofErr w:type="spellStart"/>
      <w:r>
        <w:t>obscurement</w:t>
      </w:r>
      <w:proofErr w:type="spellEnd"/>
      <w:r>
        <w:t xml:space="preserve"> of the significance of their estimation coefficients) will offer the reader a better understanding of why the results of the path used in this research are the way they are.</w:t>
      </w:r>
    </w:p>
    <w:p w14:paraId="5807D9E7" w14:textId="77777777" w:rsidR="008A0227" w:rsidRDefault="008A0227" w:rsidP="008A0227">
      <w:pPr>
        <w:pStyle w:val="CommentText"/>
      </w:pPr>
      <w:r>
        <w:t>Explain the Practical Implications of the Findings:</w:t>
      </w:r>
    </w:p>
    <w:p w14:paraId="403F5A2B" w14:textId="77777777" w:rsidR="008A0227" w:rsidRDefault="008A0227" w:rsidP="008A0227">
      <w:pPr>
        <w:pStyle w:val="CommentText"/>
      </w:pPr>
      <w:r>
        <w:t>Both coefficients, which have a strong statistical significance of one percent, yield the following real-world interpretations:</w:t>
      </w:r>
    </w:p>
    <w:p w14:paraId="597308FF" w14:textId="77777777" w:rsidR="008A0227" w:rsidRDefault="008A0227" w:rsidP="008A0227">
      <w:pPr>
        <w:pStyle w:val="CommentText"/>
      </w:pPr>
    </w:p>
    <w:p w14:paraId="2D2D15A0" w14:textId="77777777" w:rsidR="008A0227" w:rsidRDefault="008A0227" w:rsidP="008A0227">
      <w:pPr>
        <w:pStyle w:val="CommentText"/>
      </w:pPr>
      <w:r>
        <w:t>Coefficient (1): A one-unit increase in the variable corresponding to Column (1) leads to a 0.525 unit increase in the dependent variable of business sustainability practices.</w:t>
      </w:r>
    </w:p>
    <w:p w14:paraId="35A35FAF" w14:textId="77777777" w:rsidR="008A0227" w:rsidRDefault="008A0227" w:rsidP="008A0227">
      <w:pPr>
        <w:pStyle w:val="CommentText"/>
      </w:pPr>
    </w:p>
    <w:p w14:paraId="579A9E21" w14:textId="77777777" w:rsidR="008A0227" w:rsidRDefault="008A0227" w:rsidP="008A0227">
      <w:pPr>
        <w:pStyle w:val="CommentText"/>
      </w:pPr>
      <w:r>
        <w:t>Coefficient (2): A one-unit increase in the variable corresponding to Column (2) leads to a 5.850 unit increase in the same dependent variable.</w:t>
      </w:r>
    </w:p>
    <w:p w14:paraId="61B144DB" w14:textId="77777777" w:rsidR="008A0227" w:rsidRDefault="008A0227" w:rsidP="008A0227">
      <w:pPr>
        <w:pStyle w:val="CommentText"/>
      </w:pPr>
      <w:r>
        <w:t>Discuss the Impact of Privatization on Leadership Succession:</w:t>
      </w:r>
    </w:p>
    <w:p w14:paraId="68AB82D6" w14:textId="77777777" w:rsidR="008A0227" w:rsidRDefault="008A0227" w:rsidP="008A0227">
      <w:pPr>
        <w:pStyle w:val="CommentText"/>
      </w:pPr>
      <w:r>
        <w:t>Privatization is related to generation two's involvement in family-run businesses having a more significant positive effect on the shared company benefits (SCB) of those businesses. Could it be possible that privatization is simply causing structural changes (e.g., new governance mechanisms) that are also driving SCB improvements? If this is a developmental effect of privatization (or another structural effect), it is essential to consider why incarnation-two family members might be better at shared company benefits than earlier generation members in the wake of privatization.</w:t>
      </w:r>
    </w:p>
    <w:p w14:paraId="16C7408F" w14:textId="77777777" w:rsidR="008A0227" w:rsidRDefault="008A0227" w:rsidP="008A0227">
      <w:pPr>
        <w:pStyle w:val="CommentText"/>
      </w:pPr>
      <w:r>
        <w:t>Expand on the Role of International Experience:</w:t>
      </w:r>
    </w:p>
    <w:p w14:paraId="7504683E" w14:textId="77777777" w:rsidR="008A0227" w:rsidRDefault="008A0227" w:rsidP="008A0227">
      <w:pPr>
        <w:pStyle w:val="CommentText"/>
      </w:pPr>
      <w:r>
        <w:t>How does the global exposure of successors positively influence the performance of state-owned commercial banks? What causal mechanisms account for this relationship? Is it simply that the successors are now more globalized in their outlook and mindset? Or is the effect more to do with better access to strategic decision-making and a global network of relationships, or perhaps better compliance with environmental, social, and governance standards?</w:t>
      </w:r>
    </w:p>
    <w:p w14:paraId="451FF880" w14:textId="77777777" w:rsidR="008A0227" w:rsidRDefault="008A0227" w:rsidP="008A0227">
      <w:pPr>
        <w:pStyle w:val="CommentText"/>
      </w:pPr>
      <w:r>
        <w:t xml:space="preserve">Address Possible </w:t>
      </w:r>
      <w:proofErr w:type="spellStart"/>
      <w:r>
        <w:t>Endogeneity</w:t>
      </w:r>
      <w:proofErr w:type="spellEnd"/>
      <w:r>
        <w:t xml:space="preserve"> Concerns:</w:t>
      </w:r>
    </w:p>
    <w:p w14:paraId="768D2894" w14:textId="77777777" w:rsidR="008A0227" w:rsidRDefault="008A0227" w:rsidP="008A0227">
      <w:pPr>
        <w:pStyle w:val="CommentText"/>
      </w:pPr>
      <w:r>
        <w:t xml:space="preserve">Are there any </w:t>
      </w:r>
      <w:proofErr w:type="spellStart"/>
      <w:r>
        <w:t>endogeneity</w:t>
      </w:r>
      <w:proofErr w:type="spellEnd"/>
      <w:r>
        <w:t xml:space="preserve"> problems (for instance, reverse causality between SCB and succession of leadership)? Discussing how these concerns were handled (instrumental variables, lagged regressions) would lend more strength to the analysis.</w:t>
      </w:r>
    </w:p>
    <w:p w14:paraId="205AAD0E" w14:textId="77777777" w:rsidR="008A0227" w:rsidRDefault="008A0227" w:rsidP="008A0227">
      <w:pPr>
        <w:pStyle w:val="CommentText"/>
      </w:pPr>
      <w:r>
        <w:t>Compare with Other Regions or Countries:</w:t>
      </w:r>
    </w:p>
    <w:p w14:paraId="74D350D1" w14:textId="51ADAC28" w:rsidR="008A0227" w:rsidRDefault="008A0227" w:rsidP="008A0227">
      <w:pPr>
        <w:pStyle w:val="CommentText"/>
      </w:pPr>
      <w:r>
        <w:t>Would these findings hold in other developing economies, or only in the unique business environment of Pakistan? A brief discussion on external validity would be beneficial.</w:t>
      </w:r>
    </w:p>
    <w:p w14:paraId="4F77882D" w14:textId="14CF31D8" w:rsidR="008A0227" w:rsidRDefault="008A0227">
      <w:pPr>
        <w:pStyle w:val="CommentText"/>
      </w:pPr>
      <w:r>
        <w:rPr>
          <w:b/>
          <w:bCs/>
          <w:sz w:val="24"/>
          <w:szCs w:val="24"/>
        </w:rPr>
        <w:pict w14:anchorId="76B9871E">
          <v:shape id="_x0000_i1065" type="#_x0000_t75" style="width:69pt;height:12pt" strokeweight="1pt">
            <v:imagedata r:id="rId5" o:title="" croptop="-343621f" cropbottom="-345392f" cropleft="-6341050f" cropright="-345392f"/>
            <v:path shadowok="f"/>
            <o:lock v:ext="edit" aspectratio="f"/>
            <o:ink i="AHgdAgICASBYz1SK5pfFT48G+LrS4ZsiAGgMAAAAAADAAAAAAAAARgMdZQUURgAAAABIFUUjGwI5&#10;iwBGIxsCOYsAVw0AAAAFAgtkGRQyCACgFQJZLFZCMwgAgAwCVVVVQhGrqtNBChIBCUQABUAKABEg&#10;sCI3XqqN2wG=&#10;"/>
          </v:shape>
        </w:pict>
      </w:r>
    </w:p>
  </w:comment>
  <w:comment w:id="7" w:author="sharjahlaptop" w:date="2025-03-05T13:44:00Z" w:initials="s">
    <w:p w14:paraId="6FAF6B83" w14:textId="77777777" w:rsidR="008A0227" w:rsidRDefault="008A0227" w:rsidP="008A0227">
      <w:pPr>
        <w:pStyle w:val="CommentText"/>
      </w:pPr>
      <w:r>
        <w:rPr>
          <w:rStyle w:val="CommentReference"/>
        </w:rPr>
        <w:annotationRef/>
      </w:r>
      <w:r>
        <w:t>Strengthen the Summary of Key Findings:</w:t>
      </w:r>
    </w:p>
    <w:p w14:paraId="37BC7EB2" w14:textId="77777777" w:rsidR="008A0227" w:rsidRDefault="008A0227" w:rsidP="008A0227">
      <w:pPr>
        <w:pStyle w:val="CommentText"/>
      </w:pPr>
      <w:r>
        <w:t>The study pinpoints leadership succession as a vital component influencing the SCB of family businesses. Using a broad array of both qualitative and quantitative research methods, the study achieves a multi-faceted understanding of why and how the relationship between leadership succession and SCB operates. A sample of 275 family-run companies reveals that even in the face of significant challenges, they are capable of achieving SCB.</w:t>
      </w:r>
    </w:p>
    <w:p w14:paraId="5555411D" w14:textId="77777777" w:rsidR="008A0227" w:rsidRDefault="008A0227" w:rsidP="008A0227">
      <w:pPr>
        <w:pStyle w:val="CommentText"/>
      </w:pPr>
      <w:r>
        <w:t>Clarify the Practical Implications:</w:t>
      </w:r>
    </w:p>
    <w:p w14:paraId="42AFD631" w14:textId="77777777" w:rsidR="008A0227" w:rsidRDefault="008A0227" w:rsidP="008A0227">
      <w:pPr>
        <w:pStyle w:val="CommentText"/>
      </w:pPr>
      <w:r>
        <w:t>The research examines the changes in frameworks basis used for planning strategically in the family business during changing generations.</w:t>
      </w:r>
    </w:p>
    <w:p w14:paraId="6EB8FBC7" w14:textId="77777777" w:rsidR="008A0227" w:rsidRDefault="008A0227" w:rsidP="008A0227">
      <w:pPr>
        <w:pStyle w:val="CommentText"/>
      </w:pPr>
      <w:r>
        <w:t>Address Limitations and Future Research Directions:</w:t>
      </w:r>
    </w:p>
    <w:p w14:paraId="499FE34D" w14:textId="77777777" w:rsidR="008A0227" w:rsidRDefault="008A0227" w:rsidP="008A0227">
      <w:pPr>
        <w:pStyle w:val="CommentText"/>
      </w:pPr>
      <w:r>
        <w:t xml:space="preserve">Examining the SCB proclivities of family businesses affords a potent glimpse into the correlation between </w:t>
      </w:r>
      <w:proofErr w:type="spellStart"/>
      <w:r>
        <w:t>intragenerational</w:t>
      </w:r>
      <w:proofErr w:type="spellEnd"/>
      <w:r>
        <w:t xml:space="preserve"> succession and the strategic decisions made at the corporate level.</w:t>
      </w:r>
    </w:p>
    <w:p w14:paraId="15DFCAEE" w14:textId="77777777" w:rsidR="008A0227" w:rsidRDefault="008A0227" w:rsidP="008A0227">
      <w:pPr>
        <w:pStyle w:val="CommentText"/>
      </w:pPr>
    </w:p>
    <w:p w14:paraId="4578CAA7" w14:textId="77777777" w:rsidR="008A0227" w:rsidRDefault="008A0227" w:rsidP="008A0227">
      <w:pPr>
        <w:pStyle w:val="CommentText"/>
      </w:pPr>
      <w:r>
        <w:t xml:space="preserve">Limitation: Does the study account for industry-specific variations, firm size differences, or external economic factors? </w:t>
      </w:r>
    </w:p>
    <w:p w14:paraId="4603395E" w14:textId="77777777" w:rsidR="008A0227" w:rsidRDefault="008A0227" w:rsidP="008A0227">
      <w:pPr>
        <w:pStyle w:val="CommentText"/>
      </w:pPr>
    </w:p>
    <w:p w14:paraId="04BC96AE" w14:textId="77777777" w:rsidR="008A0227" w:rsidRDefault="008A0227" w:rsidP="008A0227">
      <w:pPr>
        <w:pStyle w:val="CommentText"/>
      </w:pPr>
      <w:r>
        <w:t>Future research: Cross-country comparisons could yield interesting findings, as could qualitative research.</w:t>
      </w:r>
    </w:p>
    <w:p w14:paraId="51ED4848" w14:textId="77777777" w:rsidR="008A0227" w:rsidRDefault="008A0227" w:rsidP="008A0227">
      <w:pPr>
        <w:pStyle w:val="CommentText"/>
      </w:pPr>
      <w:r>
        <w:t>Discuss the Broader Impact Beyond Pakistan:</w:t>
      </w:r>
    </w:p>
    <w:p w14:paraId="16FADF68" w14:textId="77777777" w:rsidR="008A0227" w:rsidRDefault="008A0227" w:rsidP="008A0227">
      <w:pPr>
        <w:pStyle w:val="CommentText"/>
      </w:pPr>
      <w:r>
        <w:t>Can these findings be applied to other developing economies, or are they particular to Pakistan's regulatory and cultural context? A short comparison with family businesses globally would enrich the discussion.</w:t>
      </w:r>
    </w:p>
    <w:p w14:paraId="315945D0" w14:textId="77777777" w:rsidR="008A0227" w:rsidRDefault="008A0227" w:rsidP="008A0227">
      <w:pPr>
        <w:pStyle w:val="CommentText"/>
      </w:pPr>
      <w:r>
        <w:t>Reinforce the Contribution to Literature:</w:t>
      </w:r>
    </w:p>
    <w:p w14:paraId="48D81CC5" w14:textId="77777777" w:rsidR="008A0227" w:rsidRDefault="008A0227" w:rsidP="008A0227">
      <w:pPr>
        <w:pStyle w:val="CommentText"/>
      </w:pPr>
      <w:r>
        <w:t>In what way is this research forward-looking? What is the potential it has to significantly influence or alter current understanding?</w:t>
      </w:r>
    </w:p>
    <w:p w14:paraId="25D49419" w14:textId="77777777" w:rsidR="008A0227" w:rsidRDefault="008A0227" w:rsidP="008A0227">
      <w:pPr>
        <w:pStyle w:val="CommentText"/>
      </w:pPr>
      <w:r>
        <w:t>How exactly does it impact theory (e.g., SEW, RBV) in a way that makes it a clear theoretical advancement, not just an empirical one?</w:t>
      </w:r>
    </w:p>
    <w:p w14:paraId="6FD58941" w14:textId="67425773" w:rsidR="008A0227" w:rsidRDefault="008A0227" w:rsidP="008A0227">
      <w:pPr>
        <w:pStyle w:val="CommentText"/>
      </w:pPr>
      <w:r>
        <w:t>Make that bump in clarity very explicit.</w:t>
      </w:r>
    </w:p>
    <w:p w14:paraId="0EB24B9B" w14:textId="4D59CD80" w:rsidR="008A0227" w:rsidRDefault="008A0227">
      <w:pPr>
        <w:pStyle w:val="CommentText"/>
      </w:pPr>
      <w:r>
        <w:rPr>
          <w:b/>
          <w:bCs/>
          <w:sz w:val="24"/>
          <w:szCs w:val="24"/>
        </w:rPr>
        <w:pict w14:anchorId="7BBAFB28">
          <v:shape id="_x0000_i1068" type="#_x0000_t75" style="width:36pt;height:.75pt" strokeweight="1pt">
            <v:imagedata r:id="rId4" o:title=""/>
            <v:path shadowok="f"/>
            <o:lock v:ext="edit" aspectratio="f"/>
            <o:ink i="AAA=&#10;"/>
          </v:shape>
        </w:pict>
      </w:r>
    </w:p>
  </w:comment>
  <w:comment w:id="8" w:author="sharjahlaptop" w:date="2025-03-05T13:47:00Z" w:initials="s">
    <w:p w14:paraId="1B17BCBD" w14:textId="77777777" w:rsidR="008A0227" w:rsidRDefault="008A0227" w:rsidP="008A0227">
      <w:pPr>
        <w:pStyle w:val="CommentText"/>
      </w:pPr>
      <w:r>
        <w:rPr>
          <w:rStyle w:val="CommentReference"/>
        </w:rPr>
        <w:annotationRef/>
      </w:r>
      <w:r>
        <w:t>The references do not abide by APA 7th edition style. Listed below are the major formatting problems; they need to be fixed.</w:t>
      </w:r>
    </w:p>
    <w:p w14:paraId="78B05C53" w14:textId="77777777" w:rsidR="008A0227" w:rsidRDefault="008A0227" w:rsidP="008A0227">
      <w:pPr>
        <w:pStyle w:val="CommentText"/>
      </w:pPr>
      <w:r>
        <w:t>Reference Order Not Alphabetized</w:t>
      </w:r>
    </w:p>
    <w:p w14:paraId="20D2C8CD" w14:textId="77777777" w:rsidR="008A0227" w:rsidRDefault="008A0227" w:rsidP="008A0227">
      <w:pPr>
        <w:pStyle w:val="CommentText"/>
      </w:pPr>
      <w:r>
        <w:t>References should be arranged in alphabetical order according to the last name of the first author. Some references might not be in the correct order.</w:t>
      </w:r>
    </w:p>
    <w:p w14:paraId="516E22A2" w14:textId="77777777" w:rsidR="008A0227" w:rsidRDefault="008A0227" w:rsidP="008A0227">
      <w:pPr>
        <w:pStyle w:val="CommentText"/>
      </w:pPr>
      <w:r>
        <w:t>Incorrect Hanging Indents</w:t>
      </w:r>
    </w:p>
    <w:p w14:paraId="68D28D68" w14:textId="0933899B" w:rsidR="008A0227" w:rsidRDefault="008A0227" w:rsidP="008A0227">
      <w:pPr>
        <w:pStyle w:val="CommentText"/>
      </w:pPr>
      <w:r>
        <w:t>Every citation should have a hanging indent (the first line is flush left, the subsequent lines are indented).</w:t>
      </w:r>
    </w:p>
    <w:p w14:paraId="7721C4D8" w14:textId="1E79ED10" w:rsidR="008A0227" w:rsidRDefault="008A0227">
      <w:pPr>
        <w:pStyle w:val="CommentText"/>
      </w:pPr>
      <w:r>
        <w:rPr>
          <w:b/>
          <w:bCs/>
          <w:sz w:val="24"/>
          <w:szCs w:val="24"/>
        </w:rPr>
        <w:pict w14:anchorId="21483752">
          <v:shape id="_x0000_i1071" type="#_x0000_t75" style="width:36pt;height:.75pt" strokeweight="1pt">
            <v:imagedata r:id="rId4" o:title=""/>
            <v:path shadowok="f"/>
            <o:lock v:ext="edit" aspectratio="f"/>
            <o:ink i="AAD=&#10;"/>
          </v:shape>
        </w:pic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03682D3" w15:done="0"/>
  <w15:commentEx w15:paraId="267A8B55" w15:done="0"/>
  <w15:commentEx w15:paraId="26085770" w15:done="0"/>
  <w15:commentEx w15:paraId="086431A8" w15:done="0"/>
  <w15:commentEx w15:paraId="441D6456" w15:done="0"/>
  <w15:commentEx w15:paraId="4F77882D" w15:done="0"/>
  <w15:commentEx w15:paraId="0EB24B9B" w15:done="0"/>
  <w15:commentEx w15:paraId="7721C4D8"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9A73A" w14:textId="77777777" w:rsidR="00FF487E" w:rsidRDefault="00FF487E" w:rsidP="009B5956">
      <w:pPr>
        <w:spacing w:after="0" w:line="240" w:lineRule="auto"/>
      </w:pPr>
      <w:r>
        <w:separator/>
      </w:r>
    </w:p>
  </w:endnote>
  <w:endnote w:type="continuationSeparator" w:id="0">
    <w:p w14:paraId="0B141855" w14:textId="77777777" w:rsidR="00FF487E" w:rsidRDefault="00FF487E" w:rsidP="009B5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381C6" w14:textId="77777777" w:rsidR="009B5956" w:rsidRDefault="009B595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BA8C3" w14:textId="77777777" w:rsidR="009B5956" w:rsidRDefault="009B595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82F61" w14:textId="77777777" w:rsidR="009B5956" w:rsidRDefault="009B59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8A891" w14:textId="77777777" w:rsidR="00FF487E" w:rsidRDefault="00FF487E" w:rsidP="009B5956">
      <w:pPr>
        <w:spacing w:after="0" w:line="240" w:lineRule="auto"/>
      </w:pPr>
      <w:r>
        <w:separator/>
      </w:r>
    </w:p>
  </w:footnote>
  <w:footnote w:type="continuationSeparator" w:id="0">
    <w:p w14:paraId="28871D38" w14:textId="77777777" w:rsidR="00FF487E" w:rsidRDefault="00FF487E" w:rsidP="009B5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7039B" w14:textId="7323E160" w:rsidR="009B5956" w:rsidRDefault="002C254F">
    <w:pPr>
      <w:pStyle w:val="Header"/>
    </w:pPr>
    <w:r>
      <w:rPr>
        <w:noProof/>
      </w:rPr>
      <w:pict w14:anchorId="3289FF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813129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064DC" w14:textId="1CD4DAA1" w:rsidR="009B5956" w:rsidRDefault="002C254F">
    <w:pPr>
      <w:pStyle w:val="Header"/>
    </w:pPr>
    <w:r>
      <w:rPr>
        <w:noProof/>
      </w:rPr>
      <w:pict w14:anchorId="05AB6F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813129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700C8" w14:textId="7489B3A6" w:rsidR="009B5956" w:rsidRDefault="002C254F">
    <w:pPr>
      <w:pStyle w:val="Header"/>
    </w:pPr>
    <w:r>
      <w:rPr>
        <w:noProof/>
      </w:rPr>
      <w:pict w14:anchorId="578A6D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813129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A2371"/>
    <w:multiLevelType w:val="multilevel"/>
    <w:tmpl w:val="B28E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982AA4"/>
    <w:multiLevelType w:val="hybridMultilevel"/>
    <w:tmpl w:val="436AB09A"/>
    <w:lvl w:ilvl="0" w:tplc="8C540532">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217D63"/>
    <w:multiLevelType w:val="multilevel"/>
    <w:tmpl w:val="0E1A3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rjahlaptop">
    <w15:presenceInfo w15:providerId="None" w15:userId="sharjahlapto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F24"/>
    <w:rsid w:val="00003414"/>
    <w:rsid w:val="00015C07"/>
    <w:rsid w:val="0002648E"/>
    <w:rsid w:val="00033C75"/>
    <w:rsid w:val="00051E41"/>
    <w:rsid w:val="0006413B"/>
    <w:rsid w:val="0006767E"/>
    <w:rsid w:val="00077054"/>
    <w:rsid w:val="000778FC"/>
    <w:rsid w:val="000803EA"/>
    <w:rsid w:val="0008640A"/>
    <w:rsid w:val="00087491"/>
    <w:rsid w:val="00094635"/>
    <w:rsid w:val="000A3374"/>
    <w:rsid w:val="000B5BA9"/>
    <w:rsid w:val="000B7DCE"/>
    <w:rsid w:val="000C43E7"/>
    <w:rsid w:val="000D43FD"/>
    <w:rsid w:val="000E244D"/>
    <w:rsid w:val="000F28B7"/>
    <w:rsid w:val="001026F5"/>
    <w:rsid w:val="00104EE7"/>
    <w:rsid w:val="001203B7"/>
    <w:rsid w:val="001268D7"/>
    <w:rsid w:val="001303EA"/>
    <w:rsid w:val="0013486E"/>
    <w:rsid w:val="00136C74"/>
    <w:rsid w:val="001513DF"/>
    <w:rsid w:val="00165D27"/>
    <w:rsid w:val="00167F81"/>
    <w:rsid w:val="0017330F"/>
    <w:rsid w:val="0017770D"/>
    <w:rsid w:val="00186ED6"/>
    <w:rsid w:val="00193E7C"/>
    <w:rsid w:val="001A757E"/>
    <w:rsid w:val="001A7E2D"/>
    <w:rsid w:val="001B2E05"/>
    <w:rsid w:val="001B6D16"/>
    <w:rsid w:val="001C04D2"/>
    <w:rsid w:val="001C0BAE"/>
    <w:rsid w:val="001D29AF"/>
    <w:rsid w:val="001D4926"/>
    <w:rsid w:val="001D5A51"/>
    <w:rsid w:val="00203E86"/>
    <w:rsid w:val="00212375"/>
    <w:rsid w:val="00215BAA"/>
    <w:rsid w:val="00234BFE"/>
    <w:rsid w:val="0023523F"/>
    <w:rsid w:val="00245185"/>
    <w:rsid w:val="002460D6"/>
    <w:rsid w:val="00255BE1"/>
    <w:rsid w:val="00264A16"/>
    <w:rsid w:val="00266B65"/>
    <w:rsid w:val="00270BA3"/>
    <w:rsid w:val="00270F03"/>
    <w:rsid w:val="00276754"/>
    <w:rsid w:val="00277D90"/>
    <w:rsid w:val="00284CCA"/>
    <w:rsid w:val="002854CE"/>
    <w:rsid w:val="002855AE"/>
    <w:rsid w:val="00286C04"/>
    <w:rsid w:val="00290B84"/>
    <w:rsid w:val="002932E3"/>
    <w:rsid w:val="00295B05"/>
    <w:rsid w:val="002A3DC5"/>
    <w:rsid w:val="002A4868"/>
    <w:rsid w:val="002B7A48"/>
    <w:rsid w:val="002B7DC6"/>
    <w:rsid w:val="002D1758"/>
    <w:rsid w:val="002D54C6"/>
    <w:rsid w:val="002F7157"/>
    <w:rsid w:val="00323A5F"/>
    <w:rsid w:val="00330739"/>
    <w:rsid w:val="003431BD"/>
    <w:rsid w:val="00343B6B"/>
    <w:rsid w:val="0035435A"/>
    <w:rsid w:val="00360B07"/>
    <w:rsid w:val="003723B8"/>
    <w:rsid w:val="003735F1"/>
    <w:rsid w:val="00374434"/>
    <w:rsid w:val="00377ACE"/>
    <w:rsid w:val="00381DBF"/>
    <w:rsid w:val="00390589"/>
    <w:rsid w:val="003941B7"/>
    <w:rsid w:val="003C1C8F"/>
    <w:rsid w:val="003C6CE3"/>
    <w:rsid w:val="003D0F5D"/>
    <w:rsid w:val="003F12DB"/>
    <w:rsid w:val="0040265F"/>
    <w:rsid w:val="00407153"/>
    <w:rsid w:val="004166DF"/>
    <w:rsid w:val="0043245A"/>
    <w:rsid w:val="00435827"/>
    <w:rsid w:val="00441582"/>
    <w:rsid w:val="00442A3B"/>
    <w:rsid w:val="00444C0D"/>
    <w:rsid w:val="004539A7"/>
    <w:rsid w:val="00460231"/>
    <w:rsid w:val="00463C27"/>
    <w:rsid w:val="00465F82"/>
    <w:rsid w:val="004825D1"/>
    <w:rsid w:val="004B0238"/>
    <w:rsid w:val="004B0A4E"/>
    <w:rsid w:val="004C14FF"/>
    <w:rsid w:val="004C33E9"/>
    <w:rsid w:val="004C4367"/>
    <w:rsid w:val="004D0B61"/>
    <w:rsid w:val="004D21CC"/>
    <w:rsid w:val="004D662C"/>
    <w:rsid w:val="004E0BF4"/>
    <w:rsid w:val="004E1866"/>
    <w:rsid w:val="004F2BFE"/>
    <w:rsid w:val="004F746A"/>
    <w:rsid w:val="004F7F24"/>
    <w:rsid w:val="0050783F"/>
    <w:rsid w:val="00514B6E"/>
    <w:rsid w:val="00526DE6"/>
    <w:rsid w:val="00564515"/>
    <w:rsid w:val="00564F2A"/>
    <w:rsid w:val="00567298"/>
    <w:rsid w:val="00570B25"/>
    <w:rsid w:val="005721A3"/>
    <w:rsid w:val="005801B1"/>
    <w:rsid w:val="00594B55"/>
    <w:rsid w:val="005C07E0"/>
    <w:rsid w:val="005C2B73"/>
    <w:rsid w:val="005C32C3"/>
    <w:rsid w:val="005D23C4"/>
    <w:rsid w:val="005E03FA"/>
    <w:rsid w:val="005E1DE8"/>
    <w:rsid w:val="005F1350"/>
    <w:rsid w:val="005F6F09"/>
    <w:rsid w:val="006027C9"/>
    <w:rsid w:val="00611A81"/>
    <w:rsid w:val="00647398"/>
    <w:rsid w:val="00657100"/>
    <w:rsid w:val="006627BE"/>
    <w:rsid w:val="00685882"/>
    <w:rsid w:val="006869E3"/>
    <w:rsid w:val="0068765A"/>
    <w:rsid w:val="00697202"/>
    <w:rsid w:val="006B0F46"/>
    <w:rsid w:val="006B2673"/>
    <w:rsid w:val="006C65A1"/>
    <w:rsid w:val="006C6901"/>
    <w:rsid w:val="006C6B83"/>
    <w:rsid w:val="006D11AB"/>
    <w:rsid w:val="006D460B"/>
    <w:rsid w:val="006E1BAB"/>
    <w:rsid w:val="006F2538"/>
    <w:rsid w:val="00702859"/>
    <w:rsid w:val="00715104"/>
    <w:rsid w:val="007218E8"/>
    <w:rsid w:val="00726BEB"/>
    <w:rsid w:val="00730335"/>
    <w:rsid w:val="0073235B"/>
    <w:rsid w:val="007533B6"/>
    <w:rsid w:val="00753AA6"/>
    <w:rsid w:val="007605F6"/>
    <w:rsid w:val="007672C7"/>
    <w:rsid w:val="00781E34"/>
    <w:rsid w:val="00784537"/>
    <w:rsid w:val="00790D1E"/>
    <w:rsid w:val="00791E53"/>
    <w:rsid w:val="007A07B3"/>
    <w:rsid w:val="007A5D77"/>
    <w:rsid w:val="007A5E05"/>
    <w:rsid w:val="007A689D"/>
    <w:rsid w:val="007B1768"/>
    <w:rsid w:val="007C4221"/>
    <w:rsid w:val="007C7875"/>
    <w:rsid w:val="007F040B"/>
    <w:rsid w:val="008160BB"/>
    <w:rsid w:val="00822024"/>
    <w:rsid w:val="00831EBE"/>
    <w:rsid w:val="00843869"/>
    <w:rsid w:val="00846A04"/>
    <w:rsid w:val="008646B8"/>
    <w:rsid w:val="00873C78"/>
    <w:rsid w:val="00876EA8"/>
    <w:rsid w:val="00880DF5"/>
    <w:rsid w:val="00885F50"/>
    <w:rsid w:val="008974C6"/>
    <w:rsid w:val="008A0227"/>
    <w:rsid w:val="008A0532"/>
    <w:rsid w:val="008B6AD3"/>
    <w:rsid w:val="008B6CF3"/>
    <w:rsid w:val="008B6FC2"/>
    <w:rsid w:val="008D3133"/>
    <w:rsid w:val="008D436B"/>
    <w:rsid w:val="008E2EF8"/>
    <w:rsid w:val="008E66B8"/>
    <w:rsid w:val="008F36B0"/>
    <w:rsid w:val="008F539B"/>
    <w:rsid w:val="008F7748"/>
    <w:rsid w:val="00931AFC"/>
    <w:rsid w:val="00933242"/>
    <w:rsid w:val="009362C7"/>
    <w:rsid w:val="00936BB0"/>
    <w:rsid w:val="009411C6"/>
    <w:rsid w:val="0094721A"/>
    <w:rsid w:val="00952893"/>
    <w:rsid w:val="0096270B"/>
    <w:rsid w:val="009632FE"/>
    <w:rsid w:val="00975972"/>
    <w:rsid w:val="00983390"/>
    <w:rsid w:val="0098443C"/>
    <w:rsid w:val="0098463D"/>
    <w:rsid w:val="009A0983"/>
    <w:rsid w:val="009B1105"/>
    <w:rsid w:val="009B5956"/>
    <w:rsid w:val="009D1C60"/>
    <w:rsid w:val="009D28B0"/>
    <w:rsid w:val="009E2517"/>
    <w:rsid w:val="009E33B7"/>
    <w:rsid w:val="009F317C"/>
    <w:rsid w:val="009F6144"/>
    <w:rsid w:val="00A26CB6"/>
    <w:rsid w:val="00A35D69"/>
    <w:rsid w:val="00A4335E"/>
    <w:rsid w:val="00A73FBF"/>
    <w:rsid w:val="00A764B8"/>
    <w:rsid w:val="00A84362"/>
    <w:rsid w:val="00A8788A"/>
    <w:rsid w:val="00A915AB"/>
    <w:rsid w:val="00A92293"/>
    <w:rsid w:val="00A93EEB"/>
    <w:rsid w:val="00AA060A"/>
    <w:rsid w:val="00AB0579"/>
    <w:rsid w:val="00AE30B6"/>
    <w:rsid w:val="00B068EA"/>
    <w:rsid w:val="00B23301"/>
    <w:rsid w:val="00B30EFF"/>
    <w:rsid w:val="00B45B84"/>
    <w:rsid w:val="00B54BA9"/>
    <w:rsid w:val="00B55478"/>
    <w:rsid w:val="00B77CD9"/>
    <w:rsid w:val="00B97BAF"/>
    <w:rsid w:val="00BA1071"/>
    <w:rsid w:val="00BA595B"/>
    <w:rsid w:val="00BA5D7C"/>
    <w:rsid w:val="00BA6CC6"/>
    <w:rsid w:val="00BD19C6"/>
    <w:rsid w:val="00BE0C7C"/>
    <w:rsid w:val="00BE381D"/>
    <w:rsid w:val="00BF7B23"/>
    <w:rsid w:val="00C101EC"/>
    <w:rsid w:val="00C11449"/>
    <w:rsid w:val="00C14F61"/>
    <w:rsid w:val="00C25747"/>
    <w:rsid w:val="00C51C58"/>
    <w:rsid w:val="00C57FD0"/>
    <w:rsid w:val="00C726A4"/>
    <w:rsid w:val="00C74A7C"/>
    <w:rsid w:val="00C8225C"/>
    <w:rsid w:val="00C86590"/>
    <w:rsid w:val="00C90B07"/>
    <w:rsid w:val="00CA76A7"/>
    <w:rsid w:val="00CB0269"/>
    <w:rsid w:val="00CC0E78"/>
    <w:rsid w:val="00CC40E6"/>
    <w:rsid w:val="00CE527B"/>
    <w:rsid w:val="00CF6E21"/>
    <w:rsid w:val="00D06A17"/>
    <w:rsid w:val="00D07C48"/>
    <w:rsid w:val="00D111B0"/>
    <w:rsid w:val="00D20893"/>
    <w:rsid w:val="00D2398B"/>
    <w:rsid w:val="00D42A60"/>
    <w:rsid w:val="00D45E00"/>
    <w:rsid w:val="00D46299"/>
    <w:rsid w:val="00D51795"/>
    <w:rsid w:val="00D5254C"/>
    <w:rsid w:val="00D55EA9"/>
    <w:rsid w:val="00D56D4D"/>
    <w:rsid w:val="00D63D53"/>
    <w:rsid w:val="00D66CF7"/>
    <w:rsid w:val="00D90AF2"/>
    <w:rsid w:val="00DB7CE5"/>
    <w:rsid w:val="00DC4060"/>
    <w:rsid w:val="00DD0463"/>
    <w:rsid w:val="00DD7E1A"/>
    <w:rsid w:val="00DE2B04"/>
    <w:rsid w:val="00DF695A"/>
    <w:rsid w:val="00E00730"/>
    <w:rsid w:val="00E1021A"/>
    <w:rsid w:val="00E20124"/>
    <w:rsid w:val="00E25678"/>
    <w:rsid w:val="00E34D55"/>
    <w:rsid w:val="00E426F2"/>
    <w:rsid w:val="00E503F8"/>
    <w:rsid w:val="00E50463"/>
    <w:rsid w:val="00E515B2"/>
    <w:rsid w:val="00E63D5C"/>
    <w:rsid w:val="00E64A05"/>
    <w:rsid w:val="00E6541B"/>
    <w:rsid w:val="00E7415F"/>
    <w:rsid w:val="00E827BD"/>
    <w:rsid w:val="00E920EF"/>
    <w:rsid w:val="00E96461"/>
    <w:rsid w:val="00EA25C2"/>
    <w:rsid w:val="00EB1651"/>
    <w:rsid w:val="00EB2B2C"/>
    <w:rsid w:val="00EC1F0F"/>
    <w:rsid w:val="00ED22AC"/>
    <w:rsid w:val="00ED37BC"/>
    <w:rsid w:val="00F22AE4"/>
    <w:rsid w:val="00F33490"/>
    <w:rsid w:val="00F624DC"/>
    <w:rsid w:val="00F62ED7"/>
    <w:rsid w:val="00F708C2"/>
    <w:rsid w:val="00F73705"/>
    <w:rsid w:val="00F8485E"/>
    <w:rsid w:val="00F8765E"/>
    <w:rsid w:val="00F94341"/>
    <w:rsid w:val="00FA00DE"/>
    <w:rsid w:val="00FA415F"/>
    <w:rsid w:val="00FC2C1E"/>
    <w:rsid w:val="00FD4099"/>
    <w:rsid w:val="00FF4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08AE0AE"/>
  <w15:chartTrackingRefBased/>
  <w15:docId w15:val="{AC4746B1-030C-47CC-9628-C1F32E5AC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F7F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F7F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F7F2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F7F2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F7F2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F7F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7F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7F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7F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F2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F7F2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4F7F2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F7F2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F7F2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F7F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7F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7F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7F24"/>
    <w:rPr>
      <w:rFonts w:eastAsiaTheme="majorEastAsia" w:cstheme="majorBidi"/>
      <w:color w:val="272727" w:themeColor="text1" w:themeTint="D8"/>
    </w:rPr>
  </w:style>
  <w:style w:type="paragraph" w:styleId="Title">
    <w:name w:val="Title"/>
    <w:basedOn w:val="Normal"/>
    <w:next w:val="Normal"/>
    <w:link w:val="TitleChar"/>
    <w:uiPriority w:val="10"/>
    <w:qFormat/>
    <w:rsid w:val="004F7F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7F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7F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7F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7F24"/>
    <w:pPr>
      <w:spacing w:before="160"/>
      <w:jc w:val="center"/>
    </w:pPr>
    <w:rPr>
      <w:i/>
      <w:iCs/>
      <w:color w:val="404040" w:themeColor="text1" w:themeTint="BF"/>
    </w:rPr>
  </w:style>
  <w:style w:type="character" w:customStyle="1" w:styleId="QuoteChar">
    <w:name w:val="Quote Char"/>
    <w:basedOn w:val="DefaultParagraphFont"/>
    <w:link w:val="Quote"/>
    <w:uiPriority w:val="29"/>
    <w:rsid w:val="004F7F24"/>
    <w:rPr>
      <w:i/>
      <w:iCs/>
      <w:color w:val="404040" w:themeColor="text1" w:themeTint="BF"/>
    </w:rPr>
  </w:style>
  <w:style w:type="paragraph" w:styleId="ListParagraph">
    <w:name w:val="List Paragraph"/>
    <w:basedOn w:val="Normal"/>
    <w:uiPriority w:val="34"/>
    <w:qFormat/>
    <w:rsid w:val="004F7F24"/>
    <w:pPr>
      <w:ind w:left="720"/>
      <w:contextualSpacing/>
    </w:pPr>
  </w:style>
  <w:style w:type="character" w:styleId="IntenseEmphasis">
    <w:name w:val="Intense Emphasis"/>
    <w:basedOn w:val="DefaultParagraphFont"/>
    <w:uiPriority w:val="21"/>
    <w:qFormat/>
    <w:rsid w:val="004F7F24"/>
    <w:rPr>
      <w:i/>
      <w:iCs/>
      <w:color w:val="2F5496" w:themeColor="accent1" w:themeShade="BF"/>
    </w:rPr>
  </w:style>
  <w:style w:type="paragraph" w:styleId="IntenseQuote">
    <w:name w:val="Intense Quote"/>
    <w:basedOn w:val="Normal"/>
    <w:next w:val="Normal"/>
    <w:link w:val="IntenseQuoteChar"/>
    <w:uiPriority w:val="30"/>
    <w:qFormat/>
    <w:rsid w:val="004F7F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F7F24"/>
    <w:rPr>
      <w:i/>
      <w:iCs/>
      <w:color w:val="2F5496" w:themeColor="accent1" w:themeShade="BF"/>
    </w:rPr>
  </w:style>
  <w:style w:type="character" w:styleId="IntenseReference">
    <w:name w:val="Intense Reference"/>
    <w:basedOn w:val="DefaultParagraphFont"/>
    <w:uiPriority w:val="32"/>
    <w:qFormat/>
    <w:rsid w:val="004F7F24"/>
    <w:rPr>
      <w:b/>
      <w:bCs/>
      <w:smallCaps/>
      <w:color w:val="2F5496" w:themeColor="accent1" w:themeShade="BF"/>
      <w:spacing w:val="5"/>
    </w:rPr>
  </w:style>
  <w:style w:type="paragraph" w:styleId="NormalWeb">
    <w:name w:val="Normal (Web)"/>
    <w:basedOn w:val="Normal"/>
    <w:uiPriority w:val="99"/>
    <w:semiHidden/>
    <w:unhideWhenUsed/>
    <w:rsid w:val="00E920EF"/>
    <w:rPr>
      <w:rFonts w:ascii="Times New Roman" w:hAnsi="Times New Roman" w:cs="Times New Roman"/>
    </w:rPr>
  </w:style>
  <w:style w:type="table" w:styleId="TableGrid">
    <w:name w:val="Table Grid"/>
    <w:basedOn w:val="TableNormal"/>
    <w:uiPriority w:val="39"/>
    <w:rsid w:val="007C7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026F5"/>
    <w:rPr>
      <w:color w:val="666666"/>
    </w:rPr>
  </w:style>
  <w:style w:type="character" w:styleId="Hyperlink">
    <w:name w:val="Hyperlink"/>
    <w:basedOn w:val="DefaultParagraphFont"/>
    <w:uiPriority w:val="99"/>
    <w:unhideWhenUsed/>
    <w:rsid w:val="0050783F"/>
    <w:rPr>
      <w:color w:val="0563C1" w:themeColor="hyperlink"/>
      <w:u w:val="single"/>
    </w:rPr>
  </w:style>
  <w:style w:type="character" w:customStyle="1" w:styleId="UnresolvedMention">
    <w:name w:val="Unresolved Mention"/>
    <w:basedOn w:val="DefaultParagraphFont"/>
    <w:uiPriority w:val="99"/>
    <w:semiHidden/>
    <w:unhideWhenUsed/>
    <w:rsid w:val="00330739"/>
    <w:rPr>
      <w:color w:val="605E5C"/>
      <w:shd w:val="clear" w:color="auto" w:fill="E1DFDD"/>
    </w:rPr>
  </w:style>
  <w:style w:type="paragraph" w:styleId="Header">
    <w:name w:val="header"/>
    <w:basedOn w:val="Normal"/>
    <w:link w:val="HeaderChar"/>
    <w:uiPriority w:val="99"/>
    <w:unhideWhenUsed/>
    <w:rsid w:val="009B59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956"/>
  </w:style>
  <w:style w:type="paragraph" w:styleId="Footer">
    <w:name w:val="footer"/>
    <w:basedOn w:val="Normal"/>
    <w:link w:val="FooterChar"/>
    <w:uiPriority w:val="99"/>
    <w:unhideWhenUsed/>
    <w:rsid w:val="009B59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956"/>
  </w:style>
  <w:style w:type="character" w:styleId="CommentReference">
    <w:name w:val="annotation reference"/>
    <w:basedOn w:val="DefaultParagraphFont"/>
    <w:uiPriority w:val="99"/>
    <w:semiHidden/>
    <w:unhideWhenUsed/>
    <w:rsid w:val="00E96461"/>
    <w:rPr>
      <w:sz w:val="16"/>
      <w:szCs w:val="16"/>
    </w:rPr>
  </w:style>
  <w:style w:type="paragraph" w:styleId="CommentText">
    <w:name w:val="annotation text"/>
    <w:basedOn w:val="Normal"/>
    <w:link w:val="CommentTextChar"/>
    <w:uiPriority w:val="99"/>
    <w:semiHidden/>
    <w:unhideWhenUsed/>
    <w:rsid w:val="00E96461"/>
    <w:pPr>
      <w:spacing w:line="240" w:lineRule="auto"/>
    </w:pPr>
    <w:rPr>
      <w:sz w:val="20"/>
      <w:szCs w:val="20"/>
    </w:rPr>
  </w:style>
  <w:style w:type="character" w:customStyle="1" w:styleId="CommentTextChar">
    <w:name w:val="Comment Text Char"/>
    <w:basedOn w:val="DefaultParagraphFont"/>
    <w:link w:val="CommentText"/>
    <w:uiPriority w:val="99"/>
    <w:semiHidden/>
    <w:rsid w:val="00E96461"/>
    <w:rPr>
      <w:sz w:val="20"/>
      <w:szCs w:val="20"/>
    </w:rPr>
  </w:style>
  <w:style w:type="paragraph" w:styleId="CommentSubject">
    <w:name w:val="annotation subject"/>
    <w:basedOn w:val="CommentText"/>
    <w:next w:val="CommentText"/>
    <w:link w:val="CommentSubjectChar"/>
    <w:uiPriority w:val="99"/>
    <w:semiHidden/>
    <w:unhideWhenUsed/>
    <w:rsid w:val="00E96461"/>
    <w:rPr>
      <w:b/>
      <w:bCs/>
    </w:rPr>
  </w:style>
  <w:style w:type="character" w:customStyle="1" w:styleId="CommentSubjectChar">
    <w:name w:val="Comment Subject Char"/>
    <w:basedOn w:val="CommentTextChar"/>
    <w:link w:val="CommentSubject"/>
    <w:uiPriority w:val="99"/>
    <w:semiHidden/>
    <w:rsid w:val="00E96461"/>
    <w:rPr>
      <w:b/>
      <w:bCs/>
      <w:sz w:val="20"/>
      <w:szCs w:val="20"/>
    </w:rPr>
  </w:style>
  <w:style w:type="paragraph" w:styleId="BalloonText">
    <w:name w:val="Balloon Text"/>
    <w:basedOn w:val="Normal"/>
    <w:link w:val="BalloonTextChar"/>
    <w:uiPriority w:val="99"/>
    <w:semiHidden/>
    <w:unhideWhenUsed/>
    <w:rsid w:val="00E964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461"/>
    <w:rPr>
      <w:rFonts w:ascii="Segoe UI" w:hAnsi="Segoe UI" w:cs="Segoe UI"/>
      <w:sz w:val="18"/>
      <w:szCs w:val="18"/>
    </w:rPr>
  </w:style>
  <w:style w:type="paragraph" w:customStyle="1" w:styleId="text-pretty">
    <w:name w:val="text-pretty"/>
    <w:basedOn w:val="Normal"/>
    <w:rsid w:val="00ED37BC"/>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69497">
      <w:bodyDiv w:val="1"/>
      <w:marLeft w:val="0"/>
      <w:marRight w:val="0"/>
      <w:marTop w:val="0"/>
      <w:marBottom w:val="0"/>
      <w:divBdr>
        <w:top w:val="none" w:sz="0" w:space="0" w:color="auto"/>
        <w:left w:val="none" w:sz="0" w:space="0" w:color="auto"/>
        <w:bottom w:val="none" w:sz="0" w:space="0" w:color="auto"/>
        <w:right w:val="none" w:sz="0" w:space="0" w:color="auto"/>
      </w:divBdr>
    </w:div>
    <w:div w:id="90783730">
      <w:bodyDiv w:val="1"/>
      <w:marLeft w:val="0"/>
      <w:marRight w:val="0"/>
      <w:marTop w:val="0"/>
      <w:marBottom w:val="0"/>
      <w:divBdr>
        <w:top w:val="none" w:sz="0" w:space="0" w:color="auto"/>
        <w:left w:val="none" w:sz="0" w:space="0" w:color="auto"/>
        <w:bottom w:val="none" w:sz="0" w:space="0" w:color="auto"/>
        <w:right w:val="none" w:sz="0" w:space="0" w:color="auto"/>
      </w:divBdr>
    </w:div>
    <w:div w:id="105856896">
      <w:bodyDiv w:val="1"/>
      <w:marLeft w:val="0"/>
      <w:marRight w:val="0"/>
      <w:marTop w:val="0"/>
      <w:marBottom w:val="0"/>
      <w:divBdr>
        <w:top w:val="none" w:sz="0" w:space="0" w:color="auto"/>
        <w:left w:val="none" w:sz="0" w:space="0" w:color="auto"/>
        <w:bottom w:val="none" w:sz="0" w:space="0" w:color="auto"/>
        <w:right w:val="none" w:sz="0" w:space="0" w:color="auto"/>
      </w:divBdr>
    </w:div>
    <w:div w:id="107165438">
      <w:bodyDiv w:val="1"/>
      <w:marLeft w:val="0"/>
      <w:marRight w:val="0"/>
      <w:marTop w:val="0"/>
      <w:marBottom w:val="0"/>
      <w:divBdr>
        <w:top w:val="none" w:sz="0" w:space="0" w:color="auto"/>
        <w:left w:val="none" w:sz="0" w:space="0" w:color="auto"/>
        <w:bottom w:val="none" w:sz="0" w:space="0" w:color="auto"/>
        <w:right w:val="none" w:sz="0" w:space="0" w:color="auto"/>
      </w:divBdr>
    </w:div>
    <w:div w:id="148593353">
      <w:bodyDiv w:val="1"/>
      <w:marLeft w:val="0"/>
      <w:marRight w:val="0"/>
      <w:marTop w:val="0"/>
      <w:marBottom w:val="0"/>
      <w:divBdr>
        <w:top w:val="none" w:sz="0" w:space="0" w:color="auto"/>
        <w:left w:val="none" w:sz="0" w:space="0" w:color="auto"/>
        <w:bottom w:val="none" w:sz="0" w:space="0" w:color="auto"/>
        <w:right w:val="none" w:sz="0" w:space="0" w:color="auto"/>
      </w:divBdr>
    </w:div>
    <w:div w:id="163670063">
      <w:bodyDiv w:val="1"/>
      <w:marLeft w:val="0"/>
      <w:marRight w:val="0"/>
      <w:marTop w:val="0"/>
      <w:marBottom w:val="0"/>
      <w:divBdr>
        <w:top w:val="none" w:sz="0" w:space="0" w:color="auto"/>
        <w:left w:val="none" w:sz="0" w:space="0" w:color="auto"/>
        <w:bottom w:val="none" w:sz="0" w:space="0" w:color="auto"/>
        <w:right w:val="none" w:sz="0" w:space="0" w:color="auto"/>
      </w:divBdr>
    </w:div>
    <w:div w:id="177232894">
      <w:bodyDiv w:val="1"/>
      <w:marLeft w:val="0"/>
      <w:marRight w:val="0"/>
      <w:marTop w:val="0"/>
      <w:marBottom w:val="0"/>
      <w:divBdr>
        <w:top w:val="none" w:sz="0" w:space="0" w:color="auto"/>
        <w:left w:val="none" w:sz="0" w:space="0" w:color="auto"/>
        <w:bottom w:val="none" w:sz="0" w:space="0" w:color="auto"/>
        <w:right w:val="none" w:sz="0" w:space="0" w:color="auto"/>
      </w:divBdr>
    </w:div>
    <w:div w:id="194775097">
      <w:bodyDiv w:val="1"/>
      <w:marLeft w:val="0"/>
      <w:marRight w:val="0"/>
      <w:marTop w:val="0"/>
      <w:marBottom w:val="0"/>
      <w:divBdr>
        <w:top w:val="none" w:sz="0" w:space="0" w:color="auto"/>
        <w:left w:val="none" w:sz="0" w:space="0" w:color="auto"/>
        <w:bottom w:val="none" w:sz="0" w:space="0" w:color="auto"/>
        <w:right w:val="none" w:sz="0" w:space="0" w:color="auto"/>
      </w:divBdr>
    </w:div>
    <w:div w:id="199320323">
      <w:bodyDiv w:val="1"/>
      <w:marLeft w:val="0"/>
      <w:marRight w:val="0"/>
      <w:marTop w:val="0"/>
      <w:marBottom w:val="0"/>
      <w:divBdr>
        <w:top w:val="none" w:sz="0" w:space="0" w:color="auto"/>
        <w:left w:val="none" w:sz="0" w:space="0" w:color="auto"/>
        <w:bottom w:val="none" w:sz="0" w:space="0" w:color="auto"/>
        <w:right w:val="none" w:sz="0" w:space="0" w:color="auto"/>
      </w:divBdr>
    </w:div>
    <w:div w:id="202601593">
      <w:bodyDiv w:val="1"/>
      <w:marLeft w:val="0"/>
      <w:marRight w:val="0"/>
      <w:marTop w:val="0"/>
      <w:marBottom w:val="0"/>
      <w:divBdr>
        <w:top w:val="none" w:sz="0" w:space="0" w:color="auto"/>
        <w:left w:val="none" w:sz="0" w:space="0" w:color="auto"/>
        <w:bottom w:val="none" w:sz="0" w:space="0" w:color="auto"/>
        <w:right w:val="none" w:sz="0" w:space="0" w:color="auto"/>
      </w:divBdr>
      <w:divsChild>
        <w:div w:id="1334450852">
          <w:marLeft w:val="0"/>
          <w:marRight w:val="0"/>
          <w:marTop w:val="0"/>
          <w:marBottom w:val="0"/>
          <w:divBdr>
            <w:top w:val="none" w:sz="0" w:space="0" w:color="auto"/>
            <w:left w:val="none" w:sz="0" w:space="0" w:color="auto"/>
            <w:bottom w:val="none" w:sz="0" w:space="0" w:color="auto"/>
            <w:right w:val="none" w:sz="0" w:space="0" w:color="auto"/>
          </w:divBdr>
          <w:divsChild>
            <w:div w:id="3312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4847">
      <w:bodyDiv w:val="1"/>
      <w:marLeft w:val="0"/>
      <w:marRight w:val="0"/>
      <w:marTop w:val="0"/>
      <w:marBottom w:val="0"/>
      <w:divBdr>
        <w:top w:val="none" w:sz="0" w:space="0" w:color="auto"/>
        <w:left w:val="none" w:sz="0" w:space="0" w:color="auto"/>
        <w:bottom w:val="none" w:sz="0" w:space="0" w:color="auto"/>
        <w:right w:val="none" w:sz="0" w:space="0" w:color="auto"/>
      </w:divBdr>
    </w:div>
    <w:div w:id="217204913">
      <w:bodyDiv w:val="1"/>
      <w:marLeft w:val="0"/>
      <w:marRight w:val="0"/>
      <w:marTop w:val="0"/>
      <w:marBottom w:val="0"/>
      <w:divBdr>
        <w:top w:val="none" w:sz="0" w:space="0" w:color="auto"/>
        <w:left w:val="none" w:sz="0" w:space="0" w:color="auto"/>
        <w:bottom w:val="none" w:sz="0" w:space="0" w:color="auto"/>
        <w:right w:val="none" w:sz="0" w:space="0" w:color="auto"/>
      </w:divBdr>
    </w:div>
    <w:div w:id="242615818">
      <w:bodyDiv w:val="1"/>
      <w:marLeft w:val="0"/>
      <w:marRight w:val="0"/>
      <w:marTop w:val="0"/>
      <w:marBottom w:val="0"/>
      <w:divBdr>
        <w:top w:val="none" w:sz="0" w:space="0" w:color="auto"/>
        <w:left w:val="none" w:sz="0" w:space="0" w:color="auto"/>
        <w:bottom w:val="none" w:sz="0" w:space="0" w:color="auto"/>
        <w:right w:val="none" w:sz="0" w:space="0" w:color="auto"/>
      </w:divBdr>
    </w:div>
    <w:div w:id="266348995">
      <w:bodyDiv w:val="1"/>
      <w:marLeft w:val="0"/>
      <w:marRight w:val="0"/>
      <w:marTop w:val="0"/>
      <w:marBottom w:val="0"/>
      <w:divBdr>
        <w:top w:val="none" w:sz="0" w:space="0" w:color="auto"/>
        <w:left w:val="none" w:sz="0" w:space="0" w:color="auto"/>
        <w:bottom w:val="none" w:sz="0" w:space="0" w:color="auto"/>
        <w:right w:val="none" w:sz="0" w:space="0" w:color="auto"/>
      </w:divBdr>
    </w:div>
    <w:div w:id="269287850">
      <w:bodyDiv w:val="1"/>
      <w:marLeft w:val="0"/>
      <w:marRight w:val="0"/>
      <w:marTop w:val="0"/>
      <w:marBottom w:val="0"/>
      <w:divBdr>
        <w:top w:val="none" w:sz="0" w:space="0" w:color="auto"/>
        <w:left w:val="none" w:sz="0" w:space="0" w:color="auto"/>
        <w:bottom w:val="none" w:sz="0" w:space="0" w:color="auto"/>
        <w:right w:val="none" w:sz="0" w:space="0" w:color="auto"/>
      </w:divBdr>
    </w:div>
    <w:div w:id="276379209">
      <w:bodyDiv w:val="1"/>
      <w:marLeft w:val="0"/>
      <w:marRight w:val="0"/>
      <w:marTop w:val="0"/>
      <w:marBottom w:val="0"/>
      <w:divBdr>
        <w:top w:val="none" w:sz="0" w:space="0" w:color="auto"/>
        <w:left w:val="none" w:sz="0" w:space="0" w:color="auto"/>
        <w:bottom w:val="none" w:sz="0" w:space="0" w:color="auto"/>
        <w:right w:val="none" w:sz="0" w:space="0" w:color="auto"/>
      </w:divBdr>
    </w:div>
    <w:div w:id="295188654">
      <w:bodyDiv w:val="1"/>
      <w:marLeft w:val="0"/>
      <w:marRight w:val="0"/>
      <w:marTop w:val="0"/>
      <w:marBottom w:val="0"/>
      <w:divBdr>
        <w:top w:val="none" w:sz="0" w:space="0" w:color="auto"/>
        <w:left w:val="none" w:sz="0" w:space="0" w:color="auto"/>
        <w:bottom w:val="none" w:sz="0" w:space="0" w:color="auto"/>
        <w:right w:val="none" w:sz="0" w:space="0" w:color="auto"/>
      </w:divBdr>
    </w:div>
    <w:div w:id="313223511">
      <w:bodyDiv w:val="1"/>
      <w:marLeft w:val="0"/>
      <w:marRight w:val="0"/>
      <w:marTop w:val="0"/>
      <w:marBottom w:val="0"/>
      <w:divBdr>
        <w:top w:val="none" w:sz="0" w:space="0" w:color="auto"/>
        <w:left w:val="none" w:sz="0" w:space="0" w:color="auto"/>
        <w:bottom w:val="none" w:sz="0" w:space="0" w:color="auto"/>
        <w:right w:val="none" w:sz="0" w:space="0" w:color="auto"/>
      </w:divBdr>
    </w:div>
    <w:div w:id="322588372">
      <w:bodyDiv w:val="1"/>
      <w:marLeft w:val="0"/>
      <w:marRight w:val="0"/>
      <w:marTop w:val="0"/>
      <w:marBottom w:val="0"/>
      <w:divBdr>
        <w:top w:val="none" w:sz="0" w:space="0" w:color="auto"/>
        <w:left w:val="none" w:sz="0" w:space="0" w:color="auto"/>
        <w:bottom w:val="none" w:sz="0" w:space="0" w:color="auto"/>
        <w:right w:val="none" w:sz="0" w:space="0" w:color="auto"/>
      </w:divBdr>
    </w:div>
    <w:div w:id="345793337">
      <w:bodyDiv w:val="1"/>
      <w:marLeft w:val="0"/>
      <w:marRight w:val="0"/>
      <w:marTop w:val="0"/>
      <w:marBottom w:val="0"/>
      <w:divBdr>
        <w:top w:val="none" w:sz="0" w:space="0" w:color="auto"/>
        <w:left w:val="none" w:sz="0" w:space="0" w:color="auto"/>
        <w:bottom w:val="none" w:sz="0" w:space="0" w:color="auto"/>
        <w:right w:val="none" w:sz="0" w:space="0" w:color="auto"/>
      </w:divBdr>
    </w:div>
    <w:div w:id="363791282">
      <w:bodyDiv w:val="1"/>
      <w:marLeft w:val="0"/>
      <w:marRight w:val="0"/>
      <w:marTop w:val="0"/>
      <w:marBottom w:val="0"/>
      <w:divBdr>
        <w:top w:val="none" w:sz="0" w:space="0" w:color="auto"/>
        <w:left w:val="none" w:sz="0" w:space="0" w:color="auto"/>
        <w:bottom w:val="none" w:sz="0" w:space="0" w:color="auto"/>
        <w:right w:val="none" w:sz="0" w:space="0" w:color="auto"/>
      </w:divBdr>
    </w:div>
    <w:div w:id="391470419">
      <w:bodyDiv w:val="1"/>
      <w:marLeft w:val="0"/>
      <w:marRight w:val="0"/>
      <w:marTop w:val="0"/>
      <w:marBottom w:val="0"/>
      <w:divBdr>
        <w:top w:val="none" w:sz="0" w:space="0" w:color="auto"/>
        <w:left w:val="none" w:sz="0" w:space="0" w:color="auto"/>
        <w:bottom w:val="none" w:sz="0" w:space="0" w:color="auto"/>
        <w:right w:val="none" w:sz="0" w:space="0" w:color="auto"/>
      </w:divBdr>
    </w:div>
    <w:div w:id="401560874">
      <w:bodyDiv w:val="1"/>
      <w:marLeft w:val="0"/>
      <w:marRight w:val="0"/>
      <w:marTop w:val="0"/>
      <w:marBottom w:val="0"/>
      <w:divBdr>
        <w:top w:val="none" w:sz="0" w:space="0" w:color="auto"/>
        <w:left w:val="none" w:sz="0" w:space="0" w:color="auto"/>
        <w:bottom w:val="none" w:sz="0" w:space="0" w:color="auto"/>
        <w:right w:val="none" w:sz="0" w:space="0" w:color="auto"/>
      </w:divBdr>
    </w:div>
    <w:div w:id="429469606">
      <w:bodyDiv w:val="1"/>
      <w:marLeft w:val="0"/>
      <w:marRight w:val="0"/>
      <w:marTop w:val="0"/>
      <w:marBottom w:val="0"/>
      <w:divBdr>
        <w:top w:val="none" w:sz="0" w:space="0" w:color="auto"/>
        <w:left w:val="none" w:sz="0" w:space="0" w:color="auto"/>
        <w:bottom w:val="none" w:sz="0" w:space="0" w:color="auto"/>
        <w:right w:val="none" w:sz="0" w:space="0" w:color="auto"/>
      </w:divBdr>
    </w:div>
    <w:div w:id="478767418">
      <w:bodyDiv w:val="1"/>
      <w:marLeft w:val="0"/>
      <w:marRight w:val="0"/>
      <w:marTop w:val="0"/>
      <w:marBottom w:val="0"/>
      <w:divBdr>
        <w:top w:val="none" w:sz="0" w:space="0" w:color="auto"/>
        <w:left w:val="none" w:sz="0" w:space="0" w:color="auto"/>
        <w:bottom w:val="none" w:sz="0" w:space="0" w:color="auto"/>
        <w:right w:val="none" w:sz="0" w:space="0" w:color="auto"/>
      </w:divBdr>
    </w:div>
    <w:div w:id="502934209">
      <w:bodyDiv w:val="1"/>
      <w:marLeft w:val="0"/>
      <w:marRight w:val="0"/>
      <w:marTop w:val="0"/>
      <w:marBottom w:val="0"/>
      <w:divBdr>
        <w:top w:val="none" w:sz="0" w:space="0" w:color="auto"/>
        <w:left w:val="none" w:sz="0" w:space="0" w:color="auto"/>
        <w:bottom w:val="none" w:sz="0" w:space="0" w:color="auto"/>
        <w:right w:val="none" w:sz="0" w:space="0" w:color="auto"/>
      </w:divBdr>
    </w:div>
    <w:div w:id="510990017">
      <w:bodyDiv w:val="1"/>
      <w:marLeft w:val="0"/>
      <w:marRight w:val="0"/>
      <w:marTop w:val="0"/>
      <w:marBottom w:val="0"/>
      <w:divBdr>
        <w:top w:val="none" w:sz="0" w:space="0" w:color="auto"/>
        <w:left w:val="none" w:sz="0" w:space="0" w:color="auto"/>
        <w:bottom w:val="none" w:sz="0" w:space="0" w:color="auto"/>
        <w:right w:val="none" w:sz="0" w:space="0" w:color="auto"/>
      </w:divBdr>
    </w:div>
    <w:div w:id="524171620">
      <w:bodyDiv w:val="1"/>
      <w:marLeft w:val="0"/>
      <w:marRight w:val="0"/>
      <w:marTop w:val="0"/>
      <w:marBottom w:val="0"/>
      <w:divBdr>
        <w:top w:val="none" w:sz="0" w:space="0" w:color="auto"/>
        <w:left w:val="none" w:sz="0" w:space="0" w:color="auto"/>
        <w:bottom w:val="none" w:sz="0" w:space="0" w:color="auto"/>
        <w:right w:val="none" w:sz="0" w:space="0" w:color="auto"/>
      </w:divBdr>
    </w:div>
    <w:div w:id="524292486">
      <w:bodyDiv w:val="1"/>
      <w:marLeft w:val="0"/>
      <w:marRight w:val="0"/>
      <w:marTop w:val="0"/>
      <w:marBottom w:val="0"/>
      <w:divBdr>
        <w:top w:val="none" w:sz="0" w:space="0" w:color="auto"/>
        <w:left w:val="none" w:sz="0" w:space="0" w:color="auto"/>
        <w:bottom w:val="none" w:sz="0" w:space="0" w:color="auto"/>
        <w:right w:val="none" w:sz="0" w:space="0" w:color="auto"/>
      </w:divBdr>
    </w:div>
    <w:div w:id="525797609">
      <w:bodyDiv w:val="1"/>
      <w:marLeft w:val="0"/>
      <w:marRight w:val="0"/>
      <w:marTop w:val="0"/>
      <w:marBottom w:val="0"/>
      <w:divBdr>
        <w:top w:val="none" w:sz="0" w:space="0" w:color="auto"/>
        <w:left w:val="none" w:sz="0" w:space="0" w:color="auto"/>
        <w:bottom w:val="none" w:sz="0" w:space="0" w:color="auto"/>
        <w:right w:val="none" w:sz="0" w:space="0" w:color="auto"/>
      </w:divBdr>
    </w:div>
    <w:div w:id="534735025">
      <w:bodyDiv w:val="1"/>
      <w:marLeft w:val="0"/>
      <w:marRight w:val="0"/>
      <w:marTop w:val="0"/>
      <w:marBottom w:val="0"/>
      <w:divBdr>
        <w:top w:val="none" w:sz="0" w:space="0" w:color="auto"/>
        <w:left w:val="none" w:sz="0" w:space="0" w:color="auto"/>
        <w:bottom w:val="none" w:sz="0" w:space="0" w:color="auto"/>
        <w:right w:val="none" w:sz="0" w:space="0" w:color="auto"/>
      </w:divBdr>
      <w:divsChild>
        <w:div w:id="18091398">
          <w:marLeft w:val="0"/>
          <w:marRight w:val="0"/>
          <w:marTop w:val="0"/>
          <w:marBottom w:val="0"/>
          <w:divBdr>
            <w:top w:val="none" w:sz="0" w:space="0" w:color="auto"/>
            <w:left w:val="none" w:sz="0" w:space="0" w:color="auto"/>
            <w:bottom w:val="none" w:sz="0" w:space="0" w:color="auto"/>
            <w:right w:val="none" w:sz="0" w:space="0" w:color="auto"/>
          </w:divBdr>
          <w:divsChild>
            <w:div w:id="1622305469">
              <w:marLeft w:val="0"/>
              <w:marRight w:val="0"/>
              <w:marTop w:val="0"/>
              <w:marBottom w:val="0"/>
              <w:divBdr>
                <w:top w:val="none" w:sz="0" w:space="0" w:color="auto"/>
                <w:left w:val="none" w:sz="0" w:space="0" w:color="auto"/>
                <w:bottom w:val="none" w:sz="0" w:space="0" w:color="auto"/>
                <w:right w:val="none" w:sz="0" w:space="0" w:color="auto"/>
              </w:divBdr>
              <w:divsChild>
                <w:div w:id="493837918">
                  <w:marLeft w:val="0"/>
                  <w:marRight w:val="0"/>
                  <w:marTop w:val="0"/>
                  <w:marBottom w:val="0"/>
                  <w:divBdr>
                    <w:top w:val="none" w:sz="0" w:space="0" w:color="auto"/>
                    <w:left w:val="none" w:sz="0" w:space="0" w:color="auto"/>
                    <w:bottom w:val="none" w:sz="0" w:space="0" w:color="auto"/>
                    <w:right w:val="none" w:sz="0" w:space="0" w:color="auto"/>
                  </w:divBdr>
                  <w:divsChild>
                    <w:div w:id="1461533601">
                      <w:marLeft w:val="0"/>
                      <w:marRight w:val="0"/>
                      <w:marTop w:val="0"/>
                      <w:marBottom w:val="0"/>
                      <w:divBdr>
                        <w:top w:val="none" w:sz="0" w:space="0" w:color="auto"/>
                        <w:left w:val="none" w:sz="0" w:space="0" w:color="auto"/>
                        <w:bottom w:val="none" w:sz="0" w:space="0" w:color="auto"/>
                        <w:right w:val="none" w:sz="0" w:space="0" w:color="auto"/>
                      </w:divBdr>
                      <w:divsChild>
                        <w:div w:id="588776684">
                          <w:marLeft w:val="0"/>
                          <w:marRight w:val="0"/>
                          <w:marTop w:val="0"/>
                          <w:marBottom w:val="0"/>
                          <w:divBdr>
                            <w:top w:val="none" w:sz="0" w:space="0" w:color="auto"/>
                            <w:left w:val="none" w:sz="0" w:space="0" w:color="auto"/>
                            <w:bottom w:val="none" w:sz="0" w:space="0" w:color="auto"/>
                            <w:right w:val="none" w:sz="0" w:space="0" w:color="auto"/>
                          </w:divBdr>
                          <w:divsChild>
                            <w:div w:id="1232080541">
                              <w:marLeft w:val="0"/>
                              <w:marRight w:val="0"/>
                              <w:marTop w:val="0"/>
                              <w:marBottom w:val="0"/>
                              <w:divBdr>
                                <w:top w:val="none" w:sz="0" w:space="0" w:color="auto"/>
                                <w:left w:val="none" w:sz="0" w:space="0" w:color="auto"/>
                                <w:bottom w:val="none" w:sz="0" w:space="0" w:color="auto"/>
                                <w:right w:val="none" w:sz="0" w:space="0" w:color="auto"/>
                              </w:divBdr>
                              <w:divsChild>
                                <w:div w:id="2026594319">
                                  <w:marLeft w:val="0"/>
                                  <w:marRight w:val="0"/>
                                  <w:marTop w:val="0"/>
                                  <w:marBottom w:val="0"/>
                                  <w:divBdr>
                                    <w:top w:val="none" w:sz="0" w:space="0" w:color="auto"/>
                                    <w:left w:val="none" w:sz="0" w:space="0" w:color="auto"/>
                                    <w:bottom w:val="none" w:sz="0" w:space="0" w:color="auto"/>
                                    <w:right w:val="none" w:sz="0" w:space="0" w:color="auto"/>
                                  </w:divBdr>
                                  <w:divsChild>
                                    <w:div w:id="317462322">
                                      <w:marLeft w:val="0"/>
                                      <w:marRight w:val="0"/>
                                      <w:marTop w:val="0"/>
                                      <w:marBottom w:val="0"/>
                                      <w:divBdr>
                                        <w:top w:val="none" w:sz="0" w:space="0" w:color="auto"/>
                                        <w:left w:val="none" w:sz="0" w:space="0" w:color="auto"/>
                                        <w:bottom w:val="none" w:sz="0" w:space="0" w:color="auto"/>
                                        <w:right w:val="none" w:sz="0" w:space="0" w:color="auto"/>
                                      </w:divBdr>
                                      <w:divsChild>
                                        <w:div w:id="951714193">
                                          <w:marLeft w:val="0"/>
                                          <w:marRight w:val="0"/>
                                          <w:marTop w:val="0"/>
                                          <w:marBottom w:val="0"/>
                                          <w:divBdr>
                                            <w:top w:val="none" w:sz="0" w:space="0" w:color="auto"/>
                                            <w:left w:val="none" w:sz="0" w:space="0" w:color="auto"/>
                                            <w:bottom w:val="none" w:sz="0" w:space="0" w:color="auto"/>
                                            <w:right w:val="none" w:sz="0" w:space="0" w:color="auto"/>
                                          </w:divBdr>
                                        </w:div>
                                      </w:divsChild>
                                    </w:div>
                                    <w:div w:id="1100643143">
                                      <w:marLeft w:val="0"/>
                                      <w:marRight w:val="0"/>
                                      <w:marTop w:val="0"/>
                                      <w:marBottom w:val="0"/>
                                      <w:divBdr>
                                        <w:top w:val="none" w:sz="0" w:space="0" w:color="auto"/>
                                        <w:left w:val="none" w:sz="0" w:space="0" w:color="auto"/>
                                        <w:bottom w:val="none" w:sz="0" w:space="0" w:color="auto"/>
                                        <w:right w:val="none" w:sz="0" w:space="0" w:color="auto"/>
                                      </w:divBdr>
                                      <w:divsChild>
                                        <w:div w:id="754934939">
                                          <w:marLeft w:val="0"/>
                                          <w:marRight w:val="0"/>
                                          <w:marTop w:val="0"/>
                                          <w:marBottom w:val="0"/>
                                          <w:divBdr>
                                            <w:top w:val="none" w:sz="0" w:space="0" w:color="auto"/>
                                            <w:left w:val="none" w:sz="0" w:space="0" w:color="auto"/>
                                            <w:bottom w:val="none" w:sz="0" w:space="0" w:color="auto"/>
                                            <w:right w:val="none" w:sz="0" w:space="0" w:color="auto"/>
                                          </w:divBdr>
                                        </w:div>
                                      </w:divsChild>
                                    </w:div>
                                    <w:div w:id="149450806">
                                      <w:marLeft w:val="0"/>
                                      <w:marRight w:val="0"/>
                                      <w:marTop w:val="0"/>
                                      <w:marBottom w:val="0"/>
                                      <w:divBdr>
                                        <w:top w:val="none" w:sz="0" w:space="0" w:color="auto"/>
                                        <w:left w:val="none" w:sz="0" w:space="0" w:color="auto"/>
                                        <w:bottom w:val="none" w:sz="0" w:space="0" w:color="auto"/>
                                        <w:right w:val="none" w:sz="0" w:space="0" w:color="auto"/>
                                      </w:divBdr>
                                      <w:divsChild>
                                        <w:div w:id="100547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152053">
          <w:marLeft w:val="0"/>
          <w:marRight w:val="0"/>
          <w:marTop w:val="0"/>
          <w:marBottom w:val="0"/>
          <w:divBdr>
            <w:top w:val="none" w:sz="0" w:space="0" w:color="auto"/>
            <w:left w:val="none" w:sz="0" w:space="0" w:color="auto"/>
            <w:bottom w:val="none" w:sz="0" w:space="0" w:color="auto"/>
            <w:right w:val="none" w:sz="0" w:space="0" w:color="auto"/>
          </w:divBdr>
          <w:divsChild>
            <w:div w:id="1753775004">
              <w:marLeft w:val="0"/>
              <w:marRight w:val="0"/>
              <w:marTop w:val="0"/>
              <w:marBottom w:val="0"/>
              <w:divBdr>
                <w:top w:val="none" w:sz="0" w:space="0" w:color="auto"/>
                <w:left w:val="none" w:sz="0" w:space="0" w:color="auto"/>
                <w:bottom w:val="none" w:sz="0" w:space="0" w:color="auto"/>
                <w:right w:val="none" w:sz="0" w:space="0" w:color="auto"/>
              </w:divBdr>
              <w:divsChild>
                <w:div w:id="952782085">
                  <w:marLeft w:val="0"/>
                  <w:marRight w:val="0"/>
                  <w:marTop w:val="0"/>
                  <w:marBottom w:val="0"/>
                  <w:divBdr>
                    <w:top w:val="none" w:sz="0" w:space="0" w:color="auto"/>
                    <w:left w:val="none" w:sz="0" w:space="0" w:color="auto"/>
                    <w:bottom w:val="none" w:sz="0" w:space="0" w:color="auto"/>
                    <w:right w:val="none" w:sz="0" w:space="0" w:color="auto"/>
                  </w:divBdr>
                  <w:divsChild>
                    <w:div w:id="250050309">
                      <w:marLeft w:val="0"/>
                      <w:marRight w:val="0"/>
                      <w:marTop w:val="0"/>
                      <w:marBottom w:val="0"/>
                      <w:divBdr>
                        <w:top w:val="none" w:sz="0" w:space="0" w:color="auto"/>
                        <w:left w:val="none" w:sz="0" w:space="0" w:color="auto"/>
                        <w:bottom w:val="none" w:sz="0" w:space="0" w:color="auto"/>
                        <w:right w:val="none" w:sz="0" w:space="0" w:color="auto"/>
                      </w:divBdr>
                      <w:divsChild>
                        <w:div w:id="2032998609">
                          <w:marLeft w:val="0"/>
                          <w:marRight w:val="0"/>
                          <w:marTop w:val="0"/>
                          <w:marBottom w:val="0"/>
                          <w:divBdr>
                            <w:top w:val="none" w:sz="0" w:space="0" w:color="auto"/>
                            <w:left w:val="none" w:sz="0" w:space="0" w:color="auto"/>
                            <w:bottom w:val="none" w:sz="0" w:space="0" w:color="auto"/>
                            <w:right w:val="none" w:sz="0" w:space="0" w:color="auto"/>
                          </w:divBdr>
                          <w:divsChild>
                            <w:div w:id="1709646690">
                              <w:marLeft w:val="0"/>
                              <w:marRight w:val="0"/>
                              <w:marTop w:val="0"/>
                              <w:marBottom w:val="0"/>
                              <w:divBdr>
                                <w:top w:val="none" w:sz="0" w:space="0" w:color="auto"/>
                                <w:left w:val="none" w:sz="0" w:space="0" w:color="auto"/>
                                <w:bottom w:val="none" w:sz="0" w:space="0" w:color="auto"/>
                                <w:right w:val="none" w:sz="0" w:space="0" w:color="auto"/>
                              </w:divBdr>
                              <w:divsChild>
                                <w:div w:id="1584947656">
                                  <w:marLeft w:val="0"/>
                                  <w:marRight w:val="0"/>
                                  <w:marTop w:val="0"/>
                                  <w:marBottom w:val="0"/>
                                  <w:divBdr>
                                    <w:top w:val="none" w:sz="0" w:space="0" w:color="auto"/>
                                    <w:left w:val="none" w:sz="0" w:space="0" w:color="auto"/>
                                    <w:bottom w:val="none" w:sz="0" w:space="0" w:color="auto"/>
                                    <w:right w:val="none" w:sz="0" w:space="0" w:color="auto"/>
                                  </w:divBdr>
                                  <w:divsChild>
                                    <w:div w:id="1982028662">
                                      <w:marLeft w:val="0"/>
                                      <w:marRight w:val="0"/>
                                      <w:marTop w:val="0"/>
                                      <w:marBottom w:val="0"/>
                                      <w:divBdr>
                                        <w:top w:val="none" w:sz="0" w:space="0" w:color="auto"/>
                                        <w:left w:val="none" w:sz="0" w:space="0" w:color="auto"/>
                                        <w:bottom w:val="none" w:sz="0" w:space="0" w:color="auto"/>
                                        <w:right w:val="none" w:sz="0" w:space="0" w:color="auto"/>
                                      </w:divBdr>
                                      <w:divsChild>
                                        <w:div w:id="196547552">
                                          <w:marLeft w:val="0"/>
                                          <w:marRight w:val="0"/>
                                          <w:marTop w:val="0"/>
                                          <w:marBottom w:val="0"/>
                                          <w:divBdr>
                                            <w:top w:val="none" w:sz="0" w:space="0" w:color="auto"/>
                                            <w:left w:val="none" w:sz="0" w:space="0" w:color="auto"/>
                                            <w:bottom w:val="none" w:sz="0" w:space="0" w:color="auto"/>
                                            <w:right w:val="none" w:sz="0" w:space="0" w:color="auto"/>
                                          </w:divBdr>
                                          <w:divsChild>
                                            <w:div w:id="1675298723">
                                              <w:marLeft w:val="0"/>
                                              <w:marRight w:val="0"/>
                                              <w:marTop w:val="0"/>
                                              <w:marBottom w:val="0"/>
                                              <w:divBdr>
                                                <w:top w:val="none" w:sz="0" w:space="0" w:color="auto"/>
                                                <w:left w:val="none" w:sz="0" w:space="0" w:color="auto"/>
                                                <w:bottom w:val="none" w:sz="0" w:space="0" w:color="auto"/>
                                                <w:right w:val="none" w:sz="0" w:space="0" w:color="auto"/>
                                              </w:divBdr>
                                              <w:divsChild>
                                                <w:div w:id="135994512">
                                                  <w:marLeft w:val="0"/>
                                                  <w:marRight w:val="0"/>
                                                  <w:marTop w:val="0"/>
                                                  <w:marBottom w:val="0"/>
                                                  <w:divBdr>
                                                    <w:top w:val="none" w:sz="0" w:space="0" w:color="auto"/>
                                                    <w:left w:val="none" w:sz="0" w:space="0" w:color="auto"/>
                                                    <w:bottom w:val="none" w:sz="0" w:space="0" w:color="auto"/>
                                                    <w:right w:val="none" w:sz="0" w:space="0" w:color="auto"/>
                                                  </w:divBdr>
                                                  <w:divsChild>
                                                    <w:div w:id="374549414">
                                                      <w:marLeft w:val="0"/>
                                                      <w:marRight w:val="0"/>
                                                      <w:marTop w:val="0"/>
                                                      <w:marBottom w:val="0"/>
                                                      <w:divBdr>
                                                        <w:top w:val="none" w:sz="0" w:space="0" w:color="auto"/>
                                                        <w:left w:val="none" w:sz="0" w:space="0" w:color="auto"/>
                                                        <w:bottom w:val="none" w:sz="0" w:space="0" w:color="auto"/>
                                                        <w:right w:val="none" w:sz="0" w:space="0" w:color="auto"/>
                                                      </w:divBdr>
                                                      <w:divsChild>
                                                        <w:div w:id="133137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261531">
      <w:bodyDiv w:val="1"/>
      <w:marLeft w:val="0"/>
      <w:marRight w:val="0"/>
      <w:marTop w:val="0"/>
      <w:marBottom w:val="0"/>
      <w:divBdr>
        <w:top w:val="none" w:sz="0" w:space="0" w:color="auto"/>
        <w:left w:val="none" w:sz="0" w:space="0" w:color="auto"/>
        <w:bottom w:val="none" w:sz="0" w:space="0" w:color="auto"/>
        <w:right w:val="none" w:sz="0" w:space="0" w:color="auto"/>
      </w:divBdr>
    </w:div>
    <w:div w:id="558444576">
      <w:bodyDiv w:val="1"/>
      <w:marLeft w:val="0"/>
      <w:marRight w:val="0"/>
      <w:marTop w:val="0"/>
      <w:marBottom w:val="0"/>
      <w:divBdr>
        <w:top w:val="none" w:sz="0" w:space="0" w:color="auto"/>
        <w:left w:val="none" w:sz="0" w:space="0" w:color="auto"/>
        <w:bottom w:val="none" w:sz="0" w:space="0" w:color="auto"/>
        <w:right w:val="none" w:sz="0" w:space="0" w:color="auto"/>
      </w:divBdr>
    </w:div>
    <w:div w:id="561868021">
      <w:bodyDiv w:val="1"/>
      <w:marLeft w:val="0"/>
      <w:marRight w:val="0"/>
      <w:marTop w:val="0"/>
      <w:marBottom w:val="0"/>
      <w:divBdr>
        <w:top w:val="none" w:sz="0" w:space="0" w:color="auto"/>
        <w:left w:val="none" w:sz="0" w:space="0" w:color="auto"/>
        <w:bottom w:val="none" w:sz="0" w:space="0" w:color="auto"/>
        <w:right w:val="none" w:sz="0" w:space="0" w:color="auto"/>
      </w:divBdr>
    </w:div>
    <w:div w:id="581253998">
      <w:bodyDiv w:val="1"/>
      <w:marLeft w:val="0"/>
      <w:marRight w:val="0"/>
      <w:marTop w:val="0"/>
      <w:marBottom w:val="0"/>
      <w:divBdr>
        <w:top w:val="none" w:sz="0" w:space="0" w:color="auto"/>
        <w:left w:val="none" w:sz="0" w:space="0" w:color="auto"/>
        <w:bottom w:val="none" w:sz="0" w:space="0" w:color="auto"/>
        <w:right w:val="none" w:sz="0" w:space="0" w:color="auto"/>
      </w:divBdr>
    </w:div>
    <w:div w:id="590161251">
      <w:bodyDiv w:val="1"/>
      <w:marLeft w:val="0"/>
      <w:marRight w:val="0"/>
      <w:marTop w:val="0"/>
      <w:marBottom w:val="0"/>
      <w:divBdr>
        <w:top w:val="none" w:sz="0" w:space="0" w:color="auto"/>
        <w:left w:val="none" w:sz="0" w:space="0" w:color="auto"/>
        <w:bottom w:val="none" w:sz="0" w:space="0" w:color="auto"/>
        <w:right w:val="none" w:sz="0" w:space="0" w:color="auto"/>
      </w:divBdr>
    </w:div>
    <w:div w:id="591084609">
      <w:bodyDiv w:val="1"/>
      <w:marLeft w:val="0"/>
      <w:marRight w:val="0"/>
      <w:marTop w:val="0"/>
      <w:marBottom w:val="0"/>
      <w:divBdr>
        <w:top w:val="none" w:sz="0" w:space="0" w:color="auto"/>
        <w:left w:val="none" w:sz="0" w:space="0" w:color="auto"/>
        <w:bottom w:val="none" w:sz="0" w:space="0" w:color="auto"/>
        <w:right w:val="none" w:sz="0" w:space="0" w:color="auto"/>
      </w:divBdr>
    </w:div>
    <w:div w:id="596521252">
      <w:bodyDiv w:val="1"/>
      <w:marLeft w:val="0"/>
      <w:marRight w:val="0"/>
      <w:marTop w:val="0"/>
      <w:marBottom w:val="0"/>
      <w:divBdr>
        <w:top w:val="none" w:sz="0" w:space="0" w:color="auto"/>
        <w:left w:val="none" w:sz="0" w:space="0" w:color="auto"/>
        <w:bottom w:val="none" w:sz="0" w:space="0" w:color="auto"/>
        <w:right w:val="none" w:sz="0" w:space="0" w:color="auto"/>
      </w:divBdr>
    </w:div>
    <w:div w:id="604076379">
      <w:bodyDiv w:val="1"/>
      <w:marLeft w:val="0"/>
      <w:marRight w:val="0"/>
      <w:marTop w:val="0"/>
      <w:marBottom w:val="0"/>
      <w:divBdr>
        <w:top w:val="none" w:sz="0" w:space="0" w:color="auto"/>
        <w:left w:val="none" w:sz="0" w:space="0" w:color="auto"/>
        <w:bottom w:val="none" w:sz="0" w:space="0" w:color="auto"/>
        <w:right w:val="none" w:sz="0" w:space="0" w:color="auto"/>
      </w:divBdr>
    </w:div>
    <w:div w:id="613636325">
      <w:bodyDiv w:val="1"/>
      <w:marLeft w:val="0"/>
      <w:marRight w:val="0"/>
      <w:marTop w:val="0"/>
      <w:marBottom w:val="0"/>
      <w:divBdr>
        <w:top w:val="none" w:sz="0" w:space="0" w:color="auto"/>
        <w:left w:val="none" w:sz="0" w:space="0" w:color="auto"/>
        <w:bottom w:val="none" w:sz="0" w:space="0" w:color="auto"/>
        <w:right w:val="none" w:sz="0" w:space="0" w:color="auto"/>
      </w:divBdr>
    </w:div>
    <w:div w:id="631443332">
      <w:bodyDiv w:val="1"/>
      <w:marLeft w:val="0"/>
      <w:marRight w:val="0"/>
      <w:marTop w:val="0"/>
      <w:marBottom w:val="0"/>
      <w:divBdr>
        <w:top w:val="none" w:sz="0" w:space="0" w:color="auto"/>
        <w:left w:val="none" w:sz="0" w:space="0" w:color="auto"/>
        <w:bottom w:val="none" w:sz="0" w:space="0" w:color="auto"/>
        <w:right w:val="none" w:sz="0" w:space="0" w:color="auto"/>
      </w:divBdr>
    </w:div>
    <w:div w:id="644890906">
      <w:bodyDiv w:val="1"/>
      <w:marLeft w:val="0"/>
      <w:marRight w:val="0"/>
      <w:marTop w:val="0"/>
      <w:marBottom w:val="0"/>
      <w:divBdr>
        <w:top w:val="none" w:sz="0" w:space="0" w:color="auto"/>
        <w:left w:val="none" w:sz="0" w:space="0" w:color="auto"/>
        <w:bottom w:val="none" w:sz="0" w:space="0" w:color="auto"/>
        <w:right w:val="none" w:sz="0" w:space="0" w:color="auto"/>
      </w:divBdr>
    </w:div>
    <w:div w:id="668562540">
      <w:bodyDiv w:val="1"/>
      <w:marLeft w:val="0"/>
      <w:marRight w:val="0"/>
      <w:marTop w:val="0"/>
      <w:marBottom w:val="0"/>
      <w:divBdr>
        <w:top w:val="none" w:sz="0" w:space="0" w:color="auto"/>
        <w:left w:val="none" w:sz="0" w:space="0" w:color="auto"/>
        <w:bottom w:val="none" w:sz="0" w:space="0" w:color="auto"/>
        <w:right w:val="none" w:sz="0" w:space="0" w:color="auto"/>
      </w:divBdr>
    </w:div>
    <w:div w:id="676930960">
      <w:bodyDiv w:val="1"/>
      <w:marLeft w:val="0"/>
      <w:marRight w:val="0"/>
      <w:marTop w:val="0"/>
      <w:marBottom w:val="0"/>
      <w:divBdr>
        <w:top w:val="none" w:sz="0" w:space="0" w:color="auto"/>
        <w:left w:val="none" w:sz="0" w:space="0" w:color="auto"/>
        <w:bottom w:val="none" w:sz="0" w:space="0" w:color="auto"/>
        <w:right w:val="none" w:sz="0" w:space="0" w:color="auto"/>
      </w:divBdr>
    </w:div>
    <w:div w:id="681393654">
      <w:bodyDiv w:val="1"/>
      <w:marLeft w:val="0"/>
      <w:marRight w:val="0"/>
      <w:marTop w:val="0"/>
      <w:marBottom w:val="0"/>
      <w:divBdr>
        <w:top w:val="none" w:sz="0" w:space="0" w:color="auto"/>
        <w:left w:val="none" w:sz="0" w:space="0" w:color="auto"/>
        <w:bottom w:val="none" w:sz="0" w:space="0" w:color="auto"/>
        <w:right w:val="none" w:sz="0" w:space="0" w:color="auto"/>
      </w:divBdr>
    </w:div>
    <w:div w:id="683089575">
      <w:bodyDiv w:val="1"/>
      <w:marLeft w:val="0"/>
      <w:marRight w:val="0"/>
      <w:marTop w:val="0"/>
      <w:marBottom w:val="0"/>
      <w:divBdr>
        <w:top w:val="none" w:sz="0" w:space="0" w:color="auto"/>
        <w:left w:val="none" w:sz="0" w:space="0" w:color="auto"/>
        <w:bottom w:val="none" w:sz="0" w:space="0" w:color="auto"/>
        <w:right w:val="none" w:sz="0" w:space="0" w:color="auto"/>
      </w:divBdr>
    </w:div>
    <w:div w:id="693579315">
      <w:bodyDiv w:val="1"/>
      <w:marLeft w:val="0"/>
      <w:marRight w:val="0"/>
      <w:marTop w:val="0"/>
      <w:marBottom w:val="0"/>
      <w:divBdr>
        <w:top w:val="none" w:sz="0" w:space="0" w:color="auto"/>
        <w:left w:val="none" w:sz="0" w:space="0" w:color="auto"/>
        <w:bottom w:val="none" w:sz="0" w:space="0" w:color="auto"/>
        <w:right w:val="none" w:sz="0" w:space="0" w:color="auto"/>
      </w:divBdr>
    </w:div>
    <w:div w:id="698318356">
      <w:bodyDiv w:val="1"/>
      <w:marLeft w:val="0"/>
      <w:marRight w:val="0"/>
      <w:marTop w:val="0"/>
      <w:marBottom w:val="0"/>
      <w:divBdr>
        <w:top w:val="none" w:sz="0" w:space="0" w:color="auto"/>
        <w:left w:val="none" w:sz="0" w:space="0" w:color="auto"/>
        <w:bottom w:val="none" w:sz="0" w:space="0" w:color="auto"/>
        <w:right w:val="none" w:sz="0" w:space="0" w:color="auto"/>
      </w:divBdr>
    </w:div>
    <w:div w:id="725034955">
      <w:bodyDiv w:val="1"/>
      <w:marLeft w:val="0"/>
      <w:marRight w:val="0"/>
      <w:marTop w:val="0"/>
      <w:marBottom w:val="0"/>
      <w:divBdr>
        <w:top w:val="none" w:sz="0" w:space="0" w:color="auto"/>
        <w:left w:val="none" w:sz="0" w:space="0" w:color="auto"/>
        <w:bottom w:val="none" w:sz="0" w:space="0" w:color="auto"/>
        <w:right w:val="none" w:sz="0" w:space="0" w:color="auto"/>
      </w:divBdr>
    </w:div>
    <w:div w:id="738940415">
      <w:bodyDiv w:val="1"/>
      <w:marLeft w:val="0"/>
      <w:marRight w:val="0"/>
      <w:marTop w:val="0"/>
      <w:marBottom w:val="0"/>
      <w:divBdr>
        <w:top w:val="none" w:sz="0" w:space="0" w:color="auto"/>
        <w:left w:val="none" w:sz="0" w:space="0" w:color="auto"/>
        <w:bottom w:val="none" w:sz="0" w:space="0" w:color="auto"/>
        <w:right w:val="none" w:sz="0" w:space="0" w:color="auto"/>
      </w:divBdr>
    </w:div>
    <w:div w:id="740491685">
      <w:bodyDiv w:val="1"/>
      <w:marLeft w:val="0"/>
      <w:marRight w:val="0"/>
      <w:marTop w:val="0"/>
      <w:marBottom w:val="0"/>
      <w:divBdr>
        <w:top w:val="none" w:sz="0" w:space="0" w:color="auto"/>
        <w:left w:val="none" w:sz="0" w:space="0" w:color="auto"/>
        <w:bottom w:val="none" w:sz="0" w:space="0" w:color="auto"/>
        <w:right w:val="none" w:sz="0" w:space="0" w:color="auto"/>
      </w:divBdr>
    </w:div>
    <w:div w:id="758670963">
      <w:bodyDiv w:val="1"/>
      <w:marLeft w:val="0"/>
      <w:marRight w:val="0"/>
      <w:marTop w:val="0"/>
      <w:marBottom w:val="0"/>
      <w:divBdr>
        <w:top w:val="none" w:sz="0" w:space="0" w:color="auto"/>
        <w:left w:val="none" w:sz="0" w:space="0" w:color="auto"/>
        <w:bottom w:val="none" w:sz="0" w:space="0" w:color="auto"/>
        <w:right w:val="none" w:sz="0" w:space="0" w:color="auto"/>
      </w:divBdr>
    </w:div>
    <w:div w:id="768280651">
      <w:bodyDiv w:val="1"/>
      <w:marLeft w:val="0"/>
      <w:marRight w:val="0"/>
      <w:marTop w:val="0"/>
      <w:marBottom w:val="0"/>
      <w:divBdr>
        <w:top w:val="none" w:sz="0" w:space="0" w:color="auto"/>
        <w:left w:val="none" w:sz="0" w:space="0" w:color="auto"/>
        <w:bottom w:val="none" w:sz="0" w:space="0" w:color="auto"/>
        <w:right w:val="none" w:sz="0" w:space="0" w:color="auto"/>
      </w:divBdr>
    </w:div>
    <w:div w:id="771824613">
      <w:bodyDiv w:val="1"/>
      <w:marLeft w:val="0"/>
      <w:marRight w:val="0"/>
      <w:marTop w:val="0"/>
      <w:marBottom w:val="0"/>
      <w:divBdr>
        <w:top w:val="none" w:sz="0" w:space="0" w:color="auto"/>
        <w:left w:val="none" w:sz="0" w:space="0" w:color="auto"/>
        <w:bottom w:val="none" w:sz="0" w:space="0" w:color="auto"/>
        <w:right w:val="none" w:sz="0" w:space="0" w:color="auto"/>
      </w:divBdr>
    </w:div>
    <w:div w:id="779490914">
      <w:bodyDiv w:val="1"/>
      <w:marLeft w:val="0"/>
      <w:marRight w:val="0"/>
      <w:marTop w:val="0"/>
      <w:marBottom w:val="0"/>
      <w:divBdr>
        <w:top w:val="none" w:sz="0" w:space="0" w:color="auto"/>
        <w:left w:val="none" w:sz="0" w:space="0" w:color="auto"/>
        <w:bottom w:val="none" w:sz="0" w:space="0" w:color="auto"/>
        <w:right w:val="none" w:sz="0" w:space="0" w:color="auto"/>
      </w:divBdr>
    </w:div>
    <w:div w:id="782650917">
      <w:bodyDiv w:val="1"/>
      <w:marLeft w:val="0"/>
      <w:marRight w:val="0"/>
      <w:marTop w:val="0"/>
      <w:marBottom w:val="0"/>
      <w:divBdr>
        <w:top w:val="none" w:sz="0" w:space="0" w:color="auto"/>
        <w:left w:val="none" w:sz="0" w:space="0" w:color="auto"/>
        <w:bottom w:val="none" w:sz="0" w:space="0" w:color="auto"/>
        <w:right w:val="none" w:sz="0" w:space="0" w:color="auto"/>
      </w:divBdr>
    </w:div>
    <w:div w:id="783958069">
      <w:bodyDiv w:val="1"/>
      <w:marLeft w:val="0"/>
      <w:marRight w:val="0"/>
      <w:marTop w:val="0"/>
      <w:marBottom w:val="0"/>
      <w:divBdr>
        <w:top w:val="none" w:sz="0" w:space="0" w:color="auto"/>
        <w:left w:val="none" w:sz="0" w:space="0" w:color="auto"/>
        <w:bottom w:val="none" w:sz="0" w:space="0" w:color="auto"/>
        <w:right w:val="none" w:sz="0" w:space="0" w:color="auto"/>
      </w:divBdr>
    </w:div>
    <w:div w:id="796098156">
      <w:bodyDiv w:val="1"/>
      <w:marLeft w:val="0"/>
      <w:marRight w:val="0"/>
      <w:marTop w:val="0"/>
      <w:marBottom w:val="0"/>
      <w:divBdr>
        <w:top w:val="none" w:sz="0" w:space="0" w:color="auto"/>
        <w:left w:val="none" w:sz="0" w:space="0" w:color="auto"/>
        <w:bottom w:val="none" w:sz="0" w:space="0" w:color="auto"/>
        <w:right w:val="none" w:sz="0" w:space="0" w:color="auto"/>
      </w:divBdr>
    </w:div>
    <w:div w:id="796340324">
      <w:bodyDiv w:val="1"/>
      <w:marLeft w:val="0"/>
      <w:marRight w:val="0"/>
      <w:marTop w:val="0"/>
      <w:marBottom w:val="0"/>
      <w:divBdr>
        <w:top w:val="none" w:sz="0" w:space="0" w:color="auto"/>
        <w:left w:val="none" w:sz="0" w:space="0" w:color="auto"/>
        <w:bottom w:val="none" w:sz="0" w:space="0" w:color="auto"/>
        <w:right w:val="none" w:sz="0" w:space="0" w:color="auto"/>
      </w:divBdr>
    </w:div>
    <w:div w:id="803037730">
      <w:bodyDiv w:val="1"/>
      <w:marLeft w:val="0"/>
      <w:marRight w:val="0"/>
      <w:marTop w:val="0"/>
      <w:marBottom w:val="0"/>
      <w:divBdr>
        <w:top w:val="none" w:sz="0" w:space="0" w:color="auto"/>
        <w:left w:val="none" w:sz="0" w:space="0" w:color="auto"/>
        <w:bottom w:val="none" w:sz="0" w:space="0" w:color="auto"/>
        <w:right w:val="none" w:sz="0" w:space="0" w:color="auto"/>
      </w:divBdr>
    </w:div>
    <w:div w:id="824472131">
      <w:bodyDiv w:val="1"/>
      <w:marLeft w:val="0"/>
      <w:marRight w:val="0"/>
      <w:marTop w:val="0"/>
      <w:marBottom w:val="0"/>
      <w:divBdr>
        <w:top w:val="none" w:sz="0" w:space="0" w:color="auto"/>
        <w:left w:val="none" w:sz="0" w:space="0" w:color="auto"/>
        <w:bottom w:val="none" w:sz="0" w:space="0" w:color="auto"/>
        <w:right w:val="none" w:sz="0" w:space="0" w:color="auto"/>
      </w:divBdr>
    </w:div>
    <w:div w:id="846746707">
      <w:bodyDiv w:val="1"/>
      <w:marLeft w:val="0"/>
      <w:marRight w:val="0"/>
      <w:marTop w:val="0"/>
      <w:marBottom w:val="0"/>
      <w:divBdr>
        <w:top w:val="none" w:sz="0" w:space="0" w:color="auto"/>
        <w:left w:val="none" w:sz="0" w:space="0" w:color="auto"/>
        <w:bottom w:val="none" w:sz="0" w:space="0" w:color="auto"/>
        <w:right w:val="none" w:sz="0" w:space="0" w:color="auto"/>
      </w:divBdr>
    </w:div>
    <w:div w:id="859393477">
      <w:bodyDiv w:val="1"/>
      <w:marLeft w:val="0"/>
      <w:marRight w:val="0"/>
      <w:marTop w:val="0"/>
      <w:marBottom w:val="0"/>
      <w:divBdr>
        <w:top w:val="none" w:sz="0" w:space="0" w:color="auto"/>
        <w:left w:val="none" w:sz="0" w:space="0" w:color="auto"/>
        <w:bottom w:val="none" w:sz="0" w:space="0" w:color="auto"/>
        <w:right w:val="none" w:sz="0" w:space="0" w:color="auto"/>
      </w:divBdr>
    </w:div>
    <w:div w:id="873149612">
      <w:bodyDiv w:val="1"/>
      <w:marLeft w:val="0"/>
      <w:marRight w:val="0"/>
      <w:marTop w:val="0"/>
      <w:marBottom w:val="0"/>
      <w:divBdr>
        <w:top w:val="none" w:sz="0" w:space="0" w:color="auto"/>
        <w:left w:val="none" w:sz="0" w:space="0" w:color="auto"/>
        <w:bottom w:val="none" w:sz="0" w:space="0" w:color="auto"/>
        <w:right w:val="none" w:sz="0" w:space="0" w:color="auto"/>
      </w:divBdr>
    </w:div>
    <w:div w:id="877280607">
      <w:bodyDiv w:val="1"/>
      <w:marLeft w:val="0"/>
      <w:marRight w:val="0"/>
      <w:marTop w:val="0"/>
      <w:marBottom w:val="0"/>
      <w:divBdr>
        <w:top w:val="none" w:sz="0" w:space="0" w:color="auto"/>
        <w:left w:val="none" w:sz="0" w:space="0" w:color="auto"/>
        <w:bottom w:val="none" w:sz="0" w:space="0" w:color="auto"/>
        <w:right w:val="none" w:sz="0" w:space="0" w:color="auto"/>
      </w:divBdr>
    </w:div>
    <w:div w:id="882181809">
      <w:bodyDiv w:val="1"/>
      <w:marLeft w:val="0"/>
      <w:marRight w:val="0"/>
      <w:marTop w:val="0"/>
      <w:marBottom w:val="0"/>
      <w:divBdr>
        <w:top w:val="none" w:sz="0" w:space="0" w:color="auto"/>
        <w:left w:val="none" w:sz="0" w:space="0" w:color="auto"/>
        <w:bottom w:val="none" w:sz="0" w:space="0" w:color="auto"/>
        <w:right w:val="none" w:sz="0" w:space="0" w:color="auto"/>
      </w:divBdr>
    </w:div>
    <w:div w:id="891582083">
      <w:bodyDiv w:val="1"/>
      <w:marLeft w:val="0"/>
      <w:marRight w:val="0"/>
      <w:marTop w:val="0"/>
      <w:marBottom w:val="0"/>
      <w:divBdr>
        <w:top w:val="none" w:sz="0" w:space="0" w:color="auto"/>
        <w:left w:val="none" w:sz="0" w:space="0" w:color="auto"/>
        <w:bottom w:val="none" w:sz="0" w:space="0" w:color="auto"/>
        <w:right w:val="none" w:sz="0" w:space="0" w:color="auto"/>
      </w:divBdr>
    </w:div>
    <w:div w:id="898247802">
      <w:bodyDiv w:val="1"/>
      <w:marLeft w:val="0"/>
      <w:marRight w:val="0"/>
      <w:marTop w:val="0"/>
      <w:marBottom w:val="0"/>
      <w:divBdr>
        <w:top w:val="none" w:sz="0" w:space="0" w:color="auto"/>
        <w:left w:val="none" w:sz="0" w:space="0" w:color="auto"/>
        <w:bottom w:val="none" w:sz="0" w:space="0" w:color="auto"/>
        <w:right w:val="none" w:sz="0" w:space="0" w:color="auto"/>
      </w:divBdr>
    </w:div>
    <w:div w:id="899287249">
      <w:bodyDiv w:val="1"/>
      <w:marLeft w:val="0"/>
      <w:marRight w:val="0"/>
      <w:marTop w:val="0"/>
      <w:marBottom w:val="0"/>
      <w:divBdr>
        <w:top w:val="none" w:sz="0" w:space="0" w:color="auto"/>
        <w:left w:val="none" w:sz="0" w:space="0" w:color="auto"/>
        <w:bottom w:val="none" w:sz="0" w:space="0" w:color="auto"/>
        <w:right w:val="none" w:sz="0" w:space="0" w:color="auto"/>
      </w:divBdr>
    </w:div>
    <w:div w:id="909844989">
      <w:bodyDiv w:val="1"/>
      <w:marLeft w:val="0"/>
      <w:marRight w:val="0"/>
      <w:marTop w:val="0"/>
      <w:marBottom w:val="0"/>
      <w:divBdr>
        <w:top w:val="none" w:sz="0" w:space="0" w:color="auto"/>
        <w:left w:val="none" w:sz="0" w:space="0" w:color="auto"/>
        <w:bottom w:val="none" w:sz="0" w:space="0" w:color="auto"/>
        <w:right w:val="none" w:sz="0" w:space="0" w:color="auto"/>
      </w:divBdr>
    </w:div>
    <w:div w:id="946012186">
      <w:bodyDiv w:val="1"/>
      <w:marLeft w:val="0"/>
      <w:marRight w:val="0"/>
      <w:marTop w:val="0"/>
      <w:marBottom w:val="0"/>
      <w:divBdr>
        <w:top w:val="none" w:sz="0" w:space="0" w:color="auto"/>
        <w:left w:val="none" w:sz="0" w:space="0" w:color="auto"/>
        <w:bottom w:val="none" w:sz="0" w:space="0" w:color="auto"/>
        <w:right w:val="none" w:sz="0" w:space="0" w:color="auto"/>
      </w:divBdr>
    </w:div>
    <w:div w:id="961956536">
      <w:bodyDiv w:val="1"/>
      <w:marLeft w:val="0"/>
      <w:marRight w:val="0"/>
      <w:marTop w:val="0"/>
      <w:marBottom w:val="0"/>
      <w:divBdr>
        <w:top w:val="none" w:sz="0" w:space="0" w:color="auto"/>
        <w:left w:val="none" w:sz="0" w:space="0" w:color="auto"/>
        <w:bottom w:val="none" w:sz="0" w:space="0" w:color="auto"/>
        <w:right w:val="none" w:sz="0" w:space="0" w:color="auto"/>
      </w:divBdr>
    </w:div>
    <w:div w:id="978801832">
      <w:bodyDiv w:val="1"/>
      <w:marLeft w:val="0"/>
      <w:marRight w:val="0"/>
      <w:marTop w:val="0"/>
      <w:marBottom w:val="0"/>
      <w:divBdr>
        <w:top w:val="none" w:sz="0" w:space="0" w:color="auto"/>
        <w:left w:val="none" w:sz="0" w:space="0" w:color="auto"/>
        <w:bottom w:val="none" w:sz="0" w:space="0" w:color="auto"/>
        <w:right w:val="none" w:sz="0" w:space="0" w:color="auto"/>
      </w:divBdr>
    </w:div>
    <w:div w:id="984431009">
      <w:bodyDiv w:val="1"/>
      <w:marLeft w:val="0"/>
      <w:marRight w:val="0"/>
      <w:marTop w:val="0"/>
      <w:marBottom w:val="0"/>
      <w:divBdr>
        <w:top w:val="none" w:sz="0" w:space="0" w:color="auto"/>
        <w:left w:val="none" w:sz="0" w:space="0" w:color="auto"/>
        <w:bottom w:val="none" w:sz="0" w:space="0" w:color="auto"/>
        <w:right w:val="none" w:sz="0" w:space="0" w:color="auto"/>
      </w:divBdr>
    </w:div>
    <w:div w:id="993677689">
      <w:bodyDiv w:val="1"/>
      <w:marLeft w:val="0"/>
      <w:marRight w:val="0"/>
      <w:marTop w:val="0"/>
      <w:marBottom w:val="0"/>
      <w:divBdr>
        <w:top w:val="none" w:sz="0" w:space="0" w:color="auto"/>
        <w:left w:val="none" w:sz="0" w:space="0" w:color="auto"/>
        <w:bottom w:val="none" w:sz="0" w:space="0" w:color="auto"/>
        <w:right w:val="none" w:sz="0" w:space="0" w:color="auto"/>
      </w:divBdr>
    </w:div>
    <w:div w:id="994382070">
      <w:bodyDiv w:val="1"/>
      <w:marLeft w:val="0"/>
      <w:marRight w:val="0"/>
      <w:marTop w:val="0"/>
      <w:marBottom w:val="0"/>
      <w:divBdr>
        <w:top w:val="none" w:sz="0" w:space="0" w:color="auto"/>
        <w:left w:val="none" w:sz="0" w:space="0" w:color="auto"/>
        <w:bottom w:val="none" w:sz="0" w:space="0" w:color="auto"/>
        <w:right w:val="none" w:sz="0" w:space="0" w:color="auto"/>
      </w:divBdr>
    </w:div>
    <w:div w:id="1001082339">
      <w:bodyDiv w:val="1"/>
      <w:marLeft w:val="0"/>
      <w:marRight w:val="0"/>
      <w:marTop w:val="0"/>
      <w:marBottom w:val="0"/>
      <w:divBdr>
        <w:top w:val="none" w:sz="0" w:space="0" w:color="auto"/>
        <w:left w:val="none" w:sz="0" w:space="0" w:color="auto"/>
        <w:bottom w:val="none" w:sz="0" w:space="0" w:color="auto"/>
        <w:right w:val="none" w:sz="0" w:space="0" w:color="auto"/>
      </w:divBdr>
      <w:divsChild>
        <w:div w:id="1669362706">
          <w:marLeft w:val="0"/>
          <w:marRight w:val="0"/>
          <w:marTop w:val="0"/>
          <w:marBottom w:val="0"/>
          <w:divBdr>
            <w:top w:val="none" w:sz="0" w:space="0" w:color="auto"/>
            <w:left w:val="none" w:sz="0" w:space="0" w:color="auto"/>
            <w:bottom w:val="none" w:sz="0" w:space="0" w:color="auto"/>
            <w:right w:val="none" w:sz="0" w:space="0" w:color="auto"/>
          </w:divBdr>
          <w:divsChild>
            <w:div w:id="1157038513">
              <w:marLeft w:val="0"/>
              <w:marRight w:val="0"/>
              <w:marTop w:val="0"/>
              <w:marBottom w:val="0"/>
              <w:divBdr>
                <w:top w:val="none" w:sz="0" w:space="0" w:color="auto"/>
                <w:left w:val="none" w:sz="0" w:space="0" w:color="auto"/>
                <w:bottom w:val="none" w:sz="0" w:space="0" w:color="auto"/>
                <w:right w:val="none" w:sz="0" w:space="0" w:color="auto"/>
              </w:divBdr>
              <w:divsChild>
                <w:div w:id="608243144">
                  <w:marLeft w:val="0"/>
                  <w:marRight w:val="0"/>
                  <w:marTop w:val="0"/>
                  <w:marBottom w:val="0"/>
                  <w:divBdr>
                    <w:top w:val="none" w:sz="0" w:space="0" w:color="auto"/>
                    <w:left w:val="none" w:sz="0" w:space="0" w:color="auto"/>
                    <w:bottom w:val="none" w:sz="0" w:space="0" w:color="auto"/>
                    <w:right w:val="none" w:sz="0" w:space="0" w:color="auto"/>
                  </w:divBdr>
                  <w:divsChild>
                    <w:div w:id="776608587">
                      <w:marLeft w:val="0"/>
                      <w:marRight w:val="0"/>
                      <w:marTop w:val="0"/>
                      <w:marBottom w:val="0"/>
                      <w:divBdr>
                        <w:top w:val="none" w:sz="0" w:space="0" w:color="auto"/>
                        <w:left w:val="none" w:sz="0" w:space="0" w:color="auto"/>
                        <w:bottom w:val="none" w:sz="0" w:space="0" w:color="auto"/>
                        <w:right w:val="none" w:sz="0" w:space="0" w:color="auto"/>
                      </w:divBdr>
                      <w:divsChild>
                        <w:div w:id="804930669">
                          <w:marLeft w:val="0"/>
                          <w:marRight w:val="0"/>
                          <w:marTop w:val="0"/>
                          <w:marBottom w:val="0"/>
                          <w:divBdr>
                            <w:top w:val="none" w:sz="0" w:space="0" w:color="auto"/>
                            <w:left w:val="none" w:sz="0" w:space="0" w:color="auto"/>
                            <w:bottom w:val="none" w:sz="0" w:space="0" w:color="auto"/>
                            <w:right w:val="none" w:sz="0" w:space="0" w:color="auto"/>
                          </w:divBdr>
                          <w:divsChild>
                            <w:div w:id="1064648132">
                              <w:marLeft w:val="0"/>
                              <w:marRight w:val="0"/>
                              <w:marTop w:val="0"/>
                              <w:marBottom w:val="0"/>
                              <w:divBdr>
                                <w:top w:val="none" w:sz="0" w:space="0" w:color="auto"/>
                                <w:left w:val="none" w:sz="0" w:space="0" w:color="auto"/>
                                <w:bottom w:val="none" w:sz="0" w:space="0" w:color="auto"/>
                                <w:right w:val="none" w:sz="0" w:space="0" w:color="auto"/>
                              </w:divBdr>
                              <w:divsChild>
                                <w:div w:id="145053090">
                                  <w:marLeft w:val="0"/>
                                  <w:marRight w:val="0"/>
                                  <w:marTop w:val="0"/>
                                  <w:marBottom w:val="0"/>
                                  <w:divBdr>
                                    <w:top w:val="none" w:sz="0" w:space="0" w:color="auto"/>
                                    <w:left w:val="none" w:sz="0" w:space="0" w:color="auto"/>
                                    <w:bottom w:val="none" w:sz="0" w:space="0" w:color="auto"/>
                                    <w:right w:val="none" w:sz="0" w:space="0" w:color="auto"/>
                                  </w:divBdr>
                                  <w:divsChild>
                                    <w:div w:id="716128311">
                                      <w:marLeft w:val="0"/>
                                      <w:marRight w:val="0"/>
                                      <w:marTop w:val="0"/>
                                      <w:marBottom w:val="0"/>
                                      <w:divBdr>
                                        <w:top w:val="none" w:sz="0" w:space="0" w:color="auto"/>
                                        <w:left w:val="none" w:sz="0" w:space="0" w:color="auto"/>
                                        <w:bottom w:val="none" w:sz="0" w:space="0" w:color="auto"/>
                                        <w:right w:val="none" w:sz="0" w:space="0" w:color="auto"/>
                                      </w:divBdr>
                                      <w:divsChild>
                                        <w:div w:id="1154837462">
                                          <w:marLeft w:val="0"/>
                                          <w:marRight w:val="0"/>
                                          <w:marTop w:val="0"/>
                                          <w:marBottom w:val="0"/>
                                          <w:divBdr>
                                            <w:top w:val="none" w:sz="0" w:space="0" w:color="auto"/>
                                            <w:left w:val="none" w:sz="0" w:space="0" w:color="auto"/>
                                            <w:bottom w:val="none" w:sz="0" w:space="0" w:color="auto"/>
                                            <w:right w:val="none" w:sz="0" w:space="0" w:color="auto"/>
                                          </w:divBdr>
                                        </w:div>
                                      </w:divsChild>
                                    </w:div>
                                    <w:div w:id="1709792172">
                                      <w:marLeft w:val="0"/>
                                      <w:marRight w:val="0"/>
                                      <w:marTop w:val="0"/>
                                      <w:marBottom w:val="0"/>
                                      <w:divBdr>
                                        <w:top w:val="none" w:sz="0" w:space="0" w:color="auto"/>
                                        <w:left w:val="none" w:sz="0" w:space="0" w:color="auto"/>
                                        <w:bottom w:val="none" w:sz="0" w:space="0" w:color="auto"/>
                                        <w:right w:val="none" w:sz="0" w:space="0" w:color="auto"/>
                                      </w:divBdr>
                                      <w:divsChild>
                                        <w:div w:id="272595015">
                                          <w:marLeft w:val="0"/>
                                          <w:marRight w:val="0"/>
                                          <w:marTop w:val="0"/>
                                          <w:marBottom w:val="0"/>
                                          <w:divBdr>
                                            <w:top w:val="none" w:sz="0" w:space="0" w:color="auto"/>
                                            <w:left w:val="none" w:sz="0" w:space="0" w:color="auto"/>
                                            <w:bottom w:val="none" w:sz="0" w:space="0" w:color="auto"/>
                                            <w:right w:val="none" w:sz="0" w:space="0" w:color="auto"/>
                                          </w:divBdr>
                                        </w:div>
                                      </w:divsChild>
                                    </w:div>
                                    <w:div w:id="1566140173">
                                      <w:marLeft w:val="0"/>
                                      <w:marRight w:val="0"/>
                                      <w:marTop w:val="0"/>
                                      <w:marBottom w:val="0"/>
                                      <w:divBdr>
                                        <w:top w:val="none" w:sz="0" w:space="0" w:color="auto"/>
                                        <w:left w:val="none" w:sz="0" w:space="0" w:color="auto"/>
                                        <w:bottom w:val="none" w:sz="0" w:space="0" w:color="auto"/>
                                        <w:right w:val="none" w:sz="0" w:space="0" w:color="auto"/>
                                      </w:divBdr>
                                      <w:divsChild>
                                        <w:div w:id="46520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65158">
          <w:marLeft w:val="0"/>
          <w:marRight w:val="0"/>
          <w:marTop w:val="0"/>
          <w:marBottom w:val="0"/>
          <w:divBdr>
            <w:top w:val="none" w:sz="0" w:space="0" w:color="auto"/>
            <w:left w:val="none" w:sz="0" w:space="0" w:color="auto"/>
            <w:bottom w:val="none" w:sz="0" w:space="0" w:color="auto"/>
            <w:right w:val="none" w:sz="0" w:space="0" w:color="auto"/>
          </w:divBdr>
          <w:divsChild>
            <w:div w:id="1118377872">
              <w:marLeft w:val="0"/>
              <w:marRight w:val="0"/>
              <w:marTop w:val="0"/>
              <w:marBottom w:val="0"/>
              <w:divBdr>
                <w:top w:val="none" w:sz="0" w:space="0" w:color="auto"/>
                <w:left w:val="none" w:sz="0" w:space="0" w:color="auto"/>
                <w:bottom w:val="none" w:sz="0" w:space="0" w:color="auto"/>
                <w:right w:val="none" w:sz="0" w:space="0" w:color="auto"/>
              </w:divBdr>
              <w:divsChild>
                <w:div w:id="691298002">
                  <w:marLeft w:val="0"/>
                  <w:marRight w:val="0"/>
                  <w:marTop w:val="0"/>
                  <w:marBottom w:val="0"/>
                  <w:divBdr>
                    <w:top w:val="none" w:sz="0" w:space="0" w:color="auto"/>
                    <w:left w:val="none" w:sz="0" w:space="0" w:color="auto"/>
                    <w:bottom w:val="none" w:sz="0" w:space="0" w:color="auto"/>
                    <w:right w:val="none" w:sz="0" w:space="0" w:color="auto"/>
                  </w:divBdr>
                  <w:divsChild>
                    <w:div w:id="1828201539">
                      <w:marLeft w:val="0"/>
                      <w:marRight w:val="0"/>
                      <w:marTop w:val="0"/>
                      <w:marBottom w:val="0"/>
                      <w:divBdr>
                        <w:top w:val="none" w:sz="0" w:space="0" w:color="auto"/>
                        <w:left w:val="none" w:sz="0" w:space="0" w:color="auto"/>
                        <w:bottom w:val="none" w:sz="0" w:space="0" w:color="auto"/>
                        <w:right w:val="none" w:sz="0" w:space="0" w:color="auto"/>
                      </w:divBdr>
                      <w:divsChild>
                        <w:div w:id="2142460784">
                          <w:marLeft w:val="0"/>
                          <w:marRight w:val="0"/>
                          <w:marTop w:val="0"/>
                          <w:marBottom w:val="0"/>
                          <w:divBdr>
                            <w:top w:val="none" w:sz="0" w:space="0" w:color="auto"/>
                            <w:left w:val="none" w:sz="0" w:space="0" w:color="auto"/>
                            <w:bottom w:val="none" w:sz="0" w:space="0" w:color="auto"/>
                            <w:right w:val="none" w:sz="0" w:space="0" w:color="auto"/>
                          </w:divBdr>
                          <w:divsChild>
                            <w:div w:id="1716585025">
                              <w:marLeft w:val="0"/>
                              <w:marRight w:val="0"/>
                              <w:marTop w:val="0"/>
                              <w:marBottom w:val="0"/>
                              <w:divBdr>
                                <w:top w:val="none" w:sz="0" w:space="0" w:color="auto"/>
                                <w:left w:val="none" w:sz="0" w:space="0" w:color="auto"/>
                                <w:bottom w:val="none" w:sz="0" w:space="0" w:color="auto"/>
                                <w:right w:val="none" w:sz="0" w:space="0" w:color="auto"/>
                              </w:divBdr>
                              <w:divsChild>
                                <w:div w:id="1125732724">
                                  <w:marLeft w:val="0"/>
                                  <w:marRight w:val="0"/>
                                  <w:marTop w:val="0"/>
                                  <w:marBottom w:val="0"/>
                                  <w:divBdr>
                                    <w:top w:val="none" w:sz="0" w:space="0" w:color="auto"/>
                                    <w:left w:val="none" w:sz="0" w:space="0" w:color="auto"/>
                                    <w:bottom w:val="none" w:sz="0" w:space="0" w:color="auto"/>
                                    <w:right w:val="none" w:sz="0" w:space="0" w:color="auto"/>
                                  </w:divBdr>
                                  <w:divsChild>
                                    <w:div w:id="1163622146">
                                      <w:marLeft w:val="0"/>
                                      <w:marRight w:val="0"/>
                                      <w:marTop w:val="0"/>
                                      <w:marBottom w:val="0"/>
                                      <w:divBdr>
                                        <w:top w:val="none" w:sz="0" w:space="0" w:color="auto"/>
                                        <w:left w:val="none" w:sz="0" w:space="0" w:color="auto"/>
                                        <w:bottom w:val="none" w:sz="0" w:space="0" w:color="auto"/>
                                        <w:right w:val="none" w:sz="0" w:space="0" w:color="auto"/>
                                      </w:divBdr>
                                      <w:divsChild>
                                        <w:div w:id="264460446">
                                          <w:marLeft w:val="0"/>
                                          <w:marRight w:val="0"/>
                                          <w:marTop w:val="0"/>
                                          <w:marBottom w:val="0"/>
                                          <w:divBdr>
                                            <w:top w:val="none" w:sz="0" w:space="0" w:color="auto"/>
                                            <w:left w:val="none" w:sz="0" w:space="0" w:color="auto"/>
                                            <w:bottom w:val="none" w:sz="0" w:space="0" w:color="auto"/>
                                            <w:right w:val="none" w:sz="0" w:space="0" w:color="auto"/>
                                          </w:divBdr>
                                          <w:divsChild>
                                            <w:div w:id="1375077160">
                                              <w:marLeft w:val="0"/>
                                              <w:marRight w:val="0"/>
                                              <w:marTop w:val="0"/>
                                              <w:marBottom w:val="0"/>
                                              <w:divBdr>
                                                <w:top w:val="none" w:sz="0" w:space="0" w:color="auto"/>
                                                <w:left w:val="none" w:sz="0" w:space="0" w:color="auto"/>
                                                <w:bottom w:val="none" w:sz="0" w:space="0" w:color="auto"/>
                                                <w:right w:val="none" w:sz="0" w:space="0" w:color="auto"/>
                                              </w:divBdr>
                                              <w:divsChild>
                                                <w:div w:id="270166362">
                                                  <w:marLeft w:val="0"/>
                                                  <w:marRight w:val="0"/>
                                                  <w:marTop w:val="0"/>
                                                  <w:marBottom w:val="0"/>
                                                  <w:divBdr>
                                                    <w:top w:val="none" w:sz="0" w:space="0" w:color="auto"/>
                                                    <w:left w:val="none" w:sz="0" w:space="0" w:color="auto"/>
                                                    <w:bottom w:val="none" w:sz="0" w:space="0" w:color="auto"/>
                                                    <w:right w:val="none" w:sz="0" w:space="0" w:color="auto"/>
                                                  </w:divBdr>
                                                  <w:divsChild>
                                                    <w:div w:id="2053385236">
                                                      <w:marLeft w:val="0"/>
                                                      <w:marRight w:val="0"/>
                                                      <w:marTop w:val="0"/>
                                                      <w:marBottom w:val="0"/>
                                                      <w:divBdr>
                                                        <w:top w:val="none" w:sz="0" w:space="0" w:color="auto"/>
                                                        <w:left w:val="none" w:sz="0" w:space="0" w:color="auto"/>
                                                        <w:bottom w:val="none" w:sz="0" w:space="0" w:color="auto"/>
                                                        <w:right w:val="none" w:sz="0" w:space="0" w:color="auto"/>
                                                      </w:divBdr>
                                                      <w:divsChild>
                                                        <w:div w:id="232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4624893">
      <w:bodyDiv w:val="1"/>
      <w:marLeft w:val="0"/>
      <w:marRight w:val="0"/>
      <w:marTop w:val="0"/>
      <w:marBottom w:val="0"/>
      <w:divBdr>
        <w:top w:val="none" w:sz="0" w:space="0" w:color="auto"/>
        <w:left w:val="none" w:sz="0" w:space="0" w:color="auto"/>
        <w:bottom w:val="none" w:sz="0" w:space="0" w:color="auto"/>
        <w:right w:val="none" w:sz="0" w:space="0" w:color="auto"/>
      </w:divBdr>
    </w:div>
    <w:div w:id="1053116024">
      <w:bodyDiv w:val="1"/>
      <w:marLeft w:val="0"/>
      <w:marRight w:val="0"/>
      <w:marTop w:val="0"/>
      <w:marBottom w:val="0"/>
      <w:divBdr>
        <w:top w:val="none" w:sz="0" w:space="0" w:color="auto"/>
        <w:left w:val="none" w:sz="0" w:space="0" w:color="auto"/>
        <w:bottom w:val="none" w:sz="0" w:space="0" w:color="auto"/>
        <w:right w:val="none" w:sz="0" w:space="0" w:color="auto"/>
      </w:divBdr>
    </w:div>
    <w:div w:id="1059014763">
      <w:bodyDiv w:val="1"/>
      <w:marLeft w:val="0"/>
      <w:marRight w:val="0"/>
      <w:marTop w:val="0"/>
      <w:marBottom w:val="0"/>
      <w:divBdr>
        <w:top w:val="none" w:sz="0" w:space="0" w:color="auto"/>
        <w:left w:val="none" w:sz="0" w:space="0" w:color="auto"/>
        <w:bottom w:val="none" w:sz="0" w:space="0" w:color="auto"/>
        <w:right w:val="none" w:sz="0" w:space="0" w:color="auto"/>
      </w:divBdr>
    </w:div>
    <w:div w:id="1101609880">
      <w:bodyDiv w:val="1"/>
      <w:marLeft w:val="0"/>
      <w:marRight w:val="0"/>
      <w:marTop w:val="0"/>
      <w:marBottom w:val="0"/>
      <w:divBdr>
        <w:top w:val="none" w:sz="0" w:space="0" w:color="auto"/>
        <w:left w:val="none" w:sz="0" w:space="0" w:color="auto"/>
        <w:bottom w:val="none" w:sz="0" w:space="0" w:color="auto"/>
        <w:right w:val="none" w:sz="0" w:space="0" w:color="auto"/>
      </w:divBdr>
    </w:div>
    <w:div w:id="1118185887">
      <w:bodyDiv w:val="1"/>
      <w:marLeft w:val="0"/>
      <w:marRight w:val="0"/>
      <w:marTop w:val="0"/>
      <w:marBottom w:val="0"/>
      <w:divBdr>
        <w:top w:val="none" w:sz="0" w:space="0" w:color="auto"/>
        <w:left w:val="none" w:sz="0" w:space="0" w:color="auto"/>
        <w:bottom w:val="none" w:sz="0" w:space="0" w:color="auto"/>
        <w:right w:val="none" w:sz="0" w:space="0" w:color="auto"/>
      </w:divBdr>
    </w:div>
    <w:div w:id="1147363126">
      <w:bodyDiv w:val="1"/>
      <w:marLeft w:val="0"/>
      <w:marRight w:val="0"/>
      <w:marTop w:val="0"/>
      <w:marBottom w:val="0"/>
      <w:divBdr>
        <w:top w:val="none" w:sz="0" w:space="0" w:color="auto"/>
        <w:left w:val="none" w:sz="0" w:space="0" w:color="auto"/>
        <w:bottom w:val="none" w:sz="0" w:space="0" w:color="auto"/>
        <w:right w:val="none" w:sz="0" w:space="0" w:color="auto"/>
      </w:divBdr>
    </w:div>
    <w:div w:id="1155150675">
      <w:bodyDiv w:val="1"/>
      <w:marLeft w:val="0"/>
      <w:marRight w:val="0"/>
      <w:marTop w:val="0"/>
      <w:marBottom w:val="0"/>
      <w:divBdr>
        <w:top w:val="none" w:sz="0" w:space="0" w:color="auto"/>
        <w:left w:val="none" w:sz="0" w:space="0" w:color="auto"/>
        <w:bottom w:val="none" w:sz="0" w:space="0" w:color="auto"/>
        <w:right w:val="none" w:sz="0" w:space="0" w:color="auto"/>
      </w:divBdr>
    </w:div>
    <w:div w:id="1173642635">
      <w:bodyDiv w:val="1"/>
      <w:marLeft w:val="0"/>
      <w:marRight w:val="0"/>
      <w:marTop w:val="0"/>
      <w:marBottom w:val="0"/>
      <w:divBdr>
        <w:top w:val="none" w:sz="0" w:space="0" w:color="auto"/>
        <w:left w:val="none" w:sz="0" w:space="0" w:color="auto"/>
        <w:bottom w:val="none" w:sz="0" w:space="0" w:color="auto"/>
        <w:right w:val="none" w:sz="0" w:space="0" w:color="auto"/>
      </w:divBdr>
    </w:div>
    <w:div w:id="1199468241">
      <w:bodyDiv w:val="1"/>
      <w:marLeft w:val="0"/>
      <w:marRight w:val="0"/>
      <w:marTop w:val="0"/>
      <w:marBottom w:val="0"/>
      <w:divBdr>
        <w:top w:val="none" w:sz="0" w:space="0" w:color="auto"/>
        <w:left w:val="none" w:sz="0" w:space="0" w:color="auto"/>
        <w:bottom w:val="none" w:sz="0" w:space="0" w:color="auto"/>
        <w:right w:val="none" w:sz="0" w:space="0" w:color="auto"/>
      </w:divBdr>
    </w:div>
    <w:div w:id="1209953773">
      <w:bodyDiv w:val="1"/>
      <w:marLeft w:val="0"/>
      <w:marRight w:val="0"/>
      <w:marTop w:val="0"/>
      <w:marBottom w:val="0"/>
      <w:divBdr>
        <w:top w:val="none" w:sz="0" w:space="0" w:color="auto"/>
        <w:left w:val="none" w:sz="0" w:space="0" w:color="auto"/>
        <w:bottom w:val="none" w:sz="0" w:space="0" w:color="auto"/>
        <w:right w:val="none" w:sz="0" w:space="0" w:color="auto"/>
      </w:divBdr>
    </w:div>
    <w:div w:id="1210072014">
      <w:bodyDiv w:val="1"/>
      <w:marLeft w:val="0"/>
      <w:marRight w:val="0"/>
      <w:marTop w:val="0"/>
      <w:marBottom w:val="0"/>
      <w:divBdr>
        <w:top w:val="none" w:sz="0" w:space="0" w:color="auto"/>
        <w:left w:val="none" w:sz="0" w:space="0" w:color="auto"/>
        <w:bottom w:val="none" w:sz="0" w:space="0" w:color="auto"/>
        <w:right w:val="none" w:sz="0" w:space="0" w:color="auto"/>
      </w:divBdr>
    </w:div>
    <w:div w:id="1213276533">
      <w:bodyDiv w:val="1"/>
      <w:marLeft w:val="0"/>
      <w:marRight w:val="0"/>
      <w:marTop w:val="0"/>
      <w:marBottom w:val="0"/>
      <w:divBdr>
        <w:top w:val="none" w:sz="0" w:space="0" w:color="auto"/>
        <w:left w:val="none" w:sz="0" w:space="0" w:color="auto"/>
        <w:bottom w:val="none" w:sz="0" w:space="0" w:color="auto"/>
        <w:right w:val="none" w:sz="0" w:space="0" w:color="auto"/>
      </w:divBdr>
    </w:div>
    <w:div w:id="1215120226">
      <w:bodyDiv w:val="1"/>
      <w:marLeft w:val="0"/>
      <w:marRight w:val="0"/>
      <w:marTop w:val="0"/>
      <w:marBottom w:val="0"/>
      <w:divBdr>
        <w:top w:val="none" w:sz="0" w:space="0" w:color="auto"/>
        <w:left w:val="none" w:sz="0" w:space="0" w:color="auto"/>
        <w:bottom w:val="none" w:sz="0" w:space="0" w:color="auto"/>
        <w:right w:val="none" w:sz="0" w:space="0" w:color="auto"/>
      </w:divBdr>
    </w:div>
    <w:div w:id="1228344317">
      <w:bodyDiv w:val="1"/>
      <w:marLeft w:val="0"/>
      <w:marRight w:val="0"/>
      <w:marTop w:val="0"/>
      <w:marBottom w:val="0"/>
      <w:divBdr>
        <w:top w:val="none" w:sz="0" w:space="0" w:color="auto"/>
        <w:left w:val="none" w:sz="0" w:space="0" w:color="auto"/>
        <w:bottom w:val="none" w:sz="0" w:space="0" w:color="auto"/>
        <w:right w:val="none" w:sz="0" w:space="0" w:color="auto"/>
      </w:divBdr>
    </w:div>
    <w:div w:id="1245073331">
      <w:bodyDiv w:val="1"/>
      <w:marLeft w:val="0"/>
      <w:marRight w:val="0"/>
      <w:marTop w:val="0"/>
      <w:marBottom w:val="0"/>
      <w:divBdr>
        <w:top w:val="none" w:sz="0" w:space="0" w:color="auto"/>
        <w:left w:val="none" w:sz="0" w:space="0" w:color="auto"/>
        <w:bottom w:val="none" w:sz="0" w:space="0" w:color="auto"/>
        <w:right w:val="none" w:sz="0" w:space="0" w:color="auto"/>
      </w:divBdr>
    </w:div>
    <w:div w:id="1290478232">
      <w:bodyDiv w:val="1"/>
      <w:marLeft w:val="0"/>
      <w:marRight w:val="0"/>
      <w:marTop w:val="0"/>
      <w:marBottom w:val="0"/>
      <w:divBdr>
        <w:top w:val="none" w:sz="0" w:space="0" w:color="auto"/>
        <w:left w:val="none" w:sz="0" w:space="0" w:color="auto"/>
        <w:bottom w:val="none" w:sz="0" w:space="0" w:color="auto"/>
        <w:right w:val="none" w:sz="0" w:space="0" w:color="auto"/>
      </w:divBdr>
    </w:div>
    <w:div w:id="1340422583">
      <w:bodyDiv w:val="1"/>
      <w:marLeft w:val="0"/>
      <w:marRight w:val="0"/>
      <w:marTop w:val="0"/>
      <w:marBottom w:val="0"/>
      <w:divBdr>
        <w:top w:val="none" w:sz="0" w:space="0" w:color="auto"/>
        <w:left w:val="none" w:sz="0" w:space="0" w:color="auto"/>
        <w:bottom w:val="none" w:sz="0" w:space="0" w:color="auto"/>
        <w:right w:val="none" w:sz="0" w:space="0" w:color="auto"/>
      </w:divBdr>
    </w:div>
    <w:div w:id="1354068604">
      <w:bodyDiv w:val="1"/>
      <w:marLeft w:val="0"/>
      <w:marRight w:val="0"/>
      <w:marTop w:val="0"/>
      <w:marBottom w:val="0"/>
      <w:divBdr>
        <w:top w:val="none" w:sz="0" w:space="0" w:color="auto"/>
        <w:left w:val="none" w:sz="0" w:space="0" w:color="auto"/>
        <w:bottom w:val="none" w:sz="0" w:space="0" w:color="auto"/>
        <w:right w:val="none" w:sz="0" w:space="0" w:color="auto"/>
      </w:divBdr>
    </w:div>
    <w:div w:id="1374117988">
      <w:bodyDiv w:val="1"/>
      <w:marLeft w:val="0"/>
      <w:marRight w:val="0"/>
      <w:marTop w:val="0"/>
      <w:marBottom w:val="0"/>
      <w:divBdr>
        <w:top w:val="none" w:sz="0" w:space="0" w:color="auto"/>
        <w:left w:val="none" w:sz="0" w:space="0" w:color="auto"/>
        <w:bottom w:val="none" w:sz="0" w:space="0" w:color="auto"/>
        <w:right w:val="none" w:sz="0" w:space="0" w:color="auto"/>
      </w:divBdr>
    </w:div>
    <w:div w:id="1402216180">
      <w:bodyDiv w:val="1"/>
      <w:marLeft w:val="0"/>
      <w:marRight w:val="0"/>
      <w:marTop w:val="0"/>
      <w:marBottom w:val="0"/>
      <w:divBdr>
        <w:top w:val="none" w:sz="0" w:space="0" w:color="auto"/>
        <w:left w:val="none" w:sz="0" w:space="0" w:color="auto"/>
        <w:bottom w:val="none" w:sz="0" w:space="0" w:color="auto"/>
        <w:right w:val="none" w:sz="0" w:space="0" w:color="auto"/>
      </w:divBdr>
    </w:div>
    <w:div w:id="1407343771">
      <w:bodyDiv w:val="1"/>
      <w:marLeft w:val="0"/>
      <w:marRight w:val="0"/>
      <w:marTop w:val="0"/>
      <w:marBottom w:val="0"/>
      <w:divBdr>
        <w:top w:val="none" w:sz="0" w:space="0" w:color="auto"/>
        <w:left w:val="none" w:sz="0" w:space="0" w:color="auto"/>
        <w:bottom w:val="none" w:sz="0" w:space="0" w:color="auto"/>
        <w:right w:val="none" w:sz="0" w:space="0" w:color="auto"/>
      </w:divBdr>
    </w:div>
    <w:div w:id="1457019330">
      <w:bodyDiv w:val="1"/>
      <w:marLeft w:val="0"/>
      <w:marRight w:val="0"/>
      <w:marTop w:val="0"/>
      <w:marBottom w:val="0"/>
      <w:divBdr>
        <w:top w:val="none" w:sz="0" w:space="0" w:color="auto"/>
        <w:left w:val="none" w:sz="0" w:space="0" w:color="auto"/>
        <w:bottom w:val="none" w:sz="0" w:space="0" w:color="auto"/>
        <w:right w:val="none" w:sz="0" w:space="0" w:color="auto"/>
      </w:divBdr>
    </w:div>
    <w:div w:id="1470436415">
      <w:bodyDiv w:val="1"/>
      <w:marLeft w:val="0"/>
      <w:marRight w:val="0"/>
      <w:marTop w:val="0"/>
      <w:marBottom w:val="0"/>
      <w:divBdr>
        <w:top w:val="none" w:sz="0" w:space="0" w:color="auto"/>
        <w:left w:val="none" w:sz="0" w:space="0" w:color="auto"/>
        <w:bottom w:val="none" w:sz="0" w:space="0" w:color="auto"/>
        <w:right w:val="none" w:sz="0" w:space="0" w:color="auto"/>
      </w:divBdr>
    </w:div>
    <w:div w:id="1474761543">
      <w:bodyDiv w:val="1"/>
      <w:marLeft w:val="0"/>
      <w:marRight w:val="0"/>
      <w:marTop w:val="0"/>
      <w:marBottom w:val="0"/>
      <w:divBdr>
        <w:top w:val="none" w:sz="0" w:space="0" w:color="auto"/>
        <w:left w:val="none" w:sz="0" w:space="0" w:color="auto"/>
        <w:bottom w:val="none" w:sz="0" w:space="0" w:color="auto"/>
        <w:right w:val="none" w:sz="0" w:space="0" w:color="auto"/>
      </w:divBdr>
    </w:div>
    <w:div w:id="1481966950">
      <w:bodyDiv w:val="1"/>
      <w:marLeft w:val="0"/>
      <w:marRight w:val="0"/>
      <w:marTop w:val="0"/>
      <w:marBottom w:val="0"/>
      <w:divBdr>
        <w:top w:val="none" w:sz="0" w:space="0" w:color="auto"/>
        <w:left w:val="none" w:sz="0" w:space="0" w:color="auto"/>
        <w:bottom w:val="none" w:sz="0" w:space="0" w:color="auto"/>
        <w:right w:val="none" w:sz="0" w:space="0" w:color="auto"/>
      </w:divBdr>
    </w:div>
    <w:div w:id="1482499367">
      <w:bodyDiv w:val="1"/>
      <w:marLeft w:val="0"/>
      <w:marRight w:val="0"/>
      <w:marTop w:val="0"/>
      <w:marBottom w:val="0"/>
      <w:divBdr>
        <w:top w:val="none" w:sz="0" w:space="0" w:color="auto"/>
        <w:left w:val="none" w:sz="0" w:space="0" w:color="auto"/>
        <w:bottom w:val="none" w:sz="0" w:space="0" w:color="auto"/>
        <w:right w:val="none" w:sz="0" w:space="0" w:color="auto"/>
      </w:divBdr>
    </w:div>
    <w:div w:id="1483891071">
      <w:bodyDiv w:val="1"/>
      <w:marLeft w:val="0"/>
      <w:marRight w:val="0"/>
      <w:marTop w:val="0"/>
      <w:marBottom w:val="0"/>
      <w:divBdr>
        <w:top w:val="none" w:sz="0" w:space="0" w:color="auto"/>
        <w:left w:val="none" w:sz="0" w:space="0" w:color="auto"/>
        <w:bottom w:val="none" w:sz="0" w:space="0" w:color="auto"/>
        <w:right w:val="none" w:sz="0" w:space="0" w:color="auto"/>
      </w:divBdr>
    </w:div>
    <w:div w:id="1484616623">
      <w:bodyDiv w:val="1"/>
      <w:marLeft w:val="0"/>
      <w:marRight w:val="0"/>
      <w:marTop w:val="0"/>
      <w:marBottom w:val="0"/>
      <w:divBdr>
        <w:top w:val="none" w:sz="0" w:space="0" w:color="auto"/>
        <w:left w:val="none" w:sz="0" w:space="0" w:color="auto"/>
        <w:bottom w:val="none" w:sz="0" w:space="0" w:color="auto"/>
        <w:right w:val="none" w:sz="0" w:space="0" w:color="auto"/>
      </w:divBdr>
    </w:div>
    <w:div w:id="1530298180">
      <w:bodyDiv w:val="1"/>
      <w:marLeft w:val="0"/>
      <w:marRight w:val="0"/>
      <w:marTop w:val="0"/>
      <w:marBottom w:val="0"/>
      <w:divBdr>
        <w:top w:val="none" w:sz="0" w:space="0" w:color="auto"/>
        <w:left w:val="none" w:sz="0" w:space="0" w:color="auto"/>
        <w:bottom w:val="none" w:sz="0" w:space="0" w:color="auto"/>
        <w:right w:val="none" w:sz="0" w:space="0" w:color="auto"/>
      </w:divBdr>
    </w:div>
    <w:div w:id="1567834273">
      <w:bodyDiv w:val="1"/>
      <w:marLeft w:val="0"/>
      <w:marRight w:val="0"/>
      <w:marTop w:val="0"/>
      <w:marBottom w:val="0"/>
      <w:divBdr>
        <w:top w:val="none" w:sz="0" w:space="0" w:color="auto"/>
        <w:left w:val="none" w:sz="0" w:space="0" w:color="auto"/>
        <w:bottom w:val="none" w:sz="0" w:space="0" w:color="auto"/>
        <w:right w:val="none" w:sz="0" w:space="0" w:color="auto"/>
      </w:divBdr>
    </w:div>
    <w:div w:id="1568105423">
      <w:bodyDiv w:val="1"/>
      <w:marLeft w:val="0"/>
      <w:marRight w:val="0"/>
      <w:marTop w:val="0"/>
      <w:marBottom w:val="0"/>
      <w:divBdr>
        <w:top w:val="none" w:sz="0" w:space="0" w:color="auto"/>
        <w:left w:val="none" w:sz="0" w:space="0" w:color="auto"/>
        <w:bottom w:val="none" w:sz="0" w:space="0" w:color="auto"/>
        <w:right w:val="none" w:sz="0" w:space="0" w:color="auto"/>
      </w:divBdr>
    </w:div>
    <w:div w:id="1569802209">
      <w:bodyDiv w:val="1"/>
      <w:marLeft w:val="0"/>
      <w:marRight w:val="0"/>
      <w:marTop w:val="0"/>
      <w:marBottom w:val="0"/>
      <w:divBdr>
        <w:top w:val="none" w:sz="0" w:space="0" w:color="auto"/>
        <w:left w:val="none" w:sz="0" w:space="0" w:color="auto"/>
        <w:bottom w:val="none" w:sz="0" w:space="0" w:color="auto"/>
        <w:right w:val="none" w:sz="0" w:space="0" w:color="auto"/>
      </w:divBdr>
    </w:div>
    <w:div w:id="1577784603">
      <w:bodyDiv w:val="1"/>
      <w:marLeft w:val="0"/>
      <w:marRight w:val="0"/>
      <w:marTop w:val="0"/>
      <w:marBottom w:val="0"/>
      <w:divBdr>
        <w:top w:val="none" w:sz="0" w:space="0" w:color="auto"/>
        <w:left w:val="none" w:sz="0" w:space="0" w:color="auto"/>
        <w:bottom w:val="none" w:sz="0" w:space="0" w:color="auto"/>
        <w:right w:val="none" w:sz="0" w:space="0" w:color="auto"/>
      </w:divBdr>
    </w:div>
    <w:div w:id="1609048302">
      <w:bodyDiv w:val="1"/>
      <w:marLeft w:val="0"/>
      <w:marRight w:val="0"/>
      <w:marTop w:val="0"/>
      <w:marBottom w:val="0"/>
      <w:divBdr>
        <w:top w:val="none" w:sz="0" w:space="0" w:color="auto"/>
        <w:left w:val="none" w:sz="0" w:space="0" w:color="auto"/>
        <w:bottom w:val="none" w:sz="0" w:space="0" w:color="auto"/>
        <w:right w:val="none" w:sz="0" w:space="0" w:color="auto"/>
      </w:divBdr>
    </w:div>
    <w:div w:id="1610432009">
      <w:bodyDiv w:val="1"/>
      <w:marLeft w:val="0"/>
      <w:marRight w:val="0"/>
      <w:marTop w:val="0"/>
      <w:marBottom w:val="0"/>
      <w:divBdr>
        <w:top w:val="none" w:sz="0" w:space="0" w:color="auto"/>
        <w:left w:val="none" w:sz="0" w:space="0" w:color="auto"/>
        <w:bottom w:val="none" w:sz="0" w:space="0" w:color="auto"/>
        <w:right w:val="none" w:sz="0" w:space="0" w:color="auto"/>
      </w:divBdr>
    </w:div>
    <w:div w:id="1615554053">
      <w:bodyDiv w:val="1"/>
      <w:marLeft w:val="0"/>
      <w:marRight w:val="0"/>
      <w:marTop w:val="0"/>
      <w:marBottom w:val="0"/>
      <w:divBdr>
        <w:top w:val="none" w:sz="0" w:space="0" w:color="auto"/>
        <w:left w:val="none" w:sz="0" w:space="0" w:color="auto"/>
        <w:bottom w:val="none" w:sz="0" w:space="0" w:color="auto"/>
        <w:right w:val="none" w:sz="0" w:space="0" w:color="auto"/>
      </w:divBdr>
    </w:div>
    <w:div w:id="1616786991">
      <w:bodyDiv w:val="1"/>
      <w:marLeft w:val="0"/>
      <w:marRight w:val="0"/>
      <w:marTop w:val="0"/>
      <w:marBottom w:val="0"/>
      <w:divBdr>
        <w:top w:val="none" w:sz="0" w:space="0" w:color="auto"/>
        <w:left w:val="none" w:sz="0" w:space="0" w:color="auto"/>
        <w:bottom w:val="none" w:sz="0" w:space="0" w:color="auto"/>
        <w:right w:val="none" w:sz="0" w:space="0" w:color="auto"/>
      </w:divBdr>
    </w:div>
    <w:div w:id="1616906990">
      <w:bodyDiv w:val="1"/>
      <w:marLeft w:val="0"/>
      <w:marRight w:val="0"/>
      <w:marTop w:val="0"/>
      <w:marBottom w:val="0"/>
      <w:divBdr>
        <w:top w:val="none" w:sz="0" w:space="0" w:color="auto"/>
        <w:left w:val="none" w:sz="0" w:space="0" w:color="auto"/>
        <w:bottom w:val="none" w:sz="0" w:space="0" w:color="auto"/>
        <w:right w:val="none" w:sz="0" w:space="0" w:color="auto"/>
      </w:divBdr>
    </w:div>
    <w:div w:id="1624000827">
      <w:bodyDiv w:val="1"/>
      <w:marLeft w:val="0"/>
      <w:marRight w:val="0"/>
      <w:marTop w:val="0"/>
      <w:marBottom w:val="0"/>
      <w:divBdr>
        <w:top w:val="none" w:sz="0" w:space="0" w:color="auto"/>
        <w:left w:val="none" w:sz="0" w:space="0" w:color="auto"/>
        <w:bottom w:val="none" w:sz="0" w:space="0" w:color="auto"/>
        <w:right w:val="none" w:sz="0" w:space="0" w:color="auto"/>
      </w:divBdr>
    </w:div>
    <w:div w:id="1627588772">
      <w:bodyDiv w:val="1"/>
      <w:marLeft w:val="0"/>
      <w:marRight w:val="0"/>
      <w:marTop w:val="0"/>
      <w:marBottom w:val="0"/>
      <w:divBdr>
        <w:top w:val="none" w:sz="0" w:space="0" w:color="auto"/>
        <w:left w:val="none" w:sz="0" w:space="0" w:color="auto"/>
        <w:bottom w:val="none" w:sz="0" w:space="0" w:color="auto"/>
        <w:right w:val="none" w:sz="0" w:space="0" w:color="auto"/>
      </w:divBdr>
    </w:div>
    <w:div w:id="1634022860">
      <w:bodyDiv w:val="1"/>
      <w:marLeft w:val="0"/>
      <w:marRight w:val="0"/>
      <w:marTop w:val="0"/>
      <w:marBottom w:val="0"/>
      <w:divBdr>
        <w:top w:val="none" w:sz="0" w:space="0" w:color="auto"/>
        <w:left w:val="none" w:sz="0" w:space="0" w:color="auto"/>
        <w:bottom w:val="none" w:sz="0" w:space="0" w:color="auto"/>
        <w:right w:val="none" w:sz="0" w:space="0" w:color="auto"/>
      </w:divBdr>
    </w:div>
    <w:div w:id="1691568123">
      <w:bodyDiv w:val="1"/>
      <w:marLeft w:val="0"/>
      <w:marRight w:val="0"/>
      <w:marTop w:val="0"/>
      <w:marBottom w:val="0"/>
      <w:divBdr>
        <w:top w:val="none" w:sz="0" w:space="0" w:color="auto"/>
        <w:left w:val="none" w:sz="0" w:space="0" w:color="auto"/>
        <w:bottom w:val="none" w:sz="0" w:space="0" w:color="auto"/>
        <w:right w:val="none" w:sz="0" w:space="0" w:color="auto"/>
      </w:divBdr>
    </w:div>
    <w:div w:id="1694958055">
      <w:bodyDiv w:val="1"/>
      <w:marLeft w:val="0"/>
      <w:marRight w:val="0"/>
      <w:marTop w:val="0"/>
      <w:marBottom w:val="0"/>
      <w:divBdr>
        <w:top w:val="none" w:sz="0" w:space="0" w:color="auto"/>
        <w:left w:val="none" w:sz="0" w:space="0" w:color="auto"/>
        <w:bottom w:val="none" w:sz="0" w:space="0" w:color="auto"/>
        <w:right w:val="none" w:sz="0" w:space="0" w:color="auto"/>
      </w:divBdr>
    </w:div>
    <w:div w:id="1698507260">
      <w:bodyDiv w:val="1"/>
      <w:marLeft w:val="0"/>
      <w:marRight w:val="0"/>
      <w:marTop w:val="0"/>
      <w:marBottom w:val="0"/>
      <w:divBdr>
        <w:top w:val="none" w:sz="0" w:space="0" w:color="auto"/>
        <w:left w:val="none" w:sz="0" w:space="0" w:color="auto"/>
        <w:bottom w:val="none" w:sz="0" w:space="0" w:color="auto"/>
        <w:right w:val="none" w:sz="0" w:space="0" w:color="auto"/>
      </w:divBdr>
    </w:div>
    <w:div w:id="1711609324">
      <w:bodyDiv w:val="1"/>
      <w:marLeft w:val="0"/>
      <w:marRight w:val="0"/>
      <w:marTop w:val="0"/>
      <w:marBottom w:val="0"/>
      <w:divBdr>
        <w:top w:val="none" w:sz="0" w:space="0" w:color="auto"/>
        <w:left w:val="none" w:sz="0" w:space="0" w:color="auto"/>
        <w:bottom w:val="none" w:sz="0" w:space="0" w:color="auto"/>
        <w:right w:val="none" w:sz="0" w:space="0" w:color="auto"/>
      </w:divBdr>
    </w:div>
    <w:div w:id="1712487768">
      <w:bodyDiv w:val="1"/>
      <w:marLeft w:val="0"/>
      <w:marRight w:val="0"/>
      <w:marTop w:val="0"/>
      <w:marBottom w:val="0"/>
      <w:divBdr>
        <w:top w:val="none" w:sz="0" w:space="0" w:color="auto"/>
        <w:left w:val="none" w:sz="0" w:space="0" w:color="auto"/>
        <w:bottom w:val="none" w:sz="0" w:space="0" w:color="auto"/>
        <w:right w:val="none" w:sz="0" w:space="0" w:color="auto"/>
      </w:divBdr>
    </w:div>
    <w:div w:id="1725760397">
      <w:bodyDiv w:val="1"/>
      <w:marLeft w:val="0"/>
      <w:marRight w:val="0"/>
      <w:marTop w:val="0"/>
      <w:marBottom w:val="0"/>
      <w:divBdr>
        <w:top w:val="none" w:sz="0" w:space="0" w:color="auto"/>
        <w:left w:val="none" w:sz="0" w:space="0" w:color="auto"/>
        <w:bottom w:val="none" w:sz="0" w:space="0" w:color="auto"/>
        <w:right w:val="none" w:sz="0" w:space="0" w:color="auto"/>
      </w:divBdr>
    </w:div>
    <w:div w:id="1729839167">
      <w:bodyDiv w:val="1"/>
      <w:marLeft w:val="0"/>
      <w:marRight w:val="0"/>
      <w:marTop w:val="0"/>
      <w:marBottom w:val="0"/>
      <w:divBdr>
        <w:top w:val="none" w:sz="0" w:space="0" w:color="auto"/>
        <w:left w:val="none" w:sz="0" w:space="0" w:color="auto"/>
        <w:bottom w:val="none" w:sz="0" w:space="0" w:color="auto"/>
        <w:right w:val="none" w:sz="0" w:space="0" w:color="auto"/>
      </w:divBdr>
    </w:div>
    <w:div w:id="1736784222">
      <w:bodyDiv w:val="1"/>
      <w:marLeft w:val="0"/>
      <w:marRight w:val="0"/>
      <w:marTop w:val="0"/>
      <w:marBottom w:val="0"/>
      <w:divBdr>
        <w:top w:val="none" w:sz="0" w:space="0" w:color="auto"/>
        <w:left w:val="none" w:sz="0" w:space="0" w:color="auto"/>
        <w:bottom w:val="none" w:sz="0" w:space="0" w:color="auto"/>
        <w:right w:val="none" w:sz="0" w:space="0" w:color="auto"/>
      </w:divBdr>
    </w:div>
    <w:div w:id="1747918526">
      <w:bodyDiv w:val="1"/>
      <w:marLeft w:val="0"/>
      <w:marRight w:val="0"/>
      <w:marTop w:val="0"/>
      <w:marBottom w:val="0"/>
      <w:divBdr>
        <w:top w:val="none" w:sz="0" w:space="0" w:color="auto"/>
        <w:left w:val="none" w:sz="0" w:space="0" w:color="auto"/>
        <w:bottom w:val="none" w:sz="0" w:space="0" w:color="auto"/>
        <w:right w:val="none" w:sz="0" w:space="0" w:color="auto"/>
      </w:divBdr>
    </w:div>
    <w:div w:id="1755127062">
      <w:bodyDiv w:val="1"/>
      <w:marLeft w:val="0"/>
      <w:marRight w:val="0"/>
      <w:marTop w:val="0"/>
      <w:marBottom w:val="0"/>
      <w:divBdr>
        <w:top w:val="none" w:sz="0" w:space="0" w:color="auto"/>
        <w:left w:val="none" w:sz="0" w:space="0" w:color="auto"/>
        <w:bottom w:val="none" w:sz="0" w:space="0" w:color="auto"/>
        <w:right w:val="none" w:sz="0" w:space="0" w:color="auto"/>
      </w:divBdr>
    </w:div>
    <w:div w:id="1757676349">
      <w:bodyDiv w:val="1"/>
      <w:marLeft w:val="0"/>
      <w:marRight w:val="0"/>
      <w:marTop w:val="0"/>
      <w:marBottom w:val="0"/>
      <w:divBdr>
        <w:top w:val="none" w:sz="0" w:space="0" w:color="auto"/>
        <w:left w:val="none" w:sz="0" w:space="0" w:color="auto"/>
        <w:bottom w:val="none" w:sz="0" w:space="0" w:color="auto"/>
        <w:right w:val="none" w:sz="0" w:space="0" w:color="auto"/>
      </w:divBdr>
    </w:div>
    <w:div w:id="1765295498">
      <w:bodyDiv w:val="1"/>
      <w:marLeft w:val="0"/>
      <w:marRight w:val="0"/>
      <w:marTop w:val="0"/>
      <w:marBottom w:val="0"/>
      <w:divBdr>
        <w:top w:val="none" w:sz="0" w:space="0" w:color="auto"/>
        <w:left w:val="none" w:sz="0" w:space="0" w:color="auto"/>
        <w:bottom w:val="none" w:sz="0" w:space="0" w:color="auto"/>
        <w:right w:val="none" w:sz="0" w:space="0" w:color="auto"/>
      </w:divBdr>
    </w:div>
    <w:div w:id="1774468903">
      <w:bodyDiv w:val="1"/>
      <w:marLeft w:val="0"/>
      <w:marRight w:val="0"/>
      <w:marTop w:val="0"/>
      <w:marBottom w:val="0"/>
      <w:divBdr>
        <w:top w:val="none" w:sz="0" w:space="0" w:color="auto"/>
        <w:left w:val="none" w:sz="0" w:space="0" w:color="auto"/>
        <w:bottom w:val="none" w:sz="0" w:space="0" w:color="auto"/>
        <w:right w:val="none" w:sz="0" w:space="0" w:color="auto"/>
      </w:divBdr>
    </w:div>
    <w:div w:id="1806969312">
      <w:bodyDiv w:val="1"/>
      <w:marLeft w:val="0"/>
      <w:marRight w:val="0"/>
      <w:marTop w:val="0"/>
      <w:marBottom w:val="0"/>
      <w:divBdr>
        <w:top w:val="none" w:sz="0" w:space="0" w:color="auto"/>
        <w:left w:val="none" w:sz="0" w:space="0" w:color="auto"/>
        <w:bottom w:val="none" w:sz="0" w:space="0" w:color="auto"/>
        <w:right w:val="none" w:sz="0" w:space="0" w:color="auto"/>
      </w:divBdr>
    </w:div>
    <w:div w:id="1811053528">
      <w:bodyDiv w:val="1"/>
      <w:marLeft w:val="0"/>
      <w:marRight w:val="0"/>
      <w:marTop w:val="0"/>
      <w:marBottom w:val="0"/>
      <w:divBdr>
        <w:top w:val="none" w:sz="0" w:space="0" w:color="auto"/>
        <w:left w:val="none" w:sz="0" w:space="0" w:color="auto"/>
        <w:bottom w:val="none" w:sz="0" w:space="0" w:color="auto"/>
        <w:right w:val="none" w:sz="0" w:space="0" w:color="auto"/>
      </w:divBdr>
    </w:div>
    <w:div w:id="1814642814">
      <w:bodyDiv w:val="1"/>
      <w:marLeft w:val="0"/>
      <w:marRight w:val="0"/>
      <w:marTop w:val="0"/>
      <w:marBottom w:val="0"/>
      <w:divBdr>
        <w:top w:val="none" w:sz="0" w:space="0" w:color="auto"/>
        <w:left w:val="none" w:sz="0" w:space="0" w:color="auto"/>
        <w:bottom w:val="none" w:sz="0" w:space="0" w:color="auto"/>
        <w:right w:val="none" w:sz="0" w:space="0" w:color="auto"/>
      </w:divBdr>
    </w:div>
    <w:div w:id="1840541396">
      <w:bodyDiv w:val="1"/>
      <w:marLeft w:val="0"/>
      <w:marRight w:val="0"/>
      <w:marTop w:val="0"/>
      <w:marBottom w:val="0"/>
      <w:divBdr>
        <w:top w:val="none" w:sz="0" w:space="0" w:color="auto"/>
        <w:left w:val="none" w:sz="0" w:space="0" w:color="auto"/>
        <w:bottom w:val="none" w:sz="0" w:space="0" w:color="auto"/>
        <w:right w:val="none" w:sz="0" w:space="0" w:color="auto"/>
      </w:divBdr>
    </w:div>
    <w:div w:id="1860468340">
      <w:bodyDiv w:val="1"/>
      <w:marLeft w:val="0"/>
      <w:marRight w:val="0"/>
      <w:marTop w:val="0"/>
      <w:marBottom w:val="0"/>
      <w:divBdr>
        <w:top w:val="none" w:sz="0" w:space="0" w:color="auto"/>
        <w:left w:val="none" w:sz="0" w:space="0" w:color="auto"/>
        <w:bottom w:val="none" w:sz="0" w:space="0" w:color="auto"/>
        <w:right w:val="none" w:sz="0" w:space="0" w:color="auto"/>
      </w:divBdr>
    </w:div>
    <w:div w:id="1868835755">
      <w:bodyDiv w:val="1"/>
      <w:marLeft w:val="0"/>
      <w:marRight w:val="0"/>
      <w:marTop w:val="0"/>
      <w:marBottom w:val="0"/>
      <w:divBdr>
        <w:top w:val="none" w:sz="0" w:space="0" w:color="auto"/>
        <w:left w:val="none" w:sz="0" w:space="0" w:color="auto"/>
        <w:bottom w:val="none" w:sz="0" w:space="0" w:color="auto"/>
        <w:right w:val="none" w:sz="0" w:space="0" w:color="auto"/>
      </w:divBdr>
    </w:div>
    <w:div w:id="1888759033">
      <w:bodyDiv w:val="1"/>
      <w:marLeft w:val="0"/>
      <w:marRight w:val="0"/>
      <w:marTop w:val="0"/>
      <w:marBottom w:val="0"/>
      <w:divBdr>
        <w:top w:val="none" w:sz="0" w:space="0" w:color="auto"/>
        <w:left w:val="none" w:sz="0" w:space="0" w:color="auto"/>
        <w:bottom w:val="none" w:sz="0" w:space="0" w:color="auto"/>
        <w:right w:val="none" w:sz="0" w:space="0" w:color="auto"/>
      </w:divBdr>
    </w:div>
    <w:div w:id="1891263224">
      <w:bodyDiv w:val="1"/>
      <w:marLeft w:val="0"/>
      <w:marRight w:val="0"/>
      <w:marTop w:val="0"/>
      <w:marBottom w:val="0"/>
      <w:divBdr>
        <w:top w:val="none" w:sz="0" w:space="0" w:color="auto"/>
        <w:left w:val="none" w:sz="0" w:space="0" w:color="auto"/>
        <w:bottom w:val="none" w:sz="0" w:space="0" w:color="auto"/>
        <w:right w:val="none" w:sz="0" w:space="0" w:color="auto"/>
      </w:divBdr>
    </w:div>
    <w:div w:id="1901941026">
      <w:bodyDiv w:val="1"/>
      <w:marLeft w:val="0"/>
      <w:marRight w:val="0"/>
      <w:marTop w:val="0"/>
      <w:marBottom w:val="0"/>
      <w:divBdr>
        <w:top w:val="none" w:sz="0" w:space="0" w:color="auto"/>
        <w:left w:val="none" w:sz="0" w:space="0" w:color="auto"/>
        <w:bottom w:val="none" w:sz="0" w:space="0" w:color="auto"/>
        <w:right w:val="none" w:sz="0" w:space="0" w:color="auto"/>
      </w:divBdr>
    </w:div>
    <w:div w:id="1903514307">
      <w:bodyDiv w:val="1"/>
      <w:marLeft w:val="0"/>
      <w:marRight w:val="0"/>
      <w:marTop w:val="0"/>
      <w:marBottom w:val="0"/>
      <w:divBdr>
        <w:top w:val="none" w:sz="0" w:space="0" w:color="auto"/>
        <w:left w:val="none" w:sz="0" w:space="0" w:color="auto"/>
        <w:bottom w:val="none" w:sz="0" w:space="0" w:color="auto"/>
        <w:right w:val="none" w:sz="0" w:space="0" w:color="auto"/>
      </w:divBdr>
    </w:div>
    <w:div w:id="1920169318">
      <w:bodyDiv w:val="1"/>
      <w:marLeft w:val="0"/>
      <w:marRight w:val="0"/>
      <w:marTop w:val="0"/>
      <w:marBottom w:val="0"/>
      <w:divBdr>
        <w:top w:val="none" w:sz="0" w:space="0" w:color="auto"/>
        <w:left w:val="none" w:sz="0" w:space="0" w:color="auto"/>
        <w:bottom w:val="none" w:sz="0" w:space="0" w:color="auto"/>
        <w:right w:val="none" w:sz="0" w:space="0" w:color="auto"/>
      </w:divBdr>
    </w:div>
    <w:div w:id="1937396898">
      <w:bodyDiv w:val="1"/>
      <w:marLeft w:val="0"/>
      <w:marRight w:val="0"/>
      <w:marTop w:val="0"/>
      <w:marBottom w:val="0"/>
      <w:divBdr>
        <w:top w:val="none" w:sz="0" w:space="0" w:color="auto"/>
        <w:left w:val="none" w:sz="0" w:space="0" w:color="auto"/>
        <w:bottom w:val="none" w:sz="0" w:space="0" w:color="auto"/>
        <w:right w:val="none" w:sz="0" w:space="0" w:color="auto"/>
      </w:divBdr>
    </w:div>
    <w:div w:id="1944146412">
      <w:bodyDiv w:val="1"/>
      <w:marLeft w:val="0"/>
      <w:marRight w:val="0"/>
      <w:marTop w:val="0"/>
      <w:marBottom w:val="0"/>
      <w:divBdr>
        <w:top w:val="none" w:sz="0" w:space="0" w:color="auto"/>
        <w:left w:val="none" w:sz="0" w:space="0" w:color="auto"/>
        <w:bottom w:val="none" w:sz="0" w:space="0" w:color="auto"/>
        <w:right w:val="none" w:sz="0" w:space="0" w:color="auto"/>
      </w:divBdr>
    </w:div>
    <w:div w:id="1963534603">
      <w:bodyDiv w:val="1"/>
      <w:marLeft w:val="0"/>
      <w:marRight w:val="0"/>
      <w:marTop w:val="0"/>
      <w:marBottom w:val="0"/>
      <w:divBdr>
        <w:top w:val="none" w:sz="0" w:space="0" w:color="auto"/>
        <w:left w:val="none" w:sz="0" w:space="0" w:color="auto"/>
        <w:bottom w:val="none" w:sz="0" w:space="0" w:color="auto"/>
        <w:right w:val="none" w:sz="0" w:space="0" w:color="auto"/>
      </w:divBdr>
    </w:div>
    <w:div w:id="1987735686">
      <w:bodyDiv w:val="1"/>
      <w:marLeft w:val="0"/>
      <w:marRight w:val="0"/>
      <w:marTop w:val="0"/>
      <w:marBottom w:val="0"/>
      <w:divBdr>
        <w:top w:val="none" w:sz="0" w:space="0" w:color="auto"/>
        <w:left w:val="none" w:sz="0" w:space="0" w:color="auto"/>
        <w:bottom w:val="none" w:sz="0" w:space="0" w:color="auto"/>
        <w:right w:val="none" w:sz="0" w:space="0" w:color="auto"/>
      </w:divBdr>
    </w:div>
    <w:div w:id="2078361035">
      <w:bodyDiv w:val="1"/>
      <w:marLeft w:val="0"/>
      <w:marRight w:val="0"/>
      <w:marTop w:val="0"/>
      <w:marBottom w:val="0"/>
      <w:divBdr>
        <w:top w:val="none" w:sz="0" w:space="0" w:color="auto"/>
        <w:left w:val="none" w:sz="0" w:space="0" w:color="auto"/>
        <w:bottom w:val="none" w:sz="0" w:space="0" w:color="auto"/>
        <w:right w:val="none" w:sz="0" w:space="0" w:color="auto"/>
      </w:divBdr>
      <w:divsChild>
        <w:div w:id="284428071">
          <w:marLeft w:val="0"/>
          <w:marRight w:val="0"/>
          <w:marTop w:val="0"/>
          <w:marBottom w:val="0"/>
          <w:divBdr>
            <w:top w:val="none" w:sz="0" w:space="0" w:color="auto"/>
            <w:left w:val="none" w:sz="0" w:space="0" w:color="auto"/>
            <w:bottom w:val="none" w:sz="0" w:space="0" w:color="auto"/>
            <w:right w:val="none" w:sz="0" w:space="0" w:color="auto"/>
          </w:divBdr>
          <w:divsChild>
            <w:div w:id="188451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1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emf"/><Relationship Id="rId5" Type="http://schemas.openxmlformats.org/officeDocument/2006/relationships/image" Target="media/image5.gif"/><Relationship Id="rId4" Type="http://schemas.openxmlformats.org/officeDocument/2006/relationships/image" Target="media/image4.emf"/></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18" Type="http://schemas.openxmlformats.org/officeDocument/2006/relationships/hyperlink" Target="https://esgsustain.secp.gov.pk/esg-performanc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hyperlink" Target="https://www.spglobal.com/market-intelligence/en/industries/corporations" TargetMode="External"/><Relationship Id="rId2" Type="http://schemas.openxmlformats.org/officeDocument/2006/relationships/styles" Target="styles.xml"/><Relationship Id="rId16" Type="http://schemas.openxmlformats.org/officeDocument/2006/relationships/hyperlink" Target="https://dps.psx.com.pk/"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32996/jefas.2024.6.3.4"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399A2A-A92A-4E9A-8685-F70CD0AA9F65}">
  <we:reference id="wa200001361" version="2.129.3.0" store="en-US" storeType="OMEX"/>
  <we:alternateReferences>
    <we:reference id="WA200001361" version="2.129.3.0" store="" storeType="OMEX"/>
  </we:alternateReferences>
  <we:properties>
    <we:property name="paperpal-document-id" value="&quot;a8297dd6-5bb7-4b2f-872f-94a9282fc801&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13</Pages>
  <Words>4148</Words>
  <Characters>26482</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Sumaira Aslam</dc:creator>
  <cp:keywords/>
  <dc:description/>
  <cp:lastModifiedBy>sharjahlaptop</cp:lastModifiedBy>
  <cp:revision>2</cp:revision>
  <dcterms:created xsi:type="dcterms:W3CDTF">2025-03-05T08:49:00Z</dcterms:created>
  <dcterms:modified xsi:type="dcterms:W3CDTF">2025-03-05T08:49:00Z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f3078f62b5026e7246995d494ce59f029e9dd1b7b5d1477fd386b65a7d3db61b</vt:lpwstr>
  </property>
</Properties>
</file>