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28B7" w14:textId="77777777" w:rsidR="002B0ABA" w:rsidRDefault="002B0ABA" w:rsidP="002B0ABA">
      <w:pPr>
        <w:pStyle w:val="Title"/>
        <w:spacing w:after="0"/>
        <w:jc w:val="both"/>
        <w:rPr>
          <w:rFonts w:ascii="Arial" w:hAnsi="Arial" w:cs="Arial"/>
        </w:rPr>
      </w:pPr>
    </w:p>
    <w:p w14:paraId="728DE3E5" w14:textId="77777777" w:rsidR="00AF031C" w:rsidRPr="00507A45" w:rsidRDefault="00AF031C" w:rsidP="00AF031C">
      <w:pPr>
        <w:pStyle w:val="Author"/>
        <w:jc w:val="both"/>
        <w:rPr>
          <w:rFonts w:ascii="Arial" w:hAnsi="Arial" w:cs="Arial"/>
          <w:bCs/>
          <w:iCs/>
          <w:kern w:val="28"/>
          <w:sz w:val="22"/>
          <w:szCs w:val="12"/>
          <w:lang w:val="en-GB"/>
        </w:rPr>
      </w:pPr>
      <w:r w:rsidRPr="00507A45">
        <w:rPr>
          <w:rFonts w:ascii="Arial" w:hAnsi="Arial" w:cs="Arial"/>
          <w:bCs/>
          <w:iCs/>
          <w:kern w:val="28"/>
          <w:sz w:val="22"/>
          <w:szCs w:val="12"/>
          <w:lang w:val="en-GB"/>
        </w:rPr>
        <w:t>LIMNOLOGICAL DETERMINANT</w:t>
      </w:r>
      <w:r w:rsidR="00111097" w:rsidRPr="00507A45">
        <w:rPr>
          <w:rFonts w:ascii="Arial" w:hAnsi="Arial" w:cs="Arial"/>
          <w:bCs/>
          <w:iCs/>
          <w:kern w:val="28"/>
          <w:sz w:val="22"/>
          <w:szCs w:val="12"/>
          <w:lang w:val="en-GB"/>
        </w:rPr>
        <w:t>S</w:t>
      </w:r>
      <w:r w:rsidRPr="00507A45">
        <w:rPr>
          <w:rFonts w:ascii="Arial" w:hAnsi="Arial" w:cs="Arial"/>
          <w:bCs/>
          <w:iCs/>
          <w:kern w:val="28"/>
          <w:sz w:val="22"/>
          <w:szCs w:val="12"/>
          <w:lang w:val="en-GB"/>
        </w:rPr>
        <w:t xml:space="preserve"> OF PERIPHYTIC ALGAE ASSEMBLAGE</w:t>
      </w:r>
      <w:r w:rsidR="00111097" w:rsidRPr="00507A45">
        <w:rPr>
          <w:rFonts w:ascii="Arial" w:hAnsi="Arial" w:cs="Arial"/>
          <w:bCs/>
          <w:iCs/>
          <w:kern w:val="28"/>
          <w:sz w:val="22"/>
          <w:szCs w:val="12"/>
          <w:lang w:val="en-GB"/>
        </w:rPr>
        <w:t xml:space="preserve"> ON MACROPHYTE</w:t>
      </w:r>
      <w:r w:rsidRPr="00507A45">
        <w:rPr>
          <w:rFonts w:ascii="Arial" w:hAnsi="Arial" w:cs="Arial"/>
          <w:bCs/>
          <w:iCs/>
          <w:kern w:val="28"/>
          <w:sz w:val="22"/>
          <w:szCs w:val="12"/>
          <w:lang w:val="en-GB"/>
        </w:rPr>
        <w:t xml:space="preserve"> IN THE HUMIC FRESHWATER ECOSYSTEM OF ENIONG RIVER, ITU NIGERIA</w:t>
      </w:r>
    </w:p>
    <w:p w14:paraId="486CCC37" w14:textId="77777777" w:rsidR="00AF031C" w:rsidRDefault="00AF031C" w:rsidP="00AF031C">
      <w:pPr>
        <w:pStyle w:val="Author"/>
        <w:jc w:val="both"/>
        <w:rPr>
          <w:rFonts w:ascii="Arial" w:hAnsi="Arial" w:cs="Arial"/>
          <w:bCs/>
          <w:iCs/>
          <w:kern w:val="28"/>
          <w:sz w:val="36"/>
          <w:lang w:val="en-GB"/>
        </w:rPr>
      </w:pPr>
    </w:p>
    <w:p w14:paraId="3F9A8070" w14:textId="77777777" w:rsidR="00507A45" w:rsidRPr="00AF031C" w:rsidRDefault="00507A45" w:rsidP="00AF031C">
      <w:pPr>
        <w:pStyle w:val="Author"/>
        <w:jc w:val="both"/>
        <w:rPr>
          <w:rFonts w:ascii="Arial" w:hAnsi="Arial" w:cs="Arial"/>
          <w:bCs/>
          <w:iCs/>
          <w:kern w:val="28"/>
          <w:sz w:val="36"/>
          <w:lang w:val="en-GB"/>
        </w:rPr>
      </w:pPr>
    </w:p>
    <w:p w14:paraId="20E8FCDA" w14:textId="77777777" w:rsidR="002B0ABA" w:rsidRPr="00FB3A86" w:rsidRDefault="002B0ABA" w:rsidP="002B0ABA">
      <w:pPr>
        <w:pStyle w:val="Affiliation"/>
        <w:spacing w:after="0" w:line="240" w:lineRule="auto"/>
        <w:jc w:val="both"/>
        <w:rPr>
          <w:rFonts w:ascii="Arial" w:hAnsi="Arial" w:cs="Arial"/>
        </w:rPr>
      </w:pPr>
    </w:p>
    <w:p w14:paraId="2538F0BE" w14:textId="7F1357D0" w:rsidR="002B0ABA" w:rsidRPr="00FB3A86" w:rsidRDefault="007845D1" w:rsidP="002B0ABA">
      <w:pPr>
        <w:pStyle w:val="Copyright"/>
        <w:spacing w:after="0" w:line="240" w:lineRule="auto"/>
        <w:jc w:val="both"/>
        <w:rPr>
          <w:rFonts w:ascii="Arial" w:hAnsi="Arial" w:cs="Arial"/>
        </w:rPr>
        <w:sectPr w:rsidR="002B0ABA" w:rsidRPr="00FB3A86" w:rsidSect="00F17282">
          <w:headerReference w:type="even" r:id="rId7"/>
          <w:headerReference w:type="default" r:id="rId8"/>
          <w:footerReference w:type="even" r:id="rId9"/>
          <w:footerReference w:type="default" r:id="rId10"/>
          <w:headerReference w:type="first" r:id="rId11"/>
          <w:footerReference w:type="first" r:id="rId12"/>
          <w:pgSz w:w="12240" w:h="15840" w:code="1"/>
          <w:pgMar w:top="1276"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ED9A8B" wp14:editId="4B5460D3">
                <wp:extent cx="5303520" cy="635"/>
                <wp:effectExtent l="9525" t="15875" r="11430" b="1270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48334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2B0ABA">
        <w:rPr>
          <w:rFonts w:ascii="Arial" w:hAnsi="Arial" w:cs="Arial"/>
        </w:rPr>
        <w:t>.</w:t>
      </w:r>
    </w:p>
    <w:p w14:paraId="14786FAF" w14:textId="77777777" w:rsidR="002B0ABA" w:rsidRDefault="002B0ABA" w:rsidP="002B0ABA">
      <w:pPr>
        <w:pStyle w:val="AbstHead"/>
        <w:spacing w:after="0"/>
        <w:jc w:val="both"/>
        <w:rPr>
          <w:rFonts w:ascii="Arial" w:hAnsi="Arial" w:cs="Arial"/>
        </w:rPr>
      </w:pPr>
      <w:r w:rsidRPr="00FB3A86">
        <w:rPr>
          <w:rFonts w:ascii="Arial" w:hAnsi="Arial" w:cs="Arial"/>
        </w:rPr>
        <w:t>ABSTRACT</w:t>
      </w:r>
      <w:r w:rsidR="0092170E">
        <w:rPr>
          <w:rFonts w:ascii="Arial" w:hAnsi="Arial" w:cs="Arial"/>
        </w:rPr>
        <w:t xml:space="preserve"> </w:t>
      </w:r>
    </w:p>
    <w:p w14:paraId="6B614B10" w14:textId="77777777" w:rsidR="002B0ABA" w:rsidRPr="00FB3A86" w:rsidRDefault="002B0ABA" w:rsidP="002B0AB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B0ABA" w:rsidRPr="001E44FE" w14:paraId="6C3780D5" w14:textId="77777777" w:rsidTr="005E78A8">
        <w:tc>
          <w:tcPr>
            <w:tcW w:w="9576" w:type="dxa"/>
            <w:shd w:val="clear" w:color="auto" w:fill="F2F2F2"/>
          </w:tcPr>
          <w:p w14:paraId="0E899163" w14:textId="77777777" w:rsidR="002B0ABA" w:rsidRDefault="002B0ABA" w:rsidP="005E78A8">
            <w:pPr>
              <w:pStyle w:val="Body"/>
              <w:spacing w:after="0"/>
              <w:rPr>
                <w:rFonts w:ascii="Arial" w:eastAsia="Calibri" w:hAnsi="Arial" w:cs="Arial"/>
                <w:b/>
                <w:szCs w:val="22"/>
              </w:rPr>
            </w:pPr>
          </w:p>
          <w:p w14:paraId="4E9B3E15"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 xml:space="preserve">Aims: </w:t>
            </w:r>
            <w:r w:rsidR="008D5083">
              <w:rPr>
                <w:rFonts w:ascii="Arial" w:eastAsia="Calibri" w:hAnsi="Arial" w:cs="Arial"/>
                <w:szCs w:val="22"/>
              </w:rPr>
              <w:t xml:space="preserve">This research </w:t>
            </w:r>
            <w:commentRangeStart w:id="0"/>
            <w:r w:rsidR="008D5083" w:rsidRPr="00AE4BCB">
              <w:rPr>
                <w:rFonts w:ascii="Arial" w:eastAsia="Calibri" w:hAnsi="Arial" w:cs="Arial"/>
                <w:szCs w:val="22"/>
              </w:rPr>
              <w:t>evaluate</w:t>
            </w:r>
            <w:r w:rsidR="00AE4BCB" w:rsidRPr="00AE4BCB">
              <w:rPr>
                <w:rFonts w:ascii="Arial" w:eastAsia="Calibri" w:hAnsi="Arial" w:cs="Arial"/>
                <w:szCs w:val="22"/>
              </w:rPr>
              <w:t xml:space="preserve"> how limnological parameters influence the composition and distribution of periphytic algal communities </w:t>
            </w:r>
            <w:commentRangeEnd w:id="0"/>
            <w:r w:rsidR="0092635A">
              <w:rPr>
                <w:rStyle w:val="CommentReference"/>
              </w:rPr>
              <w:commentReference w:id="0"/>
            </w:r>
            <w:r w:rsidR="00AE4BCB" w:rsidRPr="00AE4BCB">
              <w:rPr>
                <w:rFonts w:ascii="Arial" w:eastAsia="Calibri" w:hAnsi="Arial" w:cs="Arial"/>
                <w:szCs w:val="22"/>
              </w:rPr>
              <w:t>in the Eniong River, a humic fresh</w:t>
            </w:r>
            <w:r w:rsidR="00AE4BCB">
              <w:rPr>
                <w:rFonts w:ascii="Arial" w:eastAsia="Calibri" w:hAnsi="Arial" w:cs="Arial"/>
                <w:szCs w:val="22"/>
              </w:rPr>
              <w:t>water ecosystem in Itu, Nigeria</w:t>
            </w:r>
            <w:r w:rsidRPr="00BA1B01">
              <w:rPr>
                <w:rFonts w:ascii="Arial" w:eastAsia="Calibri" w:hAnsi="Arial" w:cs="Arial"/>
                <w:szCs w:val="22"/>
              </w:rPr>
              <w:t>.</w:t>
            </w:r>
          </w:p>
          <w:p w14:paraId="34A99188"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Study design:</w:t>
            </w:r>
            <w:r w:rsidR="00AE4BCB">
              <w:t xml:space="preserve"> </w:t>
            </w:r>
            <w:r w:rsidR="00AE4BCB" w:rsidRPr="00AE4BCB">
              <w:rPr>
                <w:rFonts w:ascii="Arial" w:eastAsia="Calibri" w:hAnsi="Arial" w:cs="Arial"/>
                <w:szCs w:val="22"/>
              </w:rPr>
              <w:t xml:space="preserve">A stratified random sampling design was employed to ensure comprehensive coverage of the river ecosystem. The river was divided into four </w:t>
            </w:r>
            <w:r w:rsidR="008D5083">
              <w:rPr>
                <w:rFonts w:ascii="Arial" w:eastAsia="Calibri" w:hAnsi="Arial" w:cs="Arial"/>
                <w:szCs w:val="22"/>
              </w:rPr>
              <w:t xml:space="preserve"> zones </w:t>
            </w:r>
            <w:r w:rsidR="00AE4BCB" w:rsidRPr="00AE4BCB">
              <w:rPr>
                <w:rFonts w:ascii="Arial" w:eastAsia="Calibri" w:hAnsi="Arial" w:cs="Arial"/>
                <w:szCs w:val="22"/>
              </w:rPr>
              <w:t>based on geomorphological charac</w:t>
            </w:r>
            <w:r w:rsidR="008D5083">
              <w:rPr>
                <w:rFonts w:ascii="Arial" w:eastAsia="Calibri" w:hAnsi="Arial" w:cs="Arial"/>
                <w:szCs w:val="22"/>
              </w:rPr>
              <w:t>teristics and land use patterns</w:t>
            </w:r>
            <w:r w:rsidR="00AE4BCB" w:rsidRPr="00AE4BCB">
              <w:rPr>
                <w:rFonts w:ascii="Arial" w:eastAsia="Calibri" w:hAnsi="Arial" w:cs="Arial"/>
                <w:szCs w:val="22"/>
              </w:rPr>
              <w:t xml:space="preserve"> and four representative sampling stations were selected for analysis.</w:t>
            </w:r>
            <w:r w:rsidRPr="00BA1B01">
              <w:rPr>
                <w:rFonts w:ascii="Arial" w:eastAsia="Calibri" w:hAnsi="Arial" w:cs="Arial"/>
                <w:szCs w:val="22"/>
              </w:rPr>
              <w:t>.</w:t>
            </w:r>
          </w:p>
          <w:p w14:paraId="6840E971"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Place and Duration of Study:</w:t>
            </w:r>
            <w:r w:rsidR="00AE4BCB" w:rsidRPr="00F935AF">
              <w:rPr>
                <w:rFonts w:ascii="Times New Roman" w:hAnsi="Times New Roman"/>
                <w:sz w:val="24"/>
                <w:szCs w:val="24"/>
                <w:lang w:val="en-GB" w:eastAsia="en-GB"/>
              </w:rPr>
              <w:t xml:space="preserve"> </w:t>
            </w:r>
            <w:r w:rsidR="00AE4BCB" w:rsidRPr="00AE4BCB">
              <w:rPr>
                <w:rFonts w:ascii="Arial" w:eastAsia="Calibri" w:hAnsi="Arial" w:cs="Arial"/>
                <w:szCs w:val="22"/>
                <w:lang w:val="en-GB"/>
              </w:rPr>
              <w:t>The study was conducted along the Eniong River in Itu, Nigeria</w:t>
            </w:r>
            <w:commentRangeStart w:id="1"/>
            <w:r w:rsidR="00AE4BCB" w:rsidRPr="00AE4BCB">
              <w:rPr>
                <w:rFonts w:ascii="Arial" w:eastAsia="Calibri" w:hAnsi="Arial" w:cs="Arial"/>
                <w:szCs w:val="22"/>
                <w:lang w:val="en-GB"/>
              </w:rPr>
              <w:t xml:space="preserve">, during the wet </w:t>
            </w:r>
            <w:r w:rsidR="008D5083">
              <w:rPr>
                <w:rFonts w:ascii="Arial" w:eastAsia="Calibri" w:hAnsi="Arial" w:cs="Arial"/>
                <w:szCs w:val="22"/>
                <w:lang w:val="en-GB"/>
              </w:rPr>
              <w:t xml:space="preserve">and dry </w:t>
            </w:r>
            <w:r w:rsidR="00AE4BCB" w:rsidRPr="00AE4BCB">
              <w:rPr>
                <w:rFonts w:ascii="Arial" w:eastAsia="Calibri" w:hAnsi="Arial" w:cs="Arial"/>
                <w:szCs w:val="22"/>
                <w:lang w:val="en-GB"/>
              </w:rPr>
              <w:t xml:space="preserve">season </w:t>
            </w:r>
            <w:commentRangeEnd w:id="1"/>
            <w:r w:rsidR="00631827">
              <w:rPr>
                <w:rStyle w:val="CommentReference"/>
              </w:rPr>
              <w:commentReference w:id="1"/>
            </w:r>
            <w:r w:rsidR="00AE4BCB" w:rsidRPr="00AE4BCB">
              <w:rPr>
                <w:rFonts w:ascii="Arial" w:eastAsia="Calibri" w:hAnsi="Arial" w:cs="Arial"/>
                <w:szCs w:val="22"/>
                <w:lang w:val="en-GB"/>
              </w:rPr>
              <w:t>to capture the influence of nutrient runoff and anthropogenic activities on water quality</w:t>
            </w:r>
            <w:r w:rsidRPr="00BA1B01">
              <w:rPr>
                <w:rFonts w:ascii="Arial" w:eastAsia="Calibri" w:hAnsi="Arial" w:cs="Arial"/>
                <w:szCs w:val="22"/>
              </w:rPr>
              <w:t>.</w:t>
            </w:r>
          </w:p>
          <w:p w14:paraId="1D48887E"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bCs/>
                <w:szCs w:val="22"/>
              </w:rPr>
              <w:t>Methodology:</w:t>
            </w:r>
            <w:r w:rsidR="00AE4BCB">
              <w:t xml:space="preserve"> </w:t>
            </w:r>
            <w:r w:rsidR="00AE4BCB" w:rsidRPr="00AE4BCB">
              <w:rPr>
                <w:rFonts w:ascii="Arial" w:eastAsia="Calibri" w:hAnsi="Arial" w:cs="Arial"/>
                <w:szCs w:val="22"/>
              </w:rPr>
              <w:t>Periphytic algae were collected manually from submerged surfaces of aquatic macrophytes using a standardized scraping technique, with samples prese</w:t>
            </w:r>
            <w:r w:rsidR="00AE4BCB">
              <w:rPr>
                <w:rFonts w:ascii="Arial" w:eastAsia="Calibri" w:hAnsi="Arial" w:cs="Arial"/>
                <w:szCs w:val="22"/>
              </w:rPr>
              <w:t>rved in Lugol’s iodine solution</w:t>
            </w:r>
            <w:r w:rsidRPr="00BA1B01">
              <w:rPr>
                <w:rFonts w:ascii="Arial" w:eastAsia="Calibri" w:hAnsi="Arial" w:cs="Arial"/>
                <w:szCs w:val="22"/>
              </w:rPr>
              <w:t>.</w:t>
            </w:r>
            <w:r w:rsidR="00AE4BCB">
              <w:t xml:space="preserve"> </w:t>
            </w:r>
            <w:r w:rsidR="00AE4BCB" w:rsidRPr="00AE4BCB">
              <w:rPr>
                <w:rFonts w:ascii="Arial" w:eastAsia="Calibri" w:hAnsi="Arial" w:cs="Arial"/>
                <w:szCs w:val="22"/>
              </w:rPr>
              <w:t>Algal identification was carried out under a compound microscope using established taxonomic keys</w:t>
            </w:r>
            <w:r w:rsidR="00AE4BCB">
              <w:rPr>
                <w:rFonts w:ascii="Arial" w:eastAsia="Calibri" w:hAnsi="Arial" w:cs="Arial"/>
                <w:szCs w:val="22"/>
              </w:rPr>
              <w:t xml:space="preserve"> </w:t>
            </w:r>
            <w:r w:rsidR="008D5083">
              <w:rPr>
                <w:rFonts w:ascii="Arial" w:eastAsia="Calibri" w:hAnsi="Arial" w:cs="Arial"/>
                <w:szCs w:val="22"/>
              </w:rPr>
              <w:t xml:space="preserve">while </w:t>
            </w:r>
            <w:r w:rsidR="008D5083">
              <w:t>Limnological</w:t>
            </w:r>
            <w:r w:rsidR="00AE4BCB" w:rsidRPr="00AE4BCB">
              <w:rPr>
                <w:rFonts w:ascii="Arial" w:eastAsia="Calibri" w:hAnsi="Arial" w:cs="Arial"/>
                <w:szCs w:val="22"/>
              </w:rPr>
              <w:t xml:space="preserve"> variables were conducted based on standard methods as described in APHA.</w:t>
            </w:r>
          </w:p>
          <w:p w14:paraId="02A90798" w14:textId="77777777" w:rsidR="00AE4BCB" w:rsidRDefault="002B0ABA" w:rsidP="005E78A8">
            <w:pPr>
              <w:pStyle w:val="Body"/>
              <w:spacing w:after="0"/>
              <w:rPr>
                <w:rFonts w:ascii="Arial" w:eastAsia="Calibri" w:hAnsi="Arial" w:cs="Arial"/>
                <w:szCs w:val="22"/>
              </w:rPr>
            </w:pPr>
            <w:commentRangeStart w:id="2"/>
            <w:r w:rsidRPr="00BA1B01">
              <w:rPr>
                <w:rFonts w:ascii="Arial" w:eastAsia="Calibri" w:hAnsi="Arial" w:cs="Arial"/>
                <w:b/>
                <w:bCs/>
                <w:szCs w:val="22"/>
              </w:rPr>
              <w:t>Results</w:t>
            </w:r>
            <w:commentRangeEnd w:id="2"/>
            <w:r w:rsidR="00F007AB">
              <w:rPr>
                <w:rStyle w:val="CommentReference"/>
              </w:rPr>
              <w:commentReference w:id="2"/>
            </w:r>
            <w:r w:rsidRPr="00BA1B01">
              <w:rPr>
                <w:rFonts w:ascii="Arial" w:eastAsia="Calibri" w:hAnsi="Arial" w:cs="Arial"/>
                <w:b/>
                <w:bCs/>
                <w:szCs w:val="22"/>
              </w:rPr>
              <w:t>:</w:t>
            </w:r>
            <w:r w:rsidR="00AE4BCB">
              <w:t xml:space="preserve"> </w:t>
            </w:r>
            <w:r w:rsidR="008D5083" w:rsidRPr="00AE4BCB">
              <w:rPr>
                <w:rFonts w:ascii="Arial" w:eastAsia="Calibri" w:hAnsi="Arial" w:cs="Arial"/>
                <w:szCs w:val="22"/>
              </w:rPr>
              <w:t xml:space="preserve">Physicochemical </w:t>
            </w:r>
            <w:r w:rsidR="008D5083">
              <w:rPr>
                <w:rFonts w:ascii="Arial" w:eastAsia="Calibri" w:hAnsi="Arial" w:cs="Arial"/>
                <w:szCs w:val="22"/>
              </w:rPr>
              <w:t xml:space="preserve">conditions indicated </w:t>
            </w:r>
            <w:r w:rsidR="00AE4BCB" w:rsidRPr="00AE4BCB">
              <w:rPr>
                <w:rFonts w:ascii="Arial" w:eastAsia="Calibri" w:hAnsi="Arial" w:cs="Arial"/>
                <w:szCs w:val="22"/>
              </w:rPr>
              <w:t xml:space="preserve">significant eutrophication and heavy metal stress. The pH ranged from 6.15 to 6.715, slightly below the upper limit of recommended standards, while water temperature remained consistently around 26 °C. Although conductivity and TDS were low, the system displayed very low alkalinity and hardness, rendering it vulnerable to pH fluctuations and metal toxicity. Nutrient concentrations were alarmingly high, with nitrate and phosphate levels far exceeding WHO and NESREA limits, driving eutrophication. Concurrently, elevated levels of heavy metals (chromium, lead, iron, nickel, and cadmium) were observed. These combined stressors favored the proliferation of opportunistic, eutrophication- and </w:t>
            </w:r>
            <w:r w:rsidR="008D5083">
              <w:rPr>
                <w:rFonts w:ascii="Arial" w:eastAsia="Calibri" w:hAnsi="Arial" w:cs="Arial"/>
                <w:szCs w:val="22"/>
              </w:rPr>
              <w:t xml:space="preserve">metal-tolerant periphytic algae </w:t>
            </w:r>
            <w:r w:rsidR="00AE4BCB" w:rsidRPr="00AE4BCB">
              <w:rPr>
                <w:rFonts w:ascii="Arial" w:eastAsia="Calibri" w:hAnsi="Arial" w:cs="Arial"/>
                <w:szCs w:val="22"/>
              </w:rPr>
              <w:t xml:space="preserve">such as </w:t>
            </w:r>
            <w:r w:rsidR="00AE4BCB" w:rsidRPr="00AE4BCB">
              <w:rPr>
                <w:rFonts w:ascii="Arial" w:eastAsia="Calibri" w:hAnsi="Arial" w:cs="Arial"/>
                <w:i/>
                <w:szCs w:val="22"/>
              </w:rPr>
              <w:t>Closterium</w:t>
            </w:r>
            <w:r w:rsidR="00AE4BCB" w:rsidRPr="00AE4BCB">
              <w:rPr>
                <w:rFonts w:ascii="Arial" w:eastAsia="Calibri" w:hAnsi="Arial" w:cs="Arial"/>
                <w:szCs w:val="22"/>
              </w:rPr>
              <w:t xml:space="preserve"> </w:t>
            </w:r>
            <w:r w:rsidR="00AE4BCB" w:rsidRPr="00AE4BCB">
              <w:rPr>
                <w:rFonts w:ascii="Arial" w:eastAsia="Calibri" w:hAnsi="Arial" w:cs="Arial"/>
                <w:i/>
                <w:szCs w:val="22"/>
              </w:rPr>
              <w:t>moniliferum</w:t>
            </w:r>
            <w:r w:rsidR="00AE4BCB" w:rsidRPr="00AE4BCB">
              <w:rPr>
                <w:rFonts w:ascii="Arial" w:eastAsia="Calibri" w:hAnsi="Arial" w:cs="Arial"/>
                <w:szCs w:val="22"/>
              </w:rPr>
              <w:t xml:space="preserve"> and </w:t>
            </w:r>
            <w:r w:rsidR="00AE4BCB" w:rsidRPr="00AE4BCB">
              <w:rPr>
                <w:rFonts w:ascii="Arial" w:eastAsia="Calibri" w:hAnsi="Arial" w:cs="Arial"/>
                <w:i/>
                <w:szCs w:val="22"/>
              </w:rPr>
              <w:t>Fragilaria</w:t>
            </w:r>
            <w:r w:rsidR="00AE4BCB" w:rsidRPr="00AE4BCB">
              <w:rPr>
                <w:rFonts w:ascii="Arial" w:eastAsia="Calibri" w:hAnsi="Arial" w:cs="Arial"/>
                <w:szCs w:val="22"/>
              </w:rPr>
              <w:t xml:space="preserve"> </w:t>
            </w:r>
            <w:r w:rsidR="00AE4BCB" w:rsidRPr="00AE4BCB">
              <w:rPr>
                <w:rFonts w:ascii="Arial" w:eastAsia="Calibri" w:hAnsi="Arial" w:cs="Arial"/>
                <w:i/>
                <w:szCs w:val="22"/>
              </w:rPr>
              <w:t>javanica</w:t>
            </w:r>
            <w:r w:rsidR="008D5083">
              <w:rPr>
                <w:rFonts w:ascii="Arial" w:eastAsia="Calibri" w:hAnsi="Arial" w:cs="Arial"/>
                <w:szCs w:val="22"/>
              </w:rPr>
              <w:t xml:space="preserve"> </w:t>
            </w:r>
            <w:r w:rsidR="00AE4BCB" w:rsidRPr="00AE4BCB">
              <w:rPr>
                <w:rFonts w:ascii="Arial" w:eastAsia="Calibri" w:hAnsi="Arial" w:cs="Arial"/>
                <w:szCs w:val="22"/>
              </w:rPr>
              <w:t xml:space="preserve">while more sensitive taxa were notably absent. </w:t>
            </w:r>
          </w:p>
          <w:p w14:paraId="29950014" w14:textId="77777777" w:rsidR="002B0ABA" w:rsidRDefault="002B0ABA" w:rsidP="005E78A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E4BCB" w:rsidRPr="00AE4BCB">
              <w:rPr>
                <w:rFonts w:ascii="Arial" w:eastAsia="Calibri" w:hAnsi="Arial" w:cs="Arial"/>
                <w:szCs w:val="22"/>
              </w:rPr>
              <w:t>The findings underscore the critical role of multivariate limnological factors in shaping algal assemblages and highlight the potential of periphytic algae as bioindicators for assessing ecosystem health in tropical freshwater environments.</w:t>
            </w:r>
          </w:p>
          <w:p w14:paraId="5430B909" w14:textId="77777777" w:rsidR="002B0ABA" w:rsidRPr="00BA1B01" w:rsidRDefault="002B0ABA" w:rsidP="005E78A8">
            <w:pPr>
              <w:pStyle w:val="Body"/>
              <w:spacing w:after="0"/>
              <w:rPr>
                <w:rFonts w:ascii="Arial" w:eastAsia="Calibri" w:hAnsi="Arial" w:cs="Arial"/>
                <w:szCs w:val="22"/>
              </w:rPr>
            </w:pPr>
          </w:p>
        </w:tc>
      </w:tr>
    </w:tbl>
    <w:p w14:paraId="2856612B" w14:textId="77777777" w:rsidR="002B0ABA" w:rsidRDefault="002B0ABA" w:rsidP="002B0ABA">
      <w:pPr>
        <w:pStyle w:val="Body"/>
        <w:spacing w:after="0"/>
        <w:rPr>
          <w:rFonts w:ascii="Arial" w:hAnsi="Arial" w:cs="Arial"/>
          <w:i/>
        </w:rPr>
      </w:pPr>
    </w:p>
    <w:p w14:paraId="14DA76C8" w14:textId="77777777" w:rsidR="002B0ABA" w:rsidRDefault="00AF031C" w:rsidP="002B0ABA">
      <w:pPr>
        <w:pStyle w:val="Body"/>
        <w:spacing w:after="0"/>
        <w:rPr>
          <w:rFonts w:ascii="Arial" w:hAnsi="Arial" w:cs="Arial"/>
          <w:i/>
        </w:rPr>
      </w:pPr>
      <w:commentRangeStart w:id="3"/>
      <w:r>
        <w:rPr>
          <w:rFonts w:ascii="Arial" w:hAnsi="Arial" w:cs="Arial"/>
          <w:i/>
        </w:rPr>
        <w:t xml:space="preserve">Keywords: Periphytic algae, Limnology, </w:t>
      </w:r>
      <w:r w:rsidR="004C67F8">
        <w:rPr>
          <w:rFonts w:ascii="Arial" w:hAnsi="Arial" w:cs="Arial"/>
          <w:i/>
        </w:rPr>
        <w:t>Freshwater Ecosystem, Diversity</w:t>
      </w:r>
      <w:commentRangeEnd w:id="3"/>
      <w:r w:rsidR="00631827">
        <w:rPr>
          <w:rStyle w:val="CommentReference"/>
        </w:rPr>
        <w:commentReference w:id="3"/>
      </w:r>
    </w:p>
    <w:p w14:paraId="1C0B8710" w14:textId="77777777" w:rsidR="002B0ABA" w:rsidRDefault="002B0ABA" w:rsidP="002B0ABA">
      <w:pPr>
        <w:pStyle w:val="Body"/>
        <w:spacing w:after="0"/>
        <w:rPr>
          <w:rFonts w:ascii="Arial" w:hAnsi="Arial" w:cs="Arial"/>
          <w:i/>
        </w:rPr>
      </w:pPr>
    </w:p>
    <w:p w14:paraId="01493154" w14:textId="77777777" w:rsidR="002B0ABA" w:rsidRDefault="002B0ABA" w:rsidP="002B0ABA">
      <w:pPr>
        <w:pStyle w:val="Body"/>
        <w:spacing w:after="0"/>
        <w:rPr>
          <w:rFonts w:ascii="Arial" w:hAnsi="Arial" w:cs="Arial"/>
          <w:i/>
          <w:sz w:val="18"/>
        </w:rPr>
      </w:pPr>
    </w:p>
    <w:p w14:paraId="6FF6260D" w14:textId="77777777" w:rsidR="002B0ABA" w:rsidRPr="00A24E7E" w:rsidRDefault="002B0ABA" w:rsidP="002B0ABA">
      <w:pPr>
        <w:pStyle w:val="Body"/>
        <w:spacing w:after="0"/>
        <w:rPr>
          <w:rFonts w:ascii="Arial" w:hAnsi="Arial" w:cs="Arial"/>
          <w:i/>
        </w:rPr>
      </w:pPr>
    </w:p>
    <w:p w14:paraId="511EA5F4" w14:textId="6F8BA567" w:rsidR="002B0ABA" w:rsidRDefault="002B0ABA" w:rsidP="002B0ABA">
      <w:pPr>
        <w:pStyle w:val="AbstHead"/>
        <w:spacing w:after="0"/>
        <w:jc w:val="both"/>
        <w:rPr>
          <w:rFonts w:ascii="Arial" w:hAnsi="Arial" w:cs="Arial"/>
        </w:rPr>
      </w:pPr>
      <w:r>
        <w:rPr>
          <w:rFonts w:ascii="Arial" w:hAnsi="Arial" w:cs="Arial"/>
        </w:rPr>
        <w:t xml:space="preserve">1. </w:t>
      </w:r>
      <w:commentRangeStart w:id="4"/>
      <w:r w:rsidRPr="00FB3A86">
        <w:rPr>
          <w:rFonts w:ascii="Arial" w:hAnsi="Arial" w:cs="Arial"/>
        </w:rPr>
        <w:t>INTRODUCTION</w:t>
      </w:r>
      <w:r>
        <w:rPr>
          <w:rFonts w:ascii="Arial" w:hAnsi="Arial" w:cs="Arial"/>
        </w:rPr>
        <w:t xml:space="preserve"> </w:t>
      </w:r>
    </w:p>
    <w:commentRangeEnd w:id="4"/>
    <w:p w14:paraId="1FD14FF1" w14:textId="77777777" w:rsidR="002B0ABA" w:rsidRPr="00FB3A86" w:rsidRDefault="000A5F0B" w:rsidP="002B0ABA">
      <w:pPr>
        <w:pStyle w:val="AbstHead"/>
        <w:spacing w:after="0"/>
        <w:jc w:val="both"/>
        <w:rPr>
          <w:rFonts w:ascii="Arial" w:hAnsi="Arial" w:cs="Arial"/>
        </w:rPr>
      </w:pPr>
      <w:r>
        <w:rPr>
          <w:rStyle w:val="CommentReference"/>
          <w:b w:val="0"/>
          <w:caps w:val="0"/>
        </w:rPr>
        <w:commentReference w:id="4"/>
      </w:r>
    </w:p>
    <w:p w14:paraId="3BF4A346" w14:textId="77777777" w:rsidR="00AF031C" w:rsidRPr="00AF031C" w:rsidRDefault="00AF031C" w:rsidP="00AF031C">
      <w:pPr>
        <w:pStyle w:val="Body"/>
        <w:spacing w:after="0"/>
        <w:rPr>
          <w:rFonts w:ascii="Arial" w:hAnsi="Arial" w:cs="Arial"/>
          <w:lang w:val="en-GB"/>
        </w:rPr>
      </w:pPr>
      <w:r w:rsidRPr="00AF031C">
        <w:rPr>
          <w:rFonts w:ascii="Arial" w:hAnsi="Arial" w:cs="Arial"/>
          <w:lang w:val="en-GB"/>
        </w:rPr>
        <w:t>Freshwater ecosystems are vital for biodiversity, supporting a myriad of aquatic organi</w:t>
      </w:r>
      <w:r w:rsidR="0028005F">
        <w:rPr>
          <w:rFonts w:ascii="Arial" w:hAnsi="Arial" w:cs="Arial"/>
          <w:lang w:val="en-GB"/>
        </w:rPr>
        <w:t xml:space="preserve">sms, including periphytic algae which are </w:t>
      </w:r>
      <w:r w:rsidRPr="00AF031C">
        <w:rPr>
          <w:rFonts w:ascii="Arial" w:hAnsi="Arial" w:cs="Arial"/>
          <w:lang w:val="en-GB"/>
        </w:rPr>
        <w:t>communities of microorganisms attached to submerged surfaces. These algae play a crucial role in primary production, nutrient cycling, and as foundational components of aquatic food webs (</w:t>
      </w:r>
      <w:r w:rsidR="003447AF" w:rsidRPr="003447AF">
        <w:rPr>
          <w:rFonts w:ascii="Arial" w:hAnsi="Arial" w:cs="Arial"/>
          <w:lang w:eastAsia="en-GB"/>
        </w:rPr>
        <w:t>Denise</w:t>
      </w:r>
      <w:r w:rsidR="003447AF" w:rsidRPr="000B62B4">
        <w:rPr>
          <w:rFonts w:ascii="Times New Roman" w:hAnsi="Times New Roman"/>
          <w:sz w:val="24"/>
          <w:szCs w:val="24"/>
          <w:lang w:eastAsia="en-GB"/>
        </w:rPr>
        <w:t>,</w:t>
      </w:r>
      <w:r w:rsidRPr="00AF031C">
        <w:rPr>
          <w:rFonts w:ascii="Arial" w:hAnsi="Arial" w:cs="Arial"/>
          <w:lang w:val="en-GB"/>
        </w:rPr>
        <w:t xml:space="preserve"> </w:t>
      </w:r>
      <w:r w:rsidRPr="003937F2">
        <w:rPr>
          <w:rFonts w:ascii="Arial" w:hAnsi="Arial" w:cs="Arial"/>
          <w:i/>
          <w:lang w:val="en-GB"/>
        </w:rPr>
        <w:t>et al.</w:t>
      </w:r>
      <w:r w:rsidR="003447AF">
        <w:rPr>
          <w:rFonts w:ascii="Arial" w:hAnsi="Arial" w:cs="Arial"/>
          <w:lang w:val="en-GB"/>
        </w:rPr>
        <w:t>, 2022</w:t>
      </w:r>
      <w:r w:rsidRPr="00AF031C">
        <w:rPr>
          <w:rFonts w:ascii="Arial" w:hAnsi="Arial" w:cs="Arial"/>
          <w:lang w:val="en-GB"/>
        </w:rPr>
        <w:t xml:space="preserve">). The composition and </w:t>
      </w:r>
      <w:r w:rsidRPr="00AF031C">
        <w:rPr>
          <w:rFonts w:ascii="Arial" w:hAnsi="Arial" w:cs="Arial"/>
          <w:lang w:val="en-GB"/>
        </w:rPr>
        <w:lastRenderedPageBreak/>
        <w:t>diversity of periphytic algae are influenced by various limnological factors such as light availability, nutrient concentrations, and hydrological conditions (</w:t>
      </w:r>
      <w:r w:rsidR="003447AF">
        <w:rPr>
          <w:rFonts w:ascii="Arial" w:hAnsi="Arial" w:cs="Arial"/>
          <w:bCs/>
          <w:lang w:val="en-GB"/>
        </w:rPr>
        <w:t>Bellinger and Sigee</w:t>
      </w:r>
      <w:r w:rsidR="0028005F">
        <w:rPr>
          <w:rFonts w:ascii="Arial" w:hAnsi="Arial" w:cs="Arial"/>
          <w:bCs/>
          <w:lang w:val="en-GB"/>
        </w:rPr>
        <w:t>,</w:t>
      </w:r>
      <w:r w:rsidR="003447AF">
        <w:rPr>
          <w:rFonts w:ascii="Arial" w:hAnsi="Arial" w:cs="Arial"/>
          <w:bCs/>
          <w:lang w:val="en-GB"/>
        </w:rPr>
        <w:t xml:space="preserve"> 2015</w:t>
      </w:r>
      <w:r w:rsidRPr="00AF031C">
        <w:rPr>
          <w:rFonts w:ascii="Arial" w:hAnsi="Arial" w:cs="Arial"/>
          <w:lang w:val="en-GB"/>
        </w:rPr>
        <w:t>).​</w:t>
      </w:r>
    </w:p>
    <w:p w14:paraId="33287C49" w14:textId="77777777" w:rsidR="002B0ABA" w:rsidRPr="00FB3A86" w:rsidRDefault="00AF031C" w:rsidP="00AF031C">
      <w:pPr>
        <w:pStyle w:val="Body"/>
        <w:spacing w:after="0"/>
        <w:rPr>
          <w:rFonts w:ascii="Arial" w:hAnsi="Arial" w:cs="Arial"/>
        </w:rPr>
      </w:pPr>
      <w:r w:rsidRPr="00AF031C">
        <w:rPr>
          <w:rFonts w:ascii="Arial" w:hAnsi="Arial" w:cs="Arial"/>
          <w:lang w:val="en-GB"/>
        </w:rPr>
        <w:t>Humic substances, resulting from the decomposition of organic matter, impart a characteristic brown coloration to water bodies and can significantly affect light penetration and nutrient dynamics within aquatic systems (</w:t>
      </w:r>
      <w:r w:rsidR="00975B49">
        <w:rPr>
          <w:rStyle w:val="relative"/>
        </w:rPr>
        <w:t>Sharma and Anthal</w:t>
      </w:r>
      <w:r w:rsidR="0028005F">
        <w:rPr>
          <w:rStyle w:val="relative"/>
        </w:rPr>
        <w:t>,</w:t>
      </w:r>
      <w:r w:rsidR="00975B49">
        <w:rPr>
          <w:rStyle w:val="relative"/>
        </w:rPr>
        <w:t xml:space="preserve"> 2016</w:t>
      </w:r>
      <w:r w:rsidRPr="00AF031C">
        <w:rPr>
          <w:rFonts w:ascii="Arial" w:hAnsi="Arial" w:cs="Arial"/>
          <w:lang w:val="en-GB"/>
        </w:rPr>
        <w:t xml:space="preserve">). The Eniong River in Itu, Nigeria, exemplifies a humic freshwater ecosystem where these interactions are pronounced (Essien </w:t>
      </w:r>
      <w:r w:rsidRPr="003937F2">
        <w:rPr>
          <w:rFonts w:ascii="Arial" w:hAnsi="Arial" w:cs="Arial"/>
          <w:i/>
          <w:lang w:val="en-GB"/>
        </w:rPr>
        <w:t>et al.</w:t>
      </w:r>
      <w:r w:rsidRPr="00AF031C">
        <w:rPr>
          <w:rFonts w:ascii="Arial" w:hAnsi="Arial" w:cs="Arial"/>
          <w:lang w:val="en-GB"/>
        </w:rPr>
        <w:t>, 2025). Understanding how limnological determinants shape periphytic algae assemblages in such environments is essential for assessing ecosystem health and functionality</w:t>
      </w:r>
    </w:p>
    <w:p w14:paraId="3334DDC7" w14:textId="77777777" w:rsidR="003937F2" w:rsidRDefault="003937F2" w:rsidP="002B0ABA">
      <w:pPr>
        <w:pStyle w:val="AbstHead"/>
        <w:spacing w:after="0"/>
        <w:jc w:val="both"/>
        <w:rPr>
          <w:rFonts w:ascii="Arial" w:hAnsi="Arial" w:cs="Arial"/>
        </w:rPr>
      </w:pPr>
    </w:p>
    <w:p w14:paraId="0E2CEC4B" w14:textId="77777777" w:rsidR="002B0ABA" w:rsidRDefault="002B0ABA" w:rsidP="002B0ABA">
      <w:pPr>
        <w:pStyle w:val="AbstHead"/>
        <w:spacing w:after="0"/>
        <w:jc w:val="both"/>
        <w:rPr>
          <w:rFonts w:ascii="Arial" w:hAnsi="Arial" w:cs="Arial"/>
        </w:rPr>
      </w:pPr>
      <w:r>
        <w:rPr>
          <w:rFonts w:ascii="Arial" w:hAnsi="Arial" w:cs="Arial"/>
        </w:rPr>
        <w:t xml:space="preserve">2. material and methods </w:t>
      </w:r>
    </w:p>
    <w:p w14:paraId="6C71BA48" w14:textId="77777777" w:rsidR="00623B83" w:rsidRDefault="00623B83" w:rsidP="002B0ABA">
      <w:pPr>
        <w:pStyle w:val="AbstHead"/>
        <w:spacing w:after="0"/>
        <w:jc w:val="both"/>
        <w:rPr>
          <w:rFonts w:ascii="Arial" w:hAnsi="Arial" w:cs="Arial"/>
        </w:rPr>
      </w:pPr>
    </w:p>
    <w:p w14:paraId="62044F78" w14:textId="77777777" w:rsidR="00623B83" w:rsidRDefault="00623B83" w:rsidP="00623B83">
      <w:pPr>
        <w:pStyle w:val="AbstHead"/>
        <w:spacing w:after="0"/>
        <w:rPr>
          <w:rFonts w:ascii="Arial" w:hAnsi="Arial" w:cs="Arial"/>
        </w:rPr>
      </w:pPr>
      <w:r w:rsidRPr="00623B83">
        <w:rPr>
          <w:rFonts w:ascii="Arial" w:hAnsi="Arial" w:cs="Arial"/>
        </w:rPr>
        <w:t xml:space="preserve">2.1 </w:t>
      </w:r>
      <w:commentRangeStart w:id="5"/>
      <w:r w:rsidRPr="00623B83">
        <w:rPr>
          <w:rFonts w:ascii="Arial" w:hAnsi="Arial" w:cs="Arial"/>
        </w:rPr>
        <w:t>Study Area Description</w:t>
      </w:r>
      <w:commentRangeEnd w:id="5"/>
      <w:r w:rsidR="000C200B">
        <w:rPr>
          <w:rStyle w:val="CommentReference"/>
          <w:b w:val="0"/>
          <w:caps w:val="0"/>
        </w:rPr>
        <w:commentReference w:id="5"/>
      </w:r>
    </w:p>
    <w:p w14:paraId="5A699D69" w14:textId="77777777" w:rsidR="002B0ABA" w:rsidRPr="00FB3A86" w:rsidRDefault="002B0ABA" w:rsidP="002B0ABA">
      <w:pPr>
        <w:pStyle w:val="AbstHead"/>
        <w:spacing w:after="0"/>
        <w:jc w:val="both"/>
        <w:rPr>
          <w:rFonts w:ascii="Arial" w:hAnsi="Arial" w:cs="Arial"/>
        </w:rPr>
      </w:pPr>
    </w:p>
    <w:p w14:paraId="20C8B7C9" w14:textId="77777777" w:rsidR="002B0ABA" w:rsidRDefault="004C67F8" w:rsidP="004C67F8">
      <w:pPr>
        <w:pStyle w:val="Body"/>
        <w:rPr>
          <w:rFonts w:ascii="Arial" w:hAnsi="Arial" w:cs="Arial"/>
        </w:rPr>
      </w:pPr>
      <w:r w:rsidRPr="004C67F8">
        <w:rPr>
          <w:rFonts w:ascii="Arial" w:hAnsi="Arial" w:cs="Arial"/>
        </w:rPr>
        <w:t>The  study  w</w:t>
      </w:r>
      <w:r>
        <w:rPr>
          <w:rFonts w:ascii="Arial" w:hAnsi="Arial" w:cs="Arial"/>
        </w:rPr>
        <w:t xml:space="preserve">as  conducted  on  the  Eniong  </w:t>
      </w:r>
      <w:r w:rsidRPr="004C67F8">
        <w:rPr>
          <w:rFonts w:ascii="Arial" w:hAnsi="Arial" w:cs="Arial"/>
        </w:rPr>
        <w:t>River,  a  tributary  of  the  Cross  R</w:t>
      </w:r>
      <w:r>
        <w:rPr>
          <w:rFonts w:ascii="Arial" w:hAnsi="Arial" w:cs="Arial"/>
        </w:rPr>
        <w:t xml:space="preserve">iver, </w:t>
      </w:r>
      <w:r w:rsidRPr="004C67F8">
        <w:rPr>
          <w:rFonts w:ascii="Arial" w:hAnsi="Arial" w:cs="Arial"/>
        </w:rPr>
        <w:t>located  in  Itu  Loc</w:t>
      </w:r>
      <w:r>
        <w:rPr>
          <w:rFonts w:ascii="Arial" w:hAnsi="Arial" w:cs="Arial"/>
        </w:rPr>
        <w:t xml:space="preserve">al  Government  Area  of  Akwa </w:t>
      </w:r>
      <w:r w:rsidRPr="004C67F8">
        <w:rPr>
          <w:rFonts w:ascii="Arial" w:hAnsi="Arial" w:cs="Arial"/>
        </w:rPr>
        <w:t>Ibom State, Nigeria</w:t>
      </w:r>
      <w:r>
        <w:rPr>
          <w:rFonts w:ascii="Arial" w:hAnsi="Arial" w:cs="Arial"/>
        </w:rPr>
        <w:t xml:space="preserve">. The river lies approximately </w:t>
      </w:r>
      <w:r w:rsidRPr="004C67F8">
        <w:rPr>
          <w:rFonts w:ascii="Arial" w:hAnsi="Arial" w:cs="Arial"/>
        </w:rPr>
        <w:t>between  latitu</w:t>
      </w:r>
      <w:r>
        <w:rPr>
          <w:rFonts w:ascii="Arial" w:hAnsi="Arial" w:cs="Arial"/>
        </w:rPr>
        <w:t xml:space="preserve">des  5°10'  and  5°30'  N  and  </w:t>
      </w:r>
      <w:r w:rsidRPr="004C67F8">
        <w:rPr>
          <w:rFonts w:ascii="Arial" w:hAnsi="Arial" w:cs="Arial"/>
        </w:rPr>
        <w:t>longitudes 7°45' and</w:t>
      </w:r>
      <w:r>
        <w:rPr>
          <w:rFonts w:ascii="Arial" w:hAnsi="Arial" w:cs="Arial"/>
        </w:rPr>
        <w:t xml:space="preserve"> 8°00' E  (Etuk </w:t>
      </w:r>
      <w:r w:rsidRPr="003937F2">
        <w:rPr>
          <w:rFonts w:ascii="Arial" w:hAnsi="Arial" w:cs="Arial"/>
          <w:i/>
        </w:rPr>
        <w:t>et al</w:t>
      </w:r>
      <w:r>
        <w:rPr>
          <w:rFonts w:ascii="Arial" w:hAnsi="Arial" w:cs="Arial"/>
        </w:rPr>
        <w:t xml:space="preserve">., 2020). </w:t>
      </w:r>
      <w:r w:rsidRPr="004C67F8">
        <w:rPr>
          <w:rFonts w:ascii="Arial" w:hAnsi="Arial" w:cs="Arial"/>
        </w:rPr>
        <w:t>The  climate  of  the  area  is  characterized</w:t>
      </w:r>
      <w:r>
        <w:rPr>
          <w:rFonts w:ascii="Arial" w:hAnsi="Arial" w:cs="Arial"/>
        </w:rPr>
        <w:t xml:space="preserve">  by  two  </w:t>
      </w:r>
      <w:r w:rsidRPr="004C67F8">
        <w:rPr>
          <w:rFonts w:ascii="Arial" w:hAnsi="Arial" w:cs="Arial"/>
        </w:rPr>
        <w:t>distinct  seasons:  a</w:t>
      </w:r>
      <w:r>
        <w:rPr>
          <w:rFonts w:ascii="Arial" w:hAnsi="Arial" w:cs="Arial"/>
        </w:rPr>
        <w:t xml:space="preserve">  wet  season  </w:t>
      </w:r>
      <w:commentRangeStart w:id="6"/>
      <w:r>
        <w:rPr>
          <w:rFonts w:ascii="Arial" w:hAnsi="Arial" w:cs="Arial"/>
        </w:rPr>
        <w:t xml:space="preserve">from  April  to </w:t>
      </w:r>
      <w:r w:rsidRPr="004C67F8">
        <w:rPr>
          <w:rFonts w:ascii="Arial" w:hAnsi="Arial" w:cs="Arial"/>
        </w:rPr>
        <w:t>October  and  a  d</w:t>
      </w:r>
      <w:r>
        <w:rPr>
          <w:rFonts w:ascii="Arial" w:hAnsi="Arial" w:cs="Arial"/>
        </w:rPr>
        <w:t xml:space="preserve">ry  season  from  November  to </w:t>
      </w:r>
      <w:r w:rsidRPr="004C67F8">
        <w:rPr>
          <w:rFonts w:ascii="Arial" w:hAnsi="Arial" w:cs="Arial"/>
        </w:rPr>
        <w:t>March</w:t>
      </w:r>
      <w:commentRangeEnd w:id="6"/>
      <w:r w:rsidR="000C200B">
        <w:rPr>
          <w:rStyle w:val="CommentReference"/>
        </w:rPr>
        <w:commentReference w:id="6"/>
      </w:r>
      <w:r>
        <w:rPr>
          <w:rFonts w:ascii="Arial" w:hAnsi="Arial" w:cs="Arial"/>
        </w:rPr>
        <w:t xml:space="preserve">.  The  mean  annual  rainfall </w:t>
      </w:r>
      <w:r w:rsidRPr="004C67F8">
        <w:rPr>
          <w:rFonts w:ascii="Arial" w:hAnsi="Arial" w:cs="Arial"/>
        </w:rPr>
        <w:t>ranges  from  2000</w:t>
      </w:r>
      <w:r>
        <w:rPr>
          <w:rFonts w:ascii="Arial" w:hAnsi="Arial" w:cs="Arial"/>
        </w:rPr>
        <w:t xml:space="preserve">  to  3000  mm,  with  average </w:t>
      </w:r>
      <w:r w:rsidRPr="004C67F8">
        <w:rPr>
          <w:rFonts w:ascii="Arial" w:hAnsi="Arial" w:cs="Arial"/>
        </w:rPr>
        <w:t>temperatures be</w:t>
      </w:r>
      <w:r>
        <w:rPr>
          <w:rFonts w:ascii="Arial" w:hAnsi="Arial" w:cs="Arial"/>
        </w:rPr>
        <w:t xml:space="preserve">tween 26°C and 28°C  (Akpan </w:t>
      </w:r>
      <w:r w:rsidRPr="003937F2">
        <w:rPr>
          <w:rFonts w:ascii="Arial" w:hAnsi="Arial" w:cs="Arial"/>
          <w:i/>
        </w:rPr>
        <w:t>et al.,</w:t>
      </w:r>
      <w:r w:rsidRPr="004C67F8">
        <w:rPr>
          <w:rFonts w:ascii="Arial" w:hAnsi="Arial" w:cs="Arial"/>
        </w:rPr>
        <w:t xml:space="preserve"> 2018). The  Eniong  River</w:t>
      </w:r>
      <w:r>
        <w:rPr>
          <w:rFonts w:ascii="Arial" w:hAnsi="Arial" w:cs="Arial"/>
        </w:rPr>
        <w:t xml:space="preserve">  flows  through  a  landscape </w:t>
      </w:r>
      <w:r w:rsidRPr="004C67F8">
        <w:rPr>
          <w:rFonts w:ascii="Arial" w:hAnsi="Arial" w:cs="Arial"/>
        </w:rPr>
        <w:t>dominated  by  tropi</w:t>
      </w:r>
      <w:r>
        <w:rPr>
          <w:rFonts w:ascii="Arial" w:hAnsi="Arial" w:cs="Arial"/>
        </w:rPr>
        <w:t xml:space="preserve">cal  rainforest  and  mangrove </w:t>
      </w:r>
      <w:r w:rsidRPr="004C67F8">
        <w:rPr>
          <w:rFonts w:ascii="Arial" w:hAnsi="Arial" w:cs="Arial"/>
        </w:rPr>
        <w:t xml:space="preserve">swamps. The river </w:t>
      </w:r>
      <w:r>
        <w:rPr>
          <w:rFonts w:ascii="Arial" w:hAnsi="Arial" w:cs="Arial"/>
        </w:rPr>
        <w:t xml:space="preserve">basin is influenced by natural </w:t>
      </w:r>
      <w:r w:rsidRPr="004C67F8">
        <w:rPr>
          <w:rFonts w:ascii="Arial" w:hAnsi="Arial" w:cs="Arial"/>
        </w:rPr>
        <w:t>processes and anthr</w:t>
      </w:r>
      <w:r>
        <w:rPr>
          <w:rFonts w:ascii="Arial" w:hAnsi="Arial" w:cs="Arial"/>
        </w:rPr>
        <w:t xml:space="preserve">opogenic activities, including </w:t>
      </w:r>
      <w:r w:rsidRPr="004C67F8">
        <w:rPr>
          <w:rFonts w:ascii="Arial" w:hAnsi="Arial" w:cs="Arial"/>
        </w:rPr>
        <w:t>agriculture,  fishing,  and  small-scale  industr</w:t>
      </w:r>
      <w:r>
        <w:rPr>
          <w:rFonts w:ascii="Arial" w:hAnsi="Arial" w:cs="Arial"/>
        </w:rPr>
        <w:t xml:space="preserve">ial </w:t>
      </w:r>
      <w:r w:rsidRPr="004C67F8">
        <w:rPr>
          <w:rFonts w:ascii="Arial" w:hAnsi="Arial" w:cs="Arial"/>
        </w:rPr>
        <w:t>operations.</w:t>
      </w:r>
      <w:r>
        <w:rPr>
          <w:rFonts w:ascii="Arial" w:hAnsi="Arial" w:cs="Arial"/>
        </w:rPr>
        <w:t xml:space="preserve">  </w:t>
      </w:r>
      <w:r w:rsidR="0028005F">
        <w:rPr>
          <w:rFonts w:ascii="Arial" w:hAnsi="Arial" w:cs="Arial"/>
        </w:rPr>
        <w:t>The surrounding</w:t>
      </w:r>
      <w:r>
        <w:rPr>
          <w:rFonts w:ascii="Arial" w:hAnsi="Arial" w:cs="Arial"/>
        </w:rPr>
        <w:t xml:space="preserve">  vegetation </w:t>
      </w:r>
      <w:r w:rsidRPr="004C67F8">
        <w:rPr>
          <w:rFonts w:ascii="Arial" w:hAnsi="Arial" w:cs="Arial"/>
        </w:rPr>
        <w:t>contributes signifi</w:t>
      </w:r>
      <w:r>
        <w:rPr>
          <w:rFonts w:ascii="Arial" w:hAnsi="Arial" w:cs="Arial"/>
        </w:rPr>
        <w:t xml:space="preserve">cant amounts of organic matter </w:t>
      </w:r>
      <w:r w:rsidRPr="004C67F8">
        <w:rPr>
          <w:rFonts w:ascii="Arial" w:hAnsi="Arial" w:cs="Arial"/>
        </w:rPr>
        <w:t xml:space="preserve">to the river, resulting in its humic nature  (Akpan </w:t>
      </w:r>
      <w:r w:rsidRPr="003937F2">
        <w:rPr>
          <w:rFonts w:ascii="Arial" w:hAnsi="Arial" w:cs="Arial"/>
          <w:i/>
        </w:rPr>
        <w:t>et al.,</w:t>
      </w:r>
      <w:r w:rsidRPr="004C67F8">
        <w:rPr>
          <w:rFonts w:ascii="Arial" w:hAnsi="Arial" w:cs="Arial"/>
        </w:rPr>
        <w:t xml:space="preserve"> 2018)</w:t>
      </w:r>
    </w:p>
    <w:p w14:paraId="4F3F7069" w14:textId="77777777" w:rsidR="002B0ABA" w:rsidRDefault="00623B83" w:rsidP="002B0ABA">
      <w:pPr>
        <w:pStyle w:val="Body"/>
        <w:spacing w:after="0"/>
        <w:rPr>
          <w:rFonts w:ascii="Arial" w:hAnsi="Arial" w:cs="Arial"/>
        </w:rPr>
      </w:pPr>
      <w:r>
        <w:rPr>
          <w:rFonts w:ascii="Arial" w:hAnsi="Arial" w:cs="Arial"/>
          <w:noProof/>
          <w:lang w:val="en-GB" w:eastAsia="en-GB"/>
        </w:rPr>
        <w:lastRenderedPageBreak/>
        <w:drawing>
          <wp:inline distT="0" distB="0" distL="0" distR="0" wp14:anchorId="2F4EA402" wp14:editId="76F6AE93">
            <wp:extent cx="5212080" cy="4622751"/>
            <wp:effectExtent l="19050" t="0" r="7620" b="0"/>
            <wp:docPr id="3" name="Picture 3" descr="C:\Users\imedimfon1\Documents\P.hD folder\MY P.HD THESIS\P.HD\Sampling survey\Final 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edimfon1\Documents\P.hD folder\MY P.HD THESIS\P.HD\Sampling survey\Final Stations.jpg"/>
                    <pic:cNvPicPr>
                      <a:picLocks noChangeAspect="1" noChangeArrowheads="1"/>
                    </pic:cNvPicPr>
                  </pic:nvPicPr>
                  <pic:blipFill>
                    <a:blip r:embed="rId17" cstate="print"/>
                    <a:srcRect/>
                    <a:stretch>
                      <a:fillRect/>
                    </a:stretch>
                  </pic:blipFill>
                  <pic:spPr bwMode="auto">
                    <a:xfrm>
                      <a:off x="0" y="0"/>
                      <a:ext cx="5212080" cy="4622751"/>
                    </a:xfrm>
                    <a:prstGeom prst="rect">
                      <a:avLst/>
                    </a:prstGeom>
                    <a:noFill/>
                    <a:ln w="9525">
                      <a:noFill/>
                      <a:miter lim="800000"/>
                      <a:headEnd/>
                      <a:tailEnd/>
                    </a:ln>
                  </pic:spPr>
                </pic:pic>
              </a:graphicData>
            </a:graphic>
          </wp:inline>
        </w:drawing>
      </w:r>
    </w:p>
    <w:p w14:paraId="4FC8568B" w14:textId="77777777" w:rsidR="00623B83" w:rsidRPr="003937F2" w:rsidRDefault="00623B83" w:rsidP="00623B83">
      <w:pPr>
        <w:pStyle w:val="Body"/>
        <w:spacing w:after="0"/>
        <w:jc w:val="center"/>
        <w:rPr>
          <w:rFonts w:ascii="Arial" w:hAnsi="Arial" w:cs="Arial"/>
          <w:b/>
        </w:rPr>
      </w:pPr>
      <w:commentRangeStart w:id="7"/>
      <w:r w:rsidRPr="003937F2">
        <w:rPr>
          <w:rFonts w:ascii="Arial" w:hAnsi="Arial" w:cs="Arial"/>
          <w:b/>
        </w:rPr>
        <w:t>Fig. 1. Map of Eniong river showing sampling stations</w:t>
      </w:r>
    </w:p>
    <w:commentRangeEnd w:id="7"/>
    <w:p w14:paraId="53ACE9A3" w14:textId="77777777" w:rsidR="002B0ABA" w:rsidRDefault="00440A8D" w:rsidP="002B0ABA">
      <w:pPr>
        <w:pStyle w:val="Body"/>
        <w:spacing w:after="0"/>
        <w:rPr>
          <w:rFonts w:ascii="Arial" w:hAnsi="Arial" w:cs="Arial"/>
          <w:b/>
          <w:caps/>
          <w:sz w:val="22"/>
        </w:rPr>
      </w:pPr>
      <w:r>
        <w:rPr>
          <w:rStyle w:val="CommentReference"/>
        </w:rPr>
        <w:commentReference w:id="7"/>
      </w:r>
    </w:p>
    <w:p w14:paraId="2B8BF592" w14:textId="77777777" w:rsidR="00623B83" w:rsidRDefault="00623B83" w:rsidP="002B0ABA">
      <w:pPr>
        <w:pStyle w:val="Body"/>
        <w:spacing w:after="0"/>
        <w:rPr>
          <w:rFonts w:ascii="Arial" w:hAnsi="Arial" w:cs="Arial"/>
        </w:rPr>
      </w:pPr>
    </w:p>
    <w:p w14:paraId="3358B656" w14:textId="77777777" w:rsidR="00623B83" w:rsidRPr="00B35C37" w:rsidRDefault="00B35C37" w:rsidP="002B0ABA">
      <w:pPr>
        <w:pStyle w:val="Body"/>
        <w:spacing w:after="0"/>
        <w:rPr>
          <w:rFonts w:ascii="Arial" w:hAnsi="Arial" w:cs="Arial"/>
          <w:b/>
          <w:sz w:val="22"/>
          <w:szCs w:val="22"/>
        </w:rPr>
      </w:pPr>
      <w:r w:rsidRPr="00B35C37">
        <w:rPr>
          <w:rFonts w:ascii="Arial" w:hAnsi="Arial" w:cs="Arial"/>
          <w:b/>
          <w:sz w:val="22"/>
          <w:szCs w:val="22"/>
        </w:rPr>
        <w:t xml:space="preserve">2.2 </w:t>
      </w:r>
      <w:commentRangeStart w:id="8"/>
      <w:r w:rsidRPr="00B35C37">
        <w:rPr>
          <w:rFonts w:ascii="Arial" w:hAnsi="Arial" w:cs="Arial"/>
          <w:b/>
          <w:sz w:val="22"/>
          <w:szCs w:val="22"/>
        </w:rPr>
        <w:t>Sampling Design and Data Collection</w:t>
      </w:r>
      <w:commentRangeEnd w:id="8"/>
      <w:r w:rsidR="00210ADF">
        <w:rPr>
          <w:rStyle w:val="CommentReference"/>
        </w:rPr>
        <w:commentReference w:id="8"/>
      </w:r>
    </w:p>
    <w:p w14:paraId="6D57C1FA" w14:textId="77777777" w:rsidR="00623B83" w:rsidRDefault="00623B83" w:rsidP="002B0ABA">
      <w:pPr>
        <w:pStyle w:val="Body"/>
        <w:spacing w:after="0"/>
        <w:rPr>
          <w:rFonts w:ascii="Arial" w:hAnsi="Arial" w:cs="Arial"/>
        </w:rPr>
      </w:pPr>
    </w:p>
    <w:p w14:paraId="5AB991A0" w14:textId="77777777" w:rsidR="00623B83" w:rsidRPr="007D71AC" w:rsidRDefault="003937F2" w:rsidP="007D71AC">
      <w:pPr>
        <w:pStyle w:val="Body"/>
      </w:pPr>
      <w:r w:rsidRPr="00B35C37">
        <w:rPr>
          <w:rFonts w:ascii="Arial" w:hAnsi="Arial" w:cs="Arial"/>
        </w:rPr>
        <w:t xml:space="preserve">A stratified </w:t>
      </w:r>
      <w:r>
        <w:rPr>
          <w:rFonts w:ascii="Arial" w:hAnsi="Arial" w:cs="Arial"/>
        </w:rPr>
        <w:t>random sampling</w:t>
      </w:r>
      <w:r w:rsidR="00B35C37">
        <w:rPr>
          <w:rFonts w:ascii="Arial" w:hAnsi="Arial" w:cs="Arial"/>
        </w:rPr>
        <w:t xml:space="preserve">  design  was  </w:t>
      </w:r>
      <w:r w:rsidR="00B35C37" w:rsidRPr="00B35C37">
        <w:rPr>
          <w:rFonts w:ascii="Arial" w:hAnsi="Arial" w:cs="Arial"/>
        </w:rPr>
        <w:t>employed to en</w:t>
      </w:r>
      <w:r w:rsidR="00B35C37">
        <w:rPr>
          <w:rFonts w:ascii="Arial" w:hAnsi="Arial" w:cs="Arial"/>
        </w:rPr>
        <w:t xml:space="preserve">sure comprehensive coverage of  </w:t>
      </w:r>
      <w:r w:rsidR="00B35C37" w:rsidRPr="00B35C37">
        <w:rPr>
          <w:rFonts w:ascii="Arial" w:hAnsi="Arial" w:cs="Arial"/>
        </w:rPr>
        <w:t xml:space="preserve">the  river  ecosystem.  </w:t>
      </w:r>
      <w:r w:rsidR="00B35C37">
        <w:rPr>
          <w:rFonts w:ascii="Arial" w:hAnsi="Arial" w:cs="Arial"/>
        </w:rPr>
        <w:t xml:space="preserve">The  river  was  divided  into  </w:t>
      </w:r>
      <w:r w:rsidR="00B35C37" w:rsidRPr="00B35C37">
        <w:rPr>
          <w:rFonts w:ascii="Arial" w:hAnsi="Arial" w:cs="Arial"/>
        </w:rPr>
        <w:t xml:space="preserve">four  zones  (upper, </w:t>
      </w:r>
      <w:r w:rsidR="00B35C37">
        <w:rPr>
          <w:rFonts w:ascii="Arial" w:hAnsi="Arial" w:cs="Arial"/>
        </w:rPr>
        <w:t xml:space="preserve"> middle,  mid  low  and  lower  </w:t>
      </w:r>
      <w:r w:rsidR="00B35C37" w:rsidRPr="00B35C37">
        <w:rPr>
          <w:rFonts w:ascii="Arial" w:hAnsi="Arial" w:cs="Arial"/>
        </w:rPr>
        <w:t>reaches</w:t>
      </w:r>
      <w:r w:rsidR="00B35C37">
        <w:rPr>
          <w:rFonts w:ascii="Arial" w:hAnsi="Arial" w:cs="Arial"/>
        </w:rPr>
        <w:t xml:space="preserve">)  based  on  geomorphological  </w:t>
      </w:r>
      <w:r w:rsidR="00B35C37" w:rsidRPr="00B35C37">
        <w:rPr>
          <w:rFonts w:ascii="Arial" w:hAnsi="Arial" w:cs="Arial"/>
        </w:rPr>
        <w:t xml:space="preserve">characteristics </w:t>
      </w:r>
      <w:r w:rsidR="00B35C37">
        <w:rPr>
          <w:rFonts w:ascii="Arial" w:hAnsi="Arial" w:cs="Arial"/>
        </w:rPr>
        <w:t xml:space="preserve"> and  land  use  patterns  for  </w:t>
      </w:r>
      <w:r w:rsidR="00B35C37" w:rsidRPr="00B35C37">
        <w:rPr>
          <w:rFonts w:ascii="Arial" w:hAnsi="Arial" w:cs="Arial"/>
        </w:rPr>
        <w:t>collection  of  macrop</w:t>
      </w:r>
      <w:r w:rsidR="00B35C37">
        <w:rPr>
          <w:rFonts w:ascii="Arial" w:hAnsi="Arial" w:cs="Arial"/>
        </w:rPr>
        <w:t xml:space="preserve">hyte  and  limnological  data.  </w:t>
      </w:r>
      <w:r w:rsidR="00F3384E">
        <w:rPr>
          <w:rFonts w:ascii="Arial" w:hAnsi="Arial" w:cs="Arial"/>
        </w:rPr>
        <w:t xml:space="preserve">Periphytic algae </w:t>
      </w:r>
      <w:r w:rsidR="00B35C37" w:rsidRPr="00B35C37">
        <w:rPr>
          <w:rFonts w:ascii="Arial" w:hAnsi="Arial" w:cs="Arial"/>
        </w:rPr>
        <w:t>were  coll</w:t>
      </w:r>
      <w:r w:rsidR="00B35C37">
        <w:rPr>
          <w:rFonts w:ascii="Arial" w:hAnsi="Arial" w:cs="Arial"/>
        </w:rPr>
        <w:t xml:space="preserve">ected  manually  from  four  </w:t>
      </w:r>
      <w:r w:rsidR="00B35C37" w:rsidRPr="00B35C37">
        <w:rPr>
          <w:rFonts w:ascii="Arial" w:hAnsi="Arial" w:cs="Arial"/>
        </w:rPr>
        <w:t>sampling  Stations  se</w:t>
      </w:r>
      <w:r w:rsidR="00B35C37">
        <w:rPr>
          <w:rFonts w:ascii="Arial" w:hAnsi="Arial" w:cs="Arial"/>
        </w:rPr>
        <w:t xml:space="preserve">lected  as  representative  of  </w:t>
      </w:r>
      <w:r w:rsidR="00B35C37" w:rsidRPr="00B35C37">
        <w:rPr>
          <w:rFonts w:ascii="Arial" w:hAnsi="Arial" w:cs="Arial"/>
        </w:rPr>
        <w:t>the entire river e</w:t>
      </w:r>
      <w:r w:rsidR="00B35C37">
        <w:rPr>
          <w:rFonts w:ascii="Arial" w:hAnsi="Arial" w:cs="Arial"/>
        </w:rPr>
        <w:t xml:space="preserve">cosystem. Station 1 and 4 were  </w:t>
      </w:r>
      <w:r w:rsidR="00B35C37" w:rsidRPr="00B35C37">
        <w:rPr>
          <w:rFonts w:ascii="Arial" w:hAnsi="Arial" w:cs="Arial"/>
        </w:rPr>
        <w:t>selected  for  compar</w:t>
      </w:r>
      <w:r w:rsidR="00B35C37">
        <w:rPr>
          <w:rFonts w:ascii="Arial" w:hAnsi="Arial" w:cs="Arial"/>
        </w:rPr>
        <w:t xml:space="preserve">ison  of  species  composition  </w:t>
      </w:r>
      <w:r w:rsidR="00B35C37" w:rsidRPr="00B35C37">
        <w:rPr>
          <w:rFonts w:ascii="Arial" w:hAnsi="Arial" w:cs="Arial"/>
        </w:rPr>
        <w:t>between  river  inle</w:t>
      </w:r>
      <w:r w:rsidR="00B35C37">
        <w:rPr>
          <w:rFonts w:ascii="Arial" w:hAnsi="Arial" w:cs="Arial"/>
        </w:rPr>
        <w:t xml:space="preserve">t  and  outlet,  respectively. </w:t>
      </w:r>
      <w:r w:rsidR="00B35C37" w:rsidRPr="00B35C37">
        <w:rPr>
          <w:rFonts w:ascii="Arial" w:hAnsi="Arial" w:cs="Arial"/>
        </w:rPr>
        <w:t>Station  2  was  close</w:t>
      </w:r>
      <w:r w:rsidR="00B35C37">
        <w:rPr>
          <w:rFonts w:ascii="Arial" w:hAnsi="Arial" w:cs="Arial"/>
        </w:rPr>
        <w:t xml:space="preserve">  to  settlement  area  having  </w:t>
      </w:r>
      <w:r w:rsidR="00B35C37" w:rsidRPr="00B35C37">
        <w:rPr>
          <w:rFonts w:ascii="Arial" w:hAnsi="Arial" w:cs="Arial"/>
        </w:rPr>
        <w:t xml:space="preserve">higher  exposure  to  anthropogenic  activities </w:t>
      </w:r>
      <w:r w:rsidR="00B35C37">
        <w:rPr>
          <w:rFonts w:ascii="Arial" w:hAnsi="Arial" w:cs="Arial"/>
        </w:rPr>
        <w:t xml:space="preserve"> </w:t>
      </w:r>
      <w:r w:rsidR="00B35C37" w:rsidRPr="00B35C37">
        <w:rPr>
          <w:rFonts w:ascii="Arial" w:hAnsi="Arial" w:cs="Arial"/>
        </w:rPr>
        <w:t>whereas Station 3 was distant from settlements.</w:t>
      </w:r>
      <w:r w:rsidR="007D71AC">
        <w:rPr>
          <w:rFonts w:ascii="Arial" w:hAnsi="Arial" w:cs="Arial"/>
        </w:rPr>
        <w:t xml:space="preserve"> </w:t>
      </w:r>
      <w:r w:rsidR="007D71AC">
        <w:rPr>
          <w:rStyle w:val="relative"/>
        </w:rPr>
        <w:t>Periphytic algae samples were co</w:t>
      </w:r>
      <w:r w:rsidR="00F3384E">
        <w:rPr>
          <w:rStyle w:val="relative"/>
        </w:rPr>
        <w:t>llected from submerged surfaces of</w:t>
      </w:r>
      <w:r w:rsidR="007D71AC">
        <w:rPr>
          <w:rStyle w:val="relative"/>
        </w:rPr>
        <w:t xml:space="preserve"> aquatic macrophytes, and woody debris, using a standardized scraping technique.</w:t>
      </w:r>
      <w:r w:rsidR="007D71AC">
        <w:t xml:space="preserve"> </w:t>
      </w:r>
      <w:r w:rsidR="007D71AC">
        <w:rPr>
          <w:rStyle w:val="relative"/>
        </w:rPr>
        <w:t>The scraped material was preserved in Lugol’s iodine solution for subsequent analysis.</w:t>
      </w:r>
      <w:r w:rsidR="007D71AC">
        <w:t xml:space="preserve"> </w:t>
      </w:r>
      <w:r w:rsidR="007D71AC">
        <w:rPr>
          <w:rStyle w:val="relative"/>
        </w:rPr>
        <w:t>In the laboratory, samples were homogenized, and aliquots were examined under a compound microscope at varying magnifications.</w:t>
      </w:r>
      <w:r w:rsidR="007D71AC">
        <w:t xml:space="preserve"> </w:t>
      </w:r>
      <w:r w:rsidR="007D71AC">
        <w:rPr>
          <w:rStyle w:val="relative"/>
        </w:rPr>
        <w:t xml:space="preserve">Algae were identified to the lowest possible taxonomic level using identification keys and guides, such as those provided by Wehr and Sheath (2003). </w:t>
      </w:r>
      <w:r w:rsidR="007D71AC" w:rsidRPr="007D71AC">
        <w:rPr>
          <w:rStyle w:val="relative"/>
        </w:rPr>
        <w:t xml:space="preserve">Limnological variables including water temperature (WT), pH, </w:t>
      </w:r>
      <w:r w:rsidR="007D71AC">
        <w:rPr>
          <w:rStyle w:val="relative"/>
        </w:rPr>
        <w:t xml:space="preserve"> </w:t>
      </w:r>
      <w:r w:rsidR="007D71AC" w:rsidRPr="007D71AC">
        <w:rPr>
          <w:rStyle w:val="relative"/>
        </w:rPr>
        <w:t xml:space="preserve">conductivity  and  dissolved  oxygen  (DO)  were </w:t>
      </w:r>
      <w:r w:rsidR="007D71AC">
        <w:rPr>
          <w:rStyle w:val="relative"/>
        </w:rPr>
        <w:t xml:space="preserve"> </w:t>
      </w:r>
      <w:r w:rsidR="007D71AC" w:rsidRPr="007D71AC">
        <w:rPr>
          <w:rStyle w:val="relative"/>
        </w:rPr>
        <w:t xml:space="preserve">analysed in situ using HACH portable multimeter </w:t>
      </w:r>
      <w:r w:rsidR="007D71AC">
        <w:rPr>
          <w:rStyle w:val="relative"/>
        </w:rPr>
        <w:t xml:space="preserve"> </w:t>
      </w:r>
      <w:r w:rsidR="007D71AC" w:rsidRPr="007D71AC">
        <w:rPr>
          <w:rStyle w:val="relative"/>
        </w:rPr>
        <w:t xml:space="preserve">(Model  HQ30d) </w:t>
      </w:r>
      <w:r w:rsidR="007D71AC">
        <w:rPr>
          <w:rStyle w:val="relative"/>
        </w:rPr>
        <w:t xml:space="preserve"> and  turbidity  using  </w:t>
      </w:r>
      <w:r w:rsidR="007D71AC">
        <w:rPr>
          <w:rStyle w:val="relative"/>
        </w:rPr>
        <w:lastRenderedPageBreak/>
        <w:t xml:space="preserve">EUTECH  </w:t>
      </w:r>
      <w:r w:rsidR="007D71AC" w:rsidRPr="007D71AC">
        <w:rPr>
          <w:rStyle w:val="relative"/>
        </w:rPr>
        <w:t>TN100 portable tu</w:t>
      </w:r>
      <w:r w:rsidR="007D71AC">
        <w:rPr>
          <w:rStyle w:val="relative"/>
        </w:rPr>
        <w:t xml:space="preserve">rbidimeter. Laboratory analysis </w:t>
      </w:r>
      <w:r w:rsidR="007D71AC" w:rsidRPr="007D71AC">
        <w:rPr>
          <w:rStyle w:val="relative"/>
        </w:rPr>
        <w:t>of  water  alkalinity,  Biological  oxy</w:t>
      </w:r>
      <w:r>
        <w:rPr>
          <w:rStyle w:val="relative"/>
        </w:rPr>
        <w:t>gen  demand (BOD),  nitrate  NO</w:t>
      </w:r>
      <w:r>
        <w:rPr>
          <w:rStyle w:val="relative"/>
          <w:vertAlign w:val="subscript"/>
        </w:rPr>
        <w:t>3</w:t>
      </w:r>
      <w:r>
        <w:rPr>
          <w:rStyle w:val="relative"/>
        </w:rPr>
        <w:t>-N,  phosphate  PO</w:t>
      </w:r>
      <w:r>
        <w:rPr>
          <w:rStyle w:val="relative"/>
          <w:vertAlign w:val="subscript"/>
        </w:rPr>
        <w:t>4</w:t>
      </w:r>
      <w:r w:rsidR="007D71AC">
        <w:rPr>
          <w:rStyle w:val="relative"/>
        </w:rPr>
        <w:t xml:space="preserve">-P.   total </w:t>
      </w:r>
      <w:r w:rsidR="007D71AC" w:rsidRPr="007D71AC">
        <w:rPr>
          <w:rStyle w:val="relative"/>
        </w:rPr>
        <w:t>nitrogen  (TN)  and</w:t>
      </w:r>
      <w:r w:rsidR="007D71AC">
        <w:rPr>
          <w:rStyle w:val="relative"/>
        </w:rPr>
        <w:t xml:space="preserve">  total  Phosphorus  (TP)  was  </w:t>
      </w:r>
      <w:r w:rsidR="007D71AC" w:rsidRPr="007D71AC">
        <w:rPr>
          <w:rStyle w:val="relative"/>
        </w:rPr>
        <w:t>conducted  ba</w:t>
      </w:r>
      <w:r w:rsidR="007D71AC">
        <w:rPr>
          <w:rStyle w:val="relative"/>
        </w:rPr>
        <w:t xml:space="preserve">sed  on  standard  methods  as  </w:t>
      </w:r>
      <w:r w:rsidR="007D71AC" w:rsidRPr="007D71AC">
        <w:rPr>
          <w:rStyle w:val="relative"/>
        </w:rPr>
        <w:t>described  in  A</w:t>
      </w:r>
      <w:r w:rsidR="007D71AC">
        <w:rPr>
          <w:rStyle w:val="relative"/>
        </w:rPr>
        <w:t xml:space="preserve">PHA  (American  Public  Health  </w:t>
      </w:r>
      <w:r>
        <w:rPr>
          <w:rStyle w:val="relative"/>
        </w:rPr>
        <w:t>Association  (</w:t>
      </w:r>
      <w:r w:rsidR="007D71AC" w:rsidRPr="007D71AC">
        <w:rPr>
          <w:rStyle w:val="relative"/>
        </w:rPr>
        <w:t>APHA</w:t>
      </w:r>
      <w:r>
        <w:rPr>
          <w:rStyle w:val="relative"/>
        </w:rPr>
        <w:t>)</w:t>
      </w:r>
      <w:r w:rsidR="007D71AC">
        <w:rPr>
          <w:rStyle w:val="relative"/>
        </w:rPr>
        <w:t xml:space="preserve">,  2017;  Hauer  &amp;  Lamberti, </w:t>
      </w:r>
      <w:r w:rsidR="007D71AC" w:rsidRPr="007D71AC">
        <w:rPr>
          <w:rStyle w:val="relative"/>
        </w:rPr>
        <w:t>2017).  Atomic  A</w:t>
      </w:r>
      <w:r w:rsidR="007D71AC">
        <w:rPr>
          <w:rStyle w:val="relative"/>
        </w:rPr>
        <w:t xml:space="preserve">bsorption  Spectroscopy  (AAS)  </w:t>
      </w:r>
      <w:r w:rsidR="007D71AC" w:rsidRPr="007D71AC">
        <w:rPr>
          <w:rStyle w:val="relative"/>
        </w:rPr>
        <w:t xml:space="preserve">was  employed  in </w:t>
      </w:r>
      <w:r w:rsidR="007D71AC">
        <w:rPr>
          <w:rStyle w:val="relative"/>
        </w:rPr>
        <w:t xml:space="preserve"> solid  sample  digestion  for </w:t>
      </w:r>
      <w:r w:rsidR="007D71AC" w:rsidRPr="007D71AC">
        <w:rPr>
          <w:rStyle w:val="relative"/>
        </w:rPr>
        <w:t>heavy  metal</w:t>
      </w:r>
      <w:r w:rsidR="007D71AC">
        <w:rPr>
          <w:rStyle w:val="relative"/>
        </w:rPr>
        <w:t xml:space="preserve">  using  standard  methods  as  </w:t>
      </w:r>
      <w:r w:rsidR="007D71AC" w:rsidRPr="007D71AC">
        <w:rPr>
          <w:rStyle w:val="relative"/>
        </w:rPr>
        <w:t>described  in  A</w:t>
      </w:r>
      <w:r w:rsidR="007D71AC">
        <w:rPr>
          <w:rStyle w:val="relative"/>
        </w:rPr>
        <w:t xml:space="preserve">PHA  (American  Public  Health  </w:t>
      </w:r>
      <w:r>
        <w:rPr>
          <w:rStyle w:val="relative"/>
        </w:rPr>
        <w:t>Association  (</w:t>
      </w:r>
      <w:r w:rsidR="007D71AC" w:rsidRPr="007D71AC">
        <w:rPr>
          <w:rStyle w:val="relative"/>
        </w:rPr>
        <w:t>APHA</w:t>
      </w:r>
      <w:r>
        <w:rPr>
          <w:rStyle w:val="relative"/>
        </w:rPr>
        <w:t>)</w:t>
      </w:r>
      <w:r w:rsidR="007D71AC">
        <w:rPr>
          <w:rStyle w:val="relative"/>
        </w:rPr>
        <w:t xml:space="preserve">,  2017;  Hauer  &amp;  Lamberti,  </w:t>
      </w:r>
      <w:r w:rsidR="007D71AC" w:rsidRPr="007D71AC">
        <w:rPr>
          <w:rStyle w:val="relative"/>
        </w:rPr>
        <w:t>2017)</w:t>
      </w:r>
    </w:p>
    <w:p w14:paraId="1C148011" w14:textId="77777777" w:rsidR="00623B83" w:rsidRPr="009A4501" w:rsidRDefault="009A4501" w:rsidP="002B0ABA">
      <w:pPr>
        <w:pStyle w:val="Body"/>
        <w:spacing w:after="0"/>
        <w:rPr>
          <w:rFonts w:ascii="Arial" w:hAnsi="Arial" w:cs="Arial"/>
          <w:b/>
          <w:sz w:val="22"/>
          <w:szCs w:val="22"/>
        </w:rPr>
      </w:pPr>
      <w:r w:rsidRPr="009A4501">
        <w:rPr>
          <w:rFonts w:ascii="Arial" w:hAnsi="Arial" w:cs="Arial"/>
          <w:b/>
          <w:sz w:val="22"/>
          <w:szCs w:val="22"/>
        </w:rPr>
        <w:t xml:space="preserve">2.4 </w:t>
      </w:r>
      <w:r w:rsidRPr="009A4501">
        <w:rPr>
          <w:rFonts w:ascii="Arial" w:hAnsi="Arial" w:cs="Arial"/>
          <w:b/>
          <w:bCs/>
          <w:sz w:val="22"/>
          <w:szCs w:val="22"/>
          <w:lang w:val="en-GB"/>
        </w:rPr>
        <w:t>Data Analysis and Statistical Methods</w:t>
      </w:r>
    </w:p>
    <w:p w14:paraId="5981D6F4" w14:textId="77777777" w:rsidR="00623B83" w:rsidRDefault="00623B83" w:rsidP="002B0ABA">
      <w:pPr>
        <w:pStyle w:val="Body"/>
        <w:spacing w:after="0"/>
        <w:rPr>
          <w:rFonts w:ascii="Arial" w:hAnsi="Arial" w:cs="Arial"/>
        </w:rPr>
      </w:pPr>
    </w:p>
    <w:p w14:paraId="6520331E" w14:textId="77777777" w:rsidR="00623B83" w:rsidRDefault="009A4501" w:rsidP="002B0ABA">
      <w:pPr>
        <w:pStyle w:val="Body"/>
        <w:spacing w:after="0"/>
        <w:rPr>
          <w:rFonts w:ascii="Arial" w:hAnsi="Arial" w:cs="Arial"/>
        </w:rPr>
      </w:pPr>
      <w:r w:rsidRPr="009A4501">
        <w:rPr>
          <w:rFonts w:ascii="Arial" w:hAnsi="Arial" w:cs="Arial"/>
          <w:lang w:val="en-GB"/>
        </w:rPr>
        <w:t>Descriptive statistics were utilized to summarize physicochemical parameters and periphytic algae data. Spatial and temporal variations were assessed using Analysis of Variance (ANOVA), with significance set at p&lt;0.05. Multivariate</w:t>
      </w:r>
      <w:r>
        <w:rPr>
          <w:rFonts w:ascii="Arial" w:hAnsi="Arial" w:cs="Arial"/>
          <w:lang w:val="en-GB"/>
        </w:rPr>
        <w:t xml:space="preserve"> analyses such as</w:t>
      </w:r>
      <w:r w:rsidRPr="009A4501">
        <w:rPr>
          <w:rFonts w:ascii="Arial" w:hAnsi="Arial" w:cs="Arial"/>
          <w:lang w:val="en-GB"/>
        </w:rPr>
        <w:t xml:space="preserve"> Principal Component Analysis (PCA) were conducted to elucidate relationships between environmental variables and periphytic algae assemblages.</w:t>
      </w:r>
    </w:p>
    <w:p w14:paraId="1F55F5FE" w14:textId="77777777" w:rsidR="00623B83" w:rsidRDefault="00623B83" w:rsidP="002B0ABA">
      <w:pPr>
        <w:pStyle w:val="Body"/>
        <w:spacing w:after="0"/>
        <w:rPr>
          <w:rFonts w:ascii="Arial" w:hAnsi="Arial" w:cs="Arial"/>
        </w:rPr>
      </w:pPr>
    </w:p>
    <w:p w14:paraId="3FCAE0EC" w14:textId="77777777" w:rsidR="00623B83" w:rsidRDefault="00623B83" w:rsidP="002B0ABA">
      <w:pPr>
        <w:pStyle w:val="Body"/>
        <w:spacing w:after="0"/>
        <w:rPr>
          <w:rFonts w:ascii="Arial" w:hAnsi="Arial" w:cs="Arial"/>
        </w:rPr>
      </w:pPr>
    </w:p>
    <w:p w14:paraId="65239ACB" w14:textId="77777777" w:rsidR="00623B83" w:rsidRDefault="00623B83" w:rsidP="002B0ABA">
      <w:pPr>
        <w:pStyle w:val="Body"/>
        <w:spacing w:after="0"/>
        <w:rPr>
          <w:rFonts w:ascii="Arial" w:hAnsi="Arial" w:cs="Arial"/>
        </w:rPr>
      </w:pPr>
    </w:p>
    <w:p w14:paraId="21F64E84" w14:textId="77777777" w:rsidR="00623B83" w:rsidRDefault="00623B83" w:rsidP="002B0ABA">
      <w:pPr>
        <w:pStyle w:val="Body"/>
        <w:spacing w:after="0"/>
        <w:rPr>
          <w:rFonts w:ascii="Arial" w:hAnsi="Arial" w:cs="Arial"/>
        </w:rPr>
      </w:pPr>
    </w:p>
    <w:p w14:paraId="012EDF98" w14:textId="77777777" w:rsidR="00462160" w:rsidRDefault="00462160" w:rsidP="002B0ABA">
      <w:pPr>
        <w:pStyle w:val="Body"/>
        <w:spacing w:after="0"/>
        <w:rPr>
          <w:rFonts w:ascii="Arial" w:hAnsi="Arial" w:cs="Arial"/>
        </w:rPr>
        <w:sectPr w:rsidR="00462160" w:rsidSect="00F1728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E448230" w14:textId="77777777" w:rsidR="00623B83" w:rsidRPr="00FB3A86" w:rsidRDefault="00623B83" w:rsidP="002B0ABA">
      <w:pPr>
        <w:pStyle w:val="Body"/>
        <w:spacing w:after="0"/>
        <w:rPr>
          <w:rFonts w:ascii="Arial" w:hAnsi="Arial" w:cs="Arial"/>
        </w:rPr>
      </w:pPr>
    </w:p>
    <w:p w14:paraId="25435F94" w14:textId="77777777" w:rsidR="002B0ABA" w:rsidRDefault="002B0ABA" w:rsidP="00462160">
      <w:pPr>
        <w:pStyle w:val="Head1"/>
        <w:tabs>
          <w:tab w:val="left" w:pos="1276"/>
        </w:tabs>
        <w:spacing w:after="0"/>
        <w:jc w:val="both"/>
        <w:rPr>
          <w:rFonts w:ascii="Arial" w:hAnsi="Arial" w:cs="Arial"/>
        </w:rPr>
      </w:pPr>
      <w:r>
        <w:rPr>
          <w:rFonts w:ascii="Arial" w:hAnsi="Arial" w:cs="Arial"/>
        </w:rPr>
        <w:t>3. results and discussion</w:t>
      </w:r>
    </w:p>
    <w:p w14:paraId="24B6849D" w14:textId="77777777" w:rsidR="002B0ABA" w:rsidRPr="00FB3A86" w:rsidRDefault="002B0ABA" w:rsidP="002B0ABA">
      <w:pPr>
        <w:pStyle w:val="Head1"/>
        <w:spacing w:after="0"/>
        <w:jc w:val="both"/>
        <w:rPr>
          <w:rFonts w:ascii="Arial" w:hAnsi="Arial" w:cs="Arial"/>
        </w:rPr>
      </w:pPr>
    </w:p>
    <w:p w14:paraId="090A3855" w14:textId="77777777" w:rsidR="00462160" w:rsidRPr="005E78A8" w:rsidRDefault="00462160" w:rsidP="00462160">
      <w:pPr>
        <w:tabs>
          <w:tab w:val="left" w:pos="11160"/>
        </w:tabs>
        <w:ind w:left="-142" w:right="-1180"/>
        <w:rPr>
          <w:rFonts w:ascii="Arial" w:hAnsi="Arial" w:cs="Arial"/>
          <w:b/>
        </w:rPr>
      </w:pPr>
      <w:r w:rsidRPr="005E78A8">
        <w:rPr>
          <w:rFonts w:ascii="Arial" w:hAnsi="Arial" w:cs="Arial"/>
          <w:b/>
        </w:rPr>
        <w:t>Table 1. Mean and standard error values of Surface water physicochemical parameters for four Stations</w:t>
      </w:r>
      <w:r w:rsidRPr="005E78A8">
        <w:rPr>
          <w:rFonts w:ascii="Arial" w:hAnsi="Arial" w:cs="Arial"/>
          <w:b/>
        </w:rPr>
        <w:tab/>
      </w:r>
    </w:p>
    <w:tbl>
      <w:tblPr>
        <w:tblStyle w:val="TableGrid"/>
        <w:tblW w:w="15170" w:type="dxa"/>
        <w:tblInd w:w="-1310" w:type="dxa"/>
        <w:tblBorders>
          <w:left w:val="none" w:sz="0" w:space="0" w:color="auto"/>
          <w:right w:val="none" w:sz="0" w:space="0" w:color="auto"/>
        </w:tblBorders>
        <w:tblLayout w:type="fixed"/>
        <w:tblLook w:val="04A0" w:firstRow="1" w:lastRow="0" w:firstColumn="1" w:lastColumn="0" w:noHBand="0" w:noVBand="1"/>
      </w:tblPr>
      <w:tblGrid>
        <w:gridCol w:w="3969"/>
        <w:gridCol w:w="2125"/>
        <w:gridCol w:w="1985"/>
        <w:gridCol w:w="1842"/>
        <w:gridCol w:w="1843"/>
        <w:gridCol w:w="1987"/>
        <w:gridCol w:w="1275"/>
        <w:gridCol w:w="144"/>
      </w:tblGrid>
      <w:tr w:rsidR="00462160" w:rsidRPr="005E78A8" w14:paraId="34C52454" w14:textId="77777777" w:rsidTr="00783C28">
        <w:trPr>
          <w:gridAfter w:val="1"/>
          <w:wAfter w:w="144" w:type="dxa"/>
        </w:trPr>
        <w:tc>
          <w:tcPr>
            <w:tcW w:w="3969" w:type="dxa"/>
            <w:tcBorders>
              <w:bottom w:val="single" w:sz="4" w:space="0" w:color="000000" w:themeColor="text1"/>
              <w:right w:val="nil"/>
            </w:tcBorders>
            <w:vAlign w:val="bottom"/>
          </w:tcPr>
          <w:p w14:paraId="681FB851" w14:textId="77777777" w:rsidR="00462160" w:rsidRPr="005E78A8" w:rsidRDefault="00462160" w:rsidP="00462160">
            <w:pPr>
              <w:ind w:left="-958"/>
              <w:jc w:val="center"/>
              <w:rPr>
                <w:rFonts w:ascii="Arial" w:hAnsi="Arial" w:cs="Arial"/>
                <w:b/>
              </w:rPr>
            </w:pPr>
            <w:r w:rsidRPr="005E78A8">
              <w:rPr>
                <w:rFonts w:ascii="Arial" w:hAnsi="Arial" w:cs="Arial"/>
                <w:b/>
              </w:rPr>
              <w:t>Water Parameter</w:t>
            </w:r>
          </w:p>
        </w:tc>
        <w:tc>
          <w:tcPr>
            <w:tcW w:w="2125" w:type="dxa"/>
            <w:tcBorders>
              <w:left w:val="nil"/>
              <w:bottom w:val="single" w:sz="4" w:space="0" w:color="000000" w:themeColor="text1"/>
              <w:right w:val="nil"/>
            </w:tcBorders>
            <w:vAlign w:val="bottom"/>
          </w:tcPr>
          <w:p w14:paraId="23EEF869" w14:textId="77777777" w:rsidR="00462160" w:rsidRPr="005E78A8" w:rsidRDefault="00462160" w:rsidP="005E78A8">
            <w:pPr>
              <w:jc w:val="center"/>
              <w:rPr>
                <w:rFonts w:ascii="Arial" w:hAnsi="Arial" w:cs="Arial"/>
                <w:b/>
              </w:rPr>
            </w:pPr>
            <w:r w:rsidRPr="005E78A8">
              <w:rPr>
                <w:rFonts w:ascii="Arial" w:hAnsi="Arial" w:cs="Arial"/>
                <w:b/>
              </w:rPr>
              <w:t>Station 1(control)</w:t>
            </w:r>
          </w:p>
        </w:tc>
        <w:tc>
          <w:tcPr>
            <w:tcW w:w="1985" w:type="dxa"/>
            <w:tcBorders>
              <w:left w:val="nil"/>
              <w:bottom w:val="single" w:sz="4" w:space="0" w:color="auto"/>
              <w:right w:val="nil"/>
            </w:tcBorders>
            <w:vAlign w:val="bottom"/>
          </w:tcPr>
          <w:p w14:paraId="21BC86B9" w14:textId="77777777" w:rsidR="00462160" w:rsidRPr="005E78A8" w:rsidRDefault="00462160" w:rsidP="005E78A8">
            <w:pPr>
              <w:jc w:val="center"/>
              <w:rPr>
                <w:rFonts w:ascii="Arial" w:hAnsi="Arial" w:cs="Arial"/>
                <w:b/>
              </w:rPr>
            </w:pPr>
            <w:r w:rsidRPr="005E78A8">
              <w:rPr>
                <w:rFonts w:ascii="Arial" w:hAnsi="Arial" w:cs="Arial"/>
                <w:b/>
              </w:rPr>
              <w:t>Station 2</w:t>
            </w:r>
          </w:p>
        </w:tc>
        <w:tc>
          <w:tcPr>
            <w:tcW w:w="1842" w:type="dxa"/>
            <w:tcBorders>
              <w:top w:val="single" w:sz="4" w:space="0" w:color="auto"/>
              <w:left w:val="nil"/>
              <w:bottom w:val="single" w:sz="4" w:space="0" w:color="auto"/>
              <w:right w:val="nil"/>
            </w:tcBorders>
            <w:vAlign w:val="bottom"/>
          </w:tcPr>
          <w:p w14:paraId="588931FC" w14:textId="77777777" w:rsidR="00462160" w:rsidRPr="005E78A8" w:rsidRDefault="00462160" w:rsidP="005E78A8">
            <w:pPr>
              <w:jc w:val="center"/>
              <w:rPr>
                <w:rFonts w:ascii="Arial" w:hAnsi="Arial" w:cs="Arial"/>
                <w:b/>
              </w:rPr>
            </w:pPr>
            <w:r w:rsidRPr="005E78A8">
              <w:rPr>
                <w:rFonts w:ascii="Arial" w:hAnsi="Arial" w:cs="Arial"/>
                <w:b/>
              </w:rPr>
              <w:t>Station 3</w:t>
            </w:r>
          </w:p>
        </w:tc>
        <w:tc>
          <w:tcPr>
            <w:tcW w:w="1843" w:type="dxa"/>
            <w:tcBorders>
              <w:top w:val="single" w:sz="4" w:space="0" w:color="auto"/>
              <w:left w:val="nil"/>
              <w:bottom w:val="single" w:sz="4" w:space="0" w:color="auto"/>
              <w:right w:val="nil"/>
            </w:tcBorders>
            <w:vAlign w:val="bottom"/>
          </w:tcPr>
          <w:p w14:paraId="224F7507" w14:textId="77777777" w:rsidR="00462160" w:rsidRPr="005E78A8" w:rsidRDefault="00462160" w:rsidP="005E78A8">
            <w:pPr>
              <w:jc w:val="center"/>
              <w:rPr>
                <w:rFonts w:ascii="Arial" w:hAnsi="Arial" w:cs="Arial"/>
                <w:b/>
              </w:rPr>
            </w:pPr>
            <w:r w:rsidRPr="005E78A8">
              <w:rPr>
                <w:rFonts w:ascii="Arial" w:hAnsi="Arial" w:cs="Arial"/>
                <w:b/>
              </w:rPr>
              <w:t>Station 4</w:t>
            </w:r>
          </w:p>
        </w:tc>
        <w:tc>
          <w:tcPr>
            <w:tcW w:w="1987" w:type="dxa"/>
            <w:tcBorders>
              <w:top w:val="single" w:sz="4" w:space="0" w:color="auto"/>
              <w:left w:val="nil"/>
              <w:bottom w:val="single" w:sz="4" w:space="0" w:color="auto"/>
              <w:right w:val="nil"/>
            </w:tcBorders>
          </w:tcPr>
          <w:p w14:paraId="5D495745" w14:textId="77777777" w:rsidR="00462160" w:rsidRPr="005E78A8" w:rsidRDefault="00462160" w:rsidP="005E78A8">
            <w:pPr>
              <w:jc w:val="both"/>
              <w:rPr>
                <w:rFonts w:ascii="Arial" w:hAnsi="Arial" w:cs="Arial"/>
                <w:b/>
              </w:rPr>
            </w:pPr>
            <w:r w:rsidRPr="005E78A8">
              <w:rPr>
                <w:rFonts w:ascii="Arial" w:hAnsi="Arial" w:cs="Arial"/>
                <w:b/>
              </w:rPr>
              <w:t>WHO limits(2011)</w:t>
            </w:r>
          </w:p>
        </w:tc>
        <w:tc>
          <w:tcPr>
            <w:tcW w:w="1275" w:type="dxa"/>
            <w:tcBorders>
              <w:top w:val="single" w:sz="4" w:space="0" w:color="auto"/>
              <w:left w:val="nil"/>
              <w:bottom w:val="single" w:sz="4" w:space="0" w:color="auto"/>
              <w:right w:val="nil"/>
            </w:tcBorders>
          </w:tcPr>
          <w:p w14:paraId="61A5E814" w14:textId="77777777" w:rsidR="00462160" w:rsidRPr="005E78A8" w:rsidRDefault="00462160" w:rsidP="005E78A8">
            <w:pPr>
              <w:jc w:val="center"/>
              <w:rPr>
                <w:rFonts w:ascii="Arial" w:hAnsi="Arial" w:cs="Arial"/>
                <w:b/>
              </w:rPr>
            </w:pPr>
            <w:r w:rsidRPr="005E78A8">
              <w:rPr>
                <w:rFonts w:ascii="Arial" w:hAnsi="Arial" w:cs="Arial"/>
                <w:b/>
              </w:rPr>
              <w:t>NESREA limits</w:t>
            </w:r>
          </w:p>
        </w:tc>
      </w:tr>
      <w:tr w:rsidR="00462160" w:rsidRPr="005E78A8" w14:paraId="5789A394" w14:textId="77777777" w:rsidTr="00783C28">
        <w:tc>
          <w:tcPr>
            <w:tcW w:w="3969" w:type="dxa"/>
            <w:tcBorders>
              <w:bottom w:val="nil"/>
              <w:right w:val="nil"/>
            </w:tcBorders>
            <w:vAlign w:val="bottom"/>
          </w:tcPr>
          <w:p w14:paraId="0A0F74EC" w14:textId="77777777" w:rsidR="00462160" w:rsidRPr="005E78A8" w:rsidRDefault="00462160" w:rsidP="00462160">
            <w:pPr>
              <w:pStyle w:val="TableParagraph"/>
              <w:ind w:left="601"/>
              <w:rPr>
                <w:rFonts w:ascii="Arial" w:hAnsi="Arial" w:cs="Arial"/>
                <w:b/>
                <w:sz w:val="20"/>
                <w:szCs w:val="20"/>
              </w:rPr>
            </w:pPr>
            <w:r w:rsidRPr="005E78A8">
              <w:rPr>
                <w:rFonts w:ascii="Arial" w:hAnsi="Arial" w:cs="Arial"/>
                <w:b/>
                <w:spacing w:val="-5"/>
                <w:sz w:val="20"/>
                <w:szCs w:val="20"/>
              </w:rPr>
              <w:t>pH</w:t>
            </w:r>
          </w:p>
        </w:tc>
        <w:tc>
          <w:tcPr>
            <w:tcW w:w="2125" w:type="dxa"/>
            <w:tcBorders>
              <w:left w:val="nil"/>
              <w:bottom w:val="nil"/>
              <w:right w:val="nil"/>
            </w:tcBorders>
            <w:vAlign w:val="bottom"/>
          </w:tcPr>
          <w:p w14:paraId="0E054360" w14:textId="77777777" w:rsidR="00462160" w:rsidRPr="005E78A8" w:rsidRDefault="00462160" w:rsidP="005E78A8">
            <w:pPr>
              <w:jc w:val="center"/>
              <w:rPr>
                <w:rFonts w:ascii="Arial" w:hAnsi="Arial" w:cs="Arial"/>
              </w:rPr>
            </w:pPr>
            <w:r w:rsidRPr="005E78A8">
              <w:rPr>
                <w:rFonts w:ascii="Arial" w:hAnsi="Arial" w:cs="Arial"/>
              </w:rPr>
              <w:t>6.150±0.</w:t>
            </w:r>
            <w:r w:rsidRPr="005E78A8">
              <w:rPr>
                <w:rFonts w:ascii="Arial" w:hAnsi="Arial" w:cs="Arial"/>
                <w:color w:val="010205"/>
              </w:rPr>
              <w:t>050</w:t>
            </w:r>
          </w:p>
        </w:tc>
        <w:tc>
          <w:tcPr>
            <w:tcW w:w="1985" w:type="dxa"/>
            <w:tcBorders>
              <w:top w:val="single" w:sz="4" w:space="0" w:color="auto"/>
              <w:left w:val="nil"/>
              <w:bottom w:val="nil"/>
              <w:right w:val="nil"/>
            </w:tcBorders>
            <w:vAlign w:val="bottom"/>
          </w:tcPr>
          <w:p w14:paraId="7AF671D8" w14:textId="77777777" w:rsidR="00462160" w:rsidRPr="005E78A8" w:rsidRDefault="00462160" w:rsidP="005E78A8">
            <w:pPr>
              <w:jc w:val="center"/>
              <w:rPr>
                <w:rFonts w:ascii="Arial" w:hAnsi="Arial" w:cs="Arial"/>
              </w:rPr>
            </w:pPr>
            <w:r w:rsidRPr="005E78A8">
              <w:rPr>
                <w:rFonts w:ascii="Arial" w:hAnsi="Arial" w:cs="Arial"/>
                <w:color w:val="010205"/>
              </w:rPr>
              <w:t>6.460</w:t>
            </w:r>
            <w:r w:rsidRPr="005E78A8">
              <w:rPr>
                <w:rFonts w:ascii="Arial" w:hAnsi="Arial" w:cs="Arial"/>
              </w:rPr>
              <w:t>±0.</w:t>
            </w:r>
            <w:r w:rsidRPr="005E78A8">
              <w:rPr>
                <w:rFonts w:ascii="Arial" w:hAnsi="Arial" w:cs="Arial"/>
                <w:color w:val="010205"/>
              </w:rPr>
              <w:t>390</w:t>
            </w:r>
          </w:p>
        </w:tc>
        <w:tc>
          <w:tcPr>
            <w:tcW w:w="1842" w:type="dxa"/>
            <w:tcBorders>
              <w:top w:val="single" w:sz="4" w:space="0" w:color="auto"/>
              <w:left w:val="nil"/>
              <w:bottom w:val="nil"/>
              <w:right w:val="nil"/>
            </w:tcBorders>
            <w:vAlign w:val="bottom"/>
          </w:tcPr>
          <w:p w14:paraId="5B7A5F9B" w14:textId="77777777" w:rsidR="00462160" w:rsidRPr="005E78A8" w:rsidRDefault="00462160" w:rsidP="005E78A8">
            <w:pPr>
              <w:jc w:val="center"/>
              <w:rPr>
                <w:rFonts w:ascii="Arial" w:hAnsi="Arial" w:cs="Arial"/>
              </w:rPr>
            </w:pPr>
            <w:r w:rsidRPr="005E78A8">
              <w:rPr>
                <w:rFonts w:ascii="Arial" w:hAnsi="Arial" w:cs="Arial"/>
                <w:color w:val="010205"/>
              </w:rPr>
              <w:t>6.435</w:t>
            </w:r>
            <w:r w:rsidRPr="005E78A8">
              <w:rPr>
                <w:rFonts w:ascii="Arial" w:hAnsi="Arial" w:cs="Arial"/>
              </w:rPr>
              <w:t>±</w:t>
            </w:r>
            <w:r w:rsidRPr="005E78A8">
              <w:rPr>
                <w:rFonts w:ascii="Arial" w:hAnsi="Arial" w:cs="Arial"/>
                <w:color w:val="010205"/>
              </w:rPr>
              <w:t>0.365</w:t>
            </w:r>
          </w:p>
        </w:tc>
        <w:tc>
          <w:tcPr>
            <w:tcW w:w="1843" w:type="dxa"/>
            <w:tcBorders>
              <w:top w:val="nil"/>
              <w:left w:val="nil"/>
              <w:bottom w:val="nil"/>
              <w:right w:val="nil"/>
            </w:tcBorders>
            <w:vAlign w:val="bottom"/>
          </w:tcPr>
          <w:p w14:paraId="00B2AC22" w14:textId="77777777" w:rsidR="00462160" w:rsidRPr="005E78A8" w:rsidRDefault="00462160" w:rsidP="005E78A8">
            <w:pPr>
              <w:jc w:val="center"/>
              <w:rPr>
                <w:rFonts w:ascii="Arial" w:hAnsi="Arial" w:cs="Arial"/>
              </w:rPr>
            </w:pPr>
            <w:r w:rsidRPr="005E78A8">
              <w:rPr>
                <w:rFonts w:ascii="Arial" w:hAnsi="Arial" w:cs="Arial"/>
                <w:color w:val="010205"/>
              </w:rPr>
              <w:t>6.715</w:t>
            </w:r>
            <w:r w:rsidRPr="005E78A8">
              <w:rPr>
                <w:rFonts w:ascii="Arial" w:hAnsi="Arial" w:cs="Arial"/>
              </w:rPr>
              <w:t>±0.</w:t>
            </w:r>
            <w:r w:rsidRPr="005E78A8">
              <w:rPr>
                <w:rFonts w:ascii="Arial" w:hAnsi="Arial" w:cs="Arial"/>
                <w:color w:val="010205"/>
              </w:rPr>
              <w:t>225</w:t>
            </w:r>
          </w:p>
        </w:tc>
        <w:tc>
          <w:tcPr>
            <w:tcW w:w="1987" w:type="dxa"/>
            <w:tcBorders>
              <w:top w:val="nil"/>
              <w:left w:val="nil"/>
              <w:bottom w:val="nil"/>
              <w:right w:val="nil"/>
            </w:tcBorders>
            <w:vAlign w:val="bottom"/>
          </w:tcPr>
          <w:p w14:paraId="61823A43" w14:textId="77777777" w:rsidR="00462160" w:rsidRPr="005E78A8" w:rsidRDefault="00462160" w:rsidP="005E78A8">
            <w:pPr>
              <w:rPr>
                <w:rFonts w:ascii="Arial" w:hAnsi="Arial" w:cs="Arial"/>
                <w:color w:val="000000"/>
              </w:rPr>
            </w:pPr>
            <w:r w:rsidRPr="005E78A8">
              <w:rPr>
                <w:rFonts w:ascii="Arial" w:hAnsi="Arial" w:cs="Arial"/>
                <w:color w:val="000000"/>
              </w:rPr>
              <w:t>6.5–8.5</w:t>
            </w:r>
          </w:p>
        </w:tc>
        <w:tc>
          <w:tcPr>
            <w:tcW w:w="1419" w:type="dxa"/>
            <w:gridSpan w:val="2"/>
            <w:tcBorders>
              <w:top w:val="nil"/>
              <w:left w:val="nil"/>
              <w:bottom w:val="nil"/>
            </w:tcBorders>
            <w:vAlign w:val="bottom"/>
          </w:tcPr>
          <w:p w14:paraId="5C021918" w14:textId="77777777" w:rsidR="00462160" w:rsidRPr="005E78A8" w:rsidRDefault="00462160" w:rsidP="005E78A8">
            <w:pPr>
              <w:rPr>
                <w:rFonts w:ascii="Arial" w:hAnsi="Arial" w:cs="Arial"/>
                <w:color w:val="000000"/>
              </w:rPr>
            </w:pPr>
            <w:r w:rsidRPr="005E78A8">
              <w:rPr>
                <w:rFonts w:ascii="Arial" w:hAnsi="Arial" w:cs="Arial"/>
                <w:color w:val="000000"/>
              </w:rPr>
              <w:t>6.5–8.5</w:t>
            </w:r>
          </w:p>
        </w:tc>
      </w:tr>
      <w:tr w:rsidR="00462160" w:rsidRPr="005E78A8" w14:paraId="0F5865C0" w14:textId="77777777" w:rsidTr="00783C28">
        <w:tc>
          <w:tcPr>
            <w:tcW w:w="3969" w:type="dxa"/>
            <w:tcBorders>
              <w:top w:val="nil"/>
              <w:bottom w:val="nil"/>
              <w:right w:val="nil"/>
            </w:tcBorders>
            <w:vAlign w:val="bottom"/>
          </w:tcPr>
          <w:p w14:paraId="56555A41" w14:textId="77777777" w:rsidR="00462160" w:rsidRPr="005E78A8" w:rsidRDefault="00462160" w:rsidP="00462160">
            <w:pPr>
              <w:pStyle w:val="TableParagraph"/>
              <w:spacing w:before="2"/>
              <w:ind w:left="601"/>
              <w:rPr>
                <w:rFonts w:ascii="Arial" w:hAnsi="Arial" w:cs="Arial"/>
                <w:b/>
                <w:sz w:val="20"/>
                <w:szCs w:val="20"/>
              </w:rPr>
            </w:pPr>
            <w:r w:rsidRPr="005E78A8">
              <w:rPr>
                <w:rFonts w:ascii="Arial" w:hAnsi="Arial" w:cs="Arial"/>
                <w:b/>
                <w:sz w:val="20"/>
                <w:szCs w:val="20"/>
              </w:rPr>
              <w:t xml:space="preserve">Temperature </w:t>
            </w:r>
            <w:r w:rsidRPr="005E78A8">
              <w:rPr>
                <w:rFonts w:ascii="Arial" w:hAnsi="Arial" w:cs="Arial"/>
                <w:b/>
                <w:spacing w:val="-4"/>
                <w:sz w:val="20"/>
                <w:szCs w:val="20"/>
              </w:rPr>
              <w:t>(</w:t>
            </w:r>
            <w:r w:rsidRPr="005E78A8">
              <w:rPr>
                <w:rFonts w:ascii="Arial" w:hAnsi="Arial" w:cs="Arial"/>
                <w:b/>
                <w:spacing w:val="-4"/>
                <w:sz w:val="20"/>
                <w:szCs w:val="20"/>
                <w:vertAlign w:val="superscript"/>
              </w:rPr>
              <w:t>o</w:t>
            </w:r>
            <w:r w:rsidRPr="005E78A8">
              <w:rPr>
                <w:rFonts w:ascii="Arial" w:hAnsi="Arial" w:cs="Arial"/>
                <w:b/>
                <w:spacing w:val="-4"/>
                <w:sz w:val="20"/>
                <w:szCs w:val="20"/>
              </w:rPr>
              <w:t>C)</w:t>
            </w:r>
          </w:p>
        </w:tc>
        <w:tc>
          <w:tcPr>
            <w:tcW w:w="2125" w:type="dxa"/>
            <w:tcBorders>
              <w:top w:val="nil"/>
              <w:left w:val="nil"/>
              <w:bottom w:val="nil"/>
              <w:right w:val="nil"/>
            </w:tcBorders>
            <w:vAlign w:val="bottom"/>
          </w:tcPr>
          <w:p w14:paraId="23744243" w14:textId="77777777" w:rsidR="00462160" w:rsidRPr="005E78A8" w:rsidRDefault="00462160" w:rsidP="005E78A8">
            <w:pPr>
              <w:jc w:val="center"/>
              <w:rPr>
                <w:rFonts w:ascii="Arial" w:hAnsi="Arial" w:cs="Arial"/>
              </w:rPr>
            </w:pPr>
            <w:r w:rsidRPr="005E78A8">
              <w:rPr>
                <w:rFonts w:ascii="Arial" w:hAnsi="Arial" w:cs="Arial"/>
                <w:color w:val="010205"/>
              </w:rPr>
              <w:t>26.250</w:t>
            </w:r>
            <w:r w:rsidRPr="005E78A8">
              <w:rPr>
                <w:rFonts w:ascii="Arial" w:hAnsi="Arial" w:cs="Arial"/>
              </w:rPr>
              <w:t>±</w:t>
            </w:r>
            <w:r w:rsidRPr="005E78A8">
              <w:rPr>
                <w:rFonts w:ascii="Arial" w:hAnsi="Arial" w:cs="Arial"/>
                <w:color w:val="010205"/>
              </w:rPr>
              <w:t>1.750</w:t>
            </w:r>
          </w:p>
        </w:tc>
        <w:tc>
          <w:tcPr>
            <w:tcW w:w="1985" w:type="dxa"/>
            <w:tcBorders>
              <w:top w:val="nil"/>
              <w:left w:val="nil"/>
              <w:bottom w:val="nil"/>
              <w:right w:val="nil"/>
            </w:tcBorders>
            <w:vAlign w:val="bottom"/>
          </w:tcPr>
          <w:p w14:paraId="3E1EC53A" w14:textId="77777777" w:rsidR="00462160" w:rsidRPr="005E78A8" w:rsidRDefault="00462160" w:rsidP="005E78A8">
            <w:pPr>
              <w:jc w:val="center"/>
              <w:rPr>
                <w:rFonts w:ascii="Arial" w:hAnsi="Arial" w:cs="Arial"/>
              </w:rPr>
            </w:pPr>
            <w:r w:rsidRPr="005E78A8">
              <w:rPr>
                <w:rFonts w:ascii="Arial" w:hAnsi="Arial" w:cs="Arial"/>
                <w:color w:val="010205"/>
              </w:rPr>
              <w:t>26.050</w:t>
            </w:r>
            <w:r w:rsidRPr="005E78A8">
              <w:rPr>
                <w:rFonts w:ascii="Arial" w:hAnsi="Arial" w:cs="Arial"/>
              </w:rPr>
              <w:t>±</w:t>
            </w:r>
            <w:r w:rsidRPr="005E78A8">
              <w:rPr>
                <w:rFonts w:ascii="Arial" w:hAnsi="Arial" w:cs="Arial"/>
                <w:color w:val="010205"/>
              </w:rPr>
              <w:t>1.950</w:t>
            </w:r>
          </w:p>
        </w:tc>
        <w:tc>
          <w:tcPr>
            <w:tcW w:w="1842" w:type="dxa"/>
            <w:tcBorders>
              <w:top w:val="nil"/>
              <w:left w:val="nil"/>
              <w:bottom w:val="nil"/>
              <w:right w:val="nil"/>
            </w:tcBorders>
            <w:vAlign w:val="bottom"/>
          </w:tcPr>
          <w:p w14:paraId="3D812773" w14:textId="77777777" w:rsidR="00462160" w:rsidRPr="005E78A8" w:rsidRDefault="00462160" w:rsidP="005E78A8">
            <w:pPr>
              <w:jc w:val="center"/>
              <w:rPr>
                <w:rFonts w:ascii="Arial" w:hAnsi="Arial" w:cs="Arial"/>
              </w:rPr>
            </w:pPr>
            <w:r w:rsidRPr="005E78A8">
              <w:rPr>
                <w:rFonts w:ascii="Arial" w:hAnsi="Arial" w:cs="Arial"/>
                <w:color w:val="010205"/>
              </w:rPr>
              <w:t>26.050</w:t>
            </w:r>
            <w:r w:rsidRPr="005E78A8">
              <w:rPr>
                <w:rFonts w:ascii="Arial" w:hAnsi="Arial" w:cs="Arial"/>
              </w:rPr>
              <w:t>±</w:t>
            </w:r>
            <w:r w:rsidRPr="005E78A8">
              <w:rPr>
                <w:rFonts w:ascii="Arial" w:hAnsi="Arial" w:cs="Arial"/>
                <w:color w:val="010205"/>
              </w:rPr>
              <w:t>2.050</w:t>
            </w:r>
          </w:p>
        </w:tc>
        <w:tc>
          <w:tcPr>
            <w:tcW w:w="1843" w:type="dxa"/>
            <w:tcBorders>
              <w:top w:val="nil"/>
              <w:left w:val="nil"/>
              <w:bottom w:val="nil"/>
              <w:right w:val="nil"/>
            </w:tcBorders>
            <w:vAlign w:val="bottom"/>
          </w:tcPr>
          <w:p w14:paraId="1ED33767" w14:textId="77777777" w:rsidR="00462160" w:rsidRPr="005E78A8" w:rsidRDefault="00462160" w:rsidP="005E78A8">
            <w:pPr>
              <w:jc w:val="center"/>
              <w:rPr>
                <w:rFonts w:ascii="Arial" w:hAnsi="Arial" w:cs="Arial"/>
              </w:rPr>
            </w:pPr>
            <w:r w:rsidRPr="005E78A8">
              <w:rPr>
                <w:rFonts w:ascii="Arial" w:hAnsi="Arial" w:cs="Arial"/>
                <w:color w:val="010205"/>
              </w:rPr>
              <w:t>26.250</w:t>
            </w:r>
            <w:r w:rsidRPr="005E78A8">
              <w:rPr>
                <w:rFonts w:ascii="Arial" w:hAnsi="Arial" w:cs="Arial"/>
              </w:rPr>
              <w:t>±</w:t>
            </w:r>
            <w:r w:rsidRPr="005E78A8">
              <w:rPr>
                <w:rFonts w:ascii="Arial" w:hAnsi="Arial" w:cs="Arial"/>
                <w:color w:val="010205"/>
              </w:rPr>
              <w:t>2.150</w:t>
            </w:r>
          </w:p>
        </w:tc>
        <w:tc>
          <w:tcPr>
            <w:tcW w:w="1987" w:type="dxa"/>
            <w:tcBorders>
              <w:top w:val="nil"/>
              <w:left w:val="nil"/>
              <w:bottom w:val="nil"/>
              <w:right w:val="nil"/>
            </w:tcBorders>
            <w:vAlign w:val="bottom"/>
          </w:tcPr>
          <w:p w14:paraId="28012EFB" w14:textId="77777777"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14:paraId="50740E60"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312F1209" w14:textId="77777777" w:rsidTr="00783C28">
        <w:tc>
          <w:tcPr>
            <w:tcW w:w="3969" w:type="dxa"/>
            <w:tcBorders>
              <w:top w:val="nil"/>
              <w:bottom w:val="nil"/>
              <w:right w:val="nil"/>
            </w:tcBorders>
            <w:vAlign w:val="bottom"/>
          </w:tcPr>
          <w:p w14:paraId="4D44274E"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Conductivity </w:t>
            </w:r>
            <w:r w:rsidRPr="005E78A8">
              <w:rPr>
                <w:rFonts w:ascii="Arial" w:hAnsi="Arial" w:cs="Arial"/>
                <w:b/>
                <w:spacing w:val="-2"/>
                <w:sz w:val="20"/>
                <w:szCs w:val="20"/>
              </w:rPr>
              <w:t>(mS/cm)</w:t>
            </w:r>
          </w:p>
        </w:tc>
        <w:tc>
          <w:tcPr>
            <w:tcW w:w="2125" w:type="dxa"/>
            <w:tcBorders>
              <w:top w:val="nil"/>
              <w:left w:val="nil"/>
              <w:bottom w:val="nil"/>
              <w:right w:val="nil"/>
            </w:tcBorders>
            <w:vAlign w:val="bottom"/>
          </w:tcPr>
          <w:p w14:paraId="4AA4A9C9" w14:textId="77777777" w:rsidR="00462160" w:rsidRPr="005E78A8" w:rsidRDefault="00462160" w:rsidP="005E78A8">
            <w:pPr>
              <w:jc w:val="center"/>
              <w:rPr>
                <w:rFonts w:ascii="Arial" w:hAnsi="Arial" w:cs="Arial"/>
              </w:rPr>
            </w:pPr>
            <w:r w:rsidRPr="005E78A8">
              <w:rPr>
                <w:rFonts w:ascii="Arial" w:hAnsi="Arial" w:cs="Arial"/>
                <w:color w:val="010205"/>
              </w:rPr>
              <w:t>34.50</w:t>
            </w:r>
            <w:r w:rsidRPr="005E78A8">
              <w:rPr>
                <w:rFonts w:ascii="Arial" w:hAnsi="Arial" w:cs="Arial"/>
              </w:rPr>
              <w:t>±</w:t>
            </w:r>
            <w:r w:rsidRPr="005E78A8">
              <w:rPr>
                <w:rFonts w:ascii="Arial" w:hAnsi="Arial" w:cs="Arial"/>
                <w:color w:val="010205"/>
              </w:rPr>
              <w:t>2.500</w:t>
            </w:r>
          </w:p>
        </w:tc>
        <w:tc>
          <w:tcPr>
            <w:tcW w:w="1985" w:type="dxa"/>
            <w:tcBorders>
              <w:top w:val="nil"/>
              <w:left w:val="nil"/>
              <w:bottom w:val="nil"/>
              <w:right w:val="nil"/>
            </w:tcBorders>
            <w:vAlign w:val="bottom"/>
          </w:tcPr>
          <w:p w14:paraId="2A1264AE" w14:textId="77777777" w:rsidR="00462160" w:rsidRPr="005E78A8" w:rsidRDefault="00462160" w:rsidP="005E78A8">
            <w:pPr>
              <w:jc w:val="center"/>
              <w:rPr>
                <w:rFonts w:ascii="Arial" w:hAnsi="Arial" w:cs="Arial"/>
              </w:rPr>
            </w:pPr>
            <w:r w:rsidRPr="005E78A8">
              <w:rPr>
                <w:rFonts w:ascii="Arial" w:hAnsi="Arial" w:cs="Arial"/>
                <w:color w:val="010205"/>
              </w:rPr>
              <w:t>34.50</w:t>
            </w:r>
            <w:r w:rsidRPr="005E78A8">
              <w:rPr>
                <w:rFonts w:ascii="Arial" w:hAnsi="Arial" w:cs="Arial"/>
              </w:rPr>
              <w:t>±</w:t>
            </w:r>
            <w:r w:rsidRPr="005E78A8">
              <w:rPr>
                <w:rFonts w:ascii="Arial" w:hAnsi="Arial" w:cs="Arial"/>
                <w:color w:val="010205"/>
              </w:rPr>
              <w:t>7.500</w:t>
            </w:r>
          </w:p>
        </w:tc>
        <w:tc>
          <w:tcPr>
            <w:tcW w:w="1842" w:type="dxa"/>
            <w:tcBorders>
              <w:top w:val="nil"/>
              <w:left w:val="nil"/>
              <w:bottom w:val="nil"/>
              <w:right w:val="nil"/>
            </w:tcBorders>
            <w:vAlign w:val="bottom"/>
          </w:tcPr>
          <w:p w14:paraId="1EAD26D4" w14:textId="77777777" w:rsidR="00462160" w:rsidRPr="005E78A8" w:rsidRDefault="00462160" w:rsidP="005E78A8">
            <w:pPr>
              <w:jc w:val="center"/>
              <w:rPr>
                <w:rFonts w:ascii="Arial" w:hAnsi="Arial" w:cs="Arial"/>
              </w:rPr>
            </w:pPr>
            <w:r w:rsidRPr="005E78A8">
              <w:rPr>
                <w:rFonts w:ascii="Arial" w:hAnsi="Arial" w:cs="Arial"/>
                <w:color w:val="010205"/>
              </w:rPr>
              <w:t>35.00</w:t>
            </w:r>
            <w:r w:rsidRPr="005E78A8">
              <w:rPr>
                <w:rFonts w:ascii="Arial" w:hAnsi="Arial" w:cs="Arial"/>
              </w:rPr>
              <w:t>±</w:t>
            </w:r>
            <w:r w:rsidRPr="005E78A8">
              <w:rPr>
                <w:rFonts w:ascii="Arial" w:hAnsi="Arial" w:cs="Arial"/>
                <w:color w:val="010205"/>
              </w:rPr>
              <w:t>4.00</w:t>
            </w:r>
          </w:p>
        </w:tc>
        <w:tc>
          <w:tcPr>
            <w:tcW w:w="1843" w:type="dxa"/>
            <w:tcBorders>
              <w:top w:val="nil"/>
              <w:left w:val="nil"/>
              <w:bottom w:val="nil"/>
              <w:right w:val="nil"/>
            </w:tcBorders>
            <w:vAlign w:val="bottom"/>
          </w:tcPr>
          <w:p w14:paraId="73B74EA8" w14:textId="77777777" w:rsidR="00462160" w:rsidRPr="005E78A8" w:rsidRDefault="00462160" w:rsidP="005E78A8">
            <w:pPr>
              <w:jc w:val="center"/>
              <w:rPr>
                <w:rFonts w:ascii="Arial" w:hAnsi="Arial" w:cs="Arial"/>
              </w:rPr>
            </w:pPr>
            <w:r w:rsidRPr="005E78A8">
              <w:rPr>
                <w:rFonts w:ascii="Arial" w:hAnsi="Arial" w:cs="Arial"/>
                <w:color w:val="010205"/>
              </w:rPr>
              <w:t>35.50</w:t>
            </w:r>
            <w:r w:rsidRPr="005E78A8">
              <w:rPr>
                <w:rFonts w:ascii="Arial" w:hAnsi="Arial" w:cs="Arial"/>
              </w:rPr>
              <w:t>±</w:t>
            </w:r>
            <w:r w:rsidRPr="005E78A8">
              <w:rPr>
                <w:rFonts w:ascii="Arial" w:hAnsi="Arial" w:cs="Arial"/>
                <w:color w:val="010205"/>
              </w:rPr>
              <w:t>2.500</w:t>
            </w:r>
          </w:p>
        </w:tc>
        <w:tc>
          <w:tcPr>
            <w:tcW w:w="1987" w:type="dxa"/>
            <w:tcBorders>
              <w:top w:val="nil"/>
              <w:left w:val="nil"/>
              <w:bottom w:val="nil"/>
              <w:right w:val="nil"/>
            </w:tcBorders>
            <w:vAlign w:val="bottom"/>
          </w:tcPr>
          <w:p w14:paraId="5A517359" w14:textId="77777777" w:rsidR="00462160" w:rsidRPr="005E78A8" w:rsidRDefault="00462160" w:rsidP="005E78A8">
            <w:pPr>
              <w:rPr>
                <w:rFonts w:ascii="Arial" w:hAnsi="Arial" w:cs="Arial"/>
                <w:color w:val="000000"/>
              </w:rPr>
            </w:pPr>
            <w:r w:rsidRPr="005E78A8">
              <w:rPr>
                <w:rFonts w:ascii="Arial" w:hAnsi="Arial" w:cs="Arial"/>
                <w:color w:val="000000"/>
              </w:rPr>
              <w:t xml:space="preserve">1000 µS/cm </w:t>
            </w:r>
          </w:p>
        </w:tc>
        <w:tc>
          <w:tcPr>
            <w:tcW w:w="1419" w:type="dxa"/>
            <w:gridSpan w:val="2"/>
            <w:tcBorders>
              <w:top w:val="nil"/>
              <w:left w:val="nil"/>
              <w:bottom w:val="nil"/>
            </w:tcBorders>
            <w:vAlign w:val="bottom"/>
          </w:tcPr>
          <w:p w14:paraId="01C301F7" w14:textId="77777777" w:rsidR="00462160" w:rsidRPr="005E78A8" w:rsidRDefault="00462160" w:rsidP="005E78A8">
            <w:pPr>
              <w:rPr>
                <w:rFonts w:ascii="Arial" w:hAnsi="Arial" w:cs="Arial"/>
                <w:color w:val="000000"/>
              </w:rPr>
            </w:pPr>
            <w:r w:rsidRPr="005E78A8">
              <w:rPr>
                <w:rFonts w:ascii="Arial" w:hAnsi="Arial" w:cs="Arial"/>
                <w:color w:val="000000"/>
              </w:rPr>
              <w:t>≤250</w:t>
            </w:r>
          </w:p>
        </w:tc>
      </w:tr>
      <w:tr w:rsidR="00462160" w:rsidRPr="005E78A8" w14:paraId="26E2DC05" w14:textId="77777777" w:rsidTr="00783C28">
        <w:tc>
          <w:tcPr>
            <w:tcW w:w="3969" w:type="dxa"/>
            <w:tcBorders>
              <w:top w:val="nil"/>
              <w:bottom w:val="nil"/>
              <w:right w:val="nil"/>
            </w:tcBorders>
            <w:vAlign w:val="bottom"/>
          </w:tcPr>
          <w:p w14:paraId="75D3AAAD"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Dissolved Solids </w:t>
            </w:r>
            <w:r w:rsidRPr="005E78A8">
              <w:rPr>
                <w:rFonts w:ascii="Arial" w:hAnsi="Arial" w:cs="Arial"/>
                <w:b/>
                <w:spacing w:val="-2"/>
                <w:sz w:val="20"/>
                <w:szCs w:val="20"/>
              </w:rPr>
              <w:t>(ppt)</w:t>
            </w:r>
          </w:p>
        </w:tc>
        <w:tc>
          <w:tcPr>
            <w:tcW w:w="2125" w:type="dxa"/>
            <w:tcBorders>
              <w:top w:val="nil"/>
              <w:left w:val="nil"/>
              <w:bottom w:val="nil"/>
              <w:right w:val="nil"/>
            </w:tcBorders>
            <w:vAlign w:val="bottom"/>
          </w:tcPr>
          <w:p w14:paraId="5447A3A9" w14:textId="77777777"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1.500</w:t>
            </w:r>
          </w:p>
        </w:tc>
        <w:tc>
          <w:tcPr>
            <w:tcW w:w="1985" w:type="dxa"/>
            <w:tcBorders>
              <w:top w:val="nil"/>
              <w:left w:val="nil"/>
              <w:bottom w:val="nil"/>
              <w:right w:val="nil"/>
            </w:tcBorders>
            <w:vAlign w:val="bottom"/>
          </w:tcPr>
          <w:p w14:paraId="5B5E6B20" w14:textId="77777777" w:rsidR="00462160" w:rsidRPr="005E78A8" w:rsidRDefault="00462160" w:rsidP="005E78A8">
            <w:pPr>
              <w:jc w:val="center"/>
              <w:rPr>
                <w:rFonts w:ascii="Arial" w:hAnsi="Arial" w:cs="Arial"/>
              </w:rPr>
            </w:pPr>
            <w:r w:rsidRPr="005E78A8">
              <w:rPr>
                <w:rFonts w:ascii="Arial" w:hAnsi="Arial" w:cs="Arial"/>
                <w:color w:val="010205"/>
              </w:rPr>
              <w:t>16.50</w:t>
            </w:r>
            <w:r w:rsidRPr="005E78A8">
              <w:rPr>
                <w:rFonts w:ascii="Arial" w:hAnsi="Arial" w:cs="Arial"/>
              </w:rPr>
              <w:t>±</w:t>
            </w:r>
            <w:r w:rsidRPr="005E78A8">
              <w:rPr>
                <w:rFonts w:ascii="Arial" w:hAnsi="Arial" w:cs="Arial"/>
                <w:color w:val="010205"/>
              </w:rPr>
              <w:t xml:space="preserve"> 3.500</w:t>
            </w:r>
          </w:p>
        </w:tc>
        <w:tc>
          <w:tcPr>
            <w:tcW w:w="1842" w:type="dxa"/>
            <w:tcBorders>
              <w:top w:val="nil"/>
              <w:left w:val="nil"/>
              <w:bottom w:val="nil"/>
              <w:right w:val="nil"/>
            </w:tcBorders>
            <w:vAlign w:val="bottom"/>
          </w:tcPr>
          <w:p w14:paraId="50409792" w14:textId="77777777" w:rsidR="00462160" w:rsidRPr="005E78A8" w:rsidRDefault="00462160" w:rsidP="005E78A8">
            <w:pPr>
              <w:jc w:val="center"/>
              <w:rPr>
                <w:rFonts w:ascii="Arial" w:hAnsi="Arial" w:cs="Arial"/>
              </w:rPr>
            </w:pPr>
            <w:r w:rsidRPr="005E78A8">
              <w:rPr>
                <w:rFonts w:ascii="Arial" w:hAnsi="Arial" w:cs="Arial"/>
                <w:color w:val="010205"/>
              </w:rPr>
              <w:t>18.50</w:t>
            </w:r>
            <w:r w:rsidRPr="005E78A8">
              <w:rPr>
                <w:rFonts w:ascii="Arial" w:hAnsi="Arial" w:cs="Arial"/>
              </w:rPr>
              <w:t>±</w:t>
            </w:r>
            <w:r w:rsidRPr="005E78A8">
              <w:rPr>
                <w:rFonts w:ascii="Arial" w:hAnsi="Arial" w:cs="Arial"/>
                <w:color w:val="010205"/>
              </w:rPr>
              <w:t>2.500</w:t>
            </w:r>
          </w:p>
        </w:tc>
        <w:tc>
          <w:tcPr>
            <w:tcW w:w="1843" w:type="dxa"/>
            <w:tcBorders>
              <w:top w:val="nil"/>
              <w:left w:val="nil"/>
              <w:bottom w:val="nil"/>
              <w:right w:val="nil"/>
            </w:tcBorders>
            <w:vAlign w:val="bottom"/>
          </w:tcPr>
          <w:p w14:paraId="590399EC" w14:textId="77777777"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1.500</w:t>
            </w:r>
          </w:p>
        </w:tc>
        <w:tc>
          <w:tcPr>
            <w:tcW w:w="1987" w:type="dxa"/>
            <w:tcBorders>
              <w:top w:val="nil"/>
              <w:left w:val="nil"/>
              <w:bottom w:val="nil"/>
              <w:right w:val="nil"/>
            </w:tcBorders>
            <w:vAlign w:val="bottom"/>
          </w:tcPr>
          <w:p w14:paraId="7A34E36C" w14:textId="77777777" w:rsidR="00462160" w:rsidRPr="005E78A8" w:rsidRDefault="00462160" w:rsidP="005E78A8">
            <w:pPr>
              <w:rPr>
                <w:rFonts w:ascii="Arial" w:hAnsi="Arial" w:cs="Arial"/>
                <w:color w:val="000000"/>
              </w:rPr>
            </w:pPr>
            <w:r w:rsidRPr="005E78A8">
              <w:rPr>
                <w:rFonts w:ascii="Arial" w:hAnsi="Arial" w:cs="Arial"/>
                <w:color w:val="000000"/>
              </w:rPr>
              <w:t>≤500</w:t>
            </w:r>
          </w:p>
        </w:tc>
        <w:tc>
          <w:tcPr>
            <w:tcW w:w="1419" w:type="dxa"/>
            <w:gridSpan w:val="2"/>
            <w:tcBorders>
              <w:top w:val="nil"/>
              <w:left w:val="nil"/>
              <w:bottom w:val="nil"/>
            </w:tcBorders>
            <w:vAlign w:val="bottom"/>
          </w:tcPr>
          <w:p w14:paraId="5A05ADA1" w14:textId="77777777" w:rsidR="00462160" w:rsidRPr="005E78A8" w:rsidRDefault="00462160" w:rsidP="005E78A8">
            <w:pPr>
              <w:rPr>
                <w:rFonts w:ascii="Arial" w:hAnsi="Arial" w:cs="Arial"/>
                <w:color w:val="000000"/>
              </w:rPr>
            </w:pPr>
            <w:r w:rsidRPr="005E78A8">
              <w:rPr>
                <w:rFonts w:ascii="Arial" w:hAnsi="Arial" w:cs="Arial"/>
                <w:color w:val="000000"/>
              </w:rPr>
              <w:t>≤500</w:t>
            </w:r>
          </w:p>
        </w:tc>
      </w:tr>
      <w:tr w:rsidR="00462160" w:rsidRPr="005E78A8" w14:paraId="734CACCC" w14:textId="77777777" w:rsidTr="00783C28">
        <w:tc>
          <w:tcPr>
            <w:tcW w:w="3969" w:type="dxa"/>
            <w:tcBorders>
              <w:top w:val="nil"/>
              <w:bottom w:val="nil"/>
              <w:right w:val="nil"/>
            </w:tcBorders>
            <w:vAlign w:val="bottom"/>
          </w:tcPr>
          <w:p w14:paraId="681F802F"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Alkalinity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1B857925" w14:textId="77777777" w:rsidR="00462160" w:rsidRPr="005E78A8" w:rsidRDefault="00462160" w:rsidP="005E78A8">
            <w:pPr>
              <w:jc w:val="center"/>
              <w:rPr>
                <w:rFonts w:ascii="Arial" w:hAnsi="Arial" w:cs="Arial"/>
              </w:rPr>
            </w:pPr>
            <w:r w:rsidRPr="005E78A8">
              <w:rPr>
                <w:rFonts w:ascii="Arial" w:hAnsi="Arial" w:cs="Arial"/>
                <w:color w:val="010205"/>
              </w:rPr>
              <w:t xml:space="preserve">0.770 </w:t>
            </w:r>
            <w:r w:rsidRPr="005E78A8">
              <w:rPr>
                <w:rFonts w:ascii="Arial" w:hAnsi="Arial" w:cs="Arial"/>
              </w:rPr>
              <w:t>±</w:t>
            </w:r>
            <w:r w:rsidRPr="005E78A8">
              <w:rPr>
                <w:rFonts w:ascii="Arial" w:hAnsi="Arial" w:cs="Arial"/>
                <w:color w:val="010205"/>
              </w:rPr>
              <w:t>0.730</w:t>
            </w:r>
          </w:p>
        </w:tc>
        <w:tc>
          <w:tcPr>
            <w:tcW w:w="1985" w:type="dxa"/>
            <w:tcBorders>
              <w:top w:val="nil"/>
              <w:left w:val="nil"/>
              <w:bottom w:val="nil"/>
              <w:right w:val="nil"/>
            </w:tcBorders>
            <w:vAlign w:val="bottom"/>
          </w:tcPr>
          <w:p w14:paraId="6A8553C2" w14:textId="77777777" w:rsidR="00462160" w:rsidRPr="005E78A8" w:rsidRDefault="00462160" w:rsidP="005E78A8">
            <w:pPr>
              <w:jc w:val="center"/>
              <w:rPr>
                <w:rFonts w:ascii="Arial" w:hAnsi="Arial" w:cs="Arial"/>
              </w:rPr>
            </w:pPr>
            <w:r w:rsidRPr="005E78A8">
              <w:rPr>
                <w:rFonts w:ascii="Arial" w:hAnsi="Arial" w:cs="Arial"/>
                <w:color w:val="010205"/>
              </w:rPr>
              <w:t>0.990</w:t>
            </w:r>
            <w:r w:rsidRPr="005E78A8">
              <w:rPr>
                <w:rFonts w:ascii="Arial" w:hAnsi="Arial" w:cs="Arial"/>
              </w:rPr>
              <w:t>±0</w:t>
            </w:r>
            <w:r w:rsidRPr="005E78A8">
              <w:rPr>
                <w:rFonts w:ascii="Arial" w:hAnsi="Arial" w:cs="Arial"/>
                <w:color w:val="010205"/>
              </w:rPr>
              <w:t xml:space="preserve"> .910</w:t>
            </w:r>
          </w:p>
        </w:tc>
        <w:tc>
          <w:tcPr>
            <w:tcW w:w="1842" w:type="dxa"/>
            <w:tcBorders>
              <w:top w:val="nil"/>
              <w:left w:val="nil"/>
              <w:bottom w:val="nil"/>
              <w:right w:val="nil"/>
            </w:tcBorders>
            <w:vAlign w:val="bottom"/>
          </w:tcPr>
          <w:p w14:paraId="17EB3915" w14:textId="77777777" w:rsidR="00462160" w:rsidRPr="005E78A8" w:rsidRDefault="00462160" w:rsidP="005E78A8">
            <w:pPr>
              <w:jc w:val="center"/>
              <w:rPr>
                <w:rFonts w:ascii="Arial" w:hAnsi="Arial" w:cs="Arial"/>
              </w:rPr>
            </w:pPr>
            <w:r w:rsidRPr="005E78A8">
              <w:rPr>
                <w:rFonts w:ascii="Arial" w:hAnsi="Arial" w:cs="Arial"/>
                <w:color w:val="010205"/>
              </w:rPr>
              <w:t>0.660</w:t>
            </w:r>
            <w:r w:rsidRPr="005E78A8">
              <w:rPr>
                <w:rFonts w:ascii="Arial" w:hAnsi="Arial" w:cs="Arial"/>
              </w:rPr>
              <w:t>±0</w:t>
            </w:r>
            <w:r w:rsidRPr="005E78A8">
              <w:rPr>
                <w:rFonts w:ascii="Arial" w:hAnsi="Arial" w:cs="Arial"/>
                <w:color w:val="010205"/>
              </w:rPr>
              <w:t>.540</w:t>
            </w:r>
          </w:p>
        </w:tc>
        <w:tc>
          <w:tcPr>
            <w:tcW w:w="1843" w:type="dxa"/>
            <w:tcBorders>
              <w:top w:val="nil"/>
              <w:left w:val="nil"/>
              <w:bottom w:val="nil"/>
              <w:right w:val="nil"/>
            </w:tcBorders>
            <w:vAlign w:val="bottom"/>
          </w:tcPr>
          <w:p w14:paraId="35F99AEB" w14:textId="77777777" w:rsidR="00462160" w:rsidRPr="005E78A8" w:rsidRDefault="00462160" w:rsidP="005E78A8">
            <w:pPr>
              <w:jc w:val="center"/>
              <w:rPr>
                <w:rFonts w:ascii="Arial" w:hAnsi="Arial" w:cs="Arial"/>
              </w:rPr>
            </w:pPr>
            <w:r w:rsidRPr="005E78A8">
              <w:rPr>
                <w:rFonts w:ascii="Arial" w:hAnsi="Arial" w:cs="Arial"/>
                <w:color w:val="010205"/>
              </w:rPr>
              <w:t>1.130</w:t>
            </w:r>
            <w:r w:rsidRPr="005E78A8">
              <w:rPr>
                <w:rFonts w:ascii="Arial" w:hAnsi="Arial" w:cs="Arial"/>
              </w:rPr>
              <w:t>±0</w:t>
            </w:r>
            <w:r w:rsidRPr="005E78A8">
              <w:rPr>
                <w:rFonts w:ascii="Arial" w:hAnsi="Arial" w:cs="Arial"/>
                <w:color w:val="010205"/>
              </w:rPr>
              <w:t xml:space="preserve"> .950</w:t>
            </w:r>
          </w:p>
        </w:tc>
        <w:tc>
          <w:tcPr>
            <w:tcW w:w="1987" w:type="dxa"/>
            <w:tcBorders>
              <w:top w:val="nil"/>
              <w:left w:val="nil"/>
              <w:bottom w:val="nil"/>
              <w:right w:val="nil"/>
            </w:tcBorders>
          </w:tcPr>
          <w:p w14:paraId="43B8FD5E" w14:textId="77777777" w:rsidR="00462160" w:rsidRPr="005E78A8" w:rsidRDefault="00462160" w:rsidP="005E78A8">
            <w:pPr>
              <w:rPr>
                <w:rFonts w:ascii="Arial" w:hAnsi="Arial" w:cs="Arial"/>
                <w:color w:val="000000"/>
              </w:rPr>
            </w:pPr>
            <w:r w:rsidRPr="005E78A8">
              <w:rPr>
                <w:rFonts w:ascii="Arial" w:hAnsi="Arial" w:cs="Arial"/>
                <w:color w:val="000000"/>
              </w:rPr>
              <w:t>200</w:t>
            </w:r>
          </w:p>
        </w:tc>
        <w:tc>
          <w:tcPr>
            <w:tcW w:w="1419" w:type="dxa"/>
            <w:gridSpan w:val="2"/>
            <w:tcBorders>
              <w:top w:val="nil"/>
              <w:left w:val="nil"/>
              <w:bottom w:val="nil"/>
            </w:tcBorders>
            <w:vAlign w:val="bottom"/>
          </w:tcPr>
          <w:p w14:paraId="2ADCCA61" w14:textId="77777777" w:rsidR="00462160" w:rsidRPr="005E78A8" w:rsidRDefault="00462160" w:rsidP="005E78A8">
            <w:pPr>
              <w:rPr>
                <w:rFonts w:ascii="Arial" w:hAnsi="Arial" w:cs="Arial"/>
                <w:color w:val="000000"/>
              </w:rPr>
            </w:pPr>
            <w:r w:rsidRPr="005E78A8">
              <w:rPr>
                <w:rFonts w:ascii="Arial" w:hAnsi="Arial" w:cs="Arial"/>
                <w:color w:val="000000"/>
              </w:rPr>
              <w:t>20–200</w:t>
            </w:r>
          </w:p>
        </w:tc>
      </w:tr>
      <w:tr w:rsidR="00462160" w:rsidRPr="005E78A8" w14:paraId="48263FD1" w14:textId="77777777" w:rsidTr="00783C28">
        <w:tc>
          <w:tcPr>
            <w:tcW w:w="3969" w:type="dxa"/>
            <w:tcBorders>
              <w:top w:val="nil"/>
              <w:bottom w:val="nil"/>
              <w:right w:val="nil"/>
            </w:tcBorders>
            <w:vAlign w:val="bottom"/>
          </w:tcPr>
          <w:p w14:paraId="5F8E0BD6"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Suspended Solids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67690926" w14:textId="77777777" w:rsidR="00462160" w:rsidRPr="005E78A8" w:rsidRDefault="00462160" w:rsidP="005E78A8">
            <w:pPr>
              <w:jc w:val="center"/>
              <w:rPr>
                <w:rFonts w:ascii="Arial" w:hAnsi="Arial" w:cs="Arial"/>
              </w:rPr>
            </w:pPr>
            <w:r w:rsidRPr="005E78A8">
              <w:rPr>
                <w:rFonts w:ascii="Arial" w:hAnsi="Arial" w:cs="Arial"/>
                <w:color w:val="010205"/>
              </w:rPr>
              <w:t>19.705</w:t>
            </w:r>
            <w:r w:rsidRPr="005E78A8">
              <w:rPr>
                <w:rFonts w:ascii="Arial" w:hAnsi="Arial" w:cs="Arial"/>
              </w:rPr>
              <w:t>±</w:t>
            </w:r>
            <w:r w:rsidRPr="005E78A8">
              <w:rPr>
                <w:rFonts w:ascii="Arial" w:hAnsi="Arial" w:cs="Arial"/>
                <w:color w:val="010205"/>
              </w:rPr>
              <w:t>9.595</w:t>
            </w:r>
          </w:p>
        </w:tc>
        <w:tc>
          <w:tcPr>
            <w:tcW w:w="1985" w:type="dxa"/>
            <w:tcBorders>
              <w:top w:val="nil"/>
              <w:left w:val="nil"/>
              <w:bottom w:val="nil"/>
              <w:right w:val="nil"/>
            </w:tcBorders>
            <w:vAlign w:val="bottom"/>
          </w:tcPr>
          <w:p w14:paraId="4390F309" w14:textId="77777777" w:rsidR="00462160" w:rsidRPr="005E78A8" w:rsidRDefault="00462160" w:rsidP="005E78A8">
            <w:pPr>
              <w:jc w:val="center"/>
              <w:rPr>
                <w:rFonts w:ascii="Arial" w:hAnsi="Arial" w:cs="Arial"/>
              </w:rPr>
            </w:pPr>
            <w:r w:rsidRPr="005E78A8">
              <w:rPr>
                <w:rFonts w:ascii="Arial" w:hAnsi="Arial" w:cs="Arial"/>
                <w:color w:val="010205"/>
              </w:rPr>
              <w:t>33.150</w:t>
            </w:r>
            <w:r w:rsidRPr="005E78A8">
              <w:rPr>
                <w:rFonts w:ascii="Arial" w:hAnsi="Arial" w:cs="Arial"/>
              </w:rPr>
              <w:t>±</w:t>
            </w:r>
            <w:r w:rsidRPr="005E78A8">
              <w:rPr>
                <w:rFonts w:ascii="Arial" w:hAnsi="Arial" w:cs="Arial"/>
                <w:color w:val="010205"/>
              </w:rPr>
              <w:t>12.150</w:t>
            </w:r>
          </w:p>
        </w:tc>
        <w:tc>
          <w:tcPr>
            <w:tcW w:w="1842" w:type="dxa"/>
            <w:tcBorders>
              <w:top w:val="nil"/>
              <w:left w:val="nil"/>
              <w:bottom w:val="nil"/>
              <w:right w:val="nil"/>
            </w:tcBorders>
            <w:vAlign w:val="bottom"/>
          </w:tcPr>
          <w:p w14:paraId="2AC88041" w14:textId="77777777" w:rsidR="00462160" w:rsidRPr="005E78A8" w:rsidRDefault="00462160" w:rsidP="005E78A8">
            <w:pPr>
              <w:jc w:val="center"/>
              <w:rPr>
                <w:rFonts w:ascii="Arial" w:hAnsi="Arial" w:cs="Arial"/>
              </w:rPr>
            </w:pPr>
            <w:r w:rsidRPr="005E78A8">
              <w:rPr>
                <w:rFonts w:ascii="Arial" w:hAnsi="Arial" w:cs="Arial"/>
                <w:color w:val="010205"/>
              </w:rPr>
              <w:t>40.650</w:t>
            </w:r>
            <w:r w:rsidRPr="005E78A8">
              <w:rPr>
                <w:rFonts w:ascii="Arial" w:hAnsi="Arial" w:cs="Arial"/>
              </w:rPr>
              <w:t>±</w:t>
            </w:r>
            <w:r w:rsidRPr="005E78A8">
              <w:rPr>
                <w:rFonts w:ascii="Arial" w:hAnsi="Arial" w:cs="Arial"/>
                <w:color w:val="010205"/>
              </w:rPr>
              <w:t>1.350</w:t>
            </w:r>
          </w:p>
        </w:tc>
        <w:tc>
          <w:tcPr>
            <w:tcW w:w="1843" w:type="dxa"/>
            <w:tcBorders>
              <w:top w:val="nil"/>
              <w:left w:val="nil"/>
              <w:bottom w:val="nil"/>
              <w:right w:val="nil"/>
            </w:tcBorders>
            <w:vAlign w:val="bottom"/>
          </w:tcPr>
          <w:p w14:paraId="68ED0B3D" w14:textId="77777777" w:rsidR="00462160" w:rsidRPr="005E78A8" w:rsidRDefault="00462160" w:rsidP="005E78A8">
            <w:pPr>
              <w:tabs>
                <w:tab w:val="center" w:pos="1309"/>
              </w:tabs>
              <w:jc w:val="center"/>
              <w:rPr>
                <w:rFonts w:ascii="Arial" w:hAnsi="Arial" w:cs="Arial"/>
              </w:rPr>
            </w:pPr>
            <w:r w:rsidRPr="005E78A8">
              <w:rPr>
                <w:rFonts w:ascii="Arial" w:hAnsi="Arial" w:cs="Arial"/>
                <w:color w:val="010205"/>
              </w:rPr>
              <w:t>29.500</w:t>
            </w:r>
            <w:r w:rsidRPr="005E78A8">
              <w:rPr>
                <w:rFonts w:ascii="Arial" w:hAnsi="Arial" w:cs="Arial"/>
              </w:rPr>
              <w:t>±</w:t>
            </w:r>
            <w:r w:rsidRPr="005E78A8">
              <w:rPr>
                <w:rFonts w:ascii="Arial" w:hAnsi="Arial" w:cs="Arial"/>
                <w:color w:val="010205"/>
              </w:rPr>
              <w:t>17.500</w:t>
            </w:r>
          </w:p>
        </w:tc>
        <w:tc>
          <w:tcPr>
            <w:tcW w:w="1987" w:type="dxa"/>
            <w:tcBorders>
              <w:top w:val="nil"/>
              <w:left w:val="nil"/>
              <w:bottom w:val="nil"/>
              <w:right w:val="nil"/>
            </w:tcBorders>
          </w:tcPr>
          <w:p w14:paraId="68D503E4" w14:textId="77777777"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14:paraId="4F032EC6"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1F004F4F" w14:textId="77777777" w:rsidTr="00783C28">
        <w:tc>
          <w:tcPr>
            <w:tcW w:w="3969" w:type="dxa"/>
            <w:tcBorders>
              <w:top w:val="nil"/>
              <w:bottom w:val="nil"/>
              <w:right w:val="nil"/>
            </w:tcBorders>
            <w:vAlign w:val="bottom"/>
          </w:tcPr>
          <w:p w14:paraId="7E6AFF40"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Hardness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69CF41A5" w14:textId="77777777" w:rsidR="00462160" w:rsidRPr="005E78A8" w:rsidRDefault="00462160" w:rsidP="005E78A8">
            <w:pPr>
              <w:jc w:val="center"/>
              <w:rPr>
                <w:rFonts w:ascii="Arial" w:hAnsi="Arial" w:cs="Arial"/>
              </w:rPr>
            </w:pPr>
            <w:r w:rsidRPr="005E78A8">
              <w:rPr>
                <w:rFonts w:ascii="Arial" w:hAnsi="Arial" w:cs="Arial"/>
                <w:color w:val="010205"/>
              </w:rPr>
              <w:t>2.400</w:t>
            </w:r>
            <w:r w:rsidRPr="005E78A8">
              <w:rPr>
                <w:rFonts w:ascii="Arial" w:hAnsi="Arial" w:cs="Arial"/>
              </w:rPr>
              <w:t>±0</w:t>
            </w:r>
            <w:r w:rsidRPr="005E78A8">
              <w:rPr>
                <w:rFonts w:ascii="Arial" w:hAnsi="Arial" w:cs="Arial"/>
                <w:color w:val="010205"/>
              </w:rPr>
              <w:t xml:space="preserve"> .600</w:t>
            </w:r>
          </w:p>
        </w:tc>
        <w:tc>
          <w:tcPr>
            <w:tcW w:w="1985" w:type="dxa"/>
            <w:tcBorders>
              <w:top w:val="nil"/>
              <w:left w:val="nil"/>
              <w:bottom w:val="nil"/>
              <w:right w:val="nil"/>
            </w:tcBorders>
            <w:vAlign w:val="bottom"/>
          </w:tcPr>
          <w:p w14:paraId="4F163979" w14:textId="77777777" w:rsidR="00462160" w:rsidRPr="005E78A8" w:rsidRDefault="00462160" w:rsidP="005E78A8">
            <w:pPr>
              <w:jc w:val="center"/>
              <w:rPr>
                <w:rFonts w:ascii="Arial" w:hAnsi="Arial" w:cs="Arial"/>
              </w:rPr>
            </w:pPr>
            <w:r w:rsidRPr="005E78A8">
              <w:rPr>
                <w:rFonts w:ascii="Arial" w:hAnsi="Arial" w:cs="Arial"/>
                <w:color w:val="010205"/>
              </w:rPr>
              <w:t>4.550</w:t>
            </w:r>
            <w:r w:rsidRPr="005E78A8">
              <w:rPr>
                <w:rFonts w:ascii="Arial" w:hAnsi="Arial" w:cs="Arial"/>
              </w:rPr>
              <w:t>±</w:t>
            </w:r>
            <w:r w:rsidRPr="005E78A8">
              <w:rPr>
                <w:rFonts w:ascii="Arial" w:hAnsi="Arial" w:cs="Arial"/>
                <w:color w:val="010205"/>
              </w:rPr>
              <w:t>1.450</w:t>
            </w:r>
          </w:p>
        </w:tc>
        <w:tc>
          <w:tcPr>
            <w:tcW w:w="1842" w:type="dxa"/>
            <w:tcBorders>
              <w:top w:val="nil"/>
              <w:left w:val="nil"/>
              <w:bottom w:val="nil"/>
              <w:right w:val="nil"/>
            </w:tcBorders>
            <w:vAlign w:val="bottom"/>
          </w:tcPr>
          <w:p w14:paraId="22A7AB54" w14:textId="77777777" w:rsidR="00462160" w:rsidRPr="005E78A8" w:rsidRDefault="00462160" w:rsidP="005E78A8">
            <w:pPr>
              <w:jc w:val="center"/>
              <w:rPr>
                <w:rFonts w:ascii="Arial" w:hAnsi="Arial" w:cs="Arial"/>
              </w:rPr>
            </w:pPr>
            <w:r w:rsidRPr="005E78A8">
              <w:rPr>
                <w:rFonts w:ascii="Arial" w:hAnsi="Arial" w:cs="Arial"/>
                <w:color w:val="010205"/>
              </w:rPr>
              <w:t xml:space="preserve">5.300 </w:t>
            </w:r>
            <w:r w:rsidRPr="005E78A8">
              <w:rPr>
                <w:rFonts w:ascii="Arial" w:hAnsi="Arial" w:cs="Arial"/>
              </w:rPr>
              <w:t>±</w:t>
            </w:r>
            <w:r w:rsidRPr="005E78A8">
              <w:rPr>
                <w:rFonts w:ascii="Arial" w:hAnsi="Arial" w:cs="Arial"/>
                <w:color w:val="010205"/>
              </w:rPr>
              <w:t>4.000</w:t>
            </w:r>
          </w:p>
        </w:tc>
        <w:tc>
          <w:tcPr>
            <w:tcW w:w="1843" w:type="dxa"/>
            <w:tcBorders>
              <w:top w:val="nil"/>
              <w:left w:val="nil"/>
              <w:bottom w:val="nil"/>
              <w:right w:val="nil"/>
            </w:tcBorders>
            <w:vAlign w:val="bottom"/>
          </w:tcPr>
          <w:p w14:paraId="15647D3A" w14:textId="77777777" w:rsidR="00462160" w:rsidRPr="005E78A8" w:rsidRDefault="00462160" w:rsidP="005E78A8">
            <w:pPr>
              <w:jc w:val="center"/>
              <w:rPr>
                <w:rFonts w:ascii="Arial" w:hAnsi="Arial" w:cs="Arial"/>
              </w:rPr>
            </w:pPr>
            <w:r w:rsidRPr="005E78A8">
              <w:rPr>
                <w:rFonts w:ascii="Arial" w:hAnsi="Arial" w:cs="Arial"/>
                <w:color w:val="010205"/>
              </w:rPr>
              <w:t>6.150</w:t>
            </w:r>
            <w:r w:rsidRPr="005E78A8">
              <w:rPr>
                <w:rFonts w:ascii="Arial" w:hAnsi="Arial" w:cs="Arial"/>
              </w:rPr>
              <w:t>±</w:t>
            </w:r>
            <w:r w:rsidRPr="005E78A8">
              <w:rPr>
                <w:rFonts w:ascii="Arial" w:hAnsi="Arial" w:cs="Arial"/>
                <w:color w:val="010205"/>
              </w:rPr>
              <w:t>1.332</w:t>
            </w:r>
          </w:p>
        </w:tc>
        <w:tc>
          <w:tcPr>
            <w:tcW w:w="1987" w:type="dxa"/>
            <w:tcBorders>
              <w:top w:val="nil"/>
              <w:left w:val="nil"/>
              <w:bottom w:val="nil"/>
              <w:right w:val="nil"/>
            </w:tcBorders>
          </w:tcPr>
          <w:p w14:paraId="4B24C707" w14:textId="77777777" w:rsidR="00462160" w:rsidRPr="005E78A8" w:rsidRDefault="00462160" w:rsidP="005E78A8">
            <w:pPr>
              <w:rPr>
                <w:rFonts w:ascii="Arial" w:hAnsi="Arial" w:cs="Arial"/>
                <w:color w:val="000000"/>
              </w:rPr>
            </w:pPr>
            <w:r w:rsidRPr="005E78A8">
              <w:rPr>
                <w:rFonts w:ascii="Arial" w:hAnsi="Arial" w:cs="Arial"/>
                <w:color w:val="000000"/>
              </w:rPr>
              <w:t>500</w:t>
            </w:r>
          </w:p>
        </w:tc>
        <w:tc>
          <w:tcPr>
            <w:tcW w:w="1419" w:type="dxa"/>
            <w:gridSpan w:val="2"/>
            <w:tcBorders>
              <w:top w:val="nil"/>
              <w:left w:val="nil"/>
              <w:bottom w:val="nil"/>
            </w:tcBorders>
            <w:vAlign w:val="bottom"/>
          </w:tcPr>
          <w:p w14:paraId="5CF430C8" w14:textId="77777777" w:rsidR="00462160" w:rsidRPr="005E78A8" w:rsidRDefault="00462160" w:rsidP="005E78A8">
            <w:pPr>
              <w:rPr>
                <w:rFonts w:ascii="Arial" w:hAnsi="Arial" w:cs="Arial"/>
                <w:color w:val="000000"/>
              </w:rPr>
            </w:pPr>
            <w:r w:rsidRPr="005E78A8">
              <w:rPr>
                <w:rFonts w:ascii="Arial" w:hAnsi="Arial" w:cs="Arial"/>
                <w:color w:val="000000"/>
              </w:rPr>
              <w:t>100–500</w:t>
            </w:r>
          </w:p>
        </w:tc>
      </w:tr>
      <w:tr w:rsidR="00462160" w:rsidRPr="005E78A8" w14:paraId="58CAA79D" w14:textId="77777777" w:rsidTr="00783C28">
        <w:tc>
          <w:tcPr>
            <w:tcW w:w="3969" w:type="dxa"/>
            <w:tcBorders>
              <w:top w:val="nil"/>
              <w:bottom w:val="nil"/>
              <w:right w:val="nil"/>
            </w:tcBorders>
            <w:vAlign w:val="bottom"/>
          </w:tcPr>
          <w:p w14:paraId="69EF5DB1"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DO</w:t>
            </w:r>
            <w:r w:rsidRPr="005E78A8">
              <w:rPr>
                <w:rFonts w:ascii="Arial" w:hAnsi="Arial" w:cs="Arial"/>
                <w:b/>
                <w:spacing w:val="-2"/>
                <w:sz w:val="20"/>
                <w:szCs w:val="20"/>
              </w:rPr>
              <w:t xml:space="preserve"> (mg/L)</w:t>
            </w:r>
          </w:p>
        </w:tc>
        <w:tc>
          <w:tcPr>
            <w:tcW w:w="2125" w:type="dxa"/>
            <w:tcBorders>
              <w:top w:val="nil"/>
              <w:left w:val="nil"/>
              <w:bottom w:val="nil"/>
              <w:right w:val="nil"/>
            </w:tcBorders>
            <w:vAlign w:val="bottom"/>
          </w:tcPr>
          <w:p w14:paraId="1EEA40E5" w14:textId="77777777" w:rsidR="00462160" w:rsidRPr="005E78A8" w:rsidRDefault="00462160" w:rsidP="005E78A8">
            <w:pPr>
              <w:jc w:val="center"/>
              <w:rPr>
                <w:rFonts w:ascii="Arial" w:hAnsi="Arial" w:cs="Arial"/>
              </w:rPr>
            </w:pPr>
            <w:r w:rsidRPr="005E78A8">
              <w:rPr>
                <w:rFonts w:ascii="Arial" w:hAnsi="Arial" w:cs="Arial"/>
                <w:color w:val="010205"/>
              </w:rPr>
              <w:t>13.210</w:t>
            </w:r>
            <w:r w:rsidRPr="005E78A8">
              <w:rPr>
                <w:rFonts w:ascii="Arial" w:hAnsi="Arial" w:cs="Arial"/>
              </w:rPr>
              <w:t>±</w:t>
            </w:r>
            <w:r w:rsidRPr="005E78A8">
              <w:rPr>
                <w:rFonts w:ascii="Arial" w:hAnsi="Arial" w:cs="Arial"/>
                <w:color w:val="010205"/>
              </w:rPr>
              <w:t>10.290</w:t>
            </w:r>
          </w:p>
        </w:tc>
        <w:tc>
          <w:tcPr>
            <w:tcW w:w="1985" w:type="dxa"/>
            <w:tcBorders>
              <w:top w:val="nil"/>
              <w:left w:val="nil"/>
              <w:bottom w:val="nil"/>
              <w:right w:val="nil"/>
            </w:tcBorders>
            <w:vAlign w:val="bottom"/>
          </w:tcPr>
          <w:p w14:paraId="1BC852C2" w14:textId="77777777" w:rsidR="00462160" w:rsidRPr="005E78A8" w:rsidRDefault="00462160" w:rsidP="005E78A8">
            <w:pPr>
              <w:jc w:val="center"/>
              <w:rPr>
                <w:rFonts w:ascii="Arial" w:hAnsi="Arial" w:cs="Arial"/>
              </w:rPr>
            </w:pPr>
            <w:r w:rsidRPr="005E78A8">
              <w:rPr>
                <w:rFonts w:ascii="Arial" w:hAnsi="Arial" w:cs="Arial"/>
                <w:color w:val="010205"/>
              </w:rPr>
              <w:t>13.100</w:t>
            </w:r>
            <w:r w:rsidRPr="005E78A8">
              <w:rPr>
                <w:rFonts w:ascii="Arial" w:hAnsi="Arial" w:cs="Arial"/>
              </w:rPr>
              <w:t>±</w:t>
            </w:r>
            <w:r w:rsidRPr="005E78A8">
              <w:rPr>
                <w:rFonts w:ascii="Arial" w:hAnsi="Arial" w:cs="Arial"/>
                <w:color w:val="010205"/>
              </w:rPr>
              <w:t xml:space="preserve"> 9.300</w:t>
            </w:r>
          </w:p>
        </w:tc>
        <w:tc>
          <w:tcPr>
            <w:tcW w:w="1842" w:type="dxa"/>
            <w:tcBorders>
              <w:top w:val="nil"/>
              <w:left w:val="nil"/>
              <w:bottom w:val="nil"/>
              <w:right w:val="nil"/>
            </w:tcBorders>
            <w:vAlign w:val="bottom"/>
          </w:tcPr>
          <w:p w14:paraId="6F1B8D7A" w14:textId="77777777" w:rsidR="00462160" w:rsidRPr="005E78A8" w:rsidRDefault="00462160" w:rsidP="005E78A8">
            <w:pPr>
              <w:jc w:val="center"/>
              <w:rPr>
                <w:rFonts w:ascii="Arial" w:hAnsi="Arial" w:cs="Arial"/>
              </w:rPr>
            </w:pPr>
            <w:r w:rsidRPr="005E78A8">
              <w:rPr>
                <w:rFonts w:ascii="Arial" w:hAnsi="Arial" w:cs="Arial"/>
                <w:color w:val="010205"/>
              </w:rPr>
              <w:t>15.200</w:t>
            </w:r>
            <w:r w:rsidRPr="005E78A8">
              <w:rPr>
                <w:rFonts w:ascii="Arial" w:hAnsi="Arial" w:cs="Arial"/>
              </w:rPr>
              <w:t>±</w:t>
            </w:r>
            <w:r w:rsidRPr="005E78A8">
              <w:rPr>
                <w:rFonts w:ascii="Arial" w:hAnsi="Arial" w:cs="Arial"/>
                <w:color w:val="010205"/>
              </w:rPr>
              <w:t>10.700</w:t>
            </w:r>
          </w:p>
        </w:tc>
        <w:tc>
          <w:tcPr>
            <w:tcW w:w="1843" w:type="dxa"/>
            <w:tcBorders>
              <w:top w:val="nil"/>
              <w:left w:val="nil"/>
              <w:bottom w:val="nil"/>
              <w:right w:val="nil"/>
            </w:tcBorders>
            <w:vAlign w:val="bottom"/>
          </w:tcPr>
          <w:p w14:paraId="0F0F7995" w14:textId="77777777" w:rsidR="00462160" w:rsidRPr="005E78A8" w:rsidRDefault="00462160" w:rsidP="005E78A8">
            <w:pPr>
              <w:jc w:val="center"/>
              <w:rPr>
                <w:rFonts w:ascii="Arial" w:hAnsi="Arial" w:cs="Arial"/>
              </w:rPr>
            </w:pPr>
            <w:r w:rsidRPr="005E78A8">
              <w:rPr>
                <w:rFonts w:ascii="Arial" w:hAnsi="Arial" w:cs="Arial"/>
                <w:color w:val="010205"/>
              </w:rPr>
              <w:t>16.00</w:t>
            </w:r>
            <w:r w:rsidRPr="005E78A8">
              <w:rPr>
                <w:rFonts w:ascii="Arial" w:hAnsi="Arial" w:cs="Arial"/>
              </w:rPr>
              <w:t>±</w:t>
            </w:r>
            <w:r w:rsidRPr="005E78A8">
              <w:rPr>
                <w:rFonts w:ascii="Arial" w:hAnsi="Arial" w:cs="Arial"/>
                <w:color w:val="010205"/>
              </w:rPr>
              <w:t>11.900</w:t>
            </w:r>
          </w:p>
        </w:tc>
        <w:tc>
          <w:tcPr>
            <w:tcW w:w="1987" w:type="dxa"/>
            <w:tcBorders>
              <w:top w:val="nil"/>
              <w:left w:val="nil"/>
              <w:bottom w:val="nil"/>
              <w:right w:val="nil"/>
            </w:tcBorders>
            <w:vAlign w:val="bottom"/>
          </w:tcPr>
          <w:p w14:paraId="5FB81122" w14:textId="77777777" w:rsidR="00462160" w:rsidRPr="005E78A8" w:rsidRDefault="00462160" w:rsidP="005E78A8">
            <w:pPr>
              <w:rPr>
                <w:rFonts w:ascii="Arial" w:hAnsi="Arial" w:cs="Arial"/>
                <w:color w:val="000000"/>
              </w:rPr>
            </w:pPr>
            <w:r w:rsidRPr="005E78A8">
              <w:rPr>
                <w:rFonts w:ascii="Arial" w:hAnsi="Arial" w:cs="Arial"/>
                <w:color w:val="000000"/>
              </w:rPr>
              <w:t>≥5</w:t>
            </w:r>
          </w:p>
        </w:tc>
        <w:tc>
          <w:tcPr>
            <w:tcW w:w="1419" w:type="dxa"/>
            <w:gridSpan w:val="2"/>
            <w:tcBorders>
              <w:top w:val="nil"/>
              <w:left w:val="nil"/>
              <w:bottom w:val="nil"/>
            </w:tcBorders>
            <w:vAlign w:val="bottom"/>
          </w:tcPr>
          <w:p w14:paraId="3376348C" w14:textId="77777777" w:rsidR="00462160" w:rsidRPr="005E78A8" w:rsidRDefault="00462160" w:rsidP="005E78A8">
            <w:pPr>
              <w:rPr>
                <w:rFonts w:ascii="Arial" w:hAnsi="Arial" w:cs="Arial"/>
                <w:color w:val="000000"/>
              </w:rPr>
            </w:pPr>
            <w:r w:rsidRPr="005E78A8">
              <w:rPr>
                <w:rFonts w:ascii="Arial" w:hAnsi="Arial" w:cs="Arial"/>
                <w:color w:val="000000"/>
              </w:rPr>
              <w:t>≥5</w:t>
            </w:r>
          </w:p>
        </w:tc>
      </w:tr>
      <w:tr w:rsidR="00462160" w:rsidRPr="005E78A8" w14:paraId="388AF7E4" w14:textId="77777777" w:rsidTr="00783C28">
        <w:tc>
          <w:tcPr>
            <w:tcW w:w="3969" w:type="dxa"/>
            <w:tcBorders>
              <w:top w:val="nil"/>
              <w:bottom w:val="nil"/>
              <w:right w:val="nil"/>
            </w:tcBorders>
            <w:vAlign w:val="bottom"/>
          </w:tcPr>
          <w:p w14:paraId="718D1A2F" w14:textId="77777777" w:rsidR="00462160" w:rsidRPr="005E78A8" w:rsidRDefault="00462160" w:rsidP="005E78A8">
            <w:pPr>
              <w:pStyle w:val="TableParagraph"/>
              <w:spacing w:before="2"/>
              <w:ind w:left="601"/>
              <w:rPr>
                <w:rFonts w:ascii="Arial" w:hAnsi="Arial" w:cs="Arial"/>
                <w:b/>
                <w:sz w:val="20"/>
                <w:szCs w:val="20"/>
              </w:rPr>
            </w:pPr>
            <w:r w:rsidRPr="005E78A8">
              <w:rPr>
                <w:rFonts w:ascii="Arial" w:hAnsi="Arial" w:cs="Arial"/>
                <w:b/>
                <w:sz w:val="20"/>
                <w:szCs w:val="20"/>
              </w:rPr>
              <w:t xml:space="preserve">BOD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4D326958" w14:textId="77777777" w:rsidR="00462160" w:rsidRPr="005E78A8" w:rsidRDefault="00462160" w:rsidP="005E78A8">
            <w:pPr>
              <w:jc w:val="center"/>
              <w:rPr>
                <w:rFonts w:ascii="Arial" w:hAnsi="Arial" w:cs="Arial"/>
              </w:rPr>
            </w:pPr>
            <w:r w:rsidRPr="005E78A8">
              <w:rPr>
                <w:rFonts w:ascii="Arial" w:hAnsi="Arial" w:cs="Arial"/>
                <w:color w:val="010205"/>
              </w:rPr>
              <w:t>0.550</w:t>
            </w:r>
            <w:r w:rsidRPr="005E78A8">
              <w:rPr>
                <w:rFonts w:ascii="Arial" w:hAnsi="Arial" w:cs="Arial"/>
              </w:rPr>
              <w:t>±0</w:t>
            </w:r>
            <w:r w:rsidRPr="005E78A8">
              <w:rPr>
                <w:rFonts w:ascii="Arial" w:hAnsi="Arial" w:cs="Arial"/>
                <w:color w:val="010205"/>
              </w:rPr>
              <w:t xml:space="preserve"> .450</w:t>
            </w:r>
          </w:p>
        </w:tc>
        <w:tc>
          <w:tcPr>
            <w:tcW w:w="1985" w:type="dxa"/>
            <w:tcBorders>
              <w:top w:val="nil"/>
              <w:left w:val="nil"/>
              <w:bottom w:val="nil"/>
              <w:right w:val="nil"/>
            </w:tcBorders>
            <w:vAlign w:val="bottom"/>
          </w:tcPr>
          <w:p w14:paraId="220040F1" w14:textId="77777777" w:rsidR="00462160" w:rsidRPr="005E78A8" w:rsidRDefault="00462160" w:rsidP="005E78A8">
            <w:pPr>
              <w:jc w:val="center"/>
              <w:rPr>
                <w:rFonts w:ascii="Arial" w:hAnsi="Arial" w:cs="Arial"/>
              </w:rPr>
            </w:pPr>
            <w:r w:rsidRPr="005E78A8">
              <w:rPr>
                <w:rFonts w:ascii="Arial" w:hAnsi="Arial" w:cs="Arial"/>
                <w:color w:val="010205"/>
              </w:rPr>
              <w:t xml:space="preserve">1.405 </w:t>
            </w:r>
            <w:r w:rsidRPr="005E78A8">
              <w:rPr>
                <w:rFonts w:ascii="Arial" w:hAnsi="Arial" w:cs="Arial"/>
              </w:rPr>
              <w:t>±</w:t>
            </w:r>
            <w:r w:rsidRPr="005E78A8">
              <w:rPr>
                <w:rFonts w:ascii="Arial" w:hAnsi="Arial" w:cs="Arial"/>
                <w:color w:val="010205"/>
              </w:rPr>
              <w:t>1.195</w:t>
            </w:r>
          </w:p>
        </w:tc>
        <w:tc>
          <w:tcPr>
            <w:tcW w:w="1842" w:type="dxa"/>
            <w:tcBorders>
              <w:top w:val="nil"/>
              <w:left w:val="nil"/>
              <w:bottom w:val="nil"/>
              <w:right w:val="nil"/>
            </w:tcBorders>
            <w:vAlign w:val="bottom"/>
          </w:tcPr>
          <w:p w14:paraId="7EC82D92" w14:textId="77777777"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1.650</w:t>
            </w:r>
          </w:p>
        </w:tc>
        <w:tc>
          <w:tcPr>
            <w:tcW w:w="1843" w:type="dxa"/>
            <w:tcBorders>
              <w:top w:val="nil"/>
              <w:left w:val="nil"/>
              <w:bottom w:val="nil"/>
              <w:right w:val="nil"/>
            </w:tcBorders>
            <w:vAlign w:val="bottom"/>
          </w:tcPr>
          <w:p w14:paraId="608939F1" w14:textId="77777777" w:rsidR="00462160" w:rsidRPr="005E78A8" w:rsidRDefault="00462160" w:rsidP="005E78A8">
            <w:pPr>
              <w:jc w:val="center"/>
              <w:rPr>
                <w:rFonts w:ascii="Arial" w:hAnsi="Arial" w:cs="Arial"/>
              </w:rPr>
            </w:pPr>
            <w:r w:rsidRPr="005E78A8">
              <w:rPr>
                <w:rFonts w:ascii="Arial" w:hAnsi="Arial" w:cs="Arial"/>
                <w:color w:val="010205"/>
              </w:rPr>
              <w:t>2.205</w:t>
            </w:r>
            <w:r w:rsidRPr="005E78A8">
              <w:rPr>
                <w:rFonts w:ascii="Arial" w:hAnsi="Arial" w:cs="Arial"/>
              </w:rPr>
              <w:t>±</w:t>
            </w:r>
            <w:r w:rsidRPr="005E78A8">
              <w:rPr>
                <w:rFonts w:ascii="Arial" w:hAnsi="Arial" w:cs="Arial"/>
                <w:color w:val="010205"/>
              </w:rPr>
              <w:t>1.995</w:t>
            </w:r>
          </w:p>
        </w:tc>
        <w:tc>
          <w:tcPr>
            <w:tcW w:w="1987" w:type="dxa"/>
            <w:tcBorders>
              <w:top w:val="nil"/>
              <w:left w:val="nil"/>
              <w:bottom w:val="nil"/>
              <w:right w:val="nil"/>
            </w:tcBorders>
            <w:vAlign w:val="bottom"/>
          </w:tcPr>
          <w:p w14:paraId="0B80AECB" w14:textId="77777777" w:rsidR="00462160" w:rsidRPr="005E78A8" w:rsidRDefault="00462160" w:rsidP="005E78A8">
            <w:pPr>
              <w:rPr>
                <w:rFonts w:ascii="Arial" w:hAnsi="Arial" w:cs="Arial"/>
                <w:color w:val="000000"/>
              </w:rPr>
            </w:pPr>
            <w:r w:rsidRPr="005E78A8">
              <w:rPr>
                <w:rFonts w:ascii="Arial" w:hAnsi="Arial" w:cs="Arial"/>
                <w:color w:val="000000"/>
              </w:rPr>
              <w:t>≤3</w:t>
            </w:r>
          </w:p>
        </w:tc>
        <w:tc>
          <w:tcPr>
            <w:tcW w:w="1419" w:type="dxa"/>
            <w:gridSpan w:val="2"/>
            <w:tcBorders>
              <w:top w:val="nil"/>
              <w:left w:val="nil"/>
              <w:bottom w:val="nil"/>
            </w:tcBorders>
            <w:vAlign w:val="bottom"/>
          </w:tcPr>
          <w:p w14:paraId="62BE45DC" w14:textId="77777777" w:rsidR="00462160" w:rsidRPr="005E78A8" w:rsidRDefault="00462160" w:rsidP="005E78A8">
            <w:pPr>
              <w:rPr>
                <w:rFonts w:ascii="Arial" w:hAnsi="Arial" w:cs="Arial"/>
                <w:color w:val="000000"/>
              </w:rPr>
            </w:pPr>
            <w:r w:rsidRPr="005E78A8">
              <w:rPr>
                <w:rFonts w:ascii="Arial" w:hAnsi="Arial" w:cs="Arial"/>
                <w:color w:val="000000"/>
              </w:rPr>
              <w:t>≤3</w:t>
            </w:r>
          </w:p>
        </w:tc>
      </w:tr>
      <w:tr w:rsidR="00462160" w:rsidRPr="005E78A8" w14:paraId="75D80C0C" w14:textId="77777777" w:rsidTr="00783C28">
        <w:tc>
          <w:tcPr>
            <w:tcW w:w="3969" w:type="dxa"/>
            <w:tcBorders>
              <w:top w:val="nil"/>
              <w:bottom w:val="nil"/>
              <w:right w:val="nil"/>
            </w:tcBorders>
            <w:vAlign w:val="bottom"/>
          </w:tcPr>
          <w:p w14:paraId="4654C00B"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color w:val="111111"/>
                <w:sz w:val="20"/>
                <w:szCs w:val="20"/>
              </w:rPr>
              <w:t xml:space="preserve">Magnesium Carbonate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3C583426"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0.250</w:t>
            </w:r>
            <w:r w:rsidRPr="005E78A8">
              <w:rPr>
                <w:rFonts w:ascii="Arial" w:hAnsi="Arial" w:cs="Arial"/>
                <w:sz w:val="20"/>
                <w:szCs w:val="20"/>
              </w:rPr>
              <w:t>±</w:t>
            </w:r>
            <w:r w:rsidRPr="005E78A8">
              <w:rPr>
                <w:rFonts w:ascii="Arial" w:hAnsi="Arial" w:cs="Arial"/>
                <w:color w:val="010205"/>
                <w:sz w:val="20"/>
                <w:szCs w:val="20"/>
              </w:rPr>
              <w:t>0.050</w:t>
            </w:r>
          </w:p>
        </w:tc>
        <w:tc>
          <w:tcPr>
            <w:tcW w:w="1985" w:type="dxa"/>
            <w:tcBorders>
              <w:top w:val="nil"/>
              <w:left w:val="nil"/>
              <w:bottom w:val="nil"/>
              <w:right w:val="nil"/>
            </w:tcBorders>
            <w:vAlign w:val="bottom"/>
          </w:tcPr>
          <w:p w14:paraId="1ED55A97" w14:textId="77777777" w:rsidR="00462160" w:rsidRPr="005E78A8" w:rsidRDefault="00462160" w:rsidP="005E78A8">
            <w:pPr>
              <w:jc w:val="center"/>
              <w:rPr>
                <w:rFonts w:ascii="Arial" w:hAnsi="Arial" w:cs="Arial"/>
              </w:rPr>
            </w:pPr>
            <w:r w:rsidRPr="005E78A8">
              <w:rPr>
                <w:rFonts w:ascii="Arial" w:hAnsi="Arial" w:cs="Arial"/>
                <w:color w:val="010205"/>
              </w:rPr>
              <w:t>0.300</w:t>
            </w:r>
            <w:r w:rsidRPr="005E78A8">
              <w:rPr>
                <w:rFonts w:ascii="Arial" w:hAnsi="Arial" w:cs="Arial"/>
              </w:rPr>
              <w:t>±0</w:t>
            </w:r>
            <w:r w:rsidRPr="005E78A8">
              <w:rPr>
                <w:rFonts w:ascii="Arial" w:hAnsi="Arial" w:cs="Arial"/>
                <w:color w:val="010205"/>
              </w:rPr>
              <w:t xml:space="preserve"> .260</w:t>
            </w:r>
          </w:p>
        </w:tc>
        <w:tc>
          <w:tcPr>
            <w:tcW w:w="1842" w:type="dxa"/>
            <w:tcBorders>
              <w:top w:val="nil"/>
              <w:left w:val="nil"/>
              <w:bottom w:val="nil"/>
              <w:right w:val="nil"/>
            </w:tcBorders>
            <w:vAlign w:val="bottom"/>
          </w:tcPr>
          <w:p w14:paraId="7A0122F3" w14:textId="77777777" w:rsidR="00462160" w:rsidRPr="005E78A8" w:rsidRDefault="00462160" w:rsidP="005E78A8">
            <w:pPr>
              <w:jc w:val="center"/>
              <w:rPr>
                <w:rFonts w:ascii="Arial" w:hAnsi="Arial" w:cs="Arial"/>
              </w:rPr>
            </w:pPr>
            <w:r w:rsidRPr="005E78A8">
              <w:rPr>
                <w:rFonts w:ascii="Arial" w:hAnsi="Arial" w:cs="Arial"/>
                <w:color w:val="010205"/>
              </w:rPr>
              <w:t>0.890</w:t>
            </w:r>
            <w:r w:rsidRPr="005E78A8">
              <w:rPr>
                <w:rFonts w:ascii="Arial" w:hAnsi="Arial" w:cs="Arial"/>
              </w:rPr>
              <w:t>±0</w:t>
            </w:r>
            <w:r w:rsidRPr="005E78A8">
              <w:rPr>
                <w:rFonts w:ascii="Arial" w:hAnsi="Arial" w:cs="Arial"/>
                <w:color w:val="010205"/>
              </w:rPr>
              <w:t>.010</w:t>
            </w:r>
          </w:p>
        </w:tc>
        <w:tc>
          <w:tcPr>
            <w:tcW w:w="1843" w:type="dxa"/>
            <w:tcBorders>
              <w:top w:val="nil"/>
              <w:left w:val="nil"/>
              <w:bottom w:val="nil"/>
              <w:right w:val="nil"/>
            </w:tcBorders>
            <w:vAlign w:val="bottom"/>
          </w:tcPr>
          <w:p w14:paraId="18A6CB27" w14:textId="77777777" w:rsidR="00462160" w:rsidRPr="005E78A8" w:rsidRDefault="00462160" w:rsidP="005E78A8">
            <w:pPr>
              <w:jc w:val="center"/>
              <w:rPr>
                <w:rFonts w:ascii="Arial" w:hAnsi="Arial" w:cs="Arial"/>
              </w:rPr>
            </w:pPr>
            <w:r w:rsidRPr="005E78A8">
              <w:rPr>
                <w:rFonts w:ascii="Arial" w:hAnsi="Arial" w:cs="Arial"/>
                <w:color w:val="010205"/>
              </w:rPr>
              <w:t>1.975</w:t>
            </w:r>
            <w:r w:rsidRPr="005E78A8">
              <w:rPr>
                <w:rFonts w:ascii="Arial" w:hAnsi="Arial" w:cs="Arial"/>
              </w:rPr>
              <w:t>±</w:t>
            </w:r>
            <w:r w:rsidRPr="005E78A8">
              <w:rPr>
                <w:rFonts w:ascii="Arial" w:hAnsi="Arial" w:cs="Arial"/>
                <w:color w:val="010205"/>
              </w:rPr>
              <w:t>1.425</w:t>
            </w:r>
          </w:p>
        </w:tc>
        <w:tc>
          <w:tcPr>
            <w:tcW w:w="1987" w:type="dxa"/>
            <w:tcBorders>
              <w:top w:val="nil"/>
              <w:left w:val="nil"/>
              <w:bottom w:val="nil"/>
              <w:right w:val="nil"/>
            </w:tcBorders>
            <w:vAlign w:val="bottom"/>
          </w:tcPr>
          <w:p w14:paraId="51CC48D8" w14:textId="77777777" w:rsidR="00462160" w:rsidRPr="005E78A8" w:rsidRDefault="00462160" w:rsidP="005E78A8">
            <w:pPr>
              <w:rPr>
                <w:rFonts w:ascii="Arial" w:hAnsi="Arial" w:cs="Arial"/>
                <w:color w:val="000000"/>
              </w:rPr>
            </w:pPr>
            <w:r w:rsidRPr="005E78A8">
              <w:rPr>
                <w:rFonts w:ascii="Arial" w:hAnsi="Arial" w:cs="Arial"/>
                <w:color w:val="000000"/>
              </w:rPr>
              <w:t>-</w:t>
            </w:r>
          </w:p>
        </w:tc>
        <w:tc>
          <w:tcPr>
            <w:tcW w:w="1419" w:type="dxa"/>
            <w:gridSpan w:val="2"/>
            <w:tcBorders>
              <w:top w:val="nil"/>
              <w:left w:val="nil"/>
              <w:bottom w:val="nil"/>
            </w:tcBorders>
            <w:vAlign w:val="bottom"/>
          </w:tcPr>
          <w:p w14:paraId="251370B8"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3B6F12AD" w14:textId="77777777" w:rsidTr="00783C28">
        <w:tc>
          <w:tcPr>
            <w:tcW w:w="3969" w:type="dxa"/>
            <w:tcBorders>
              <w:top w:val="nil"/>
              <w:bottom w:val="nil"/>
              <w:right w:val="nil"/>
            </w:tcBorders>
            <w:vAlign w:val="bottom"/>
          </w:tcPr>
          <w:p w14:paraId="7C5313F4" w14:textId="77777777" w:rsidR="00462160" w:rsidRPr="005E78A8" w:rsidRDefault="00462160" w:rsidP="005E78A8">
            <w:pPr>
              <w:pStyle w:val="TableParagraph"/>
              <w:spacing w:before="2"/>
              <w:ind w:left="601"/>
              <w:rPr>
                <w:rFonts w:ascii="Arial" w:hAnsi="Arial" w:cs="Arial"/>
                <w:b/>
                <w:sz w:val="20"/>
                <w:szCs w:val="20"/>
              </w:rPr>
            </w:pPr>
            <w:r w:rsidRPr="005E78A8">
              <w:rPr>
                <w:rFonts w:ascii="Arial" w:hAnsi="Arial" w:cs="Arial"/>
                <w:b/>
                <w:sz w:val="20"/>
                <w:szCs w:val="20"/>
              </w:rPr>
              <w:t xml:space="preserve">Calcium </w:t>
            </w:r>
            <w:r w:rsidRPr="005E78A8">
              <w:rPr>
                <w:rFonts w:ascii="Arial" w:hAnsi="Arial" w:cs="Arial"/>
                <w:b/>
                <w:color w:val="111111"/>
                <w:sz w:val="20"/>
                <w:szCs w:val="20"/>
              </w:rPr>
              <w:t xml:space="preserve">Carbonate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1A31718D" w14:textId="77777777" w:rsidR="00462160" w:rsidRPr="005E78A8" w:rsidRDefault="00462160" w:rsidP="005E78A8">
            <w:pPr>
              <w:pStyle w:val="TableParagraph"/>
              <w:spacing w:before="2"/>
              <w:ind w:left="105"/>
              <w:jc w:val="center"/>
              <w:rPr>
                <w:rFonts w:ascii="Arial" w:hAnsi="Arial" w:cs="Arial"/>
                <w:sz w:val="20"/>
                <w:szCs w:val="20"/>
              </w:rPr>
            </w:pPr>
            <w:r w:rsidRPr="005E78A8">
              <w:rPr>
                <w:rFonts w:ascii="Arial" w:hAnsi="Arial" w:cs="Arial"/>
                <w:color w:val="010205"/>
                <w:sz w:val="20"/>
                <w:szCs w:val="20"/>
              </w:rPr>
              <w:t>1.250</w:t>
            </w:r>
            <w:r w:rsidRPr="005E78A8">
              <w:rPr>
                <w:rFonts w:ascii="Arial" w:hAnsi="Arial" w:cs="Arial"/>
                <w:sz w:val="20"/>
                <w:szCs w:val="20"/>
              </w:rPr>
              <w:t>±</w:t>
            </w:r>
            <w:r w:rsidRPr="005E78A8">
              <w:rPr>
                <w:rFonts w:ascii="Arial" w:hAnsi="Arial" w:cs="Arial"/>
                <w:color w:val="010205"/>
                <w:sz w:val="20"/>
                <w:szCs w:val="20"/>
              </w:rPr>
              <w:t>1.250</w:t>
            </w:r>
          </w:p>
        </w:tc>
        <w:tc>
          <w:tcPr>
            <w:tcW w:w="1985" w:type="dxa"/>
            <w:tcBorders>
              <w:top w:val="nil"/>
              <w:left w:val="nil"/>
              <w:bottom w:val="nil"/>
              <w:right w:val="nil"/>
            </w:tcBorders>
            <w:vAlign w:val="bottom"/>
          </w:tcPr>
          <w:p w14:paraId="75DDF613" w14:textId="77777777" w:rsidR="00462160" w:rsidRPr="005E78A8" w:rsidRDefault="00462160" w:rsidP="005E78A8">
            <w:pPr>
              <w:jc w:val="center"/>
              <w:rPr>
                <w:rFonts w:ascii="Arial" w:hAnsi="Arial" w:cs="Arial"/>
              </w:rPr>
            </w:pPr>
            <w:r w:rsidRPr="005E78A8">
              <w:rPr>
                <w:rFonts w:ascii="Arial" w:hAnsi="Arial" w:cs="Arial"/>
                <w:color w:val="010205"/>
              </w:rPr>
              <w:t xml:space="preserve">1.350 </w:t>
            </w:r>
            <w:r w:rsidRPr="005E78A8">
              <w:rPr>
                <w:rFonts w:ascii="Arial" w:hAnsi="Arial" w:cs="Arial"/>
              </w:rPr>
              <w:t>±</w:t>
            </w:r>
            <w:r w:rsidRPr="005E78A8">
              <w:rPr>
                <w:rFonts w:ascii="Arial" w:hAnsi="Arial" w:cs="Arial"/>
                <w:color w:val="010205"/>
              </w:rPr>
              <w:t xml:space="preserve"> 1.350</w:t>
            </w:r>
          </w:p>
        </w:tc>
        <w:tc>
          <w:tcPr>
            <w:tcW w:w="1842" w:type="dxa"/>
            <w:tcBorders>
              <w:top w:val="nil"/>
              <w:left w:val="nil"/>
              <w:bottom w:val="nil"/>
              <w:right w:val="nil"/>
            </w:tcBorders>
            <w:vAlign w:val="bottom"/>
          </w:tcPr>
          <w:p w14:paraId="5F363E85" w14:textId="77777777" w:rsidR="00462160" w:rsidRPr="005E78A8" w:rsidRDefault="00462160" w:rsidP="005E78A8">
            <w:pPr>
              <w:jc w:val="center"/>
              <w:rPr>
                <w:rFonts w:ascii="Arial" w:hAnsi="Arial" w:cs="Arial"/>
              </w:rPr>
            </w:pPr>
            <w:r w:rsidRPr="005E78A8">
              <w:rPr>
                <w:rFonts w:ascii="Arial" w:hAnsi="Arial" w:cs="Arial"/>
                <w:color w:val="010205"/>
              </w:rPr>
              <w:t>1.100</w:t>
            </w:r>
            <w:r w:rsidRPr="005E78A8">
              <w:rPr>
                <w:rFonts w:ascii="Arial" w:hAnsi="Arial" w:cs="Arial"/>
              </w:rPr>
              <w:t>±</w:t>
            </w:r>
            <w:r w:rsidRPr="005E78A8">
              <w:rPr>
                <w:rFonts w:ascii="Arial" w:hAnsi="Arial" w:cs="Arial"/>
                <w:color w:val="010205"/>
              </w:rPr>
              <w:t>1.100</w:t>
            </w:r>
          </w:p>
        </w:tc>
        <w:tc>
          <w:tcPr>
            <w:tcW w:w="1843" w:type="dxa"/>
            <w:tcBorders>
              <w:top w:val="nil"/>
              <w:left w:val="nil"/>
              <w:bottom w:val="nil"/>
              <w:right w:val="nil"/>
            </w:tcBorders>
            <w:vAlign w:val="bottom"/>
          </w:tcPr>
          <w:p w14:paraId="3F096BD4" w14:textId="77777777" w:rsidR="00462160" w:rsidRPr="005E78A8" w:rsidRDefault="00462160" w:rsidP="005E78A8">
            <w:pPr>
              <w:jc w:val="center"/>
              <w:rPr>
                <w:rFonts w:ascii="Arial" w:hAnsi="Arial" w:cs="Arial"/>
              </w:rPr>
            </w:pPr>
            <w:r w:rsidRPr="005E78A8">
              <w:rPr>
                <w:rFonts w:ascii="Arial" w:hAnsi="Arial" w:cs="Arial"/>
                <w:color w:val="010205"/>
              </w:rPr>
              <w:t>2.350</w:t>
            </w:r>
            <w:r w:rsidRPr="005E78A8">
              <w:rPr>
                <w:rFonts w:ascii="Arial" w:hAnsi="Arial" w:cs="Arial"/>
              </w:rPr>
              <w:t>±</w:t>
            </w:r>
            <w:r w:rsidRPr="005E78A8">
              <w:rPr>
                <w:rFonts w:ascii="Arial" w:hAnsi="Arial" w:cs="Arial"/>
                <w:color w:val="010205"/>
              </w:rPr>
              <w:t>2.350</w:t>
            </w:r>
          </w:p>
        </w:tc>
        <w:tc>
          <w:tcPr>
            <w:tcW w:w="1987" w:type="dxa"/>
            <w:tcBorders>
              <w:top w:val="nil"/>
              <w:left w:val="nil"/>
              <w:bottom w:val="nil"/>
              <w:right w:val="nil"/>
            </w:tcBorders>
            <w:vAlign w:val="bottom"/>
          </w:tcPr>
          <w:p w14:paraId="677A72FD" w14:textId="77777777" w:rsidR="00462160" w:rsidRPr="005E78A8" w:rsidRDefault="00462160" w:rsidP="005E78A8">
            <w:pPr>
              <w:rPr>
                <w:rFonts w:ascii="Arial" w:hAnsi="Arial" w:cs="Arial"/>
                <w:color w:val="000000"/>
              </w:rPr>
            </w:pPr>
            <w:r w:rsidRPr="005E78A8">
              <w:rPr>
                <w:rFonts w:ascii="Arial" w:hAnsi="Arial" w:cs="Arial"/>
                <w:color w:val="000000"/>
              </w:rPr>
              <w:t>≤100</w:t>
            </w:r>
          </w:p>
        </w:tc>
        <w:tc>
          <w:tcPr>
            <w:tcW w:w="1419" w:type="dxa"/>
            <w:gridSpan w:val="2"/>
            <w:tcBorders>
              <w:top w:val="nil"/>
              <w:left w:val="nil"/>
              <w:bottom w:val="nil"/>
            </w:tcBorders>
            <w:vAlign w:val="bottom"/>
          </w:tcPr>
          <w:p w14:paraId="5F9A3EFB" w14:textId="77777777" w:rsidR="00462160" w:rsidRPr="005E78A8" w:rsidRDefault="00462160" w:rsidP="005E78A8">
            <w:pPr>
              <w:rPr>
                <w:rFonts w:ascii="Arial" w:hAnsi="Arial" w:cs="Arial"/>
                <w:color w:val="000000"/>
              </w:rPr>
            </w:pPr>
            <w:r w:rsidRPr="005E78A8">
              <w:rPr>
                <w:rFonts w:ascii="Arial" w:hAnsi="Arial" w:cs="Arial"/>
                <w:color w:val="000000"/>
              </w:rPr>
              <w:t>≤100</w:t>
            </w:r>
          </w:p>
        </w:tc>
      </w:tr>
      <w:tr w:rsidR="00462160" w:rsidRPr="005E78A8" w14:paraId="1490CAAA" w14:textId="77777777" w:rsidTr="00783C28">
        <w:tc>
          <w:tcPr>
            <w:tcW w:w="3969" w:type="dxa"/>
            <w:tcBorders>
              <w:top w:val="nil"/>
              <w:bottom w:val="nil"/>
              <w:right w:val="nil"/>
            </w:tcBorders>
            <w:vAlign w:val="bottom"/>
          </w:tcPr>
          <w:p w14:paraId="2F2C5B7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Nitrate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53BE2EFC" w14:textId="77777777" w:rsidR="00462160" w:rsidRPr="005E78A8" w:rsidRDefault="00462160" w:rsidP="005E78A8">
            <w:pPr>
              <w:pStyle w:val="TableParagraph"/>
              <w:spacing w:line="230" w:lineRule="exact"/>
              <w:ind w:left="112" w:right="33"/>
              <w:jc w:val="center"/>
              <w:rPr>
                <w:rFonts w:ascii="Arial" w:hAnsi="Arial" w:cs="Arial"/>
                <w:b/>
                <w:sz w:val="20"/>
                <w:szCs w:val="20"/>
              </w:rPr>
            </w:pPr>
            <w:r w:rsidRPr="005E78A8">
              <w:rPr>
                <w:rFonts w:ascii="Arial" w:hAnsi="Arial" w:cs="Arial"/>
                <w:color w:val="010205"/>
                <w:sz w:val="20"/>
                <w:szCs w:val="20"/>
              </w:rPr>
              <w:t>81.420</w:t>
            </w:r>
            <w:r w:rsidRPr="005E78A8">
              <w:rPr>
                <w:rFonts w:ascii="Arial" w:hAnsi="Arial" w:cs="Arial"/>
                <w:sz w:val="20"/>
                <w:szCs w:val="20"/>
              </w:rPr>
              <w:t>±</w:t>
            </w:r>
            <w:r w:rsidRPr="005E78A8">
              <w:rPr>
                <w:rFonts w:ascii="Arial" w:hAnsi="Arial" w:cs="Arial"/>
                <w:color w:val="010205"/>
                <w:sz w:val="20"/>
                <w:szCs w:val="20"/>
              </w:rPr>
              <w:t>51.32</w:t>
            </w:r>
          </w:p>
        </w:tc>
        <w:tc>
          <w:tcPr>
            <w:tcW w:w="1985" w:type="dxa"/>
            <w:tcBorders>
              <w:top w:val="nil"/>
              <w:left w:val="nil"/>
              <w:bottom w:val="nil"/>
              <w:right w:val="nil"/>
            </w:tcBorders>
            <w:vAlign w:val="bottom"/>
          </w:tcPr>
          <w:p w14:paraId="421D6751"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104.885</w:t>
            </w:r>
            <w:r w:rsidRPr="005E78A8">
              <w:rPr>
                <w:rFonts w:ascii="Arial" w:hAnsi="Arial" w:cs="Arial"/>
                <w:sz w:val="20"/>
                <w:szCs w:val="20"/>
              </w:rPr>
              <w:t>±</w:t>
            </w:r>
            <w:r w:rsidRPr="005E78A8">
              <w:rPr>
                <w:rFonts w:ascii="Arial" w:hAnsi="Arial" w:cs="Arial"/>
                <w:color w:val="010205"/>
                <w:sz w:val="20"/>
                <w:szCs w:val="20"/>
              </w:rPr>
              <w:t>76.53</w:t>
            </w:r>
          </w:p>
        </w:tc>
        <w:tc>
          <w:tcPr>
            <w:tcW w:w="1842" w:type="dxa"/>
            <w:tcBorders>
              <w:top w:val="nil"/>
              <w:left w:val="nil"/>
              <w:bottom w:val="nil"/>
              <w:right w:val="nil"/>
            </w:tcBorders>
            <w:vAlign w:val="bottom"/>
          </w:tcPr>
          <w:p w14:paraId="7D116C3C" w14:textId="77777777" w:rsidR="00462160" w:rsidRPr="005E78A8" w:rsidRDefault="00462160" w:rsidP="005E78A8">
            <w:pPr>
              <w:jc w:val="center"/>
              <w:rPr>
                <w:rFonts w:ascii="Arial" w:hAnsi="Arial" w:cs="Arial"/>
              </w:rPr>
            </w:pPr>
            <w:r w:rsidRPr="005E78A8">
              <w:rPr>
                <w:rFonts w:ascii="Arial" w:hAnsi="Arial" w:cs="Arial"/>
                <w:color w:val="010205"/>
              </w:rPr>
              <w:t>88.220</w:t>
            </w:r>
            <w:r w:rsidRPr="005E78A8">
              <w:rPr>
                <w:rFonts w:ascii="Arial" w:hAnsi="Arial" w:cs="Arial"/>
              </w:rPr>
              <w:t>±</w:t>
            </w:r>
            <w:r w:rsidRPr="005E78A8">
              <w:rPr>
                <w:rFonts w:ascii="Arial" w:hAnsi="Arial" w:cs="Arial"/>
                <w:color w:val="010205"/>
              </w:rPr>
              <w:t>62.22</w:t>
            </w:r>
          </w:p>
        </w:tc>
        <w:tc>
          <w:tcPr>
            <w:tcW w:w="1843" w:type="dxa"/>
            <w:tcBorders>
              <w:top w:val="nil"/>
              <w:left w:val="nil"/>
              <w:bottom w:val="nil"/>
              <w:right w:val="nil"/>
            </w:tcBorders>
            <w:vAlign w:val="bottom"/>
          </w:tcPr>
          <w:p w14:paraId="20722386" w14:textId="77777777" w:rsidR="00462160" w:rsidRPr="005E78A8" w:rsidRDefault="00462160" w:rsidP="005E78A8">
            <w:pPr>
              <w:jc w:val="center"/>
              <w:rPr>
                <w:rFonts w:ascii="Arial" w:hAnsi="Arial" w:cs="Arial"/>
              </w:rPr>
            </w:pPr>
            <w:r w:rsidRPr="005E78A8">
              <w:rPr>
                <w:rFonts w:ascii="Arial" w:hAnsi="Arial" w:cs="Arial"/>
                <w:color w:val="010205"/>
              </w:rPr>
              <w:t>84.295</w:t>
            </w:r>
            <w:r w:rsidRPr="005E78A8">
              <w:rPr>
                <w:rFonts w:ascii="Arial" w:hAnsi="Arial" w:cs="Arial"/>
              </w:rPr>
              <w:t>±</w:t>
            </w:r>
            <w:r w:rsidRPr="005E78A8">
              <w:rPr>
                <w:rFonts w:ascii="Arial" w:hAnsi="Arial" w:cs="Arial"/>
                <w:color w:val="010205"/>
              </w:rPr>
              <w:t>57.295</w:t>
            </w:r>
          </w:p>
        </w:tc>
        <w:tc>
          <w:tcPr>
            <w:tcW w:w="1987" w:type="dxa"/>
            <w:tcBorders>
              <w:top w:val="nil"/>
              <w:left w:val="nil"/>
              <w:bottom w:val="nil"/>
              <w:right w:val="nil"/>
            </w:tcBorders>
            <w:vAlign w:val="bottom"/>
          </w:tcPr>
          <w:p w14:paraId="55C98A8B" w14:textId="77777777" w:rsidR="00462160" w:rsidRPr="005E78A8" w:rsidRDefault="00462160" w:rsidP="005E78A8">
            <w:pPr>
              <w:rPr>
                <w:rFonts w:ascii="Arial" w:hAnsi="Arial" w:cs="Arial"/>
                <w:color w:val="000000"/>
              </w:rPr>
            </w:pPr>
            <w:r w:rsidRPr="005E78A8">
              <w:rPr>
                <w:rFonts w:ascii="Arial" w:hAnsi="Arial" w:cs="Arial"/>
                <w:color w:val="000000"/>
              </w:rPr>
              <w:t>≤10</w:t>
            </w:r>
          </w:p>
        </w:tc>
        <w:tc>
          <w:tcPr>
            <w:tcW w:w="1419" w:type="dxa"/>
            <w:gridSpan w:val="2"/>
            <w:tcBorders>
              <w:top w:val="nil"/>
              <w:left w:val="nil"/>
              <w:bottom w:val="nil"/>
            </w:tcBorders>
            <w:vAlign w:val="bottom"/>
          </w:tcPr>
          <w:p w14:paraId="2FD4DF8C" w14:textId="77777777" w:rsidR="00462160" w:rsidRPr="005E78A8" w:rsidRDefault="00462160" w:rsidP="005E78A8">
            <w:pPr>
              <w:rPr>
                <w:rFonts w:ascii="Arial" w:hAnsi="Arial" w:cs="Arial"/>
                <w:color w:val="000000"/>
              </w:rPr>
            </w:pPr>
            <w:r w:rsidRPr="005E78A8">
              <w:rPr>
                <w:rFonts w:ascii="Arial" w:hAnsi="Arial" w:cs="Arial"/>
                <w:color w:val="000000"/>
              </w:rPr>
              <w:t>≤10</w:t>
            </w:r>
          </w:p>
        </w:tc>
      </w:tr>
      <w:tr w:rsidR="00462160" w:rsidRPr="005E78A8" w14:paraId="2E38432D" w14:textId="77777777" w:rsidTr="00783C28">
        <w:tc>
          <w:tcPr>
            <w:tcW w:w="3969" w:type="dxa"/>
            <w:tcBorders>
              <w:top w:val="nil"/>
              <w:bottom w:val="nil"/>
              <w:right w:val="nil"/>
            </w:tcBorders>
            <w:vAlign w:val="bottom"/>
          </w:tcPr>
          <w:p w14:paraId="11BB9634" w14:textId="77777777" w:rsidR="00462160" w:rsidRPr="005E78A8" w:rsidRDefault="00462160" w:rsidP="005E78A8">
            <w:pPr>
              <w:pStyle w:val="TableParagraph"/>
              <w:spacing w:line="230" w:lineRule="exact"/>
              <w:ind w:left="601" w:right="770"/>
              <w:rPr>
                <w:rFonts w:ascii="Arial" w:hAnsi="Arial" w:cs="Arial"/>
                <w:b/>
                <w:sz w:val="20"/>
                <w:szCs w:val="20"/>
              </w:rPr>
            </w:pPr>
            <w:r w:rsidRPr="005E78A8">
              <w:rPr>
                <w:rFonts w:ascii="Arial" w:hAnsi="Arial" w:cs="Arial"/>
                <w:b/>
                <w:spacing w:val="-2"/>
                <w:sz w:val="20"/>
                <w:szCs w:val="20"/>
              </w:rPr>
              <w:t>Phosphate (mg/L)</w:t>
            </w:r>
          </w:p>
        </w:tc>
        <w:tc>
          <w:tcPr>
            <w:tcW w:w="2125" w:type="dxa"/>
            <w:tcBorders>
              <w:top w:val="nil"/>
              <w:left w:val="nil"/>
              <w:bottom w:val="nil"/>
              <w:right w:val="nil"/>
            </w:tcBorders>
            <w:vAlign w:val="bottom"/>
          </w:tcPr>
          <w:p w14:paraId="647E1671" w14:textId="77777777" w:rsidR="00462160" w:rsidRPr="005E78A8" w:rsidRDefault="00462160" w:rsidP="005E78A8">
            <w:pPr>
              <w:pStyle w:val="TableParagraph"/>
              <w:ind w:left="112"/>
              <w:jc w:val="center"/>
              <w:rPr>
                <w:rFonts w:ascii="Arial" w:hAnsi="Arial" w:cs="Arial"/>
                <w:b/>
                <w:sz w:val="20"/>
                <w:szCs w:val="20"/>
              </w:rPr>
            </w:pPr>
            <w:r w:rsidRPr="005E78A8">
              <w:rPr>
                <w:rFonts w:ascii="Arial" w:hAnsi="Arial" w:cs="Arial"/>
                <w:color w:val="010205"/>
                <w:sz w:val="20"/>
                <w:szCs w:val="20"/>
              </w:rPr>
              <w:t xml:space="preserve">0.760 </w:t>
            </w:r>
            <w:r w:rsidRPr="005E78A8">
              <w:rPr>
                <w:rFonts w:ascii="Arial" w:hAnsi="Arial" w:cs="Arial"/>
                <w:sz w:val="20"/>
                <w:szCs w:val="20"/>
              </w:rPr>
              <w:t>±0</w:t>
            </w:r>
            <w:r w:rsidRPr="005E78A8">
              <w:rPr>
                <w:rFonts w:ascii="Arial" w:hAnsi="Arial" w:cs="Arial"/>
                <w:color w:val="010205"/>
                <w:sz w:val="20"/>
                <w:szCs w:val="20"/>
              </w:rPr>
              <w:t>.590</w:t>
            </w:r>
          </w:p>
        </w:tc>
        <w:tc>
          <w:tcPr>
            <w:tcW w:w="1985" w:type="dxa"/>
            <w:tcBorders>
              <w:top w:val="nil"/>
              <w:left w:val="nil"/>
              <w:bottom w:val="nil"/>
              <w:right w:val="nil"/>
            </w:tcBorders>
            <w:vAlign w:val="bottom"/>
          </w:tcPr>
          <w:p w14:paraId="542FC6D0"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1.320</w:t>
            </w:r>
            <w:r w:rsidRPr="005E78A8">
              <w:rPr>
                <w:rFonts w:ascii="Arial" w:hAnsi="Arial" w:cs="Arial"/>
                <w:sz w:val="20"/>
                <w:szCs w:val="20"/>
              </w:rPr>
              <w:t>±0</w:t>
            </w:r>
            <w:r w:rsidRPr="005E78A8">
              <w:rPr>
                <w:rFonts w:ascii="Arial" w:hAnsi="Arial" w:cs="Arial"/>
                <w:color w:val="010205"/>
                <w:sz w:val="20"/>
                <w:szCs w:val="20"/>
              </w:rPr>
              <w:t>.700</w:t>
            </w:r>
          </w:p>
        </w:tc>
        <w:tc>
          <w:tcPr>
            <w:tcW w:w="1842" w:type="dxa"/>
            <w:tcBorders>
              <w:top w:val="nil"/>
              <w:left w:val="nil"/>
              <w:bottom w:val="nil"/>
              <w:right w:val="nil"/>
            </w:tcBorders>
            <w:vAlign w:val="bottom"/>
          </w:tcPr>
          <w:p w14:paraId="47EB0AA1" w14:textId="77777777" w:rsidR="00462160" w:rsidRPr="005E78A8" w:rsidRDefault="00462160" w:rsidP="005E78A8">
            <w:pPr>
              <w:jc w:val="center"/>
              <w:rPr>
                <w:rFonts w:ascii="Arial" w:hAnsi="Arial" w:cs="Arial"/>
              </w:rPr>
            </w:pPr>
            <w:r w:rsidRPr="005E78A8">
              <w:rPr>
                <w:rFonts w:ascii="Arial" w:hAnsi="Arial" w:cs="Arial"/>
                <w:color w:val="010205"/>
              </w:rPr>
              <w:t xml:space="preserve">0.760 </w:t>
            </w:r>
            <w:r w:rsidRPr="005E78A8">
              <w:rPr>
                <w:rFonts w:ascii="Arial" w:hAnsi="Arial" w:cs="Arial"/>
              </w:rPr>
              <w:t>±0</w:t>
            </w:r>
            <w:r w:rsidRPr="005E78A8">
              <w:rPr>
                <w:rFonts w:ascii="Arial" w:hAnsi="Arial" w:cs="Arial"/>
                <w:color w:val="010205"/>
              </w:rPr>
              <w:t>.320</w:t>
            </w:r>
          </w:p>
        </w:tc>
        <w:tc>
          <w:tcPr>
            <w:tcW w:w="1843" w:type="dxa"/>
            <w:tcBorders>
              <w:top w:val="nil"/>
              <w:left w:val="nil"/>
              <w:bottom w:val="nil"/>
              <w:right w:val="nil"/>
            </w:tcBorders>
            <w:vAlign w:val="bottom"/>
          </w:tcPr>
          <w:p w14:paraId="1F03A000" w14:textId="77777777" w:rsidR="00462160" w:rsidRPr="005E78A8" w:rsidRDefault="00462160" w:rsidP="005E78A8">
            <w:pPr>
              <w:jc w:val="center"/>
              <w:rPr>
                <w:rFonts w:ascii="Arial" w:hAnsi="Arial" w:cs="Arial"/>
              </w:rPr>
            </w:pPr>
            <w:r w:rsidRPr="005E78A8">
              <w:rPr>
                <w:rFonts w:ascii="Arial" w:hAnsi="Arial" w:cs="Arial"/>
                <w:color w:val="010205"/>
              </w:rPr>
              <w:t>0.830</w:t>
            </w:r>
            <w:r w:rsidRPr="005E78A8">
              <w:rPr>
                <w:rFonts w:ascii="Arial" w:hAnsi="Arial" w:cs="Arial"/>
              </w:rPr>
              <w:t>±0</w:t>
            </w:r>
            <w:r w:rsidRPr="005E78A8">
              <w:rPr>
                <w:rFonts w:ascii="Arial" w:hAnsi="Arial" w:cs="Arial"/>
                <w:color w:val="010205"/>
              </w:rPr>
              <w:t>.720</w:t>
            </w:r>
          </w:p>
        </w:tc>
        <w:tc>
          <w:tcPr>
            <w:tcW w:w="1987" w:type="dxa"/>
            <w:tcBorders>
              <w:top w:val="nil"/>
              <w:left w:val="nil"/>
              <w:bottom w:val="nil"/>
              <w:right w:val="nil"/>
            </w:tcBorders>
            <w:vAlign w:val="bottom"/>
          </w:tcPr>
          <w:p w14:paraId="691DEDD9" w14:textId="77777777" w:rsidR="00462160" w:rsidRPr="005E78A8" w:rsidRDefault="00462160" w:rsidP="005E78A8">
            <w:pPr>
              <w:rPr>
                <w:rFonts w:ascii="Arial" w:hAnsi="Arial" w:cs="Arial"/>
                <w:color w:val="000000"/>
              </w:rPr>
            </w:pPr>
            <w:r w:rsidRPr="005E78A8">
              <w:rPr>
                <w:rFonts w:ascii="Arial" w:hAnsi="Arial" w:cs="Arial"/>
                <w:color w:val="000000"/>
              </w:rPr>
              <w:t>≤0.5</w:t>
            </w:r>
          </w:p>
        </w:tc>
        <w:tc>
          <w:tcPr>
            <w:tcW w:w="1419" w:type="dxa"/>
            <w:gridSpan w:val="2"/>
            <w:tcBorders>
              <w:top w:val="nil"/>
              <w:left w:val="nil"/>
              <w:bottom w:val="nil"/>
            </w:tcBorders>
            <w:vAlign w:val="bottom"/>
          </w:tcPr>
          <w:p w14:paraId="3C3A9378" w14:textId="77777777" w:rsidR="00462160" w:rsidRPr="005E78A8" w:rsidRDefault="00462160" w:rsidP="005E78A8">
            <w:pPr>
              <w:rPr>
                <w:rFonts w:ascii="Arial" w:hAnsi="Arial" w:cs="Arial"/>
                <w:color w:val="000000"/>
              </w:rPr>
            </w:pPr>
            <w:r w:rsidRPr="005E78A8">
              <w:rPr>
                <w:rFonts w:ascii="Arial" w:hAnsi="Arial" w:cs="Arial"/>
                <w:color w:val="000000"/>
              </w:rPr>
              <w:t>0.03–0.5</w:t>
            </w:r>
          </w:p>
        </w:tc>
      </w:tr>
      <w:tr w:rsidR="00462160" w:rsidRPr="005E78A8" w14:paraId="76A6382F" w14:textId="77777777" w:rsidTr="00783C28">
        <w:tc>
          <w:tcPr>
            <w:tcW w:w="3969" w:type="dxa"/>
            <w:tcBorders>
              <w:top w:val="nil"/>
              <w:bottom w:val="nil"/>
              <w:right w:val="nil"/>
            </w:tcBorders>
            <w:vAlign w:val="bottom"/>
          </w:tcPr>
          <w:p w14:paraId="3F75F45B"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Sulphate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2B2C2D30" w14:textId="77777777" w:rsidR="00462160" w:rsidRPr="005E78A8" w:rsidRDefault="00462160" w:rsidP="005E78A8">
            <w:pPr>
              <w:pStyle w:val="TableParagraph"/>
              <w:spacing w:line="230" w:lineRule="exact"/>
              <w:ind w:left="107" w:right="-108"/>
              <w:jc w:val="center"/>
              <w:rPr>
                <w:rFonts w:ascii="Arial" w:hAnsi="Arial" w:cs="Arial"/>
                <w:b/>
                <w:spacing w:val="-2"/>
                <w:sz w:val="20"/>
                <w:szCs w:val="20"/>
              </w:rPr>
            </w:pPr>
            <w:r w:rsidRPr="005E78A8">
              <w:rPr>
                <w:rFonts w:ascii="Arial" w:hAnsi="Arial" w:cs="Arial"/>
                <w:color w:val="010205"/>
                <w:sz w:val="20"/>
                <w:szCs w:val="20"/>
              </w:rPr>
              <w:t>6.603</w:t>
            </w:r>
            <w:r w:rsidRPr="005E78A8">
              <w:rPr>
                <w:rFonts w:ascii="Arial" w:hAnsi="Arial" w:cs="Arial"/>
                <w:sz w:val="20"/>
                <w:szCs w:val="20"/>
              </w:rPr>
              <w:t>±</w:t>
            </w:r>
            <w:r w:rsidRPr="005E78A8">
              <w:rPr>
                <w:rFonts w:ascii="Arial" w:hAnsi="Arial" w:cs="Arial"/>
                <w:color w:val="010205"/>
                <w:sz w:val="20"/>
                <w:szCs w:val="20"/>
              </w:rPr>
              <w:t>6.397</w:t>
            </w:r>
          </w:p>
        </w:tc>
        <w:tc>
          <w:tcPr>
            <w:tcW w:w="1985" w:type="dxa"/>
            <w:tcBorders>
              <w:top w:val="nil"/>
              <w:left w:val="nil"/>
              <w:bottom w:val="nil"/>
              <w:right w:val="nil"/>
            </w:tcBorders>
            <w:vAlign w:val="bottom"/>
          </w:tcPr>
          <w:p w14:paraId="58CE5404"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 xml:space="preserve">6.884 </w:t>
            </w:r>
            <w:r w:rsidRPr="005E78A8">
              <w:rPr>
                <w:rFonts w:ascii="Arial" w:hAnsi="Arial" w:cs="Arial"/>
                <w:sz w:val="20"/>
                <w:szCs w:val="20"/>
              </w:rPr>
              <w:t>±</w:t>
            </w:r>
            <w:r w:rsidRPr="005E78A8">
              <w:rPr>
                <w:rFonts w:ascii="Arial" w:hAnsi="Arial" w:cs="Arial"/>
                <w:color w:val="010205"/>
                <w:sz w:val="20"/>
                <w:szCs w:val="20"/>
              </w:rPr>
              <w:t>6.786</w:t>
            </w:r>
          </w:p>
        </w:tc>
        <w:tc>
          <w:tcPr>
            <w:tcW w:w="1842" w:type="dxa"/>
            <w:tcBorders>
              <w:top w:val="nil"/>
              <w:left w:val="nil"/>
              <w:bottom w:val="nil"/>
              <w:right w:val="nil"/>
            </w:tcBorders>
            <w:vAlign w:val="bottom"/>
          </w:tcPr>
          <w:p w14:paraId="7E7A0586" w14:textId="77777777" w:rsidR="00462160" w:rsidRPr="005E78A8" w:rsidRDefault="00462160" w:rsidP="005E78A8">
            <w:pPr>
              <w:jc w:val="center"/>
              <w:rPr>
                <w:rFonts w:ascii="Arial" w:hAnsi="Arial" w:cs="Arial"/>
              </w:rPr>
            </w:pPr>
            <w:r w:rsidRPr="005E78A8">
              <w:rPr>
                <w:rFonts w:ascii="Arial" w:hAnsi="Arial" w:cs="Arial"/>
                <w:color w:val="010205"/>
              </w:rPr>
              <w:t>5.110</w:t>
            </w:r>
            <w:r w:rsidRPr="005E78A8">
              <w:rPr>
                <w:rFonts w:ascii="Arial" w:hAnsi="Arial" w:cs="Arial"/>
              </w:rPr>
              <w:t>±</w:t>
            </w:r>
            <w:r w:rsidRPr="005E78A8">
              <w:rPr>
                <w:rFonts w:ascii="Arial" w:hAnsi="Arial" w:cs="Arial"/>
                <w:color w:val="010205"/>
              </w:rPr>
              <w:t xml:space="preserve"> 4.890</w:t>
            </w:r>
          </w:p>
        </w:tc>
        <w:tc>
          <w:tcPr>
            <w:tcW w:w="1843" w:type="dxa"/>
            <w:tcBorders>
              <w:top w:val="nil"/>
              <w:left w:val="nil"/>
              <w:bottom w:val="nil"/>
              <w:right w:val="nil"/>
            </w:tcBorders>
            <w:vAlign w:val="bottom"/>
          </w:tcPr>
          <w:p w14:paraId="2A32F159" w14:textId="77777777" w:rsidR="00462160" w:rsidRPr="005E78A8" w:rsidRDefault="00462160" w:rsidP="005E78A8">
            <w:pPr>
              <w:jc w:val="center"/>
              <w:rPr>
                <w:rFonts w:ascii="Arial" w:hAnsi="Arial" w:cs="Arial"/>
              </w:rPr>
            </w:pPr>
            <w:r w:rsidRPr="005E78A8">
              <w:rPr>
                <w:rFonts w:ascii="Arial" w:hAnsi="Arial" w:cs="Arial"/>
                <w:color w:val="010205"/>
              </w:rPr>
              <w:t>6.533</w:t>
            </w:r>
            <w:r w:rsidRPr="005E78A8">
              <w:rPr>
                <w:rFonts w:ascii="Arial" w:hAnsi="Arial" w:cs="Arial"/>
              </w:rPr>
              <w:t>±</w:t>
            </w:r>
            <w:r w:rsidRPr="005E78A8">
              <w:rPr>
                <w:rFonts w:ascii="Arial" w:hAnsi="Arial" w:cs="Arial"/>
                <w:color w:val="010205"/>
              </w:rPr>
              <w:t>6.466</w:t>
            </w:r>
          </w:p>
        </w:tc>
        <w:tc>
          <w:tcPr>
            <w:tcW w:w="1987" w:type="dxa"/>
            <w:tcBorders>
              <w:top w:val="nil"/>
              <w:left w:val="nil"/>
              <w:bottom w:val="nil"/>
              <w:right w:val="nil"/>
            </w:tcBorders>
            <w:vAlign w:val="bottom"/>
          </w:tcPr>
          <w:p w14:paraId="7F61ACFC" w14:textId="77777777" w:rsidR="00462160" w:rsidRPr="005E78A8" w:rsidRDefault="00462160" w:rsidP="005E78A8">
            <w:pPr>
              <w:rPr>
                <w:rFonts w:ascii="Arial" w:hAnsi="Arial" w:cs="Arial"/>
                <w:color w:val="000000"/>
              </w:rPr>
            </w:pPr>
            <w:r w:rsidRPr="005E78A8">
              <w:rPr>
                <w:rFonts w:ascii="Arial" w:hAnsi="Arial" w:cs="Arial"/>
                <w:color w:val="000000"/>
              </w:rPr>
              <w:t>≤250</w:t>
            </w:r>
          </w:p>
        </w:tc>
        <w:tc>
          <w:tcPr>
            <w:tcW w:w="1419" w:type="dxa"/>
            <w:gridSpan w:val="2"/>
            <w:tcBorders>
              <w:top w:val="nil"/>
              <w:left w:val="nil"/>
              <w:bottom w:val="nil"/>
            </w:tcBorders>
            <w:vAlign w:val="bottom"/>
          </w:tcPr>
          <w:p w14:paraId="61362E97" w14:textId="77777777" w:rsidR="00462160" w:rsidRPr="005E78A8" w:rsidRDefault="00462160" w:rsidP="005E78A8">
            <w:pPr>
              <w:rPr>
                <w:rFonts w:ascii="Arial" w:hAnsi="Arial" w:cs="Arial"/>
                <w:color w:val="000000"/>
              </w:rPr>
            </w:pPr>
            <w:r w:rsidRPr="005E78A8">
              <w:rPr>
                <w:rFonts w:ascii="Arial" w:hAnsi="Arial" w:cs="Arial"/>
                <w:color w:val="000000"/>
              </w:rPr>
              <w:t>≤200</w:t>
            </w:r>
          </w:p>
        </w:tc>
      </w:tr>
      <w:tr w:rsidR="00462160" w:rsidRPr="005E78A8" w14:paraId="3BFAD876" w14:textId="77777777" w:rsidTr="00783C28">
        <w:tc>
          <w:tcPr>
            <w:tcW w:w="3969" w:type="dxa"/>
            <w:tcBorders>
              <w:top w:val="nil"/>
              <w:bottom w:val="nil"/>
              <w:right w:val="nil"/>
            </w:tcBorders>
            <w:vAlign w:val="bottom"/>
          </w:tcPr>
          <w:p w14:paraId="61C66167" w14:textId="77777777" w:rsidR="00462160" w:rsidRPr="005E78A8" w:rsidRDefault="00462160" w:rsidP="005E78A8">
            <w:pPr>
              <w:pStyle w:val="TableParagraph"/>
              <w:spacing w:line="230" w:lineRule="exact"/>
              <w:ind w:left="601" w:right="713"/>
              <w:rPr>
                <w:rFonts w:ascii="Arial" w:hAnsi="Arial" w:cs="Arial"/>
                <w:b/>
                <w:sz w:val="20"/>
                <w:szCs w:val="20"/>
              </w:rPr>
            </w:pPr>
            <w:r w:rsidRPr="005E78A8">
              <w:rPr>
                <w:rFonts w:ascii="Arial" w:hAnsi="Arial" w:cs="Arial"/>
                <w:b/>
                <w:spacing w:val="-2"/>
                <w:sz w:val="20"/>
                <w:szCs w:val="20"/>
              </w:rPr>
              <w:t>Chromium (mg/L)</w:t>
            </w:r>
          </w:p>
        </w:tc>
        <w:tc>
          <w:tcPr>
            <w:tcW w:w="2125" w:type="dxa"/>
            <w:tcBorders>
              <w:top w:val="nil"/>
              <w:left w:val="nil"/>
              <w:bottom w:val="nil"/>
              <w:right w:val="nil"/>
            </w:tcBorders>
            <w:vAlign w:val="bottom"/>
          </w:tcPr>
          <w:p w14:paraId="12938FDA" w14:textId="77777777" w:rsidR="00462160" w:rsidRPr="005E78A8" w:rsidRDefault="00462160" w:rsidP="005E78A8">
            <w:pPr>
              <w:pStyle w:val="TableParagraph"/>
              <w:spacing w:line="230" w:lineRule="exact"/>
              <w:ind w:left="107" w:right="-108"/>
              <w:jc w:val="center"/>
              <w:rPr>
                <w:rFonts w:ascii="Arial" w:hAnsi="Arial" w:cs="Arial"/>
                <w:b/>
                <w:sz w:val="20"/>
                <w:szCs w:val="20"/>
              </w:rPr>
            </w:pPr>
            <w:r w:rsidRPr="005E78A8">
              <w:rPr>
                <w:rFonts w:ascii="Arial" w:hAnsi="Arial" w:cs="Arial"/>
                <w:color w:val="010205"/>
                <w:sz w:val="20"/>
                <w:szCs w:val="20"/>
              </w:rPr>
              <w:t>0.174</w:t>
            </w:r>
            <w:r w:rsidRPr="005E78A8">
              <w:rPr>
                <w:rFonts w:ascii="Arial" w:hAnsi="Arial" w:cs="Arial"/>
                <w:sz w:val="20"/>
                <w:szCs w:val="20"/>
              </w:rPr>
              <w:t>±0</w:t>
            </w:r>
            <w:r w:rsidRPr="005E78A8">
              <w:rPr>
                <w:rFonts w:ascii="Arial" w:hAnsi="Arial" w:cs="Arial"/>
                <w:color w:val="010205"/>
                <w:sz w:val="20"/>
                <w:szCs w:val="20"/>
              </w:rPr>
              <w:t>.128</w:t>
            </w:r>
          </w:p>
        </w:tc>
        <w:tc>
          <w:tcPr>
            <w:tcW w:w="1985" w:type="dxa"/>
            <w:tcBorders>
              <w:top w:val="nil"/>
              <w:left w:val="nil"/>
              <w:bottom w:val="nil"/>
              <w:right w:val="nil"/>
            </w:tcBorders>
            <w:vAlign w:val="bottom"/>
          </w:tcPr>
          <w:p w14:paraId="42025318"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0.061</w:t>
            </w:r>
            <w:r w:rsidRPr="005E78A8">
              <w:rPr>
                <w:rFonts w:ascii="Arial" w:hAnsi="Arial" w:cs="Arial"/>
                <w:sz w:val="20"/>
                <w:szCs w:val="20"/>
              </w:rPr>
              <w:t>±</w:t>
            </w:r>
            <w:r w:rsidRPr="005E78A8">
              <w:rPr>
                <w:rFonts w:ascii="Arial" w:hAnsi="Arial" w:cs="Arial"/>
                <w:color w:val="010205"/>
                <w:sz w:val="20"/>
                <w:szCs w:val="20"/>
              </w:rPr>
              <w:t>0.045</w:t>
            </w:r>
          </w:p>
        </w:tc>
        <w:tc>
          <w:tcPr>
            <w:tcW w:w="1842" w:type="dxa"/>
            <w:tcBorders>
              <w:top w:val="nil"/>
              <w:left w:val="nil"/>
              <w:bottom w:val="nil"/>
              <w:right w:val="nil"/>
            </w:tcBorders>
            <w:vAlign w:val="bottom"/>
          </w:tcPr>
          <w:p w14:paraId="6E3AA2B2" w14:textId="77777777" w:rsidR="00462160" w:rsidRPr="005E78A8" w:rsidRDefault="00462160" w:rsidP="005E78A8">
            <w:pPr>
              <w:jc w:val="center"/>
              <w:rPr>
                <w:rFonts w:ascii="Arial" w:hAnsi="Arial" w:cs="Arial"/>
              </w:rPr>
            </w:pPr>
            <w:r w:rsidRPr="005E78A8">
              <w:rPr>
                <w:rFonts w:ascii="Arial" w:hAnsi="Arial" w:cs="Arial"/>
                <w:color w:val="010205"/>
              </w:rPr>
              <w:t>0.063</w:t>
            </w:r>
            <w:r w:rsidRPr="005E78A8">
              <w:rPr>
                <w:rFonts w:ascii="Arial" w:hAnsi="Arial" w:cs="Arial"/>
              </w:rPr>
              <w:t>±</w:t>
            </w:r>
            <w:r w:rsidRPr="005E78A8">
              <w:rPr>
                <w:rFonts w:ascii="Arial" w:hAnsi="Arial" w:cs="Arial"/>
                <w:color w:val="010205"/>
              </w:rPr>
              <w:t>0.047</w:t>
            </w:r>
          </w:p>
        </w:tc>
        <w:tc>
          <w:tcPr>
            <w:tcW w:w="1843" w:type="dxa"/>
            <w:tcBorders>
              <w:top w:val="nil"/>
              <w:left w:val="nil"/>
              <w:bottom w:val="nil"/>
              <w:right w:val="nil"/>
            </w:tcBorders>
            <w:vAlign w:val="bottom"/>
          </w:tcPr>
          <w:p w14:paraId="5A8084D8" w14:textId="77777777" w:rsidR="00462160" w:rsidRPr="005E78A8" w:rsidRDefault="00462160" w:rsidP="005E78A8">
            <w:pPr>
              <w:jc w:val="center"/>
              <w:rPr>
                <w:rFonts w:ascii="Arial" w:hAnsi="Arial" w:cs="Arial"/>
              </w:rPr>
            </w:pPr>
            <w:r w:rsidRPr="005E78A8">
              <w:rPr>
                <w:rFonts w:ascii="Arial" w:hAnsi="Arial" w:cs="Arial"/>
                <w:color w:val="010205"/>
              </w:rPr>
              <w:t>0.066</w:t>
            </w:r>
            <w:r w:rsidRPr="005E78A8">
              <w:rPr>
                <w:rFonts w:ascii="Arial" w:hAnsi="Arial" w:cs="Arial"/>
              </w:rPr>
              <w:t>±</w:t>
            </w:r>
            <w:r w:rsidRPr="005E78A8">
              <w:rPr>
                <w:rFonts w:ascii="Arial" w:hAnsi="Arial" w:cs="Arial"/>
                <w:color w:val="010205"/>
              </w:rPr>
              <w:t>0.040</w:t>
            </w:r>
          </w:p>
        </w:tc>
        <w:tc>
          <w:tcPr>
            <w:tcW w:w="1987" w:type="dxa"/>
            <w:tcBorders>
              <w:top w:val="nil"/>
              <w:left w:val="nil"/>
              <w:bottom w:val="nil"/>
              <w:right w:val="nil"/>
            </w:tcBorders>
            <w:vAlign w:val="bottom"/>
          </w:tcPr>
          <w:p w14:paraId="0F7527D1" w14:textId="77777777" w:rsidR="00462160" w:rsidRPr="005E78A8" w:rsidRDefault="00462160" w:rsidP="005E78A8">
            <w:pPr>
              <w:rPr>
                <w:rFonts w:ascii="Arial" w:hAnsi="Arial" w:cs="Arial"/>
                <w:color w:val="000000"/>
              </w:rPr>
            </w:pPr>
            <w:r w:rsidRPr="005E78A8">
              <w:rPr>
                <w:rFonts w:ascii="Arial" w:hAnsi="Arial" w:cs="Arial"/>
                <w:color w:val="000000"/>
              </w:rPr>
              <w:t>≤0.05</w:t>
            </w:r>
          </w:p>
        </w:tc>
        <w:tc>
          <w:tcPr>
            <w:tcW w:w="1419" w:type="dxa"/>
            <w:gridSpan w:val="2"/>
            <w:tcBorders>
              <w:top w:val="nil"/>
              <w:left w:val="nil"/>
              <w:bottom w:val="nil"/>
            </w:tcBorders>
            <w:vAlign w:val="bottom"/>
          </w:tcPr>
          <w:p w14:paraId="1C852C22" w14:textId="77777777" w:rsidR="00462160" w:rsidRPr="005E78A8" w:rsidRDefault="00462160" w:rsidP="005E78A8">
            <w:pPr>
              <w:rPr>
                <w:rFonts w:ascii="Arial" w:hAnsi="Arial" w:cs="Arial"/>
                <w:color w:val="000000"/>
              </w:rPr>
            </w:pPr>
            <w:r w:rsidRPr="005E78A8">
              <w:rPr>
                <w:rFonts w:ascii="Arial" w:hAnsi="Arial" w:cs="Arial"/>
                <w:color w:val="000000"/>
              </w:rPr>
              <w:t>≤0.05</w:t>
            </w:r>
          </w:p>
        </w:tc>
      </w:tr>
      <w:tr w:rsidR="00462160" w:rsidRPr="005E78A8" w14:paraId="18A3EEFB" w14:textId="77777777" w:rsidTr="00783C28">
        <w:tc>
          <w:tcPr>
            <w:tcW w:w="3969" w:type="dxa"/>
            <w:tcBorders>
              <w:top w:val="nil"/>
              <w:bottom w:val="nil"/>
              <w:right w:val="nil"/>
            </w:tcBorders>
            <w:vAlign w:val="bottom"/>
          </w:tcPr>
          <w:p w14:paraId="214F04FB" w14:textId="77777777" w:rsidR="00462160" w:rsidRPr="005E78A8" w:rsidRDefault="00462160" w:rsidP="005E78A8">
            <w:pPr>
              <w:pStyle w:val="TableParagraph"/>
              <w:spacing w:line="230" w:lineRule="exact"/>
              <w:ind w:left="601" w:right="693"/>
              <w:rPr>
                <w:rFonts w:ascii="Arial" w:hAnsi="Arial" w:cs="Arial"/>
                <w:b/>
                <w:sz w:val="20"/>
                <w:szCs w:val="20"/>
              </w:rPr>
            </w:pPr>
            <w:r w:rsidRPr="005E78A8">
              <w:rPr>
                <w:rFonts w:ascii="Arial" w:hAnsi="Arial" w:cs="Arial"/>
                <w:b/>
                <w:spacing w:val="-2"/>
                <w:sz w:val="20"/>
                <w:szCs w:val="20"/>
              </w:rPr>
              <w:t>Manganese (mg/L)</w:t>
            </w:r>
          </w:p>
        </w:tc>
        <w:tc>
          <w:tcPr>
            <w:tcW w:w="2125" w:type="dxa"/>
            <w:tcBorders>
              <w:top w:val="nil"/>
              <w:left w:val="nil"/>
              <w:bottom w:val="nil"/>
              <w:right w:val="nil"/>
            </w:tcBorders>
            <w:vAlign w:val="bottom"/>
          </w:tcPr>
          <w:p w14:paraId="6F7ECA0D"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0.079</w:t>
            </w:r>
            <w:r w:rsidRPr="005E78A8">
              <w:rPr>
                <w:rFonts w:ascii="Arial" w:hAnsi="Arial" w:cs="Arial"/>
                <w:sz w:val="20"/>
                <w:szCs w:val="20"/>
              </w:rPr>
              <w:t>±0</w:t>
            </w:r>
            <w:r w:rsidRPr="005E78A8">
              <w:rPr>
                <w:rFonts w:ascii="Arial" w:hAnsi="Arial" w:cs="Arial"/>
                <w:color w:val="010205"/>
                <w:sz w:val="20"/>
                <w:szCs w:val="20"/>
              </w:rPr>
              <w:t>.010</w:t>
            </w:r>
          </w:p>
        </w:tc>
        <w:tc>
          <w:tcPr>
            <w:tcW w:w="1985" w:type="dxa"/>
            <w:tcBorders>
              <w:top w:val="nil"/>
              <w:left w:val="nil"/>
              <w:bottom w:val="nil"/>
              <w:right w:val="nil"/>
            </w:tcBorders>
            <w:vAlign w:val="bottom"/>
          </w:tcPr>
          <w:p w14:paraId="6E1A4FC1"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0.0550</w:t>
            </w:r>
            <w:r w:rsidRPr="005E78A8">
              <w:rPr>
                <w:rFonts w:ascii="Arial" w:hAnsi="Arial" w:cs="Arial"/>
                <w:sz w:val="20"/>
                <w:szCs w:val="20"/>
              </w:rPr>
              <w:t>±0</w:t>
            </w:r>
            <w:r w:rsidRPr="005E78A8">
              <w:rPr>
                <w:rFonts w:ascii="Arial" w:hAnsi="Arial" w:cs="Arial"/>
                <w:color w:val="010205"/>
                <w:sz w:val="20"/>
                <w:szCs w:val="20"/>
              </w:rPr>
              <w:t>.032</w:t>
            </w:r>
          </w:p>
        </w:tc>
        <w:tc>
          <w:tcPr>
            <w:tcW w:w="1842" w:type="dxa"/>
            <w:tcBorders>
              <w:top w:val="nil"/>
              <w:left w:val="nil"/>
              <w:bottom w:val="nil"/>
              <w:right w:val="nil"/>
            </w:tcBorders>
            <w:vAlign w:val="bottom"/>
          </w:tcPr>
          <w:p w14:paraId="027282D9" w14:textId="77777777" w:rsidR="00462160" w:rsidRPr="005E78A8" w:rsidRDefault="00462160" w:rsidP="005E78A8">
            <w:pPr>
              <w:jc w:val="center"/>
              <w:rPr>
                <w:rFonts w:ascii="Arial" w:hAnsi="Arial" w:cs="Arial"/>
              </w:rPr>
            </w:pPr>
            <w:r w:rsidRPr="005E78A8">
              <w:rPr>
                <w:rFonts w:ascii="Arial" w:hAnsi="Arial" w:cs="Arial"/>
                <w:color w:val="010205"/>
              </w:rPr>
              <w:t>0.071</w:t>
            </w:r>
            <w:r w:rsidRPr="005E78A8">
              <w:rPr>
                <w:rFonts w:ascii="Arial" w:hAnsi="Arial" w:cs="Arial"/>
              </w:rPr>
              <w:t>±</w:t>
            </w:r>
            <w:r w:rsidRPr="005E78A8">
              <w:rPr>
                <w:rFonts w:ascii="Arial" w:hAnsi="Arial" w:cs="Arial"/>
                <w:color w:val="010205"/>
              </w:rPr>
              <w:t>0.012</w:t>
            </w:r>
          </w:p>
        </w:tc>
        <w:tc>
          <w:tcPr>
            <w:tcW w:w="1843" w:type="dxa"/>
            <w:tcBorders>
              <w:top w:val="nil"/>
              <w:left w:val="nil"/>
              <w:bottom w:val="nil"/>
              <w:right w:val="nil"/>
            </w:tcBorders>
            <w:vAlign w:val="bottom"/>
          </w:tcPr>
          <w:p w14:paraId="7E126950" w14:textId="77777777" w:rsidR="00462160" w:rsidRPr="005E78A8" w:rsidRDefault="00462160" w:rsidP="005E78A8">
            <w:pPr>
              <w:jc w:val="center"/>
              <w:rPr>
                <w:rFonts w:ascii="Arial" w:hAnsi="Arial" w:cs="Arial"/>
              </w:rPr>
            </w:pPr>
            <w:r w:rsidRPr="005E78A8">
              <w:rPr>
                <w:rFonts w:ascii="Arial" w:hAnsi="Arial" w:cs="Arial"/>
                <w:color w:val="010205"/>
              </w:rPr>
              <w:t>0.070</w:t>
            </w:r>
            <w:r w:rsidRPr="005E78A8">
              <w:rPr>
                <w:rFonts w:ascii="Arial" w:hAnsi="Arial" w:cs="Arial"/>
              </w:rPr>
              <w:t>±0</w:t>
            </w:r>
            <w:r w:rsidRPr="005E78A8">
              <w:rPr>
                <w:rFonts w:ascii="Arial" w:hAnsi="Arial" w:cs="Arial"/>
                <w:color w:val="010205"/>
              </w:rPr>
              <w:t>.028</w:t>
            </w:r>
          </w:p>
        </w:tc>
        <w:tc>
          <w:tcPr>
            <w:tcW w:w="1987" w:type="dxa"/>
            <w:tcBorders>
              <w:top w:val="nil"/>
              <w:left w:val="nil"/>
              <w:bottom w:val="nil"/>
              <w:right w:val="nil"/>
            </w:tcBorders>
            <w:vAlign w:val="bottom"/>
          </w:tcPr>
          <w:p w14:paraId="235F21E5" w14:textId="77777777" w:rsidR="00462160" w:rsidRPr="005E78A8" w:rsidRDefault="00462160" w:rsidP="005E78A8">
            <w:pPr>
              <w:rPr>
                <w:rFonts w:ascii="Arial" w:hAnsi="Arial" w:cs="Arial"/>
                <w:color w:val="000000"/>
              </w:rPr>
            </w:pPr>
            <w:r w:rsidRPr="005E78A8">
              <w:rPr>
                <w:rFonts w:ascii="Arial" w:hAnsi="Arial" w:cs="Arial"/>
                <w:color w:val="000000"/>
              </w:rPr>
              <w:t>≤0.4</w:t>
            </w:r>
          </w:p>
        </w:tc>
        <w:tc>
          <w:tcPr>
            <w:tcW w:w="1419" w:type="dxa"/>
            <w:gridSpan w:val="2"/>
            <w:tcBorders>
              <w:top w:val="nil"/>
              <w:left w:val="nil"/>
              <w:bottom w:val="nil"/>
            </w:tcBorders>
            <w:vAlign w:val="bottom"/>
          </w:tcPr>
          <w:p w14:paraId="13A4141A" w14:textId="77777777" w:rsidR="00462160" w:rsidRPr="005E78A8" w:rsidRDefault="00462160" w:rsidP="005E78A8">
            <w:pPr>
              <w:rPr>
                <w:rFonts w:ascii="Arial" w:hAnsi="Arial" w:cs="Arial"/>
                <w:color w:val="000000"/>
              </w:rPr>
            </w:pPr>
            <w:r w:rsidRPr="005E78A8">
              <w:rPr>
                <w:rFonts w:ascii="Arial" w:hAnsi="Arial" w:cs="Arial"/>
                <w:color w:val="000000"/>
              </w:rPr>
              <w:t>≤0.05</w:t>
            </w:r>
          </w:p>
        </w:tc>
      </w:tr>
      <w:tr w:rsidR="00462160" w:rsidRPr="005E78A8" w14:paraId="01002A34" w14:textId="77777777" w:rsidTr="00783C28">
        <w:tc>
          <w:tcPr>
            <w:tcW w:w="3969" w:type="dxa"/>
            <w:tcBorders>
              <w:top w:val="nil"/>
              <w:bottom w:val="nil"/>
              <w:right w:val="nil"/>
            </w:tcBorders>
            <w:vAlign w:val="bottom"/>
          </w:tcPr>
          <w:p w14:paraId="6413DC3D"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Lead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68F4EDD1"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0.242</w:t>
            </w:r>
            <w:r w:rsidRPr="005E78A8">
              <w:rPr>
                <w:rFonts w:ascii="Arial" w:hAnsi="Arial" w:cs="Arial"/>
                <w:sz w:val="20"/>
                <w:szCs w:val="20"/>
              </w:rPr>
              <w:t>±0</w:t>
            </w:r>
            <w:r w:rsidRPr="005E78A8">
              <w:rPr>
                <w:rFonts w:ascii="Arial" w:hAnsi="Arial" w:cs="Arial"/>
                <w:color w:val="010205"/>
                <w:sz w:val="20"/>
                <w:szCs w:val="20"/>
              </w:rPr>
              <w:t>.221</w:t>
            </w:r>
          </w:p>
        </w:tc>
        <w:tc>
          <w:tcPr>
            <w:tcW w:w="1985" w:type="dxa"/>
            <w:tcBorders>
              <w:top w:val="nil"/>
              <w:left w:val="nil"/>
              <w:bottom w:val="nil"/>
              <w:right w:val="nil"/>
            </w:tcBorders>
            <w:vAlign w:val="bottom"/>
          </w:tcPr>
          <w:p w14:paraId="17546D14"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0.232</w:t>
            </w:r>
            <w:r w:rsidRPr="005E78A8">
              <w:rPr>
                <w:rFonts w:ascii="Arial" w:hAnsi="Arial" w:cs="Arial"/>
                <w:sz w:val="20"/>
                <w:szCs w:val="20"/>
              </w:rPr>
              <w:t>±</w:t>
            </w:r>
            <w:r w:rsidRPr="005E78A8">
              <w:rPr>
                <w:rFonts w:ascii="Arial" w:hAnsi="Arial" w:cs="Arial"/>
                <w:color w:val="010205"/>
                <w:sz w:val="20"/>
                <w:szCs w:val="20"/>
              </w:rPr>
              <w:t>0.21</w:t>
            </w:r>
          </w:p>
        </w:tc>
        <w:tc>
          <w:tcPr>
            <w:tcW w:w="1842" w:type="dxa"/>
            <w:tcBorders>
              <w:top w:val="nil"/>
              <w:left w:val="nil"/>
              <w:bottom w:val="nil"/>
              <w:right w:val="nil"/>
            </w:tcBorders>
            <w:vAlign w:val="bottom"/>
          </w:tcPr>
          <w:p w14:paraId="1CE95F4D" w14:textId="77777777" w:rsidR="00462160" w:rsidRPr="005E78A8" w:rsidRDefault="00462160" w:rsidP="005E78A8">
            <w:pPr>
              <w:jc w:val="center"/>
              <w:rPr>
                <w:rFonts w:ascii="Arial" w:hAnsi="Arial" w:cs="Arial"/>
              </w:rPr>
            </w:pPr>
            <w:r w:rsidRPr="005E78A8">
              <w:rPr>
                <w:rFonts w:ascii="Arial" w:hAnsi="Arial" w:cs="Arial"/>
                <w:color w:val="010205"/>
              </w:rPr>
              <w:t>0.192</w:t>
            </w:r>
            <w:r w:rsidRPr="005E78A8">
              <w:rPr>
                <w:rFonts w:ascii="Arial" w:hAnsi="Arial" w:cs="Arial"/>
              </w:rPr>
              <w:t>±</w:t>
            </w:r>
            <w:r w:rsidRPr="005E78A8">
              <w:rPr>
                <w:rFonts w:ascii="Arial" w:hAnsi="Arial" w:cs="Arial"/>
                <w:color w:val="010205"/>
              </w:rPr>
              <w:t>0.176</w:t>
            </w:r>
          </w:p>
        </w:tc>
        <w:tc>
          <w:tcPr>
            <w:tcW w:w="1843" w:type="dxa"/>
            <w:tcBorders>
              <w:top w:val="nil"/>
              <w:left w:val="nil"/>
              <w:bottom w:val="nil"/>
              <w:right w:val="nil"/>
            </w:tcBorders>
            <w:vAlign w:val="bottom"/>
          </w:tcPr>
          <w:p w14:paraId="3FF9C7F1" w14:textId="77777777" w:rsidR="00462160" w:rsidRPr="005E78A8" w:rsidRDefault="00462160" w:rsidP="005E78A8">
            <w:pPr>
              <w:jc w:val="center"/>
              <w:rPr>
                <w:rFonts w:ascii="Arial" w:hAnsi="Arial" w:cs="Arial"/>
              </w:rPr>
            </w:pPr>
            <w:r w:rsidRPr="005E78A8">
              <w:rPr>
                <w:rFonts w:ascii="Arial" w:hAnsi="Arial" w:cs="Arial"/>
                <w:color w:val="010205"/>
              </w:rPr>
              <w:t>0.246</w:t>
            </w:r>
            <w:r w:rsidRPr="005E78A8">
              <w:rPr>
                <w:rFonts w:ascii="Arial" w:hAnsi="Arial" w:cs="Arial"/>
              </w:rPr>
              <w:t>±</w:t>
            </w:r>
            <w:r w:rsidRPr="005E78A8">
              <w:rPr>
                <w:rFonts w:ascii="Arial" w:hAnsi="Arial" w:cs="Arial"/>
                <w:color w:val="010205"/>
              </w:rPr>
              <w:t>0.220</w:t>
            </w:r>
          </w:p>
        </w:tc>
        <w:tc>
          <w:tcPr>
            <w:tcW w:w="1987" w:type="dxa"/>
            <w:tcBorders>
              <w:top w:val="nil"/>
              <w:left w:val="nil"/>
              <w:bottom w:val="nil"/>
              <w:right w:val="nil"/>
            </w:tcBorders>
            <w:vAlign w:val="bottom"/>
          </w:tcPr>
          <w:p w14:paraId="6C784084" w14:textId="77777777" w:rsidR="00462160" w:rsidRPr="005E78A8" w:rsidRDefault="00462160" w:rsidP="005E78A8">
            <w:pPr>
              <w:rPr>
                <w:rFonts w:ascii="Arial" w:hAnsi="Arial" w:cs="Arial"/>
                <w:color w:val="000000"/>
              </w:rPr>
            </w:pPr>
            <w:r w:rsidRPr="005E78A8">
              <w:rPr>
                <w:rFonts w:ascii="Arial" w:hAnsi="Arial" w:cs="Arial"/>
                <w:color w:val="000000"/>
              </w:rPr>
              <w:t>≤0.01</w:t>
            </w:r>
          </w:p>
        </w:tc>
        <w:tc>
          <w:tcPr>
            <w:tcW w:w="1419" w:type="dxa"/>
            <w:gridSpan w:val="2"/>
            <w:tcBorders>
              <w:top w:val="nil"/>
              <w:left w:val="nil"/>
              <w:bottom w:val="nil"/>
            </w:tcBorders>
            <w:vAlign w:val="bottom"/>
          </w:tcPr>
          <w:p w14:paraId="5C4FEB3B" w14:textId="77777777" w:rsidR="00462160" w:rsidRPr="005E78A8" w:rsidRDefault="00462160" w:rsidP="005E78A8">
            <w:pPr>
              <w:rPr>
                <w:rFonts w:ascii="Arial" w:hAnsi="Arial" w:cs="Arial"/>
                <w:color w:val="000000"/>
              </w:rPr>
            </w:pPr>
            <w:r w:rsidRPr="005E78A8">
              <w:rPr>
                <w:rFonts w:ascii="Arial" w:hAnsi="Arial" w:cs="Arial"/>
                <w:color w:val="000000"/>
              </w:rPr>
              <w:t>≤0.01</w:t>
            </w:r>
          </w:p>
        </w:tc>
      </w:tr>
      <w:tr w:rsidR="00462160" w:rsidRPr="005E78A8" w14:paraId="029F2900" w14:textId="77777777" w:rsidTr="00783C28">
        <w:tc>
          <w:tcPr>
            <w:tcW w:w="3969" w:type="dxa"/>
            <w:tcBorders>
              <w:top w:val="nil"/>
              <w:bottom w:val="nil"/>
              <w:right w:val="nil"/>
            </w:tcBorders>
            <w:vAlign w:val="bottom"/>
          </w:tcPr>
          <w:p w14:paraId="7E5FB25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Zinc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384A2002"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0.025</w:t>
            </w:r>
            <w:r w:rsidRPr="005E78A8">
              <w:rPr>
                <w:rFonts w:ascii="Arial" w:hAnsi="Arial" w:cs="Arial"/>
                <w:sz w:val="20"/>
                <w:szCs w:val="20"/>
              </w:rPr>
              <w:t>±0</w:t>
            </w:r>
            <w:r w:rsidRPr="005E78A8">
              <w:rPr>
                <w:rFonts w:ascii="Arial" w:hAnsi="Arial" w:cs="Arial"/>
                <w:color w:val="010205"/>
                <w:sz w:val="20"/>
                <w:szCs w:val="20"/>
              </w:rPr>
              <w:t>.009</w:t>
            </w:r>
          </w:p>
        </w:tc>
        <w:tc>
          <w:tcPr>
            <w:tcW w:w="1985" w:type="dxa"/>
            <w:tcBorders>
              <w:top w:val="nil"/>
              <w:left w:val="nil"/>
              <w:bottom w:val="nil"/>
              <w:right w:val="nil"/>
            </w:tcBorders>
            <w:vAlign w:val="bottom"/>
          </w:tcPr>
          <w:p w14:paraId="0EBAAEBE"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0.014</w:t>
            </w:r>
            <w:r w:rsidRPr="005E78A8">
              <w:rPr>
                <w:rFonts w:ascii="Arial" w:hAnsi="Arial" w:cs="Arial"/>
                <w:sz w:val="20"/>
                <w:szCs w:val="20"/>
              </w:rPr>
              <w:t>±0</w:t>
            </w:r>
            <w:r w:rsidRPr="005E78A8">
              <w:rPr>
                <w:rFonts w:ascii="Arial" w:hAnsi="Arial" w:cs="Arial"/>
                <w:color w:val="010205"/>
                <w:sz w:val="20"/>
                <w:szCs w:val="20"/>
              </w:rPr>
              <w:t>.011</w:t>
            </w:r>
          </w:p>
        </w:tc>
        <w:tc>
          <w:tcPr>
            <w:tcW w:w="1842" w:type="dxa"/>
            <w:tcBorders>
              <w:top w:val="nil"/>
              <w:left w:val="nil"/>
              <w:bottom w:val="nil"/>
              <w:right w:val="nil"/>
            </w:tcBorders>
            <w:vAlign w:val="bottom"/>
          </w:tcPr>
          <w:p w14:paraId="2ACE637A" w14:textId="77777777" w:rsidR="00462160" w:rsidRPr="005E78A8" w:rsidRDefault="00462160" w:rsidP="005E78A8">
            <w:pPr>
              <w:jc w:val="center"/>
              <w:rPr>
                <w:rFonts w:ascii="Arial" w:hAnsi="Arial" w:cs="Arial"/>
              </w:rPr>
            </w:pPr>
            <w:r w:rsidRPr="005E78A8">
              <w:rPr>
                <w:rFonts w:ascii="Arial" w:hAnsi="Arial" w:cs="Arial"/>
                <w:color w:val="010205"/>
              </w:rPr>
              <w:t>0.030</w:t>
            </w:r>
            <w:r w:rsidRPr="005E78A8">
              <w:rPr>
                <w:rFonts w:ascii="Arial" w:hAnsi="Arial" w:cs="Arial"/>
              </w:rPr>
              <w:t>±0</w:t>
            </w:r>
            <w:r w:rsidRPr="005E78A8">
              <w:rPr>
                <w:rFonts w:ascii="Arial" w:hAnsi="Arial" w:cs="Arial"/>
                <w:color w:val="010205"/>
              </w:rPr>
              <w:t>.007</w:t>
            </w:r>
          </w:p>
        </w:tc>
        <w:tc>
          <w:tcPr>
            <w:tcW w:w="1843" w:type="dxa"/>
            <w:tcBorders>
              <w:top w:val="nil"/>
              <w:left w:val="nil"/>
              <w:bottom w:val="nil"/>
              <w:right w:val="nil"/>
            </w:tcBorders>
            <w:vAlign w:val="bottom"/>
          </w:tcPr>
          <w:p w14:paraId="4ACAF87E" w14:textId="77777777" w:rsidR="00462160" w:rsidRPr="005E78A8" w:rsidRDefault="00462160" w:rsidP="005E78A8">
            <w:pPr>
              <w:jc w:val="center"/>
              <w:rPr>
                <w:rFonts w:ascii="Arial" w:hAnsi="Arial" w:cs="Arial"/>
              </w:rPr>
            </w:pPr>
            <w:r w:rsidRPr="005E78A8">
              <w:rPr>
                <w:rFonts w:ascii="Arial" w:hAnsi="Arial" w:cs="Arial"/>
                <w:color w:val="010205"/>
              </w:rPr>
              <w:t>0.021</w:t>
            </w:r>
            <w:r w:rsidRPr="005E78A8">
              <w:rPr>
                <w:rFonts w:ascii="Arial" w:hAnsi="Arial" w:cs="Arial"/>
              </w:rPr>
              <w:t>±</w:t>
            </w:r>
            <w:r w:rsidRPr="005E78A8">
              <w:rPr>
                <w:rFonts w:ascii="Arial" w:hAnsi="Arial" w:cs="Arial"/>
                <w:color w:val="010205"/>
              </w:rPr>
              <w:t>0.008</w:t>
            </w:r>
          </w:p>
        </w:tc>
        <w:tc>
          <w:tcPr>
            <w:tcW w:w="1987" w:type="dxa"/>
            <w:tcBorders>
              <w:top w:val="nil"/>
              <w:left w:val="nil"/>
              <w:bottom w:val="nil"/>
              <w:right w:val="nil"/>
            </w:tcBorders>
            <w:vAlign w:val="bottom"/>
          </w:tcPr>
          <w:p w14:paraId="67ABC3F3" w14:textId="77777777"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14:paraId="43893ABC"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0A768302" w14:textId="77777777" w:rsidTr="00783C28">
        <w:tc>
          <w:tcPr>
            <w:tcW w:w="3969" w:type="dxa"/>
            <w:tcBorders>
              <w:top w:val="nil"/>
              <w:bottom w:val="nil"/>
              <w:right w:val="nil"/>
            </w:tcBorders>
            <w:vAlign w:val="bottom"/>
          </w:tcPr>
          <w:p w14:paraId="2EF48B4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Copper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769068C1" w14:textId="77777777" w:rsidR="00462160" w:rsidRPr="005E78A8" w:rsidRDefault="00462160" w:rsidP="005E78A8">
            <w:pPr>
              <w:pStyle w:val="TableParagraph"/>
              <w:tabs>
                <w:tab w:val="left" w:pos="1088"/>
              </w:tabs>
              <w:spacing w:before="3"/>
              <w:ind w:left="107" w:right="33"/>
              <w:jc w:val="center"/>
              <w:rPr>
                <w:rFonts w:ascii="Arial" w:hAnsi="Arial" w:cs="Arial"/>
                <w:b/>
                <w:sz w:val="20"/>
                <w:szCs w:val="20"/>
              </w:rPr>
            </w:pPr>
            <w:r w:rsidRPr="005E78A8">
              <w:rPr>
                <w:rFonts w:ascii="Arial" w:hAnsi="Arial" w:cs="Arial"/>
                <w:color w:val="010205"/>
                <w:sz w:val="20"/>
                <w:szCs w:val="20"/>
              </w:rPr>
              <w:t>0.196</w:t>
            </w:r>
            <w:r w:rsidRPr="005E78A8">
              <w:rPr>
                <w:rFonts w:ascii="Arial" w:hAnsi="Arial" w:cs="Arial"/>
                <w:sz w:val="20"/>
                <w:szCs w:val="20"/>
              </w:rPr>
              <w:t>±</w:t>
            </w:r>
            <w:r w:rsidRPr="005E78A8">
              <w:rPr>
                <w:rFonts w:ascii="Arial" w:hAnsi="Arial" w:cs="Arial"/>
                <w:color w:val="010205"/>
                <w:sz w:val="20"/>
                <w:szCs w:val="20"/>
              </w:rPr>
              <w:t>0.156</w:t>
            </w:r>
          </w:p>
        </w:tc>
        <w:tc>
          <w:tcPr>
            <w:tcW w:w="1985" w:type="dxa"/>
            <w:tcBorders>
              <w:top w:val="nil"/>
              <w:left w:val="nil"/>
              <w:bottom w:val="nil"/>
              <w:right w:val="nil"/>
            </w:tcBorders>
            <w:vAlign w:val="bottom"/>
          </w:tcPr>
          <w:p w14:paraId="1D0FA0E9" w14:textId="77777777" w:rsidR="00462160" w:rsidRPr="005E78A8" w:rsidRDefault="00462160" w:rsidP="005E78A8">
            <w:pPr>
              <w:pStyle w:val="TableParagraph"/>
              <w:spacing w:before="3"/>
              <w:ind w:left="105"/>
              <w:jc w:val="center"/>
              <w:rPr>
                <w:rFonts w:ascii="Arial" w:hAnsi="Arial" w:cs="Arial"/>
                <w:sz w:val="20"/>
                <w:szCs w:val="20"/>
              </w:rPr>
            </w:pPr>
            <w:r w:rsidRPr="005E78A8">
              <w:rPr>
                <w:rFonts w:ascii="Arial" w:hAnsi="Arial" w:cs="Arial"/>
                <w:color w:val="010205"/>
                <w:sz w:val="20"/>
                <w:szCs w:val="20"/>
              </w:rPr>
              <w:t>0.164</w:t>
            </w:r>
            <w:r w:rsidRPr="005E78A8">
              <w:rPr>
                <w:rFonts w:ascii="Arial" w:hAnsi="Arial" w:cs="Arial"/>
                <w:sz w:val="20"/>
                <w:szCs w:val="20"/>
              </w:rPr>
              <w:t>±0</w:t>
            </w:r>
            <w:r w:rsidRPr="005E78A8">
              <w:rPr>
                <w:rFonts w:ascii="Arial" w:hAnsi="Arial" w:cs="Arial"/>
                <w:color w:val="010205"/>
                <w:sz w:val="20"/>
                <w:szCs w:val="20"/>
              </w:rPr>
              <w:t>.129</w:t>
            </w:r>
          </w:p>
        </w:tc>
        <w:tc>
          <w:tcPr>
            <w:tcW w:w="1842" w:type="dxa"/>
            <w:tcBorders>
              <w:top w:val="nil"/>
              <w:left w:val="nil"/>
              <w:bottom w:val="nil"/>
              <w:right w:val="nil"/>
            </w:tcBorders>
            <w:vAlign w:val="bottom"/>
          </w:tcPr>
          <w:p w14:paraId="7B9CDA97" w14:textId="77777777" w:rsidR="00462160" w:rsidRPr="005E78A8" w:rsidRDefault="00462160" w:rsidP="005E78A8">
            <w:pPr>
              <w:jc w:val="center"/>
              <w:rPr>
                <w:rFonts w:ascii="Arial" w:hAnsi="Arial" w:cs="Arial"/>
              </w:rPr>
            </w:pPr>
            <w:r w:rsidRPr="005E78A8">
              <w:rPr>
                <w:rFonts w:ascii="Arial" w:hAnsi="Arial" w:cs="Arial"/>
                <w:color w:val="010205"/>
              </w:rPr>
              <w:t>0.163</w:t>
            </w:r>
            <w:r w:rsidRPr="005E78A8">
              <w:rPr>
                <w:rFonts w:ascii="Arial" w:hAnsi="Arial" w:cs="Arial"/>
              </w:rPr>
              <w:t>±</w:t>
            </w:r>
            <w:r w:rsidRPr="005E78A8">
              <w:rPr>
                <w:rFonts w:ascii="Arial" w:hAnsi="Arial" w:cs="Arial"/>
                <w:color w:val="010205"/>
              </w:rPr>
              <w:t>0.127</w:t>
            </w:r>
          </w:p>
        </w:tc>
        <w:tc>
          <w:tcPr>
            <w:tcW w:w="1843" w:type="dxa"/>
            <w:tcBorders>
              <w:top w:val="nil"/>
              <w:left w:val="nil"/>
              <w:bottom w:val="nil"/>
              <w:right w:val="nil"/>
            </w:tcBorders>
            <w:vAlign w:val="bottom"/>
          </w:tcPr>
          <w:p w14:paraId="4B7ACBCA" w14:textId="77777777" w:rsidR="00462160" w:rsidRPr="005E78A8" w:rsidRDefault="00462160" w:rsidP="005E78A8">
            <w:pPr>
              <w:jc w:val="center"/>
              <w:rPr>
                <w:rFonts w:ascii="Arial" w:hAnsi="Arial" w:cs="Arial"/>
              </w:rPr>
            </w:pPr>
            <w:r w:rsidRPr="005E78A8">
              <w:rPr>
                <w:rFonts w:ascii="Arial" w:hAnsi="Arial" w:cs="Arial"/>
                <w:color w:val="010205"/>
              </w:rPr>
              <w:t>0.125</w:t>
            </w:r>
            <w:r w:rsidRPr="005E78A8">
              <w:rPr>
                <w:rFonts w:ascii="Arial" w:hAnsi="Arial" w:cs="Arial"/>
              </w:rPr>
              <w:t>±</w:t>
            </w:r>
            <w:r w:rsidRPr="005E78A8">
              <w:rPr>
                <w:rFonts w:ascii="Arial" w:hAnsi="Arial" w:cs="Arial"/>
                <w:color w:val="010205"/>
              </w:rPr>
              <w:t>0.087</w:t>
            </w:r>
          </w:p>
        </w:tc>
        <w:tc>
          <w:tcPr>
            <w:tcW w:w="1987" w:type="dxa"/>
            <w:tcBorders>
              <w:top w:val="nil"/>
              <w:left w:val="nil"/>
              <w:bottom w:val="nil"/>
              <w:right w:val="nil"/>
            </w:tcBorders>
            <w:vAlign w:val="bottom"/>
          </w:tcPr>
          <w:p w14:paraId="40E8E4D1" w14:textId="77777777" w:rsidR="00462160" w:rsidRPr="005E78A8" w:rsidRDefault="00462160" w:rsidP="005E78A8">
            <w:pPr>
              <w:rPr>
                <w:rFonts w:ascii="Arial" w:hAnsi="Arial" w:cs="Arial"/>
                <w:color w:val="000000"/>
              </w:rPr>
            </w:pPr>
            <w:r w:rsidRPr="005E78A8">
              <w:rPr>
                <w:rFonts w:ascii="Arial" w:hAnsi="Arial" w:cs="Arial"/>
                <w:color w:val="000000"/>
              </w:rPr>
              <w:t>≤2.0</w:t>
            </w:r>
          </w:p>
        </w:tc>
        <w:tc>
          <w:tcPr>
            <w:tcW w:w="1419" w:type="dxa"/>
            <w:gridSpan w:val="2"/>
            <w:tcBorders>
              <w:top w:val="nil"/>
              <w:left w:val="nil"/>
              <w:bottom w:val="nil"/>
            </w:tcBorders>
            <w:vAlign w:val="bottom"/>
          </w:tcPr>
          <w:p w14:paraId="419EF700" w14:textId="77777777" w:rsidR="00462160" w:rsidRPr="005E78A8" w:rsidRDefault="00462160" w:rsidP="005E78A8">
            <w:pPr>
              <w:rPr>
                <w:rFonts w:ascii="Arial" w:hAnsi="Arial" w:cs="Arial"/>
                <w:color w:val="000000"/>
              </w:rPr>
            </w:pPr>
            <w:r w:rsidRPr="005E78A8">
              <w:rPr>
                <w:rFonts w:ascii="Arial" w:hAnsi="Arial" w:cs="Arial"/>
                <w:color w:val="000000"/>
              </w:rPr>
              <w:t>≤1.0</w:t>
            </w:r>
          </w:p>
        </w:tc>
      </w:tr>
      <w:tr w:rsidR="00462160" w:rsidRPr="005E78A8" w14:paraId="79FB7DAA" w14:textId="77777777" w:rsidTr="00783C28">
        <w:tc>
          <w:tcPr>
            <w:tcW w:w="3969" w:type="dxa"/>
            <w:tcBorders>
              <w:top w:val="nil"/>
              <w:bottom w:val="nil"/>
              <w:right w:val="nil"/>
            </w:tcBorders>
            <w:vAlign w:val="bottom"/>
          </w:tcPr>
          <w:p w14:paraId="7F8CAC8E" w14:textId="77777777" w:rsidR="00462160" w:rsidRPr="005E78A8" w:rsidRDefault="00462160" w:rsidP="005E78A8">
            <w:pPr>
              <w:pStyle w:val="TableParagraph"/>
              <w:spacing w:before="3"/>
              <w:ind w:left="601" w:right="660"/>
              <w:rPr>
                <w:rFonts w:ascii="Arial" w:hAnsi="Arial" w:cs="Arial"/>
                <w:b/>
                <w:sz w:val="20"/>
                <w:szCs w:val="20"/>
              </w:rPr>
            </w:pPr>
            <w:r w:rsidRPr="005E78A8">
              <w:rPr>
                <w:rFonts w:ascii="Arial" w:hAnsi="Arial" w:cs="Arial"/>
                <w:b/>
                <w:spacing w:val="-2"/>
                <w:sz w:val="20"/>
                <w:szCs w:val="20"/>
              </w:rPr>
              <w:t>Magnesium (mg/L)</w:t>
            </w:r>
          </w:p>
        </w:tc>
        <w:tc>
          <w:tcPr>
            <w:tcW w:w="2125" w:type="dxa"/>
            <w:tcBorders>
              <w:top w:val="nil"/>
              <w:left w:val="nil"/>
              <w:bottom w:val="nil"/>
              <w:right w:val="nil"/>
            </w:tcBorders>
            <w:vAlign w:val="bottom"/>
          </w:tcPr>
          <w:p w14:paraId="52C4B2B4"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0.167</w:t>
            </w:r>
            <w:r w:rsidRPr="005E78A8">
              <w:rPr>
                <w:rFonts w:ascii="Arial" w:hAnsi="Arial" w:cs="Arial"/>
                <w:sz w:val="20"/>
                <w:szCs w:val="20"/>
              </w:rPr>
              <w:t>±0</w:t>
            </w:r>
            <w:r w:rsidRPr="005E78A8">
              <w:rPr>
                <w:rFonts w:ascii="Arial" w:hAnsi="Arial" w:cs="Arial"/>
                <w:color w:val="010205"/>
                <w:sz w:val="20"/>
                <w:szCs w:val="20"/>
              </w:rPr>
              <w:t>.033</w:t>
            </w:r>
          </w:p>
        </w:tc>
        <w:tc>
          <w:tcPr>
            <w:tcW w:w="1985" w:type="dxa"/>
            <w:tcBorders>
              <w:top w:val="nil"/>
              <w:left w:val="nil"/>
              <w:bottom w:val="nil"/>
              <w:right w:val="nil"/>
            </w:tcBorders>
            <w:vAlign w:val="bottom"/>
          </w:tcPr>
          <w:p w14:paraId="5F088B9D"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0.030</w:t>
            </w:r>
            <w:r w:rsidRPr="005E78A8">
              <w:rPr>
                <w:rFonts w:ascii="Arial" w:hAnsi="Arial" w:cs="Arial"/>
                <w:sz w:val="20"/>
                <w:szCs w:val="20"/>
              </w:rPr>
              <w:t>±</w:t>
            </w:r>
            <w:r w:rsidRPr="005E78A8">
              <w:rPr>
                <w:rFonts w:ascii="Arial" w:hAnsi="Arial" w:cs="Arial"/>
                <w:color w:val="010205"/>
                <w:sz w:val="20"/>
                <w:szCs w:val="20"/>
              </w:rPr>
              <w:t>0.010</w:t>
            </w:r>
          </w:p>
        </w:tc>
        <w:tc>
          <w:tcPr>
            <w:tcW w:w="1842" w:type="dxa"/>
            <w:tcBorders>
              <w:top w:val="nil"/>
              <w:left w:val="nil"/>
              <w:bottom w:val="nil"/>
              <w:right w:val="nil"/>
            </w:tcBorders>
            <w:vAlign w:val="bottom"/>
          </w:tcPr>
          <w:p w14:paraId="65E0F946" w14:textId="77777777" w:rsidR="00462160" w:rsidRPr="005E78A8" w:rsidRDefault="00462160" w:rsidP="005E78A8">
            <w:pPr>
              <w:jc w:val="center"/>
              <w:rPr>
                <w:rFonts w:ascii="Arial" w:hAnsi="Arial" w:cs="Arial"/>
              </w:rPr>
            </w:pPr>
            <w:r w:rsidRPr="005E78A8">
              <w:rPr>
                <w:rFonts w:ascii="Arial" w:hAnsi="Arial" w:cs="Arial"/>
                <w:color w:val="010205"/>
              </w:rPr>
              <w:t>0.464</w:t>
            </w:r>
            <w:r w:rsidRPr="005E78A8">
              <w:rPr>
                <w:rFonts w:ascii="Arial" w:hAnsi="Arial" w:cs="Arial"/>
              </w:rPr>
              <w:t>±</w:t>
            </w:r>
            <w:r w:rsidRPr="005E78A8">
              <w:rPr>
                <w:rFonts w:ascii="Arial" w:hAnsi="Arial" w:cs="Arial"/>
                <w:color w:val="010205"/>
              </w:rPr>
              <w:t>0.435</w:t>
            </w:r>
          </w:p>
        </w:tc>
        <w:tc>
          <w:tcPr>
            <w:tcW w:w="1843" w:type="dxa"/>
            <w:tcBorders>
              <w:top w:val="nil"/>
              <w:left w:val="nil"/>
              <w:bottom w:val="nil"/>
              <w:right w:val="nil"/>
            </w:tcBorders>
            <w:vAlign w:val="bottom"/>
          </w:tcPr>
          <w:p w14:paraId="02C7DA36" w14:textId="77777777" w:rsidR="00462160" w:rsidRPr="005E78A8" w:rsidRDefault="00462160" w:rsidP="005E78A8">
            <w:pPr>
              <w:jc w:val="center"/>
              <w:rPr>
                <w:rFonts w:ascii="Arial" w:hAnsi="Arial" w:cs="Arial"/>
              </w:rPr>
            </w:pPr>
            <w:r w:rsidRPr="005E78A8">
              <w:rPr>
                <w:rFonts w:ascii="Arial" w:hAnsi="Arial" w:cs="Arial"/>
                <w:color w:val="010205"/>
              </w:rPr>
              <w:t xml:space="preserve">1.724 </w:t>
            </w:r>
            <w:r w:rsidRPr="005E78A8">
              <w:rPr>
                <w:rFonts w:ascii="Arial" w:hAnsi="Arial" w:cs="Arial"/>
              </w:rPr>
              <w:t>±</w:t>
            </w:r>
            <w:r w:rsidRPr="005E78A8">
              <w:rPr>
                <w:rFonts w:ascii="Arial" w:hAnsi="Arial" w:cs="Arial"/>
                <w:color w:val="010205"/>
              </w:rPr>
              <w:t>1.675</w:t>
            </w:r>
          </w:p>
        </w:tc>
        <w:tc>
          <w:tcPr>
            <w:tcW w:w="1987" w:type="dxa"/>
            <w:tcBorders>
              <w:top w:val="nil"/>
              <w:left w:val="nil"/>
              <w:bottom w:val="nil"/>
              <w:right w:val="nil"/>
            </w:tcBorders>
            <w:vAlign w:val="bottom"/>
          </w:tcPr>
          <w:p w14:paraId="480AECAF" w14:textId="77777777" w:rsidR="00462160" w:rsidRPr="005E78A8" w:rsidRDefault="00462160" w:rsidP="005E78A8">
            <w:pPr>
              <w:rPr>
                <w:rFonts w:ascii="Arial" w:hAnsi="Arial" w:cs="Arial"/>
                <w:color w:val="000000"/>
              </w:rPr>
            </w:pPr>
            <w:r w:rsidRPr="005E78A8">
              <w:rPr>
                <w:rFonts w:ascii="Arial" w:hAnsi="Arial" w:cs="Arial"/>
                <w:color w:val="000000"/>
              </w:rPr>
              <w:t>≤50</w:t>
            </w:r>
          </w:p>
        </w:tc>
        <w:tc>
          <w:tcPr>
            <w:tcW w:w="1419" w:type="dxa"/>
            <w:gridSpan w:val="2"/>
            <w:tcBorders>
              <w:top w:val="nil"/>
              <w:left w:val="nil"/>
              <w:bottom w:val="nil"/>
            </w:tcBorders>
            <w:vAlign w:val="bottom"/>
          </w:tcPr>
          <w:p w14:paraId="6626CFB7" w14:textId="77777777" w:rsidR="00462160" w:rsidRPr="005E78A8" w:rsidRDefault="00462160" w:rsidP="005E78A8">
            <w:pPr>
              <w:rPr>
                <w:rFonts w:ascii="Arial" w:hAnsi="Arial" w:cs="Arial"/>
                <w:color w:val="000000"/>
              </w:rPr>
            </w:pPr>
            <w:r w:rsidRPr="005E78A8">
              <w:rPr>
                <w:rFonts w:ascii="Arial" w:hAnsi="Arial" w:cs="Arial"/>
                <w:color w:val="000000"/>
              </w:rPr>
              <w:t>≤50</w:t>
            </w:r>
          </w:p>
        </w:tc>
      </w:tr>
      <w:tr w:rsidR="00462160" w:rsidRPr="005E78A8" w14:paraId="741D5144" w14:textId="77777777" w:rsidTr="00783C28">
        <w:tc>
          <w:tcPr>
            <w:tcW w:w="3969" w:type="dxa"/>
            <w:tcBorders>
              <w:top w:val="nil"/>
              <w:bottom w:val="nil"/>
              <w:right w:val="nil"/>
            </w:tcBorders>
            <w:vAlign w:val="bottom"/>
          </w:tcPr>
          <w:p w14:paraId="4010C8F6"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Iron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5EFA55EA"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6.826</w:t>
            </w:r>
            <w:r w:rsidRPr="005E78A8">
              <w:rPr>
                <w:rFonts w:ascii="Arial" w:hAnsi="Arial" w:cs="Arial"/>
                <w:sz w:val="20"/>
                <w:szCs w:val="20"/>
              </w:rPr>
              <w:t>±</w:t>
            </w:r>
            <w:r w:rsidRPr="005E78A8">
              <w:rPr>
                <w:rFonts w:ascii="Arial" w:hAnsi="Arial" w:cs="Arial"/>
                <w:color w:val="010205"/>
                <w:sz w:val="20"/>
                <w:szCs w:val="20"/>
              </w:rPr>
              <w:t>4.414</w:t>
            </w:r>
          </w:p>
        </w:tc>
        <w:tc>
          <w:tcPr>
            <w:tcW w:w="1985" w:type="dxa"/>
            <w:tcBorders>
              <w:top w:val="nil"/>
              <w:left w:val="nil"/>
              <w:bottom w:val="nil"/>
              <w:right w:val="nil"/>
            </w:tcBorders>
            <w:vAlign w:val="bottom"/>
          </w:tcPr>
          <w:p w14:paraId="44BED5F6"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8.190</w:t>
            </w:r>
            <w:r w:rsidRPr="005E78A8">
              <w:rPr>
                <w:rFonts w:ascii="Arial" w:hAnsi="Arial" w:cs="Arial"/>
                <w:sz w:val="20"/>
                <w:szCs w:val="20"/>
              </w:rPr>
              <w:t>±</w:t>
            </w:r>
            <w:r w:rsidRPr="005E78A8">
              <w:rPr>
                <w:rFonts w:ascii="Arial" w:hAnsi="Arial" w:cs="Arial"/>
                <w:color w:val="010205"/>
                <w:sz w:val="20"/>
                <w:szCs w:val="20"/>
              </w:rPr>
              <w:t>2.517</w:t>
            </w:r>
          </w:p>
        </w:tc>
        <w:tc>
          <w:tcPr>
            <w:tcW w:w="1842" w:type="dxa"/>
            <w:tcBorders>
              <w:top w:val="nil"/>
              <w:left w:val="nil"/>
              <w:bottom w:val="nil"/>
              <w:right w:val="nil"/>
            </w:tcBorders>
            <w:vAlign w:val="bottom"/>
          </w:tcPr>
          <w:p w14:paraId="6823240B" w14:textId="77777777" w:rsidR="00462160" w:rsidRPr="005E78A8" w:rsidRDefault="00462160" w:rsidP="005E78A8">
            <w:pPr>
              <w:jc w:val="center"/>
              <w:rPr>
                <w:rFonts w:ascii="Arial" w:hAnsi="Arial" w:cs="Arial"/>
              </w:rPr>
            </w:pPr>
            <w:r w:rsidRPr="005E78A8">
              <w:rPr>
                <w:rFonts w:ascii="Arial" w:hAnsi="Arial" w:cs="Arial"/>
                <w:color w:val="010205"/>
              </w:rPr>
              <w:t>7.303</w:t>
            </w:r>
            <w:r w:rsidRPr="005E78A8">
              <w:rPr>
                <w:rFonts w:ascii="Arial" w:hAnsi="Arial" w:cs="Arial"/>
              </w:rPr>
              <w:t>±</w:t>
            </w:r>
            <w:r w:rsidRPr="005E78A8">
              <w:rPr>
                <w:rFonts w:ascii="Arial" w:hAnsi="Arial" w:cs="Arial"/>
                <w:color w:val="010205"/>
              </w:rPr>
              <w:t>3.880</w:t>
            </w:r>
          </w:p>
        </w:tc>
        <w:tc>
          <w:tcPr>
            <w:tcW w:w="1843" w:type="dxa"/>
            <w:tcBorders>
              <w:top w:val="nil"/>
              <w:left w:val="nil"/>
              <w:bottom w:val="nil"/>
              <w:right w:val="nil"/>
            </w:tcBorders>
            <w:vAlign w:val="bottom"/>
          </w:tcPr>
          <w:p w14:paraId="272AA67E" w14:textId="77777777" w:rsidR="00462160" w:rsidRPr="005E78A8" w:rsidRDefault="00462160" w:rsidP="005E78A8">
            <w:pPr>
              <w:jc w:val="center"/>
              <w:rPr>
                <w:rFonts w:ascii="Arial" w:hAnsi="Arial" w:cs="Arial"/>
              </w:rPr>
            </w:pPr>
            <w:r w:rsidRPr="005E78A8">
              <w:rPr>
                <w:rFonts w:ascii="Arial" w:hAnsi="Arial" w:cs="Arial"/>
                <w:color w:val="010205"/>
              </w:rPr>
              <w:t>9.320</w:t>
            </w:r>
            <w:r w:rsidRPr="005E78A8">
              <w:rPr>
                <w:rFonts w:ascii="Arial" w:hAnsi="Arial" w:cs="Arial"/>
              </w:rPr>
              <w:t>±</w:t>
            </w:r>
            <w:r w:rsidRPr="005E78A8">
              <w:rPr>
                <w:rFonts w:ascii="Arial" w:hAnsi="Arial" w:cs="Arial"/>
                <w:color w:val="010205"/>
              </w:rPr>
              <w:t xml:space="preserve"> 9.320</w:t>
            </w:r>
          </w:p>
        </w:tc>
        <w:tc>
          <w:tcPr>
            <w:tcW w:w="1987" w:type="dxa"/>
            <w:tcBorders>
              <w:top w:val="nil"/>
              <w:left w:val="nil"/>
              <w:bottom w:val="nil"/>
              <w:right w:val="nil"/>
            </w:tcBorders>
            <w:vAlign w:val="bottom"/>
          </w:tcPr>
          <w:p w14:paraId="2A420A37" w14:textId="77777777" w:rsidR="00462160" w:rsidRPr="005E78A8" w:rsidRDefault="00462160" w:rsidP="005E78A8">
            <w:pPr>
              <w:rPr>
                <w:rFonts w:ascii="Arial" w:hAnsi="Arial" w:cs="Arial"/>
                <w:color w:val="000000"/>
              </w:rPr>
            </w:pPr>
            <w:r w:rsidRPr="005E78A8">
              <w:rPr>
                <w:rFonts w:ascii="Arial" w:hAnsi="Arial" w:cs="Arial"/>
                <w:color w:val="000000"/>
              </w:rPr>
              <w:t>≤0.3</w:t>
            </w:r>
          </w:p>
        </w:tc>
        <w:tc>
          <w:tcPr>
            <w:tcW w:w="1419" w:type="dxa"/>
            <w:gridSpan w:val="2"/>
            <w:tcBorders>
              <w:top w:val="nil"/>
              <w:left w:val="nil"/>
              <w:bottom w:val="nil"/>
            </w:tcBorders>
            <w:vAlign w:val="bottom"/>
          </w:tcPr>
          <w:p w14:paraId="428E9CAC" w14:textId="77777777" w:rsidR="00462160" w:rsidRPr="005E78A8" w:rsidRDefault="00462160" w:rsidP="005E78A8">
            <w:pPr>
              <w:rPr>
                <w:rFonts w:ascii="Arial" w:hAnsi="Arial" w:cs="Arial"/>
                <w:color w:val="000000"/>
              </w:rPr>
            </w:pPr>
            <w:r w:rsidRPr="005E78A8">
              <w:rPr>
                <w:rFonts w:ascii="Arial" w:hAnsi="Arial" w:cs="Arial"/>
                <w:color w:val="000000"/>
              </w:rPr>
              <w:t>≤0.3</w:t>
            </w:r>
          </w:p>
        </w:tc>
      </w:tr>
      <w:tr w:rsidR="00462160" w:rsidRPr="005E78A8" w14:paraId="0AAEEB28" w14:textId="77777777" w:rsidTr="00783C28">
        <w:tc>
          <w:tcPr>
            <w:tcW w:w="3969" w:type="dxa"/>
            <w:tcBorders>
              <w:top w:val="nil"/>
              <w:bottom w:val="nil"/>
              <w:right w:val="nil"/>
            </w:tcBorders>
            <w:vAlign w:val="bottom"/>
          </w:tcPr>
          <w:p w14:paraId="23C3954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Calcium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21430DD4"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4.372</w:t>
            </w:r>
            <w:r w:rsidRPr="005E78A8">
              <w:rPr>
                <w:rFonts w:ascii="Arial" w:hAnsi="Arial" w:cs="Arial"/>
                <w:sz w:val="20"/>
                <w:szCs w:val="20"/>
              </w:rPr>
              <w:t>±</w:t>
            </w:r>
            <w:r w:rsidRPr="005E78A8">
              <w:rPr>
                <w:rFonts w:ascii="Arial" w:hAnsi="Arial" w:cs="Arial"/>
                <w:color w:val="010205"/>
                <w:sz w:val="20"/>
                <w:szCs w:val="20"/>
              </w:rPr>
              <w:t>1.872</w:t>
            </w:r>
          </w:p>
        </w:tc>
        <w:tc>
          <w:tcPr>
            <w:tcW w:w="1985" w:type="dxa"/>
            <w:tcBorders>
              <w:top w:val="nil"/>
              <w:left w:val="nil"/>
              <w:bottom w:val="nil"/>
              <w:right w:val="nil"/>
            </w:tcBorders>
            <w:vAlign w:val="bottom"/>
          </w:tcPr>
          <w:p w14:paraId="24763E9B"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2.390</w:t>
            </w:r>
            <w:r w:rsidRPr="005E78A8">
              <w:rPr>
                <w:rFonts w:ascii="Arial" w:hAnsi="Arial" w:cs="Arial"/>
                <w:sz w:val="20"/>
                <w:szCs w:val="20"/>
              </w:rPr>
              <w:t>±</w:t>
            </w:r>
            <w:r w:rsidRPr="005E78A8">
              <w:rPr>
                <w:rFonts w:ascii="Arial" w:hAnsi="Arial" w:cs="Arial"/>
                <w:color w:val="010205"/>
                <w:sz w:val="20"/>
                <w:szCs w:val="20"/>
              </w:rPr>
              <w:t>0 .301</w:t>
            </w:r>
          </w:p>
        </w:tc>
        <w:tc>
          <w:tcPr>
            <w:tcW w:w="1842" w:type="dxa"/>
            <w:tcBorders>
              <w:top w:val="nil"/>
              <w:left w:val="nil"/>
              <w:bottom w:val="nil"/>
              <w:right w:val="nil"/>
            </w:tcBorders>
            <w:vAlign w:val="bottom"/>
          </w:tcPr>
          <w:p w14:paraId="674C89D0" w14:textId="77777777" w:rsidR="00462160" w:rsidRPr="005E78A8" w:rsidRDefault="00462160" w:rsidP="005E78A8">
            <w:pPr>
              <w:jc w:val="center"/>
              <w:rPr>
                <w:rFonts w:ascii="Arial" w:hAnsi="Arial" w:cs="Arial"/>
              </w:rPr>
            </w:pPr>
            <w:r w:rsidRPr="005E78A8">
              <w:rPr>
                <w:rFonts w:ascii="Arial" w:hAnsi="Arial" w:cs="Arial"/>
                <w:color w:val="010205"/>
              </w:rPr>
              <w:t>2.210</w:t>
            </w:r>
            <w:r w:rsidRPr="005E78A8">
              <w:rPr>
                <w:rFonts w:ascii="Arial" w:hAnsi="Arial" w:cs="Arial"/>
              </w:rPr>
              <w:t>±</w:t>
            </w:r>
            <w:r w:rsidRPr="005E78A8">
              <w:rPr>
                <w:rFonts w:ascii="Arial" w:hAnsi="Arial" w:cs="Arial"/>
                <w:color w:val="010205"/>
              </w:rPr>
              <w:t>0.010</w:t>
            </w:r>
          </w:p>
        </w:tc>
        <w:tc>
          <w:tcPr>
            <w:tcW w:w="1843" w:type="dxa"/>
            <w:tcBorders>
              <w:top w:val="nil"/>
              <w:left w:val="nil"/>
              <w:bottom w:val="nil"/>
              <w:right w:val="nil"/>
            </w:tcBorders>
            <w:vAlign w:val="bottom"/>
          </w:tcPr>
          <w:p w14:paraId="7E4FD1AB" w14:textId="77777777" w:rsidR="00462160" w:rsidRPr="005E78A8" w:rsidRDefault="00462160" w:rsidP="005E78A8">
            <w:pPr>
              <w:jc w:val="center"/>
              <w:rPr>
                <w:rFonts w:ascii="Arial" w:hAnsi="Arial" w:cs="Arial"/>
              </w:rPr>
            </w:pPr>
            <w:r w:rsidRPr="005E78A8">
              <w:rPr>
                <w:rFonts w:ascii="Arial" w:hAnsi="Arial" w:cs="Arial"/>
                <w:color w:val="010205"/>
              </w:rPr>
              <w:t xml:space="preserve">6.276 </w:t>
            </w:r>
            <w:r w:rsidRPr="005E78A8">
              <w:rPr>
                <w:rFonts w:ascii="Arial" w:hAnsi="Arial" w:cs="Arial"/>
              </w:rPr>
              <w:t>±</w:t>
            </w:r>
            <w:r w:rsidRPr="005E78A8">
              <w:rPr>
                <w:rFonts w:ascii="Arial" w:hAnsi="Arial" w:cs="Arial"/>
                <w:color w:val="010205"/>
              </w:rPr>
              <w:t>1.576</w:t>
            </w:r>
          </w:p>
        </w:tc>
        <w:tc>
          <w:tcPr>
            <w:tcW w:w="1987" w:type="dxa"/>
            <w:tcBorders>
              <w:top w:val="nil"/>
              <w:left w:val="nil"/>
              <w:bottom w:val="nil"/>
              <w:right w:val="nil"/>
            </w:tcBorders>
            <w:vAlign w:val="bottom"/>
          </w:tcPr>
          <w:p w14:paraId="572B768B" w14:textId="77777777" w:rsidR="00462160" w:rsidRPr="005E78A8" w:rsidRDefault="00462160" w:rsidP="005E78A8">
            <w:pPr>
              <w:rPr>
                <w:rFonts w:ascii="Arial" w:hAnsi="Arial" w:cs="Arial"/>
                <w:color w:val="000000"/>
              </w:rPr>
            </w:pPr>
            <w:r w:rsidRPr="005E78A8">
              <w:rPr>
                <w:rFonts w:ascii="Arial" w:hAnsi="Arial" w:cs="Arial"/>
                <w:color w:val="000000"/>
              </w:rPr>
              <w:t>≤75</w:t>
            </w:r>
          </w:p>
        </w:tc>
        <w:tc>
          <w:tcPr>
            <w:tcW w:w="1419" w:type="dxa"/>
            <w:gridSpan w:val="2"/>
            <w:tcBorders>
              <w:top w:val="nil"/>
              <w:left w:val="nil"/>
              <w:bottom w:val="nil"/>
            </w:tcBorders>
            <w:vAlign w:val="bottom"/>
          </w:tcPr>
          <w:p w14:paraId="396FA237" w14:textId="77777777" w:rsidR="00462160" w:rsidRPr="005E78A8" w:rsidRDefault="00462160" w:rsidP="005E78A8">
            <w:pPr>
              <w:rPr>
                <w:rFonts w:ascii="Arial" w:hAnsi="Arial" w:cs="Arial"/>
                <w:color w:val="000000"/>
              </w:rPr>
            </w:pPr>
            <w:r w:rsidRPr="005E78A8">
              <w:rPr>
                <w:rFonts w:ascii="Arial" w:hAnsi="Arial" w:cs="Arial"/>
                <w:color w:val="000000"/>
              </w:rPr>
              <w:t>≤75</w:t>
            </w:r>
          </w:p>
        </w:tc>
      </w:tr>
      <w:tr w:rsidR="00462160" w:rsidRPr="005E78A8" w14:paraId="49D0257D" w14:textId="77777777" w:rsidTr="00783C28">
        <w:tc>
          <w:tcPr>
            <w:tcW w:w="3969" w:type="dxa"/>
            <w:tcBorders>
              <w:top w:val="nil"/>
              <w:bottom w:val="nil"/>
              <w:right w:val="nil"/>
            </w:tcBorders>
            <w:vAlign w:val="bottom"/>
          </w:tcPr>
          <w:p w14:paraId="73800278"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Nickel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10EBA47E"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0.036</w:t>
            </w:r>
            <w:r w:rsidRPr="005E78A8">
              <w:rPr>
                <w:rFonts w:ascii="Arial" w:hAnsi="Arial" w:cs="Arial"/>
                <w:sz w:val="20"/>
                <w:szCs w:val="20"/>
              </w:rPr>
              <w:t>±</w:t>
            </w:r>
            <w:r w:rsidRPr="005E78A8">
              <w:rPr>
                <w:rFonts w:ascii="Arial" w:hAnsi="Arial" w:cs="Arial"/>
                <w:color w:val="010205"/>
                <w:sz w:val="20"/>
                <w:szCs w:val="20"/>
              </w:rPr>
              <w:t>0.033</w:t>
            </w:r>
          </w:p>
        </w:tc>
        <w:tc>
          <w:tcPr>
            <w:tcW w:w="1985" w:type="dxa"/>
            <w:tcBorders>
              <w:top w:val="nil"/>
              <w:left w:val="nil"/>
              <w:bottom w:val="nil"/>
              <w:right w:val="nil"/>
            </w:tcBorders>
            <w:vAlign w:val="bottom"/>
          </w:tcPr>
          <w:p w14:paraId="3B1222A8" w14:textId="77777777" w:rsidR="00462160" w:rsidRPr="005E78A8" w:rsidRDefault="00462160" w:rsidP="005E78A8">
            <w:pPr>
              <w:pStyle w:val="TableParagraph"/>
              <w:spacing w:before="2"/>
              <w:ind w:left="105"/>
              <w:jc w:val="center"/>
              <w:rPr>
                <w:rFonts w:ascii="Arial" w:hAnsi="Arial" w:cs="Arial"/>
                <w:sz w:val="20"/>
                <w:szCs w:val="20"/>
              </w:rPr>
            </w:pPr>
            <w:r w:rsidRPr="005E78A8">
              <w:rPr>
                <w:rFonts w:ascii="Arial" w:hAnsi="Arial" w:cs="Arial"/>
                <w:color w:val="010205"/>
                <w:sz w:val="20"/>
                <w:szCs w:val="20"/>
              </w:rPr>
              <w:t>0.029</w:t>
            </w:r>
            <w:r w:rsidRPr="005E78A8">
              <w:rPr>
                <w:rFonts w:ascii="Arial" w:hAnsi="Arial" w:cs="Arial"/>
                <w:sz w:val="20"/>
                <w:szCs w:val="20"/>
              </w:rPr>
              <w:t>±</w:t>
            </w:r>
            <w:r w:rsidRPr="005E78A8">
              <w:rPr>
                <w:rFonts w:ascii="Arial" w:hAnsi="Arial" w:cs="Arial"/>
                <w:color w:val="010205"/>
                <w:sz w:val="20"/>
                <w:szCs w:val="20"/>
              </w:rPr>
              <w:t>0.016</w:t>
            </w:r>
          </w:p>
        </w:tc>
        <w:tc>
          <w:tcPr>
            <w:tcW w:w="1842" w:type="dxa"/>
            <w:tcBorders>
              <w:top w:val="nil"/>
              <w:left w:val="nil"/>
              <w:bottom w:val="nil"/>
              <w:right w:val="nil"/>
            </w:tcBorders>
            <w:vAlign w:val="bottom"/>
          </w:tcPr>
          <w:p w14:paraId="41C8594D" w14:textId="77777777" w:rsidR="00462160" w:rsidRPr="005E78A8" w:rsidRDefault="00462160" w:rsidP="005E78A8">
            <w:pPr>
              <w:jc w:val="center"/>
              <w:rPr>
                <w:rFonts w:ascii="Arial" w:hAnsi="Arial" w:cs="Arial"/>
              </w:rPr>
            </w:pPr>
            <w:r w:rsidRPr="005E78A8">
              <w:rPr>
                <w:rFonts w:ascii="Arial" w:hAnsi="Arial" w:cs="Arial"/>
                <w:color w:val="010205"/>
              </w:rPr>
              <w:t>0.028</w:t>
            </w:r>
            <w:r w:rsidRPr="005E78A8">
              <w:rPr>
                <w:rFonts w:ascii="Arial" w:hAnsi="Arial" w:cs="Arial"/>
              </w:rPr>
              <w:t>±</w:t>
            </w:r>
            <w:r w:rsidRPr="005E78A8">
              <w:rPr>
                <w:rFonts w:ascii="Arial" w:hAnsi="Arial" w:cs="Arial"/>
                <w:color w:val="010205"/>
              </w:rPr>
              <w:t>0.021</w:t>
            </w:r>
          </w:p>
        </w:tc>
        <w:tc>
          <w:tcPr>
            <w:tcW w:w="1843" w:type="dxa"/>
            <w:tcBorders>
              <w:top w:val="nil"/>
              <w:left w:val="nil"/>
              <w:bottom w:val="nil"/>
              <w:right w:val="nil"/>
            </w:tcBorders>
            <w:vAlign w:val="bottom"/>
          </w:tcPr>
          <w:p w14:paraId="3E16C9BF" w14:textId="77777777" w:rsidR="00462160" w:rsidRPr="005E78A8" w:rsidRDefault="00462160" w:rsidP="005E78A8">
            <w:pPr>
              <w:jc w:val="center"/>
              <w:rPr>
                <w:rFonts w:ascii="Arial" w:hAnsi="Arial" w:cs="Arial"/>
              </w:rPr>
            </w:pPr>
            <w:r w:rsidRPr="005E78A8">
              <w:rPr>
                <w:rFonts w:ascii="Arial" w:hAnsi="Arial" w:cs="Arial"/>
                <w:color w:val="010205"/>
              </w:rPr>
              <w:t>0.021</w:t>
            </w:r>
            <w:r w:rsidRPr="005E78A8">
              <w:rPr>
                <w:rFonts w:ascii="Arial" w:hAnsi="Arial" w:cs="Arial"/>
              </w:rPr>
              <w:t>±</w:t>
            </w:r>
            <w:r w:rsidRPr="005E78A8">
              <w:rPr>
                <w:rFonts w:ascii="Arial" w:hAnsi="Arial" w:cs="Arial"/>
                <w:color w:val="010205"/>
              </w:rPr>
              <w:t>0.026</w:t>
            </w:r>
          </w:p>
        </w:tc>
        <w:tc>
          <w:tcPr>
            <w:tcW w:w="1987" w:type="dxa"/>
            <w:tcBorders>
              <w:top w:val="nil"/>
              <w:left w:val="nil"/>
              <w:bottom w:val="nil"/>
              <w:right w:val="nil"/>
            </w:tcBorders>
            <w:vAlign w:val="bottom"/>
          </w:tcPr>
          <w:p w14:paraId="0B467803" w14:textId="77777777" w:rsidR="00462160" w:rsidRPr="005E78A8" w:rsidRDefault="00462160" w:rsidP="005E78A8">
            <w:pPr>
              <w:rPr>
                <w:rFonts w:ascii="Arial" w:hAnsi="Arial" w:cs="Arial"/>
                <w:color w:val="000000"/>
              </w:rPr>
            </w:pPr>
            <w:r w:rsidRPr="005E78A8">
              <w:rPr>
                <w:rFonts w:ascii="Arial" w:hAnsi="Arial" w:cs="Arial"/>
                <w:color w:val="000000"/>
              </w:rPr>
              <w:t>≤0.02</w:t>
            </w:r>
          </w:p>
        </w:tc>
        <w:tc>
          <w:tcPr>
            <w:tcW w:w="1419" w:type="dxa"/>
            <w:gridSpan w:val="2"/>
            <w:tcBorders>
              <w:top w:val="nil"/>
              <w:left w:val="nil"/>
              <w:bottom w:val="nil"/>
            </w:tcBorders>
            <w:vAlign w:val="bottom"/>
          </w:tcPr>
          <w:p w14:paraId="2976B37A" w14:textId="77777777" w:rsidR="00462160" w:rsidRPr="005E78A8" w:rsidRDefault="00462160" w:rsidP="005E78A8">
            <w:pPr>
              <w:rPr>
                <w:rFonts w:ascii="Arial" w:hAnsi="Arial" w:cs="Arial"/>
                <w:color w:val="000000"/>
              </w:rPr>
            </w:pPr>
            <w:r w:rsidRPr="005E78A8">
              <w:rPr>
                <w:rFonts w:ascii="Arial" w:hAnsi="Arial" w:cs="Arial"/>
                <w:color w:val="000000"/>
              </w:rPr>
              <w:t>≤0.02</w:t>
            </w:r>
          </w:p>
        </w:tc>
      </w:tr>
      <w:tr w:rsidR="00462160" w:rsidRPr="005E78A8" w14:paraId="076EAD03" w14:textId="77777777" w:rsidTr="00783C28">
        <w:tc>
          <w:tcPr>
            <w:tcW w:w="3969" w:type="dxa"/>
            <w:tcBorders>
              <w:top w:val="nil"/>
              <w:bottom w:val="single" w:sz="4" w:space="0" w:color="000000" w:themeColor="text1"/>
              <w:right w:val="nil"/>
            </w:tcBorders>
            <w:vAlign w:val="bottom"/>
          </w:tcPr>
          <w:p w14:paraId="513B01E7"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Cadmium </w:t>
            </w:r>
            <w:r w:rsidRPr="005E78A8">
              <w:rPr>
                <w:rFonts w:ascii="Arial" w:hAnsi="Arial" w:cs="Arial"/>
                <w:b/>
                <w:spacing w:val="-2"/>
                <w:sz w:val="20"/>
                <w:szCs w:val="20"/>
              </w:rPr>
              <w:t>(mg/L)</w:t>
            </w:r>
          </w:p>
        </w:tc>
        <w:tc>
          <w:tcPr>
            <w:tcW w:w="2125" w:type="dxa"/>
            <w:tcBorders>
              <w:top w:val="nil"/>
              <w:left w:val="nil"/>
              <w:bottom w:val="single" w:sz="4" w:space="0" w:color="000000" w:themeColor="text1"/>
              <w:right w:val="nil"/>
            </w:tcBorders>
            <w:vAlign w:val="bottom"/>
          </w:tcPr>
          <w:p w14:paraId="5FC4DE6C" w14:textId="77777777" w:rsidR="00462160" w:rsidRPr="005E78A8" w:rsidRDefault="00462160" w:rsidP="005E78A8">
            <w:pPr>
              <w:pStyle w:val="TableParagraph"/>
              <w:ind w:left="0"/>
              <w:jc w:val="center"/>
              <w:rPr>
                <w:rFonts w:ascii="Arial" w:hAnsi="Arial" w:cs="Arial"/>
                <w:sz w:val="20"/>
                <w:szCs w:val="20"/>
              </w:rPr>
            </w:pPr>
            <w:r w:rsidRPr="005E78A8">
              <w:rPr>
                <w:rFonts w:ascii="Arial" w:hAnsi="Arial" w:cs="Arial"/>
                <w:color w:val="010205"/>
                <w:sz w:val="20"/>
                <w:szCs w:val="20"/>
              </w:rPr>
              <w:t>0.229</w:t>
            </w:r>
            <w:r w:rsidRPr="005E78A8">
              <w:rPr>
                <w:rFonts w:ascii="Arial" w:hAnsi="Arial" w:cs="Arial"/>
                <w:sz w:val="20"/>
                <w:szCs w:val="20"/>
              </w:rPr>
              <w:t>±0</w:t>
            </w:r>
            <w:r w:rsidRPr="005E78A8">
              <w:rPr>
                <w:rFonts w:ascii="Arial" w:hAnsi="Arial" w:cs="Arial"/>
                <w:color w:val="010205"/>
                <w:sz w:val="20"/>
                <w:szCs w:val="20"/>
              </w:rPr>
              <w:t>.204</w:t>
            </w:r>
          </w:p>
        </w:tc>
        <w:tc>
          <w:tcPr>
            <w:tcW w:w="1985" w:type="dxa"/>
            <w:tcBorders>
              <w:top w:val="nil"/>
              <w:left w:val="nil"/>
              <w:bottom w:val="single" w:sz="4" w:space="0" w:color="000000" w:themeColor="text1"/>
              <w:right w:val="nil"/>
            </w:tcBorders>
            <w:vAlign w:val="bottom"/>
          </w:tcPr>
          <w:p w14:paraId="1E95B778" w14:textId="77777777" w:rsidR="00462160" w:rsidRPr="005E78A8" w:rsidRDefault="00462160" w:rsidP="005E78A8">
            <w:pPr>
              <w:pStyle w:val="TableParagraph"/>
              <w:ind w:left="0"/>
              <w:jc w:val="center"/>
              <w:rPr>
                <w:rFonts w:ascii="Arial" w:hAnsi="Arial" w:cs="Arial"/>
                <w:sz w:val="20"/>
                <w:szCs w:val="20"/>
              </w:rPr>
            </w:pPr>
            <w:r w:rsidRPr="005E78A8">
              <w:rPr>
                <w:rFonts w:ascii="Arial" w:hAnsi="Arial" w:cs="Arial"/>
                <w:color w:val="010205"/>
                <w:sz w:val="20"/>
                <w:szCs w:val="20"/>
              </w:rPr>
              <w:t>0.228</w:t>
            </w:r>
            <w:r w:rsidRPr="005E78A8">
              <w:rPr>
                <w:rFonts w:ascii="Arial" w:hAnsi="Arial" w:cs="Arial"/>
                <w:sz w:val="20"/>
                <w:szCs w:val="20"/>
              </w:rPr>
              <w:t>±</w:t>
            </w:r>
            <w:r w:rsidRPr="005E78A8">
              <w:rPr>
                <w:rFonts w:ascii="Arial" w:hAnsi="Arial" w:cs="Arial"/>
                <w:color w:val="010205"/>
                <w:sz w:val="20"/>
                <w:szCs w:val="20"/>
              </w:rPr>
              <w:t>0.203</w:t>
            </w:r>
          </w:p>
        </w:tc>
        <w:tc>
          <w:tcPr>
            <w:tcW w:w="1842" w:type="dxa"/>
            <w:tcBorders>
              <w:top w:val="nil"/>
              <w:left w:val="nil"/>
              <w:bottom w:val="single" w:sz="4" w:space="0" w:color="auto"/>
              <w:right w:val="nil"/>
            </w:tcBorders>
            <w:vAlign w:val="bottom"/>
          </w:tcPr>
          <w:p w14:paraId="70AC2F16" w14:textId="77777777" w:rsidR="00462160" w:rsidRPr="005E78A8" w:rsidRDefault="00462160" w:rsidP="005E78A8">
            <w:pPr>
              <w:jc w:val="center"/>
              <w:rPr>
                <w:rFonts w:ascii="Arial" w:hAnsi="Arial" w:cs="Arial"/>
              </w:rPr>
            </w:pPr>
            <w:r w:rsidRPr="005E78A8">
              <w:rPr>
                <w:rFonts w:ascii="Arial" w:hAnsi="Arial" w:cs="Arial"/>
                <w:color w:val="010205"/>
              </w:rPr>
              <w:t>0.173</w:t>
            </w:r>
            <w:r w:rsidRPr="005E78A8">
              <w:rPr>
                <w:rFonts w:ascii="Arial" w:hAnsi="Arial" w:cs="Arial"/>
              </w:rPr>
              <w:t>±</w:t>
            </w:r>
            <w:r w:rsidRPr="005E78A8">
              <w:rPr>
                <w:rFonts w:ascii="Arial" w:hAnsi="Arial" w:cs="Arial"/>
                <w:color w:val="010205"/>
              </w:rPr>
              <w:t>0.148</w:t>
            </w:r>
          </w:p>
        </w:tc>
        <w:tc>
          <w:tcPr>
            <w:tcW w:w="1843" w:type="dxa"/>
            <w:tcBorders>
              <w:top w:val="nil"/>
              <w:left w:val="nil"/>
              <w:bottom w:val="single" w:sz="4" w:space="0" w:color="auto"/>
              <w:right w:val="nil"/>
            </w:tcBorders>
            <w:vAlign w:val="bottom"/>
          </w:tcPr>
          <w:p w14:paraId="18975D8C" w14:textId="77777777" w:rsidR="00462160" w:rsidRPr="005E78A8" w:rsidRDefault="00462160" w:rsidP="005E78A8">
            <w:pPr>
              <w:jc w:val="center"/>
              <w:rPr>
                <w:rFonts w:ascii="Arial" w:hAnsi="Arial" w:cs="Arial"/>
              </w:rPr>
            </w:pPr>
            <w:r w:rsidRPr="005E78A8">
              <w:rPr>
                <w:rFonts w:ascii="Arial" w:hAnsi="Arial" w:cs="Arial"/>
                <w:color w:val="010205"/>
              </w:rPr>
              <w:t>0.195</w:t>
            </w:r>
            <w:r w:rsidRPr="005E78A8">
              <w:rPr>
                <w:rFonts w:ascii="Arial" w:hAnsi="Arial" w:cs="Arial"/>
              </w:rPr>
              <w:t>±</w:t>
            </w:r>
            <w:r w:rsidRPr="005E78A8">
              <w:rPr>
                <w:rFonts w:ascii="Arial" w:hAnsi="Arial" w:cs="Arial"/>
                <w:color w:val="010205"/>
              </w:rPr>
              <w:t>0.178</w:t>
            </w:r>
          </w:p>
        </w:tc>
        <w:tc>
          <w:tcPr>
            <w:tcW w:w="1987" w:type="dxa"/>
            <w:tcBorders>
              <w:top w:val="nil"/>
              <w:left w:val="nil"/>
              <w:bottom w:val="single" w:sz="4" w:space="0" w:color="auto"/>
              <w:right w:val="nil"/>
            </w:tcBorders>
            <w:vAlign w:val="bottom"/>
          </w:tcPr>
          <w:p w14:paraId="01EC95C3" w14:textId="77777777" w:rsidR="00462160" w:rsidRPr="005E78A8" w:rsidRDefault="00462160" w:rsidP="005E78A8">
            <w:pPr>
              <w:rPr>
                <w:rFonts w:ascii="Arial" w:hAnsi="Arial" w:cs="Arial"/>
                <w:color w:val="000000"/>
              </w:rPr>
            </w:pPr>
            <w:r w:rsidRPr="005E78A8">
              <w:rPr>
                <w:rFonts w:ascii="Arial" w:hAnsi="Arial" w:cs="Arial"/>
                <w:color w:val="000000"/>
              </w:rPr>
              <w:t>≤0.003</w:t>
            </w:r>
          </w:p>
        </w:tc>
        <w:tc>
          <w:tcPr>
            <w:tcW w:w="1419" w:type="dxa"/>
            <w:gridSpan w:val="2"/>
            <w:tcBorders>
              <w:top w:val="nil"/>
              <w:left w:val="nil"/>
              <w:bottom w:val="single" w:sz="4" w:space="0" w:color="auto"/>
            </w:tcBorders>
            <w:vAlign w:val="bottom"/>
          </w:tcPr>
          <w:p w14:paraId="6C39FB68" w14:textId="77777777" w:rsidR="00462160" w:rsidRPr="005E78A8" w:rsidRDefault="00462160" w:rsidP="005E78A8">
            <w:pPr>
              <w:rPr>
                <w:rFonts w:ascii="Arial" w:hAnsi="Arial" w:cs="Arial"/>
                <w:color w:val="000000"/>
              </w:rPr>
            </w:pPr>
            <w:r w:rsidRPr="005E78A8">
              <w:rPr>
                <w:rFonts w:ascii="Arial" w:hAnsi="Arial" w:cs="Arial"/>
                <w:color w:val="000000"/>
              </w:rPr>
              <w:t>≤0.003</w:t>
            </w:r>
          </w:p>
        </w:tc>
      </w:tr>
    </w:tbl>
    <w:p w14:paraId="3BF0099B" w14:textId="77777777" w:rsidR="001A245A" w:rsidRDefault="001A245A" w:rsidP="005E78A8">
      <w:pPr>
        <w:pStyle w:val="TableParagraph"/>
        <w:ind w:left="885"/>
        <w:rPr>
          <w:sz w:val="24"/>
          <w:szCs w:val="24"/>
        </w:rPr>
        <w:sectPr w:rsidR="001A245A" w:rsidSect="00F17282">
          <w:pgSz w:w="15840" w:h="12240" w:orient="landscape"/>
          <w:pgMar w:top="2016" w:right="1440" w:bottom="1560" w:left="2016" w:header="720" w:footer="1123" w:gutter="0"/>
          <w:cols w:space="720"/>
          <w:docGrid w:linePitch="272"/>
        </w:sectPr>
      </w:pPr>
    </w:p>
    <w:p w14:paraId="02AD5E06" w14:textId="77777777" w:rsidR="002B0ABA" w:rsidRDefault="002B0ABA" w:rsidP="00462160">
      <w:pPr>
        <w:pStyle w:val="Body"/>
        <w:spacing w:after="0"/>
        <w:ind w:left="-1134"/>
        <w:rPr>
          <w:rFonts w:ascii="Arial" w:hAnsi="Arial" w:cs="Arial"/>
        </w:rPr>
      </w:pPr>
    </w:p>
    <w:p w14:paraId="4FFCB012" w14:textId="77777777" w:rsidR="00973854" w:rsidRPr="00973854" w:rsidRDefault="00973854" w:rsidP="00973854">
      <w:pPr>
        <w:pStyle w:val="Body"/>
        <w:rPr>
          <w:rFonts w:ascii="Arial" w:hAnsi="Arial" w:cs="Arial"/>
          <w:lang w:val="en-GB" w:eastAsia="en-GB"/>
        </w:rPr>
      </w:pPr>
      <w:commentRangeStart w:id="9"/>
      <w:r w:rsidRPr="00973854">
        <w:rPr>
          <w:rFonts w:ascii="Arial" w:hAnsi="Arial" w:cs="Arial"/>
          <w:lang w:val="en-GB" w:eastAsia="en-GB"/>
        </w:rPr>
        <w:t>The water quality of the Eniong River</w:t>
      </w:r>
      <w:commentRangeEnd w:id="9"/>
      <w:r w:rsidR="00C70C74">
        <w:rPr>
          <w:rStyle w:val="CommentReference"/>
        </w:rPr>
        <w:commentReference w:id="9"/>
      </w:r>
      <w:r w:rsidRPr="00973854">
        <w:rPr>
          <w:rFonts w:ascii="Arial" w:hAnsi="Arial" w:cs="Arial"/>
          <w:lang w:val="en-GB" w:eastAsia="en-GB"/>
        </w:rPr>
        <w:t>, as characterized by its physicochemical and biological parameters, provides clear evidence of a system under significant eutrophication and heavy metal stress. These environmental conditions play a critical role in structuring periphytic algal communities, which colonize submerged surfaces such as macrophytes (</w:t>
      </w:r>
      <w:r w:rsidRPr="003C2D44">
        <w:rPr>
          <w:rFonts w:ascii="Arial" w:hAnsi="Arial" w:cs="Arial"/>
          <w:i/>
          <w:lang w:val="en-GB" w:eastAsia="en-GB"/>
        </w:rPr>
        <w:t>Pontederia crassipes, Pistia stratiotes, Ludwigia adscendens, Vossia cuspidata, Ceratophyllum s</w:t>
      </w:r>
      <w:r w:rsidR="003C2D44" w:rsidRPr="003C2D44">
        <w:rPr>
          <w:rFonts w:ascii="Arial" w:hAnsi="Arial" w:cs="Arial"/>
          <w:i/>
          <w:lang w:val="en-GB" w:eastAsia="en-GB"/>
        </w:rPr>
        <w:t xml:space="preserve">ubmersum, </w:t>
      </w:r>
      <w:r w:rsidR="003C2D44" w:rsidRPr="003C2D44">
        <w:rPr>
          <w:rFonts w:ascii="Arial" w:hAnsi="Arial" w:cs="Arial"/>
          <w:lang w:val="en-GB" w:eastAsia="en-GB"/>
        </w:rPr>
        <w:t>and</w:t>
      </w:r>
      <w:r w:rsidR="003C2D44" w:rsidRPr="003C2D44">
        <w:rPr>
          <w:rFonts w:ascii="Arial" w:hAnsi="Arial" w:cs="Arial"/>
          <w:i/>
          <w:lang w:val="en-GB" w:eastAsia="en-GB"/>
        </w:rPr>
        <w:t xml:space="preserve"> Ipomoea aquatica</w:t>
      </w:r>
      <w:r w:rsidRPr="003C2D44">
        <w:rPr>
          <w:rFonts w:ascii="Arial" w:hAnsi="Arial" w:cs="Arial"/>
          <w:i/>
          <w:lang w:val="en-GB" w:eastAsia="en-GB"/>
        </w:rPr>
        <w:t xml:space="preserve"> </w:t>
      </w:r>
      <w:r w:rsidRPr="00973854">
        <w:rPr>
          <w:rFonts w:ascii="Arial" w:hAnsi="Arial" w:cs="Arial"/>
          <w:lang w:val="en-GB" w:eastAsia="en-GB"/>
        </w:rPr>
        <w:t xml:space="preserve">(Nkwoji </w:t>
      </w:r>
      <w:r w:rsidRPr="003C2D44">
        <w:rPr>
          <w:rFonts w:ascii="Arial" w:hAnsi="Arial" w:cs="Arial"/>
          <w:i/>
          <w:lang w:val="en-GB" w:eastAsia="en-GB"/>
        </w:rPr>
        <w:t>et al</w:t>
      </w:r>
      <w:r w:rsidRPr="00973854">
        <w:rPr>
          <w:rFonts w:ascii="Arial" w:hAnsi="Arial" w:cs="Arial"/>
          <w:lang w:val="en-GB" w:eastAsia="en-GB"/>
        </w:rPr>
        <w:t>., 2021).</w:t>
      </w:r>
      <w:r>
        <w:rPr>
          <w:rFonts w:ascii="Arial" w:hAnsi="Arial" w:cs="Arial"/>
          <w:lang w:val="en-GB" w:eastAsia="en-GB"/>
        </w:rPr>
        <w:t xml:space="preserve"> </w:t>
      </w:r>
      <w:r w:rsidRPr="00973854">
        <w:rPr>
          <w:rFonts w:ascii="Arial" w:hAnsi="Arial" w:cs="Arial"/>
          <w:lang w:val="en-GB" w:eastAsia="en-GB"/>
        </w:rPr>
        <w:t xml:space="preserve">Elevated levels of nitrogen (N) and phosphorus (P), often driven by agricultural runoff, sewage discharge, and urban effluents, fuel algal blooms and shift community composition toward fast-growing, opportunistic species. Diatoms, while sensitive to water quality, can be early indicators of such eutrophication processes. Studies show that species such as </w:t>
      </w:r>
      <w:r w:rsidRPr="003C2D44">
        <w:rPr>
          <w:rFonts w:ascii="Arial" w:hAnsi="Arial" w:cs="Arial"/>
          <w:i/>
          <w:lang w:val="en-GB" w:eastAsia="en-GB"/>
        </w:rPr>
        <w:t>Navicula</w:t>
      </w:r>
      <w:r w:rsidRPr="00973854">
        <w:rPr>
          <w:rFonts w:ascii="Arial" w:hAnsi="Arial" w:cs="Arial"/>
          <w:lang w:val="en-GB" w:eastAsia="en-GB"/>
        </w:rPr>
        <w:t xml:space="preserve"> </w:t>
      </w:r>
      <w:r w:rsidR="003C2D44" w:rsidRPr="005E78A8">
        <w:rPr>
          <w:rFonts w:ascii="Arial" w:hAnsi="Arial" w:cs="Arial"/>
          <w:i/>
        </w:rPr>
        <w:t>malice</w:t>
      </w:r>
      <w:r w:rsidRPr="00973854">
        <w:rPr>
          <w:rFonts w:ascii="Arial" w:hAnsi="Arial" w:cs="Arial"/>
          <w:lang w:val="en-GB" w:eastAsia="en-GB"/>
        </w:rPr>
        <w:t xml:space="preserve">, and </w:t>
      </w:r>
      <w:r w:rsidRPr="003C2D44">
        <w:rPr>
          <w:rFonts w:ascii="Arial" w:hAnsi="Arial" w:cs="Arial"/>
          <w:i/>
          <w:lang w:val="en-GB" w:eastAsia="en-GB"/>
        </w:rPr>
        <w:t>Gomphonema</w:t>
      </w:r>
      <w:r w:rsidRPr="00973854">
        <w:rPr>
          <w:rFonts w:ascii="Arial" w:hAnsi="Arial" w:cs="Arial"/>
          <w:lang w:val="en-GB" w:eastAsia="en-GB"/>
        </w:rPr>
        <w:t xml:space="preserve"> </w:t>
      </w:r>
      <w:r w:rsidRPr="003C2D44">
        <w:rPr>
          <w:rFonts w:ascii="Arial" w:hAnsi="Arial" w:cs="Arial"/>
          <w:i/>
          <w:lang w:val="en-GB" w:eastAsia="en-GB"/>
        </w:rPr>
        <w:t>parvulum</w:t>
      </w:r>
      <w:r w:rsidRPr="00973854">
        <w:rPr>
          <w:rFonts w:ascii="Arial" w:hAnsi="Arial" w:cs="Arial"/>
          <w:lang w:val="en-GB" w:eastAsia="en-GB"/>
        </w:rPr>
        <w:t xml:space="preserve"> tend to dominate under nutrient-rich, disturbed conditions due to their high tolerance for organic pollution and low dissolved oxygen (DO) concentrations (Taylor </w:t>
      </w:r>
      <w:r w:rsidRPr="003C2D44">
        <w:rPr>
          <w:rFonts w:ascii="Arial" w:hAnsi="Arial" w:cs="Arial"/>
          <w:i/>
          <w:lang w:val="en-GB" w:eastAsia="en-GB"/>
        </w:rPr>
        <w:t>et al</w:t>
      </w:r>
      <w:r w:rsidRPr="00973854">
        <w:rPr>
          <w:rFonts w:ascii="Arial" w:hAnsi="Arial" w:cs="Arial"/>
          <w:lang w:val="en-GB" w:eastAsia="en-GB"/>
        </w:rPr>
        <w:t xml:space="preserve">., </w:t>
      </w:r>
      <w:r w:rsidR="003C2D44">
        <w:rPr>
          <w:rFonts w:ascii="Arial" w:hAnsi="Arial" w:cs="Arial"/>
          <w:lang w:val="en-GB" w:eastAsia="en-GB"/>
        </w:rPr>
        <w:t xml:space="preserve">2007; Bellinger and Sigee, 2015). </w:t>
      </w:r>
      <w:r w:rsidRPr="00973854">
        <w:rPr>
          <w:rFonts w:ascii="Arial" w:hAnsi="Arial" w:cs="Arial"/>
          <w:lang w:val="en-GB" w:eastAsia="en-GB"/>
        </w:rPr>
        <w:t>In the Eniong River, this nutrient loading likely pr</w:t>
      </w:r>
      <w:r>
        <w:rPr>
          <w:rFonts w:ascii="Arial" w:hAnsi="Arial" w:cs="Arial"/>
          <w:lang w:val="en-GB" w:eastAsia="en-GB"/>
        </w:rPr>
        <w:t>omotes filamentous green algae</w:t>
      </w:r>
      <w:r w:rsidRPr="00973854">
        <w:rPr>
          <w:rFonts w:ascii="Arial" w:hAnsi="Arial" w:cs="Arial"/>
          <w:lang w:val="en-GB" w:eastAsia="en-GB"/>
        </w:rPr>
        <w:t xml:space="preserve"> and eutrophic-tolerant diatoms, while simultaneously suppr</w:t>
      </w:r>
      <w:r>
        <w:rPr>
          <w:rFonts w:ascii="Arial" w:hAnsi="Arial" w:cs="Arial"/>
          <w:lang w:val="en-GB" w:eastAsia="en-GB"/>
        </w:rPr>
        <w:t>essing more sensitive taxa like</w:t>
      </w:r>
      <w:r w:rsidRPr="00973854">
        <w:rPr>
          <w:rFonts w:ascii="Arial" w:hAnsi="Arial" w:cs="Arial"/>
          <w:lang w:val="en-GB" w:eastAsia="en-GB"/>
        </w:rPr>
        <w:t xml:space="preserve"> </w:t>
      </w:r>
      <w:r w:rsidRPr="003C2D44">
        <w:rPr>
          <w:rFonts w:ascii="Arial" w:hAnsi="Arial" w:cs="Arial"/>
          <w:i/>
          <w:lang w:val="en-GB" w:eastAsia="en-GB"/>
        </w:rPr>
        <w:t>Fragilaria</w:t>
      </w:r>
      <w:r w:rsidRPr="00973854">
        <w:rPr>
          <w:rFonts w:ascii="Arial" w:hAnsi="Arial" w:cs="Arial"/>
          <w:lang w:val="en-GB" w:eastAsia="en-GB"/>
        </w:rPr>
        <w:t xml:space="preserve"> </w:t>
      </w:r>
      <w:r>
        <w:rPr>
          <w:rFonts w:ascii="Arial" w:hAnsi="Arial" w:cs="Arial"/>
          <w:lang w:val="en-GB" w:eastAsia="en-GB"/>
        </w:rPr>
        <w:t>sp</w:t>
      </w:r>
      <w:r w:rsidR="003C2D44">
        <w:rPr>
          <w:rFonts w:ascii="Arial" w:hAnsi="Arial" w:cs="Arial"/>
          <w:lang w:val="en-GB" w:eastAsia="en-GB"/>
        </w:rPr>
        <w:t>ecies</w:t>
      </w:r>
      <w:r w:rsidRPr="00973854">
        <w:rPr>
          <w:rFonts w:ascii="Arial" w:hAnsi="Arial" w:cs="Arial"/>
          <w:lang w:val="en-GB" w:eastAsia="en-GB"/>
        </w:rPr>
        <w:t xml:space="preserve"> that prefer oligotrophic to mesotrophic conditions (Kelly, 2003).</w:t>
      </w:r>
    </w:p>
    <w:p w14:paraId="2BFB7C9B" w14:textId="77777777" w:rsidR="000E0521" w:rsidRPr="000E0521" w:rsidRDefault="000E0521" w:rsidP="000E0521">
      <w:pPr>
        <w:pStyle w:val="Body"/>
        <w:rPr>
          <w:rFonts w:ascii="Arial" w:hAnsi="Arial" w:cs="Arial"/>
          <w:lang w:val="en-GB" w:eastAsia="en-GB"/>
        </w:rPr>
      </w:pPr>
      <w:r w:rsidRPr="000E0521">
        <w:rPr>
          <w:rFonts w:ascii="Arial" w:hAnsi="Arial" w:cs="Arial"/>
          <w:lang w:val="en-GB" w:eastAsia="en-GB"/>
        </w:rPr>
        <w:t xml:space="preserve">The pH values range from 6.15 to 6.715, which sit toward the lower end of the acceptable spectrum (WHO and NESREA limits: 6.5–8.5). Slightly acidic conditions can affect enzymatic activities and cellular processes in periphytic algae, often favoring species with robust acid-tolerance mechanisms. Studies have shown that diatoms and green algae with specialized membrane transporters are more likely to thrive under these conditions, while species requiring more neutral to alkaline conditions may </w:t>
      </w:r>
      <w:r w:rsidR="00C47347">
        <w:rPr>
          <w:rFonts w:ascii="Arial" w:hAnsi="Arial" w:cs="Arial"/>
          <w:lang w:val="en-GB" w:eastAsia="en-GB"/>
        </w:rPr>
        <w:t>be</w:t>
      </w:r>
      <w:r w:rsidR="009C5D2B">
        <w:rPr>
          <w:rFonts w:ascii="Arial" w:hAnsi="Arial" w:cs="Arial"/>
          <w:lang w:val="en-GB" w:eastAsia="en-GB"/>
        </w:rPr>
        <w:t xml:space="preserve"> competitively excluded (</w:t>
      </w:r>
      <w:r w:rsidR="009C5D2B" w:rsidRPr="009C5D2B">
        <w:rPr>
          <w:rFonts w:ascii="Arial" w:hAnsi="Arial" w:cs="Arial"/>
          <w:lang w:val="en-GB" w:eastAsia="en-GB"/>
        </w:rPr>
        <w:t>Xu,</w:t>
      </w:r>
      <w:r w:rsidR="009C5D2B">
        <w:rPr>
          <w:rFonts w:ascii="Arial" w:hAnsi="Arial" w:cs="Arial"/>
          <w:lang w:val="en-GB" w:eastAsia="en-GB"/>
        </w:rPr>
        <w:t xml:space="preserve"> </w:t>
      </w:r>
      <w:r w:rsidR="009C5D2B" w:rsidRPr="009C5D2B">
        <w:rPr>
          <w:rFonts w:ascii="Arial" w:hAnsi="Arial" w:cs="Arial"/>
          <w:i/>
          <w:lang w:val="en-GB" w:eastAsia="en-GB"/>
        </w:rPr>
        <w:t>et al.,</w:t>
      </w:r>
      <w:r w:rsidR="009C5D2B">
        <w:rPr>
          <w:rFonts w:ascii="Arial" w:hAnsi="Arial" w:cs="Arial"/>
          <w:lang w:val="en-GB" w:eastAsia="en-GB"/>
        </w:rPr>
        <w:t xml:space="preserve"> 2015</w:t>
      </w:r>
      <w:r w:rsidRPr="000E0521">
        <w:rPr>
          <w:rFonts w:ascii="Arial" w:hAnsi="Arial" w:cs="Arial"/>
          <w:lang w:val="en-GB" w:eastAsia="en-GB"/>
        </w:rPr>
        <w:t>).</w:t>
      </w:r>
      <w:r w:rsidR="00525162">
        <w:rPr>
          <w:rFonts w:ascii="Arial" w:hAnsi="Arial" w:cs="Arial"/>
          <w:lang w:val="en-GB" w:eastAsia="en-GB"/>
        </w:rPr>
        <w:t xml:space="preserve"> </w:t>
      </w:r>
      <w:r w:rsidRPr="000E0521">
        <w:rPr>
          <w:rFonts w:ascii="Arial" w:hAnsi="Arial" w:cs="Arial"/>
          <w:lang w:val="en-GB" w:eastAsia="en-GB"/>
        </w:rPr>
        <w:t>Water temperature remains consistently around 26 °C, a typical tropical value that supports rapid metabolic rates and growth. However, in the context of metal toxicity, higher temperatures can exacerbate the toxic effects by increasing metabolic uptake rates and accelerat</w:t>
      </w:r>
      <w:r w:rsidR="0059315B">
        <w:rPr>
          <w:rFonts w:ascii="Arial" w:hAnsi="Arial" w:cs="Arial"/>
          <w:lang w:val="en-GB" w:eastAsia="en-GB"/>
        </w:rPr>
        <w:t>ing biochemical reactions (</w:t>
      </w:r>
      <w:r w:rsidR="0059315B" w:rsidRPr="00B944E6">
        <w:rPr>
          <w:rFonts w:ascii="Arial" w:hAnsi="Arial" w:cs="Arial"/>
          <w:lang w:eastAsia="en-GB"/>
        </w:rPr>
        <w:t>Azim,</w:t>
      </w:r>
      <w:r w:rsidRPr="000E0521">
        <w:rPr>
          <w:rFonts w:ascii="Arial" w:hAnsi="Arial" w:cs="Arial"/>
          <w:lang w:val="en-GB" w:eastAsia="en-GB"/>
        </w:rPr>
        <w:t xml:space="preserve"> </w:t>
      </w:r>
      <w:r w:rsidRPr="00C47347">
        <w:rPr>
          <w:rFonts w:ascii="Arial" w:hAnsi="Arial" w:cs="Arial"/>
          <w:i/>
          <w:lang w:val="en-GB" w:eastAsia="en-GB"/>
        </w:rPr>
        <w:t>et al.,</w:t>
      </w:r>
      <w:r w:rsidR="0059315B">
        <w:rPr>
          <w:rFonts w:ascii="Arial" w:hAnsi="Arial" w:cs="Arial"/>
          <w:lang w:val="en-GB" w:eastAsia="en-GB"/>
        </w:rPr>
        <w:t xml:space="preserve"> 2005</w:t>
      </w:r>
      <w:r w:rsidRPr="000E0521">
        <w:rPr>
          <w:rFonts w:ascii="Arial" w:hAnsi="Arial" w:cs="Arial"/>
          <w:lang w:val="en-GB" w:eastAsia="en-GB"/>
        </w:rPr>
        <w:t xml:space="preserve">). This constant thermal regime may therefore </w:t>
      </w:r>
      <w:r w:rsidR="00C47347" w:rsidRPr="000E0521">
        <w:rPr>
          <w:rFonts w:ascii="Arial" w:hAnsi="Arial" w:cs="Arial"/>
          <w:lang w:val="en-GB" w:eastAsia="en-GB"/>
        </w:rPr>
        <w:t>favour</w:t>
      </w:r>
      <w:r w:rsidRPr="000E0521">
        <w:rPr>
          <w:rFonts w:ascii="Arial" w:hAnsi="Arial" w:cs="Arial"/>
          <w:lang w:val="en-GB" w:eastAsia="en-GB"/>
        </w:rPr>
        <w:t xml:space="preserve"> opportunistic periphytic algae that are capable of rapid growth under stress conditions</w:t>
      </w:r>
      <w:commentRangeStart w:id="10"/>
      <w:r w:rsidRPr="000E0521">
        <w:rPr>
          <w:rFonts w:ascii="Arial" w:hAnsi="Arial" w:cs="Arial"/>
          <w:lang w:val="en-GB" w:eastAsia="en-GB"/>
        </w:rPr>
        <w:t>.</w:t>
      </w:r>
      <w:commentRangeEnd w:id="10"/>
      <w:r w:rsidR="00055957">
        <w:rPr>
          <w:rStyle w:val="CommentReference"/>
        </w:rPr>
        <w:commentReference w:id="10"/>
      </w:r>
    </w:p>
    <w:p w14:paraId="69E81D86" w14:textId="77777777" w:rsidR="000E0521" w:rsidRPr="000E0521" w:rsidRDefault="000E0521" w:rsidP="000E0521">
      <w:pPr>
        <w:pStyle w:val="Body"/>
        <w:rPr>
          <w:rFonts w:ascii="Arial" w:hAnsi="Arial" w:cs="Arial"/>
          <w:lang w:val="en-GB" w:eastAsia="en-GB"/>
        </w:rPr>
      </w:pPr>
      <w:r w:rsidRPr="000E0521">
        <w:rPr>
          <w:rFonts w:ascii="Arial" w:hAnsi="Arial" w:cs="Arial"/>
          <w:lang w:val="en-GB" w:eastAsia="en-GB"/>
        </w:rPr>
        <w:t xml:space="preserve">The relatively low conductivity (34.50–35.50 mS/cm) and TDS (approximately 16.5–18.5 ppt) indicate that the water has a modest ionic strength. In such waters, even slight increases in the concentration of dissolved heavy metals or nutrients can cause marked shifts </w:t>
      </w:r>
      <w:commentRangeStart w:id="11"/>
      <w:r w:rsidRPr="000E0521">
        <w:rPr>
          <w:rFonts w:ascii="Arial" w:hAnsi="Arial" w:cs="Arial"/>
          <w:lang w:val="en-GB" w:eastAsia="en-GB"/>
        </w:rPr>
        <w:t>in the osmotic balance and influence bioavailability</w:t>
      </w:r>
      <w:commentRangeEnd w:id="11"/>
      <w:r w:rsidR="00464E0B">
        <w:rPr>
          <w:rStyle w:val="CommentReference"/>
        </w:rPr>
        <w:commentReference w:id="11"/>
      </w:r>
      <w:r w:rsidRPr="000E0521">
        <w:rPr>
          <w:rFonts w:ascii="Arial" w:hAnsi="Arial" w:cs="Arial"/>
          <w:lang w:val="en-GB" w:eastAsia="en-GB"/>
        </w:rPr>
        <w:t xml:space="preserve">. Moreover, the very low alkalinity (around 0.66–1.13 mg/L) coupled with low hardness (2.4–6.15 mg/L) suggests a minimal buffering capacity. Consequently, the system is more susceptible to pH fluctuations and heavy metal toxicity, conditions that can drastically affect algal community composition by </w:t>
      </w:r>
      <w:r w:rsidR="00C47347" w:rsidRPr="000E0521">
        <w:rPr>
          <w:rFonts w:ascii="Arial" w:hAnsi="Arial" w:cs="Arial"/>
          <w:lang w:val="en-GB" w:eastAsia="en-GB"/>
        </w:rPr>
        <w:t>favouring</w:t>
      </w:r>
      <w:r w:rsidRPr="000E0521">
        <w:rPr>
          <w:rFonts w:ascii="Arial" w:hAnsi="Arial" w:cs="Arial"/>
          <w:lang w:val="en-GB" w:eastAsia="en-GB"/>
        </w:rPr>
        <w:t xml:space="preserve"> tolerant species (</w:t>
      </w:r>
      <w:r w:rsidR="0059315B" w:rsidRPr="0059315B">
        <w:rPr>
          <w:rFonts w:ascii="Arial" w:hAnsi="Arial" w:cs="Arial"/>
          <w:lang w:val="en-GB" w:eastAsia="en-GB"/>
        </w:rPr>
        <w:t>Prasanna</w:t>
      </w:r>
      <w:r w:rsidRPr="000E0521">
        <w:rPr>
          <w:rFonts w:ascii="Arial" w:hAnsi="Arial" w:cs="Arial"/>
          <w:lang w:val="en-GB" w:eastAsia="en-GB"/>
        </w:rPr>
        <w:t xml:space="preserve"> </w:t>
      </w:r>
      <w:r w:rsidRPr="00C47347">
        <w:rPr>
          <w:rFonts w:ascii="Arial" w:hAnsi="Arial" w:cs="Arial"/>
          <w:i/>
          <w:lang w:val="en-GB" w:eastAsia="en-GB"/>
        </w:rPr>
        <w:t>et al.,</w:t>
      </w:r>
      <w:r w:rsidR="0059315B">
        <w:rPr>
          <w:rFonts w:ascii="Arial" w:hAnsi="Arial" w:cs="Arial"/>
          <w:lang w:val="en-GB" w:eastAsia="en-GB"/>
        </w:rPr>
        <w:t xml:space="preserve"> 2011</w:t>
      </w:r>
      <w:r w:rsidRPr="000E0521">
        <w:rPr>
          <w:rFonts w:ascii="Arial" w:hAnsi="Arial" w:cs="Arial"/>
          <w:lang w:val="en-GB" w:eastAsia="en-GB"/>
        </w:rPr>
        <w:t>).</w:t>
      </w:r>
      <w:r w:rsidR="00525162">
        <w:rPr>
          <w:rFonts w:ascii="Arial" w:hAnsi="Arial" w:cs="Arial"/>
          <w:lang w:val="en-GB" w:eastAsia="en-GB"/>
        </w:rPr>
        <w:t xml:space="preserve"> </w:t>
      </w:r>
      <w:r w:rsidRPr="000E0521">
        <w:rPr>
          <w:rFonts w:ascii="Arial" w:hAnsi="Arial" w:cs="Arial"/>
          <w:lang w:val="en-GB" w:eastAsia="en-GB"/>
        </w:rPr>
        <w:t xml:space="preserve">High DO levels (13.21–16.00 mg/L) indicate a well-oxygenated environment, supporting aerobic metabolism across periphytic communities. Low BOD values (0.55–2.205 mg/L) further imply that organic pollution is not currently imposing a significant oxygen demand. However, despite these </w:t>
      </w:r>
      <w:r w:rsidR="00B93A48" w:rsidRPr="000E0521">
        <w:rPr>
          <w:rFonts w:ascii="Arial" w:hAnsi="Arial" w:cs="Arial"/>
          <w:lang w:val="en-GB" w:eastAsia="en-GB"/>
        </w:rPr>
        <w:t>favourable</w:t>
      </w:r>
      <w:r w:rsidRPr="000E0521">
        <w:rPr>
          <w:rFonts w:ascii="Arial" w:hAnsi="Arial" w:cs="Arial"/>
          <w:lang w:val="en-GB" w:eastAsia="en-GB"/>
        </w:rPr>
        <w:t xml:space="preserve"> conditions for oxygen-dependent processes, the combined nutrient and metal stresses may override the benefits of high DO by selectively inhibiting sensitive algal taxa (</w:t>
      </w:r>
      <w:r w:rsidR="0059315B" w:rsidRPr="0059315B">
        <w:rPr>
          <w:rFonts w:ascii="Arial" w:hAnsi="Arial" w:cs="Arial"/>
          <w:lang w:eastAsia="en-GB"/>
        </w:rPr>
        <w:t>Xiao</w:t>
      </w:r>
      <w:r w:rsidRPr="000E0521">
        <w:rPr>
          <w:rFonts w:ascii="Arial" w:hAnsi="Arial" w:cs="Arial"/>
          <w:lang w:val="en-GB" w:eastAsia="en-GB"/>
        </w:rPr>
        <w:t xml:space="preserve"> </w:t>
      </w:r>
      <w:r w:rsidRPr="00C47347">
        <w:rPr>
          <w:rFonts w:ascii="Arial" w:hAnsi="Arial" w:cs="Arial"/>
          <w:i/>
          <w:lang w:val="en-GB" w:eastAsia="en-GB"/>
        </w:rPr>
        <w:t>et al.</w:t>
      </w:r>
      <w:r w:rsidR="0059315B">
        <w:rPr>
          <w:rFonts w:ascii="Arial" w:hAnsi="Arial" w:cs="Arial"/>
          <w:lang w:val="en-GB" w:eastAsia="en-GB"/>
        </w:rPr>
        <w:t>, 2023</w:t>
      </w:r>
      <w:commentRangeStart w:id="12"/>
      <w:r w:rsidRPr="000E0521">
        <w:rPr>
          <w:rFonts w:ascii="Arial" w:hAnsi="Arial" w:cs="Arial"/>
          <w:lang w:val="en-GB" w:eastAsia="en-GB"/>
        </w:rPr>
        <w:t>).</w:t>
      </w:r>
      <w:commentRangeEnd w:id="12"/>
      <w:r w:rsidR="00464E0B">
        <w:rPr>
          <w:rStyle w:val="CommentReference"/>
        </w:rPr>
        <w:commentReference w:id="12"/>
      </w:r>
    </w:p>
    <w:p w14:paraId="08C18802" w14:textId="77777777" w:rsidR="000E0521" w:rsidRPr="000E0521" w:rsidRDefault="000E0521" w:rsidP="000E0521">
      <w:pPr>
        <w:pStyle w:val="Body"/>
        <w:rPr>
          <w:rFonts w:ascii="Arial" w:hAnsi="Arial" w:cs="Arial"/>
          <w:lang w:val="en-GB" w:eastAsia="en-GB"/>
        </w:rPr>
      </w:pPr>
      <w:r w:rsidRPr="000E0521">
        <w:rPr>
          <w:rFonts w:ascii="Arial" w:hAnsi="Arial" w:cs="Arial"/>
          <w:lang w:val="en-GB" w:eastAsia="en-GB"/>
        </w:rPr>
        <w:t>Nitrate concentrations (81.42–104.885 mg/L) and phosphate levels (0.76–1.32 mg/L) far exceed the WHO and NESREA limits (≤10 mg/L for nitrate and ≤0.5 mg/L for phosphate). Such severe nutrient enrichment drives eutrophication, promoting the growth of opportunistic, fast-growing periphytic algae that can rapidly exploit available resources. This often results in algal blooms dominated by species with high nutrient uptake rates and short life cycles, which may outcompete more sensitive, slower-growing taxa (</w:t>
      </w:r>
      <w:r w:rsidR="00936633" w:rsidRPr="00936633">
        <w:rPr>
          <w:rFonts w:ascii="Arial" w:hAnsi="Arial" w:cs="Arial"/>
          <w:lang w:eastAsia="en-GB"/>
        </w:rPr>
        <w:t>Rosales</w:t>
      </w:r>
      <w:r w:rsidRPr="000E0521">
        <w:rPr>
          <w:rFonts w:ascii="Arial" w:hAnsi="Arial" w:cs="Arial"/>
          <w:lang w:val="en-GB" w:eastAsia="en-GB"/>
        </w:rPr>
        <w:t xml:space="preserve"> </w:t>
      </w:r>
      <w:r w:rsidRPr="00C47347">
        <w:rPr>
          <w:rFonts w:ascii="Arial" w:hAnsi="Arial" w:cs="Arial"/>
          <w:i/>
          <w:lang w:val="en-GB" w:eastAsia="en-GB"/>
        </w:rPr>
        <w:t>et al.,</w:t>
      </w:r>
      <w:r w:rsidRPr="000E0521">
        <w:rPr>
          <w:rFonts w:ascii="Arial" w:hAnsi="Arial" w:cs="Arial"/>
          <w:lang w:val="en-GB" w:eastAsia="en-GB"/>
        </w:rPr>
        <w:t xml:space="preserve"> 2022). The dominance of species such as </w:t>
      </w:r>
      <w:r w:rsidRPr="00C47347">
        <w:rPr>
          <w:rFonts w:ascii="Arial" w:hAnsi="Arial" w:cs="Arial"/>
          <w:i/>
          <w:lang w:val="en-GB" w:eastAsia="en-GB"/>
        </w:rPr>
        <w:t>Closterium</w:t>
      </w:r>
      <w:r w:rsidRPr="000E0521">
        <w:rPr>
          <w:rFonts w:ascii="Arial" w:hAnsi="Arial" w:cs="Arial"/>
          <w:lang w:val="en-GB" w:eastAsia="en-GB"/>
        </w:rPr>
        <w:t xml:space="preserve"> </w:t>
      </w:r>
      <w:r w:rsidRPr="00C47347">
        <w:rPr>
          <w:rFonts w:ascii="Arial" w:hAnsi="Arial" w:cs="Arial"/>
          <w:i/>
          <w:lang w:val="en-GB" w:eastAsia="en-GB"/>
        </w:rPr>
        <w:t>moniliferum</w:t>
      </w:r>
      <w:r w:rsidRPr="000E0521">
        <w:rPr>
          <w:rFonts w:ascii="Arial" w:hAnsi="Arial" w:cs="Arial"/>
          <w:lang w:val="en-GB" w:eastAsia="en-GB"/>
        </w:rPr>
        <w:t xml:space="preserve"> and </w:t>
      </w:r>
      <w:r w:rsidRPr="00C47347">
        <w:rPr>
          <w:rFonts w:ascii="Arial" w:hAnsi="Arial" w:cs="Arial"/>
          <w:i/>
          <w:lang w:val="en-GB" w:eastAsia="en-GB"/>
        </w:rPr>
        <w:t>Fragilaria</w:t>
      </w:r>
      <w:r w:rsidRPr="000E0521">
        <w:rPr>
          <w:rFonts w:ascii="Arial" w:hAnsi="Arial" w:cs="Arial"/>
          <w:lang w:val="en-GB" w:eastAsia="en-GB"/>
        </w:rPr>
        <w:t xml:space="preserve"> </w:t>
      </w:r>
      <w:r w:rsidRPr="00C47347">
        <w:rPr>
          <w:rFonts w:ascii="Arial" w:hAnsi="Arial" w:cs="Arial"/>
          <w:i/>
          <w:lang w:val="en-GB" w:eastAsia="en-GB"/>
        </w:rPr>
        <w:t>javanica</w:t>
      </w:r>
      <w:r w:rsidRPr="000E0521">
        <w:rPr>
          <w:rFonts w:ascii="Arial" w:hAnsi="Arial" w:cs="Arial"/>
          <w:lang w:val="en-GB" w:eastAsia="en-GB"/>
        </w:rPr>
        <w:t xml:space="preserve"> on macrophytes like </w:t>
      </w:r>
      <w:r w:rsidRPr="00C47347">
        <w:rPr>
          <w:rFonts w:ascii="Arial" w:hAnsi="Arial" w:cs="Arial"/>
          <w:i/>
          <w:lang w:val="en-GB" w:eastAsia="en-GB"/>
        </w:rPr>
        <w:t>Vossia</w:t>
      </w:r>
      <w:r w:rsidRPr="000E0521">
        <w:rPr>
          <w:rFonts w:ascii="Arial" w:hAnsi="Arial" w:cs="Arial"/>
          <w:lang w:val="en-GB" w:eastAsia="en-GB"/>
        </w:rPr>
        <w:t xml:space="preserve"> </w:t>
      </w:r>
      <w:r w:rsidRPr="00C47347">
        <w:rPr>
          <w:rFonts w:ascii="Arial" w:hAnsi="Arial" w:cs="Arial"/>
          <w:i/>
          <w:lang w:val="en-GB" w:eastAsia="en-GB"/>
        </w:rPr>
        <w:t>cuspidata</w:t>
      </w:r>
      <w:r w:rsidRPr="000E0521">
        <w:rPr>
          <w:rFonts w:ascii="Arial" w:hAnsi="Arial" w:cs="Arial"/>
          <w:lang w:val="en-GB" w:eastAsia="en-GB"/>
        </w:rPr>
        <w:t xml:space="preserve"> is indicative of a community adapted to high-nutrient, eutrophic conditions</w:t>
      </w:r>
      <w:commentRangeStart w:id="13"/>
      <w:r w:rsidRPr="000E0521">
        <w:rPr>
          <w:rFonts w:ascii="Arial" w:hAnsi="Arial" w:cs="Arial"/>
          <w:lang w:val="en-GB" w:eastAsia="en-GB"/>
        </w:rPr>
        <w:t>.</w:t>
      </w:r>
      <w:commentRangeEnd w:id="13"/>
      <w:r w:rsidR="00C70E88">
        <w:rPr>
          <w:rStyle w:val="CommentReference"/>
        </w:rPr>
        <w:commentReference w:id="13"/>
      </w:r>
    </w:p>
    <w:p w14:paraId="038B5E8A" w14:textId="77777777" w:rsidR="00973854" w:rsidRPr="00973854" w:rsidRDefault="00973854" w:rsidP="00973854">
      <w:pPr>
        <w:pStyle w:val="Body"/>
        <w:rPr>
          <w:rFonts w:ascii="Arial" w:hAnsi="Arial" w:cs="Arial"/>
          <w:lang w:val="en-GB" w:eastAsia="en-GB"/>
        </w:rPr>
      </w:pPr>
      <w:r w:rsidRPr="000E0521">
        <w:rPr>
          <w:rFonts w:ascii="Arial" w:hAnsi="Arial" w:cs="Arial"/>
          <w:lang w:val="en-GB" w:eastAsia="en-GB"/>
        </w:rPr>
        <w:t>A striking aspect of the water quality is the high concentration of several heavy metals. Chromium (0.061–0.174 mg/L), lead (0.192–0.246 mg/L), iron (6.826–9.320 mg/L), nickel (0.021–0.036 mg/L), and cadmium (0.173–0.229 mg/L) all exceed the corresponding WHO and NESREA limits by several-fold.</w:t>
      </w:r>
      <w:r>
        <w:rPr>
          <w:rFonts w:ascii="Arial" w:hAnsi="Arial" w:cs="Arial"/>
          <w:lang w:val="en-GB" w:eastAsia="en-GB"/>
        </w:rPr>
        <w:t xml:space="preserve"> </w:t>
      </w:r>
      <w:r w:rsidRPr="00973854">
        <w:rPr>
          <w:rFonts w:ascii="Arial" w:hAnsi="Arial" w:cs="Arial"/>
          <w:lang w:val="en-GB" w:eastAsia="en-GB"/>
        </w:rPr>
        <w:t xml:space="preserve">The presence of heavy metals introduces another layer of ecological filtering. These metals interfere with photosynthetic processes, enzymatic activity, and nutrient uptake in algae (Rzymski </w:t>
      </w:r>
      <w:r w:rsidRPr="003C2D44">
        <w:rPr>
          <w:rFonts w:ascii="Arial" w:hAnsi="Arial" w:cs="Arial"/>
          <w:i/>
          <w:lang w:val="en-GB" w:eastAsia="en-GB"/>
        </w:rPr>
        <w:t>et al</w:t>
      </w:r>
      <w:r w:rsidRPr="00973854">
        <w:rPr>
          <w:rFonts w:ascii="Arial" w:hAnsi="Arial" w:cs="Arial"/>
          <w:lang w:val="en-GB" w:eastAsia="en-GB"/>
        </w:rPr>
        <w:t xml:space="preserve">., 2015). Periphytic communities under such stress often exhibit reduced diversity and are dominated by metal-tolerant species. For example, </w:t>
      </w:r>
      <w:r w:rsidRPr="00B93A48">
        <w:rPr>
          <w:rFonts w:ascii="Arial" w:hAnsi="Arial" w:cs="Arial"/>
          <w:i/>
          <w:lang w:val="en-GB" w:eastAsia="en-GB"/>
        </w:rPr>
        <w:t>Gomphonema</w:t>
      </w:r>
      <w:r w:rsidRPr="00973854">
        <w:rPr>
          <w:rFonts w:ascii="Arial" w:hAnsi="Arial" w:cs="Arial"/>
          <w:lang w:val="en-GB" w:eastAsia="en-GB"/>
        </w:rPr>
        <w:t xml:space="preserve"> </w:t>
      </w:r>
      <w:r w:rsidR="003C2D44" w:rsidRPr="000E0521">
        <w:rPr>
          <w:rFonts w:ascii="Arial" w:hAnsi="Arial" w:cs="Arial"/>
          <w:lang w:val="en-GB" w:eastAsia="en-GB"/>
        </w:rPr>
        <w:t xml:space="preserve">species and filamentous green algae like </w:t>
      </w:r>
      <w:r w:rsidR="003C2D44" w:rsidRPr="00C47347">
        <w:rPr>
          <w:rFonts w:ascii="Arial" w:hAnsi="Arial" w:cs="Arial"/>
          <w:i/>
          <w:lang w:val="en-GB" w:eastAsia="en-GB"/>
        </w:rPr>
        <w:t>Spirogyra</w:t>
      </w:r>
      <w:r w:rsidR="003C2D44" w:rsidRPr="000E0521">
        <w:rPr>
          <w:rFonts w:ascii="Arial" w:hAnsi="Arial" w:cs="Arial"/>
          <w:lang w:val="en-GB" w:eastAsia="en-GB"/>
        </w:rPr>
        <w:t xml:space="preserve"> </w:t>
      </w:r>
      <w:r w:rsidR="003C2D44" w:rsidRPr="00C47347">
        <w:rPr>
          <w:rFonts w:ascii="Arial" w:hAnsi="Arial" w:cs="Arial"/>
          <w:i/>
          <w:lang w:val="en-GB" w:eastAsia="en-GB"/>
        </w:rPr>
        <w:t>majuscule</w:t>
      </w:r>
      <w:r w:rsidR="003C2D44" w:rsidRPr="00973854">
        <w:rPr>
          <w:rFonts w:ascii="Arial" w:hAnsi="Arial" w:cs="Arial"/>
          <w:lang w:val="en-GB" w:eastAsia="en-GB"/>
        </w:rPr>
        <w:t xml:space="preserve"> </w:t>
      </w:r>
      <w:r w:rsidRPr="00973854">
        <w:rPr>
          <w:rFonts w:ascii="Arial" w:hAnsi="Arial" w:cs="Arial"/>
          <w:lang w:val="en-GB" w:eastAsia="en-GB"/>
        </w:rPr>
        <w:t xml:space="preserve">are frequently recorded in habitats with elevated metal concentrations due to their robust cellular defenses and EPS (extracellular polymeric substance) production (Pandey </w:t>
      </w:r>
      <w:r w:rsidRPr="003C2D44">
        <w:rPr>
          <w:rFonts w:ascii="Arial" w:hAnsi="Arial" w:cs="Arial"/>
          <w:i/>
          <w:lang w:val="en-GB" w:eastAsia="en-GB"/>
        </w:rPr>
        <w:t>et al.,</w:t>
      </w:r>
      <w:r w:rsidRPr="00973854">
        <w:rPr>
          <w:rFonts w:ascii="Arial" w:hAnsi="Arial" w:cs="Arial"/>
          <w:lang w:val="en-GB" w:eastAsia="en-GB"/>
        </w:rPr>
        <w:t xml:space="preserve"> 2014</w:t>
      </w:r>
      <w:commentRangeStart w:id="14"/>
      <w:r w:rsidRPr="00973854">
        <w:rPr>
          <w:rFonts w:ascii="Arial" w:hAnsi="Arial" w:cs="Arial"/>
          <w:lang w:val="en-GB" w:eastAsia="en-GB"/>
        </w:rPr>
        <w:t>).</w:t>
      </w:r>
      <w:commentRangeEnd w:id="14"/>
      <w:r w:rsidR="00C70E88">
        <w:rPr>
          <w:rStyle w:val="CommentReference"/>
        </w:rPr>
        <w:commentReference w:id="14"/>
      </w:r>
    </w:p>
    <w:p w14:paraId="14B69540" w14:textId="77777777" w:rsidR="003C2D44" w:rsidRPr="000E0521" w:rsidRDefault="00973854" w:rsidP="003C2D44">
      <w:pPr>
        <w:pStyle w:val="Body"/>
        <w:rPr>
          <w:rFonts w:ascii="Arial" w:hAnsi="Arial" w:cs="Arial"/>
          <w:lang w:val="en-GB" w:eastAsia="en-GB"/>
        </w:rPr>
      </w:pPr>
      <w:r w:rsidRPr="00973854">
        <w:rPr>
          <w:rFonts w:ascii="Arial" w:hAnsi="Arial" w:cs="Arial"/>
          <w:lang w:val="en-GB" w:eastAsia="en-GB"/>
        </w:rPr>
        <w:t xml:space="preserve">Multivariate studies conducted in West African river systems, such as by Nkwoji </w:t>
      </w:r>
      <w:r w:rsidRPr="00B93A48">
        <w:rPr>
          <w:rFonts w:ascii="Arial" w:hAnsi="Arial" w:cs="Arial"/>
          <w:i/>
          <w:lang w:val="en-GB" w:eastAsia="en-GB"/>
        </w:rPr>
        <w:t>et al</w:t>
      </w:r>
      <w:r w:rsidRPr="00973854">
        <w:rPr>
          <w:rFonts w:ascii="Arial" w:hAnsi="Arial" w:cs="Arial"/>
          <w:lang w:val="en-GB" w:eastAsia="en-GB"/>
        </w:rPr>
        <w:t>. (2021), reveal that periphytic diatom composition is highly responsive to combined stress gradients, including conductivity, pH shifts, metal load, and nutrient pulses. These conditions produce distinct assemblages that serve as reliable bioi</w:t>
      </w:r>
      <w:r>
        <w:rPr>
          <w:rFonts w:ascii="Arial" w:hAnsi="Arial" w:cs="Arial"/>
          <w:lang w:val="en-GB" w:eastAsia="en-GB"/>
        </w:rPr>
        <w:t xml:space="preserve">ndicators of ecological health. </w:t>
      </w:r>
      <w:r w:rsidRPr="00973854">
        <w:rPr>
          <w:rFonts w:ascii="Arial" w:hAnsi="Arial" w:cs="Arial"/>
          <w:lang w:val="en-GB" w:eastAsia="en-GB"/>
        </w:rPr>
        <w:t xml:space="preserve">Nkwoji </w:t>
      </w:r>
      <w:r w:rsidRPr="00B93A48">
        <w:rPr>
          <w:rFonts w:ascii="Arial" w:hAnsi="Arial" w:cs="Arial"/>
          <w:i/>
          <w:lang w:val="en-GB" w:eastAsia="en-GB"/>
        </w:rPr>
        <w:t>et al.</w:t>
      </w:r>
      <w:r w:rsidRPr="00973854">
        <w:rPr>
          <w:rFonts w:ascii="Arial" w:hAnsi="Arial" w:cs="Arial"/>
          <w:lang w:val="en-GB" w:eastAsia="en-GB"/>
        </w:rPr>
        <w:t xml:space="preserve"> (2021) observed that heavy eutrophication coupled with trace metal pollution led to dominance by a narrow group of taxa resilient to both stressors, while overall diversity decreased. This mirrors patterns likely observable in the Eniong River, where taxa with high ecological amplitude can persist, and others are excluded.</w:t>
      </w:r>
      <w:r w:rsidR="003C2D44">
        <w:rPr>
          <w:rFonts w:ascii="Arial" w:hAnsi="Arial" w:cs="Arial"/>
          <w:lang w:val="en-GB" w:eastAsia="en-GB"/>
        </w:rPr>
        <w:t xml:space="preserve"> </w:t>
      </w:r>
      <w:r w:rsidR="003C2D44" w:rsidRPr="000E0521">
        <w:rPr>
          <w:rFonts w:ascii="Arial" w:hAnsi="Arial" w:cs="Arial"/>
          <w:lang w:val="en-GB" w:eastAsia="en-GB"/>
        </w:rPr>
        <w:t xml:space="preserve">Conversely, species not found on substrates like </w:t>
      </w:r>
      <w:r w:rsidR="003C2D44" w:rsidRPr="00C47347">
        <w:rPr>
          <w:rFonts w:ascii="Arial" w:hAnsi="Arial" w:cs="Arial"/>
          <w:i/>
          <w:lang w:val="en-GB" w:eastAsia="en-GB"/>
        </w:rPr>
        <w:t>Vossia</w:t>
      </w:r>
      <w:r w:rsidR="003C2D44" w:rsidRPr="000E0521">
        <w:rPr>
          <w:rFonts w:ascii="Arial" w:hAnsi="Arial" w:cs="Arial"/>
          <w:lang w:val="en-GB" w:eastAsia="en-GB"/>
        </w:rPr>
        <w:t xml:space="preserve"> </w:t>
      </w:r>
      <w:r w:rsidR="003C2D44" w:rsidRPr="00C47347">
        <w:rPr>
          <w:rFonts w:ascii="Arial" w:hAnsi="Arial" w:cs="Arial"/>
          <w:i/>
          <w:lang w:val="en-GB" w:eastAsia="en-GB"/>
        </w:rPr>
        <w:t>cuspidata</w:t>
      </w:r>
      <w:r w:rsidR="003C2D44" w:rsidRPr="000E0521">
        <w:rPr>
          <w:rFonts w:ascii="Arial" w:hAnsi="Arial" w:cs="Arial"/>
          <w:lang w:val="en-GB" w:eastAsia="en-GB"/>
        </w:rPr>
        <w:t xml:space="preserve">, such as </w:t>
      </w:r>
      <w:r w:rsidR="003C2D44" w:rsidRPr="00C47347">
        <w:rPr>
          <w:rFonts w:ascii="Arial" w:hAnsi="Arial" w:cs="Arial"/>
          <w:i/>
          <w:lang w:val="en-GB" w:eastAsia="en-GB"/>
        </w:rPr>
        <w:t>Cymbopleura</w:t>
      </w:r>
      <w:r w:rsidR="003C2D44" w:rsidRPr="000E0521">
        <w:rPr>
          <w:rFonts w:ascii="Arial" w:hAnsi="Arial" w:cs="Arial"/>
          <w:lang w:val="en-GB" w:eastAsia="en-GB"/>
        </w:rPr>
        <w:t xml:space="preserve"> </w:t>
      </w:r>
      <w:r w:rsidR="003C2D44" w:rsidRPr="00C47347">
        <w:rPr>
          <w:rFonts w:ascii="Arial" w:hAnsi="Arial" w:cs="Arial"/>
          <w:i/>
          <w:lang w:val="en-GB" w:eastAsia="en-GB"/>
        </w:rPr>
        <w:t>inaequalis</w:t>
      </w:r>
      <w:r w:rsidR="003C2D44" w:rsidRPr="000E0521">
        <w:rPr>
          <w:rFonts w:ascii="Arial" w:hAnsi="Arial" w:cs="Arial"/>
          <w:lang w:val="en-GB" w:eastAsia="en-GB"/>
        </w:rPr>
        <w:t xml:space="preserve"> and </w:t>
      </w:r>
      <w:r w:rsidR="003C2D44" w:rsidRPr="00C47347">
        <w:rPr>
          <w:rFonts w:ascii="Arial" w:hAnsi="Arial" w:cs="Arial"/>
          <w:i/>
          <w:lang w:val="en-GB" w:eastAsia="en-GB"/>
        </w:rPr>
        <w:t>Ulnaria</w:t>
      </w:r>
      <w:r w:rsidR="003C2D44" w:rsidRPr="000E0521">
        <w:rPr>
          <w:rFonts w:ascii="Arial" w:hAnsi="Arial" w:cs="Arial"/>
          <w:lang w:val="en-GB" w:eastAsia="en-GB"/>
        </w:rPr>
        <w:t xml:space="preserve"> </w:t>
      </w:r>
      <w:r w:rsidR="003C2D44" w:rsidRPr="00C47347">
        <w:rPr>
          <w:rFonts w:ascii="Arial" w:hAnsi="Arial" w:cs="Arial"/>
          <w:i/>
          <w:lang w:val="en-GB" w:eastAsia="en-GB"/>
        </w:rPr>
        <w:t>amphirhynchus</w:t>
      </w:r>
      <w:r w:rsidR="003C2D44" w:rsidRPr="000E0521">
        <w:rPr>
          <w:rFonts w:ascii="Arial" w:hAnsi="Arial" w:cs="Arial"/>
          <w:lang w:val="en-GB" w:eastAsia="en-GB"/>
        </w:rPr>
        <w:t>, may represent metal-sensitive taxa that are inhibited by the prevailing metal loads.</w:t>
      </w:r>
      <w:r w:rsidR="003C2D44" w:rsidRPr="003C2D44">
        <w:rPr>
          <w:rFonts w:ascii="Arial" w:hAnsi="Arial" w:cs="Arial"/>
          <w:lang w:val="en-GB" w:eastAsia="en-GB"/>
        </w:rPr>
        <w:t xml:space="preserve"> </w:t>
      </w:r>
      <w:r w:rsidR="003C2D44" w:rsidRPr="000E0521">
        <w:rPr>
          <w:rFonts w:ascii="Arial" w:hAnsi="Arial" w:cs="Arial"/>
          <w:lang w:val="en-GB" w:eastAsia="en-GB"/>
        </w:rPr>
        <w:t>(</w:t>
      </w:r>
      <w:r w:rsidR="003C2D44">
        <w:t xml:space="preserve">Xiao </w:t>
      </w:r>
      <w:r w:rsidR="003C2D44" w:rsidRPr="00936633">
        <w:rPr>
          <w:i/>
        </w:rPr>
        <w:t>et al.</w:t>
      </w:r>
      <w:r w:rsidR="003C2D44">
        <w:t xml:space="preserve"> 2023</w:t>
      </w:r>
      <w:r w:rsidR="003C2D44" w:rsidRPr="000E0521">
        <w:rPr>
          <w:rFonts w:ascii="Arial" w:hAnsi="Arial" w:cs="Arial"/>
          <w:lang w:val="en-GB" w:eastAsia="en-GB"/>
        </w:rPr>
        <w:t>).</w:t>
      </w:r>
    </w:p>
    <w:p w14:paraId="3B8865CF" w14:textId="77777777" w:rsidR="000E0521" w:rsidRPr="000E0521" w:rsidRDefault="000E0521" w:rsidP="000E0521">
      <w:pPr>
        <w:pStyle w:val="Body"/>
        <w:rPr>
          <w:rFonts w:ascii="Arial" w:hAnsi="Arial" w:cs="Arial"/>
          <w:lang w:val="en-GB" w:eastAsia="en-GB"/>
        </w:rPr>
      </w:pPr>
      <w:r w:rsidRPr="000E0521">
        <w:rPr>
          <w:rFonts w:ascii="Arial" w:hAnsi="Arial" w:cs="Arial"/>
          <w:lang w:val="en-GB" w:eastAsia="en-GB"/>
        </w:rPr>
        <w:lastRenderedPageBreak/>
        <w:t>Furthermore</w:t>
      </w:r>
      <w:r w:rsidR="003C2D44">
        <w:rPr>
          <w:rFonts w:ascii="Arial" w:hAnsi="Arial" w:cs="Arial"/>
          <w:lang w:val="en-GB" w:eastAsia="en-GB"/>
        </w:rPr>
        <w:t xml:space="preserve"> </w:t>
      </w:r>
      <w:r w:rsidR="003C2D44">
        <w:t xml:space="preserve">Macrophytes provide a </w:t>
      </w:r>
      <w:r w:rsidR="003C2D44" w:rsidRPr="003C2D44">
        <w:rPr>
          <w:rStyle w:val="Strong"/>
          <w:b w:val="0"/>
        </w:rPr>
        <w:t>heterogeneous</w:t>
      </w:r>
      <w:r w:rsidR="003C2D44">
        <w:rPr>
          <w:rStyle w:val="Strong"/>
        </w:rPr>
        <w:t xml:space="preserve"> </w:t>
      </w:r>
      <w:r w:rsidR="003C2D44" w:rsidRPr="003C2D44">
        <w:rPr>
          <w:rStyle w:val="Strong"/>
          <w:b w:val="0"/>
        </w:rPr>
        <w:t>substrate</w:t>
      </w:r>
      <w:r w:rsidR="003C2D44">
        <w:t xml:space="preserve"> that influences algal colonization. Differences in leaf surface texture, exudates, and positioning in the water column modulate </w:t>
      </w:r>
      <w:r w:rsidR="003C2D44" w:rsidRPr="003C2D44">
        <w:rPr>
          <w:rStyle w:val="Strong"/>
          <w:b w:val="0"/>
        </w:rPr>
        <w:t>microhabitat</w:t>
      </w:r>
      <w:r w:rsidR="003C2D44">
        <w:rPr>
          <w:rStyle w:val="Strong"/>
        </w:rPr>
        <w:t xml:space="preserve"> </w:t>
      </w:r>
      <w:r w:rsidR="003C2D44" w:rsidRPr="003C2D44">
        <w:rPr>
          <w:rStyle w:val="Strong"/>
          <w:b w:val="0"/>
        </w:rPr>
        <w:t>conditions</w:t>
      </w:r>
      <w:r w:rsidR="003C2D44">
        <w:t xml:space="preserve"> (e.g., light exposure, flow rate, and nutrient microgradients), affecting which periphytic algae can thrive (Wetzel, 2001). For example, </w:t>
      </w:r>
      <w:r w:rsidR="003C2D44">
        <w:rPr>
          <w:rStyle w:val="Emphasis"/>
        </w:rPr>
        <w:t>Pistia stratiotes</w:t>
      </w:r>
      <w:r w:rsidR="003C2D44">
        <w:t xml:space="preserve"> and </w:t>
      </w:r>
      <w:r w:rsidR="003C2D44">
        <w:rPr>
          <w:rStyle w:val="Emphasis"/>
        </w:rPr>
        <w:t>Eichhornia crassipes</w:t>
      </w:r>
      <w:r w:rsidR="003C2D44">
        <w:t xml:space="preserve"> support dense epiphytic communities in polluted waters, but these communities differ markedly from those on submerged species like </w:t>
      </w:r>
      <w:r w:rsidR="003C2D44">
        <w:rPr>
          <w:rStyle w:val="Emphasis"/>
        </w:rPr>
        <w:t>Ceratophyllum submersum</w:t>
      </w:r>
      <w:r w:rsidR="003C2D44">
        <w:t xml:space="preserve">, which experience different flow and light conditions (Søndergaard </w:t>
      </w:r>
      <w:r w:rsidR="00B93A48">
        <w:t>and</w:t>
      </w:r>
      <w:r w:rsidR="003C2D44">
        <w:t xml:space="preserve"> Moss, 1998)</w:t>
      </w:r>
      <w:commentRangeStart w:id="15"/>
      <w:r w:rsidR="003C2D44">
        <w:t>.</w:t>
      </w:r>
      <w:commentRangeEnd w:id="15"/>
      <w:r w:rsidR="00C70E88">
        <w:rPr>
          <w:rStyle w:val="CommentReference"/>
        </w:rPr>
        <w:commentReference w:id="15"/>
      </w:r>
    </w:p>
    <w:p w14:paraId="7AB67A75" w14:textId="77777777" w:rsidR="00462160" w:rsidRDefault="00462160" w:rsidP="002B0ABA">
      <w:pPr>
        <w:pStyle w:val="Body"/>
        <w:spacing w:after="0"/>
        <w:rPr>
          <w:rFonts w:ascii="Arial" w:hAnsi="Arial" w:cs="Arial"/>
        </w:rPr>
      </w:pPr>
    </w:p>
    <w:p w14:paraId="4584C68D" w14:textId="77777777" w:rsidR="005E78A8" w:rsidRPr="005E78A8" w:rsidRDefault="005E78A8" w:rsidP="005E78A8">
      <w:pPr>
        <w:jc w:val="both"/>
        <w:rPr>
          <w:rFonts w:ascii="Arial" w:hAnsi="Arial" w:cs="Arial"/>
          <w:b/>
        </w:rPr>
      </w:pPr>
      <w:r w:rsidRPr="005E78A8">
        <w:rPr>
          <w:rFonts w:ascii="Arial" w:hAnsi="Arial" w:cs="Arial"/>
          <w:b/>
        </w:rPr>
        <w:t>Periphytic</w:t>
      </w:r>
      <w:r w:rsidR="00734211">
        <w:rPr>
          <w:rFonts w:ascii="Arial" w:hAnsi="Arial" w:cs="Arial"/>
          <w:b/>
        </w:rPr>
        <w:t xml:space="preserve"> algae</w:t>
      </w:r>
      <w:r w:rsidRPr="005E78A8">
        <w:rPr>
          <w:rFonts w:ascii="Arial" w:hAnsi="Arial" w:cs="Arial"/>
          <w:b/>
        </w:rPr>
        <w:t xml:space="preserve"> composition</w:t>
      </w:r>
    </w:p>
    <w:p w14:paraId="11C1E65E" w14:textId="77777777" w:rsidR="00462160" w:rsidRPr="005E78A8" w:rsidRDefault="00462160" w:rsidP="002B0ABA">
      <w:pPr>
        <w:pStyle w:val="Body"/>
        <w:spacing w:after="0"/>
        <w:rPr>
          <w:rFonts w:ascii="Arial" w:hAnsi="Arial" w:cs="Arial"/>
        </w:rPr>
      </w:pPr>
    </w:p>
    <w:p w14:paraId="56AF6124" w14:textId="77777777" w:rsidR="005E78A8" w:rsidRPr="005E78A8" w:rsidRDefault="005E78A8" w:rsidP="005E78A8">
      <w:pPr>
        <w:rPr>
          <w:rFonts w:ascii="Arial" w:hAnsi="Arial" w:cs="Arial"/>
          <w:b/>
        </w:rPr>
      </w:pPr>
      <w:r w:rsidRPr="005E78A8">
        <w:rPr>
          <w:rFonts w:ascii="Arial" w:hAnsi="Arial" w:cs="Arial"/>
          <w:b/>
        </w:rPr>
        <w:t xml:space="preserve">Table 2: </w:t>
      </w:r>
      <w:r w:rsidR="00734211">
        <w:rPr>
          <w:rFonts w:ascii="Arial" w:hAnsi="Arial" w:cs="Arial"/>
          <w:b/>
        </w:rPr>
        <w:t>checkli</w:t>
      </w:r>
      <w:r w:rsidRPr="005E78A8">
        <w:rPr>
          <w:rFonts w:ascii="Arial" w:hAnsi="Arial" w:cs="Arial"/>
          <w:b/>
        </w:rPr>
        <w:t xml:space="preserve">st of periphytic algae species present in Eniong River during the study period </w:t>
      </w:r>
    </w:p>
    <w:tbl>
      <w:tblPr>
        <w:tblStyle w:val="TableGrid"/>
        <w:tblW w:w="8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587"/>
        <w:gridCol w:w="3122"/>
      </w:tblGrid>
      <w:tr w:rsidR="005E78A8" w:rsidRPr="005E78A8" w14:paraId="7F87102F" w14:textId="77777777" w:rsidTr="00646A31">
        <w:tc>
          <w:tcPr>
            <w:tcW w:w="483" w:type="dxa"/>
            <w:tcBorders>
              <w:top w:val="single" w:sz="4" w:space="0" w:color="auto"/>
              <w:bottom w:val="single" w:sz="4" w:space="0" w:color="auto"/>
            </w:tcBorders>
          </w:tcPr>
          <w:p w14:paraId="212E7660" w14:textId="77777777" w:rsidR="005E78A8" w:rsidRPr="005E78A8" w:rsidRDefault="005E78A8" w:rsidP="005E78A8">
            <w:pPr>
              <w:rPr>
                <w:rFonts w:ascii="Arial" w:hAnsi="Arial" w:cs="Arial"/>
              </w:rPr>
            </w:pPr>
            <w:r w:rsidRPr="005E78A8">
              <w:rPr>
                <w:rFonts w:ascii="Arial" w:hAnsi="Arial" w:cs="Arial"/>
              </w:rPr>
              <w:t>s/n</w:t>
            </w:r>
          </w:p>
        </w:tc>
        <w:tc>
          <w:tcPr>
            <w:tcW w:w="4587" w:type="dxa"/>
            <w:tcBorders>
              <w:top w:val="single" w:sz="4" w:space="0" w:color="auto"/>
              <w:bottom w:val="single" w:sz="4" w:space="0" w:color="auto"/>
            </w:tcBorders>
          </w:tcPr>
          <w:p w14:paraId="0E80019E" w14:textId="77777777" w:rsidR="005E78A8" w:rsidRPr="005E78A8" w:rsidRDefault="005E78A8" w:rsidP="005E78A8">
            <w:pPr>
              <w:rPr>
                <w:rFonts w:ascii="Arial" w:hAnsi="Arial" w:cs="Arial"/>
              </w:rPr>
            </w:pPr>
            <w:r w:rsidRPr="005E78A8">
              <w:rPr>
                <w:rFonts w:ascii="Arial" w:hAnsi="Arial" w:cs="Arial"/>
              </w:rPr>
              <w:t>Periphytica Algae</w:t>
            </w:r>
          </w:p>
        </w:tc>
        <w:tc>
          <w:tcPr>
            <w:tcW w:w="3122" w:type="dxa"/>
            <w:tcBorders>
              <w:top w:val="single" w:sz="4" w:space="0" w:color="auto"/>
              <w:bottom w:val="single" w:sz="4" w:space="0" w:color="auto"/>
            </w:tcBorders>
          </w:tcPr>
          <w:p w14:paraId="5FCABB7A" w14:textId="77777777" w:rsidR="005E78A8" w:rsidRPr="005E78A8" w:rsidRDefault="005E78A8" w:rsidP="005E78A8">
            <w:pPr>
              <w:rPr>
                <w:rFonts w:ascii="Arial" w:hAnsi="Arial" w:cs="Arial"/>
              </w:rPr>
            </w:pPr>
            <w:r w:rsidRPr="005E78A8">
              <w:rPr>
                <w:rFonts w:ascii="Arial" w:hAnsi="Arial" w:cs="Arial"/>
              </w:rPr>
              <w:t>Family</w:t>
            </w:r>
          </w:p>
        </w:tc>
      </w:tr>
      <w:tr w:rsidR="005E78A8" w:rsidRPr="005E78A8" w14:paraId="3F3F2A23" w14:textId="77777777" w:rsidTr="00646A31">
        <w:tc>
          <w:tcPr>
            <w:tcW w:w="483" w:type="dxa"/>
            <w:tcBorders>
              <w:top w:val="single" w:sz="4" w:space="0" w:color="auto"/>
            </w:tcBorders>
          </w:tcPr>
          <w:p w14:paraId="7B84C53F" w14:textId="77777777" w:rsidR="005E78A8" w:rsidRPr="005E78A8" w:rsidRDefault="005E78A8" w:rsidP="005E78A8">
            <w:pPr>
              <w:rPr>
                <w:rFonts w:ascii="Arial" w:hAnsi="Arial" w:cs="Arial"/>
              </w:rPr>
            </w:pPr>
            <w:r w:rsidRPr="005E78A8">
              <w:rPr>
                <w:rFonts w:ascii="Arial" w:hAnsi="Arial" w:cs="Arial"/>
              </w:rPr>
              <w:t>1</w:t>
            </w:r>
          </w:p>
        </w:tc>
        <w:tc>
          <w:tcPr>
            <w:tcW w:w="4587" w:type="dxa"/>
            <w:tcBorders>
              <w:top w:val="single" w:sz="4" w:space="0" w:color="auto"/>
            </w:tcBorders>
          </w:tcPr>
          <w:p w14:paraId="2F8FEA90" w14:textId="77777777" w:rsidR="005E78A8" w:rsidRPr="005E78A8" w:rsidRDefault="005E78A8" w:rsidP="005E78A8">
            <w:pPr>
              <w:rPr>
                <w:rFonts w:ascii="Arial" w:hAnsi="Arial" w:cs="Arial"/>
                <w:i/>
              </w:rPr>
            </w:pPr>
            <w:r w:rsidRPr="005E78A8">
              <w:rPr>
                <w:rFonts w:ascii="Arial" w:hAnsi="Arial" w:cs="Arial"/>
                <w:i/>
              </w:rPr>
              <w:t>Achnanthes longipes</w:t>
            </w:r>
          </w:p>
        </w:tc>
        <w:tc>
          <w:tcPr>
            <w:tcW w:w="3122" w:type="dxa"/>
            <w:tcBorders>
              <w:top w:val="single" w:sz="4" w:space="0" w:color="auto"/>
            </w:tcBorders>
          </w:tcPr>
          <w:p w14:paraId="3F2666B6" w14:textId="77777777" w:rsidR="005E78A8" w:rsidRPr="005E78A8" w:rsidRDefault="005E78A8" w:rsidP="005E78A8">
            <w:pPr>
              <w:rPr>
                <w:rFonts w:ascii="Arial" w:hAnsi="Arial" w:cs="Arial"/>
              </w:rPr>
            </w:pPr>
            <w:r w:rsidRPr="005E78A8">
              <w:rPr>
                <w:rFonts w:ascii="Arial" w:hAnsi="Arial" w:cs="Arial"/>
                <w:bCs/>
              </w:rPr>
              <w:t>Achnanthaceae</w:t>
            </w:r>
          </w:p>
        </w:tc>
      </w:tr>
      <w:tr w:rsidR="005E78A8" w:rsidRPr="005E78A8" w14:paraId="0D813EA5" w14:textId="77777777" w:rsidTr="00646A31">
        <w:tc>
          <w:tcPr>
            <w:tcW w:w="483" w:type="dxa"/>
          </w:tcPr>
          <w:p w14:paraId="75404845" w14:textId="77777777" w:rsidR="005E78A8" w:rsidRPr="005E78A8" w:rsidRDefault="005E78A8" w:rsidP="005E78A8">
            <w:pPr>
              <w:rPr>
                <w:rFonts w:ascii="Arial" w:hAnsi="Arial" w:cs="Arial"/>
                <w:i/>
              </w:rPr>
            </w:pPr>
            <w:r w:rsidRPr="005E78A8">
              <w:rPr>
                <w:rFonts w:ascii="Arial" w:hAnsi="Arial" w:cs="Arial"/>
                <w:i/>
              </w:rPr>
              <w:t>2</w:t>
            </w:r>
          </w:p>
        </w:tc>
        <w:tc>
          <w:tcPr>
            <w:tcW w:w="4587" w:type="dxa"/>
          </w:tcPr>
          <w:p w14:paraId="3E216AD0" w14:textId="77777777" w:rsidR="005E78A8" w:rsidRPr="005E78A8" w:rsidRDefault="005E78A8" w:rsidP="005E78A8">
            <w:pPr>
              <w:rPr>
                <w:rFonts w:ascii="Arial" w:hAnsi="Arial" w:cs="Arial"/>
                <w:i/>
              </w:rPr>
            </w:pPr>
            <w:r w:rsidRPr="005E78A8">
              <w:rPr>
                <w:rFonts w:ascii="Arial" w:hAnsi="Arial" w:cs="Arial"/>
                <w:i/>
              </w:rPr>
              <w:t>Chroococcus turgidus (Kutz.) Lemm</w:t>
            </w:r>
          </w:p>
        </w:tc>
        <w:tc>
          <w:tcPr>
            <w:tcW w:w="3122" w:type="dxa"/>
          </w:tcPr>
          <w:p w14:paraId="230B8F32" w14:textId="77777777" w:rsidR="005E78A8" w:rsidRPr="005E78A8" w:rsidRDefault="005E78A8" w:rsidP="005E78A8">
            <w:pPr>
              <w:rPr>
                <w:rFonts w:ascii="Arial" w:hAnsi="Arial" w:cs="Arial"/>
                <w:color w:val="000000" w:themeColor="text1"/>
              </w:rPr>
            </w:pPr>
            <w:r w:rsidRPr="005E78A8">
              <w:rPr>
                <w:rFonts w:ascii="Arial" w:hAnsi="Arial" w:cs="Arial"/>
                <w:color w:val="000000" w:themeColor="text1"/>
                <w:shd w:val="clear" w:color="auto" w:fill="FFFFFF"/>
              </w:rPr>
              <w:t>Chroococcaceae</w:t>
            </w:r>
          </w:p>
        </w:tc>
      </w:tr>
      <w:tr w:rsidR="005E78A8" w:rsidRPr="005E78A8" w14:paraId="5F0521A1" w14:textId="77777777" w:rsidTr="00646A31">
        <w:tc>
          <w:tcPr>
            <w:tcW w:w="483" w:type="dxa"/>
          </w:tcPr>
          <w:p w14:paraId="324CEC60" w14:textId="77777777" w:rsidR="005E78A8" w:rsidRPr="005E78A8" w:rsidRDefault="005E78A8" w:rsidP="005E78A8">
            <w:pPr>
              <w:rPr>
                <w:rFonts w:ascii="Arial" w:hAnsi="Arial" w:cs="Arial"/>
                <w:i/>
              </w:rPr>
            </w:pPr>
            <w:r w:rsidRPr="005E78A8">
              <w:rPr>
                <w:rFonts w:ascii="Arial" w:hAnsi="Arial" w:cs="Arial"/>
                <w:i/>
              </w:rPr>
              <w:t>3</w:t>
            </w:r>
          </w:p>
        </w:tc>
        <w:tc>
          <w:tcPr>
            <w:tcW w:w="4587" w:type="dxa"/>
          </w:tcPr>
          <w:p w14:paraId="4C14EDB3" w14:textId="77777777" w:rsidR="005E78A8" w:rsidRPr="005E78A8" w:rsidRDefault="005E78A8" w:rsidP="005E78A8">
            <w:pPr>
              <w:rPr>
                <w:rFonts w:ascii="Arial" w:hAnsi="Arial" w:cs="Arial"/>
                <w:i/>
              </w:rPr>
            </w:pPr>
            <w:r w:rsidRPr="005E78A8">
              <w:rPr>
                <w:rFonts w:ascii="Arial" w:hAnsi="Arial" w:cs="Arial"/>
                <w:i/>
              </w:rPr>
              <w:t>Closterium moniliferum</w:t>
            </w:r>
          </w:p>
        </w:tc>
        <w:tc>
          <w:tcPr>
            <w:tcW w:w="3122" w:type="dxa"/>
          </w:tcPr>
          <w:p w14:paraId="59EFC929" w14:textId="77777777" w:rsidR="005E78A8" w:rsidRPr="005E78A8" w:rsidRDefault="005E78A8" w:rsidP="005E78A8">
            <w:pPr>
              <w:rPr>
                <w:rFonts w:ascii="Arial" w:hAnsi="Arial" w:cs="Arial"/>
              </w:rPr>
            </w:pPr>
            <w:r w:rsidRPr="005E78A8">
              <w:rPr>
                <w:rFonts w:ascii="Arial" w:hAnsi="Arial" w:cs="Arial"/>
              </w:rPr>
              <w:t>Closteriaceae</w:t>
            </w:r>
          </w:p>
        </w:tc>
      </w:tr>
      <w:tr w:rsidR="005E78A8" w:rsidRPr="005E78A8" w14:paraId="021CAB7E" w14:textId="77777777" w:rsidTr="00646A31">
        <w:tc>
          <w:tcPr>
            <w:tcW w:w="483" w:type="dxa"/>
          </w:tcPr>
          <w:p w14:paraId="62E8015E" w14:textId="77777777" w:rsidR="005E78A8" w:rsidRPr="005E78A8" w:rsidRDefault="005E78A8" w:rsidP="005E78A8">
            <w:pPr>
              <w:rPr>
                <w:rFonts w:ascii="Arial" w:hAnsi="Arial" w:cs="Arial"/>
                <w:i/>
              </w:rPr>
            </w:pPr>
            <w:r w:rsidRPr="005E78A8">
              <w:rPr>
                <w:rFonts w:ascii="Arial" w:hAnsi="Arial" w:cs="Arial"/>
                <w:i/>
              </w:rPr>
              <w:t>4</w:t>
            </w:r>
          </w:p>
        </w:tc>
        <w:tc>
          <w:tcPr>
            <w:tcW w:w="4587" w:type="dxa"/>
          </w:tcPr>
          <w:p w14:paraId="798951DB" w14:textId="77777777" w:rsidR="005E78A8" w:rsidRPr="005E78A8" w:rsidRDefault="005E78A8" w:rsidP="005E78A8">
            <w:pPr>
              <w:rPr>
                <w:rFonts w:ascii="Arial" w:hAnsi="Arial" w:cs="Arial"/>
                <w:i/>
              </w:rPr>
            </w:pPr>
            <w:r w:rsidRPr="005E78A8">
              <w:rPr>
                <w:rFonts w:ascii="Arial" w:hAnsi="Arial" w:cs="Arial"/>
                <w:i/>
              </w:rPr>
              <w:t>Cosmarium botrytis</w:t>
            </w:r>
          </w:p>
        </w:tc>
        <w:tc>
          <w:tcPr>
            <w:tcW w:w="3122" w:type="dxa"/>
          </w:tcPr>
          <w:p w14:paraId="24162F2E" w14:textId="77777777" w:rsidR="005E78A8" w:rsidRPr="005E78A8" w:rsidRDefault="005E78A8" w:rsidP="005E78A8">
            <w:pPr>
              <w:rPr>
                <w:rFonts w:ascii="Arial" w:hAnsi="Arial" w:cs="Arial"/>
              </w:rPr>
            </w:pPr>
            <w:r w:rsidRPr="005E78A8">
              <w:rPr>
                <w:rFonts w:ascii="Arial" w:hAnsi="Arial" w:cs="Arial"/>
              </w:rPr>
              <w:t>Desmidiaceae</w:t>
            </w:r>
          </w:p>
        </w:tc>
      </w:tr>
      <w:tr w:rsidR="005E78A8" w:rsidRPr="005E78A8" w14:paraId="7E9236A8" w14:textId="77777777" w:rsidTr="00646A31">
        <w:tc>
          <w:tcPr>
            <w:tcW w:w="483" w:type="dxa"/>
          </w:tcPr>
          <w:p w14:paraId="20EBA198" w14:textId="77777777" w:rsidR="005E78A8" w:rsidRPr="005E78A8" w:rsidRDefault="005E78A8" w:rsidP="005E78A8">
            <w:pPr>
              <w:rPr>
                <w:rFonts w:ascii="Arial" w:hAnsi="Arial" w:cs="Arial"/>
                <w:bCs/>
                <w:i/>
                <w:iCs/>
              </w:rPr>
            </w:pPr>
            <w:r w:rsidRPr="005E78A8">
              <w:rPr>
                <w:rFonts w:ascii="Arial" w:hAnsi="Arial" w:cs="Arial"/>
                <w:bCs/>
                <w:i/>
                <w:iCs/>
              </w:rPr>
              <w:t>5</w:t>
            </w:r>
          </w:p>
        </w:tc>
        <w:tc>
          <w:tcPr>
            <w:tcW w:w="4587" w:type="dxa"/>
          </w:tcPr>
          <w:p w14:paraId="0AA30D21" w14:textId="77777777" w:rsidR="005E78A8" w:rsidRPr="005E78A8" w:rsidRDefault="005E78A8" w:rsidP="005E78A8">
            <w:pPr>
              <w:rPr>
                <w:rFonts w:ascii="Arial" w:hAnsi="Arial" w:cs="Arial"/>
                <w:i/>
              </w:rPr>
            </w:pPr>
            <w:r w:rsidRPr="005E78A8">
              <w:rPr>
                <w:rFonts w:ascii="Arial" w:hAnsi="Arial" w:cs="Arial"/>
                <w:bCs/>
                <w:i/>
                <w:iCs/>
              </w:rPr>
              <w:t>Cymbella cistula</w:t>
            </w:r>
          </w:p>
        </w:tc>
        <w:tc>
          <w:tcPr>
            <w:tcW w:w="3122" w:type="dxa"/>
          </w:tcPr>
          <w:p w14:paraId="2C3B6B5A" w14:textId="77777777" w:rsidR="005E78A8" w:rsidRPr="005E78A8" w:rsidRDefault="005E78A8" w:rsidP="005E78A8">
            <w:pPr>
              <w:rPr>
                <w:rFonts w:ascii="Arial" w:hAnsi="Arial" w:cs="Arial"/>
              </w:rPr>
            </w:pPr>
            <w:r w:rsidRPr="005E78A8">
              <w:rPr>
                <w:rFonts w:ascii="Arial" w:hAnsi="Arial" w:cs="Arial"/>
              </w:rPr>
              <w:t>Cymbellaceae</w:t>
            </w:r>
          </w:p>
        </w:tc>
      </w:tr>
      <w:tr w:rsidR="005E78A8" w:rsidRPr="005E78A8" w14:paraId="688F2AF8" w14:textId="77777777" w:rsidTr="00646A31">
        <w:tc>
          <w:tcPr>
            <w:tcW w:w="483" w:type="dxa"/>
          </w:tcPr>
          <w:p w14:paraId="4A47B880" w14:textId="77777777" w:rsidR="005E78A8" w:rsidRPr="005E78A8" w:rsidRDefault="005E78A8" w:rsidP="005E78A8">
            <w:pPr>
              <w:rPr>
                <w:rFonts w:ascii="Arial" w:hAnsi="Arial" w:cs="Arial"/>
                <w:i/>
              </w:rPr>
            </w:pPr>
            <w:r w:rsidRPr="005E78A8">
              <w:rPr>
                <w:rFonts w:ascii="Arial" w:hAnsi="Arial" w:cs="Arial"/>
                <w:i/>
              </w:rPr>
              <w:t>6</w:t>
            </w:r>
          </w:p>
        </w:tc>
        <w:tc>
          <w:tcPr>
            <w:tcW w:w="4587" w:type="dxa"/>
          </w:tcPr>
          <w:p w14:paraId="3C7DEEE0" w14:textId="77777777" w:rsidR="005E78A8" w:rsidRPr="005E78A8" w:rsidRDefault="005E78A8" w:rsidP="005E78A8">
            <w:pPr>
              <w:rPr>
                <w:rFonts w:ascii="Arial" w:hAnsi="Arial" w:cs="Arial"/>
                <w:i/>
              </w:rPr>
            </w:pPr>
            <w:r w:rsidRPr="005E78A8">
              <w:rPr>
                <w:rFonts w:ascii="Arial" w:hAnsi="Arial" w:cs="Arial"/>
                <w:i/>
              </w:rPr>
              <w:t xml:space="preserve">Cymbopleura inaequalis. </w:t>
            </w:r>
          </w:p>
        </w:tc>
        <w:tc>
          <w:tcPr>
            <w:tcW w:w="3122" w:type="dxa"/>
          </w:tcPr>
          <w:p w14:paraId="4641E230" w14:textId="77777777" w:rsidR="005E78A8" w:rsidRPr="005E78A8" w:rsidRDefault="005E78A8" w:rsidP="005E78A8">
            <w:pPr>
              <w:rPr>
                <w:rFonts w:ascii="Arial" w:hAnsi="Arial" w:cs="Arial"/>
              </w:rPr>
            </w:pPr>
            <w:r w:rsidRPr="005E78A8">
              <w:rPr>
                <w:rFonts w:ascii="Arial" w:hAnsi="Arial" w:cs="Arial"/>
              </w:rPr>
              <w:t>Cymbellaceae</w:t>
            </w:r>
          </w:p>
        </w:tc>
      </w:tr>
      <w:tr w:rsidR="005E78A8" w:rsidRPr="005E78A8" w14:paraId="01513EB6" w14:textId="77777777" w:rsidTr="00646A31">
        <w:tc>
          <w:tcPr>
            <w:tcW w:w="483" w:type="dxa"/>
          </w:tcPr>
          <w:p w14:paraId="57705CA3" w14:textId="77777777" w:rsidR="005E78A8" w:rsidRPr="005E78A8" w:rsidRDefault="005E78A8" w:rsidP="005E78A8">
            <w:pPr>
              <w:rPr>
                <w:rFonts w:ascii="Arial" w:hAnsi="Arial" w:cs="Arial"/>
                <w:i/>
              </w:rPr>
            </w:pPr>
            <w:r w:rsidRPr="005E78A8">
              <w:rPr>
                <w:rFonts w:ascii="Arial" w:hAnsi="Arial" w:cs="Arial"/>
                <w:i/>
              </w:rPr>
              <w:t>7</w:t>
            </w:r>
          </w:p>
        </w:tc>
        <w:tc>
          <w:tcPr>
            <w:tcW w:w="4587" w:type="dxa"/>
          </w:tcPr>
          <w:p w14:paraId="0C9EAC50" w14:textId="77777777" w:rsidR="005E78A8" w:rsidRPr="005E78A8" w:rsidRDefault="005E78A8" w:rsidP="005E78A8">
            <w:pPr>
              <w:rPr>
                <w:rFonts w:ascii="Arial" w:hAnsi="Arial" w:cs="Arial"/>
                <w:i/>
              </w:rPr>
            </w:pPr>
            <w:r w:rsidRPr="005E78A8">
              <w:rPr>
                <w:rFonts w:ascii="Arial" w:hAnsi="Arial" w:cs="Arial"/>
                <w:i/>
              </w:rPr>
              <w:t>Diadesmis confervacea</w:t>
            </w:r>
          </w:p>
        </w:tc>
        <w:tc>
          <w:tcPr>
            <w:tcW w:w="3122" w:type="dxa"/>
          </w:tcPr>
          <w:p w14:paraId="3E453D66" w14:textId="77777777" w:rsidR="005E78A8" w:rsidRPr="005E78A8" w:rsidRDefault="005E78A8" w:rsidP="005E78A8">
            <w:pPr>
              <w:rPr>
                <w:rFonts w:ascii="Arial" w:hAnsi="Arial" w:cs="Arial"/>
                <w:color w:val="000000" w:themeColor="text1"/>
              </w:rPr>
            </w:pPr>
            <w:r w:rsidRPr="005E78A8">
              <w:rPr>
                <w:rFonts w:ascii="Arial" w:hAnsi="Arial" w:cs="Arial"/>
              </w:rPr>
              <w:t>Diadesmidaceae</w:t>
            </w:r>
          </w:p>
        </w:tc>
      </w:tr>
      <w:tr w:rsidR="005E78A8" w:rsidRPr="005E78A8" w14:paraId="438192DC" w14:textId="77777777" w:rsidTr="00646A31">
        <w:tc>
          <w:tcPr>
            <w:tcW w:w="483" w:type="dxa"/>
          </w:tcPr>
          <w:p w14:paraId="24DF78A0" w14:textId="77777777" w:rsidR="005E78A8" w:rsidRPr="005E78A8" w:rsidRDefault="005E78A8" w:rsidP="005E78A8">
            <w:pPr>
              <w:rPr>
                <w:rFonts w:ascii="Arial" w:hAnsi="Arial" w:cs="Arial"/>
                <w:i/>
              </w:rPr>
            </w:pPr>
            <w:r w:rsidRPr="005E78A8">
              <w:rPr>
                <w:rFonts w:ascii="Arial" w:hAnsi="Arial" w:cs="Arial"/>
                <w:i/>
              </w:rPr>
              <w:t>8</w:t>
            </w:r>
          </w:p>
        </w:tc>
        <w:tc>
          <w:tcPr>
            <w:tcW w:w="4587" w:type="dxa"/>
          </w:tcPr>
          <w:p w14:paraId="2C2367EC" w14:textId="77777777" w:rsidR="005E78A8" w:rsidRPr="005E78A8" w:rsidRDefault="005E78A8" w:rsidP="005E78A8">
            <w:pPr>
              <w:rPr>
                <w:rFonts w:ascii="Arial" w:hAnsi="Arial" w:cs="Arial"/>
                <w:i/>
              </w:rPr>
            </w:pPr>
            <w:r w:rsidRPr="005E78A8">
              <w:rPr>
                <w:rFonts w:ascii="Arial" w:hAnsi="Arial" w:cs="Arial"/>
                <w:i/>
              </w:rPr>
              <w:t>Encyonema incurvatum</w:t>
            </w:r>
          </w:p>
        </w:tc>
        <w:tc>
          <w:tcPr>
            <w:tcW w:w="3122" w:type="dxa"/>
          </w:tcPr>
          <w:p w14:paraId="655686E3" w14:textId="77777777" w:rsidR="005E78A8" w:rsidRPr="005E78A8" w:rsidRDefault="005E78A8" w:rsidP="005E78A8">
            <w:pPr>
              <w:rPr>
                <w:rFonts w:ascii="Arial" w:hAnsi="Arial" w:cs="Arial"/>
              </w:rPr>
            </w:pPr>
            <w:r w:rsidRPr="005E78A8">
              <w:rPr>
                <w:rFonts w:ascii="Arial" w:hAnsi="Arial" w:cs="Arial"/>
              </w:rPr>
              <w:t>Cymbellaceae</w:t>
            </w:r>
          </w:p>
        </w:tc>
      </w:tr>
      <w:tr w:rsidR="005E78A8" w:rsidRPr="005E78A8" w14:paraId="62EB0144" w14:textId="77777777" w:rsidTr="00646A31">
        <w:tc>
          <w:tcPr>
            <w:tcW w:w="483" w:type="dxa"/>
          </w:tcPr>
          <w:p w14:paraId="5CEBE2BA" w14:textId="77777777" w:rsidR="005E78A8" w:rsidRPr="005E78A8" w:rsidRDefault="005E78A8" w:rsidP="005E78A8">
            <w:pPr>
              <w:rPr>
                <w:rFonts w:ascii="Arial" w:hAnsi="Arial" w:cs="Arial"/>
                <w:i/>
                <w:iCs/>
              </w:rPr>
            </w:pPr>
            <w:r w:rsidRPr="005E78A8">
              <w:rPr>
                <w:rFonts w:ascii="Arial" w:hAnsi="Arial" w:cs="Arial"/>
                <w:i/>
                <w:iCs/>
              </w:rPr>
              <w:t>9</w:t>
            </w:r>
          </w:p>
        </w:tc>
        <w:tc>
          <w:tcPr>
            <w:tcW w:w="4587" w:type="dxa"/>
          </w:tcPr>
          <w:p w14:paraId="6065ED7C" w14:textId="77777777" w:rsidR="005E78A8" w:rsidRPr="005E78A8" w:rsidRDefault="005E78A8" w:rsidP="005E78A8">
            <w:pPr>
              <w:rPr>
                <w:rFonts w:ascii="Arial" w:hAnsi="Arial" w:cs="Arial"/>
                <w:i/>
                <w:highlight w:val="red"/>
              </w:rPr>
            </w:pPr>
            <w:r w:rsidRPr="005E78A8">
              <w:rPr>
                <w:rFonts w:ascii="Arial" w:hAnsi="Arial" w:cs="Arial"/>
                <w:i/>
                <w:iCs/>
              </w:rPr>
              <w:t>Epithemia argus</w:t>
            </w:r>
            <w:r w:rsidRPr="005E78A8">
              <w:rPr>
                <w:rFonts w:ascii="Arial" w:hAnsi="Arial" w:cs="Arial"/>
                <w:i/>
              </w:rPr>
              <w:t> (Ehrenberg) Kützing</w:t>
            </w:r>
          </w:p>
        </w:tc>
        <w:tc>
          <w:tcPr>
            <w:tcW w:w="3122" w:type="dxa"/>
          </w:tcPr>
          <w:p w14:paraId="415487D0" w14:textId="77777777" w:rsidR="005E78A8" w:rsidRPr="005E78A8" w:rsidRDefault="005E78A8" w:rsidP="005E78A8">
            <w:pPr>
              <w:rPr>
                <w:rFonts w:ascii="Arial" w:hAnsi="Arial" w:cs="Arial"/>
              </w:rPr>
            </w:pPr>
            <w:r w:rsidRPr="005E78A8">
              <w:rPr>
                <w:rFonts w:ascii="Arial" w:hAnsi="Arial" w:cs="Arial"/>
              </w:rPr>
              <w:t>Rhopalodiaceae</w:t>
            </w:r>
          </w:p>
        </w:tc>
      </w:tr>
      <w:tr w:rsidR="005E78A8" w:rsidRPr="005E78A8" w14:paraId="234F1320" w14:textId="77777777" w:rsidTr="00646A31">
        <w:tc>
          <w:tcPr>
            <w:tcW w:w="483" w:type="dxa"/>
          </w:tcPr>
          <w:p w14:paraId="6C9C6B36" w14:textId="77777777" w:rsidR="005E78A8" w:rsidRPr="005E78A8" w:rsidRDefault="005E78A8" w:rsidP="005E78A8">
            <w:pPr>
              <w:rPr>
                <w:rFonts w:ascii="Arial" w:hAnsi="Arial" w:cs="Arial"/>
                <w:i/>
              </w:rPr>
            </w:pPr>
            <w:r w:rsidRPr="005E78A8">
              <w:rPr>
                <w:rFonts w:ascii="Arial" w:hAnsi="Arial" w:cs="Arial"/>
                <w:i/>
              </w:rPr>
              <w:t>10</w:t>
            </w:r>
          </w:p>
        </w:tc>
        <w:tc>
          <w:tcPr>
            <w:tcW w:w="4587" w:type="dxa"/>
          </w:tcPr>
          <w:p w14:paraId="47C9EAD5" w14:textId="77777777" w:rsidR="005E78A8" w:rsidRPr="005E78A8" w:rsidRDefault="005E78A8" w:rsidP="005E78A8">
            <w:pPr>
              <w:rPr>
                <w:rFonts w:ascii="Arial" w:hAnsi="Arial" w:cs="Arial"/>
                <w:i/>
                <w:highlight w:val="red"/>
              </w:rPr>
            </w:pPr>
            <w:r w:rsidRPr="005E78A8">
              <w:rPr>
                <w:rFonts w:ascii="Arial" w:hAnsi="Arial" w:cs="Arial"/>
                <w:i/>
              </w:rPr>
              <w:t>Epithemia turgida</w:t>
            </w:r>
          </w:p>
        </w:tc>
        <w:tc>
          <w:tcPr>
            <w:tcW w:w="3122" w:type="dxa"/>
          </w:tcPr>
          <w:p w14:paraId="2842BCBB" w14:textId="77777777" w:rsidR="005E78A8" w:rsidRPr="005E78A8" w:rsidRDefault="005E78A8" w:rsidP="005E78A8">
            <w:pPr>
              <w:rPr>
                <w:rFonts w:ascii="Arial" w:hAnsi="Arial" w:cs="Arial"/>
              </w:rPr>
            </w:pPr>
            <w:r w:rsidRPr="005E78A8">
              <w:rPr>
                <w:rFonts w:ascii="Arial" w:hAnsi="Arial" w:cs="Arial"/>
              </w:rPr>
              <w:t>Rhopalodiaceae</w:t>
            </w:r>
          </w:p>
        </w:tc>
      </w:tr>
      <w:tr w:rsidR="005E78A8" w:rsidRPr="005E78A8" w14:paraId="359EECF3" w14:textId="77777777" w:rsidTr="00646A31">
        <w:tc>
          <w:tcPr>
            <w:tcW w:w="483" w:type="dxa"/>
          </w:tcPr>
          <w:p w14:paraId="2B9D6727" w14:textId="77777777" w:rsidR="005E78A8" w:rsidRPr="005E78A8" w:rsidRDefault="005E78A8" w:rsidP="005E78A8">
            <w:pPr>
              <w:rPr>
                <w:rFonts w:ascii="Arial" w:hAnsi="Arial" w:cs="Arial"/>
                <w:i/>
              </w:rPr>
            </w:pPr>
            <w:r w:rsidRPr="005E78A8">
              <w:rPr>
                <w:rFonts w:ascii="Arial" w:hAnsi="Arial" w:cs="Arial"/>
                <w:i/>
              </w:rPr>
              <w:t>11</w:t>
            </w:r>
          </w:p>
        </w:tc>
        <w:tc>
          <w:tcPr>
            <w:tcW w:w="4587" w:type="dxa"/>
          </w:tcPr>
          <w:p w14:paraId="508B034E" w14:textId="77777777" w:rsidR="005E78A8" w:rsidRPr="005E78A8" w:rsidRDefault="005E78A8" w:rsidP="005E78A8">
            <w:pPr>
              <w:rPr>
                <w:rFonts w:ascii="Arial" w:hAnsi="Arial" w:cs="Arial"/>
                <w:i/>
              </w:rPr>
            </w:pPr>
            <w:r w:rsidRPr="005E78A8">
              <w:rPr>
                <w:rFonts w:ascii="Arial" w:hAnsi="Arial" w:cs="Arial"/>
                <w:i/>
              </w:rPr>
              <w:t xml:space="preserve">Euglena </w:t>
            </w:r>
            <w:commentRangeStart w:id="16"/>
            <w:r w:rsidRPr="005E78A8">
              <w:rPr>
                <w:rFonts w:ascii="Arial" w:hAnsi="Arial" w:cs="Arial"/>
                <w:i/>
              </w:rPr>
              <w:t>sp</w:t>
            </w:r>
            <w:commentRangeEnd w:id="16"/>
            <w:r w:rsidR="00EF3A4B">
              <w:rPr>
                <w:rStyle w:val="CommentReference"/>
              </w:rPr>
              <w:commentReference w:id="16"/>
            </w:r>
            <w:r w:rsidRPr="005E78A8">
              <w:rPr>
                <w:rFonts w:ascii="Arial" w:hAnsi="Arial" w:cs="Arial"/>
                <w:i/>
              </w:rPr>
              <w:t>.</w:t>
            </w:r>
          </w:p>
        </w:tc>
        <w:tc>
          <w:tcPr>
            <w:tcW w:w="3122" w:type="dxa"/>
          </w:tcPr>
          <w:p w14:paraId="000AB3C3" w14:textId="77777777" w:rsidR="005E78A8" w:rsidRPr="005E78A8" w:rsidRDefault="005E78A8" w:rsidP="005E78A8">
            <w:pPr>
              <w:rPr>
                <w:rFonts w:ascii="Arial" w:hAnsi="Arial" w:cs="Arial"/>
              </w:rPr>
            </w:pPr>
            <w:r w:rsidRPr="005E78A8">
              <w:rPr>
                <w:rFonts w:ascii="Arial" w:hAnsi="Arial" w:cs="Arial"/>
              </w:rPr>
              <w:t>Euglenaceae</w:t>
            </w:r>
          </w:p>
        </w:tc>
      </w:tr>
      <w:tr w:rsidR="005E78A8" w:rsidRPr="005E78A8" w14:paraId="38465090" w14:textId="77777777" w:rsidTr="00646A31">
        <w:tc>
          <w:tcPr>
            <w:tcW w:w="483" w:type="dxa"/>
          </w:tcPr>
          <w:p w14:paraId="2CF4E718" w14:textId="77777777" w:rsidR="005E78A8" w:rsidRPr="005E78A8" w:rsidRDefault="005E78A8" w:rsidP="005E78A8">
            <w:pPr>
              <w:rPr>
                <w:rFonts w:ascii="Arial" w:hAnsi="Arial" w:cs="Arial"/>
                <w:i/>
              </w:rPr>
            </w:pPr>
            <w:r w:rsidRPr="005E78A8">
              <w:rPr>
                <w:rFonts w:ascii="Arial" w:hAnsi="Arial" w:cs="Arial"/>
                <w:i/>
              </w:rPr>
              <w:t>12</w:t>
            </w:r>
          </w:p>
        </w:tc>
        <w:tc>
          <w:tcPr>
            <w:tcW w:w="4587" w:type="dxa"/>
          </w:tcPr>
          <w:p w14:paraId="4A524967" w14:textId="77777777" w:rsidR="005E78A8" w:rsidRPr="005E78A8" w:rsidRDefault="005E78A8" w:rsidP="005E78A8">
            <w:pPr>
              <w:rPr>
                <w:rFonts w:ascii="Arial" w:hAnsi="Arial" w:cs="Arial"/>
                <w:i/>
              </w:rPr>
            </w:pPr>
            <w:r w:rsidRPr="005E78A8">
              <w:rPr>
                <w:rFonts w:ascii="Arial" w:hAnsi="Arial" w:cs="Arial"/>
                <w:i/>
              </w:rPr>
              <w:t>Fragilaria javanica</w:t>
            </w:r>
          </w:p>
        </w:tc>
        <w:tc>
          <w:tcPr>
            <w:tcW w:w="3122" w:type="dxa"/>
          </w:tcPr>
          <w:p w14:paraId="51D6CB69" w14:textId="77777777" w:rsidR="005E78A8" w:rsidRPr="005E78A8" w:rsidRDefault="005E78A8" w:rsidP="005E78A8">
            <w:pPr>
              <w:rPr>
                <w:rFonts w:ascii="Arial" w:hAnsi="Arial" w:cs="Arial"/>
              </w:rPr>
            </w:pPr>
            <w:r w:rsidRPr="005E78A8">
              <w:rPr>
                <w:rFonts w:ascii="Arial" w:hAnsi="Arial" w:cs="Arial"/>
              </w:rPr>
              <w:t>Fragilariaceae</w:t>
            </w:r>
          </w:p>
        </w:tc>
      </w:tr>
      <w:tr w:rsidR="005E78A8" w:rsidRPr="005E78A8" w14:paraId="14653168" w14:textId="77777777" w:rsidTr="00646A31">
        <w:tc>
          <w:tcPr>
            <w:tcW w:w="483" w:type="dxa"/>
          </w:tcPr>
          <w:p w14:paraId="7C8D80D8" w14:textId="77777777" w:rsidR="005E78A8" w:rsidRPr="005E78A8" w:rsidRDefault="005E78A8" w:rsidP="005E78A8">
            <w:pPr>
              <w:rPr>
                <w:rFonts w:ascii="Arial" w:hAnsi="Arial" w:cs="Arial"/>
                <w:i/>
              </w:rPr>
            </w:pPr>
            <w:r w:rsidRPr="005E78A8">
              <w:rPr>
                <w:rFonts w:ascii="Arial" w:hAnsi="Arial" w:cs="Arial"/>
                <w:i/>
              </w:rPr>
              <w:t>13</w:t>
            </w:r>
          </w:p>
        </w:tc>
        <w:tc>
          <w:tcPr>
            <w:tcW w:w="4587" w:type="dxa"/>
          </w:tcPr>
          <w:p w14:paraId="5B94EB2F" w14:textId="77777777" w:rsidR="005E78A8" w:rsidRPr="005E78A8" w:rsidRDefault="005E78A8" w:rsidP="005E78A8">
            <w:pPr>
              <w:rPr>
                <w:rFonts w:ascii="Arial" w:hAnsi="Arial" w:cs="Arial"/>
                <w:i/>
              </w:rPr>
            </w:pPr>
            <w:r w:rsidRPr="005E78A8">
              <w:rPr>
                <w:rFonts w:ascii="Arial" w:hAnsi="Arial" w:cs="Arial"/>
                <w:i/>
              </w:rPr>
              <w:t>Fragilaria rumpens</w:t>
            </w:r>
          </w:p>
        </w:tc>
        <w:tc>
          <w:tcPr>
            <w:tcW w:w="3122" w:type="dxa"/>
          </w:tcPr>
          <w:p w14:paraId="7B0F48B5" w14:textId="77777777" w:rsidR="005E78A8" w:rsidRPr="005E78A8" w:rsidRDefault="005E78A8" w:rsidP="005E78A8">
            <w:pPr>
              <w:rPr>
                <w:rFonts w:ascii="Arial" w:hAnsi="Arial" w:cs="Arial"/>
              </w:rPr>
            </w:pPr>
            <w:r w:rsidRPr="005E78A8">
              <w:rPr>
                <w:rFonts w:ascii="Arial" w:hAnsi="Arial" w:cs="Arial"/>
              </w:rPr>
              <w:t>Fragilariaceae</w:t>
            </w:r>
          </w:p>
        </w:tc>
      </w:tr>
      <w:tr w:rsidR="005E78A8" w:rsidRPr="005E78A8" w14:paraId="33930722" w14:textId="77777777" w:rsidTr="00646A31">
        <w:tc>
          <w:tcPr>
            <w:tcW w:w="483" w:type="dxa"/>
          </w:tcPr>
          <w:p w14:paraId="09251AC2" w14:textId="77777777" w:rsidR="005E78A8" w:rsidRPr="005E78A8" w:rsidRDefault="005E78A8" w:rsidP="005E78A8">
            <w:pPr>
              <w:rPr>
                <w:rFonts w:ascii="Arial" w:hAnsi="Arial" w:cs="Arial"/>
                <w:i/>
              </w:rPr>
            </w:pPr>
            <w:r w:rsidRPr="005E78A8">
              <w:rPr>
                <w:rFonts w:ascii="Arial" w:hAnsi="Arial" w:cs="Arial"/>
                <w:i/>
              </w:rPr>
              <w:t>14</w:t>
            </w:r>
          </w:p>
        </w:tc>
        <w:tc>
          <w:tcPr>
            <w:tcW w:w="4587" w:type="dxa"/>
          </w:tcPr>
          <w:p w14:paraId="6F802BE3" w14:textId="77777777" w:rsidR="005E78A8" w:rsidRPr="005E78A8" w:rsidRDefault="005E78A8" w:rsidP="005E78A8">
            <w:pPr>
              <w:rPr>
                <w:rFonts w:ascii="Arial" w:hAnsi="Arial" w:cs="Arial"/>
                <w:i/>
              </w:rPr>
            </w:pPr>
            <w:r w:rsidRPr="005E78A8">
              <w:rPr>
                <w:rFonts w:ascii="Arial" w:hAnsi="Arial" w:cs="Arial"/>
                <w:i/>
              </w:rPr>
              <w:t xml:space="preserve">Gomphonema augur </w:t>
            </w:r>
          </w:p>
        </w:tc>
        <w:tc>
          <w:tcPr>
            <w:tcW w:w="3122" w:type="dxa"/>
          </w:tcPr>
          <w:p w14:paraId="23209223"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5D26BD93" w14:textId="77777777" w:rsidTr="00646A31">
        <w:tc>
          <w:tcPr>
            <w:tcW w:w="483" w:type="dxa"/>
          </w:tcPr>
          <w:p w14:paraId="2A856298" w14:textId="77777777" w:rsidR="005E78A8" w:rsidRPr="005E78A8" w:rsidRDefault="005E78A8" w:rsidP="005E78A8">
            <w:pPr>
              <w:rPr>
                <w:rFonts w:ascii="Arial" w:hAnsi="Arial" w:cs="Arial"/>
                <w:i/>
              </w:rPr>
            </w:pPr>
            <w:r w:rsidRPr="005E78A8">
              <w:rPr>
                <w:rFonts w:ascii="Arial" w:hAnsi="Arial" w:cs="Arial"/>
                <w:i/>
              </w:rPr>
              <w:t>15</w:t>
            </w:r>
          </w:p>
        </w:tc>
        <w:tc>
          <w:tcPr>
            <w:tcW w:w="4587" w:type="dxa"/>
          </w:tcPr>
          <w:p w14:paraId="5A242062" w14:textId="77777777" w:rsidR="005E78A8" w:rsidRPr="005E78A8" w:rsidRDefault="005E78A8" w:rsidP="005E78A8">
            <w:pPr>
              <w:rPr>
                <w:rFonts w:ascii="Arial" w:hAnsi="Arial" w:cs="Arial"/>
                <w:i/>
              </w:rPr>
            </w:pPr>
            <w:r w:rsidRPr="005E78A8">
              <w:rPr>
                <w:rFonts w:ascii="Arial" w:hAnsi="Arial" w:cs="Arial"/>
                <w:i/>
              </w:rPr>
              <w:t>Gomphonema clavatum</w:t>
            </w:r>
          </w:p>
        </w:tc>
        <w:tc>
          <w:tcPr>
            <w:tcW w:w="3122" w:type="dxa"/>
          </w:tcPr>
          <w:p w14:paraId="36FB2E29"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6348C5B9" w14:textId="77777777" w:rsidTr="00646A31">
        <w:tc>
          <w:tcPr>
            <w:tcW w:w="483" w:type="dxa"/>
          </w:tcPr>
          <w:p w14:paraId="324392B6" w14:textId="77777777" w:rsidR="005E78A8" w:rsidRPr="005E78A8" w:rsidRDefault="005E78A8" w:rsidP="005E78A8">
            <w:pPr>
              <w:rPr>
                <w:rFonts w:ascii="Arial" w:hAnsi="Arial" w:cs="Arial"/>
                <w:i/>
              </w:rPr>
            </w:pPr>
            <w:r w:rsidRPr="005E78A8">
              <w:rPr>
                <w:rFonts w:ascii="Arial" w:hAnsi="Arial" w:cs="Arial"/>
                <w:i/>
              </w:rPr>
              <w:t>16</w:t>
            </w:r>
          </w:p>
        </w:tc>
        <w:tc>
          <w:tcPr>
            <w:tcW w:w="4587" w:type="dxa"/>
          </w:tcPr>
          <w:p w14:paraId="65600F94" w14:textId="77777777" w:rsidR="005E78A8" w:rsidRPr="005E78A8" w:rsidRDefault="005E78A8" w:rsidP="005E78A8">
            <w:pPr>
              <w:rPr>
                <w:rFonts w:ascii="Arial" w:hAnsi="Arial" w:cs="Arial"/>
                <w:i/>
              </w:rPr>
            </w:pPr>
            <w:r w:rsidRPr="005E78A8">
              <w:rPr>
                <w:rFonts w:ascii="Arial" w:hAnsi="Arial" w:cs="Arial"/>
                <w:i/>
              </w:rPr>
              <w:t xml:space="preserve">Gomphonema hebridense </w:t>
            </w:r>
          </w:p>
        </w:tc>
        <w:tc>
          <w:tcPr>
            <w:tcW w:w="3122" w:type="dxa"/>
          </w:tcPr>
          <w:p w14:paraId="31429B33"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0011DAAD" w14:textId="77777777" w:rsidTr="00646A31">
        <w:tc>
          <w:tcPr>
            <w:tcW w:w="483" w:type="dxa"/>
          </w:tcPr>
          <w:p w14:paraId="79D62E02" w14:textId="77777777" w:rsidR="005E78A8" w:rsidRPr="005E78A8" w:rsidRDefault="005E78A8" w:rsidP="005E78A8">
            <w:pPr>
              <w:rPr>
                <w:rFonts w:ascii="Arial" w:hAnsi="Arial" w:cs="Arial"/>
                <w:i/>
              </w:rPr>
            </w:pPr>
            <w:r w:rsidRPr="005E78A8">
              <w:rPr>
                <w:rFonts w:ascii="Arial" w:hAnsi="Arial" w:cs="Arial"/>
                <w:i/>
              </w:rPr>
              <w:t>17</w:t>
            </w:r>
          </w:p>
        </w:tc>
        <w:tc>
          <w:tcPr>
            <w:tcW w:w="4587" w:type="dxa"/>
          </w:tcPr>
          <w:p w14:paraId="28B000D5" w14:textId="77777777" w:rsidR="005E78A8" w:rsidRPr="005E78A8" w:rsidRDefault="005E78A8" w:rsidP="005E78A8">
            <w:pPr>
              <w:rPr>
                <w:rFonts w:ascii="Arial" w:hAnsi="Arial" w:cs="Arial"/>
                <w:i/>
              </w:rPr>
            </w:pPr>
            <w:r w:rsidRPr="005E78A8">
              <w:rPr>
                <w:rFonts w:ascii="Arial" w:hAnsi="Arial" w:cs="Arial"/>
                <w:i/>
              </w:rPr>
              <w:t>Gomphonema olivaceum</w:t>
            </w:r>
          </w:p>
        </w:tc>
        <w:tc>
          <w:tcPr>
            <w:tcW w:w="3122" w:type="dxa"/>
          </w:tcPr>
          <w:p w14:paraId="031CB9D5"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5D538BF2" w14:textId="77777777" w:rsidTr="00646A31">
        <w:tc>
          <w:tcPr>
            <w:tcW w:w="483" w:type="dxa"/>
          </w:tcPr>
          <w:p w14:paraId="47FEDE77" w14:textId="77777777" w:rsidR="005E78A8" w:rsidRPr="005E78A8" w:rsidRDefault="005E78A8" w:rsidP="005E78A8">
            <w:pPr>
              <w:rPr>
                <w:rFonts w:ascii="Arial" w:hAnsi="Arial" w:cs="Arial"/>
                <w:i/>
              </w:rPr>
            </w:pPr>
            <w:r w:rsidRPr="005E78A8">
              <w:rPr>
                <w:rFonts w:ascii="Arial" w:hAnsi="Arial" w:cs="Arial"/>
                <w:i/>
              </w:rPr>
              <w:t>18</w:t>
            </w:r>
          </w:p>
        </w:tc>
        <w:tc>
          <w:tcPr>
            <w:tcW w:w="4587" w:type="dxa"/>
          </w:tcPr>
          <w:p w14:paraId="17A94DE0" w14:textId="77777777" w:rsidR="005E78A8" w:rsidRPr="005E78A8" w:rsidRDefault="005E78A8" w:rsidP="005E78A8">
            <w:pPr>
              <w:rPr>
                <w:rFonts w:ascii="Arial" w:hAnsi="Arial" w:cs="Arial"/>
                <w:i/>
              </w:rPr>
            </w:pPr>
            <w:r w:rsidRPr="005E78A8">
              <w:rPr>
                <w:rFonts w:ascii="Arial" w:hAnsi="Arial" w:cs="Arial"/>
                <w:i/>
              </w:rPr>
              <w:t>Gomphonema parvulum</w:t>
            </w:r>
          </w:p>
        </w:tc>
        <w:tc>
          <w:tcPr>
            <w:tcW w:w="3122" w:type="dxa"/>
          </w:tcPr>
          <w:p w14:paraId="551D3A54"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3C400739" w14:textId="77777777" w:rsidTr="00646A31">
        <w:tc>
          <w:tcPr>
            <w:tcW w:w="483" w:type="dxa"/>
          </w:tcPr>
          <w:p w14:paraId="692C9E2D" w14:textId="77777777" w:rsidR="005E78A8" w:rsidRPr="005E78A8" w:rsidRDefault="005E78A8" w:rsidP="005E78A8">
            <w:pPr>
              <w:rPr>
                <w:rFonts w:ascii="Arial" w:hAnsi="Arial" w:cs="Arial"/>
                <w:i/>
              </w:rPr>
            </w:pPr>
            <w:r w:rsidRPr="005E78A8">
              <w:rPr>
                <w:rFonts w:ascii="Arial" w:hAnsi="Arial" w:cs="Arial"/>
                <w:i/>
              </w:rPr>
              <w:t>19</w:t>
            </w:r>
          </w:p>
        </w:tc>
        <w:tc>
          <w:tcPr>
            <w:tcW w:w="4587" w:type="dxa"/>
          </w:tcPr>
          <w:p w14:paraId="6FBD0753" w14:textId="77777777" w:rsidR="005E78A8" w:rsidRPr="005E78A8" w:rsidRDefault="005E78A8" w:rsidP="005E78A8">
            <w:pPr>
              <w:rPr>
                <w:rFonts w:ascii="Arial" w:hAnsi="Arial" w:cs="Arial"/>
                <w:i/>
              </w:rPr>
            </w:pPr>
            <w:r w:rsidRPr="005E78A8">
              <w:rPr>
                <w:rFonts w:ascii="Arial" w:hAnsi="Arial" w:cs="Arial"/>
                <w:i/>
              </w:rPr>
              <w:t>Gomphonema pseudoaugur</w:t>
            </w:r>
          </w:p>
        </w:tc>
        <w:tc>
          <w:tcPr>
            <w:tcW w:w="3122" w:type="dxa"/>
          </w:tcPr>
          <w:p w14:paraId="41CEF955"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1AA54DA6" w14:textId="77777777" w:rsidTr="00646A31">
        <w:tc>
          <w:tcPr>
            <w:tcW w:w="483" w:type="dxa"/>
          </w:tcPr>
          <w:p w14:paraId="7F61EB46" w14:textId="77777777" w:rsidR="005E78A8" w:rsidRPr="005E78A8" w:rsidRDefault="005E78A8" w:rsidP="005E78A8">
            <w:pPr>
              <w:rPr>
                <w:rFonts w:ascii="Arial" w:hAnsi="Arial" w:cs="Arial"/>
                <w:i/>
              </w:rPr>
            </w:pPr>
            <w:r w:rsidRPr="005E78A8">
              <w:rPr>
                <w:rFonts w:ascii="Arial" w:hAnsi="Arial" w:cs="Arial"/>
                <w:i/>
              </w:rPr>
              <w:t>20</w:t>
            </w:r>
          </w:p>
        </w:tc>
        <w:tc>
          <w:tcPr>
            <w:tcW w:w="4587" w:type="dxa"/>
          </w:tcPr>
          <w:p w14:paraId="6A8BC6E7" w14:textId="77777777" w:rsidR="005E78A8" w:rsidRPr="005E78A8" w:rsidRDefault="005E78A8" w:rsidP="005E78A8">
            <w:pPr>
              <w:rPr>
                <w:rFonts w:ascii="Arial" w:hAnsi="Arial" w:cs="Arial"/>
                <w:i/>
              </w:rPr>
            </w:pPr>
            <w:r w:rsidRPr="005E78A8">
              <w:rPr>
                <w:rFonts w:ascii="Arial" w:hAnsi="Arial" w:cs="Arial"/>
                <w:i/>
              </w:rPr>
              <w:t>Gomphonema sphaerophorum</w:t>
            </w:r>
          </w:p>
        </w:tc>
        <w:tc>
          <w:tcPr>
            <w:tcW w:w="3122" w:type="dxa"/>
          </w:tcPr>
          <w:p w14:paraId="0F5A6A1B"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49CDCA41" w14:textId="77777777" w:rsidTr="00646A31">
        <w:tc>
          <w:tcPr>
            <w:tcW w:w="483" w:type="dxa"/>
          </w:tcPr>
          <w:p w14:paraId="52A0A9DA" w14:textId="77777777" w:rsidR="005E78A8" w:rsidRPr="005E78A8" w:rsidRDefault="005E78A8" w:rsidP="005E78A8">
            <w:pPr>
              <w:rPr>
                <w:rFonts w:ascii="Arial" w:hAnsi="Arial" w:cs="Arial"/>
                <w:i/>
              </w:rPr>
            </w:pPr>
            <w:r w:rsidRPr="005E78A8">
              <w:rPr>
                <w:rFonts w:ascii="Arial" w:hAnsi="Arial" w:cs="Arial"/>
                <w:i/>
              </w:rPr>
              <w:t>21</w:t>
            </w:r>
          </w:p>
        </w:tc>
        <w:tc>
          <w:tcPr>
            <w:tcW w:w="4587" w:type="dxa"/>
          </w:tcPr>
          <w:p w14:paraId="78A0F426" w14:textId="77777777" w:rsidR="005E78A8" w:rsidRPr="005E78A8" w:rsidRDefault="005E78A8" w:rsidP="005E78A8">
            <w:pPr>
              <w:rPr>
                <w:rFonts w:ascii="Arial" w:hAnsi="Arial" w:cs="Arial"/>
                <w:i/>
              </w:rPr>
            </w:pPr>
            <w:r w:rsidRPr="005E78A8">
              <w:rPr>
                <w:rFonts w:ascii="Arial" w:hAnsi="Arial" w:cs="Arial"/>
                <w:i/>
              </w:rPr>
              <w:t>Gomphonema truncatum</w:t>
            </w:r>
          </w:p>
        </w:tc>
        <w:tc>
          <w:tcPr>
            <w:tcW w:w="3122" w:type="dxa"/>
          </w:tcPr>
          <w:p w14:paraId="51C33B7B"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62F33F37" w14:textId="77777777" w:rsidTr="00646A31">
        <w:tc>
          <w:tcPr>
            <w:tcW w:w="483" w:type="dxa"/>
          </w:tcPr>
          <w:p w14:paraId="76D50104" w14:textId="77777777" w:rsidR="005E78A8" w:rsidRPr="005E78A8" w:rsidRDefault="005E78A8" w:rsidP="005E78A8">
            <w:pPr>
              <w:rPr>
                <w:rFonts w:ascii="Arial" w:hAnsi="Arial" w:cs="Arial"/>
                <w:i/>
              </w:rPr>
            </w:pPr>
            <w:r w:rsidRPr="005E78A8">
              <w:rPr>
                <w:rFonts w:ascii="Arial" w:hAnsi="Arial" w:cs="Arial"/>
                <w:i/>
              </w:rPr>
              <w:t>22</w:t>
            </w:r>
          </w:p>
        </w:tc>
        <w:tc>
          <w:tcPr>
            <w:tcW w:w="4587" w:type="dxa"/>
          </w:tcPr>
          <w:p w14:paraId="6494FBC0" w14:textId="77777777" w:rsidR="005E78A8" w:rsidRPr="005E78A8" w:rsidRDefault="005E78A8" w:rsidP="005E78A8">
            <w:pPr>
              <w:rPr>
                <w:rFonts w:ascii="Arial" w:hAnsi="Arial" w:cs="Arial"/>
                <w:i/>
              </w:rPr>
            </w:pPr>
            <w:r w:rsidRPr="005E78A8">
              <w:rPr>
                <w:rFonts w:ascii="Arial" w:hAnsi="Arial" w:cs="Arial"/>
                <w:i/>
              </w:rPr>
              <w:t xml:space="preserve"> Gomphonema turris var. okamurae</w:t>
            </w:r>
          </w:p>
        </w:tc>
        <w:tc>
          <w:tcPr>
            <w:tcW w:w="3122" w:type="dxa"/>
          </w:tcPr>
          <w:p w14:paraId="428AD3FC"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05F8EC11" w14:textId="77777777" w:rsidTr="00646A31">
        <w:tc>
          <w:tcPr>
            <w:tcW w:w="483" w:type="dxa"/>
          </w:tcPr>
          <w:p w14:paraId="28CD0490" w14:textId="77777777" w:rsidR="005E78A8" w:rsidRPr="005E78A8" w:rsidRDefault="005E78A8" w:rsidP="005E78A8">
            <w:pPr>
              <w:rPr>
                <w:rFonts w:ascii="Arial" w:hAnsi="Arial" w:cs="Arial"/>
                <w:i/>
              </w:rPr>
            </w:pPr>
            <w:r w:rsidRPr="005E78A8">
              <w:rPr>
                <w:rFonts w:ascii="Arial" w:hAnsi="Arial" w:cs="Arial"/>
                <w:i/>
              </w:rPr>
              <w:t>23</w:t>
            </w:r>
          </w:p>
        </w:tc>
        <w:tc>
          <w:tcPr>
            <w:tcW w:w="4587" w:type="dxa"/>
          </w:tcPr>
          <w:p w14:paraId="5C34CB26" w14:textId="77777777" w:rsidR="005E78A8" w:rsidRPr="005E78A8" w:rsidRDefault="005E78A8" w:rsidP="005E78A8">
            <w:pPr>
              <w:rPr>
                <w:rFonts w:ascii="Arial" w:hAnsi="Arial" w:cs="Arial"/>
                <w:i/>
              </w:rPr>
            </w:pPr>
            <w:r w:rsidRPr="005E78A8">
              <w:rPr>
                <w:rFonts w:ascii="Arial" w:hAnsi="Arial" w:cs="Arial"/>
                <w:i/>
              </w:rPr>
              <w:t>Gomphonema vibrio</w:t>
            </w:r>
          </w:p>
        </w:tc>
        <w:tc>
          <w:tcPr>
            <w:tcW w:w="3122" w:type="dxa"/>
          </w:tcPr>
          <w:p w14:paraId="70624B8A" w14:textId="77777777" w:rsidR="005E78A8" w:rsidRPr="005E78A8" w:rsidRDefault="005E78A8" w:rsidP="005E78A8">
            <w:pPr>
              <w:rPr>
                <w:rFonts w:ascii="Arial" w:hAnsi="Arial" w:cs="Arial"/>
              </w:rPr>
            </w:pPr>
            <w:r w:rsidRPr="005E78A8">
              <w:rPr>
                <w:rFonts w:ascii="Arial" w:hAnsi="Arial" w:cs="Arial"/>
              </w:rPr>
              <w:t>Gomphonemataceae</w:t>
            </w:r>
          </w:p>
        </w:tc>
      </w:tr>
      <w:tr w:rsidR="005E78A8" w:rsidRPr="005E78A8" w14:paraId="23B5FF0B" w14:textId="77777777" w:rsidTr="00646A31">
        <w:tc>
          <w:tcPr>
            <w:tcW w:w="483" w:type="dxa"/>
          </w:tcPr>
          <w:p w14:paraId="3984F043" w14:textId="77777777" w:rsidR="005E78A8" w:rsidRPr="005E78A8" w:rsidRDefault="005E78A8" w:rsidP="005E78A8">
            <w:pPr>
              <w:rPr>
                <w:rFonts w:ascii="Arial" w:hAnsi="Arial" w:cs="Arial"/>
                <w:i/>
              </w:rPr>
            </w:pPr>
            <w:r w:rsidRPr="005E78A8">
              <w:rPr>
                <w:rFonts w:ascii="Arial" w:hAnsi="Arial" w:cs="Arial"/>
                <w:i/>
              </w:rPr>
              <w:t>24</w:t>
            </w:r>
          </w:p>
        </w:tc>
        <w:tc>
          <w:tcPr>
            <w:tcW w:w="4587" w:type="dxa"/>
          </w:tcPr>
          <w:p w14:paraId="3C021AFF" w14:textId="77777777" w:rsidR="005E78A8" w:rsidRPr="005E78A8" w:rsidRDefault="005E78A8" w:rsidP="005E78A8">
            <w:pPr>
              <w:rPr>
                <w:rFonts w:ascii="Arial" w:hAnsi="Arial" w:cs="Arial"/>
                <w:i/>
              </w:rPr>
            </w:pPr>
            <w:r w:rsidRPr="005E78A8">
              <w:rPr>
                <w:rFonts w:ascii="Arial" w:hAnsi="Arial" w:cs="Arial"/>
                <w:i/>
              </w:rPr>
              <w:t xml:space="preserve"> Gonium </w:t>
            </w:r>
            <w:commentRangeStart w:id="17"/>
            <w:r w:rsidRPr="005E78A8">
              <w:rPr>
                <w:rFonts w:ascii="Arial" w:hAnsi="Arial" w:cs="Arial"/>
                <w:i/>
              </w:rPr>
              <w:t>sp</w:t>
            </w:r>
            <w:commentRangeEnd w:id="17"/>
            <w:r w:rsidR="00EF3A4B">
              <w:rPr>
                <w:rStyle w:val="CommentReference"/>
              </w:rPr>
              <w:commentReference w:id="17"/>
            </w:r>
          </w:p>
        </w:tc>
        <w:tc>
          <w:tcPr>
            <w:tcW w:w="3122" w:type="dxa"/>
          </w:tcPr>
          <w:p w14:paraId="37D28E9D" w14:textId="77777777" w:rsidR="005E78A8" w:rsidRPr="005E78A8" w:rsidRDefault="005E78A8" w:rsidP="005E78A8">
            <w:pPr>
              <w:rPr>
                <w:rFonts w:ascii="Arial" w:hAnsi="Arial" w:cs="Arial"/>
              </w:rPr>
            </w:pPr>
            <w:r w:rsidRPr="005E78A8">
              <w:rPr>
                <w:rFonts w:ascii="Arial" w:hAnsi="Arial" w:cs="Arial"/>
              </w:rPr>
              <w:t>Goniumaceae</w:t>
            </w:r>
          </w:p>
        </w:tc>
      </w:tr>
      <w:tr w:rsidR="005E78A8" w:rsidRPr="005E78A8" w14:paraId="1CB2AECC" w14:textId="77777777" w:rsidTr="00646A31">
        <w:tc>
          <w:tcPr>
            <w:tcW w:w="483" w:type="dxa"/>
          </w:tcPr>
          <w:p w14:paraId="180612F4" w14:textId="77777777" w:rsidR="005E78A8" w:rsidRPr="005E78A8" w:rsidRDefault="005E78A8" w:rsidP="005E78A8">
            <w:pPr>
              <w:rPr>
                <w:rFonts w:ascii="Arial" w:hAnsi="Arial" w:cs="Arial"/>
                <w:i/>
              </w:rPr>
            </w:pPr>
            <w:r w:rsidRPr="005E78A8">
              <w:rPr>
                <w:rFonts w:ascii="Arial" w:hAnsi="Arial" w:cs="Arial"/>
                <w:i/>
              </w:rPr>
              <w:t>25</w:t>
            </w:r>
          </w:p>
        </w:tc>
        <w:tc>
          <w:tcPr>
            <w:tcW w:w="4587" w:type="dxa"/>
          </w:tcPr>
          <w:p w14:paraId="3C11D8D5" w14:textId="77777777" w:rsidR="005E78A8" w:rsidRPr="005E78A8" w:rsidRDefault="005E78A8" w:rsidP="005E78A8">
            <w:pPr>
              <w:rPr>
                <w:rFonts w:ascii="Arial" w:hAnsi="Arial" w:cs="Arial"/>
                <w:i/>
              </w:rPr>
            </w:pPr>
            <w:r w:rsidRPr="005E78A8">
              <w:rPr>
                <w:rFonts w:ascii="Arial" w:hAnsi="Arial" w:cs="Arial"/>
                <w:i/>
              </w:rPr>
              <w:t xml:space="preserve">Licmophora </w:t>
            </w:r>
            <w:commentRangeStart w:id="18"/>
            <w:r w:rsidRPr="005E78A8">
              <w:rPr>
                <w:rFonts w:ascii="Arial" w:hAnsi="Arial" w:cs="Arial"/>
                <w:i/>
              </w:rPr>
              <w:t>sp</w:t>
            </w:r>
            <w:commentRangeEnd w:id="18"/>
            <w:r w:rsidR="00EF3A4B">
              <w:rPr>
                <w:rStyle w:val="CommentReference"/>
              </w:rPr>
              <w:commentReference w:id="18"/>
            </w:r>
            <w:r w:rsidRPr="005E78A8">
              <w:rPr>
                <w:rFonts w:ascii="Arial" w:hAnsi="Arial" w:cs="Arial"/>
                <w:i/>
              </w:rPr>
              <w:t>.</w:t>
            </w:r>
          </w:p>
        </w:tc>
        <w:tc>
          <w:tcPr>
            <w:tcW w:w="3122" w:type="dxa"/>
          </w:tcPr>
          <w:p w14:paraId="13B83414" w14:textId="77777777" w:rsidR="005E78A8" w:rsidRPr="005E78A8" w:rsidRDefault="005E78A8" w:rsidP="005E78A8">
            <w:pPr>
              <w:rPr>
                <w:rFonts w:ascii="Arial" w:hAnsi="Arial" w:cs="Arial"/>
              </w:rPr>
            </w:pPr>
            <w:r w:rsidRPr="005E78A8">
              <w:rPr>
                <w:rFonts w:ascii="Arial" w:hAnsi="Arial" w:cs="Arial"/>
              </w:rPr>
              <w:t>Licmophoraceae</w:t>
            </w:r>
          </w:p>
        </w:tc>
      </w:tr>
      <w:tr w:rsidR="005E78A8" w:rsidRPr="005E78A8" w14:paraId="3F35DF43" w14:textId="77777777" w:rsidTr="00646A31">
        <w:tc>
          <w:tcPr>
            <w:tcW w:w="483" w:type="dxa"/>
          </w:tcPr>
          <w:p w14:paraId="0DE87F2F" w14:textId="77777777" w:rsidR="005E78A8" w:rsidRPr="005E78A8" w:rsidRDefault="005E78A8" w:rsidP="005E78A8">
            <w:pPr>
              <w:rPr>
                <w:rFonts w:ascii="Arial" w:hAnsi="Arial" w:cs="Arial"/>
                <w:i/>
              </w:rPr>
            </w:pPr>
            <w:r w:rsidRPr="005E78A8">
              <w:rPr>
                <w:rFonts w:ascii="Arial" w:hAnsi="Arial" w:cs="Arial"/>
                <w:i/>
              </w:rPr>
              <w:t>26</w:t>
            </w:r>
          </w:p>
        </w:tc>
        <w:tc>
          <w:tcPr>
            <w:tcW w:w="4587" w:type="dxa"/>
          </w:tcPr>
          <w:p w14:paraId="2B63F4F5" w14:textId="77777777" w:rsidR="005E78A8" w:rsidRPr="005E78A8" w:rsidRDefault="005E78A8" w:rsidP="005E78A8">
            <w:pPr>
              <w:rPr>
                <w:rFonts w:ascii="Arial" w:hAnsi="Arial" w:cs="Arial"/>
                <w:i/>
              </w:rPr>
            </w:pPr>
            <w:r w:rsidRPr="005E78A8">
              <w:rPr>
                <w:rFonts w:ascii="Arial" w:hAnsi="Arial" w:cs="Arial"/>
                <w:i/>
              </w:rPr>
              <w:t>Melosira nummuloides Agardh</w:t>
            </w:r>
          </w:p>
        </w:tc>
        <w:tc>
          <w:tcPr>
            <w:tcW w:w="3122" w:type="dxa"/>
          </w:tcPr>
          <w:p w14:paraId="34B92E66" w14:textId="77777777" w:rsidR="005E78A8" w:rsidRPr="005E78A8" w:rsidRDefault="005E78A8" w:rsidP="005E78A8">
            <w:pPr>
              <w:rPr>
                <w:rFonts w:ascii="Arial" w:hAnsi="Arial" w:cs="Arial"/>
              </w:rPr>
            </w:pPr>
            <w:r w:rsidRPr="005E78A8">
              <w:rPr>
                <w:rFonts w:ascii="Arial" w:hAnsi="Arial" w:cs="Arial"/>
              </w:rPr>
              <w:t>Melosiraceae</w:t>
            </w:r>
          </w:p>
        </w:tc>
      </w:tr>
      <w:tr w:rsidR="005E78A8" w:rsidRPr="005E78A8" w14:paraId="20160706" w14:textId="77777777" w:rsidTr="00646A31">
        <w:tc>
          <w:tcPr>
            <w:tcW w:w="483" w:type="dxa"/>
          </w:tcPr>
          <w:p w14:paraId="10C2EFE0" w14:textId="77777777" w:rsidR="005E78A8" w:rsidRPr="005E78A8" w:rsidRDefault="005E78A8" w:rsidP="005E78A8">
            <w:pPr>
              <w:rPr>
                <w:rFonts w:ascii="Arial" w:hAnsi="Arial" w:cs="Arial"/>
                <w:i/>
              </w:rPr>
            </w:pPr>
            <w:r w:rsidRPr="005E78A8">
              <w:rPr>
                <w:rFonts w:ascii="Arial" w:hAnsi="Arial" w:cs="Arial"/>
                <w:i/>
              </w:rPr>
              <w:t>27</w:t>
            </w:r>
          </w:p>
        </w:tc>
        <w:tc>
          <w:tcPr>
            <w:tcW w:w="4587" w:type="dxa"/>
          </w:tcPr>
          <w:p w14:paraId="21791262" w14:textId="77777777" w:rsidR="005E78A8" w:rsidRPr="005E78A8" w:rsidRDefault="005E78A8" w:rsidP="005E78A8">
            <w:pPr>
              <w:rPr>
                <w:rFonts w:ascii="Arial" w:hAnsi="Arial" w:cs="Arial"/>
                <w:i/>
              </w:rPr>
            </w:pPr>
            <w:r w:rsidRPr="005E78A8">
              <w:rPr>
                <w:rFonts w:ascii="Arial" w:hAnsi="Arial" w:cs="Arial"/>
                <w:i/>
              </w:rPr>
              <w:t>Melosira varians var. aequalis</w:t>
            </w:r>
          </w:p>
        </w:tc>
        <w:tc>
          <w:tcPr>
            <w:tcW w:w="3122" w:type="dxa"/>
          </w:tcPr>
          <w:p w14:paraId="3CC3014F" w14:textId="77777777" w:rsidR="005E78A8" w:rsidRPr="005E78A8" w:rsidRDefault="005E78A8" w:rsidP="005E78A8">
            <w:pPr>
              <w:rPr>
                <w:rFonts w:ascii="Arial" w:hAnsi="Arial" w:cs="Arial"/>
              </w:rPr>
            </w:pPr>
            <w:r w:rsidRPr="005E78A8">
              <w:rPr>
                <w:rFonts w:ascii="Arial" w:hAnsi="Arial" w:cs="Arial"/>
              </w:rPr>
              <w:t>Melosiraceae</w:t>
            </w:r>
          </w:p>
        </w:tc>
      </w:tr>
      <w:tr w:rsidR="005E78A8" w:rsidRPr="005E78A8" w14:paraId="575EB142" w14:textId="77777777" w:rsidTr="00646A31">
        <w:tc>
          <w:tcPr>
            <w:tcW w:w="483" w:type="dxa"/>
          </w:tcPr>
          <w:p w14:paraId="0818240F" w14:textId="77777777" w:rsidR="005E78A8" w:rsidRPr="005E78A8" w:rsidRDefault="005E78A8" w:rsidP="005E78A8">
            <w:pPr>
              <w:rPr>
                <w:rFonts w:ascii="Arial" w:hAnsi="Arial" w:cs="Arial"/>
                <w:i/>
              </w:rPr>
            </w:pPr>
            <w:r w:rsidRPr="005E78A8">
              <w:rPr>
                <w:rFonts w:ascii="Arial" w:hAnsi="Arial" w:cs="Arial"/>
                <w:i/>
              </w:rPr>
              <w:t>28</w:t>
            </w:r>
          </w:p>
        </w:tc>
        <w:tc>
          <w:tcPr>
            <w:tcW w:w="4587" w:type="dxa"/>
          </w:tcPr>
          <w:p w14:paraId="212C13BD" w14:textId="77777777" w:rsidR="005E78A8" w:rsidRPr="005E78A8" w:rsidRDefault="005E78A8" w:rsidP="005E78A8">
            <w:pPr>
              <w:rPr>
                <w:rFonts w:ascii="Arial" w:hAnsi="Arial" w:cs="Arial"/>
                <w:i/>
              </w:rPr>
            </w:pPr>
            <w:r w:rsidRPr="005E78A8">
              <w:rPr>
                <w:rFonts w:ascii="Arial" w:hAnsi="Arial" w:cs="Arial"/>
                <w:i/>
              </w:rPr>
              <w:t>Micrasterias  mahabuleshwarensis</w:t>
            </w:r>
          </w:p>
        </w:tc>
        <w:tc>
          <w:tcPr>
            <w:tcW w:w="3122" w:type="dxa"/>
          </w:tcPr>
          <w:p w14:paraId="32FE0DA8" w14:textId="77777777" w:rsidR="005E78A8" w:rsidRPr="005E78A8" w:rsidRDefault="005E78A8" w:rsidP="005E78A8">
            <w:pPr>
              <w:rPr>
                <w:rFonts w:ascii="Arial" w:hAnsi="Arial" w:cs="Arial"/>
              </w:rPr>
            </w:pPr>
            <w:r w:rsidRPr="005E78A8">
              <w:rPr>
                <w:rFonts w:ascii="Arial" w:hAnsi="Arial" w:cs="Arial"/>
              </w:rPr>
              <w:t>Micrasteriaceae</w:t>
            </w:r>
          </w:p>
        </w:tc>
      </w:tr>
      <w:tr w:rsidR="005E78A8" w:rsidRPr="005E78A8" w14:paraId="5ABD9FCD" w14:textId="77777777" w:rsidTr="00646A31">
        <w:tc>
          <w:tcPr>
            <w:tcW w:w="483" w:type="dxa"/>
          </w:tcPr>
          <w:p w14:paraId="66C318E6" w14:textId="77777777" w:rsidR="005E78A8" w:rsidRPr="005E78A8" w:rsidRDefault="005E78A8" w:rsidP="005E78A8">
            <w:pPr>
              <w:rPr>
                <w:rStyle w:val="Emphasis"/>
                <w:rFonts w:ascii="Arial" w:hAnsi="Arial" w:cs="Arial"/>
              </w:rPr>
            </w:pPr>
            <w:r w:rsidRPr="005E78A8">
              <w:rPr>
                <w:rStyle w:val="Emphasis"/>
                <w:rFonts w:ascii="Arial" w:hAnsi="Arial" w:cs="Arial"/>
              </w:rPr>
              <w:t>29</w:t>
            </w:r>
          </w:p>
        </w:tc>
        <w:tc>
          <w:tcPr>
            <w:tcW w:w="4587" w:type="dxa"/>
          </w:tcPr>
          <w:p w14:paraId="659F2D48" w14:textId="77777777" w:rsidR="005E78A8" w:rsidRPr="005E78A8" w:rsidRDefault="005E78A8" w:rsidP="005E78A8">
            <w:pPr>
              <w:rPr>
                <w:rStyle w:val="Emphasis"/>
                <w:rFonts w:ascii="Arial" w:hAnsi="Arial" w:cs="Arial"/>
              </w:rPr>
            </w:pPr>
            <w:r w:rsidRPr="005E78A8">
              <w:rPr>
                <w:rStyle w:val="Emphasis"/>
                <w:rFonts w:ascii="Arial" w:hAnsi="Arial" w:cs="Arial"/>
              </w:rPr>
              <w:t xml:space="preserve">Micrasterias </w:t>
            </w:r>
            <w:commentRangeStart w:id="19"/>
            <w:r w:rsidRPr="005E78A8">
              <w:rPr>
                <w:rStyle w:val="Emphasis"/>
                <w:rFonts w:ascii="Arial" w:hAnsi="Arial" w:cs="Arial"/>
              </w:rPr>
              <w:t>sp</w:t>
            </w:r>
            <w:commentRangeEnd w:id="19"/>
            <w:r w:rsidR="00EF3A4B">
              <w:rPr>
                <w:rStyle w:val="CommentReference"/>
              </w:rPr>
              <w:commentReference w:id="19"/>
            </w:r>
            <w:r w:rsidRPr="005E78A8">
              <w:rPr>
                <w:rStyle w:val="Emphasis"/>
                <w:rFonts w:ascii="Arial" w:hAnsi="Arial" w:cs="Arial"/>
              </w:rPr>
              <w:t>. </w:t>
            </w:r>
          </w:p>
        </w:tc>
        <w:tc>
          <w:tcPr>
            <w:tcW w:w="3122" w:type="dxa"/>
          </w:tcPr>
          <w:p w14:paraId="26991B6B" w14:textId="77777777" w:rsidR="005E78A8" w:rsidRPr="005E78A8" w:rsidRDefault="005E78A8" w:rsidP="005E78A8">
            <w:pPr>
              <w:rPr>
                <w:rFonts w:ascii="Arial" w:hAnsi="Arial" w:cs="Arial"/>
              </w:rPr>
            </w:pPr>
            <w:r w:rsidRPr="005E78A8">
              <w:rPr>
                <w:rFonts w:ascii="Arial" w:hAnsi="Arial" w:cs="Arial"/>
              </w:rPr>
              <w:t>Micrasteriaceae</w:t>
            </w:r>
          </w:p>
        </w:tc>
      </w:tr>
      <w:tr w:rsidR="005E78A8" w:rsidRPr="005E78A8" w14:paraId="79498D17" w14:textId="77777777" w:rsidTr="00646A31">
        <w:tc>
          <w:tcPr>
            <w:tcW w:w="483" w:type="dxa"/>
          </w:tcPr>
          <w:p w14:paraId="37A863B3" w14:textId="77777777" w:rsidR="005E78A8" w:rsidRPr="005E78A8" w:rsidRDefault="005E78A8" w:rsidP="005E78A8">
            <w:pPr>
              <w:rPr>
                <w:rFonts w:ascii="Arial" w:hAnsi="Arial" w:cs="Arial"/>
                <w:i/>
              </w:rPr>
            </w:pPr>
            <w:r w:rsidRPr="005E78A8">
              <w:rPr>
                <w:rFonts w:ascii="Arial" w:hAnsi="Arial" w:cs="Arial"/>
                <w:i/>
              </w:rPr>
              <w:t>30</w:t>
            </w:r>
          </w:p>
        </w:tc>
        <w:tc>
          <w:tcPr>
            <w:tcW w:w="4587" w:type="dxa"/>
          </w:tcPr>
          <w:p w14:paraId="520596E7" w14:textId="77777777" w:rsidR="005E78A8" w:rsidRPr="005E78A8" w:rsidRDefault="005E78A8" w:rsidP="005E78A8">
            <w:pPr>
              <w:rPr>
                <w:rFonts w:ascii="Arial" w:hAnsi="Arial" w:cs="Arial"/>
                <w:i/>
              </w:rPr>
            </w:pPr>
            <w:r w:rsidRPr="005E78A8">
              <w:rPr>
                <w:rFonts w:ascii="Arial" w:hAnsi="Arial" w:cs="Arial"/>
                <w:i/>
              </w:rPr>
              <w:t xml:space="preserve"> Navicula malice</w:t>
            </w:r>
          </w:p>
        </w:tc>
        <w:tc>
          <w:tcPr>
            <w:tcW w:w="3122" w:type="dxa"/>
          </w:tcPr>
          <w:p w14:paraId="3B7B03B2" w14:textId="77777777" w:rsidR="005E78A8" w:rsidRPr="005E78A8" w:rsidRDefault="005E78A8" w:rsidP="005E78A8">
            <w:pPr>
              <w:rPr>
                <w:rFonts w:ascii="Arial" w:hAnsi="Arial" w:cs="Arial"/>
              </w:rPr>
            </w:pPr>
            <w:r w:rsidRPr="005E78A8">
              <w:rPr>
                <w:rFonts w:ascii="Arial" w:hAnsi="Arial" w:cs="Arial"/>
              </w:rPr>
              <w:t>Naviculaceae</w:t>
            </w:r>
          </w:p>
        </w:tc>
      </w:tr>
      <w:tr w:rsidR="005E78A8" w:rsidRPr="005E78A8" w14:paraId="0F1AF819" w14:textId="77777777" w:rsidTr="00646A31">
        <w:tc>
          <w:tcPr>
            <w:tcW w:w="483" w:type="dxa"/>
          </w:tcPr>
          <w:p w14:paraId="15B6ABDC" w14:textId="77777777" w:rsidR="005E78A8" w:rsidRPr="005E78A8" w:rsidRDefault="005E78A8" w:rsidP="005E78A8">
            <w:pPr>
              <w:rPr>
                <w:rFonts w:ascii="Arial" w:hAnsi="Arial" w:cs="Arial"/>
                <w:i/>
              </w:rPr>
            </w:pPr>
            <w:r w:rsidRPr="005E78A8">
              <w:rPr>
                <w:rFonts w:ascii="Arial" w:hAnsi="Arial" w:cs="Arial"/>
                <w:i/>
              </w:rPr>
              <w:t>31</w:t>
            </w:r>
          </w:p>
        </w:tc>
        <w:tc>
          <w:tcPr>
            <w:tcW w:w="4587" w:type="dxa"/>
          </w:tcPr>
          <w:p w14:paraId="1BEBDE2E" w14:textId="77777777" w:rsidR="005E78A8" w:rsidRPr="005E78A8" w:rsidRDefault="005E78A8" w:rsidP="005E78A8">
            <w:pPr>
              <w:rPr>
                <w:rFonts w:ascii="Arial" w:hAnsi="Arial" w:cs="Arial"/>
                <w:i/>
              </w:rPr>
            </w:pPr>
            <w:r w:rsidRPr="005E78A8">
              <w:rPr>
                <w:rFonts w:ascii="Arial" w:hAnsi="Arial" w:cs="Arial"/>
                <w:i/>
              </w:rPr>
              <w:t>Pinnularia acrosphaeria</w:t>
            </w:r>
          </w:p>
        </w:tc>
        <w:tc>
          <w:tcPr>
            <w:tcW w:w="3122" w:type="dxa"/>
          </w:tcPr>
          <w:p w14:paraId="42B75A96" w14:textId="77777777" w:rsidR="005E78A8" w:rsidRPr="005E78A8" w:rsidRDefault="005E78A8" w:rsidP="005E78A8">
            <w:pPr>
              <w:rPr>
                <w:rFonts w:ascii="Arial" w:hAnsi="Arial" w:cs="Arial"/>
              </w:rPr>
            </w:pPr>
            <w:r w:rsidRPr="005E78A8">
              <w:rPr>
                <w:rFonts w:ascii="Arial" w:hAnsi="Arial" w:cs="Arial"/>
              </w:rPr>
              <w:t>Pinnulariaceae</w:t>
            </w:r>
          </w:p>
        </w:tc>
      </w:tr>
      <w:tr w:rsidR="005E78A8" w:rsidRPr="005E78A8" w14:paraId="56B0D4FB" w14:textId="77777777" w:rsidTr="00646A31">
        <w:tc>
          <w:tcPr>
            <w:tcW w:w="483" w:type="dxa"/>
          </w:tcPr>
          <w:p w14:paraId="18AC9520" w14:textId="77777777" w:rsidR="005E78A8" w:rsidRPr="005E78A8" w:rsidRDefault="005E78A8" w:rsidP="005E78A8">
            <w:pPr>
              <w:rPr>
                <w:rFonts w:ascii="Arial" w:hAnsi="Arial" w:cs="Arial"/>
                <w:i/>
              </w:rPr>
            </w:pPr>
            <w:r w:rsidRPr="005E78A8">
              <w:rPr>
                <w:rFonts w:ascii="Arial" w:hAnsi="Arial" w:cs="Arial"/>
                <w:i/>
              </w:rPr>
              <w:t>32</w:t>
            </w:r>
          </w:p>
        </w:tc>
        <w:tc>
          <w:tcPr>
            <w:tcW w:w="4587" w:type="dxa"/>
          </w:tcPr>
          <w:p w14:paraId="2FE1AF63" w14:textId="77777777" w:rsidR="005E78A8" w:rsidRPr="005E78A8" w:rsidRDefault="005E78A8" w:rsidP="005E78A8">
            <w:pPr>
              <w:rPr>
                <w:rFonts w:ascii="Arial" w:hAnsi="Arial" w:cs="Arial"/>
                <w:i/>
              </w:rPr>
            </w:pPr>
            <w:r w:rsidRPr="005E78A8">
              <w:rPr>
                <w:rFonts w:ascii="Arial" w:hAnsi="Arial" w:cs="Arial"/>
                <w:i/>
              </w:rPr>
              <w:t>Pinnularia joculata</w:t>
            </w:r>
          </w:p>
        </w:tc>
        <w:tc>
          <w:tcPr>
            <w:tcW w:w="3122" w:type="dxa"/>
          </w:tcPr>
          <w:p w14:paraId="00123CBD" w14:textId="77777777" w:rsidR="005E78A8" w:rsidRPr="005E78A8" w:rsidRDefault="005E78A8" w:rsidP="005E78A8">
            <w:pPr>
              <w:rPr>
                <w:rFonts w:ascii="Arial" w:hAnsi="Arial" w:cs="Arial"/>
              </w:rPr>
            </w:pPr>
            <w:r w:rsidRPr="005E78A8">
              <w:rPr>
                <w:rFonts w:ascii="Arial" w:hAnsi="Arial" w:cs="Arial"/>
              </w:rPr>
              <w:t>Pinnulariaceae</w:t>
            </w:r>
          </w:p>
        </w:tc>
      </w:tr>
      <w:tr w:rsidR="005E78A8" w:rsidRPr="005E78A8" w14:paraId="0B0B3266" w14:textId="77777777" w:rsidTr="00646A31">
        <w:tc>
          <w:tcPr>
            <w:tcW w:w="483" w:type="dxa"/>
          </w:tcPr>
          <w:p w14:paraId="58E79579" w14:textId="77777777" w:rsidR="005E78A8" w:rsidRPr="005E78A8" w:rsidRDefault="005E78A8" w:rsidP="005E78A8">
            <w:pPr>
              <w:rPr>
                <w:rFonts w:ascii="Arial" w:hAnsi="Arial" w:cs="Arial"/>
                <w:bCs/>
                <w:i/>
                <w:iCs/>
              </w:rPr>
            </w:pPr>
            <w:r w:rsidRPr="005E78A8">
              <w:rPr>
                <w:rFonts w:ascii="Arial" w:hAnsi="Arial" w:cs="Arial"/>
                <w:bCs/>
                <w:i/>
                <w:iCs/>
              </w:rPr>
              <w:t>33</w:t>
            </w:r>
          </w:p>
        </w:tc>
        <w:tc>
          <w:tcPr>
            <w:tcW w:w="4587" w:type="dxa"/>
          </w:tcPr>
          <w:p w14:paraId="475E26D6" w14:textId="77777777" w:rsidR="005E78A8" w:rsidRPr="005E78A8" w:rsidRDefault="005E78A8" w:rsidP="005E78A8">
            <w:pPr>
              <w:rPr>
                <w:rFonts w:ascii="Arial" w:hAnsi="Arial" w:cs="Arial"/>
                <w:i/>
              </w:rPr>
            </w:pPr>
            <w:r w:rsidRPr="005E78A8">
              <w:rPr>
                <w:rFonts w:ascii="Arial" w:hAnsi="Arial" w:cs="Arial"/>
                <w:bCs/>
                <w:i/>
                <w:iCs/>
              </w:rPr>
              <w:t>Pinnularia viridis</w:t>
            </w:r>
          </w:p>
        </w:tc>
        <w:tc>
          <w:tcPr>
            <w:tcW w:w="3122" w:type="dxa"/>
          </w:tcPr>
          <w:p w14:paraId="0204BE75" w14:textId="77777777" w:rsidR="005E78A8" w:rsidRPr="005E78A8" w:rsidRDefault="005E78A8" w:rsidP="005E78A8">
            <w:pPr>
              <w:rPr>
                <w:rFonts w:ascii="Arial" w:hAnsi="Arial" w:cs="Arial"/>
              </w:rPr>
            </w:pPr>
            <w:r w:rsidRPr="005E78A8">
              <w:rPr>
                <w:rFonts w:ascii="Arial" w:hAnsi="Arial" w:cs="Arial"/>
              </w:rPr>
              <w:t>Pinnulariaceae</w:t>
            </w:r>
          </w:p>
        </w:tc>
      </w:tr>
      <w:tr w:rsidR="005E78A8" w:rsidRPr="005E78A8" w14:paraId="3EE9481C" w14:textId="77777777" w:rsidTr="00646A31">
        <w:tc>
          <w:tcPr>
            <w:tcW w:w="483" w:type="dxa"/>
          </w:tcPr>
          <w:p w14:paraId="479926C2" w14:textId="77777777" w:rsidR="005E78A8" w:rsidRPr="005E78A8" w:rsidRDefault="005E78A8" w:rsidP="005E78A8">
            <w:pPr>
              <w:rPr>
                <w:rFonts w:ascii="Arial" w:hAnsi="Arial" w:cs="Arial"/>
                <w:i/>
              </w:rPr>
            </w:pPr>
            <w:r w:rsidRPr="005E78A8">
              <w:rPr>
                <w:rFonts w:ascii="Arial" w:hAnsi="Arial" w:cs="Arial"/>
                <w:i/>
              </w:rPr>
              <w:t>34</w:t>
            </w:r>
          </w:p>
        </w:tc>
        <w:tc>
          <w:tcPr>
            <w:tcW w:w="4587" w:type="dxa"/>
          </w:tcPr>
          <w:p w14:paraId="5970B7AF" w14:textId="77777777" w:rsidR="005E78A8" w:rsidRPr="005E78A8" w:rsidRDefault="005E78A8" w:rsidP="005E78A8">
            <w:pPr>
              <w:rPr>
                <w:rFonts w:ascii="Arial" w:hAnsi="Arial" w:cs="Arial"/>
                <w:i/>
              </w:rPr>
            </w:pPr>
            <w:r w:rsidRPr="005E78A8">
              <w:rPr>
                <w:rFonts w:ascii="Arial" w:hAnsi="Arial" w:cs="Arial"/>
                <w:i/>
              </w:rPr>
              <w:t>Pleurosigma elongatum Wm Smit</w:t>
            </w:r>
          </w:p>
        </w:tc>
        <w:tc>
          <w:tcPr>
            <w:tcW w:w="3122" w:type="dxa"/>
          </w:tcPr>
          <w:p w14:paraId="54438F9C" w14:textId="77777777" w:rsidR="005E78A8" w:rsidRPr="005E78A8" w:rsidRDefault="005E78A8" w:rsidP="005E78A8">
            <w:pPr>
              <w:rPr>
                <w:rFonts w:ascii="Arial" w:hAnsi="Arial" w:cs="Arial"/>
              </w:rPr>
            </w:pPr>
            <w:r w:rsidRPr="005E78A8">
              <w:rPr>
                <w:rFonts w:ascii="Arial" w:hAnsi="Arial" w:cs="Arial"/>
              </w:rPr>
              <w:t>Pleurosigmataceae</w:t>
            </w:r>
          </w:p>
        </w:tc>
      </w:tr>
      <w:tr w:rsidR="005E78A8" w:rsidRPr="005E78A8" w14:paraId="38ECD3A4" w14:textId="77777777" w:rsidTr="00646A31">
        <w:tc>
          <w:tcPr>
            <w:tcW w:w="483" w:type="dxa"/>
          </w:tcPr>
          <w:p w14:paraId="16803E5B" w14:textId="77777777" w:rsidR="005E78A8" w:rsidRPr="005E78A8" w:rsidRDefault="005E78A8" w:rsidP="005E78A8">
            <w:pPr>
              <w:rPr>
                <w:rFonts w:ascii="Arial" w:hAnsi="Arial" w:cs="Arial"/>
                <w:i/>
              </w:rPr>
            </w:pPr>
            <w:r w:rsidRPr="005E78A8">
              <w:rPr>
                <w:rFonts w:ascii="Arial" w:hAnsi="Arial" w:cs="Arial"/>
                <w:i/>
              </w:rPr>
              <w:t>35</w:t>
            </w:r>
          </w:p>
        </w:tc>
        <w:tc>
          <w:tcPr>
            <w:tcW w:w="4587" w:type="dxa"/>
          </w:tcPr>
          <w:p w14:paraId="50E4D6EA" w14:textId="77777777" w:rsidR="005E78A8" w:rsidRPr="005E78A8" w:rsidRDefault="005E78A8" w:rsidP="005E78A8">
            <w:pPr>
              <w:rPr>
                <w:rFonts w:ascii="Arial" w:hAnsi="Arial" w:cs="Arial"/>
                <w:i/>
              </w:rPr>
            </w:pPr>
            <w:r w:rsidRPr="005E78A8">
              <w:rPr>
                <w:rFonts w:ascii="Arial" w:hAnsi="Arial" w:cs="Arial"/>
                <w:i/>
              </w:rPr>
              <w:t>Rhopalodia gibba var. ventricosa</w:t>
            </w:r>
          </w:p>
        </w:tc>
        <w:tc>
          <w:tcPr>
            <w:tcW w:w="3122" w:type="dxa"/>
          </w:tcPr>
          <w:p w14:paraId="7615AF23" w14:textId="77777777" w:rsidR="005E78A8" w:rsidRPr="005E78A8" w:rsidRDefault="005E78A8" w:rsidP="005E78A8">
            <w:pPr>
              <w:rPr>
                <w:rFonts w:ascii="Arial" w:hAnsi="Arial" w:cs="Arial"/>
              </w:rPr>
            </w:pPr>
            <w:r w:rsidRPr="005E78A8">
              <w:rPr>
                <w:rFonts w:ascii="Arial" w:hAnsi="Arial" w:cs="Arial"/>
              </w:rPr>
              <w:t>Rhopalodiaceae</w:t>
            </w:r>
          </w:p>
        </w:tc>
      </w:tr>
      <w:tr w:rsidR="005E78A8" w:rsidRPr="005E78A8" w14:paraId="3C12F643" w14:textId="77777777" w:rsidTr="00646A31">
        <w:tc>
          <w:tcPr>
            <w:tcW w:w="483" w:type="dxa"/>
          </w:tcPr>
          <w:p w14:paraId="70801337" w14:textId="77777777" w:rsidR="005E78A8" w:rsidRPr="005E78A8" w:rsidRDefault="005E78A8" w:rsidP="005E78A8">
            <w:pPr>
              <w:rPr>
                <w:rFonts w:ascii="Arial" w:hAnsi="Arial" w:cs="Arial"/>
                <w:i/>
              </w:rPr>
            </w:pPr>
            <w:r w:rsidRPr="005E78A8">
              <w:rPr>
                <w:rFonts w:ascii="Arial" w:hAnsi="Arial" w:cs="Arial"/>
                <w:i/>
              </w:rPr>
              <w:t>36</w:t>
            </w:r>
          </w:p>
        </w:tc>
        <w:tc>
          <w:tcPr>
            <w:tcW w:w="4587" w:type="dxa"/>
          </w:tcPr>
          <w:p w14:paraId="7C6E209C" w14:textId="77777777" w:rsidR="005E78A8" w:rsidRPr="005E78A8" w:rsidRDefault="005E78A8" w:rsidP="005E78A8">
            <w:pPr>
              <w:rPr>
                <w:rFonts w:ascii="Arial" w:hAnsi="Arial" w:cs="Arial"/>
                <w:i/>
              </w:rPr>
            </w:pPr>
            <w:r w:rsidRPr="005E78A8">
              <w:rPr>
                <w:rFonts w:ascii="Arial" w:hAnsi="Arial" w:cs="Arial"/>
                <w:i/>
              </w:rPr>
              <w:t>Spirogyra majuscule</w:t>
            </w:r>
          </w:p>
        </w:tc>
        <w:tc>
          <w:tcPr>
            <w:tcW w:w="3122" w:type="dxa"/>
          </w:tcPr>
          <w:p w14:paraId="27E5F5C9" w14:textId="77777777" w:rsidR="005E78A8" w:rsidRPr="005E78A8" w:rsidRDefault="005E78A8" w:rsidP="005E78A8">
            <w:pPr>
              <w:rPr>
                <w:rFonts w:ascii="Arial" w:hAnsi="Arial" w:cs="Arial"/>
              </w:rPr>
            </w:pPr>
            <w:r w:rsidRPr="005E78A8">
              <w:rPr>
                <w:rFonts w:ascii="Arial" w:hAnsi="Arial" w:cs="Arial"/>
              </w:rPr>
              <w:t>Spirogyriaceae</w:t>
            </w:r>
          </w:p>
        </w:tc>
      </w:tr>
      <w:tr w:rsidR="005E78A8" w:rsidRPr="005E78A8" w14:paraId="59B16D98" w14:textId="77777777" w:rsidTr="00646A31">
        <w:tc>
          <w:tcPr>
            <w:tcW w:w="483" w:type="dxa"/>
          </w:tcPr>
          <w:p w14:paraId="3E7E44CD" w14:textId="77777777" w:rsidR="005E78A8" w:rsidRPr="005E78A8" w:rsidRDefault="005E78A8" w:rsidP="005E78A8">
            <w:pPr>
              <w:rPr>
                <w:rFonts w:ascii="Arial" w:hAnsi="Arial" w:cs="Arial"/>
                <w:i/>
              </w:rPr>
            </w:pPr>
            <w:r w:rsidRPr="005E78A8">
              <w:rPr>
                <w:rFonts w:ascii="Arial" w:hAnsi="Arial" w:cs="Arial"/>
                <w:i/>
              </w:rPr>
              <w:t>37</w:t>
            </w:r>
          </w:p>
        </w:tc>
        <w:tc>
          <w:tcPr>
            <w:tcW w:w="4587" w:type="dxa"/>
          </w:tcPr>
          <w:p w14:paraId="0D224BDC" w14:textId="77777777" w:rsidR="005E78A8" w:rsidRPr="005E78A8" w:rsidRDefault="005E78A8" w:rsidP="005E78A8">
            <w:pPr>
              <w:rPr>
                <w:rFonts w:ascii="Arial" w:hAnsi="Arial" w:cs="Arial"/>
                <w:i/>
              </w:rPr>
            </w:pPr>
            <w:r w:rsidRPr="005E78A8">
              <w:rPr>
                <w:rFonts w:ascii="Arial" w:hAnsi="Arial" w:cs="Arial"/>
                <w:i/>
              </w:rPr>
              <w:t>Stigeoclonium lubricum</w:t>
            </w:r>
          </w:p>
        </w:tc>
        <w:tc>
          <w:tcPr>
            <w:tcW w:w="3122" w:type="dxa"/>
          </w:tcPr>
          <w:p w14:paraId="77C4F329" w14:textId="77777777" w:rsidR="005E78A8" w:rsidRPr="005E78A8" w:rsidRDefault="005E78A8" w:rsidP="005E78A8">
            <w:pPr>
              <w:rPr>
                <w:rFonts w:ascii="Arial" w:hAnsi="Arial" w:cs="Arial"/>
              </w:rPr>
            </w:pPr>
            <w:r w:rsidRPr="005E78A8">
              <w:rPr>
                <w:rFonts w:ascii="Arial" w:hAnsi="Arial" w:cs="Arial"/>
              </w:rPr>
              <w:t>Chaetophoraceae</w:t>
            </w:r>
          </w:p>
        </w:tc>
      </w:tr>
      <w:tr w:rsidR="005E78A8" w:rsidRPr="005E78A8" w14:paraId="2C28C1B2" w14:textId="77777777" w:rsidTr="00646A31">
        <w:tc>
          <w:tcPr>
            <w:tcW w:w="483" w:type="dxa"/>
          </w:tcPr>
          <w:p w14:paraId="06C64A3F" w14:textId="77777777" w:rsidR="005E78A8" w:rsidRPr="005E78A8" w:rsidRDefault="005E78A8" w:rsidP="005E78A8">
            <w:pPr>
              <w:rPr>
                <w:rFonts w:ascii="Arial" w:hAnsi="Arial" w:cs="Arial"/>
                <w:i/>
              </w:rPr>
            </w:pPr>
            <w:r w:rsidRPr="005E78A8">
              <w:rPr>
                <w:rFonts w:ascii="Arial" w:hAnsi="Arial" w:cs="Arial"/>
                <w:i/>
              </w:rPr>
              <w:t>38</w:t>
            </w:r>
          </w:p>
        </w:tc>
        <w:tc>
          <w:tcPr>
            <w:tcW w:w="4587" w:type="dxa"/>
          </w:tcPr>
          <w:p w14:paraId="001B0731" w14:textId="77777777" w:rsidR="005E78A8" w:rsidRPr="005E78A8" w:rsidRDefault="005E78A8" w:rsidP="005E78A8">
            <w:pPr>
              <w:rPr>
                <w:rFonts w:ascii="Arial" w:hAnsi="Arial" w:cs="Arial"/>
                <w:i/>
              </w:rPr>
            </w:pPr>
            <w:r w:rsidRPr="005E78A8">
              <w:rPr>
                <w:rFonts w:ascii="Arial" w:hAnsi="Arial" w:cs="Arial"/>
                <w:i/>
              </w:rPr>
              <w:t>Surirella ovata Kutzing</w:t>
            </w:r>
          </w:p>
        </w:tc>
        <w:tc>
          <w:tcPr>
            <w:tcW w:w="3122" w:type="dxa"/>
          </w:tcPr>
          <w:p w14:paraId="27EF8E09" w14:textId="77777777" w:rsidR="005E78A8" w:rsidRPr="005E78A8" w:rsidRDefault="005E78A8" w:rsidP="005E78A8">
            <w:pPr>
              <w:rPr>
                <w:rFonts w:ascii="Arial" w:hAnsi="Arial" w:cs="Arial"/>
              </w:rPr>
            </w:pPr>
            <w:r w:rsidRPr="005E78A8">
              <w:rPr>
                <w:rFonts w:ascii="Arial" w:hAnsi="Arial" w:cs="Arial"/>
              </w:rPr>
              <w:t>Surirellaceae</w:t>
            </w:r>
          </w:p>
        </w:tc>
      </w:tr>
      <w:tr w:rsidR="005E78A8" w:rsidRPr="005E78A8" w14:paraId="51139FF5" w14:textId="77777777" w:rsidTr="00646A31">
        <w:tc>
          <w:tcPr>
            <w:tcW w:w="483" w:type="dxa"/>
          </w:tcPr>
          <w:p w14:paraId="329B8409" w14:textId="77777777" w:rsidR="005E78A8" w:rsidRPr="005E78A8" w:rsidRDefault="005E78A8" w:rsidP="005E78A8">
            <w:pPr>
              <w:rPr>
                <w:rFonts w:ascii="Arial" w:hAnsi="Arial" w:cs="Arial"/>
                <w:i/>
              </w:rPr>
            </w:pPr>
            <w:r w:rsidRPr="005E78A8">
              <w:rPr>
                <w:rFonts w:ascii="Arial" w:hAnsi="Arial" w:cs="Arial"/>
                <w:i/>
              </w:rPr>
              <w:t>39</w:t>
            </w:r>
          </w:p>
        </w:tc>
        <w:tc>
          <w:tcPr>
            <w:tcW w:w="4587" w:type="dxa"/>
          </w:tcPr>
          <w:p w14:paraId="132513DB" w14:textId="77777777" w:rsidR="005E78A8" w:rsidRPr="005E78A8" w:rsidRDefault="005E78A8" w:rsidP="005E78A8">
            <w:pPr>
              <w:rPr>
                <w:rFonts w:ascii="Arial" w:hAnsi="Arial" w:cs="Arial"/>
                <w:i/>
              </w:rPr>
            </w:pPr>
            <w:r w:rsidRPr="005E78A8">
              <w:rPr>
                <w:rFonts w:ascii="Arial" w:hAnsi="Arial" w:cs="Arial"/>
                <w:i/>
              </w:rPr>
              <w:t xml:space="preserve"> Surirella sublinearia</w:t>
            </w:r>
          </w:p>
        </w:tc>
        <w:tc>
          <w:tcPr>
            <w:tcW w:w="3122" w:type="dxa"/>
          </w:tcPr>
          <w:p w14:paraId="10777015" w14:textId="77777777" w:rsidR="005E78A8" w:rsidRPr="005E78A8" w:rsidRDefault="005E78A8" w:rsidP="005E78A8">
            <w:pPr>
              <w:rPr>
                <w:rFonts w:ascii="Arial" w:hAnsi="Arial" w:cs="Arial"/>
              </w:rPr>
            </w:pPr>
            <w:r w:rsidRPr="005E78A8">
              <w:rPr>
                <w:rFonts w:ascii="Arial" w:hAnsi="Arial" w:cs="Arial"/>
              </w:rPr>
              <w:t>Surirellaceae</w:t>
            </w:r>
          </w:p>
        </w:tc>
      </w:tr>
      <w:tr w:rsidR="005E78A8" w:rsidRPr="005E78A8" w14:paraId="4BF77207" w14:textId="77777777" w:rsidTr="00646A31">
        <w:tc>
          <w:tcPr>
            <w:tcW w:w="483" w:type="dxa"/>
          </w:tcPr>
          <w:p w14:paraId="78EC5B08" w14:textId="77777777" w:rsidR="005E78A8" w:rsidRPr="005E78A8" w:rsidRDefault="005E78A8" w:rsidP="005E78A8">
            <w:pPr>
              <w:rPr>
                <w:rFonts w:ascii="Arial" w:hAnsi="Arial" w:cs="Arial"/>
                <w:i/>
              </w:rPr>
            </w:pPr>
            <w:r w:rsidRPr="005E78A8">
              <w:rPr>
                <w:rFonts w:ascii="Arial" w:hAnsi="Arial" w:cs="Arial"/>
                <w:i/>
              </w:rPr>
              <w:t>40</w:t>
            </w:r>
          </w:p>
        </w:tc>
        <w:tc>
          <w:tcPr>
            <w:tcW w:w="4587" w:type="dxa"/>
          </w:tcPr>
          <w:p w14:paraId="1E6D4ABA" w14:textId="77777777" w:rsidR="005E78A8" w:rsidRPr="005E78A8" w:rsidRDefault="005E78A8" w:rsidP="005E78A8">
            <w:pPr>
              <w:rPr>
                <w:rFonts w:ascii="Arial" w:hAnsi="Arial" w:cs="Arial"/>
                <w:i/>
              </w:rPr>
            </w:pPr>
            <w:r w:rsidRPr="005E78A8">
              <w:rPr>
                <w:rFonts w:ascii="Arial" w:hAnsi="Arial" w:cs="Arial"/>
                <w:i/>
              </w:rPr>
              <w:t>Synedra acuta</w:t>
            </w:r>
          </w:p>
        </w:tc>
        <w:tc>
          <w:tcPr>
            <w:tcW w:w="3122" w:type="dxa"/>
          </w:tcPr>
          <w:p w14:paraId="61D88F1F" w14:textId="77777777" w:rsidR="005E78A8" w:rsidRPr="005E78A8" w:rsidRDefault="005E78A8" w:rsidP="005E78A8">
            <w:pPr>
              <w:rPr>
                <w:rFonts w:ascii="Arial" w:hAnsi="Arial" w:cs="Arial"/>
              </w:rPr>
            </w:pPr>
            <w:r w:rsidRPr="005E78A8">
              <w:rPr>
                <w:rFonts w:ascii="Arial" w:hAnsi="Arial" w:cs="Arial"/>
              </w:rPr>
              <w:t>Fragilariaceae</w:t>
            </w:r>
          </w:p>
        </w:tc>
      </w:tr>
      <w:tr w:rsidR="005E78A8" w:rsidRPr="005E78A8" w14:paraId="6DE0148E" w14:textId="77777777" w:rsidTr="00646A31">
        <w:tc>
          <w:tcPr>
            <w:tcW w:w="483" w:type="dxa"/>
          </w:tcPr>
          <w:p w14:paraId="6EDE413E" w14:textId="77777777" w:rsidR="005E78A8" w:rsidRPr="005E78A8" w:rsidRDefault="005E78A8" w:rsidP="005E78A8">
            <w:pPr>
              <w:rPr>
                <w:rFonts w:ascii="Arial" w:hAnsi="Arial" w:cs="Arial"/>
                <w:i/>
              </w:rPr>
            </w:pPr>
            <w:r w:rsidRPr="005E78A8">
              <w:rPr>
                <w:rFonts w:ascii="Arial" w:hAnsi="Arial" w:cs="Arial"/>
                <w:i/>
              </w:rPr>
              <w:t>41</w:t>
            </w:r>
          </w:p>
        </w:tc>
        <w:tc>
          <w:tcPr>
            <w:tcW w:w="4587" w:type="dxa"/>
          </w:tcPr>
          <w:p w14:paraId="5F79EB65" w14:textId="77777777" w:rsidR="005E78A8" w:rsidRPr="005E78A8" w:rsidRDefault="005E78A8" w:rsidP="005E78A8">
            <w:pPr>
              <w:rPr>
                <w:rFonts w:ascii="Arial" w:hAnsi="Arial" w:cs="Arial"/>
                <w:i/>
              </w:rPr>
            </w:pPr>
            <w:r w:rsidRPr="005E78A8">
              <w:rPr>
                <w:rFonts w:ascii="Arial" w:hAnsi="Arial" w:cs="Arial"/>
                <w:i/>
              </w:rPr>
              <w:t>Synedra gracilis</w:t>
            </w:r>
          </w:p>
        </w:tc>
        <w:tc>
          <w:tcPr>
            <w:tcW w:w="3122" w:type="dxa"/>
          </w:tcPr>
          <w:p w14:paraId="634875E7" w14:textId="77777777" w:rsidR="005E78A8" w:rsidRPr="005E78A8" w:rsidRDefault="005E78A8" w:rsidP="005E78A8">
            <w:pPr>
              <w:rPr>
                <w:rFonts w:ascii="Arial" w:hAnsi="Arial" w:cs="Arial"/>
              </w:rPr>
            </w:pPr>
            <w:r w:rsidRPr="005E78A8">
              <w:rPr>
                <w:rFonts w:ascii="Arial" w:hAnsi="Arial" w:cs="Arial"/>
              </w:rPr>
              <w:t>Fragilariaceae</w:t>
            </w:r>
          </w:p>
        </w:tc>
      </w:tr>
      <w:tr w:rsidR="005E78A8" w:rsidRPr="005E78A8" w14:paraId="23E2FADF" w14:textId="77777777" w:rsidTr="00646A31">
        <w:tc>
          <w:tcPr>
            <w:tcW w:w="483" w:type="dxa"/>
          </w:tcPr>
          <w:p w14:paraId="48816C2B" w14:textId="77777777" w:rsidR="005E78A8" w:rsidRPr="005E78A8" w:rsidRDefault="005E78A8" w:rsidP="005E78A8">
            <w:pPr>
              <w:rPr>
                <w:rFonts w:ascii="Arial" w:hAnsi="Arial" w:cs="Arial"/>
                <w:i/>
              </w:rPr>
            </w:pPr>
            <w:r w:rsidRPr="005E78A8">
              <w:rPr>
                <w:rFonts w:ascii="Arial" w:hAnsi="Arial" w:cs="Arial"/>
                <w:i/>
              </w:rPr>
              <w:t>42</w:t>
            </w:r>
          </w:p>
        </w:tc>
        <w:tc>
          <w:tcPr>
            <w:tcW w:w="4587" w:type="dxa"/>
          </w:tcPr>
          <w:p w14:paraId="281F8CB5" w14:textId="77777777" w:rsidR="005E78A8" w:rsidRPr="005E78A8" w:rsidRDefault="005E78A8" w:rsidP="005E78A8">
            <w:pPr>
              <w:rPr>
                <w:rFonts w:ascii="Arial" w:hAnsi="Arial" w:cs="Arial"/>
                <w:i/>
              </w:rPr>
            </w:pPr>
            <w:r w:rsidRPr="005E78A8">
              <w:rPr>
                <w:rFonts w:ascii="Arial" w:hAnsi="Arial" w:cs="Arial"/>
                <w:i/>
              </w:rPr>
              <w:t>Synedra ulna</w:t>
            </w:r>
          </w:p>
        </w:tc>
        <w:tc>
          <w:tcPr>
            <w:tcW w:w="3122" w:type="dxa"/>
          </w:tcPr>
          <w:p w14:paraId="5D65C27C" w14:textId="77777777" w:rsidR="005E78A8" w:rsidRPr="005E78A8" w:rsidRDefault="005E78A8" w:rsidP="005E78A8">
            <w:pPr>
              <w:rPr>
                <w:rFonts w:ascii="Arial" w:hAnsi="Arial" w:cs="Arial"/>
              </w:rPr>
            </w:pPr>
            <w:r w:rsidRPr="005E78A8">
              <w:rPr>
                <w:rFonts w:ascii="Arial" w:hAnsi="Arial" w:cs="Arial"/>
              </w:rPr>
              <w:t>Fragilariaceae</w:t>
            </w:r>
          </w:p>
        </w:tc>
      </w:tr>
      <w:tr w:rsidR="005E78A8" w:rsidRPr="005E78A8" w14:paraId="44F1AD95" w14:textId="77777777" w:rsidTr="00646A31">
        <w:tc>
          <w:tcPr>
            <w:tcW w:w="483" w:type="dxa"/>
          </w:tcPr>
          <w:p w14:paraId="55BEFF19" w14:textId="77777777" w:rsidR="005E78A8" w:rsidRPr="005E78A8" w:rsidRDefault="005E78A8" w:rsidP="005E78A8">
            <w:pPr>
              <w:rPr>
                <w:rFonts w:ascii="Arial" w:hAnsi="Arial" w:cs="Arial"/>
                <w:i/>
              </w:rPr>
            </w:pPr>
            <w:r w:rsidRPr="005E78A8">
              <w:rPr>
                <w:rFonts w:ascii="Arial" w:hAnsi="Arial" w:cs="Arial"/>
                <w:i/>
              </w:rPr>
              <w:t>43</w:t>
            </w:r>
          </w:p>
        </w:tc>
        <w:tc>
          <w:tcPr>
            <w:tcW w:w="4587" w:type="dxa"/>
          </w:tcPr>
          <w:p w14:paraId="1B4D43DE" w14:textId="77777777" w:rsidR="005E78A8" w:rsidRPr="005E78A8" w:rsidRDefault="005E78A8" w:rsidP="005E78A8">
            <w:pPr>
              <w:rPr>
                <w:rFonts w:ascii="Arial" w:hAnsi="Arial" w:cs="Arial"/>
                <w:i/>
              </w:rPr>
            </w:pPr>
            <w:r w:rsidRPr="005E78A8">
              <w:rPr>
                <w:rFonts w:ascii="Arial" w:hAnsi="Arial" w:cs="Arial"/>
                <w:i/>
              </w:rPr>
              <w:t xml:space="preserve">Syrure </w:t>
            </w:r>
            <w:commentRangeStart w:id="20"/>
            <w:r w:rsidRPr="005E78A8">
              <w:rPr>
                <w:rFonts w:ascii="Arial" w:hAnsi="Arial" w:cs="Arial"/>
                <w:i/>
              </w:rPr>
              <w:t>sp</w:t>
            </w:r>
            <w:commentRangeEnd w:id="20"/>
            <w:r w:rsidR="00EF3A4B">
              <w:rPr>
                <w:rStyle w:val="CommentReference"/>
              </w:rPr>
              <w:commentReference w:id="20"/>
            </w:r>
          </w:p>
        </w:tc>
        <w:tc>
          <w:tcPr>
            <w:tcW w:w="3122" w:type="dxa"/>
          </w:tcPr>
          <w:p w14:paraId="7E3150B2" w14:textId="77777777" w:rsidR="005E78A8" w:rsidRPr="005E78A8" w:rsidRDefault="005E78A8" w:rsidP="005E78A8">
            <w:pPr>
              <w:rPr>
                <w:rFonts w:ascii="Arial" w:hAnsi="Arial" w:cs="Arial"/>
              </w:rPr>
            </w:pPr>
            <w:r w:rsidRPr="005E78A8">
              <w:rPr>
                <w:rFonts w:ascii="Arial" w:hAnsi="Arial" w:cs="Arial"/>
              </w:rPr>
              <w:t>Syruraceae</w:t>
            </w:r>
          </w:p>
        </w:tc>
      </w:tr>
      <w:tr w:rsidR="005E78A8" w:rsidRPr="005E78A8" w14:paraId="428D82DE" w14:textId="77777777" w:rsidTr="00646A31">
        <w:tc>
          <w:tcPr>
            <w:tcW w:w="483" w:type="dxa"/>
          </w:tcPr>
          <w:p w14:paraId="069CFCC8" w14:textId="77777777" w:rsidR="005E78A8" w:rsidRPr="005E78A8" w:rsidRDefault="005E78A8" w:rsidP="005E78A8">
            <w:pPr>
              <w:rPr>
                <w:rFonts w:ascii="Arial" w:hAnsi="Arial" w:cs="Arial"/>
                <w:i/>
              </w:rPr>
            </w:pPr>
            <w:r w:rsidRPr="005E78A8">
              <w:rPr>
                <w:rFonts w:ascii="Arial" w:hAnsi="Arial" w:cs="Arial"/>
                <w:i/>
              </w:rPr>
              <w:t>44</w:t>
            </w:r>
          </w:p>
        </w:tc>
        <w:tc>
          <w:tcPr>
            <w:tcW w:w="4587" w:type="dxa"/>
          </w:tcPr>
          <w:p w14:paraId="4F9A3B5A" w14:textId="77777777" w:rsidR="005E78A8" w:rsidRPr="005E78A8" w:rsidRDefault="005E78A8" w:rsidP="005E78A8">
            <w:pPr>
              <w:rPr>
                <w:rFonts w:ascii="Arial" w:hAnsi="Arial" w:cs="Arial"/>
                <w:i/>
              </w:rPr>
            </w:pPr>
            <w:r w:rsidRPr="005E78A8">
              <w:rPr>
                <w:rFonts w:ascii="Arial" w:hAnsi="Arial" w:cs="Arial"/>
                <w:i/>
              </w:rPr>
              <w:t>Tabellaria flocculosa</w:t>
            </w:r>
          </w:p>
        </w:tc>
        <w:tc>
          <w:tcPr>
            <w:tcW w:w="3122" w:type="dxa"/>
          </w:tcPr>
          <w:p w14:paraId="6AE3DC76" w14:textId="77777777" w:rsidR="005E78A8" w:rsidRPr="005E78A8" w:rsidRDefault="005E78A8" w:rsidP="005E78A8">
            <w:pPr>
              <w:rPr>
                <w:rFonts w:ascii="Arial" w:hAnsi="Arial" w:cs="Arial"/>
              </w:rPr>
            </w:pPr>
            <w:r w:rsidRPr="005E78A8">
              <w:rPr>
                <w:rFonts w:ascii="Arial" w:hAnsi="Arial" w:cs="Arial"/>
              </w:rPr>
              <w:t>Tabellariaceae</w:t>
            </w:r>
          </w:p>
        </w:tc>
      </w:tr>
      <w:tr w:rsidR="005E78A8" w:rsidRPr="005E78A8" w14:paraId="2DA46A35" w14:textId="77777777" w:rsidTr="00646A31">
        <w:tc>
          <w:tcPr>
            <w:tcW w:w="483" w:type="dxa"/>
          </w:tcPr>
          <w:p w14:paraId="49E25CFC" w14:textId="77777777" w:rsidR="005E78A8" w:rsidRPr="005E78A8" w:rsidRDefault="005E78A8" w:rsidP="005E78A8">
            <w:pPr>
              <w:rPr>
                <w:rFonts w:ascii="Arial" w:hAnsi="Arial" w:cs="Arial"/>
                <w:i/>
              </w:rPr>
            </w:pPr>
            <w:r w:rsidRPr="005E78A8">
              <w:rPr>
                <w:rFonts w:ascii="Arial" w:hAnsi="Arial" w:cs="Arial"/>
                <w:i/>
              </w:rPr>
              <w:t>45</w:t>
            </w:r>
          </w:p>
        </w:tc>
        <w:tc>
          <w:tcPr>
            <w:tcW w:w="4587" w:type="dxa"/>
          </w:tcPr>
          <w:p w14:paraId="0C15FD53" w14:textId="77777777" w:rsidR="005E78A8" w:rsidRPr="005E78A8" w:rsidRDefault="005E78A8" w:rsidP="005E78A8">
            <w:pPr>
              <w:rPr>
                <w:rFonts w:ascii="Arial" w:hAnsi="Arial" w:cs="Arial"/>
                <w:i/>
              </w:rPr>
            </w:pPr>
            <w:r w:rsidRPr="005E78A8">
              <w:rPr>
                <w:rFonts w:ascii="Arial" w:hAnsi="Arial" w:cs="Arial"/>
                <w:i/>
              </w:rPr>
              <w:t>Thalasiothrix fraunfeldii Cleve and  Grunow</w:t>
            </w:r>
          </w:p>
        </w:tc>
        <w:tc>
          <w:tcPr>
            <w:tcW w:w="3122" w:type="dxa"/>
          </w:tcPr>
          <w:p w14:paraId="42A42175" w14:textId="77777777" w:rsidR="005E78A8" w:rsidRPr="005E78A8" w:rsidRDefault="005E78A8" w:rsidP="005E78A8">
            <w:pPr>
              <w:rPr>
                <w:rFonts w:ascii="Arial" w:hAnsi="Arial" w:cs="Arial"/>
              </w:rPr>
            </w:pPr>
            <w:r w:rsidRPr="005E78A8">
              <w:rPr>
                <w:rFonts w:ascii="Arial" w:hAnsi="Arial" w:cs="Arial"/>
              </w:rPr>
              <w:t>Thalassionemataceae</w:t>
            </w:r>
          </w:p>
        </w:tc>
      </w:tr>
      <w:tr w:rsidR="005E78A8" w:rsidRPr="005E78A8" w14:paraId="1DFC8A0C" w14:textId="77777777" w:rsidTr="00646A31">
        <w:tc>
          <w:tcPr>
            <w:tcW w:w="483" w:type="dxa"/>
          </w:tcPr>
          <w:p w14:paraId="178B51E4" w14:textId="77777777" w:rsidR="005E78A8" w:rsidRPr="005E78A8" w:rsidRDefault="005E78A8" w:rsidP="005E78A8">
            <w:pPr>
              <w:rPr>
                <w:rFonts w:ascii="Arial" w:hAnsi="Arial" w:cs="Arial"/>
                <w:i/>
              </w:rPr>
            </w:pPr>
            <w:r w:rsidRPr="005E78A8">
              <w:rPr>
                <w:rFonts w:ascii="Arial" w:hAnsi="Arial" w:cs="Arial"/>
                <w:i/>
              </w:rPr>
              <w:t>46</w:t>
            </w:r>
          </w:p>
        </w:tc>
        <w:tc>
          <w:tcPr>
            <w:tcW w:w="4587" w:type="dxa"/>
          </w:tcPr>
          <w:p w14:paraId="56D15B1D" w14:textId="77777777" w:rsidR="005E78A8" w:rsidRPr="005E78A8" w:rsidRDefault="005E78A8" w:rsidP="005E78A8">
            <w:pPr>
              <w:rPr>
                <w:rFonts w:ascii="Arial" w:hAnsi="Arial" w:cs="Arial"/>
                <w:i/>
              </w:rPr>
            </w:pPr>
            <w:r w:rsidRPr="005E78A8">
              <w:rPr>
                <w:rFonts w:ascii="Arial" w:hAnsi="Arial" w:cs="Arial"/>
                <w:i/>
              </w:rPr>
              <w:t xml:space="preserve">Ulnaria amphirhynchus. </w:t>
            </w:r>
          </w:p>
        </w:tc>
        <w:tc>
          <w:tcPr>
            <w:tcW w:w="3122" w:type="dxa"/>
          </w:tcPr>
          <w:p w14:paraId="38A145B9" w14:textId="77777777" w:rsidR="005E78A8" w:rsidRPr="005E78A8" w:rsidRDefault="005E78A8" w:rsidP="005E78A8">
            <w:pPr>
              <w:rPr>
                <w:rFonts w:ascii="Arial" w:hAnsi="Arial" w:cs="Arial"/>
              </w:rPr>
            </w:pPr>
            <w:r w:rsidRPr="005E78A8">
              <w:rPr>
                <w:rFonts w:ascii="Arial" w:hAnsi="Arial" w:cs="Arial"/>
              </w:rPr>
              <w:t>Ulnariaceae</w:t>
            </w:r>
          </w:p>
        </w:tc>
      </w:tr>
      <w:tr w:rsidR="005E78A8" w:rsidRPr="005E78A8" w14:paraId="6D18E331" w14:textId="77777777" w:rsidTr="00646A31">
        <w:tc>
          <w:tcPr>
            <w:tcW w:w="483" w:type="dxa"/>
          </w:tcPr>
          <w:p w14:paraId="7C48BEE7" w14:textId="77777777" w:rsidR="005E78A8" w:rsidRPr="005E78A8" w:rsidRDefault="005E78A8" w:rsidP="005E78A8">
            <w:pPr>
              <w:rPr>
                <w:rFonts w:ascii="Arial" w:hAnsi="Arial" w:cs="Arial"/>
                <w:i/>
              </w:rPr>
            </w:pPr>
            <w:r w:rsidRPr="005E78A8">
              <w:rPr>
                <w:rFonts w:ascii="Arial" w:hAnsi="Arial" w:cs="Arial"/>
                <w:i/>
              </w:rPr>
              <w:t>47</w:t>
            </w:r>
          </w:p>
        </w:tc>
        <w:tc>
          <w:tcPr>
            <w:tcW w:w="4587" w:type="dxa"/>
          </w:tcPr>
          <w:p w14:paraId="0DD0AE3D" w14:textId="77777777" w:rsidR="005E78A8" w:rsidRPr="005E78A8" w:rsidRDefault="005E78A8" w:rsidP="005E78A8">
            <w:pPr>
              <w:rPr>
                <w:rFonts w:ascii="Arial" w:hAnsi="Arial" w:cs="Arial"/>
                <w:i/>
              </w:rPr>
            </w:pPr>
            <w:r w:rsidRPr="005E78A8">
              <w:rPr>
                <w:rFonts w:ascii="Arial" w:hAnsi="Arial" w:cs="Arial"/>
                <w:i/>
              </w:rPr>
              <w:t>Ulnaria delicatissima</w:t>
            </w:r>
          </w:p>
        </w:tc>
        <w:tc>
          <w:tcPr>
            <w:tcW w:w="3122" w:type="dxa"/>
          </w:tcPr>
          <w:p w14:paraId="19B919A1" w14:textId="77777777" w:rsidR="005E78A8" w:rsidRPr="005E78A8" w:rsidRDefault="005E78A8" w:rsidP="005E78A8">
            <w:pPr>
              <w:rPr>
                <w:rFonts w:ascii="Arial" w:hAnsi="Arial" w:cs="Arial"/>
              </w:rPr>
            </w:pPr>
            <w:r w:rsidRPr="005E78A8">
              <w:rPr>
                <w:rFonts w:ascii="Arial" w:hAnsi="Arial" w:cs="Arial"/>
              </w:rPr>
              <w:t>Ulnariaceae</w:t>
            </w:r>
          </w:p>
        </w:tc>
      </w:tr>
      <w:tr w:rsidR="005E78A8" w:rsidRPr="005E78A8" w14:paraId="69AE63B2" w14:textId="77777777" w:rsidTr="00646A31">
        <w:tc>
          <w:tcPr>
            <w:tcW w:w="483" w:type="dxa"/>
            <w:tcBorders>
              <w:bottom w:val="single" w:sz="4" w:space="0" w:color="auto"/>
            </w:tcBorders>
          </w:tcPr>
          <w:p w14:paraId="6ED0C75C" w14:textId="77777777" w:rsidR="005E78A8" w:rsidRPr="005E78A8" w:rsidRDefault="005E78A8" w:rsidP="005E78A8">
            <w:pPr>
              <w:rPr>
                <w:rFonts w:ascii="Arial" w:hAnsi="Arial" w:cs="Arial"/>
                <w:i/>
              </w:rPr>
            </w:pPr>
            <w:r w:rsidRPr="005E78A8">
              <w:rPr>
                <w:rFonts w:ascii="Arial" w:hAnsi="Arial" w:cs="Arial"/>
                <w:i/>
              </w:rPr>
              <w:t>48</w:t>
            </w:r>
          </w:p>
        </w:tc>
        <w:tc>
          <w:tcPr>
            <w:tcW w:w="4587" w:type="dxa"/>
            <w:tcBorders>
              <w:bottom w:val="single" w:sz="4" w:space="0" w:color="auto"/>
            </w:tcBorders>
          </w:tcPr>
          <w:p w14:paraId="5A7CF84D" w14:textId="77777777" w:rsidR="005E78A8" w:rsidRPr="005E78A8" w:rsidRDefault="005E78A8" w:rsidP="005E78A8">
            <w:pPr>
              <w:rPr>
                <w:rFonts w:ascii="Arial" w:hAnsi="Arial" w:cs="Arial"/>
                <w:i/>
              </w:rPr>
            </w:pPr>
            <w:r w:rsidRPr="005E78A8">
              <w:rPr>
                <w:rFonts w:ascii="Arial" w:hAnsi="Arial" w:cs="Arial"/>
                <w:i/>
              </w:rPr>
              <w:t>Ulnaria ulna var. aequalis</w:t>
            </w:r>
          </w:p>
        </w:tc>
        <w:tc>
          <w:tcPr>
            <w:tcW w:w="3122" w:type="dxa"/>
            <w:tcBorders>
              <w:bottom w:val="single" w:sz="4" w:space="0" w:color="auto"/>
            </w:tcBorders>
          </w:tcPr>
          <w:p w14:paraId="074E80C3" w14:textId="77777777" w:rsidR="005E78A8" w:rsidRPr="005E78A8" w:rsidRDefault="005E78A8" w:rsidP="005E78A8">
            <w:pPr>
              <w:rPr>
                <w:rFonts w:ascii="Arial" w:hAnsi="Arial" w:cs="Arial"/>
              </w:rPr>
            </w:pPr>
            <w:r w:rsidRPr="005E78A8">
              <w:rPr>
                <w:rFonts w:ascii="Arial" w:hAnsi="Arial" w:cs="Arial"/>
              </w:rPr>
              <w:t>Ulnariaceae</w:t>
            </w:r>
          </w:p>
        </w:tc>
      </w:tr>
      <w:tr w:rsidR="005E78A8" w:rsidRPr="005E78A8" w14:paraId="65AE9477" w14:textId="77777777" w:rsidTr="00646A31">
        <w:tc>
          <w:tcPr>
            <w:tcW w:w="483" w:type="dxa"/>
            <w:tcBorders>
              <w:top w:val="single" w:sz="4" w:space="0" w:color="auto"/>
            </w:tcBorders>
          </w:tcPr>
          <w:p w14:paraId="62339FF8" w14:textId="77777777" w:rsidR="005E78A8" w:rsidRPr="005E78A8" w:rsidRDefault="005E78A8" w:rsidP="005E78A8">
            <w:pPr>
              <w:rPr>
                <w:rFonts w:ascii="Arial" w:hAnsi="Arial" w:cs="Arial"/>
                <w:i/>
              </w:rPr>
            </w:pPr>
          </w:p>
        </w:tc>
        <w:tc>
          <w:tcPr>
            <w:tcW w:w="4587" w:type="dxa"/>
            <w:tcBorders>
              <w:top w:val="single" w:sz="4" w:space="0" w:color="auto"/>
            </w:tcBorders>
          </w:tcPr>
          <w:p w14:paraId="718CD40B" w14:textId="77777777" w:rsidR="005E78A8" w:rsidRPr="005E78A8" w:rsidRDefault="005E78A8" w:rsidP="005E78A8">
            <w:pPr>
              <w:rPr>
                <w:rFonts w:ascii="Arial" w:hAnsi="Arial" w:cs="Arial"/>
                <w:i/>
              </w:rPr>
            </w:pPr>
          </w:p>
        </w:tc>
        <w:tc>
          <w:tcPr>
            <w:tcW w:w="3122" w:type="dxa"/>
            <w:tcBorders>
              <w:top w:val="single" w:sz="4" w:space="0" w:color="auto"/>
            </w:tcBorders>
          </w:tcPr>
          <w:p w14:paraId="42AF99DD" w14:textId="77777777" w:rsidR="005E78A8" w:rsidRPr="005E78A8" w:rsidRDefault="005E78A8" w:rsidP="005E78A8">
            <w:pPr>
              <w:rPr>
                <w:rFonts w:ascii="Arial" w:hAnsi="Arial" w:cs="Arial"/>
              </w:rPr>
            </w:pPr>
          </w:p>
        </w:tc>
      </w:tr>
    </w:tbl>
    <w:p w14:paraId="7582899F" w14:textId="77777777" w:rsidR="00462160" w:rsidRDefault="00462160" w:rsidP="002B0ABA">
      <w:pPr>
        <w:pStyle w:val="Body"/>
        <w:spacing w:after="0"/>
        <w:rPr>
          <w:rFonts w:ascii="Arial" w:hAnsi="Arial" w:cs="Arial"/>
        </w:rPr>
      </w:pPr>
    </w:p>
    <w:p w14:paraId="2BE68449" w14:textId="77777777" w:rsidR="00462160" w:rsidRDefault="00462160" w:rsidP="002B0ABA">
      <w:pPr>
        <w:pStyle w:val="Body"/>
        <w:spacing w:after="0"/>
        <w:rPr>
          <w:rFonts w:ascii="Arial" w:hAnsi="Arial" w:cs="Arial"/>
        </w:rPr>
      </w:pPr>
    </w:p>
    <w:p w14:paraId="456DB12C" w14:textId="77777777" w:rsidR="00462160" w:rsidRDefault="00462160" w:rsidP="002B0ABA">
      <w:pPr>
        <w:pStyle w:val="Body"/>
        <w:spacing w:after="0"/>
        <w:rPr>
          <w:rFonts w:ascii="Arial" w:hAnsi="Arial" w:cs="Arial"/>
        </w:rPr>
      </w:pPr>
    </w:p>
    <w:p w14:paraId="1C32B7DC" w14:textId="77777777" w:rsidR="00462160" w:rsidRDefault="00462160" w:rsidP="002B0ABA">
      <w:pPr>
        <w:pStyle w:val="Body"/>
        <w:spacing w:after="0"/>
        <w:rPr>
          <w:rFonts w:ascii="Arial" w:hAnsi="Arial" w:cs="Arial"/>
        </w:rPr>
      </w:pPr>
    </w:p>
    <w:p w14:paraId="60C4225A" w14:textId="77777777" w:rsidR="00462160" w:rsidRDefault="00462160" w:rsidP="002B0ABA">
      <w:pPr>
        <w:pStyle w:val="Body"/>
        <w:spacing w:after="0"/>
        <w:rPr>
          <w:rFonts w:ascii="Arial" w:hAnsi="Arial" w:cs="Arial"/>
        </w:rPr>
      </w:pPr>
    </w:p>
    <w:p w14:paraId="5F66AFB5" w14:textId="77777777" w:rsidR="00462160" w:rsidRDefault="00462160" w:rsidP="002B0ABA">
      <w:pPr>
        <w:pStyle w:val="Body"/>
        <w:spacing w:after="0"/>
        <w:rPr>
          <w:rFonts w:ascii="Arial" w:hAnsi="Arial" w:cs="Arial"/>
        </w:rPr>
      </w:pPr>
    </w:p>
    <w:p w14:paraId="016FAADE" w14:textId="77777777" w:rsidR="00462160" w:rsidRDefault="00462160" w:rsidP="002B0ABA">
      <w:pPr>
        <w:pStyle w:val="Body"/>
        <w:spacing w:after="0"/>
        <w:rPr>
          <w:rFonts w:ascii="Arial" w:hAnsi="Arial" w:cs="Arial"/>
        </w:rPr>
      </w:pPr>
    </w:p>
    <w:p w14:paraId="33FAC0A5" w14:textId="77777777" w:rsidR="00462160" w:rsidRDefault="00462160" w:rsidP="002B0ABA">
      <w:pPr>
        <w:pStyle w:val="Body"/>
        <w:spacing w:after="0"/>
        <w:rPr>
          <w:rFonts w:ascii="Arial" w:hAnsi="Arial" w:cs="Arial"/>
        </w:rPr>
      </w:pPr>
    </w:p>
    <w:p w14:paraId="35BD440C" w14:textId="77777777" w:rsidR="00462160" w:rsidRDefault="00462160" w:rsidP="002B0ABA">
      <w:pPr>
        <w:pStyle w:val="Body"/>
        <w:spacing w:after="0"/>
        <w:rPr>
          <w:rFonts w:ascii="Arial" w:hAnsi="Arial" w:cs="Arial"/>
        </w:rPr>
      </w:pPr>
    </w:p>
    <w:p w14:paraId="38E857FD" w14:textId="77777777" w:rsidR="00462160" w:rsidRDefault="00462160" w:rsidP="002B0ABA">
      <w:pPr>
        <w:pStyle w:val="Body"/>
        <w:spacing w:after="0"/>
        <w:rPr>
          <w:rFonts w:ascii="Arial" w:hAnsi="Arial" w:cs="Arial"/>
        </w:rPr>
      </w:pPr>
    </w:p>
    <w:p w14:paraId="44845BFA" w14:textId="77777777" w:rsidR="00462160" w:rsidRDefault="00462160" w:rsidP="002B0ABA">
      <w:pPr>
        <w:pStyle w:val="Body"/>
        <w:spacing w:after="0"/>
        <w:rPr>
          <w:rFonts w:ascii="Arial" w:hAnsi="Arial" w:cs="Arial"/>
        </w:rPr>
      </w:pPr>
    </w:p>
    <w:p w14:paraId="24C96235" w14:textId="77777777" w:rsidR="00462160" w:rsidRDefault="00462160" w:rsidP="002B0ABA">
      <w:pPr>
        <w:pStyle w:val="Body"/>
        <w:spacing w:after="0"/>
        <w:rPr>
          <w:rFonts w:ascii="Arial" w:hAnsi="Arial" w:cs="Arial"/>
        </w:rPr>
      </w:pPr>
    </w:p>
    <w:p w14:paraId="5CC963AB" w14:textId="77777777" w:rsidR="00462160" w:rsidRDefault="00462160" w:rsidP="002B0ABA">
      <w:pPr>
        <w:pStyle w:val="Body"/>
        <w:spacing w:after="0"/>
        <w:rPr>
          <w:rFonts w:ascii="Arial" w:hAnsi="Arial" w:cs="Arial"/>
        </w:rPr>
      </w:pPr>
    </w:p>
    <w:p w14:paraId="35017DD9" w14:textId="77777777" w:rsidR="00462160" w:rsidRDefault="00462160" w:rsidP="002B0ABA">
      <w:pPr>
        <w:pStyle w:val="Body"/>
        <w:spacing w:after="0"/>
        <w:rPr>
          <w:rFonts w:ascii="Arial" w:hAnsi="Arial" w:cs="Arial"/>
        </w:rPr>
      </w:pPr>
    </w:p>
    <w:p w14:paraId="1545C8CC" w14:textId="77777777" w:rsidR="00462160" w:rsidRDefault="00462160" w:rsidP="002B0ABA">
      <w:pPr>
        <w:pStyle w:val="Body"/>
        <w:spacing w:after="0"/>
        <w:rPr>
          <w:rFonts w:ascii="Arial" w:hAnsi="Arial" w:cs="Arial"/>
        </w:rPr>
      </w:pPr>
    </w:p>
    <w:p w14:paraId="31350138" w14:textId="77777777" w:rsidR="00462160" w:rsidRDefault="00C31793" w:rsidP="002B0ABA">
      <w:pPr>
        <w:pStyle w:val="Body"/>
        <w:spacing w:after="0"/>
        <w:rPr>
          <w:rFonts w:ascii="Arial" w:hAnsi="Arial" w:cs="Arial"/>
        </w:rPr>
      </w:pPr>
      <w:r w:rsidRPr="00C31793">
        <w:rPr>
          <w:rFonts w:ascii="Arial" w:hAnsi="Arial" w:cs="Arial"/>
          <w:noProof/>
        </w:rPr>
        <w:drawing>
          <wp:inline distT="0" distB="0" distL="0" distR="0" wp14:anchorId="7094330A" wp14:editId="0076E75F">
            <wp:extent cx="6629400" cy="5905500"/>
            <wp:effectExtent l="19050" t="0" r="0" b="0"/>
            <wp:docPr id="1" name="Picture 1" descr="C:\Users\imedimfon1\Documents\P.hD folder\MY P.HD THESIS\P.HD\Ph.D Publication folder\Statistical Analysis\PCA OUTPUT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edimfon1\Documents\P.hD folder\MY P.HD THESIS\P.HD\Ph.D Publication folder\Statistical Analysis\PCA OUTPUT_page-0001.jpg"/>
                    <pic:cNvPicPr>
                      <a:picLocks noChangeAspect="1" noChangeArrowheads="1"/>
                    </pic:cNvPicPr>
                  </pic:nvPicPr>
                  <pic:blipFill>
                    <a:blip r:embed="rId22" cstate="print"/>
                    <a:srcRect/>
                    <a:stretch>
                      <a:fillRect/>
                    </a:stretch>
                  </pic:blipFill>
                  <pic:spPr bwMode="auto">
                    <a:xfrm>
                      <a:off x="0" y="0"/>
                      <a:ext cx="6636448" cy="5911778"/>
                    </a:xfrm>
                    <a:prstGeom prst="rect">
                      <a:avLst/>
                    </a:prstGeom>
                    <a:noFill/>
                    <a:ln w="9525">
                      <a:noFill/>
                      <a:miter lim="800000"/>
                      <a:headEnd/>
                      <a:tailEnd/>
                    </a:ln>
                  </pic:spPr>
                </pic:pic>
              </a:graphicData>
            </a:graphic>
          </wp:inline>
        </w:drawing>
      </w:r>
    </w:p>
    <w:p w14:paraId="597C8348" w14:textId="77777777" w:rsidR="00462160" w:rsidRDefault="00462160" w:rsidP="002B0ABA">
      <w:pPr>
        <w:pStyle w:val="Body"/>
        <w:spacing w:after="0"/>
        <w:rPr>
          <w:rFonts w:ascii="Arial" w:hAnsi="Arial" w:cs="Arial"/>
        </w:rPr>
      </w:pPr>
    </w:p>
    <w:p w14:paraId="18C53501" w14:textId="77777777" w:rsidR="00462160" w:rsidRPr="005C2F48" w:rsidRDefault="005C2F48" w:rsidP="002B0ABA">
      <w:pPr>
        <w:pStyle w:val="Body"/>
        <w:spacing w:after="0"/>
        <w:rPr>
          <w:rFonts w:ascii="Arial" w:hAnsi="Arial" w:cs="Arial"/>
          <w:b/>
        </w:rPr>
      </w:pPr>
      <w:r w:rsidRPr="005C2F48">
        <w:rPr>
          <w:rFonts w:ascii="Arial" w:hAnsi="Arial" w:cs="Arial"/>
          <w:b/>
        </w:rPr>
        <w:t>Fig 2: Principal component analysis biplot of limnological variables (surface water) at various sampling Stations</w:t>
      </w:r>
    </w:p>
    <w:p w14:paraId="608F24A7" w14:textId="77777777" w:rsidR="005C2F48" w:rsidRDefault="005C2F48" w:rsidP="00DF165C">
      <w:pPr>
        <w:pStyle w:val="Body"/>
        <w:rPr>
          <w:rFonts w:ascii="Arial" w:hAnsi="Arial" w:cs="Arial"/>
          <w:b/>
        </w:rPr>
      </w:pPr>
    </w:p>
    <w:p w14:paraId="6E7E0AD5" w14:textId="77777777" w:rsidR="00DF165C" w:rsidRPr="00F40397" w:rsidRDefault="00DF165C" w:rsidP="00646A31">
      <w:pPr>
        <w:pStyle w:val="Body"/>
        <w:rPr>
          <w:rStyle w:val="relative"/>
          <w:rFonts w:ascii="Arial" w:hAnsi="Arial" w:cs="Arial"/>
        </w:rPr>
      </w:pPr>
      <w:r w:rsidRPr="00F40397">
        <w:rPr>
          <w:rFonts w:ascii="Arial" w:hAnsi="Arial" w:cs="Arial"/>
        </w:rPr>
        <w:lastRenderedPageBreak/>
        <w:t xml:space="preserve">The results indicate that species such as </w:t>
      </w:r>
      <w:r w:rsidRPr="00F40397">
        <w:rPr>
          <w:rFonts w:ascii="Arial" w:hAnsi="Arial" w:cs="Arial"/>
          <w:i/>
        </w:rPr>
        <w:t>Achnanthes</w:t>
      </w:r>
      <w:r w:rsidRPr="00F40397">
        <w:rPr>
          <w:rFonts w:ascii="Arial" w:hAnsi="Arial" w:cs="Arial"/>
        </w:rPr>
        <w:t xml:space="preserve"> </w:t>
      </w:r>
      <w:r w:rsidRPr="00F40397">
        <w:rPr>
          <w:rFonts w:ascii="Arial" w:hAnsi="Arial" w:cs="Arial"/>
          <w:i/>
        </w:rPr>
        <w:t>longipes</w:t>
      </w:r>
      <w:r w:rsidR="00B93A48" w:rsidRPr="00F40397">
        <w:rPr>
          <w:rFonts w:ascii="Arial" w:hAnsi="Arial" w:cs="Arial"/>
        </w:rPr>
        <w:t xml:space="preserve"> </w:t>
      </w:r>
      <w:r w:rsidRPr="00F40397">
        <w:rPr>
          <w:rFonts w:ascii="Arial" w:hAnsi="Arial" w:cs="Arial"/>
        </w:rPr>
        <w:t>are more likely to thrive in conditions characterized by lower nutrient concentrations and reduced metal contamination, as suggested by their likely occurrence in stations with lower conductivity and trace metal loads. This finding is consistent with previous studies that report the sensitivity of certain diatom species to elevated metal levels and eutrophic conditions (</w:t>
      </w:r>
      <w:r w:rsidR="000204AF" w:rsidRPr="00F40397">
        <w:rPr>
          <w:rFonts w:ascii="Arial" w:hAnsi="Arial" w:cs="Arial"/>
          <w:bCs/>
          <w:lang w:val="en-GB"/>
        </w:rPr>
        <w:t>Bubu-Davies</w:t>
      </w:r>
      <w:r w:rsidRPr="00F40397">
        <w:rPr>
          <w:rFonts w:ascii="Arial" w:hAnsi="Arial" w:cs="Arial"/>
        </w:rPr>
        <w:t xml:space="preserve"> </w:t>
      </w:r>
      <w:r w:rsidRPr="00F40397">
        <w:rPr>
          <w:rFonts w:ascii="Arial" w:hAnsi="Arial" w:cs="Arial"/>
          <w:i/>
        </w:rPr>
        <w:t>et al.,</w:t>
      </w:r>
      <w:r w:rsidRPr="00F40397">
        <w:rPr>
          <w:rFonts w:ascii="Arial" w:hAnsi="Arial" w:cs="Arial"/>
        </w:rPr>
        <w:t xml:space="preserve"> 2022). In contrast, taxa like </w:t>
      </w:r>
      <w:r w:rsidRPr="00F40397">
        <w:rPr>
          <w:rFonts w:ascii="Arial" w:hAnsi="Arial" w:cs="Arial"/>
          <w:i/>
        </w:rPr>
        <w:t>Closterium</w:t>
      </w:r>
      <w:r w:rsidRPr="00F40397">
        <w:rPr>
          <w:rFonts w:ascii="Arial" w:hAnsi="Arial" w:cs="Arial"/>
        </w:rPr>
        <w:t xml:space="preserve"> </w:t>
      </w:r>
      <w:r w:rsidRPr="00F40397">
        <w:rPr>
          <w:rFonts w:ascii="Arial" w:hAnsi="Arial" w:cs="Arial"/>
          <w:i/>
        </w:rPr>
        <w:t>moniliferum</w:t>
      </w:r>
      <w:r w:rsidR="00B93A48" w:rsidRPr="00F40397">
        <w:rPr>
          <w:rFonts w:ascii="Arial" w:hAnsi="Arial" w:cs="Arial"/>
        </w:rPr>
        <w:t xml:space="preserve"> </w:t>
      </w:r>
      <w:r w:rsidRPr="00F40397">
        <w:rPr>
          <w:rFonts w:ascii="Arial" w:hAnsi="Arial" w:cs="Arial"/>
        </w:rPr>
        <w:t xml:space="preserve"> and </w:t>
      </w:r>
      <w:r w:rsidRPr="00F40397">
        <w:rPr>
          <w:rFonts w:ascii="Arial" w:hAnsi="Arial" w:cs="Arial"/>
          <w:i/>
        </w:rPr>
        <w:t>Cosmarium</w:t>
      </w:r>
      <w:r w:rsidRPr="00F40397">
        <w:rPr>
          <w:rFonts w:ascii="Arial" w:hAnsi="Arial" w:cs="Arial"/>
        </w:rPr>
        <w:t xml:space="preserve"> </w:t>
      </w:r>
      <w:r w:rsidRPr="00F40397">
        <w:rPr>
          <w:rFonts w:ascii="Arial" w:hAnsi="Arial" w:cs="Arial"/>
          <w:i/>
        </w:rPr>
        <w:t>botrytis</w:t>
      </w:r>
      <w:r w:rsidR="00B93A48" w:rsidRPr="00F40397">
        <w:rPr>
          <w:rFonts w:ascii="Arial" w:hAnsi="Arial" w:cs="Arial"/>
        </w:rPr>
        <w:t xml:space="preserve"> </w:t>
      </w:r>
      <w:r w:rsidRPr="00F40397">
        <w:rPr>
          <w:rFonts w:ascii="Arial" w:hAnsi="Arial" w:cs="Arial"/>
        </w:rPr>
        <w:t>appear to be more abundant in areas with oligotrophic to mesotrophic conditions, typically found in the left quadrant of the PCA where lower concentrations of nitrates and trace metals prevail. These species are often considered indicators of relatively unpolluted waters (</w:t>
      </w:r>
      <w:r w:rsidR="00AE6EB9" w:rsidRPr="00F40397">
        <w:rPr>
          <w:rFonts w:ascii="Arial" w:hAnsi="Arial" w:cs="Arial"/>
          <w:lang w:val="en-GB"/>
        </w:rPr>
        <w:t>Ugwumba</w:t>
      </w:r>
      <w:r w:rsidR="000361A1" w:rsidRPr="00F40397">
        <w:rPr>
          <w:rFonts w:ascii="Arial" w:hAnsi="Arial" w:cs="Arial"/>
          <w:lang w:val="en-GB"/>
        </w:rPr>
        <w:t xml:space="preserve"> and Esenowo </w:t>
      </w:r>
      <w:r w:rsidR="00AE6EB9" w:rsidRPr="00F40397">
        <w:rPr>
          <w:rFonts w:ascii="Arial" w:hAnsi="Arial" w:cs="Arial"/>
          <w:lang w:val="en-GB"/>
        </w:rPr>
        <w:t>2020).</w:t>
      </w:r>
      <w:r w:rsidRPr="00F40397">
        <w:rPr>
          <w:rFonts w:ascii="Arial" w:hAnsi="Arial" w:cs="Arial"/>
        </w:rPr>
        <w:t xml:space="preserve"> Species belonging to the Cymbellaceae, such as </w:t>
      </w:r>
      <w:r w:rsidRPr="00F40397">
        <w:rPr>
          <w:rFonts w:ascii="Arial" w:hAnsi="Arial" w:cs="Arial"/>
          <w:i/>
        </w:rPr>
        <w:t>Cymbella</w:t>
      </w:r>
      <w:r w:rsidRPr="00F40397">
        <w:rPr>
          <w:rFonts w:ascii="Arial" w:hAnsi="Arial" w:cs="Arial"/>
        </w:rPr>
        <w:t xml:space="preserve"> </w:t>
      </w:r>
      <w:r w:rsidRPr="00F40397">
        <w:rPr>
          <w:rFonts w:ascii="Arial" w:hAnsi="Arial" w:cs="Arial"/>
          <w:i/>
        </w:rPr>
        <w:t>cistula</w:t>
      </w:r>
      <w:r w:rsidRPr="00F40397">
        <w:rPr>
          <w:rFonts w:ascii="Arial" w:hAnsi="Arial" w:cs="Arial"/>
        </w:rPr>
        <w:t xml:space="preserve"> and </w:t>
      </w:r>
      <w:r w:rsidRPr="00F40397">
        <w:rPr>
          <w:rFonts w:ascii="Arial" w:hAnsi="Arial" w:cs="Arial"/>
          <w:i/>
        </w:rPr>
        <w:t>Encyonema</w:t>
      </w:r>
      <w:r w:rsidRPr="00F40397">
        <w:rPr>
          <w:rFonts w:ascii="Arial" w:hAnsi="Arial" w:cs="Arial"/>
        </w:rPr>
        <w:t xml:space="preserve"> </w:t>
      </w:r>
      <w:r w:rsidRPr="00F40397">
        <w:rPr>
          <w:rFonts w:ascii="Arial" w:hAnsi="Arial" w:cs="Arial"/>
          <w:i/>
        </w:rPr>
        <w:t>incurvatum</w:t>
      </w:r>
      <w:r w:rsidRPr="00F40397">
        <w:rPr>
          <w:rFonts w:ascii="Arial" w:hAnsi="Arial" w:cs="Arial"/>
        </w:rPr>
        <w:t xml:space="preserve">, and those within the Rhopalodiaceae, such as </w:t>
      </w:r>
      <w:r w:rsidRPr="00F40397">
        <w:rPr>
          <w:rFonts w:ascii="Arial" w:hAnsi="Arial" w:cs="Arial"/>
          <w:i/>
        </w:rPr>
        <w:t>Epithemia</w:t>
      </w:r>
      <w:r w:rsidRPr="00F40397">
        <w:rPr>
          <w:rFonts w:ascii="Arial" w:hAnsi="Arial" w:cs="Arial"/>
        </w:rPr>
        <w:t xml:space="preserve"> </w:t>
      </w:r>
      <w:r w:rsidRPr="00F40397">
        <w:rPr>
          <w:rFonts w:ascii="Arial" w:hAnsi="Arial" w:cs="Arial"/>
          <w:i/>
        </w:rPr>
        <w:t>argus</w:t>
      </w:r>
      <w:r w:rsidRPr="00F40397">
        <w:rPr>
          <w:rFonts w:ascii="Arial" w:hAnsi="Arial" w:cs="Arial"/>
        </w:rPr>
        <w:t xml:space="preserve"> and </w:t>
      </w:r>
      <w:r w:rsidRPr="00F40397">
        <w:rPr>
          <w:rFonts w:ascii="Arial" w:hAnsi="Arial" w:cs="Arial"/>
          <w:i/>
        </w:rPr>
        <w:t>Epithemia</w:t>
      </w:r>
      <w:r w:rsidRPr="00F40397">
        <w:rPr>
          <w:rFonts w:ascii="Arial" w:hAnsi="Arial" w:cs="Arial"/>
        </w:rPr>
        <w:t xml:space="preserve"> </w:t>
      </w:r>
      <w:r w:rsidRPr="00F40397">
        <w:rPr>
          <w:rFonts w:ascii="Arial" w:hAnsi="Arial" w:cs="Arial"/>
          <w:i/>
        </w:rPr>
        <w:t>turgida</w:t>
      </w:r>
      <w:r w:rsidRPr="00F40397">
        <w:rPr>
          <w:rFonts w:ascii="Arial" w:hAnsi="Arial" w:cs="Arial"/>
        </w:rPr>
        <w:t xml:space="preserve">, are distributed in regions corresponding to moderate nutrient conditions. Their occurrence in these transitional zones of the PCA suggests a tolerance to a range of water quality parameters but an absence in heavily contaminated or highly enriched waters. </w:t>
      </w:r>
      <w:r w:rsidR="00B93A48" w:rsidRPr="00F40397">
        <w:rPr>
          <w:rStyle w:val="relative"/>
          <w:rFonts w:ascii="Arial" w:hAnsi="Arial" w:cs="Arial"/>
        </w:rPr>
        <w:t>This aligns</w:t>
      </w:r>
      <w:r w:rsidR="00793F97" w:rsidRPr="00F40397">
        <w:rPr>
          <w:rStyle w:val="relative"/>
          <w:rFonts w:ascii="Arial" w:hAnsi="Arial" w:cs="Arial"/>
        </w:rPr>
        <w:t xml:space="preserve"> with observations in tropical river systems </w:t>
      </w:r>
      <w:r w:rsidR="00793F97" w:rsidRPr="00F40397">
        <w:rPr>
          <w:rFonts w:ascii="Arial" w:hAnsi="Arial" w:cs="Arial"/>
        </w:rPr>
        <w:t>f</w:t>
      </w:r>
      <w:r w:rsidR="00793F97" w:rsidRPr="00F40397">
        <w:rPr>
          <w:rStyle w:val="relative"/>
          <w:rFonts w:ascii="Arial" w:hAnsi="Arial" w:cs="Arial"/>
        </w:rPr>
        <w:t xml:space="preserve">or </w:t>
      </w:r>
      <w:r w:rsidR="00B93A48" w:rsidRPr="00F40397">
        <w:rPr>
          <w:rStyle w:val="relative"/>
          <w:rFonts w:ascii="Arial" w:hAnsi="Arial" w:cs="Arial"/>
        </w:rPr>
        <w:t>instance;</w:t>
      </w:r>
      <w:r w:rsidR="00793F97" w:rsidRPr="00F40397">
        <w:rPr>
          <w:rStyle w:val="relative"/>
          <w:rFonts w:ascii="Arial" w:hAnsi="Arial" w:cs="Arial"/>
        </w:rPr>
        <w:t xml:space="preserve"> a study conducted in Southwest Ethiopia found that diatom community structures were influenced by environmental factors such as dissolved oxygen and nutrient concentrations, with certain species exhibiting tolerance to varying water quality parameters.</w:t>
      </w:r>
      <w:r w:rsidR="00793F97" w:rsidRPr="00F40397">
        <w:rPr>
          <w:rFonts w:ascii="Arial" w:hAnsi="Arial" w:cs="Arial"/>
        </w:rPr>
        <w:t xml:space="preserve"> </w:t>
      </w:r>
      <w:r w:rsidR="00793F97" w:rsidRPr="00F40397">
        <w:rPr>
          <w:rStyle w:val="relative"/>
          <w:rFonts w:ascii="Arial" w:hAnsi="Arial" w:cs="Arial"/>
        </w:rPr>
        <w:t>However, these species were notably absent in heavily contaminated or highly enriched waters, indicating their preference for moderate nutrient environments.</w:t>
      </w:r>
      <w:r w:rsidR="00793F97" w:rsidRPr="00F40397">
        <w:rPr>
          <w:rFonts w:ascii="Arial" w:hAnsi="Arial" w:cs="Arial"/>
        </w:rPr>
        <w:t xml:space="preserve"> </w:t>
      </w:r>
      <w:r w:rsidRPr="00F40397">
        <w:rPr>
          <w:rFonts w:ascii="Arial" w:hAnsi="Arial" w:cs="Arial"/>
        </w:rPr>
        <w:t>(</w:t>
      </w:r>
      <w:r w:rsidR="00793F97" w:rsidRPr="00F40397">
        <w:rPr>
          <w:rFonts w:ascii="Arial" w:hAnsi="Arial" w:cs="Arial"/>
        </w:rPr>
        <w:t>Shibabaw</w:t>
      </w:r>
      <w:r w:rsidRPr="00F40397">
        <w:rPr>
          <w:rFonts w:ascii="Arial" w:hAnsi="Arial" w:cs="Arial"/>
        </w:rPr>
        <w:t xml:space="preserve"> </w:t>
      </w:r>
      <w:r w:rsidRPr="00F40397">
        <w:rPr>
          <w:rFonts w:ascii="Arial" w:hAnsi="Arial" w:cs="Arial"/>
          <w:i/>
        </w:rPr>
        <w:t>et al</w:t>
      </w:r>
      <w:r w:rsidRPr="00F40397">
        <w:rPr>
          <w:rFonts w:ascii="Arial" w:hAnsi="Arial" w:cs="Arial"/>
        </w:rPr>
        <w:t xml:space="preserve">., 2015). </w:t>
      </w:r>
      <w:r w:rsidR="000361A1" w:rsidRPr="00F40397">
        <w:rPr>
          <w:rStyle w:val="Emphasis"/>
          <w:rFonts w:ascii="Arial" w:hAnsi="Arial" w:cs="Arial"/>
        </w:rPr>
        <w:t>Diadesmis confervacea</w:t>
      </w:r>
      <w:r w:rsidR="000361A1" w:rsidRPr="00F40397">
        <w:rPr>
          <w:rStyle w:val="relative"/>
          <w:rFonts w:ascii="Arial" w:hAnsi="Arial" w:cs="Arial"/>
        </w:rPr>
        <w:t>, a member of the Diadesmidaceae family, is commonly associated with mesotrophic environments that is water bodies characterized by moderate nutrient concentrations.</w:t>
      </w:r>
      <w:r w:rsidR="000361A1" w:rsidRPr="00F40397">
        <w:rPr>
          <w:rFonts w:ascii="Arial" w:hAnsi="Arial" w:cs="Arial"/>
        </w:rPr>
        <w:t xml:space="preserve"> </w:t>
      </w:r>
      <w:r w:rsidR="000361A1" w:rsidRPr="00F40397">
        <w:rPr>
          <w:rStyle w:val="relative"/>
          <w:rFonts w:ascii="Arial" w:hAnsi="Arial" w:cs="Arial"/>
        </w:rPr>
        <w:t>Its positioning near the center of Principal Component Analysis (PCA) biplots in various studies suggests a moderate tolerance to environmental fluctuations, making it a reliable indicator of organic enrichment without severe disturbance.</w:t>
      </w:r>
      <w:r w:rsidR="000361A1" w:rsidRPr="00F40397">
        <w:rPr>
          <w:rFonts w:ascii="Arial" w:hAnsi="Arial" w:cs="Arial"/>
        </w:rPr>
        <w:t xml:space="preserve"> </w:t>
      </w:r>
      <w:r w:rsidR="000361A1" w:rsidRPr="00F40397">
        <w:rPr>
          <w:rStyle w:val="relative"/>
          <w:rFonts w:ascii="Arial" w:hAnsi="Arial" w:cs="Arial"/>
        </w:rPr>
        <w:t xml:space="preserve">For instance, research in French rivers has documented the presence of </w:t>
      </w:r>
      <w:r w:rsidR="000361A1" w:rsidRPr="00F40397">
        <w:rPr>
          <w:rStyle w:val="Emphasis"/>
          <w:rFonts w:ascii="Arial" w:hAnsi="Arial" w:cs="Arial"/>
        </w:rPr>
        <w:t>D. confervacea</w:t>
      </w:r>
      <w:r w:rsidR="000361A1" w:rsidRPr="00F40397">
        <w:rPr>
          <w:rStyle w:val="relative"/>
          <w:rFonts w:ascii="Arial" w:hAnsi="Arial" w:cs="Arial"/>
        </w:rPr>
        <w:t xml:space="preserve"> in areas influenced by power plant discharges, indicating its resilience in moderately impacted habitats (</w:t>
      </w:r>
      <w:r w:rsidR="000361A1" w:rsidRPr="00F40397">
        <w:rPr>
          <w:rFonts w:ascii="Arial" w:hAnsi="Arial" w:cs="Arial"/>
        </w:rPr>
        <w:t>Abonyi,</w:t>
      </w:r>
      <w:r w:rsidR="00B93A48" w:rsidRPr="00F40397">
        <w:rPr>
          <w:rFonts w:ascii="Arial" w:hAnsi="Arial" w:cs="Arial"/>
        </w:rPr>
        <w:t xml:space="preserve"> </w:t>
      </w:r>
      <w:r w:rsidR="000361A1" w:rsidRPr="00F40397">
        <w:rPr>
          <w:rFonts w:ascii="Arial" w:hAnsi="Arial" w:cs="Arial"/>
          <w:i/>
        </w:rPr>
        <w:t>et al</w:t>
      </w:r>
      <w:r w:rsidR="00B93A48" w:rsidRPr="00F40397">
        <w:rPr>
          <w:rFonts w:ascii="Arial" w:hAnsi="Arial" w:cs="Arial"/>
          <w:i/>
        </w:rPr>
        <w:t>.,</w:t>
      </w:r>
      <w:r w:rsidR="000361A1" w:rsidRPr="00F40397">
        <w:rPr>
          <w:rFonts w:ascii="Arial" w:hAnsi="Arial" w:cs="Arial"/>
        </w:rPr>
        <w:t xml:space="preserve"> 2012). </w:t>
      </w:r>
      <w:r w:rsidR="000361A1" w:rsidRPr="00F40397">
        <w:rPr>
          <w:rStyle w:val="relative"/>
          <w:rFonts w:ascii="Arial" w:hAnsi="Arial" w:cs="Arial"/>
        </w:rPr>
        <w:t xml:space="preserve">Additionally, studies have shown that diatom communities, including species like </w:t>
      </w:r>
      <w:r w:rsidR="000361A1" w:rsidRPr="00F40397">
        <w:rPr>
          <w:rStyle w:val="Emphasis"/>
          <w:rFonts w:ascii="Arial" w:hAnsi="Arial" w:cs="Arial"/>
        </w:rPr>
        <w:t>D. confervacea</w:t>
      </w:r>
      <w:r w:rsidR="000361A1" w:rsidRPr="00F40397">
        <w:rPr>
          <w:rStyle w:val="relative"/>
          <w:rFonts w:ascii="Arial" w:hAnsi="Arial" w:cs="Arial"/>
        </w:rPr>
        <w:t>, respond predictably to varying nutrient levels, reinforcing their utility in monitoring mesotrophic conditions</w:t>
      </w:r>
      <w:r w:rsidR="00B93A48" w:rsidRPr="00F40397">
        <w:rPr>
          <w:rStyle w:val="relative"/>
          <w:rFonts w:ascii="Arial" w:hAnsi="Arial" w:cs="Arial"/>
        </w:rPr>
        <w:t>. (</w:t>
      </w:r>
      <w:r w:rsidR="000361A1" w:rsidRPr="00F40397">
        <w:rPr>
          <w:rFonts w:ascii="Arial" w:hAnsi="Arial" w:cs="Arial"/>
        </w:rPr>
        <w:t xml:space="preserve"> </w:t>
      </w:r>
      <w:r w:rsidR="000361A1" w:rsidRPr="00F40397">
        <w:rPr>
          <w:rStyle w:val="relative"/>
          <w:rFonts w:ascii="Arial" w:hAnsi="Arial" w:cs="Arial"/>
        </w:rPr>
        <w:t>Burge, 2014)</w:t>
      </w:r>
      <w:commentRangeStart w:id="21"/>
      <w:commentRangeEnd w:id="21"/>
      <w:r w:rsidR="00144875">
        <w:rPr>
          <w:rStyle w:val="CommentReference"/>
        </w:rPr>
        <w:commentReference w:id="21"/>
      </w:r>
    </w:p>
    <w:p w14:paraId="74728A5B" w14:textId="77777777" w:rsidR="000361A1" w:rsidRPr="00F40397" w:rsidRDefault="000361A1" w:rsidP="00646A31">
      <w:pPr>
        <w:pStyle w:val="Body"/>
        <w:rPr>
          <w:rFonts w:ascii="Arial" w:hAnsi="Arial" w:cs="Arial"/>
        </w:rPr>
      </w:pPr>
      <w:r w:rsidRPr="00F40397">
        <w:rPr>
          <w:rStyle w:val="relative"/>
          <w:rFonts w:ascii="Arial" w:hAnsi="Arial" w:cs="Arial"/>
        </w:rPr>
        <w:t xml:space="preserve">In contrast, species within the </w:t>
      </w:r>
      <w:r w:rsidRPr="00F40397">
        <w:rPr>
          <w:rStyle w:val="Emphasis"/>
          <w:rFonts w:ascii="Arial" w:hAnsi="Arial" w:cs="Arial"/>
        </w:rPr>
        <w:t>Euglena</w:t>
      </w:r>
      <w:r w:rsidRPr="00F40397">
        <w:rPr>
          <w:rStyle w:val="relative"/>
          <w:rFonts w:ascii="Arial" w:hAnsi="Arial" w:cs="Arial"/>
        </w:rPr>
        <w:t xml:space="preserve"> genus, part of the Euglenaceae family, demonstrate a pronounced affinity for eutrophic conditions such as environments with high nutrient and organic matter levels.</w:t>
      </w:r>
      <w:r w:rsidRPr="00F40397">
        <w:rPr>
          <w:rFonts w:ascii="Arial" w:hAnsi="Arial" w:cs="Arial"/>
        </w:rPr>
        <w:t xml:space="preserve"> </w:t>
      </w:r>
      <w:r w:rsidRPr="00F40397">
        <w:rPr>
          <w:rStyle w:val="relative"/>
          <w:rFonts w:ascii="Arial" w:hAnsi="Arial" w:cs="Arial"/>
        </w:rPr>
        <w:t>Their positive association with elevated conductivity and nutrient concentrations, often depicted on the right side of PCA biplots, underscores their role as bioindicators of organic pollution.</w:t>
      </w:r>
      <w:r w:rsidRPr="00F40397">
        <w:rPr>
          <w:rFonts w:ascii="Arial" w:hAnsi="Arial" w:cs="Arial"/>
        </w:rPr>
        <w:t xml:space="preserve"> </w:t>
      </w:r>
      <w:r w:rsidRPr="00F40397">
        <w:rPr>
          <w:rStyle w:val="relative"/>
          <w:rFonts w:ascii="Arial" w:hAnsi="Arial" w:cs="Arial"/>
        </w:rPr>
        <w:t xml:space="preserve">For example, a study assessing the genotoxic potential of organic pollutants in Taihu Lake, China, utilized </w:t>
      </w:r>
      <w:r w:rsidRPr="00F40397">
        <w:rPr>
          <w:rStyle w:val="Emphasis"/>
          <w:rFonts w:ascii="Arial" w:hAnsi="Arial" w:cs="Arial"/>
        </w:rPr>
        <w:t>Euglena gracilis</w:t>
      </w:r>
      <w:r w:rsidRPr="00F40397">
        <w:rPr>
          <w:rStyle w:val="relative"/>
          <w:rFonts w:ascii="Arial" w:hAnsi="Arial" w:cs="Arial"/>
        </w:rPr>
        <w:t xml:space="preserve"> to detect DNA damage, highlighting its sensitivity to organic contaminants</w:t>
      </w:r>
      <w:r w:rsidR="00F40397" w:rsidRPr="00F40397">
        <w:rPr>
          <w:rStyle w:val="relative"/>
          <w:rFonts w:ascii="Arial" w:hAnsi="Arial" w:cs="Arial"/>
        </w:rPr>
        <w:t xml:space="preserve"> </w:t>
      </w:r>
      <w:r w:rsidRPr="00F40397">
        <w:rPr>
          <w:rFonts w:ascii="Arial" w:hAnsi="Arial" w:cs="Arial"/>
        </w:rPr>
        <w:t xml:space="preserve">(Li, </w:t>
      </w:r>
      <w:r w:rsidRPr="00F40397">
        <w:rPr>
          <w:rFonts w:ascii="Arial" w:hAnsi="Arial" w:cs="Arial"/>
          <w:i/>
        </w:rPr>
        <w:t>et al</w:t>
      </w:r>
      <w:r w:rsidRPr="00F40397">
        <w:rPr>
          <w:rFonts w:ascii="Arial" w:hAnsi="Arial" w:cs="Arial"/>
        </w:rPr>
        <w:t xml:space="preserve">., 2014). </w:t>
      </w:r>
      <w:r w:rsidRPr="00F40397">
        <w:rPr>
          <w:rStyle w:val="relative"/>
          <w:rFonts w:ascii="Arial" w:hAnsi="Arial" w:cs="Arial"/>
        </w:rPr>
        <w:t xml:space="preserve">Furthermore, research in the Niger Delta region of Nigeria identified </w:t>
      </w:r>
      <w:r w:rsidRPr="00F40397">
        <w:rPr>
          <w:rStyle w:val="Emphasis"/>
          <w:rFonts w:ascii="Arial" w:hAnsi="Arial" w:cs="Arial"/>
        </w:rPr>
        <w:t>Euglena</w:t>
      </w:r>
      <w:r w:rsidRPr="00F40397">
        <w:rPr>
          <w:rStyle w:val="relative"/>
          <w:rFonts w:ascii="Arial" w:hAnsi="Arial" w:cs="Arial"/>
        </w:rPr>
        <w:t xml:space="preserve"> species among other phytoplankton as indicators of polluted aquatic ecosystems, corroborating their association with nutrient-rich environments</w:t>
      </w:r>
      <w:r w:rsidRPr="00F40397">
        <w:rPr>
          <w:rFonts w:ascii="Arial" w:hAnsi="Arial" w:cs="Arial"/>
        </w:rPr>
        <w:t xml:space="preserve">. </w:t>
      </w:r>
      <w:r w:rsidR="00973854" w:rsidRPr="00F40397">
        <w:rPr>
          <w:rFonts w:ascii="Arial" w:hAnsi="Arial" w:cs="Arial"/>
        </w:rPr>
        <w:t>(</w:t>
      </w:r>
      <w:r w:rsidRPr="00F40397">
        <w:rPr>
          <w:rFonts w:ascii="Arial" w:hAnsi="Arial" w:cs="Arial"/>
          <w:bCs/>
          <w:lang w:eastAsia="en-GB"/>
        </w:rPr>
        <w:t xml:space="preserve">Denise </w:t>
      </w:r>
      <w:r w:rsidRPr="00F40397">
        <w:rPr>
          <w:rFonts w:ascii="Arial" w:hAnsi="Arial" w:cs="Arial"/>
          <w:bCs/>
          <w:i/>
          <w:lang w:eastAsia="en-GB"/>
        </w:rPr>
        <w:t>et al.,</w:t>
      </w:r>
      <w:r w:rsidR="00973854" w:rsidRPr="00F40397">
        <w:rPr>
          <w:rFonts w:ascii="Arial" w:hAnsi="Arial" w:cs="Arial"/>
          <w:bCs/>
          <w:lang w:eastAsia="en-GB"/>
        </w:rPr>
        <w:t>2022</w:t>
      </w:r>
      <w:r w:rsidR="00973854" w:rsidRPr="00F40397">
        <w:rPr>
          <w:rFonts w:ascii="Arial" w:hAnsi="Arial" w:cs="Arial"/>
          <w:bCs/>
          <w:i/>
          <w:lang w:eastAsia="en-GB"/>
        </w:rPr>
        <w:t>)</w:t>
      </w:r>
      <w:r w:rsidRPr="00F40397">
        <w:rPr>
          <w:rFonts w:ascii="Arial" w:hAnsi="Arial" w:cs="Arial"/>
          <w:bCs/>
          <w:i/>
          <w:lang w:eastAsia="en-GB"/>
        </w:rPr>
        <w:t xml:space="preserve"> </w:t>
      </w:r>
    </w:p>
    <w:p w14:paraId="6932C45C" w14:textId="77777777" w:rsidR="00973854" w:rsidRPr="00F40397" w:rsidRDefault="00973854" w:rsidP="00973854">
      <w:pPr>
        <w:pStyle w:val="Body"/>
        <w:spacing w:after="0"/>
        <w:rPr>
          <w:rFonts w:ascii="Arial" w:hAnsi="Arial" w:cs="Arial"/>
          <w:lang w:val="en-GB" w:eastAsia="en-GB"/>
        </w:rPr>
      </w:pPr>
      <w:r w:rsidRPr="00F40397">
        <w:rPr>
          <w:rFonts w:ascii="Arial" w:hAnsi="Arial" w:cs="Arial"/>
        </w:rPr>
        <w:t xml:space="preserve">Species within the Fragilariaceae family, including </w:t>
      </w:r>
      <w:r w:rsidRPr="00F40397">
        <w:rPr>
          <w:rFonts w:ascii="Arial" w:hAnsi="Arial" w:cs="Arial"/>
          <w:i/>
          <w:iCs/>
        </w:rPr>
        <w:t>Fragilaria javanica</w:t>
      </w:r>
      <w:r w:rsidRPr="00F40397">
        <w:rPr>
          <w:rFonts w:ascii="Arial" w:hAnsi="Arial" w:cs="Arial"/>
        </w:rPr>
        <w:t xml:space="preserve"> and </w:t>
      </w:r>
      <w:r w:rsidRPr="00F40397">
        <w:rPr>
          <w:rFonts w:ascii="Arial" w:hAnsi="Arial" w:cs="Arial"/>
          <w:i/>
          <w:iCs/>
        </w:rPr>
        <w:t>Fragilaria rumpens</w:t>
      </w:r>
      <w:r w:rsidRPr="00F40397">
        <w:rPr>
          <w:rFonts w:ascii="Arial" w:hAnsi="Arial" w:cs="Arial"/>
        </w:rPr>
        <w:t xml:space="preserve">, demonstrate diverse ecological preferences. While specific studies on these species are limited, research on related taxa suggests that members of this family can inhabit a range of environments, from oligotrophic to eutrophic waters. For instance, </w:t>
      </w:r>
      <w:r w:rsidRPr="00F40397">
        <w:rPr>
          <w:rFonts w:ascii="Arial" w:hAnsi="Arial" w:cs="Arial"/>
          <w:i/>
          <w:iCs/>
        </w:rPr>
        <w:t xml:space="preserve">Fragilaria </w:t>
      </w:r>
      <w:r w:rsidR="00F40397" w:rsidRPr="00F40397">
        <w:rPr>
          <w:rFonts w:ascii="Arial" w:hAnsi="Arial" w:cs="Arial"/>
          <w:i/>
          <w:iCs/>
        </w:rPr>
        <w:t>javanica</w:t>
      </w:r>
      <w:r w:rsidR="00F40397" w:rsidRPr="00F40397">
        <w:rPr>
          <w:rFonts w:ascii="Arial" w:hAnsi="Arial" w:cs="Arial"/>
        </w:rPr>
        <w:t xml:space="preserve"> </w:t>
      </w:r>
      <w:r w:rsidRPr="00F40397">
        <w:rPr>
          <w:rFonts w:ascii="Arial" w:hAnsi="Arial" w:cs="Arial"/>
        </w:rPr>
        <w:t xml:space="preserve">has been observed to thrive under varying trace metal concentrations, indicating adaptability to different nutrient conditions (Dengg, </w:t>
      </w:r>
      <w:r w:rsidRPr="00F40397">
        <w:rPr>
          <w:rFonts w:ascii="Arial" w:hAnsi="Arial" w:cs="Arial"/>
          <w:i/>
        </w:rPr>
        <w:t>et al</w:t>
      </w:r>
      <w:r w:rsidRPr="00F40397">
        <w:rPr>
          <w:rFonts w:ascii="Arial" w:hAnsi="Arial" w:cs="Arial"/>
        </w:rPr>
        <w:t xml:space="preserve"> 2022) . This adaptability highlights the importance of detailed taxonomic assessments when using Fragilariaceae species as bioindicators. </w:t>
      </w:r>
      <w:r w:rsidRPr="00F40397">
        <w:rPr>
          <w:rFonts w:ascii="Arial" w:hAnsi="Arial" w:cs="Arial"/>
          <w:lang w:val="en-GB" w:eastAsia="en-GB"/>
        </w:rPr>
        <w:t xml:space="preserve">The Gomphonemataceae family also exhibits species-specific responses to environmental variables such as </w:t>
      </w:r>
      <w:r w:rsidRPr="00F40397">
        <w:rPr>
          <w:rFonts w:ascii="Arial" w:hAnsi="Arial" w:cs="Arial"/>
          <w:bCs/>
          <w:i/>
          <w:lang w:val="en-GB" w:eastAsia="en-GB"/>
        </w:rPr>
        <w:t>Gomphonema</w:t>
      </w:r>
      <w:r w:rsidRPr="00F40397">
        <w:rPr>
          <w:rFonts w:ascii="Arial" w:hAnsi="Arial" w:cs="Arial"/>
          <w:bCs/>
          <w:lang w:val="en-GB" w:eastAsia="en-GB"/>
        </w:rPr>
        <w:t xml:space="preserve"> </w:t>
      </w:r>
      <w:r w:rsidRPr="00F40397">
        <w:rPr>
          <w:rFonts w:ascii="Arial" w:hAnsi="Arial" w:cs="Arial"/>
          <w:bCs/>
          <w:i/>
          <w:lang w:val="en-GB" w:eastAsia="en-GB"/>
        </w:rPr>
        <w:t>parvulum</w:t>
      </w:r>
      <w:r w:rsidRPr="00973854">
        <w:rPr>
          <w:rFonts w:ascii="Arial" w:hAnsi="Arial" w:cs="Arial"/>
          <w:lang w:val="en-GB" w:eastAsia="en-GB"/>
        </w:rPr>
        <w:t xml:space="preserve"> </w:t>
      </w:r>
      <w:r w:rsidRPr="00F40397">
        <w:rPr>
          <w:rFonts w:ascii="Arial" w:hAnsi="Arial" w:cs="Arial"/>
          <w:lang w:val="en-GB" w:eastAsia="en-GB"/>
        </w:rPr>
        <w:t xml:space="preserve">This species is frequently found in nutrient-enriched and metal-contaminated environments. Research indicates that </w:t>
      </w:r>
      <w:r w:rsidRPr="00F40397">
        <w:rPr>
          <w:rFonts w:ascii="Arial" w:hAnsi="Arial" w:cs="Arial"/>
          <w:i/>
          <w:iCs/>
          <w:lang w:val="en-GB" w:eastAsia="en-GB"/>
        </w:rPr>
        <w:t>G. parvulum</w:t>
      </w:r>
      <w:r w:rsidRPr="00F40397">
        <w:rPr>
          <w:rFonts w:ascii="Arial" w:hAnsi="Arial" w:cs="Arial"/>
          <w:lang w:val="en-GB" w:eastAsia="en-GB"/>
        </w:rPr>
        <w:t xml:space="preserve"> can develop metal-induced tolerance, allowing it to persist in habitats with elevated zinc and cadmium levels. Such tolerance is likely a result of chronic exposure, leading to physiological adaptations that confer survival advantages in polluted conditions</w:t>
      </w:r>
      <w:r w:rsidR="00F40397" w:rsidRPr="00F40397">
        <w:rPr>
          <w:rFonts w:ascii="Arial" w:hAnsi="Arial" w:cs="Arial"/>
          <w:lang w:val="en-GB" w:eastAsia="en-GB"/>
        </w:rPr>
        <w:t>. (</w:t>
      </w:r>
      <w:r w:rsidRPr="00F40397">
        <w:rPr>
          <w:rFonts w:ascii="Arial" w:hAnsi="Arial" w:cs="Arial"/>
        </w:rPr>
        <w:t xml:space="preserve"> Ivorra, </w:t>
      </w:r>
      <w:r w:rsidRPr="00F40397">
        <w:rPr>
          <w:rFonts w:ascii="Arial" w:hAnsi="Arial" w:cs="Arial"/>
          <w:i/>
        </w:rPr>
        <w:t>et al</w:t>
      </w:r>
      <w:r w:rsidRPr="00F40397">
        <w:rPr>
          <w:rFonts w:ascii="Arial" w:hAnsi="Arial" w:cs="Arial"/>
          <w:lang w:val="en-GB" w:eastAsia="en-GB"/>
        </w:rPr>
        <w:t>.,2002)</w:t>
      </w:r>
      <w:commentRangeStart w:id="22"/>
      <w:commentRangeEnd w:id="22"/>
      <w:r w:rsidR="0078297A">
        <w:rPr>
          <w:rStyle w:val="CommentReference"/>
        </w:rPr>
        <w:commentReference w:id="22"/>
      </w:r>
    </w:p>
    <w:p w14:paraId="5BA3EEA3" w14:textId="77777777" w:rsidR="00973854" w:rsidRPr="00F40397" w:rsidRDefault="00973854" w:rsidP="00973854">
      <w:pPr>
        <w:pStyle w:val="Body"/>
        <w:spacing w:after="0"/>
        <w:rPr>
          <w:rFonts w:ascii="Arial" w:hAnsi="Arial" w:cs="Arial"/>
          <w:lang w:val="en-GB" w:eastAsia="en-GB"/>
        </w:rPr>
      </w:pPr>
    </w:p>
    <w:p w14:paraId="3B06CEAA" w14:textId="77777777" w:rsidR="00973854" w:rsidRPr="00F40397" w:rsidRDefault="00973854" w:rsidP="00973854">
      <w:pPr>
        <w:pStyle w:val="Body"/>
        <w:spacing w:after="0"/>
        <w:rPr>
          <w:rFonts w:ascii="Arial" w:hAnsi="Arial" w:cs="Arial"/>
          <w:lang w:val="en-GB" w:eastAsia="en-GB"/>
        </w:rPr>
      </w:pPr>
      <w:r w:rsidRPr="00F40397">
        <w:rPr>
          <w:rFonts w:ascii="Arial" w:hAnsi="Arial" w:cs="Arial"/>
          <w:lang w:val="en-GB" w:eastAsia="en-GB"/>
        </w:rPr>
        <w:t xml:space="preserve">Similarly, </w:t>
      </w:r>
      <w:r w:rsidRPr="00F40397">
        <w:rPr>
          <w:rFonts w:ascii="Arial" w:hAnsi="Arial" w:cs="Arial"/>
          <w:i/>
          <w:iCs/>
          <w:lang w:val="en-GB" w:eastAsia="en-GB"/>
        </w:rPr>
        <w:t>G. pseudoaugur</w:t>
      </w:r>
      <w:r w:rsidRPr="00F40397">
        <w:rPr>
          <w:rFonts w:ascii="Arial" w:hAnsi="Arial" w:cs="Arial"/>
          <w:lang w:val="en-GB" w:eastAsia="en-GB"/>
        </w:rPr>
        <w:t xml:space="preserve"> has been identified as dominant in periphytic diatom communities within heavy metal-contaminated water bodies. This species exhibits morphological and physiological changes, such as lipid body accumulation and frustule deformities, in response to heavy metal stress, making it a potential bioindicator for metal pollution. (</w:t>
      </w:r>
      <w:r w:rsidRPr="00F40397">
        <w:rPr>
          <w:rFonts w:ascii="Arial" w:hAnsi="Arial" w:cs="Arial"/>
        </w:rPr>
        <w:t xml:space="preserve">Noga </w:t>
      </w:r>
      <w:r w:rsidRPr="00F40397">
        <w:rPr>
          <w:rFonts w:ascii="Arial" w:hAnsi="Arial" w:cs="Arial"/>
          <w:i/>
        </w:rPr>
        <w:t>et al</w:t>
      </w:r>
      <w:r w:rsidR="00F40397" w:rsidRPr="00F40397">
        <w:rPr>
          <w:rFonts w:ascii="Arial" w:hAnsi="Arial" w:cs="Arial"/>
          <w:i/>
        </w:rPr>
        <w:t>.,</w:t>
      </w:r>
      <w:r w:rsidRPr="00F40397">
        <w:rPr>
          <w:rFonts w:ascii="Arial" w:hAnsi="Arial" w:cs="Arial"/>
          <w:lang w:val="en-GB" w:eastAsia="en-GB"/>
        </w:rPr>
        <w:t xml:space="preserve"> 2018). In contrast, </w:t>
      </w:r>
      <w:r w:rsidRPr="00F40397">
        <w:rPr>
          <w:rFonts w:ascii="Arial" w:hAnsi="Arial" w:cs="Arial"/>
          <w:i/>
          <w:iCs/>
          <w:lang w:val="en-GB" w:eastAsia="en-GB"/>
        </w:rPr>
        <w:t>G. clavatum</w:t>
      </w:r>
      <w:r w:rsidRPr="00F40397">
        <w:rPr>
          <w:rFonts w:ascii="Arial" w:hAnsi="Arial" w:cs="Arial"/>
          <w:lang w:val="en-GB" w:eastAsia="en-GB"/>
        </w:rPr>
        <w:t xml:space="preserve"> tends to inhabit less disturbed sites with specific ecological conditions. Studies in southeastern Poland have documented the presence of rare calciphilous diatoms, including </w:t>
      </w:r>
      <w:r w:rsidRPr="00F40397">
        <w:rPr>
          <w:rFonts w:ascii="Arial" w:hAnsi="Arial" w:cs="Arial"/>
          <w:i/>
          <w:iCs/>
          <w:lang w:val="en-GB" w:eastAsia="en-GB"/>
        </w:rPr>
        <w:t>G. clavatum</w:t>
      </w:r>
      <w:r w:rsidRPr="00F40397">
        <w:rPr>
          <w:rFonts w:ascii="Arial" w:hAnsi="Arial" w:cs="Arial"/>
          <w:lang w:val="en-GB" w:eastAsia="en-GB"/>
        </w:rPr>
        <w:t xml:space="preserve">, in alkaline or neutral waters with moderate to low electrolytic conductivity and medium-to-high calcium ion content. These findings suggest that </w:t>
      </w:r>
      <w:r w:rsidRPr="00F40397">
        <w:rPr>
          <w:rFonts w:ascii="Arial" w:hAnsi="Arial" w:cs="Arial"/>
          <w:i/>
          <w:iCs/>
          <w:lang w:val="en-GB" w:eastAsia="en-GB"/>
        </w:rPr>
        <w:t>G. clavatum</w:t>
      </w:r>
      <w:r w:rsidRPr="00F40397">
        <w:rPr>
          <w:rFonts w:ascii="Arial" w:hAnsi="Arial" w:cs="Arial"/>
          <w:lang w:val="en-GB" w:eastAsia="en-GB"/>
        </w:rPr>
        <w:t xml:space="preserve"> prefers unpolluted, calcium-rich stream beds</w:t>
      </w:r>
      <w:r w:rsidR="00F40397" w:rsidRPr="00F40397">
        <w:rPr>
          <w:rFonts w:ascii="Arial" w:hAnsi="Arial" w:cs="Arial"/>
          <w:lang w:val="en-GB" w:eastAsia="en-GB"/>
        </w:rPr>
        <w:t>. (</w:t>
      </w:r>
      <w:r w:rsidRPr="00F40397">
        <w:rPr>
          <w:rFonts w:ascii="Arial" w:hAnsi="Arial" w:cs="Arial"/>
        </w:rPr>
        <w:t xml:space="preserve"> Giri,</w:t>
      </w:r>
      <w:r w:rsidRPr="00F40397">
        <w:rPr>
          <w:rFonts w:ascii="Arial" w:hAnsi="Arial" w:cs="Arial"/>
          <w:i/>
        </w:rPr>
        <w:t>et al</w:t>
      </w:r>
      <w:r w:rsidRPr="00F40397">
        <w:rPr>
          <w:rFonts w:ascii="Arial" w:hAnsi="Arial" w:cs="Arial"/>
          <w:lang w:val="en-GB" w:eastAsia="en-GB"/>
        </w:rPr>
        <w:t>., 2022)</w:t>
      </w:r>
      <w:commentRangeStart w:id="23"/>
      <w:commentRangeEnd w:id="23"/>
      <w:r w:rsidR="0078297A">
        <w:rPr>
          <w:rStyle w:val="CommentReference"/>
        </w:rPr>
        <w:commentReference w:id="23"/>
      </w:r>
    </w:p>
    <w:p w14:paraId="0F33155F" w14:textId="77777777" w:rsidR="00973854" w:rsidRPr="00973854" w:rsidRDefault="00973854" w:rsidP="00973854">
      <w:pPr>
        <w:pStyle w:val="Body"/>
        <w:spacing w:after="0"/>
        <w:rPr>
          <w:rFonts w:ascii="Arial" w:hAnsi="Arial" w:cs="Arial"/>
        </w:rPr>
      </w:pPr>
      <w:r w:rsidRPr="00973854">
        <w:rPr>
          <w:rFonts w:ascii="Arial" w:hAnsi="Arial" w:cs="Arial"/>
          <w:lang w:val="en-GB" w:eastAsia="en-GB"/>
        </w:rPr>
        <w:t xml:space="preserve"> </w:t>
      </w:r>
    </w:p>
    <w:p w14:paraId="35C7872C" w14:textId="77777777" w:rsidR="00973854" w:rsidRDefault="00973854" w:rsidP="002B0ABA">
      <w:pPr>
        <w:pStyle w:val="Body"/>
        <w:spacing w:after="0"/>
        <w:rPr>
          <w:rFonts w:ascii="Arial" w:hAnsi="Arial" w:cs="Arial"/>
        </w:rPr>
      </w:pPr>
    </w:p>
    <w:p w14:paraId="42997C86" w14:textId="77777777" w:rsidR="002B0ABA" w:rsidRDefault="002B0ABA" w:rsidP="002B0ABA">
      <w:pPr>
        <w:pStyle w:val="ConcHead"/>
        <w:spacing w:after="0"/>
        <w:jc w:val="both"/>
        <w:rPr>
          <w:rFonts w:ascii="Arial" w:hAnsi="Arial" w:cs="Arial"/>
        </w:rPr>
      </w:pPr>
      <w:r>
        <w:rPr>
          <w:rFonts w:ascii="Arial" w:hAnsi="Arial" w:cs="Arial"/>
        </w:rPr>
        <w:t xml:space="preserve">4. </w:t>
      </w:r>
      <w:commentRangeStart w:id="24"/>
      <w:r w:rsidRPr="00FB3A86">
        <w:rPr>
          <w:rFonts w:ascii="Arial" w:hAnsi="Arial" w:cs="Arial"/>
        </w:rPr>
        <w:t>Conclusion</w:t>
      </w:r>
      <w:commentRangeEnd w:id="24"/>
      <w:r w:rsidR="0078297A">
        <w:rPr>
          <w:rStyle w:val="CommentReference"/>
          <w:b w:val="0"/>
          <w:caps w:val="0"/>
        </w:rPr>
        <w:commentReference w:id="24"/>
      </w:r>
    </w:p>
    <w:p w14:paraId="154AFCD8" w14:textId="77777777" w:rsidR="00F40397" w:rsidRDefault="00F40397" w:rsidP="002B0ABA">
      <w:pPr>
        <w:pStyle w:val="ConcHead"/>
        <w:spacing w:after="0"/>
        <w:jc w:val="both"/>
        <w:rPr>
          <w:rFonts w:ascii="Arial" w:hAnsi="Arial" w:cs="Arial"/>
        </w:rPr>
      </w:pPr>
    </w:p>
    <w:p w14:paraId="78D2ADFA" w14:textId="77777777" w:rsidR="00525162" w:rsidRPr="00525162" w:rsidRDefault="00F40397" w:rsidP="00525162">
      <w:pPr>
        <w:pStyle w:val="Body"/>
        <w:rPr>
          <w:rFonts w:ascii="Arial" w:hAnsi="Arial" w:cs="Arial"/>
          <w:lang w:val="en-GB" w:eastAsia="en-GB"/>
        </w:rPr>
      </w:pPr>
      <w:r w:rsidRPr="000E0521">
        <w:rPr>
          <w:rFonts w:ascii="Arial" w:hAnsi="Arial" w:cs="Arial"/>
          <w:lang w:val="en-GB" w:eastAsia="en-GB"/>
        </w:rPr>
        <w:t xml:space="preserve">The </w:t>
      </w:r>
      <w:r w:rsidR="00525162" w:rsidRPr="000E0521">
        <w:rPr>
          <w:rFonts w:ascii="Arial" w:hAnsi="Arial" w:cs="Arial"/>
          <w:lang w:val="en-GB" w:eastAsia="en-GB"/>
        </w:rPr>
        <w:t>interplay between limnological parameters in the Eniong River drives the selective distribution and composition of periphytic algae. Slightly acidic pH and constant tropical temperatures set the stage for rapid algal growth, yet the extremely high levels of nitrate and phosphate promote eutrophication, favoring fast-growing, opportunistic species. Concurrently, elevated heavy metals impose an additional layer of stress, restricting colonization to metal-tolerant taxa. These combined stressors result in a periphytic community structure dominated by species capable of thriving under nutrient-rich and metal-laden conditions</w:t>
      </w:r>
      <w:r w:rsidR="00525162">
        <w:rPr>
          <w:rFonts w:ascii="Arial" w:hAnsi="Arial" w:cs="Arial"/>
          <w:lang w:val="en-GB" w:eastAsia="en-GB"/>
        </w:rPr>
        <w:t xml:space="preserve">. </w:t>
      </w:r>
      <w:r w:rsidR="00525162" w:rsidRPr="000E0521">
        <w:rPr>
          <w:rFonts w:ascii="Arial" w:hAnsi="Arial" w:cs="Arial"/>
          <w:lang w:val="en-GB" w:eastAsia="en-GB"/>
        </w:rPr>
        <w:t xml:space="preserve">Understanding these dynamics is critical for using periphytic algae as bioindicators of water quality, and </w:t>
      </w:r>
      <w:r w:rsidR="00525162" w:rsidRPr="000E0521">
        <w:rPr>
          <w:rFonts w:ascii="Arial" w:hAnsi="Arial" w:cs="Arial"/>
          <w:lang w:val="en-GB" w:eastAsia="en-GB"/>
        </w:rPr>
        <w:lastRenderedPageBreak/>
        <w:t>for devising management strategies aimed at mitigating eutrophication and metal contamination in similar humic freshwater systems.</w:t>
      </w:r>
    </w:p>
    <w:p w14:paraId="456942E9" w14:textId="77777777" w:rsidR="002B0ABA" w:rsidRPr="00315186" w:rsidRDefault="002B0ABA" w:rsidP="002B0ABA"/>
    <w:p w14:paraId="7238BE7B" w14:textId="77777777" w:rsidR="002B0ABA" w:rsidRPr="00315186" w:rsidRDefault="002B0ABA" w:rsidP="002B0ABA"/>
    <w:p w14:paraId="05F06CB9" w14:textId="77777777" w:rsidR="002B0ABA" w:rsidRPr="00786D36" w:rsidRDefault="002B0ABA" w:rsidP="002B0ABA">
      <w:pPr>
        <w:pStyle w:val="ReferHead"/>
        <w:spacing w:after="0"/>
        <w:jc w:val="both"/>
        <w:rPr>
          <w:rFonts w:ascii="Arial" w:hAnsi="Arial" w:cs="Arial"/>
          <w:bCs/>
        </w:rPr>
      </w:pPr>
      <w:r w:rsidRPr="00786D36">
        <w:rPr>
          <w:rFonts w:ascii="Arial" w:hAnsi="Arial" w:cs="Arial"/>
          <w:bCs/>
        </w:rPr>
        <w:t>Competing interests</w:t>
      </w:r>
    </w:p>
    <w:p w14:paraId="7387A861" w14:textId="77777777" w:rsidR="002B0ABA" w:rsidRPr="00786D36" w:rsidRDefault="002B0ABA" w:rsidP="002B0ABA">
      <w:pPr>
        <w:pStyle w:val="ReferHead"/>
        <w:spacing w:after="0"/>
        <w:jc w:val="both"/>
        <w:rPr>
          <w:rFonts w:ascii="Arial" w:hAnsi="Arial" w:cs="Arial"/>
        </w:rPr>
      </w:pPr>
    </w:p>
    <w:p w14:paraId="365393C4" w14:textId="77777777" w:rsidR="002B0ABA" w:rsidRDefault="002B0ABA" w:rsidP="002B0ABA">
      <w:pPr>
        <w:pStyle w:val="ReferHead"/>
        <w:spacing w:after="0"/>
        <w:jc w:val="both"/>
        <w:rPr>
          <w:rFonts w:ascii="Arial" w:hAnsi="Arial" w:cs="Arial"/>
          <w:b w:val="0"/>
          <w:caps w:val="0"/>
          <w:sz w:val="20"/>
        </w:rPr>
      </w:pPr>
      <w:r>
        <w:rPr>
          <w:rFonts w:ascii="Arial" w:hAnsi="Arial" w:cs="Arial"/>
          <w:b w:val="0"/>
          <w:caps w:val="0"/>
          <w:sz w:val="20"/>
        </w:rPr>
        <w:t>Declaration of competing interest should be placed here. A</w:t>
      </w:r>
      <w:r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If no such declaration has been made by the authors, SDI reserves to assume and write this sentence: “Authors have declared that no competing interests exist.”.</w:t>
      </w:r>
    </w:p>
    <w:p w14:paraId="3F5889DD" w14:textId="77777777" w:rsidR="002B0ABA" w:rsidRDefault="002B0ABA" w:rsidP="002B0ABA">
      <w:pPr>
        <w:pStyle w:val="ReferHead"/>
        <w:spacing w:after="0"/>
        <w:jc w:val="both"/>
        <w:rPr>
          <w:rFonts w:ascii="Arial" w:hAnsi="Arial" w:cs="Arial"/>
          <w:b w:val="0"/>
          <w:caps w:val="0"/>
          <w:sz w:val="20"/>
        </w:rPr>
      </w:pPr>
    </w:p>
    <w:p w14:paraId="64FA5F74" w14:textId="77777777" w:rsidR="002B0ABA" w:rsidRDefault="002B0ABA" w:rsidP="002B0ABA">
      <w:pPr>
        <w:pStyle w:val="ReferHead"/>
        <w:spacing w:after="0"/>
        <w:jc w:val="both"/>
        <w:rPr>
          <w:rFonts w:ascii="Arial" w:hAnsi="Arial" w:cs="Arial"/>
          <w:b w:val="0"/>
          <w:caps w:val="0"/>
          <w:sz w:val="20"/>
        </w:rPr>
      </w:pPr>
    </w:p>
    <w:p w14:paraId="742CD6F4" w14:textId="77777777" w:rsidR="002B0ABA" w:rsidRDefault="002B0ABA" w:rsidP="002B0ABA">
      <w:pPr>
        <w:pStyle w:val="ReferHead"/>
        <w:spacing w:after="0"/>
        <w:jc w:val="both"/>
        <w:rPr>
          <w:rFonts w:ascii="Arial" w:hAnsi="Arial" w:cs="Arial"/>
        </w:rPr>
      </w:pPr>
      <w:r w:rsidRPr="00FB3A86">
        <w:rPr>
          <w:rFonts w:ascii="Arial" w:hAnsi="Arial" w:cs="Arial"/>
        </w:rPr>
        <w:t>References</w:t>
      </w:r>
    </w:p>
    <w:p w14:paraId="773F4B78" w14:textId="77777777" w:rsidR="002B0ABA" w:rsidRPr="00A827B3" w:rsidRDefault="002B0ABA" w:rsidP="002B0ABA">
      <w:pPr>
        <w:pStyle w:val="ReferHead"/>
        <w:spacing w:after="0"/>
        <w:jc w:val="both"/>
        <w:rPr>
          <w:rFonts w:ascii="Arial" w:hAnsi="Arial" w:cs="Arial"/>
          <w:sz w:val="20"/>
        </w:rPr>
      </w:pPr>
    </w:p>
    <w:p w14:paraId="523F2C1C"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Abonyi, A</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Leitão, M., Lançon, A. M., &amp; Padisák, J. (2012). Phytoplankton functional groups as indicators of human impacts along the River Loire (France). </w:t>
      </w:r>
      <w:r w:rsidRPr="00A827B3">
        <w:rPr>
          <w:rFonts w:ascii="Arial" w:eastAsia="Times New Roman" w:hAnsi="Arial" w:cs="Arial"/>
          <w:i/>
          <w:iCs/>
          <w:sz w:val="20"/>
          <w:szCs w:val="20"/>
          <w:lang w:eastAsia="en-GB"/>
        </w:rPr>
        <w:t>Hydrobiologia, 698(1)</w:t>
      </w:r>
      <w:r w:rsidRPr="00A827B3">
        <w:rPr>
          <w:rFonts w:ascii="Arial" w:eastAsia="Times New Roman" w:hAnsi="Arial" w:cs="Arial"/>
          <w:sz w:val="20"/>
          <w:szCs w:val="20"/>
          <w:lang w:eastAsia="en-GB"/>
        </w:rPr>
        <w:t>, 233–249.</w:t>
      </w:r>
    </w:p>
    <w:p w14:paraId="5C8C0F34"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430205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Akpan, E. R</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Obot, O. I., &amp; Umoh, E. O. (2018). Physicochemical and bacteriological analyses of Eniong River water and sediment in Southern Nigeria. </w:t>
      </w:r>
      <w:r w:rsidRPr="00A827B3">
        <w:rPr>
          <w:rFonts w:ascii="Arial" w:eastAsia="Times New Roman" w:hAnsi="Arial" w:cs="Arial"/>
          <w:i/>
          <w:iCs/>
          <w:sz w:val="20"/>
          <w:szCs w:val="20"/>
          <w:lang w:eastAsia="en-GB"/>
        </w:rPr>
        <w:t>Environmental Monitoring and Assessment, 190(11)</w:t>
      </w:r>
      <w:r w:rsidRPr="00A827B3">
        <w:rPr>
          <w:rFonts w:ascii="Arial" w:eastAsia="Times New Roman" w:hAnsi="Arial" w:cs="Arial"/>
          <w:sz w:val="20"/>
          <w:szCs w:val="20"/>
          <w:lang w:eastAsia="en-GB"/>
        </w:rPr>
        <w:t>, 1–12.</w:t>
      </w:r>
    </w:p>
    <w:p w14:paraId="4555C3BC"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642CF2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American Public Health Association (APHA).</w:t>
      </w:r>
      <w:r w:rsidRPr="00A827B3">
        <w:rPr>
          <w:rFonts w:ascii="Arial" w:eastAsia="Times New Roman" w:hAnsi="Arial" w:cs="Arial"/>
          <w:sz w:val="20"/>
          <w:szCs w:val="20"/>
          <w:lang w:eastAsia="en-GB"/>
        </w:rPr>
        <w:t xml:space="preserve"> (2017). </w:t>
      </w:r>
      <w:r w:rsidRPr="00A827B3">
        <w:rPr>
          <w:rFonts w:ascii="Arial" w:eastAsia="Times New Roman" w:hAnsi="Arial" w:cs="Arial"/>
          <w:i/>
          <w:iCs/>
          <w:sz w:val="20"/>
          <w:szCs w:val="20"/>
          <w:lang w:eastAsia="en-GB"/>
        </w:rPr>
        <w:t>Standard Methods for the Examination of Water and Wastewater</w:t>
      </w:r>
      <w:r w:rsidRPr="00A827B3">
        <w:rPr>
          <w:rFonts w:ascii="Arial" w:eastAsia="Times New Roman" w:hAnsi="Arial" w:cs="Arial"/>
          <w:sz w:val="20"/>
          <w:szCs w:val="20"/>
          <w:lang w:eastAsia="en-GB"/>
        </w:rPr>
        <w:t xml:space="preserve"> (23rd ed.). APHA, AWWA, and WEF.</w:t>
      </w:r>
    </w:p>
    <w:p w14:paraId="4C10D192"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C44AACD"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sz w:val="20"/>
          <w:szCs w:val="20"/>
          <w:lang w:eastAsia="en-GB"/>
        </w:rPr>
        <w:t xml:space="preserve"> </w:t>
      </w:r>
      <w:r w:rsidRPr="00A827B3">
        <w:rPr>
          <w:rFonts w:ascii="Arial" w:eastAsia="Times New Roman" w:hAnsi="Arial" w:cs="Arial"/>
          <w:bCs/>
          <w:sz w:val="20"/>
          <w:szCs w:val="20"/>
          <w:lang w:eastAsia="en-GB"/>
        </w:rPr>
        <w:t>Anyanwu, I. N</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Ezema, C. A., Ebi, S., Nwajiuba, C. A., Nworie, O., &amp; Anorue, C. O. (2021). Seasonal variation in water quality, plankton diversity and microbial load of tropical freshwater lakes in Nigeria. </w:t>
      </w:r>
      <w:r w:rsidRPr="00A827B3">
        <w:rPr>
          <w:rFonts w:ascii="Arial" w:eastAsia="Times New Roman" w:hAnsi="Arial" w:cs="Arial"/>
          <w:i/>
          <w:iCs/>
          <w:sz w:val="20"/>
          <w:szCs w:val="20"/>
          <w:lang w:eastAsia="en-GB"/>
        </w:rPr>
        <w:t>African Journal of Aquatic Science, 46(4)</w:t>
      </w:r>
      <w:r w:rsidRPr="00A827B3">
        <w:rPr>
          <w:rFonts w:ascii="Arial" w:eastAsia="Times New Roman" w:hAnsi="Arial" w:cs="Arial"/>
          <w:sz w:val="20"/>
          <w:szCs w:val="20"/>
          <w:lang w:eastAsia="en-GB"/>
        </w:rPr>
        <w:t>, 414–427.</w:t>
      </w:r>
    </w:p>
    <w:p w14:paraId="31594F5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A469B45"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B0396B">
        <w:rPr>
          <w:rFonts w:ascii="Arial" w:eastAsia="Times New Roman" w:hAnsi="Arial" w:cs="Arial"/>
          <w:sz w:val="20"/>
          <w:szCs w:val="20"/>
          <w:lang w:eastAsia="en-GB"/>
        </w:rPr>
        <w:t xml:space="preserve"> </w:t>
      </w:r>
      <w:r w:rsidRPr="00A827B3">
        <w:rPr>
          <w:rFonts w:ascii="Arial" w:eastAsia="Times New Roman" w:hAnsi="Arial" w:cs="Arial"/>
          <w:bCs/>
          <w:sz w:val="20"/>
          <w:szCs w:val="20"/>
          <w:lang w:eastAsia="en-GB"/>
        </w:rPr>
        <w:t>Azim, M. E.</w:t>
      </w:r>
      <w:r w:rsidRPr="00B0396B">
        <w:rPr>
          <w:rFonts w:ascii="Arial" w:eastAsia="Times New Roman" w:hAnsi="Arial" w:cs="Arial"/>
          <w:sz w:val="20"/>
          <w:szCs w:val="20"/>
          <w:lang w:eastAsia="en-GB"/>
        </w:rPr>
        <w:t xml:space="preserve">, Beveridge, M. C. M., van Dam, A. A., &amp; Verdegem, M. C. J. (2005). Periphyton and aquatic production: An introduction. In M. E. Azim et al. (Eds.), </w:t>
      </w:r>
      <w:r w:rsidRPr="00A827B3">
        <w:rPr>
          <w:rFonts w:ascii="Arial" w:eastAsia="Times New Roman" w:hAnsi="Arial" w:cs="Arial"/>
          <w:i/>
          <w:iCs/>
          <w:sz w:val="20"/>
          <w:szCs w:val="20"/>
          <w:lang w:eastAsia="en-GB"/>
        </w:rPr>
        <w:t>Periphyton: Ecology, Exploitation and Management</w:t>
      </w:r>
      <w:r w:rsidRPr="00B0396B">
        <w:rPr>
          <w:rFonts w:ascii="Arial" w:eastAsia="Times New Roman" w:hAnsi="Arial" w:cs="Arial"/>
          <w:sz w:val="20"/>
          <w:szCs w:val="20"/>
          <w:lang w:eastAsia="en-GB"/>
        </w:rPr>
        <w:t xml:space="preserve"> (pp. 1–13)</w:t>
      </w:r>
      <w:r w:rsidRPr="00A827B3">
        <w:rPr>
          <w:rFonts w:ascii="Arial" w:eastAsia="Times New Roman" w:hAnsi="Arial" w:cs="Arial"/>
          <w:sz w:val="20"/>
          <w:szCs w:val="20"/>
          <w:lang w:eastAsia="en-GB"/>
        </w:rPr>
        <w:t>.</w:t>
      </w:r>
    </w:p>
    <w:p w14:paraId="11BF82E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B0DB3C7"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sz w:val="20"/>
          <w:szCs w:val="20"/>
          <w:lang w:eastAsia="en-GB"/>
        </w:rPr>
        <w:t xml:space="preserve"> </w:t>
      </w:r>
      <w:r w:rsidRPr="00A827B3">
        <w:rPr>
          <w:rFonts w:ascii="Arial" w:eastAsia="Times New Roman" w:hAnsi="Arial" w:cs="Arial"/>
          <w:bCs/>
          <w:sz w:val="20"/>
          <w:szCs w:val="20"/>
          <w:lang w:eastAsia="en-GB"/>
        </w:rPr>
        <w:t>Bellinger, E. G.</w:t>
      </w:r>
      <w:r w:rsidRPr="00A827B3">
        <w:rPr>
          <w:rFonts w:ascii="Arial" w:eastAsia="Times New Roman" w:hAnsi="Arial" w:cs="Arial"/>
          <w:sz w:val="20"/>
          <w:szCs w:val="20"/>
          <w:lang w:eastAsia="en-GB"/>
        </w:rPr>
        <w:t xml:space="preserve">, &amp; Sigee, D. C. (2015). </w:t>
      </w:r>
      <w:r w:rsidRPr="00A827B3">
        <w:rPr>
          <w:rFonts w:ascii="Arial" w:eastAsia="Times New Roman" w:hAnsi="Arial" w:cs="Arial"/>
          <w:i/>
          <w:iCs/>
          <w:sz w:val="20"/>
          <w:szCs w:val="20"/>
          <w:lang w:eastAsia="en-GB"/>
        </w:rPr>
        <w:t>Freshwater Algae: Identification and Use as Bioindicators</w:t>
      </w:r>
      <w:r w:rsidRPr="00A827B3">
        <w:rPr>
          <w:rFonts w:ascii="Arial" w:eastAsia="Times New Roman" w:hAnsi="Arial" w:cs="Arial"/>
          <w:sz w:val="20"/>
          <w:szCs w:val="20"/>
          <w:lang w:eastAsia="en-GB"/>
        </w:rPr>
        <w:t>. Wiley-Blackwell.</w:t>
      </w:r>
    </w:p>
    <w:p w14:paraId="57B6CDA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1AFC8352"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Bubu-Davies, O. A</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Ebini, M. V. C., &amp; Anwuri, P. A. (2022). Assessment of Epiphytic Algae Community as Bioindicator of Organic Pollution: A Case Study of Orokubu Creek, Bille, Rivers State, Nigeria. </w:t>
      </w:r>
      <w:r w:rsidRPr="00A827B3">
        <w:rPr>
          <w:rFonts w:ascii="Arial" w:eastAsia="Times New Roman" w:hAnsi="Arial" w:cs="Arial"/>
          <w:i/>
          <w:iCs/>
          <w:sz w:val="20"/>
          <w:szCs w:val="20"/>
          <w:lang w:eastAsia="en-GB"/>
        </w:rPr>
        <w:t>Nigerian Journal of Technological Research, 17(1).</w:t>
      </w:r>
    </w:p>
    <w:p w14:paraId="644699BC"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3849CF0"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Bubu-Davies, O. A.</w:t>
      </w:r>
      <w:r w:rsidRPr="00A827B3">
        <w:rPr>
          <w:rFonts w:ascii="Arial" w:eastAsia="Times New Roman" w:hAnsi="Arial" w:cs="Arial"/>
          <w:sz w:val="20"/>
          <w:szCs w:val="20"/>
          <w:lang w:eastAsia="en-GB"/>
        </w:rPr>
        <w:t xml:space="preserve">, Teere, M. B., &amp; Igilar, G. (2022). Evaluation of Epiphytic Algae Assemblage and Nutrient Status as Bioindicator of Organic Pollution in Alice Creek, Rivers State, Nigeria. </w:t>
      </w:r>
      <w:r w:rsidRPr="00A827B3">
        <w:rPr>
          <w:rFonts w:ascii="Arial" w:eastAsia="Times New Roman" w:hAnsi="Arial" w:cs="Arial"/>
          <w:i/>
          <w:iCs/>
          <w:sz w:val="20"/>
          <w:szCs w:val="20"/>
          <w:lang w:eastAsia="en-GB"/>
        </w:rPr>
        <w:t>Journal of Aquatic Sciences, 37(1).</w:t>
      </w:r>
    </w:p>
    <w:p w14:paraId="11855C49"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4321FBB"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Burge, D. R. L.</w:t>
      </w:r>
      <w:r w:rsidRPr="00A827B3">
        <w:rPr>
          <w:rFonts w:ascii="Arial" w:eastAsia="Times New Roman" w:hAnsi="Arial" w:cs="Arial"/>
          <w:sz w:val="20"/>
          <w:szCs w:val="20"/>
          <w:lang w:eastAsia="en-GB"/>
        </w:rPr>
        <w:t xml:space="preserve"> (2014). Relations of water quality, land use buffers, and diatom communities of connected depressions within the Cache River Watershed, Arkansas, USA (Master's thesis). </w:t>
      </w:r>
      <w:r w:rsidRPr="00A827B3">
        <w:rPr>
          <w:rFonts w:ascii="Arial" w:eastAsia="Times New Roman" w:hAnsi="Arial" w:cs="Arial"/>
          <w:i/>
          <w:iCs/>
          <w:sz w:val="20"/>
          <w:szCs w:val="20"/>
          <w:lang w:eastAsia="en-GB"/>
        </w:rPr>
        <w:t>Arkansas State University, Jonesboro, Arkansas.</w:t>
      </w:r>
    </w:p>
    <w:p w14:paraId="51F82026"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6F63C2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Crisman, T. L.</w:t>
      </w:r>
      <w:r w:rsidRPr="00A827B3">
        <w:rPr>
          <w:rFonts w:ascii="Arial" w:eastAsia="Times New Roman" w:hAnsi="Arial" w:cs="Arial"/>
          <w:sz w:val="20"/>
          <w:szCs w:val="20"/>
          <w:lang w:eastAsia="en-GB"/>
        </w:rPr>
        <w:t xml:space="preserve">, Boateng, E., &amp; Johnson, P. (2013). </w:t>
      </w:r>
      <w:r w:rsidRPr="00A827B3">
        <w:rPr>
          <w:rFonts w:ascii="Arial" w:eastAsia="Times New Roman" w:hAnsi="Arial" w:cs="Arial"/>
          <w:i/>
          <w:iCs/>
          <w:sz w:val="20"/>
          <w:szCs w:val="20"/>
          <w:lang w:eastAsia="en-GB"/>
        </w:rPr>
        <w:t>Tropical Wetlands: Ecology and Management</w:t>
      </w:r>
      <w:r w:rsidRPr="00A827B3">
        <w:rPr>
          <w:rFonts w:ascii="Arial" w:eastAsia="Times New Roman" w:hAnsi="Arial" w:cs="Arial"/>
          <w:sz w:val="20"/>
          <w:szCs w:val="20"/>
          <w:lang w:eastAsia="en-GB"/>
        </w:rPr>
        <w:t>. Springer.</w:t>
      </w:r>
    </w:p>
    <w:p w14:paraId="1F6D8E2A"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8F3A25F"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Denise, E. M.</w:t>
      </w:r>
      <w:r w:rsidRPr="00A827B3">
        <w:rPr>
          <w:rFonts w:ascii="Arial" w:eastAsia="Times New Roman" w:hAnsi="Arial" w:cs="Arial"/>
          <w:sz w:val="20"/>
          <w:szCs w:val="20"/>
          <w:lang w:eastAsia="en-GB"/>
        </w:rPr>
        <w:t xml:space="preserve">, Okhator, O., Affah, G. P., &amp; Anyadike, M. C. (2022). Physicochemical Properties and Periphytic Algae of Ikot Ebak River, Essien Udim LGA, Akwa Ibom State. </w:t>
      </w:r>
      <w:r w:rsidRPr="00A827B3">
        <w:rPr>
          <w:rFonts w:ascii="Arial" w:eastAsia="Times New Roman" w:hAnsi="Arial" w:cs="Arial"/>
          <w:i/>
          <w:iCs/>
          <w:sz w:val="20"/>
          <w:szCs w:val="20"/>
          <w:lang w:eastAsia="en-GB"/>
        </w:rPr>
        <w:t>FUDMA Journal of Sciences, 6(2)</w:t>
      </w:r>
      <w:r w:rsidRPr="00A827B3">
        <w:rPr>
          <w:rFonts w:ascii="Arial" w:eastAsia="Times New Roman" w:hAnsi="Arial" w:cs="Arial"/>
          <w:sz w:val="20"/>
          <w:szCs w:val="20"/>
          <w:lang w:eastAsia="en-GB"/>
        </w:rPr>
        <w:t>, 18–23.</w:t>
      </w:r>
    </w:p>
    <w:p w14:paraId="45A8EA6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C366895"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Dengg, M.</w:t>
      </w:r>
      <w:r w:rsidRPr="00A827B3">
        <w:rPr>
          <w:rFonts w:ascii="Arial" w:eastAsia="Times New Roman" w:hAnsi="Arial" w:cs="Arial"/>
          <w:sz w:val="20"/>
          <w:szCs w:val="20"/>
          <w:lang w:eastAsia="en-GB"/>
        </w:rPr>
        <w:t xml:space="preserve">, Stirling, C. H., Reid, M. R., Verburg, P., Armstrong, E., Kelly, L. T., &amp; Wood, S. A. (2022). Growth at the limits: Comparing trace metal limitation of a freshwater cyanobacterium (Dolichospermum lemmermannii) and a freshwater diatom (Fragilaria crotonensis). </w:t>
      </w:r>
      <w:r w:rsidRPr="00A827B3">
        <w:rPr>
          <w:rFonts w:ascii="Arial" w:eastAsia="Times New Roman" w:hAnsi="Arial" w:cs="Arial"/>
          <w:i/>
          <w:iCs/>
          <w:sz w:val="20"/>
          <w:szCs w:val="20"/>
          <w:lang w:eastAsia="en-GB"/>
        </w:rPr>
        <w:t>Scientific Reports, 12</w:t>
      </w:r>
      <w:r w:rsidRPr="00A827B3">
        <w:rPr>
          <w:rFonts w:ascii="Arial" w:eastAsia="Times New Roman" w:hAnsi="Arial" w:cs="Arial"/>
          <w:sz w:val="20"/>
          <w:szCs w:val="20"/>
          <w:lang w:eastAsia="en-GB"/>
        </w:rPr>
        <w:t>, 467.</w:t>
      </w:r>
    </w:p>
    <w:p w14:paraId="4E57082D"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BE17D7C"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lastRenderedPageBreak/>
        <w:t>Egbomuche, R. C.</w:t>
      </w:r>
      <w:r w:rsidRPr="00A827B3">
        <w:rPr>
          <w:rFonts w:ascii="Arial" w:eastAsia="Times New Roman" w:hAnsi="Arial" w:cs="Arial"/>
          <w:sz w:val="20"/>
          <w:szCs w:val="20"/>
          <w:lang w:eastAsia="en-GB"/>
        </w:rPr>
        <w:t xml:space="preserve">, Ekwenye, U. N., Udofia, G. E., Anosike, I. K., Etang, U. E., Akpan, N. G., &amp; Fatunla, O. K. (2024). Physicochemical and Bacteriological Analyses of Eniong River Water and Sediment in Southern Nigeria. </w:t>
      </w:r>
      <w:r w:rsidRPr="00A827B3">
        <w:rPr>
          <w:rFonts w:ascii="Arial" w:eastAsia="Times New Roman" w:hAnsi="Arial" w:cs="Arial"/>
          <w:i/>
          <w:iCs/>
          <w:sz w:val="20"/>
          <w:szCs w:val="20"/>
          <w:lang w:eastAsia="en-GB"/>
        </w:rPr>
        <w:t>Asian Journal of Environment &amp; Ecology, 23(5)</w:t>
      </w:r>
      <w:r w:rsidRPr="00A827B3">
        <w:rPr>
          <w:rFonts w:ascii="Arial" w:eastAsia="Times New Roman" w:hAnsi="Arial" w:cs="Arial"/>
          <w:sz w:val="20"/>
          <w:szCs w:val="20"/>
          <w:lang w:eastAsia="en-GB"/>
        </w:rPr>
        <w:t>, 48–63.</w:t>
      </w:r>
    </w:p>
    <w:p w14:paraId="149807C5" w14:textId="77777777" w:rsidR="00A827B3" w:rsidRPr="00A827B3" w:rsidRDefault="00A827B3" w:rsidP="00A827B3">
      <w:pPr>
        <w:spacing w:before="100" w:beforeAutospacing="1" w:after="100" w:afterAutospacing="1"/>
        <w:ind w:left="360"/>
        <w:rPr>
          <w:rFonts w:ascii="Arial" w:hAnsi="Arial" w:cs="Arial"/>
          <w:lang w:eastAsia="en-GB"/>
        </w:rPr>
      </w:pPr>
    </w:p>
    <w:p w14:paraId="276EBEA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Essien, I. I.</w:t>
      </w:r>
      <w:r w:rsidRPr="00A827B3">
        <w:rPr>
          <w:rFonts w:ascii="Arial" w:eastAsia="Times New Roman" w:hAnsi="Arial" w:cs="Arial"/>
          <w:sz w:val="20"/>
          <w:szCs w:val="20"/>
          <w:lang w:eastAsia="en-GB"/>
        </w:rPr>
        <w:t xml:space="preserve">, Denise, E. M., &amp; Anwana, E. D. (2025). Influence of Limnological Factors on Macrophytic Diversity and Distribution in the Humic Freshwater Ecosystem of Eniong River, Itu, Nigeria. </w:t>
      </w:r>
      <w:r w:rsidRPr="00A827B3">
        <w:rPr>
          <w:rFonts w:ascii="Arial" w:eastAsia="Times New Roman" w:hAnsi="Arial" w:cs="Arial"/>
          <w:i/>
          <w:iCs/>
          <w:sz w:val="20"/>
          <w:szCs w:val="20"/>
          <w:lang w:eastAsia="en-GB"/>
        </w:rPr>
        <w:t>Asian Journal of Research in Biology, 8(1)</w:t>
      </w:r>
      <w:r w:rsidRPr="00A827B3">
        <w:rPr>
          <w:rFonts w:ascii="Arial" w:eastAsia="Times New Roman" w:hAnsi="Arial" w:cs="Arial"/>
          <w:sz w:val="20"/>
          <w:szCs w:val="20"/>
          <w:lang w:eastAsia="en-GB"/>
        </w:rPr>
        <w:t>, 65–77.</w:t>
      </w:r>
    </w:p>
    <w:p w14:paraId="5E94B4FA"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9EFD063"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Etuk, V. J</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Ugbomeh, A., Akani, G. C., &amp; Ugbomeh, L. I. (2020). The cichlids of Eniong and Cross Rivers, Niger Delta, Nigeria. </w:t>
      </w:r>
      <w:r w:rsidRPr="00A827B3">
        <w:rPr>
          <w:rFonts w:ascii="Arial" w:eastAsia="Times New Roman" w:hAnsi="Arial" w:cs="Arial"/>
          <w:i/>
          <w:iCs/>
          <w:sz w:val="20"/>
          <w:szCs w:val="20"/>
          <w:lang w:eastAsia="en-GB"/>
        </w:rPr>
        <w:t>Tropical Freshwater Biology, 29(1)</w:t>
      </w:r>
      <w:r w:rsidRPr="00A827B3">
        <w:rPr>
          <w:rFonts w:ascii="Arial" w:eastAsia="Times New Roman" w:hAnsi="Arial" w:cs="Arial"/>
          <w:sz w:val="20"/>
          <w:szCs w:val="20"/>
          <w:lang w:eastAsia="en-GB"/>
        </w:rPr>
        <w:t>, 1–10.</w:t>
      </w:r>
    </w:p>
    <w:p w14:paraId="501A1937"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1446361D"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Giri, T.</w:t>
      </w:r>
      <w:r w:rsidRPr="00A827B3">
        <w:rPr>
          <w:rFonts w:ascii="Arial" w:eastAsia="Times New Roman" w:hAnsi="Arial" w:cs="Arial"/>
          <w:sz w:val="20"/>
          <w:szCs w:val="20"/>
          <w:lang w:eastAsia="en-GB"/>
        </w:rPr>
        <w:t xml:space="preserve">, Goutam, U., Arya, A., &amp; Gautam, S. (2022). Effect of nutrients on diatom growth: A review. </w:t>
      </w:r>
      <w:r w:rsidRPr="00A827B3">
        <w:rPr>
          <w:rFonts w:ascii="Arial" w:eastAsia="Times New Roman" w:hAnsi="Arial" w:cs="Arial"/>
          <w:i/>
          <w:iCs/>
          <w:sz w:val="20"/>
          <w:szCs w:val="20"/>
          <w:lang w:eastAsia="en-GB"/>
        </w:rPr>
        <w:t>Trends in Sciences, 19(2)</w:t>
      </w:r>
      <w:r w:rsidRPr="00A827B3">
        <w:rPr>
          <w:rFonts w:ascii="Arial" w:eastAsia="Times New Roman" w:hAnsi="Arial" w:cs="Arial"/>
          <w:sz w:val="20"/>
          <w:szCs w:val="20"/>
          <w:lang w:eastAsia="en-GB"/>
        </w:rPr>
        <w:t>, 1752.</w:t>
      </w:r>
    </w:p>
    <w:p w14:paraId="6496B5EC"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4CE1234"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Hauer, F. R.</w:t>
      </w:r>
      <w:r w:rsidRPr="00A827B3">
        <w:rPr>
          <w:rFonts w:ascii="Arial" w:eastAsia="Times New Roman" w:hAnsi="Arial" w:cs="Arial"/>
          <w:sz w:val="20"/>
          <w:szCs w:val="20"/>
          <w:lang w:eastAsia="en-GB"/>
        </w:rPr>
        <w:t xml:space="preserve">, &amp; Lamberti, G. A. (2017). </w:t>
      </w:r>
      <w:r w:rsidRPr="00A827B3">
        <w:rPr>
          <w:rFonts w:ascii="Arial" w:eastAsia="Times New Roman" w:hAnsi="Arial" w:cs="Arial"/>
          <w:i/>
          <w:iCs/>
          <w:sz w:val="20"/>
          <w:szCs w:val="20"/>
          <w:lang w:eastAsia="en-GB"/>
        </w:rPr>
        <w:t>Methods in Stream Ecology</w:t>
      </w:r>
      <w:r w:rsidRPr="00A827B3">
        <w:rPr>
          <w:rFonts w:ascii="Arial" w:eastAsia="Times New Roman" w:hAnsi="Arial" w:cs="Arial"/>
          <w:sz w:val="20"/>
          <w:szCs w:val="20"/>
          <w:lang w:eastAsia="en-GB"/>
        </w:rPr>
        <w:t xml:space="preserve"> (3rd ed.). Academic Press.</w:t>
      </w:r>
    </w:p>
    <w:p w14:paraId="709D04D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2CFB5E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Kelly, M. G.</w:t>
      </w:r>
      <w:r w:rsidRPr="00A827B3">
        <w:rPr>
          <w:rFonts w:ascii="Arial" w:eastAsia="Times New Roman" w:hAnsi="Arial" w:cs="Arial"/>
          <w:sz w:val="20"/>
          <w:szCs w:val="20"/>
          <w:lang w:eastAsia="en-GB"/>
        </w:rPr>
        <w:t xml:space="preserve"> (2003). Short-term dynamics of diatoms in an upland stream and implications for monitoring eutrophication. </w:t>
      </w:r>
      <w:r w:rsidRPr="00A827B3">
        <w:rPr>
          <w:rFonts w:ascii="Arial" w:eastAsia="Times New Roman" w:hAnsi="Arial" w:cs="Arial"/>
          <w:i/>
          <w:iCs/>
          <w:sz w:val="20"/>
          <w:szCs w:val="20"/>
          <w:lang w:eastAsia="en-GB"/>
        </w:rPr>
        <w:t>Environmental Pollution, 125(1)</w:t>
      </w:r>
      <w:r w:rsidRPr="00A827B3">
        <w:rPr>
          <w:rFonts w:ascii="Arial" w:eastAsia="Times New Roman" w:hAnsi="Arial" w:cs="Arial"/>
          <w:sz w:val="20"/>
          <w:szCs w:val="20"/>
          <w:lang w:eastAsia="en-GB"/>
        </w:rPr>
        <w:t>, 117–127.</w:t>
      </w:r>
    </w:p>
    <w:p w14:paraId="058213E5"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A41FBC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Li, M.</w:t>
      </w:r>
      <w:r w:rsidRPr="00A827B3">
        <w:rPr>
          <w:rFonts w:ascii="Arial" w:eastAsia="Times New Roman" w:hAnsi="Arial" w:cs="Arial"/>
          <w:sz w:val="20"/>
          <w:szCs w:val="20"/>
          <w:lang w:eastAsia="en-GB"/>
        </w:rPr>
        <w:t xml:space="preserve">, Gao, X., Wu, B., Qian, X., Giesy, J. P., &amp; Cui, Y. (2014). Microalga Euglena as a bioindicator for testing genotoxic potentials of organic pollutants in Taihu Lake, China. </w:t>
      </w:r>
      <w:r w:rsidRPr="00A827B3">
        <w:rPr>
          <w:rFonts w:ascii="Arial" w:eastAsia="Times New Roman" w:hAnsi="Arial" w:cs="Arial"/>
          <w:i/>
          <w:iCs/>
          <w:sz w:val="20"/>
          <w:szCs w:val="20"/>
          <w:lang w:eastAsia="en-GB"/>
        </w:rPr>
        <w:t>Ecotoxicology, 23(4)</w:t>
      </w:r>
      <w:r w:rsidRPr="00A827B3">
        <w:rPr>
          <w:rFonts w:ascii="Arial" w:eastAsia="Times New Roman" w:hAnsi="Arial" w:cs="Arial"/>
          <w:sz w:val="20"/>
          <w:szCs w:val="20"/>
          <w:lang w:eastAsia="en-GB"/>
        </w:rPr>
        <w:t>, 633–640.</w:t>
      </w:r>
    </w:p>
    <w:p w14:paraId="0064D4F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74BC3A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Lobo, E. A.</w:t>
      </w:r>
      <w:r w:rsidRPr="00A827B3">
        <w:rPr>
          <w:rFonts w:ascii="Arial" w:eastAsia="Times New Roman" w:hAnsi="Arial" w:cs="Arial"/>
          <w:sz w:val="20"/>
          <w:szCs w:val="20"/>
          <w:lang w:eastAsia="en-GB"/>
        </w:rPr>
        <w:t xml:space="preserve">, McCarthy, J., &amp; Lee, S. (2012). Utilization of Diatoms for Monitoring Eutrophication in Rivers. </w:t>
      </w:r>
      <w:r w:rsidRPr="00A827B3">
        <w:rPr>
          <w:rFonts w:ascii="Arial" w:eastAsia="Times New Roman" w:hAnsi="Arial" w:cs="Arial"/>
          <w:i/>
          <w:iCs/>
          <w:sz w:val="20"/>
          <w:szCs w:val="20"/>
          <w:lang w:eastAsia="en-GB"/>
        </w:rPr>
        <w:t>Environmental Monitoring and Assessment, 184(7)</w:t>
      </w:r>
      <w:r w:rsidRPr="00A827B3">
        <w:rPr>
          <w:rFonts w:ascii="Arial" w:eastAsia="Times New Roman" w:hAnsi="Arial" w:cs="Arial"/>
          <w:sz w:val="20"/>
          <w:szCs w:val="20"/>
          <w:lang w:eastAsia="en-GB"/>
        </w:rPr>
        <w:t>, 4393–4405.</w:t>
      </w:r>
    </w:p>
    <w:p w14:paraId="709CC989"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9EC710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Mustapha, K. M.</w:t>
      </w:r>
      <w:r w:rsidRPr="00A827B3">
        <w:rPr>
          <w:rFonts w:ascii="Arial" w:eastAsia="Times New Roman" w:hAnsi="Arial" w:cs="Arial"/>
          <w:sz w:val="20"/>
          <w:szCs w:val="20"/>
          <w:lang w:eastAsia="en-GB"/>
        </w:rPr>
        <w:t xml:space="preserve"> (2010). Seasonal influence of limnological variables in plankton dynamics of a small, shallow, tropical African reservoir. </w:t>
      </w:r>
      <w:r w:rsidRPr="00A827B3">
        <w:rPr>
          <w:rFonts w:ascii="Arial" w:eastAsia="Times New Roman" w:hAnsi="Arial" w:cs="Arial"/>
          <w:i/>
          <w:iCs/>
          <w:sz w:val="20"/>
          <w:szCs w:val="20"/>
          <w:lang w:eastAsia="en-GB"/>
        </w:rPr>
        <w:t>Asian Journal of Experimental Biological Science, 1(1)</w:t>
      </w:r>
      <w:r w:rsidRPr="00A827B3">
        <w:rPr>
          <w:rFonts w:ascii="Arial" w:eastAsia="Times New Roman" w:hAnsi="Arial" w:cs="Arial"/>
          <w:sz w:val="20"/>
          <w:szCs w:val="20"/>
          <w:lang w:eastAsia="en-GB"/>
        </w:rPr>
        <w:t>, 60–79.</w:t>
      </w:r>
    </w:p>
    <w:p w14:paraId="0EB8CE85"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2D787E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Nezbrytska, I.</w:t>
      </w:r>
      <w:r w:rsidRPr="00A827B3">
        <w:rPr>
          <w:rFonts w:ascii="Arial" w:eastAsia="Times New Roman" w:hAnsi="Arial" w:cs="Arial"/>
          <w:sz w:val="20"/>
          <w:szCs w:val="20"/>
          <w:lang w:eastAsia="en-GB"/>
        </w:rPr>
        <w:t xml:space="preserve">, Shamanskyi, S., Pavliukh, L., &amp; Gorbunova, Z. (2022). Application of Euglena gracilis in wastewater treatment processes. </w:t>
      </w:r>
      <w:r w:rsidRPr="00A827B3">
        <w:rPr>
          <w:rFonts w:ascii="Arial" w:eastAsia="Times New Roman" w:hAnsi="Arial" w:cs="Arial"/>
          <w:i/>
          <w:iCs/>
          <w:sz w:val="20"/>
          <w:szCs w:val="20"/>
          <w:lang w:eastAsia="en-GB"/>
        </w:rPr>
        <w:t>BioTechnologia, 103(4)</w:t>
      </w:r>
      <w:r w:rsidRPr="00A827B3">
        <w:rPr>
          <w:rFonts w:ascii="Arial" w:eastAsia="Times New Roman" w:hAnsi="Arial" w:cs="Arial"/>
          <w:sz w:val="20"/>
          <w:szCs w:val="20"/>
          <w:lang w:eastAsia="en-GB"/>
        </w:rPr>
        <w:t>, 321–329.</w:t>
      </w:r>
    </w:p>
    <w:p w14:paraId="01857C9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90A68C0"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Nkwoji, J. A.</w:t>
      </w:r>
      <w:r w:rsidRPr="00A827B3">
        <w:rPr>
          <w:rFonts w:ascii="Arial" w:eastAsia="Times New Roman" w:hAnsi="Arial" w:cs="Arial"/>
          <w:sz w:val="20"/>
          <w:szCs w:val="20"/>
          <w:lang w:eastAsia="en-GB"/>
        </w:rPr>
        <w:t xml:space="preserve">, Ogbeibu, A. E., &amp; Igbo, J. K. (2021). Influence of multiple stressors on periphytic diatoms in tropical riverine ecosystems. </w:t>
      </w:r>
      <w:r w:rsidRPr="00A827B3">
        <w:rPr>
          <w:rFonts w:ascii="Arial" w:eastAsia="Times New Roman" w:hAnsi="Arial" w:cs="Arial"/>
          <w:i/>
          <w:iCs/>
          <w:sz w:val="20"/>
          <w:szCs w:val="20"/>
          <w:lang w:eastAsia="en-GB"/>
        </w:rPr>
        <w:t>Tropical Freshwater Biology, 30(1)</w:t>
      </w:r>
      <w:r w:rsidRPr="00A827B3">
        <w:rPr>
          <w:rFonts w:ascii="Arial" w:eastAsia="Times New Roman" w:hAnsi="Arial" w:cs="Arial"/>
          <w:sz w:val="20"/>
          <w:szCs w:val="20"/>
          <w:lang w:eastAsia="en-GB"/>
        </w:rPr>
        <w:t>, 35–52.</w:t>
      </w:r>
    </w:p>
    <w:p w14:paraId="1F61862A"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B64B45F"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Noga, T</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Poradowska, A., Peszek, Ł., &amp; Rybak, M. (2018). Rare calciphilous diatoms from the genus Gomphonema (Bacillariophyta) in lotic waters of SE Poland. </w:t>
      </w:r>
      <w:r w:rsidRPr="00A827B3">
        <w:rPr>
          <w:rFonts w:ascii="Arial" w:eastAsia="Times New Roman" w:hAnsi="Arial" w:cs="Arial"/>
          <w:i/>
          <w:iCs/>
          <w:sz w:val="20"/>
          <w:szCs w:val="20"/>
          <w:lang w:eastAsia="en-GB"/>
        </w:rPr>
        <w:t>Oceanological and Hydrobiological Studies, 47(1)</w:t>
      </w:r>
      <w:r w:rsidRPr="00A827B3">
        <w:rPr>
          <w:rFonts w:ascii="Arial" w:eastAsia="Times New Roman" w:hAnsi="Arial" w:cs="Arial"/>
          <w:sz w:val="20"/>
          <w:szCs w:val="20"/>
          <w:lang w:eastAsia="en-GB"/>
        </w:rPr>
        <w:t>, 27–40.</w:t>
      </w:r>
    </w:p>
    <w:p w14:paraId="6168ACC7"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7B9295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Onyema, I. C.</w:t>
      </w:r>
      <w:r w:rsidRPr="00A827B3">
        <w:rPr>
          <w:rFonts w:ascii="Arial" w:eastAsia="Times New Roman" w:hAnsi="Arial" w:cs="Arial"/>
          <w:sz w:val="20"/>
          <w:szCs w:val="20"/>
          <w:lang w:eastAsia="en-GB"/>
        </w:rPr>
        <w:t xml:space="preserve"> (2007). The phytoplankton composition, abundance and temporal variation of a polluted estuarine creek in Lagos, Nigeria. </w:t>
      </w:r>
      <w:r w:rsidRPr="00A827B3">
        <w:rPr>
          <w:rFonts w:ascii="Arial" w:eastAsia="Times New Roman" w:hAnsi="Arial" w:cs="Arial"/>
          <w:i/>
          <w:iCs/>
          <w:sz w:val="20"/>
          <w:szCs w:val="20"/>
          <w:lang w:eastAsia="en-GB"/>
        </w:rPr>
        <w:t>Turkish Journal of Fisheries and Aquatic Sciences, 7</w:t>
      </w:r>
      <w:r w:rsidRPr="00A827B3">
        <w:rPr>
          <w:rFonts w:ascii="Arial" w:eastAsia="Times New Roman" w:hAnsi="Arial" w:cs="Arial"/>
          <w:sz w:val="20"/>
          <w:szCs w:val="20"/>
          <w:lang w:eastAsia="en-GB"/>
        </w:rPr>
        <w:t>, 89–96.</w:t>
      </w:r>
    </w:p>
    <w:p w14:paraId="65736FF4"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Ogunmola, O. P.</w:t>
      </w:r>
      <w:r w:rsidRPr="00A827B3">
        <w:rPr>
          <w:rFonts w:ascii="Arial" w:eastAsia="Times New Roman" w:hAnsi="Arial" w:cs="Arial"/>
          <w:sz w:val="20"/>
          <w:szCs w:val="20"/>
          <w:lang w:eastAsia="en-GB"/>
        </w:rPr>
        <w:t xml:space="preserve">, Adeniyi, I. F., Adesakin, T. A., Aduwo, A. I., Daisi, O., Akinpelu, O., &amp; Aanuoluwa, I. (2020). Assessment of Periphyton Biomass and Water Quality by Chlorophyll Determination of Ifewara Reservoir, Osun State, Nigeria. </w:t>
      </w:r>
      <w:r w:rsidRPr="00A827B3">
        <w:rPr>
          <w:rFonts w:ascii="Arial" w:eastAsia="Times New Roman" w:hAnsi="Arial" w:cs="Arial"/>
          <w:i/>
          <w:iCs/>
          <w:sz w:val="20"/>
          <w:szCs w:val="20"/>
          <w:lang w:eastAsia="en-GB"/>
        </w:rPr>
        <w:t>African Journal of Environment and Natural Science Research, 3(4).</w:t>
      </w:r>
    </w:p>
    <w:p w14:paraId="189AC7D3"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4F09783"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Pandey, L. K.</w:t>
      </w:r>
      <w:r w:rsidRPr="00A827B3">
        <w:rPr>
          <w:rFonts w:ascii="Arial" w:eastAsia="Times New Roman" w:hAnsi="Arial" w:cs="Arial"/>
          <w:sz w:val="20"/>
          <w:szCs w:val="20"/>
          <w:lang w:eastAsia="en-GB"/>
        </w:rPr>
        <w:t xml:space="preserve">, Singh, C. S., &amp; Han, T. (2014). Diatom biofilms as indicators of heavy metal pollution in a riverine ecosystem. </w:t>
      </w:r>
      <w:r w:rsidRPr="00A827B3">
        <w:rPr>
          <w:rFonts w:ascii="Arial" w:eastAsia="Times New Roman" w:hAnsi="Arial" w:cs="Arial"/>
          <w:i/>
          <w:iCs/>
          <w:sz w:val="20"/>
          <w:szCs w:val="20"/>
          <w:lang w:eastAsia="en-GB"/>
        </w:rPr>
        <w:t>Ecological Indicators, 36</w:t>
      </w:r>
      <w:r w:rsidRPr="00A827B3">
        <w:rPr>
          <w:rFonts w:ascii="Arial" w:eastAsia="Times New Roman" w:hAnsi="Arial" w:cs="Arial"/>
          <w:sz w:val="20"/>
          <w:szCs w:val="20"/>
          <w:lang w:eastAsia="en-GB"/>
        </w:rPr>
        <w:t>, 272–279.</w:t>
      </w:r>
    </w:p>
    <w:p w14:paraId="1CF1365D"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CBF42FB"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Prasanna, R.</w:t>
      </w:r>
      <w:r w:rsidRPr="00A827B3">
        <w:rPr>
          <w:rFonts w:ascii="Arial" w:eastAsia="Times New Roman" w:hAnsi="Arial" w:cs="Arial"/>
          <w:sz w:val="20"/>
          <w:szCs w:val="20"/>
          <w:lang w:eastAsia="en-GB"/>
        </w:rPr>
        <w:t xml:space="preserve">, Ratha, S. K., Rojas, C., &amp; Bruns, M. A. (2011). Algal diversity in flowing waters at an acidic mine drainage "barrens" in central Pennsylvania, USA. </w:t>
      </w:r>
      <w:r w:rsidRPr="00A827B3">
        <w:rPr>
          <w:rFonts w:ascii="Arial" w:eastAsia="Times New Roman" w:hAnsi="Arial" w:cs="Arial"/>
          <w:i/>
          <w:iCs/>
          <w:sz w:val="20"/>
          <w:szCs w:val="20"/>
          <w:lang w:eastAsia="en-GB"/>
        </w:rPr>
        <w:t>Folia Microbiologica, 56(6)</w:t>
      </w:r>
      <w:r w:rsidRPr="00A827B3">
        <w:rPr>
          <w:rFonts w:ascii="Arial" w:eastAsia="Times New Roman" w:hAnsi="Arial" w:cs="Arial"/>
          <w:sz w:val="20"/>
          <w:szCs w:val="20"/>
          <w:lang w:eastAsia="en-GB"/>
        </w:rPr>
        <w:t>, 491–496.</w:t>
      </w:r>
    </w:p>
    <w:p w14:paraId="0079960B"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37DC50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Rosales, D.</w:t>
      </w:r>
      <w:r w:rsidRPr="00A827B3">
        <w:rPr>
          <w:rFonts w:ascii="Arial" w:eastAsia="Times New Roman" w:hAnsi="Arial" w:cs="Arial"/>
          <w:sz w:val="20"/>
          <w:szCs w:val="20"/>
          <w:lang w:eastAsia="en-GB"/>
        </w:rPr>
        <w:t xml:space="preserve">, Ellett, A., Jacobs, J., Ozbay, G., Parveen, S., &amp; Pitula, J. (2022). Investigating the Relationship between Nitrate, Total Dissolved Nitrogen, and Phosphate with Abundance of Pathogenic Vibrios and Harmful Algal Blooms in Rehoboth Bay, Delaware. </w:t>
      </w:r>
      <w:r w:rsidRPr="00A827B3">
        <w:rPr>
          <w:rFonts w:ascii="Arial" w:eastAsia="Times New Roman" w:hAnsi="Arial" w:cs="Arial"/>
          <w:i/>
          <w:iCs/>
          <w:sz w:val="20"/>
          <w:szCs w:val="20"/>
          <w:lang w:eastAsia="en-GB"/>
        </w:rPr>
        <w:t>Applied and Environmental Microbiology, 88(14)</w:t>
      </w:r>
      <w:r w:rsidRPr="00A827B3">
        <w:rPr>
          <w:rFonts w:ascii="Arial" w:eastAsia="Times New Roman" w:hAnsi="Arial" w:cs="Arial"/>
          <w:sz w:val="20"/>
          <w:szCs w:val="20"/>
          <w:lang w:eastAsia="en-GB"/>
        </w:rPr>
        <w:t>, e00356-22.</w:t>
      </w:r>
    </w:p>
    <w:p w14:paraId="1AFCEE72"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4545A3C"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Rzymski, P.</w:t>
      </w:r>
      <w:r w:rsidRPr="00A827B3">
        <w:rPr>
          <w:rFonts w:ascii="Arial" w:eastAsia="Times New Roman" w:hAnsi="Arial" w:cs="Arial"/>
          <w:sz w:val="20"/>
          <w:szCs w:val="20"/>
          <w:lang w:eastAsia="en-GB"/>
        </w:rPr>
        <w:t xml:space="preserve">, Niedzielski, P., Klimaszyk, P., &amp; Poniedziałek, B. (2015). Bioaccumulation of selected trace elements in freshwater algae and macrophytes and their potential use for biomonitoring. </w:t>
      </w:r>
      <w:r w:rsidRPr="00A827B3">
        <w:rPr>
          <w:rFonts w:ascii="Arial" w:eastAsia="Times New Roman" w:hAnsi="Arial" w:cs="Arial"/>
          <w:i/>
          <w:iCs/>
          <w:sz w:val="20"/>
          <w:szCs w:val="20"/>
          <w:lang w:eastAsia="en-GB"/>
        </w:rPr>
        <w:t>Ecotoxicology and Environmental Safety, 118</w:t>
      </w:r>
      <w:r w:rsidRPr="00A827B3">
        <w:rPr>
          <w:rFonts w:ascii="Arial" w:eastAsia="Times New Roman" w:hAnsi="Arial" w:cs="Arial"/>
          <w:sz w:val="20"/>
          <w:szCs w:val="20"/>
          <w:lang w:eastAsia="en-GB"/>
        </w:rPr>
        <w:t>, 28–36.</w:t>
      </w:r>
    </w:p>
    <w:p w14:paraId="6316B34B"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8E93C0E"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lastRenderedPageBreak/>
        <w:t>Salmaso, N.</w:t>
      </w:r>
      <w:r w:rsidRPr="00A827B3">
        <w:rPr>
          <w:rFonts w:ascii="Arial" w:eastAsia="Times New Roman" w:hAnsi="Arial" w:cs="Arial"/>
          <w:sz w:val="20"/>
          <w:szCs w:val="20"/>
          <w:lang w:eastAsia="en-GB"/>
        </w:rPr>
        <w:t xml:space="preserve">, Montanari, A., &amp; Ambrogi, C. (2016). Phytoplankton and Environmental Interactions in River Ecosystems. </w:t>
      </w:r>
      <w:r w:rsidRPr="00A827B3">
        <w:rPr>
          <w:rFonts w:ascii="Arial" w:eastAsia="Times New Roman" w:hAnsi="Arial" w:cs="Arial"/>
          <w:i/>
          <w:iCs/>
          <w:sz w:val="20"/>
          <w:szCs w:val="20"/>
          <w:lang w:eastAsia="en-GB"/>
        </w:rPr>
        <w:t>Aquatic Ecology, 50</w:t>
      </w:r>
      <w:r w:rsidRPr="00A827B3">
        <w:rPr>
          <w:rFonts w:ascii="Arial" w:eastAsia="Times New Roman" w:hAnsi="Arial" w:cs="Arial"/>
          <w:sz w:val="20"/>
          <w:szCs w:val="20"/>
          <w:lang w:eastAsia="en-GB"/>
        </w:rPr>
        <w:t>, 301–316.</w:t>
      </w:r>
    </w:p>
    <w:p w14:paraId="26B1CFF0"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E82DE9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Sharma, A.</w:t>
      </w:r>
      <w:r w:rsidRPr="00A827B3">
        <w:rPr>
          <w:rFonts w:ascii="Arial" w:eastAsia="Times New Roman" w:hAnsi="Arial" w:cs="Arial"/>
          <w:sz w:val="20"/>
          <w:szCs w:val="20"/>
          <w:lang w:eastAsia="en-GB"/>
        </w:rPr>
        <w:t xml:space="preserve">, &amp; Anthal, R. (2016). Humic Substances in Aquatic Ecosystems: A Review. </w:t>
      </w:r>
      <w:r w:rsidRPr="00A827B3">
        <w:rPr>
          <w:rFonts w:ascii="Arial" w:eastAsia="Times New Roman" w:hAnsi="Arial" w:cs="Arial"/>
          <w:i/>
          <w:iCs/>
          <w:sz w:val="20"/>
          <w:szCs w:val="20"/>
          <w:lang w:eastAsia="en-GB"/>
        </w:rPr>
        <w:t>International Journal of Innovative Research in Science, Engineering and Technology, 5(10)</w:t>
      </w:r>
      <w:r w:rsidRPr="00A827B3">
        <w:rPr>
          <w:rFonts w:ascii="Arial" w:eastAsia="Times New Roman" w:hAnsi="Arial" w:cs="Arial"/>
          <w:sz w:val="20"/>
          <w:szCs w:val="20"/>
          <w:lang w:eastAsia="en-GB"/>
        </w:rPr>
        <w:t>, 18462–18470.</w:t>
      </w:r>
    </w:p>
    <w:p w14:paraId="4DA112E1"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75E100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Shibabaw, T</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Beyene, A., Awoke, A., Tirfie, M., Azage, M., &amp; Triest, L. (2021). Diatom community structure in relation to environmental factors in human influenced rivers and streams in tropical Africa. </w:t>
      </w:r>
      <w:r w:rsidRPr="00A827B3">
        <w:rPr>
          <w:rFonts w:ascii="Arial" w:eastAsia="Times New Roman" w:hAnsi="Arial" w:cs="Arial"/>
          <w:i/>
          <w:iCs/>
          <w:sz w:val="20"/>
          <w:szCs w:val="20"/>
          <w:lang w:eastAsia="en-GB"/>
        </w:rPr>
        <w:t>Environmental Monitoring and Assessment, 193(2)</w:t>
      </w:r>
      <w:r w:rsidRPr="00A827B3">
        <w:rPr>
          <w:rFonts w:ascii="Arial" w:eastAsia="Times New Roman" w:hAnsi="Arial" w:cs="Arial"/>
          <w:sz w:val="20"/>
          <w:szCs w:val="20"/>
          <w:lang w:eastAsia="en-GB"/>
        </w:rPr>
        <w:t>, Article 85.</w:t>
      </w:r>
    </w:p>
    <w:p w14:paraId="2E9A225B"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A24C4E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Søndergaard, M.</w:t>
      </w:r>
      <w:r w:rsidRPr="00A827B3">
        <w:rPr>
          <w:rFonts w:ascii="Arial" w:eastAsia="Times New Roman" w:hAnsi="Arial" w:cs="Arial"/>
          <w:sz w:val="20"/>
          <w:szCs w:val="20"/>
          <w:lang w:eastAsia="en-GB"/>
        </w:rPr>
        <w:t xml:space="preserve">, &amp; Moss, B. (1998). Impact of submerged macrophytes on phytoplankton in shallow freshwater lakes. </w:t>
      </w:r>
      <w:r w:rsidRPr="00A827B3">
        <w:rPr>
          <w:rFonts w:ascii="Arial" w:eastAsia="Times New Roman" w:hAnsi="Arial" w:cs="Arial"/>
          <w:i/>
          <w:iCs/>
          <w:sz w:val="20"/>
          <w:szCs w:val="20"/>
          <w:lang w:eastAsia="en-GB"/>
        </w:rPr>
        <w:t>Biological Reviews, 73(4)</w:t>
      </w:r>
      <w:r w:rsidRPr="00A827B3">
        <w:rPr>
          <w:rFonts w:ascii="Arial" w:eastAsia="Times New Roman" w:hAnsi="Arial" w:cs="Arial"/>
          <w:sz w:val="20"/>
          <w:szCs w:val="20"/>
          <w:lang w:eastAsia="en-GB"/>
        </w:rPr>
        <w:t>, 445–472.</w:t>
      </w:r>
    </w:p>
    <w:p w14:paraId="1FA32644"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0FFCFB3"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Taylor, J. C</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Harding, W. R., &amp; Archibald, C. G. M. (2007). </w:t>
      </w:r>
      <w:r w:rsidRPr="00A827B3">
        <w:rPr>
          <w:rFonts w:ascii="Arial" w:eastAsia="Times New Roman" w:hAnsi="Arial" w:cs="Arial"/>
          <w:i/>
          <w:iCs/>
          <w:sz w:val="20"/>
          <w:szCs w:val="20"/>
          <w:lang w:eastAsia="en-GB"/>
        </w:rPr>
        <w:t>An illustrated guide to some common diatom species from South Africa</w:t>
      </w:r>
      <w:r w:rsidRPr="00A827B3">
        <w:rPr>
          <w:rFonts w:ascii="Arial" w:eastAsia="Times New Roman" w:hAnsi="Arial" w:cs="Arial"/>
          <w:sz w:val="20"/>
          <w:szCs w:val="20"/>
          <w:lang w:eastAsia="en-GB"/>
        </w:rPr>
        <w:t>. WRC Report TT 282/07.</w:t>
      </w:r>
    </w:p>
    <w:p w14:paraId="00CFED6F"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3D461E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Ugwumba, A. A. A.</w:t>
      </w:r>
      <w:r w:rsidRPr="00A827B3">
        <w:rPr>
          <w:rFonts w:ascii="Arial" w:eastAsia="Times New Roman" w:hAnsi="Arial" w:cs="Arial"/>
          <w:sz w:val="20"/>
          <w:szCs w:val="20"/>
          <w:lang w:eastAsia="en-GB"/>
        </w:rPr>
        <w:t xml:space="preserve">, &amp; Esenowo, I. K. (2020). Anthropogenic impact on plankton and benthos assemblage in the Lagos Lagoon, Nigeria. </w:t>
      </w:r>
      <w:r w:rsidRPr="00A827B3">
        <w:rPr>
          <w:rFonts w:ascii="Arial" w:eastAsia="Times New Roman" w:hAnsi="Arial" w:cs="Arial"/>
          <w:i/>
          <w:iCs/>
          <w:sz w:val="20"/>
          <w:szCs w:val="20"/>
          <w:lang w:eastAsia="en-GB"/>
        </w:rPr>
        <w:t>Creation Journal of Fisheries, 78</w:t>
      </w:r>
      <w:r w:rsidRPr="00A827B3">
        <w:rPr>
          <w:rFonts w:ascii="Arial" w:eastAsia="Times New Roman" w:hAnsi="Arial" w:cs="Arial"/>
          <w:sz w:val="20"/>
          <w:szCs w:val="20"/>
          <w:lang w:eastAsia="en-GB"/>
        </w:rPr>
        <w:t>, 173–182.</w:t>
      </w:r>
    </w:p>
    <w:p w14:paraId="45BD1664"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210CB1B"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Wehr, J. D</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&amp; Sheath, R. G. (2003). </w:t>
      </w:r>
      <w:r w:rsidRPr="00A827B3">
        <w:rPr>
          <w:rFonts w:ascii="Arial" w:eastAsia="Times New Roman" w:hAnsi="Arial" w:cs="Arial"/>
          <w:i/>
          <w:iCs/>
          <w:sz w:val="20"/>
          <w:szCs w:val="20"/>
          <w:lang w:eastAsia="en-GB"/>
        </w:rPr>
        <w:t>Freshwater Algae of North America: Ecology and Classification</w:t>
      </w:r>
      <w:r w:rsidRPr="00A827B3">
        <w:rPr>
          <w:rFonts w:ascii="Arial" w:eastAsia="Times New Roman" w:hAnsi="Arial" w:cs="Arial"/>
          <w:sz w:val="20"/>
          <w:szCs w:val="20"/>
          <w:lang w:eastAsia="en-GB"/>
        </w:rPr>
        <w:t>. Elsevier Academic Press.</w:t>
      </w:r>
    </w:p>
    <w:p w14:paraId="594C76F1"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57BD4DE"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Xiao, X.</w:t>
      </w:r>
      <w:r w:rsidRPr="00A827B3">
        <w:rPr>
          <w:rFonts w:ascii="Arial" w:eastAsia="Times New Roman" w:hAnsi="Arial" w:cs="Arial"/>
          <w:sz w:val="20"/>
          <w:szCs w:val="20"/>
          <w:lang w:eastAsia="en-GB"/>
        </w:rPr>
        <w:t xml:space="preserve">, Li, W., Jin, M., Zhang, L., Qin, L., &amp; Geng, W. (2023). Responses and tolerance mechanisms of microalgae to heavy metal stress: A review. </w:t>
      </w:r>
      <w:r w:rsidRPr="00A827B3">
        <w:rPr>
          <w:rFonts w:ascii="Arial" w:eastAsia="Times New Roman" w:hAnsi="Arial" w:cs="Arial"/>
          <w:i/>
          <w:iCs/>
          <w:sz w:val="20"/>
          <w:szCs w:val="20"/>
          <w:lang w:eastAsia="en-GB"/>
        </w:rPr>
        <w:t>Marine Environmental Research, 183</w:t>
      </w:r>
      <w:r w:rsidRPr="00A827B3">
        <w:rPr>
          <w:rFonts w:ascii="Arial" w:eastAsia="Times New Roman" w:hAnsi="Arial" w:cs="Arial"/>
          <w:sz w:val="20"/>
          <w:szCs w:val="20"/>
          <w:lang w:eastAsia="en-GB"/>
        </w:rPr>
        <w:t>, 105805.</w:t>
      </w:r>
    </w:p>
    <w:p w14:paraId="5AA226E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19BB7F74"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Xu, H.</w:t>
      </w:r>
      <w:r w:rsidRPr="00A827B3">
        <w:rPr>
          <w:rFonts w:ascii="Arial" w:eastAsia="Times New Roman" w:hAnsi="Arial" w:cs="Arial"/>
          <w:sz w:val="20"/>
          <w:szCs w:val="20"/>
          <w:lang w:eastAsia="en-GB"/>
        </w:rPr>
        <w:t xml:space="preserve">, Paerl, H. W., Qin, B., Zhu, G., Hall, N. S., &amp; Wu, Y. (2015). Determining critical nutrient thresholds needed to control harmful cyanobacterial blooms in eutrophic Lake Taihu, China. </w:t>
      </w:r>
      <w:r w:rsidRPr="00A827B3">
        <w:rPr>
          <w:rFonts w:ascii="Arial" w:eastAsia="Times New Roman" w:hAnsi="Arial" w:cs="Arial"/>
          <w:i/>
          <w:iCs/>
          <w:sz w:val="20"/>
          <w:szCs w:val="20"/>
          <w:lang w:eastAsia="en-GB"/>
        </w:rPr>
        <w:t>Environmental Science &amp; Technology, 49(2)</w:t>
      </w:r>
      <w:r w:rsidRPr="00A827B3">
        <w:rPr>
          <w:rFonts w:ascii="Arial" w:eastAsia="Times New Roman" w:hAnsi="Arial" w:cs="Arial"/>
          <w:sz w:val="20"/>
          <w:szCs w:val="20"/>
          <w:lang w:eastAsia="en-GB"/>
        </w:rPr>
        <w:t>, 1051–1059.</w:t>
      </w:r>
    </w:p>
    <w:p w14:paraId="49155191"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1E70C0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Yusoff, F. M.</w:t>
      </w:r>
      <w:r w:rsidRPr="00A827B3">
        <w:rPr>
          <w:rFonts w:ascii="Arial" w:eastAsia="Times New Roman" w:hAnsi="Arial" w:cs="Arial"/>
          <w:sz w:val="20"/>
          <w:szCs w:val="20"/>
          <w:lang w:eastAsia="en-GB"/>
        </w:rPr>
        <w:t xml:space="preserve">, Razak, R., &amp; Hashim, R. (2020). Environmental Factors Shaping Phytoplankton Distribution in Tropical Lakes. </w:t>
      </w:r>
      <w:r w:rsidRPr="00A827B3">
        <w:rPr>
          <w:rFonts w:ascii="Arial" w:eastAsia="Times New Roman" w:hAnsi="Arial" w:cs="Arial"/>
          <w:i/>
          <w:iCs/>
          <w:sz w:val="20"/>
          <w:szCs w:val="20"/>
          <w:lang w:eastAsia="en-GB"/>
        </w:rPr>
        <w:t>Aquatic Ecology, 54</w:t>
      </w:r>
      <w:r w:rsidRPr="00A827B3">
        <w:rPr>
          <w:rFonts w:ascii="Arial" w:eastAsia="Times New Roman" w:hAnsi="Arial" w:cs="Arial"/>
          <w:sz w:val="20"/>
          <w:szCs w:val="20"/>
          <w:lang w:eastAsia="en-GB"/>
        </w:rPr>
        <w:t>, 189–202.</w:t>
      </w:r>
    </w:p>
    <w:p w14:paraId="27C46485" w14:textId="77777777" w:rsidR="00A827B3" w:rsidRPr="00432B8F" w:rsidRDefault="00A827B3" w:rsidP="00A827B3">
      <w:pPr>
        <w:rPr>
          <w:rFonts w:ascii="Arial" w:hAnsi="Arial" w:cs="Arial"/>
        </w:rPr>
      </w:pPr>
    </w:p>
    <w:p w14:paraId="34511A35" w14:textId="77777777" w:rsidR="00A827B3" w:rsidRPr="00FB3A86" w:rsidRDefault="00A827B3" w:rsidP="002B0ABA">
      <w:pPr>
        <w:pStyle w:val="ReferHead"/>
        <w:spacing w:after="0"/>
        <w:jc w:val="both"/>
        <w:rPr>
          <w:rFonts w:ascii="Arial" w:hAnsi="Arial" w:cs="Arial"/>
        </w:rPr>
      </w:pPr>
    </w:p>
    <w:p w14:paraId="26673F91" w14:textId="77777777" w:rsidR="002B0ABA" w:rsidRDefault="002B0ABA" w:rsidP="002B0ABA">
      <w:pPr>
        <w:pStyle w:val="Body"/>
        <w:spacing w:after="0"/>
      </w:pPr>
    </w:p>
    <w:p w14:paraId="61FE6F1F" w14:textId="77777777" w:rsidR="00E333EB" w:rsidRPr="002C57D2" w:rsidRDefault="00E333EB" w:rsidP="002B0ABA">
      <w:pPr>
        <w:pStyle w:val="Body"/>
        <w:spacing w:after="0"/>
        <w:rPr>
          <w:rFonts w:ascii="Arial" w:hAnsi="Arial" w:cs="Arial"/>
        </w:rPr>
      </w:pPr>
    </w:p>
    <w:p w14:paraId="78F9E31B" w14:textId="77777777" w:rsidR="00F53C83" w:rsidRDefault="00F53C83"/>
    <w:sectPr w:rsidR="00F53C83" w:rsidSect="00F1728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hyu" w:date="2025-04-13T16:10:00Z" w:initials="W">
    <w:p w14:paraId="754A3E64" w14:textId="50A556E6" w:rsidR="0092635A" w:rsidRDefault="0092635A">
      <w:pPr>
        <w:pStyle w:val="CommentText"/>
      </w:pPr>
      <w:r>
        <w:rPr>
          <w:rStyle w:val="CommentReference"/>
        </w:rPr>
        <w:annotationRef/>
      </w:r>
      <w:r w:rsidRPr="0092635A">
        <w:t>why it is important to examine the relationship between limnological parameters and periphytic algal communities. Try to be more specific</w:t>
      </w:r>
    </w:p>
  </w:comment>
  <w:comment w:id="1" w:author="Wahyu" w:date="2025-04-13T16:04:00Z" w:initials="W">
    <w:p w14:paraId="07302BE7" w14:textId="77777777" w:rsidR="00631827" w:rsidRDefault="00631827">
      <w:pPr>
        <w:pStyle w:val="CommentText"/>
      </w:pPr>
      <w:r>
        <w:rPr>
          <w:rStyle w:val="CommentReference"/>
        </w:rPr>
        <w:annotationRef/>
      </w:r>
      <w:r w:rsidRPr="00631827">
        <w:t>when is the research time?</w:t>
      </w:r>
    </w:p>
    <w:p w14:paraId="1CE540BE" w14:textId="7A0ACD6C" w:rsidR="00631827" w:rsidRDefault="00631827">
      <w:pPr>
        <w:pStyle w:val="CommentText"/>
      </w:pPr>
      <w:r>
        <w:t>please write</w:t>
      </w:r>
    </w:p>
  </w:comment>
  <w:comment w:id="2" w:author="Wahyu" w:date="2025-04-13T16:11:00Z" w:initials="W">
    <w:p w14:paraId="4B3C881E" w14:textId="45997233" w:rsidR="00F007AB" w:rsidRDefault="00F007AB">
      <w:pPr>
        <w:pStyle w:val="CommentText"/>
      </w:pPr>
      <w:r>
        <w:rPr>
          <w:rStyle w:val="CommentReference"/>
        </w:rPr>
        <w:annotationRef/>
      </w:r>
      <w:r w:rsidRPr="00F007AB">
        <w:t>no quantitative information such as the number of genera</w:t>
      </w:r>
      <w:r>
        <w:t xml:space="preserve"> or </w:t>
      </w:r>
      <w:r w:rsidRPr="00F007AB">
        <w:t>species found</w:t>
      </w:r>
    </w:p>
  </w:comment>
  <w:comment w:id="3" w:author="Wahyu" w:date="2025-04-13T16:05:00Z" w:initials="W">
    <w:p w14:paraId="0B77A7EA" w14:textId="558AD8FA" w:rsidR="00631827" w:rsidRDefault="00631827">
      <w:pPr>
        <w:pStyle w:val="CommentText"/>
      </w:pPr>
      <w:r>
        <w:rPr>
          <w:rStyle w:val="CommentReference"/>
        </w:rPr>
        <w:annotationRef/>
      </w:r>
      <w:r w:rsidRPr="00631827">
        <w:t>use keywords other than in the title</w:t>
      </w:r>
    </w:p>
  </w:comment>
  <w:comment w:id="4" w:author="Wahyu" w:date="2025-04-13T16:18:00Z" w:initials="W">
    <w:p w14:paraId="66C60230" w14:textId="7C91DCAD" w:rsidR="000A5F0B" w:rsidRDefault="000A5F0B" w:rsidP="000A5F0B">
      <w:pPr>
        <w:pStyle w:val="CommentText"/>
      </w:pPr>
      <w:r>
        <w:rPr>
          <w:rStyle w:val="CommentReference"/>
        </w:rPr>
        <w:annotationRef/>
      </w:r>
      <w:r>
        <w:t>1. add references that further support how important this research is.</w:t>
      </w:r>
    </w:p>
    <w:p w14:paraId="132DF80A" w14:textId="1991440F" w:rsidR="000A5F0B" w:rsidRDefault="000A5F0B" w:rsidP="000A5F0B">
      <w:pPr>
        <w:pStyle w:val="CommentText"/>
      </w:pPr>
      <w:r>
        <w:t>2. research objectives not yet written</w:t>
      </w:r>
    </w:p>
  </w:comment>
  <w:comment w:id="5" w:author="Wahyu" w:date="2025-04-13T16:24:00Z" w:initials="W">
    <w:p w14:paraId="3551AB66" w14:textId="77777777" w:rsidR="000C200B" w:rsidRDefault="000C200B" w:rsidP="000C200B">
      <w:pPr>
        <w:pStyle w:val="CommentText"/>
      </w:pPr>
      <w:r>
        <w:rPr>
          <w:rStyle w:val="CommentReference"/>
        </w:rPr>
        <w:annotationRef/>
      </w:r>
      <w:r>
        <w:t>add references about:</w:t>
      </w:r>
    </w:p>
    <w:p w14:paraId="1929274C" w14:textId="77777777" w:rsidR="000C200B" w:rsidRDefault="000C200B" w:rsidP="000C200B">
      <w:pPr>
        <w:pStyle w:val="CommentText"/>
      </w:pPr>
      <w:r>
        <w:t>1. the importance of this river compared to other rivers?</w:t>
      </w:r>
    </w:p>
    <w:p w14:paraId="5AD54DC6" w14:textId="77777777" w:rsidR="000C200B" w:rsidRDefault="000C200B" w:rsidP="000C200B">
      <w:pPr>
        <w:pStyle w:val="CommentText"/>
      </w:pPr>
      <w:r>
        <w:t>2. what watershed does it belong to, what is its area and length?</w:t>
      </w:r>
    </w:p>
    <w:p w14:paraId="4415837D" w14:textId="77777777" w:rsidR="000C200B" w:rsidRDefault="000C200B" w:rsidP="000C200B">
      <w:pPr>
        <w:pStyle w:val="CommentText"/>
      </w:pPr>
      <w:r>
        <w:t>3. what are the impacts of anthropogenic activities?</w:t>
      </w:r>
    </w:p>
    <w:p w14:paraId="4DC20017" w14:textId="08623518" w:rsidR="000C200B" w:rsidRDefault="000C200B" w:rsidP="000C200B">
      <w:pPr>
        <w:pStyle w:val="CommentText"/>
      </w:pPr>
      <w:r>
        <w:t>4.can you tell us a bit about water pollution there?</w:t>
      </w:r>
    </w:p>
  </w:comment>
  <w:comment w:id="6" w:author="Wahyu" w:date="2025-04-13T16:22:00Z" w:initials="W">
    <w:p w14:paraId="752F74E1" w14:textId="4F355567" w:rsidR="000C200B" w:rsidRDefault="000C200B">
      <w:pPr>
        <w:pStyle w:val="CommentText"/>
      </w:pPr>
      <w:r>
        <w:rPr>
          <w:rStyle w:val="CommentReference"/>
        </w:rPr>
        <w:annotationRef/>
      </w:r>
      <w:r>
        <w:t>year?</w:t>
      </w:r>
    </w:p>
  </w:comment>
  <w:comment w:id="7" w:author="Wahyu" w:date="2025-04-13T16:15:00Z" w:initials="W">
    <w:p w14:paraId="3EFE5D4C" w14:textId="2B1854C0" w:rsidR="00440A8D" w:rsidRDefault="00440A8D">
      <w:pPr>
        <w:pStyle w:val="CommentText"/>
      </w:pPr>
      <w:r>
        <w:rPr>
          <w:rStyle w:val="CommentReference"/>
        </w:rPr>
        <w:annotationRef/>
      </w:r>
      <w:r>
        <w:t>source?</w:t>
      </w:r>
    </w:p>
  </w:comment>
  <w:comment w:id="8" w:author="Wahyu" w:date="2025-04-13T16:31:00Z" w:initials="W">
    <w:p w14:paraId="35A5D0C4" w14:textId="77777777" w:rsidR="00D1211E" w:rsidRDefault="00210ADF" w:rsidP="00D1211E">
      <w:pPr>
        <w:pStyle w:val="CommentText"/>
      </w:pPr>
      <w:r>
        <w:rPr>
          <w:rStyle w:val="CommentReference"/>
        </w:rPr>
        <w:annotationRef/>
      </w:r>
      <w:r w:rsidR="00D1211E">
        <w:t>how many sampling times in a season?</w:t>
      </w:r>
    </w:p>
    <w:p w14:paraId="6BFF1CD0" w14:textId="0C2F4C2D" w:rsidR="00210ADF" w:rsidRDefault="00D1211E" w:rsidP="00D1211E">
      <w:pPr>
        <w:pStyle w:val="CommentText"/>
      </w:pPr>
      <w:r>
        <w:t>how much area or volume of water or algae is collected when scraping?</w:t>
      </w:r>
    </w:p>
  </w:comment>
  <w:comment w:id="9" w:author="Wahyu" w:date="2025-04-13T16:38:00Z" w:initials="W">
    <w:p w14:paraId="6E62C100" w14:textId="12875BDD" w:rsidR="00C70C74" w:rsidRDefault="00C70C74">
      <w:pPr>
        <w:pStyle w:val="CommentText"/>
      </w:pPr>
      <w:r>
        <w:rPr>
          <w:rStyle w:val="CommentReference"/>
        </w:rPr>
        <w:annotationRef/>
      </w:r>
      <w:r w:rsidRPr="00C70C74">
        <w:t>compare with other rivers in the area or other relevant research results</w:t>
      </w:r>
    </w:p>
  </w:comment>
  <w:comment w:id="10" w:author="Wahyu" w:date="2025-04-13T16:48:00Z" w:initials="W">
    <w:p w14:paraId="1D57F416" w14:textId="1DE17353" w:rsidR="00055957" w:rsidRDefault="00055957">
      <w:pPr>
        <w:pStyle w:val="CommentText"/>
      </w:pPr>
      <w:r>
        <w:rPr>
          <w:rStyle w:val="CommentReference"/>
        </w:rPr>
        <w:annotationRef/>
      </w:r>
      <w:r w:rsidRPr="00055957">
        <w:t>pH and Temperature conditions are still within the threshold. look for other research results so that the urgency of the study can be seen.</w:t>
      </w:r>
    </w:p>
  </w:comment>
  <w:comment w:id="11" w:author="Wahyu" w:date="2025-04-14T05:35:00Z" w:initials="W">
    <w:p w14:paraId="5EDF17A2" w14:textId="63F23671" w:rsidR="00464E0B" w:rsidRDefault="00464E0B">
      <w:pPr>
        <w:pStyle w:val="CommentText"/>
      </w:pPr>
      <w:r>
        <w:rPr>
          <w:rStyle w:val="CommentReference"/>
        </w:rPr>
        <w:annotationRef/>
      </w:r>
      <w:r w:rsidRPr="00464E0B">
        <w:t>explain the meaning</w:t>
      </w:r>
      <w:r>
        <w:t>?</w:t>
      </w:r>
    </w:p>
  </w:comment>
  <w:comment w:id="12" w:author="Wahyu" w:date="2025-04-14T05:35:00Z" w:initials="W">
    <w:p w14:paraId="15857ED8" w14:textId="222E221B" w:rsidR="00464E0B" w:rsidRDefault="00464E0B" w:rsidP="00464E0B">
      <w:pPr>
        <w:pStyle w:val="CommentText"/>
      </w:pPr>
      <w:r>
        <w:rPr>
          <w:rStyle w:val="CommentReference"/>
        </w:rPr>
        <w:annotationRef/>
      </w:r>
      <w:r>
        <w:t>What and how are the specific effects of each nutrient on the alga community there?</w:t>
      </w:r>
    </w:p>
    <w:p w14:paraId="6453A5D3" w14:textId="3D5FE056" w:rsidR="00464E0B" w:rsidRDefault="00464E0B" w:rsidP="00464E0B">
      <w:pPr>
        <w:pStyle w:val="CommentText"/>
      </w:pPr>
      <w:r>
        <w:t>Compare with other research results</w:t>
      </w:r>
    </w:p>
  </w:comment>
  <w:comment w:id="13" w:author="Wahyu" w:date="2025-04-14T05:39:00Z" w:initials="W">
    <w:p w14:paraId="24D74819" w14:textId="77777777" w:rsidR="00C70E88" w:rsidRDefault="00C70E88" w:rsidP="00C70E88">
      <w:pPr>
        <w:pStyle w:val="CommentText"/>
      </w:pPr>
      <w:r>
        <w:rPr>
          <w:rStyle w:val="CommentReference"/>
        </w:rPr>
        <w:annotationRef/>
      </w:r>
      <w:r>
        <w:t>explain more specifically what and the impact of the decline in diversity, shifts in functional composition, or the decline in ecological value of the periphytic community in general.</w:t>
      </w:r>
    </w:p>
    <w:p w14:paraId="71F5AD23" w14:textId="77777777" w:rsidR="00C70E88" w:rsidRDefault="00C70E88" w:rsidP="00C70E88">
      <w:pPr>
        <w:pStyle w:val="CommentText"/>
      </w:pPr>
    </w:p>
    <w:p w14:paraId="3828704E" w14:textId="7900118C" w:rsidR="00C70E88" w:rsidRDefault="00C70E88" w:rsidP="00C70E88">
      <w:pPr>
        <w:pStyle w:val="CommentText"/>
      </w:pPr>
      <w:r>
        <w:t>how is the tolerance or life strategy of Closterium moniliferum and Fragilaria javanica.</w:t>
      </w:r>
    </w:p>
  </w:comment>
  <w:comment w:id="14" w:author="Wahyu" w:date="2025-04-14T05:44:00Z" w:initials="W">
    <w:p w14:paraId="27C9D660" w14:textId="42FDE569" w:rsidR="00C70E88" w:rsidRDefault="00C70E88" w:rsidP="00C70E88">
      <w:pPr>
        <w:pStyle w:val="CommentText"/>
      </w:pPr>
      <w:r>
        <w:rPr>
          <w:rStyle w:val="CommentReference"/>
        </w:rPr>
        <w:annotationRef/>
      </w:r>
      <w:r>
        <w:t>generally the decline in species is seen by presenting concrete data such as Shannon</w:t>
      </w:r>
      <w:r w:rsidR="00CB4406">
        <w:t xml:space="preserve"> index</w:t>
      </w:r>
      <w:r>
        <w:t>, in this study, how is it presented to be more representative?</w:t>
      </w:r>
    </w:p>
    <w:p w14:paraId="44C75D9B" w14:textId="2156D17A" w:rsidR="00C70E88" w:rsidRDefault="00C70E88" w:rsidP="00C70E88">
      <w:pPr>
        <w:pStyle w:val="CommentText"/>
      </w:pPr>
      <w:r>
        <w:t>.</w:t>
      </w:r>
    </w:p>
  </w:comment>
  <w:comment w:id="15" w:author="Wahyu" w:date="2025-04-14T05:48:00Z" w:initials="W">
    <w:p w14:paraId="02C9C6C6" w14:textId="1AAEF11E" w:rsidR="00C70E88" w:rsidRDefault="00C70E88">
      <w:pPr>
        <w:pStyle w:val="CommentText"/>
      </w:pPr>
      <w:r>
        <w:rPr>
          <w:rStyle w:val="CommentReference"/>
        </w:rPr>
        <w:annotationRef/>
      </w:r>
      <w:r w:rsidR="005C02C7">
        <w:t xml:space="preserve">Enong river, </w:t>
      </w:r>
      <w:r w:rsidR="005C02C7" w:rsidRPr="005C02C7">
        <w:t>Is this pattern consistent throughout the year or is it seasonal?.</w:t>
      </w:r>
    </w:p>
  </w:comment>
  <w:comment w:id="16" w:author="Wahyu" w:date="2025-04-14T05:50:00Z" w:initials="W">
    <w:p w14:paraId="55F706FE" w14:textId="251C7D34" w:rsidR="00EF3A4B" w:rsidRDefault="00EF3A4B">
      <w:pPr>
        <w:pStyle w:val="CommentText"/>
      </w:pPr>
      <w:r>
        <w:rPr>
          <w:rStyle w:val="CommentReference"/>
        </w:rPr>
        <w:annotationRef/>
      </w:r>
      <w:r>
        <w:t>not italic</w:t>
      </w:r>
    </w:p>
  </w:comment>
  <w:comment w:id="17" w:author="Wahyu" w:date="2025-04-14T05:50:00Z" w:initials="W">
    <w:p w14:paraId="45460E06" w14:textId="77777777" w:rsidR="00EF3A4B" w:rsidRDefault="00EF3A4B" w:rsidP="00EF3A4B">
      <w:pPr>
        <w:pStyle w:val="CommentText"/>
      </w:pPr>
      <w:r>
        <w:rPr>
          <w:rStyle w:val="CommentReference"/>
        </w:rPr>
        <w:annotationRef/>
      </w:r>
      <w:r>
        <w:t>not italic</w:t>
      </w:r>
    </w:p>
    <w:p w14:paraId="4C275945" w14:textId="2B94D2F3" w:rsidR="00EF3A4B" w:rsidRDefault="00EF3A4B">
      <w:pPr>
        <w:pStyle w:val="CommentText"/>
      </w:pPr>
    </w:p>
  </w:comment>
  <w:comment w:id="18" w:author="Wahyu" w:date="2025-04-14T05:50:00Z" w:initials="W">
    <w:p w14:paraId="25B6D9B7" w14:textId="77777777" w:rsidR="00EF3A4B" w:rsidRDefault="00EF3A4B" w:rsidP="00EF3A4B">
      <w:pPr>
        <w:pStyle w:val="CommentText"/>
      </w:pPr>
      <w:r>
        <w:rPr>
          <w:rStyle w:val="CommentReference"/>
        </w:rPr>
        <w:annotationRef/>
      </w:r>
      <w:r>
        <w:t>not italic</w:t>
      </w:r>
    </w:p>
    <w:p w14:paraId="076D74CB" w14:textId="72CB1A91" w:rsidR="00EF3A4B" w:rsidRDefault="00EF3A4B">
      <w:pPr>
        <w:pStyle w:val="CommentText"/>
      </w:pPr>
    </w:p>
  </w:comment>
  <w:comment w:id="19" w:author="Wahyu" w:date="2025-04-14T05:50:00Z" w:initials="W">
    <w:p w14:paraId="7CE8B392" w14:textId="77777777" w:rsidR="00EF3A4B" w:rsidRDefault="00EF3A4B" w:rsidP="00EF3A4B">
      <w:pPr>
        <w:pStyle w:val="CommentText"/>
      </w:pPr>
      <w:r>
        <w:rPr>
          <w:rStyle w:val="CommentReference"/>
        </w:rPr>
        <w:annotationRef/>
      </w:r>
      <w:r>
        <w:t>not italic</w:t>
      </w:r>
    </w:p>
    <w:p w14:paraId="74C72BC0" w14:textId="063DDB6F" w:rsidR="00EF3A4B" w:rsidRDefault="00EF3A4B">
      <w:pPr>
        <w:pStyle w:val="CommentText"/>
      </w:pPr>
    </w:p>
  </w:comment>
  <w:comment w:id="20" w:author="Wahyu" w:date="2025-04-14T05:50:00Z" w:initials="W">
    <w:p w14:paraId="19107513" w14:textId="77777777" w:rsidR="00EF3A4B" w:rsidRDefault="00EF3A4B" w:rsidP="00EF3A4B">
      <w:pPr>
        <w:pStyle w:val="CommentText"/>
      </w:pPr>
      <w:r>
        <w:rPr>
          <w:rStyle w:val="CommentReference"/>
        </w:rPr>
        <w:annotationRef/>
      </w:r>
      <w:r>
        <w:t>not italic</w:t>
      </w:r>
    </w:p>
    <w:p w14:paraId="0E17DA50" w14:textId="27681758" w:rsidR="00EF3A4B" w:rsidRDefault="00EF3A4B">
      <w:pPr>
        <w:pStyle w:val="CommentText"/>
      </w:pPr>
    </w:p>
  </w:comment>
  <w:comment w:id="21" w:author="Wahyu" w:date="2025-04-14T05:56:00Z" w:initials="W">
    <w:p w14:paraId="656848AE" w14:textId="77777777" w:rsidR="00144875" w:rsidRDefault="00144875" w:rsidP="00144875">
      <w:pPr>
        <w:pStyle w:val="CommentText"/>
      </w:pPr>
      <w:r>
        <w:rPr>
          <w:rStyle w:val="CommentReference"/>
        </w:rPr>
        <w:annotationRef/>
      </w:r>
      <w:r>
        <w:t>please explain what are the dominant variables that affect the dimensions (axis) in PCA?</w:t>
      </w:r>
    </w:p>
    <w:p w14:paraId="324BB0EE" w14:textId="6CB917BF" w:rsidR="00144875" w:rsidRDefault="00144875" w:rsidP="00144875">
      <w:pPr>
        <w:pStyle w:val="CommentText"/>
      </w:pPr>
      <w:r>
        <w:t>What and why are groups such as Cymbellaceae and Rhopalodiaceae tolerant?</w:t>
      </w:r>
    </w:p>
  </w:comment>
  <w:comment w:id="22" w:author="Wahyu" w:date="2025-04-14T06:03:00Z" w:initials="W">
    <w:p w14:paraId="197AE30E" w14:textId="77777777" w:rsidR="0078297A" w:rsidRDefault="0078297A" w:rsidP="0078297A">
      <w:pPr>
        <w:pStyle w:val="CommentText"/>
      </w:pPr>
      <w:r>
        <w:rPr>
          <w:rStyle w:val="CommentReference"/>
        </w:rPr>
        <w:annotationRef/>
      </w:r>
      <w:r>
        <w:t>more enriched discussion on reflection or comparison on inter-species reliability for use in biomonitoring.</w:t>
      </w:r>
    </w:p>
    <w:p w14:paraId="1A65540C" w14:textId="77777777" w:rsidR="0078297A" w:rsidRDefault="0078297A" w:rsidP="0078297A">
      <w:pPr>
        <w:pStyle w:val="CommentText"/>
      </w:pPr>
    </w:p>
    <w:p w14:paraId="55A7DBF4" w14:textId="287515B4" w:rsidR="0078297A" w:rsidRDefault="0078297A" w:rsidP="0078297A">
      <w:pPr>
        <w:pStyle w:val="CommentText"/>
      </w:pPr>
      <w:r>
        <w:t>should be explained more, Dengg et al., 2022 studies about what and where.</w:t>
      </w:r>
    </w:p>
  </w:comment>
  <w:comment w:id="23" w:author="Wahyu" w:date="2025-04-14T06:04:00Z" w:initials="W">
    <w:p w14:paraId="5E7AC0BC" w14:textId="3E2051B5" w:rsidR="0078297A" w:rsidRDefault="0078297A" w:rsidP="0078297A">
      <w:pPr>
        <w:pStyle w:val="CommentText"/>
      </w:pPr>
      <w:r>
        <w:rPr>
          <w:rStyle w:val="CommentReference"/>
        </w:rPr>
        <w:annotationRef/>
      </w:r>
      <w:r>
        <w:t>Giri et al., 2022 studies about what and where.</w:t>
      </w:r>
    </w:p>
  </w:comment>
  <w:comment w:id="24" w:author="Wahyu" w:date="2025-04-14T06:06:00Z" w:initials="W">
    <w:p w14:paraId="7B75ECF2" w14:textId="77777777" w:rsidR="0078297A" w:rsidRDefault="0078297A" w:rsidP="0078297A">
      <w:pPr>
        <w:pStyle w:val="CommentText"/>
      </w:pPr>
      <w:r>
        <w:rPr>
          <w:rStyle w:val="CommentReference"/>
        </w:rPr>
        <w:annotationRef/>
      </w:r>
      <w:r>
        <w:t>more refined about more polluted or healthier stations</w:t>
      </w:r>
    </w:p>
    <w:p w14:paraId="6E7C7C19" w14:textId="144947AF" w:rsidR="0078297A" w:rsidRDefault="0078297A" w:rsidP="0078297A">
      <w:pPr>
        <w:pStyle w:val="CommentText"/>
      </w:pPr>
      <w:r>
        <w:t>add indicator species that are key markers of eutrophic conditions or metal pollution.</w:t>
      </w:r>
      <w:r w:rsidR="003F39B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A3E64" w15:done="0"/>
  <w15:commentEx w15:paraId="1CE540BE" w15:done="0"/>
  <w15:commentEx w15:paraId="4B3C881E" w15:done="0"/>
  <w15:commentEx w15:paraId="0B77A7EA" w15:done="0"/>
  <w15:commentEx w15:paraId="132DF80A" w15:done="0"/>
  <w15:commentEx w15:paraId="4DC20017" w15:done="0"/>
  <w15:commentEx w15:paraId="752F74E1" w15:done="0"/>
  <w15:commentEx w15:paraId="3EFE5D4C" w15:done="0"/>
  <w15:commentEx w15:paraId="6BFF1CD0" w15:done="0"/>
  <w15:commentEx w15:paraId="6E62C100" w15:done="0"/>
  <w15:commentEx w15:paraId="1D57F416" w15:done="0"/>
  <w15:commentEx w15:paraId="5EDF17A2" w15:done="0"/>
  <w15:commentEx w15:paraId="6453A5D3" w15:done="0"/>
  <w15:commentEx w15:paraId="3828704E" w15:done="0"/>
  <w15:commentEx w15:paraId="44C75D9B" w15:done="0"/>
  <w15:commentEx w15:paraId="02C9C6C6" w15:done="0"/>
  <w15:commentEx w15:paraId="55F706FE" w15:done="0"/>
  <w15:commentEx w15:paraId="4C275945" w15:done="0"/>
  <w15:commentEx w15:paraId="076D74CB" w15:done="0"/>
  <w15:commentEx w15:paraId="74C72BC0" w15:done="0"/>
  <w15:commentEx w15:paraId="0E17DA50" w15:done="0"/>
  <w15:commentEx w15:paraId="324BB0EE" w15:done="0"/>
  <w15:commentEx w15:paraId="55A7DBF4" w15:done="0"/>
  <w15:commentEx w15:paraId="5E7AC0BC" w15:done="0"/>
  <w15:commentEx w15:paraId="6E7C7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66073" w16cex:dateUtc="2025-04-13T09:10:00Z"/>
  <w16cex:commentExtensible w16cex:durableId="2BA65F29" w16cex:dateUtc="2025-04-13T09:04:00Z"/>
  <w16cex:commentExtensible w16cex:durableId="2BA660C3" w16cex:dateUtc="2025-04-13T09:11:00Z"/>
  <w16cex:commentExtensible w16cex:durableId="2BA65F63" w16cex:dateUtc="2025-04-13T09:05:00Z"/>
  <w16cex:commentExtensible w16cex:durableId="2BA66244" w16cex:dateUtc="2025-04-13T09:18:00Z"/>
  <w16cex:commentExtensible w16cex:durableId="2BA663D1" w16cex:dateUtc="2025-04-13T09:24:00Z"/>
  <w16cex:commentExtensible w16cex:durableId="2BA6633A" w16cex:dateUtc="2025-04-13T09:22:00Z"/>
  <w16cex:commentExtensible w16cex:durableId="2BA66190" w16cex:dateUtc="2025-04-13T09:15:00Z"/>
  <w16cex:commentExtensible w16cex:durableId="2BA66573" w16cex:dateUtc="2025-04-13T09:31:00Z"/>
  <w16cex:commentExtensible w16cex:durableId="2BA66723" w16cex:dateUtc="2025-04-13T09:38:00Z"/>
  <w16cex:commentExtensible w16cex:durableId="2BA66969" w16cex:dateUtc="2025-04-13T09:48:00Z"/>
  <w16cex:commentExtensible w16cex:durableId="2BA71D3C" w16cex:dateUtc="2025-04-13T22:35:00Z"/>
  <w16cex:commentExtensible w16cex:durableId="2BA71D2D" w16cex:dateUtc="2025-04-13T22:35:00Z"/>
  <w16cex:commentExtensible w16cex:durableId="2BA71E02" w16cex:dateUtc="2025-04-13T22:39:00Z"/>
  <w16cex:commentExtensible w16cex:durableId="2BA71F2E" w16cex:dateUtc="2025-04-13T22:44:00Z"/>
  <w16cex:commentExtensible w16cex:durableId="2BA72045" w16cex:dateUtc="2025-04-13T22:48:00Z"/>
  <w16cex:commentExtensible w16cex:durableId="2BA72090" w16cex:dateUtc="2025-04-13T22:50:00Z"/>
  <w16cex:commentExtensible w16cex:durableId="2BA7209D" w16cex:dateUtc="2025-04-13T22:50:00Z"/>
  <w16cex:commentExtensible w16cex:durableId="2BA720A9" w16cex:dateUtc="2025-04-13T22:50:00Z"/>
  <w16cex:commentExtensible w16cex:durableId="2BA720B8" w16cex:dateUtc="2025-04-13T22:50:00Z"/>
  <w16cex:commentExtensible w16cex:durableId="2BA720BF" w16cex:dateUtc="2025-04-13T22:50:00Z"/>
  <w16cex:commentExtensible w16cex:durableId="2BA72209" w16cex:dateUtc="2025-04-13T22:56:00Z"/>
  <w16cex:commentExtensible w16cex:durableId="2BA723C4" w16cex:dateUtc="2025-04-13T23:03:00Z"/>
  <w16cex:commentExtensible w16cex:durableId="2BA723D6" w16cex:dateUtc="2025-04-13T23:04:00Z"/>
  <w16cex:commentExtensible w16cex:durableId="2BA7247A" w16cex:dateUtc="2025-04-13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A3E64" w16cid:durableId="2BA66073"/>
  <w16cid:commentId w16cid:paraId="1CE540BE" w16cid:durableId="2BA65F29"/>
  <w16cid:commentId w16cid:paraId="4B3C881E" w16cid:durableId="2BA660C3"/>
  <w16cid:commentId w16cid:paraId="0B77A7EA" w16cid:durableId="2BA65F63"/>
  <w16cid:commentId w16cid:paraId="132DF80A" w16cid:durableId="2BA66244"/>
  <w16cid:commentId w16cid:paraId="4DC20017" w16cid:durableId="2BA663D1"/>
  <w16cid:commentId w16cid:paraId="752F74E1" w16cid:durableId="2BA6633A"/>
  <w16cid:commentId w16cid:paraId="3EFE5D4C" w16cid:durableId="2BA66190"/>
  <w16cid:commentId w16cid:paraId="6BFF1CD0" w16cid:durableId="2BA66573"/>
  <w16cid:commentId w16cid:paraId="6E62C100" w16cid:durableId="2BA66723"/>
  <w16cid:commentId w16cid:paraId="1D57F416" w16cid:durableId="2BA66969"/>
  <w16cid:commentId w16cid:paraId="5EDF17A2" w16cid:durableId="2BA71D3C"/>
  <w16cid:commentId w16cid:paraId="6453A5D3" w16cid:durableId="2BA71D2D"/>
  <w16cid:commentId w16cid:paraId="3828704E" w16cid:durableId="2BA71E02"/>
  <w16cid:commentId w16cid:paraId="44C75D9B" w16cid:durableId="2BA71F2E"/>
  <w16cid:commentId w16cid:paraId="02C9C6C6" w16cid:durableId="2BA72045"/>
  <w16cid:commentId w16cid:paraId="55F706FE" w16cid:durableId="2BA72090"/>
  <w16cid:commentId w16cid:paraId="4C275945" w16cid:durableId="2BA7209D"/>
  <w16cid:commentId w16cid:paraId="076D74CB" w16cid:durableId="2BA720A9"/>
  <w16cid:commentId w16cid:paraId="74C72BC0" w16cid:durableId="2BA720B8"/>
  <w16cid:commentId w16cid:paraId="0E17DA50" w16cid:durableId="2BA720BF"/>
  <w16cid:commentId w16cid:paraId="324BB0EE" w16cid:durableId="2BA72209"/>
  <w16cid:commentId w16cid:paraId="55A7DBF4" w16cid:durableId="2BA723C4"/>
  <w16cid:commentId w16cid:paraId="5E7AC0BC" w16cid:durableId="2BA723D6"/>
  <w16cid:commentId w16cid:paraId="6E7C7C19" w16cid:durableId="2BA724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DE3C" w14:textId="77777777" w:rsidR="006960CD" w:rsidRDefault="006960CD" w:rsidP="004C67F8">
      <w:r>
        <w:separator/>
      </w:r>
    </w:p>
  </w:endnote>
  <w:endnote w:type="continuationSeparator" w:id="0">
    <w:p w14:paraId="65805501" w14:textId="77777777" w:rsidR="006960CD" w:rsidRDefault="006960CD" w:rsidP="004C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3F34" w14:textId="77777777" w:rsidR="00F17282" w:rsidRDefault="00F17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06B5" w14:textId="77777777" w:rsidR="00D16155" w:rsidRDefault="00D16155" w:rsidP="005E78A8">
    <w:pPr>
      <w:pStyle w:val="Footer"/>
    </w:pPr>
  </w:p>
  <w:p w14:paraId="18B62B6B" w14:textId="77777777" w:rsidR="00D16155" w:rsidRDefault="00D16155" w:rsidP="005E7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A057" w14:textId="46F602CE" w:rsidR="00D16155" w:rsidRPr="00F17282" w:rsidRDefault="00D16155" w:rsidP="00F172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12D8" w14:textId="77777777" w:rsidR="00D16155" w:rsidRPr="00C37E61" w:rsidRDefault="00D16155" w:rsidP="005E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7735" w14:textId="77777777" w:rsidR="006960CD" w:rsidRDefault="006960CD" w:rsidP="004C67F8">
      <w:r>
        <w:separator/>
      </w:r>
    </w:p>
  </w:footnote>
  <w:footnote w:type="continuationSeparator" w:id="0">
    <w:p w14:paraId="13829882" w14:textId="77777777" w:rsidR="006960CD" w:rsidRDefault="006960CD" w:rsidP="004C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A4E8" w14:textId="6B579AA2" w:rsidR="00F17282" w:rsidRDefault="00000000">
    <w:pPr>
      <w:pStyle w:val="Header"/>
    </w:pPr>
    <w:r>
      <w:rPr>
        <w:noProof/>
      </w:rPr>
      <w:pict w14:anchorId="2479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EA82" w14:textId="343A5FFB" w:rsidR="00F17282" w:rsidRDefault="00000000">
    <w:pPr>
      <w:pStyle w:val="Header"/>
    </w:pPr>
    <w:r>
      <w:rPr>
        <w:noProof/>
      </w:rPr>
      <w:pict w14:anchorId="392DF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F3A4" w14:textId="08966D5B" w:rsidR="00D16155" w:rsidRPr="00296529" w:rsidRDefault="00000000" w:rsidP="005E78A8">
    <w:pPr>
      <w:ind w:left="2160"/>
      <w:jc w:val="center"/>
      <w:rPr>
        <w:rFonts w:ascii="Times New Roman" w:eastAsia="Calibri" w:hAnsi="Times New Roman"/>
        <w:i/>
        <w:sz w:val="18"/>
        <w:szCs w:val="22"/>
      </w:rPr>
    </w:pPr>
    <w:r>
      <w:rPr>
        <w:noProof/>
      </w:rPr>
      <w:pict w14:anchorId="3C078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26BBEA" w14:textId="77777777" w:rsidR="00D16155" w:rsidRPr="00296529" w:rsidRDefault="00D16155" w:rsidP="005E78A8">
    <w:pPr>
      <w:ind w:left="4320"/>
      <w:rPr>
        <w:rFonts w:ascii="Times New Roman" w:eastAsia="Calibri" w:hAnsi="Times New Roman"/>
        <w:i/>
        <w:sz w:val="18"/>
        <w:szCs w:val="22"/>
      </w:rPr>
    </w:pPr>
    <w:r>
      <w:rPr>
        <w:rFonts w:ascii="Times New Roman" w:eastAsia="Calibri" w:hAnsi="Times New Roman"/>
        <w:i/>
        <w:sz w:val="18"/>
        <w:szCs w:val="22"/>
      </w:rPr>
      <w:t>.</w:t>
    </w:r>
  </w:p>
  <w:p w14:paraId="6803B19C" w14:textId="77777777" w:rsidR="00D16155" w:rsidRPr="00296529" w:rsidRDefault="00D16155" w:rsidP="005E78A8">
    <w:pPr>
      <w:jc w:val="center"/>
      <w:rPr>
        <w:rFonts w:ascii="Times New Roman" w:eastAsia="Calibri" w:hAnsi="Times New Roman"/>
        <w:i/>
        <w:sz w:val="18"/>
        <w:szCs w:val="22"/>
      </w:rPr>
    </w:pPr>
    <w:r>
      <w:rPr>
        <w:rFonts w:ascii="Times New Roman" w:eastAsia="Calibri" w:hAnsi="Times New Roman"/>
        <w:i/>
        <w:sz w:val="18"/>
        <w:szCs w:val="22"/>
      </w:rPr>
      <w:t>.</w:t>
    </w:r>
  </w:p>
  <w:p w14:paraId="70C190F3" w14:textId="77777777" w:rsidR="00D16155" w:rsidRPr="00296529" w:rsidRDefault="00D16155" w:rsidP="005E78A8">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CE2ADF7" w14:textId="77777777" w:rsidR="00D16155" w:rsidRDefault="00D16155" w:rsidP="005E78A8">
    <w:pPr>
      <w:jc w:val="center"/>
      <w:rPr>
        <w:rFonts w:ascii="Times New Roman" w:eastAsia="Calibri" w:hAnsi="Times New Roman"/>
        <w:i/>
        <w:sz w:val="18"/>
        <w:szCs w:val="22"/>
      </w:rPr>
    </w:pPr>
  </w:p>
  <w:p w14:paraId="2F38C7F4" w14:textId="77777777" w:rsidR="00D16155" w:rsidRDefault="00D16155" w:rsidP="005E78A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5BB2B5" w14:textId="77777777" w:rsidR="00D16155" w:rsidRDefault="00D161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69FE" w14:textId="4FF31177" w:rsidR="00F17282" w:rsidRDefault="00000000">
    <w:pPr>
      <w:pStyle w:val="Header"/>
    </w:pPr>
    <w:r>
      <w:rPr>
        <w:noProof/>
      </w:rPr>
      <w:pict w14:anchorId="3B01D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D9F7" w14:textId="27E99B64" w:rsidR="00F17282" w:rsidRDefault="00000000">
    <w:pPr>
      <w:pStyle w:val="Header"/>
    </w:pPr>
    <w:r>
      <w:rPr>
        <w:noProof/>
      </w:rPr>
      <w:pict w14:anchorId="68E80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BFB4" w14:textId="068D277C" w:rsidR="00F17282" w:rsidRDefault="00000000">
    <w:pPr>
      <w:pStyle w:val="Header"/>
    </w:pPr>
    <w:r>
      <w:rPr>
        <w:noProof/>
      </w:rPr>
      <w:pict w14:anchorId="1912E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2304"/>
    <w:multiLevelType w:val="hybridMultilevel"/>
    <w:tmpl w:val="3F5C2DD2"/>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E4F4EACC">
      <w:numFmt w:val="bullet"/>
      <w:lvlText w:val=""/>
      <w:lvlJc w:val="left"/>
      <w:pPr>
        <w:ind w:left="2340" w:hanging="360"/>
      </w:pPr>
      <w:rPr>
        <w:rFonts w:ascii="Symbol" w:eastAsia="Times New Roman" w:hAnsi="Symbol"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 w15:restartNumberingAfterBreak="0">
    <w:nsid w:val="7B8D2631"/>
    <w:multiLevelType w:val="multilevel"/>
    <w:tmpl w:val="B89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823440">
    <w:abstractNumId w:val="1"/>
  </w:num>
  <w:num w:numId="2" w16cid:durableId="223373191">
    <w:abstractNumId w:val="2"/>
  </w:num>
  <w:num w:numId="3" w16cid:durableId="13890366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hyu">
    <w15:presenceInfo w15:providerId="None" w15:userId="Wah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BA"/>
    <w:rsid w:val="000204AF"/>
    <w:rsid w:val="000361A1"/>
    <w:rsid w:val="00055957"/>
    <w:rsid w:val="00092019"/>
    <w:rsid w:val="000A5F0B"/>
    <w:rsid w:val="000B2605"/>
    <w:rsid w:val="000B4887"/>
    <w:rsid w:val="000C200B"/>
    <w:rsid w:val="000E0521"/>
    <w:rsid w:val="00111097"/>
    <w:rsid w:val="00144875"/>
    <w:rsid w:val="001A245A"/>
    <w:rsid w:val="00210ADF"/>
    <w:rsid w:val="00274B3F"/>
    <w:rsid w:val="0028005F"/>
    <w:rsid w:val="002B0ABA"/>
    <w:rsid w:val="003319D1"/>
    <w:rsid w:val="003447AF"/>
    <w:rsid w:val="003937F2"/>
    <w:rsid w:val="003B665F"/>
    <w:rsid w:val="003C2D44"/>
    <w:rsid w:val="003D2E02"/>
    <w:rsid w:val="003F39BF"/>
    <w:rsid w:val="00420B92"/>
    <w:rsid w:val="00440A8D"/>
    <w:rsid w:val="00462160"/>
    <w:rsid w:val="00464E0B"/>
    <w:rsid w:val="004C67F8"/>
    <w:rsid w:val="00507A45"/>
    <w:rsid w:val="00512B59"/>
    <w:rsid w:val="00525162"/>
    <w:rsid w:val="0056577D"/>
    <w:rsid w:val="0059315B"/>
    <w:rsid w:val="005C02C7"/>
    <w:rsid w:val="005C2F48"/>
    <w:rsid w:val="005E78A8"/>
    <w:rsid w:val="00623B83"/>
    <w:rsid w:val="00631827"/>
    <w:rsid w:val="00646A31"/>
    <w:rsid w:val="006960CD"/>
    <w:rsid w:val="006F58B4"/>
    <w:rsid w:val="007304BD"/>
    <w:rsid w:val="00734211"/>
    <w:rsid w:val="0078297A"/>
    <w:rsid w:val="00783C28"/>
    <w:rsid w:val="007845D1"/>
    <w:rsid w:val="00793F97"/>
    <w:rsid w:val="007D71AC"/>
    <w:rsid w:val="008A5463"/>
    <w:rsid w:val="008C3849"/>
    <w:rsid w:val="008D5083"/>
    <w:rsid w:val="0092170E"/>
    <w:rsid w:val="0092635A"/>
    <w:rsid w:val="00936633"/>
    <w:rsid w:val="00973854"/>
    <w:rsid w:val="00975B49"/>
    <w:rsid w:val="009A4501"/>
    <w:rsid w:val="009C5D2B"/>
    <w:rsid w:val="00A827B3"/>
    <w:rsid w:val="00AE4BCB"/>
    <w:rsid w:val="00AE6EB9"/>
    <w:rsid w:val="00AF031C"/>
    <w:rsid w:val="00B35C37"/>
    <w:rsid w:val="00B421A9"/>
    <w:rsid w:val="00B93A48"/>
    <w:rsid w:val="00BA1C5E"/>
    <w:rsid w:val="00C14D02"/>
    <w:rsid w:val="00C31793"/>
    <w:rsid w:val="00C47347"/>
    <w:rsid w:val="00C70C74"/>
    <w:rsid w:val="00C70E88"/>
    <w:rsid w:val="00CB4406"/>
    <w:rsid w:val="00CF618C"/>
    <w:rsid w:val="00D1211E"/>
    <w:rsid w:val="00D16155"/>
    <w:rsid w:val="00D45462"/>
    <w:rsid w:val="00DF165C"/>
    <w:rsid w:val="00E122D7"/>
    <w:rsid w:val="00E333EB"/>
    <w:rsid w:val="00EF3A4B"/>
    <w:rsid w:val="00F007AB"/>
    <w:rsid w:val="00F04178"/>
    <w:rsid w:val="00F0609F"/>
    <w:rsid w:val="00F17282"/>
    <w:rsid w:val="00F3384E"/>
    <w:rsid w:val="00F40397"/>
    <w:rsid w:val="00F479E5"/>
    <w:rsid w:val="00F5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019E9"/>
  <w15:docId w15:val="{4A36B00C-49FF-41B6-B23A-8D9F1C17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BA"/>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B0ABA"/>
    <w:pPr>
      <w:spacing w:line="280" w:lineRule="exact"/>
      <w:jc w:val="right"/>
    </w:pPr>
    <w:rPr>
      <w:b/>
      <w:sz w:val="24"/>
    </w:rPr>
  </w:style>
  <w:style w:type="paragraph" w:customStyle="1" w:styleId="Affiliation">
    <w:name w:val="Affiliation"/>
    <w:basedOn w:val="Normal"/>
    <w:rsid w:val="002B0ABA"/>
    <w:pPr>
      <w:spacing w:after="240" w:line="240" w:lineRule="exact"/>
      <w:jc w:val="right"/>
    </w:pPr>
  </w:style>
  <w:style w:type="paragraph" w:customStyle="1" w:styleId="Body">
    <w:name w:val="Body"/>
    <w:basedOn w:val="Normal"/>
    <w:rsid w:val="002B0ABA"/>
    <w:pPr>
      <w:spacing w:after="240"/>
      <w:jc w:val="both"/>
    </w:pPr>
  </w:style>
  <w:style w:type="paragraph" w:customStyle="1" w:styleId="AbstHead">
    <w:name w:val="Abst Head"/>
    <w:basedOn w:val="Normal"/>
    <w:rsid w:val="002B0ABA"/>
    <w:pPr>
      <w:keepNext/>
      <w:spacing w:after="240"/>
    </w:pPr>
    <w:rPr>
      <w:b/>
      <w:caps/>
      <w:sz w:val="22"/>
    </w:rPr>
  </w:style>
  <w:style w:type="paragraph" w:customStyle="1" w:styleId="ConcHead">
    <w:name w:val="Conc Head"/>
    <w:basedOn w:val="Normal"/>
    <w:rsid w:val="002B0ABA"/>
    <w:pPr>
      <w:keepNext/>
      <w:spacing w:after="240"/>
    </w:pPr>
    <w:rPr>
      <w:b/>
      <w:caps/>
      <w:sz w:val="22"/>
    </w:rPr>
  </w:style>
  <w:style w:type="paragraph" w:customStyle="1" w:styleId="AcknHead">
    <w:name w:val="Ackn Head"/>
    <w:basedOn w:val="Normal"/>
    <w:rsid w:val="002B0ABA"/>
    <w:pPr>
      <w:keepNext/>
      <w:spacing w:after="240"/>
    </w:pPr>
    <w:rPr>
      <w:b/>
      <w:caps/>
      <w:sz w:val="22"/>
    </w:rPr>
  </w:style>
  <w:style w:type="paragraph" w:customStyle="1" w:styleId="ReferHead">
    <w:name w:val="Refer Head"/>
    <w:basedOn w:val="Normal"/>
    <w:rsid w:val="002B0ABA"/>
    <w:pPr>
      <w:keepNext/>
      <w:spacing w:after="240"/>
    </w:pPr>
    <w:rPr>
      <w:b/>
      <w:caps/>
      <w:sz w:val="22"/>
    </w:rPr>
  </w:style>
  <w:style w:type="paragraph" w:customStyle="1" w:styleId="DefAcrHead">
    <w:name w:val="DefAcrHead"/>
    <w:basedOn w:val="Normal"/>
    <w:rsid w:val="002B0ABA"/>
    <w:pPr>
      <w:keepNext/>
      <w:spacing w:after="240"/>
    </w:pPr>
    <w:rPr>
      <w:b/>
      <w:caps/>
      <w:sz w:val="22"/>
    </w:rPr>
  </w:style>
  <w:style w:type="paragraph" w:customStyle="1" w:styleId="Copyright">
    <w:name w:val="Copyright"/>
    <w:basedOn w:val="Normal"/>
    <w:rsid w:val="002B0ABA"/>
    <w:pPr>
      <w:spacing w:after="960" w:line="200" w:lineRule="exact"/>
    </w:pPr>
    <w:rPr>
      <w:sz w:val="16"/>
    </w:rPr>
  </w:style>
  <w:style w:type="paragraph" w:styleId="Title">
    <w:name w:val="Title"/>
    <w:basedOn w:val="Normal"/>
    <w:link w:val="TitleChar"/>
    <w:qFormat/>
    <w:rsid w:val="002B0ABA"/>
    <w:pPr>
      <w:spacing w:after="360"/>
      <w:jc w:val="right"/>
    </w:pPr>
    <w:rPr>
      <w:b/>
      <w:kern w:val="28"/>
      <w:sz w:val="36"/>
    </w:rPr>
  </w:style>
  <w:style w:type="character" w:customStyle="1" w:styleId="TitleChar">
    <w:name w:val="Title Char"/>
    <w:basedOn w:val="DefaultParagraphFont"/>
    <w:link w:val="Title"/>
    <w:rsid w:val="002B0ABA"/>
    <w:rPr>
      <w:rFonts w:ascii="Helvetica" w:eastAsia="Times New Roman" w:hAnsi="Helvetica" w:cs="Times New Roman"/>
      <w:b/>
      <w:kern w:val="28"/>
      <w:sz w:val="36"/>
      <w:szCs w:val="20"/>
      <w:lang w:val="en-US"/>
    </w:rPr>
  </w:style>
  <w:style w:type="paragraph" w:customStyle="1" w:styleId="Reference">
    <w:name w:val="Reference"/>
    <w:basedOn w:val="Body"/>
    <w:rsid w:val="002B0ABA"/>
    <w:pPr>
      <w:numPr>
        <w:numId w:val="1"/>
      </w:numPr>
      <w:spacing w:after="0" w:line="240" w:lineRule="exact"/>
    </w:pPr>
  </w:style>
  <w:style w:type="paragraph" w:customStyle="1" w:styleId="Head1">
    <w:name w:val="Head1"/>
    <w:basedOn w:val="Normal"/>
    <w:rsid w:val="002B0ABA"/>
    <w:pPr>
      <w:keepNext/>
      <w:spacing w:after="240"/>
    </w:pPr>
    <w:rPr>
      <w:b/>
      <w:caps/>
      <w:sz w:val="22"/>
    </w:rPr>
  </w:style>
  <w:style w:type="paragraph" w:customStyle="1" w:styleId="Appendix">
    <w:name w:val="Appendix"/>
    <w:basedOn w:val="Normal"/>
    <w:rsid w:val="002B0ABA"/>
    <w:pPr>
      <w:keepNext/>
      <w:spacing w:after="240"/>
    </w:pPr>
    <w:rPr>
      <w:b/>
      <w:caps/>
      <w:sz w:val="22"/>
    </w:rPr>
  </w:style>
  <w:style w:type="paragraph" w:styleId="Footer">
    <w:name w:val="footer"/>
    <w:basedOn w:val="Normal"/>
    <w:link w:val="FooterChar"/>
    <w:rsid w:val="002B0ABA"/>
    <w:pPr>
      <w:tabs>
        <w:tab w:val="center" w:pos="4320"/>
        <w:tab w:val="right" w:pos="8640"/>
      </w:tabs>
    </w:pPr>
  </w:style>
  <w:style w:type="character" w:customStyle="1" w:styleId="FooterChar">
    <w:name w:val="Footer Char"/>
    <w:basedOn w:val="DefaultParagraphFont"/>
    <w:link w:val="Footer"/>
    <w:rsid w:val="002B0ABA"/>
    <w:rPr>
      <w:rFonts w:ascii="Helvetica" w:eastAsia="Times New Roman" w:hAnsi="Helvetica" w:cs="Times New Roman"/>
      <w:sz w:val="20"/>
      <w:szCs w:val="20"/>
      <w:lang w:val="en-US"/>
    </w:rPr>
  </w:style>
  <w:style w:type="paragraph" w:styleId="Header">
    <w:name w:val="header"/>
    <w:basedOn w:val="Normal"/>
    <w:link w:val="HeaderChar"/>
    <w:rsid w:val="002B0ABA"/>
    <w:pPr>
      <w:tabs>
        <w:tab w:val="center" w:pos="4320"/>
        <w:tab w:val="right" w:pos="8640"/>
      </w:tabs>
    </w:pPr>
  </w:style>
  <w:style w:type="character" w:customStyle="1" w:styleId="HeaderChar">
    <w:name w:val="Header Char"/>
    <w:basedOn w:val="DefaultParagraphFont"/>
    <w:link w:val="Header"/>
    <w:rsid w:val="002B0ABA"/>
    <w:rPr>
      <w:rFonts w:ascii="Helvetica" w:eastAsia="Times New Roman" w:hAnsi="Helvetica" w:cs="Times New Roman"/>
      <w:sz w:val="20"/>
      <w:szCs w:val="20"/>
      <w:lang w:val="en-US"/>
    </w:rPr>
  </w:style>
  <w:style w:type="character" w:styleId="Hyperlink">
    <w:name w:val="Hyperlink"/>
    <w:basedOn w:val="DefaultParagraphFont"/>
    <w:rsid w:val="002B0ABA"/>
    <w:rPr>
      <w:color w:val="FF0080"/>
      <w:u w:val="single"/>
    </w:rPr>
  </w:style>
  <w:style w:type="paragraph" w:styleId="BodyText3">
    <w:name w:val="Body Text 3"/>
    <w:basedOn w:val="Normal"/>
    <w:link w:val="BodyText3Char"/>
    <w:rsid w:val="002B0ABA"/>
    <w:pPr>
      <w:spacing w:after="120"/>
    </w:pPr>
    <w:rPr>
      <w:sz w:val="16"/>
      <w:szCs w:val="16"/>
    </w:rPr>
  </w:style>
  <w:style w:type="character" w:customStyle="1" w:styleId="BodyText3Char">
    <w:name w:val="Body Text 3 Char"/>
    <w:basedOn w:val="DefaultParagraphFont"/>
    <w:link w:val="BodyText3"/>
    <w:rsid w:val="002B0ABA"/>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2B0ABA"/>
  </w:style>
  <w:style w:type="paragraph" w:styleId="BalloonText">
    <w:name w:val="Balloon Text"/>
    <w:basedOn w:val="Normal"/>
    <w:link w:val="BalloonTextChar"/>
    <w:uiPriority w:val="99"/>
    <w:semiHidden/>
    <w:unhideWhenUsed/>
    <w:rsid w:val="00AF031C"/>
    <w:rPr>
      <w:rFonts w:ascii="Tahoma" w:hAnsi="Tahoma" w:cs="Tahoma"/>
      <w:sz w:val="16"/>
      <w:szCs w:val="16"/>
    </w:rPr>
  </w:style>
  <w:style w:type="character" w:customStyle="1" w:styleId="BalloonTextChar">
    <w:name w:val="Balloon Text Char"/>
    <w:basedOn w:val="DefaultParagraphFont"/>
    <w:link w:val="BalloonText"/>
    <w:uiPriority w:val="99"/>
    <w:semiHidden/>
    <w:rsid w:val="00AF031C"/>
    <w:rPr>
      <w:rFonts w:ascii="Tahoma" w:eastAsia="Times New Roman" w:hAnsi="Tahoma" w:cs="Tahoma"/>
      <w:sz w:val="16"/>
      <w:szCs w:val="16"/>
      <w:lang w:val="en-US"/>
    </w:rPr>
  </w:style>
  <w:style w:type="character" w:styleId="Emphasis">
    <w:name w:val="Emphasis"/>
    <w:basedOn w:val="DefaultParagraphFont"/>
    <w:uiPriority w:val="20"/>
    <w:qFormat/>
    <w:rsid w:val="00AF031C"/>
    <w:rPr>
      <w:i/>
      <w:iCs/>
    </w:rPr>
  </w:style>
  <w:style w:type="table" w:styleId="TableGrid">
    <w:name w:val="Table Grid"/>
    <w:basedOn w:val="TableNormal"/>
    <w:uiPriority w:val="59"/>
    <w:rsid w:val="004621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462160"/>
    <w:pPr>
      <w:widowControl w:val="0"/>
      <w:autoSpaceDE w:val="0"/>
      <w:autoSpaceDN w:val="0"/>
      <w:ind w:left="108"/>
    </w:pPr>
    <w:rPr>
      <w:rFonts w:ascii="Times New Roman" w:hAnsi="Times New Roman"/>
      <w:sz w:val="22"/>
      <w:szCs w:val="22"/>
    </w:rPr>
  </w:style>
  <w:style w:type="character" w:customStyle="1" w:styleId="relative">
    <w:name w:val="relative"/>
    <w:basedOn w:val="DefaultParagraphFont"/>
    <w:rsid w:val="007D71AC"/>
  </w:style>
  <w:style w:type="paragraph" w:styleId="NormalWeb">
    <w:name w:val="Normal (Web)"/>
    <w:basedOn w:val="Normal"/>
    <w:uiPriority w:val="99"/>
    <w:semiHidden/>
    <w:unhideWhenUsed/>
    <w:rsid w:val="001A245A"/>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73854"/>
    <w:rPr>
      <w:b/>
      <w:bCs/>
    </w:rPr>
  </w:style>
  <w:style w:type="paragraph" w:styleId="ListParagraph">
    <w:name w:val="List Paragraph"/>
    <w:basedOn w:val="Normal"/>
    <w:uiPriority w:val="34"/>
    <w:qFormat/>
    <w:rsid w:val="00A827B3"/>
    <w:pPr>
      <w:spacing w:after="200" w:line="276" w:lineRule="auto"/>
      <w:ind w:left="720"/>
      <w:contextualSpacing/>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507A45"/>
    <w:rPr>
      <w:color w:val="605E5C"/>
      <w:shd w:val="clear" w:color="auto" w:fill="E1DFDD"/>
    </w:rPr>
  </w:style>
  <w:style w:type="character" w:styleId="CommentReference">
    <w:name w:val="annotation reference"/>
    <w:basedOn w:val="DefaultParagraphFont"/>
    <w:uiPriority w:val="99"/>
    <w:semiHidden/>
    <w:unhideWhenUsed/>
    <w:rsid w:val="00631827"/>
    <w:rPr>
      <w:sz w:val="16"/>
      <w:szCs w:val="16"/>
    </w:rPr>
  </w:style>
  <w:style w:type="paragraph" w:styleId="CommentText">
    <w:name w:val="annotation text"/>
    <w:basedOn w:val="Normal"/>
    <w:link w:val="CommentTextChar"/>
    <w:uiPriority w:val="99"/>
    <w:unhideWhenUsed/>
    <w:rsid w:val="00631827"/>
  </w:style>
  <w:style w:type="character" w:customStyle="1" w:styleId="CommentTextChar">
    <w:name w:val="Comment Text Char"/>
    <w:basedOn w:val="DefaultParagraphFont"/>
    <w:link w:val="CommentText"/>
    <w:uiPriority w:val="99"/>
    <w:rsid w:val="00631827"/>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1827"/>
    <w:rPr>
      <w:b/>
      <w:bCs/>
    </w:rPr>
  </w:style>
  <w:style w:type="character" w:customStyle="1" w:styleId="CommentSubjectChar">
    <w:name w:val="Comment Subject Char"/>
    <w:basedOn w:val="CommentTextChar"/>
    <w:link w:val="CommentSubject"/>
    <w:uiPriority w:val="99"/>
    <w:semiHidden/>
    <w:rsid w:val="00631827"/>
    <w:rPr>
      <w:rFonts w:ascii="Helvetica" w:eastAsia="Times New Roman" w:hAnsi="Helvet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7448">
      <w:bodyDiv w:val="1"/>
      <w:marLeft w:val="0"/>
      <w:marRight w:val="0"/>
      <w:marTop w:val="0"/>
      <w:marBottom w:val="0"/>
      <w:divBdr>
        <w:top w:val="none" w:sz="0" w:space="0" w:color="auto"/>
        <w:left w:val="none" w:sz="0" w:space="0" w:color="auto"/>
        <w:bottom w:val="none" w:sz="0" w:space="0" w:color="auto"/>
        <w:right w:val="none" w:sz="0" w:space="0" w:color="auto"/>
      </w:divBdr>
    </w:div>
    <w:div w:id="521669536">
      <w:bodyDiv w:val="1"/>
      <w:marLeft w:val="0"/>
      <w:marRight w:val="0"/>
      <w:marTop w:val="0"/>
      <w:marBottom w:val="0"/>
      <w:divBdr>
        <w:top w:val="none" w:sz="0" w:space="0" w:color="auto"/>
        <w:left w:val="none" w:sz="0" w:space="0" w:color="auto"/>
        <w:bottom w:val="none" w:sz="0" w:space="0" w:color="auto"/>
        <w:right w:val="none" w:sz="0" w:space="0" w:color="auto"/>
      </w:divBdr>
    </w:div>
    <w:div w:id="885945353">
      <w:bodyDiv w:val="1"/>
      <w:marLeft w:val="0"/>
      <w:marRight w:val="0"/>
      <w:marTop w:val="0"/>
      <w:marBottom w:val="0"/>
      <w:divBdr>
        <w:top w:val="none" w:sz="0" w:space="0" w:color="auto"/>
        <w:left w:val="none" w:sz="0" w:space="0" w:color="auto"/>
        <w:bottom w:val="none" w:sz="0" w:space="0" w:color="auto"/>
        <w:right w:val="none" w:sz="0" w:space="0" w:color="auto"/>
      </w:divBdr>
    </w:div>
    <w:div w:id="13031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imedimfon1</dc:creator>
  <cp:lastModifiedBy>Wahyu</cp:lastModifiedBy>
  <cp:revision>3</cp:revision>
  <dcterms:created xsi:type="dcterms:W3CDTF">2025-04-13T23:08:00Z</dcterms:created>
  <dcterms:modified xsi:type="dcterms:W3CDTF">2025-04-13T23:11:00Z</dcterms:modified>
</cp:coreProperties>
</file>