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BD035" w14:textId="77777777" w:rsidR="00F95402" w:rsidRDefault="00D96808">
      <w:pPr>
        <w:jc w:val="center"/>
      </w:pPr>
      <w:r>
        <w:t>Lecturers and Pre-service Teachers’ Perception on Usefulness of Gamified Learning Strategy for Teaching Science and Vocational Education in Oyo State Colleges of Education</w:t>
      </w:r>
    </w:p>
    <w:p w14:paraId="34DF3003" w14:textId="77777777" w:rsidR="00F95402" w:rsidRDefault="00F95402"/>
    <w:p w14:paraId="183856AD" w14:textId="77777777" w:rsidR="00F95402" w:rsidRDefault="00F95402">
      <w:pPr>
        <w:jc w:val="center"/>
        <w:rPr>
          <w:b/>
          <w:bCs/>
        </w:rPr>
      </w:pPr>
    </w:p>
    <w:p w14:paraId="49E1A883" w14:textId="77777777" w:rsidR="00F95402" w:rsidRDefault="00D96808">
      <w:pPr>
        <w:rPr>
          <w:b/>
          <w:bCs/>
        </w:rPr>
      </w:pPr>
      <w:bookmarkStart w:id="0" w:name="_GoBack"/>
      <w:bookmarkEnd w:id="0"/>
      <w:r>
        <w:rPr>
          <w:b/>
          <w:bCs/>
        </w:rPr>
        <w:t>Abstract</w:t>
      </w:r>
    </w:p>
    <w:p w14:paraId="710A96C2" w14:textId="77777777" w:rsidR="00F95402" w:rsidRDefault="00D96808">
      <w:pPr>
        <w:jc w:val="both"/>
        <w:rPr>
          <w:i/>
        </w:rPr>
      </w:pPr>
      <w:r>
        <w:rPr>
          <w:i/>
        </w:rPr>
        <w:t>This paper explores the perceived usefulness of gamified learning strategies in the context of teaching science and vocational education. Through a mixed-</w:t>
      </w:r>
      <w:r>
        <w:rPr>
          <w:i/>
        </w:rPr>
        <w:t>methods approach, the research examines how gamification impacts students' engagement, motivation, and learning outcomes. The study draws on existing literature and incorporates primary data collected from Lecturers and Pre-service Teachers across Colleges</w:t>
      </w:r>
      <w:r>
        <w:rPr>
          <w:i/>
        </w:rPr>
        <w:t xml:space="preserve"> of Education in Oyo State. Participants included 200 Pre-service Teachers and 20 Lecturers implementing gamified strategies in their curricula. Three major instruments validated by research experts were used for the study namely: Rating scale, Gamificatio</w:t>
      </w:r>
      <w:r>
        <w:rPr>
          <w:i/>
        </w:rPr>
        <w:t xml:space="preserve">n learning package and Questionnaire items on gamified instructional package. In order to collect data for the study, the researchers and 10 research assistants administered the instruments on the concerned participants. The research question was answered </w:t>
      </w:r>
      <w:r>
        <w:rPr>
          <w:i/>
        </w:rPr>
        <w:t>using descriptive statistical tools of mean and standard while two hypotheses were tested using inferential statistics of T-test and at 0.05 alpha level.  Findings indicated a positive perception of gamification in enhancing educational experiences and imp</w:t>
      </w:r>
      <w:r>
        <w:rPr>
          <w:i/>
        </w:rPr>
        <w:t>roving knowledge retention, with implications for curriculum design. Recommendations were made amongst others that gamification teaching strategies should be made popular for teaching science and vocational education, government and stakeholders should pro</w:t>
      </w:r>
      <w:r>
        <w:rPr>
          <w:i/>
        </w:rPr>
        <w:t>vide enabling environment for the application of gamification in the teaching of science and vocational education.</w:t>
      </w:r>
    </w:p>
    <w:p w14:paraId="3E468344" w14:textId="77777777" w:rsidR="00F95402" w:rsidRDefault="00F95402"/>
    <w:p w14:paraId="3226AC09" w14:textId="77777777" w:rsidR="00F95402" w:rsidRDefault="00D96808">
      <w:pPr>
        <w:rPr>
          <w:b/>
          <w:bCs/>
        </w:rPr>
      </w:pPr>
      <w:r>
        <w:rPr>
          <w:b/>
          <w:bCs/>
        </w:rPr>
        <w:t xml:space="preserve">Key words: </w:t>
      </w:r>
      <w:r>
        <w:t xml:space="preserve">Gamification, Science and Vocational Education </w:t>
      </w:r>
    </w:p>
    <w:p w14:paraId="13235A78" w14:textId="77777777" w:rsidR="00F95402" w:rsidRDefault="00F95402">
      <w:pPr>
        <w:rPr>
          <w:b/>
          <w:bCs/>
        </w:rPr>
      </w:pPr>
    </w:p>
    <w:p w14:paraId="4E5262F1" w14:textId="77777777" w:rsidR="00F95402" w:rsidRDefault="00D96808">
      <w:pPr>
        <w:rPr>
          <w:rFonts w:ascii="Times New Roman" w:hAnsi="Times New Roman"/>
          <w:b/>
          <w:bCs/>
          <w:sz w:val="24"/>
          <w:szCs w:val="24"/>
        </w:rPr>
      </w:pPr>
      <w:r>
        <w:rPr>
          <w:rFonts w:ascii="Times New Roman" w:hAnsi="Times New Roman"/>
          <w:b/>
          <w:bCs/>
          <w:sz w:val="24"/>
          <w:szCs w:val="24"/>
        </w:rPr>
        <w:t>Introduction</w:t>
      </w:r>
    </w:p>
    <w:p w14:paraId="49AA9DFA"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Education and teaching are two inseparable concepts because one can not talk about educating the children without looking at the concept of teaching. The importance of teaching in education makes teaching methodologies a matter of concern for teachers and </w:t>
      </w:r>
      <w:r>
        <w:rPr>
          <w:rFonts w:ascii="Times New Roman" w:hAnsi="Times New Roman"/>
          <w:sz w:val="24"/>
          <w:szCs w:val="24"/>
        </w:rPr>
        <w:t>educators alike. The present influence of technology in the world has shifted the teaching methods being used by teachers to a modern approach that demands the integration of technology into the teaching and learning process. This integration of technology</w:t>
      </w:r>
      <w:r>
        <w:rPr>
          <w:rFonts w:ascii="Times New Roman" w:hAnsi="Times New Roman"/>
          <w:sz w:val="24"/>
          <w:szCs w:val="24"/>
        </w:rPr>
        <w:t xml:space="preserve"> into the teaching and learning process has shifted </w:t>
      </w:r>
      <w:r>
        <w:rPr>
          <w:rFonts w:ascii="Times New Roman" w:hAnsi="Times New Roman"/>
          <w:sz w:val="24"/>
          <w:szCs w:val="24"/>
        </w:rPr>
        <w:lastRenderedPageBreak/>
        <w:t>pedagogical practices towards more interactive methods. One of these interactive methods is gamification. Gamification according to  Deterding, Dixon, Khaled and Nacke (2011) was defined as the applicatio</w:t>
      </w:r>
      <w:r>
        <w:rPr>
          <w:rFonts w:ascii="Times New Roman" w:hAnsi="Times New Roman"/>
          <w:sz w:val="24"/>
          <w:szCs w:val="24"/>
        </w:rPr>
        <w:t>n of game-design elements in non-game contexts. These non-game contexts could be finance, records keeping, security, education etc. but in the context of this study, it is education and teaching. No wonder Guerrero-Quiñonez, Quiñónez and Barrera-Proaño (20</w:t>
      </w:r>
      <w:r>
        <w:rPr>
          <w:rFonts w:ascii="Times New Roman" w:hAnsi="Times New Roman"/>
          <w:sz w:val="24"/>
          <w:szCs w:val="24"/>
        </w:rPr>
        <w:t>23) opined that gamification refers to the application and integration of game elements and principles in the educational context. It includes the application of challenges, rewards, competitions, and immediate feedback to motivate students and successfull</w:t>
      </w:r>
      <w:r>
        <w:rPr>
          <w:rFonts w:ascii="Times New Roman" w:hAnsi="Times New Roman"/>
          <w:sz w:val="24"/>
          <w:szCs w:val="24"/>
        </w:rPr>
        <w:t xml:space="preserve">y encourage their engagement in learning. Johnson, Johnson and Smith (2016) opined that gamification has emerged as a powerful strategy to enhance learning experiences, particularly in science and vocational education. </w:t>
      </w:r>
    </w:p>
    <w:p w14:paraId="317B6546"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Jira, Mutita, Sasanun, Nualsri and Prachyanun (2022) conceptualized gamification as the process of assisting learners to achieve learning objectives through play in line with  the game’s rules and then using the game’s results to summarize important learni</w:t>
      </w:r>
      <w:r>
        <w:rPr>
          <w:rFonts w:ascii="Times New Roman" w:hAnsi="Times New Roman"/>
          <w:sz w:val="24"/>
          <w:szCs w:val="24"/>
        </w:rPr>
        <w:t>ng lessons.  This process is capable of turning learners into knowledgeable persons because they are the players themselves. According to Poondej and Lerdpornkulrat (2016), gamification helps in the creation of entertaining learning environment, motivating</w:t>
      </w:r>
      <w:r>
        <w:rPr>
          <w:rFonts w:ascii="Times New Roman" w:hAnsi="Times New Roman"/>
          <w:sz w:val="24"/>
          <w:szCs w:val="24"/>
        </w:rPr>
        <w:t xml:space="preserve"> learners, and increasing learners' engagements by applying principles of game design and mechanism to non-gaming contexts. Similarly, Lerdpornkulrat and Poondej (2020) opined that gamification provides direct experience and enhance behaviours of examining</w:t>
      </w:r>
      <w:r>
        <w:rPr>
          <w:rFonts w:ascii="Times New Roman" w:hAnsi="Times New Roman"/>
          <w:sz w:val="24"/>
          <w:szCs w:val="24"/>
        </w:rPr>
        <w:t>, improving, and finding solutions to problems of the learners by themselves. Coroborating the earlier claims of Poondej et al, Sailer and Sailer (2021) reported that gamification proved to have a positive effect on authentic motivation and satisfaction on</w:t>
      </w:r>
      <w:r>
        <w:rPr>
          <w:rFonts w:ascii="Times New Roman" w:hAnsi="Times New Roman"/>
          <w:sz w:val="24"/>
          <w:szCs w:val="24"/>
        </w:rPr>
        <w:t xml:space="preserve"> needs relating to social relationship. This social relationship is needed in collaborative research </w:t>
      </w:r>
      <w:r>
        <w:rPr>
          <w:rFonts w:ascii="Times New Roman" w:hAnsi="Times New Roman"/>
          <w:sz w:val="24"/>
          <w:szCs w:val="24"/>
        </w:rPr>
        <w:lastRenderedPageBreak/>
        <w:t>in Science and Vocational Education and hence, Duggal, Gupta and Singh (2021) maintained that this teaching strategy gives learners an opportunity to explo</w:t>
      </w:r>
      <w:r>
        <w:rPr>
          <w:rFonts w:ascii="Times New Roman" w:hAnsi="Times New Roman"/>
          <w:sz w:val="24"/>
          <w:szCs w:val="24"/>
        </w:rPr>
        <w:t xml:space="preserve">re ways of learning through challenging activities such as competition, reward, advancement, application, and daily analysis which plays an important role in academic achievement and enhance problem solving skills in the learners. </w:t>
      </w:r>
    </w:p>
    <w:p w14:paraId="65E90605"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This problem solving ski</w:t>
      </w:r>
      <w:r>
        <w:rPr>
          <w:rFonts w:ascii="Times New Roman" w:hAnsi="Times New Roman"/>
          <w:sz w:val="24"/>
          <w:szCs w:val="24"/>
        </w:rPr>
        <w:t>lls is one of the bedrocks of Vocational Education particularly Business Education (Adeagbo &amp; Oluwafemi, 2018). Bernik, Radoševi and Bubaš (2017) asserted that gamification involves pursuing a routine practice and incorporating various gaming mechanics, su</w:t>
      </w:r>
      <w:r>
        <w:rPr>
          <w:rFonts w:ascii="Times New Roman" w:hAnsi="Times New Roman"/>
          <w:sz w:val="24"/>
          <w:szCs w:val="24"/>
        </w:rPr>
        <w:t>ch as awarding experience badges, points, and the levels of the completion practices and leaderboards. It should be noted that one major area of human endeavours that has put gamification techniques into proper use has been the education sector. Gamified l</w:t>
      </w:r>
      <w:r>
        <w:rPr>
          <w:rFonts w:ascii="Times New Roman" w:hAnsi="Times New Roman"/>
          <w:sz w:val="24"/>
          <w:szCs w:val="24"/>
        </w:rPr>
        <w:t>earning in the education sector has to do with the utilization of different gaming elements and gaming experiences during learning processes (Sailer, Hense, Mayr &amp; Mandi, 2017; Alshammari, 2020). This form of learning has been developed to enhance learning</w:t>
      </w:r>
      <w:r>
        <w:rPr>
          <w:rFonts w:ascii="Times New Roman" w:hAnsi="Times New Roman"/>
          <w:sz w:val="24"/>
          <w:szCs w:val="24"/>
        </w:rPr>
        <w:t xml:space="preserve"> in several ways as well as subject areas. Since no education system can develop than the quality of its teachers and the fact still remains that teaching cannot take place without students, it suggests that there is the need to look at perceived usefulnes</w:t>
      </w:r>
      <w:r>
        <w:rPr>
          <w:rFonts w:ascii="Times New Roman" w:hAnsi="Times New Roman"/>
          <w:sz w:val="24"/>
          <w:szCs w:val="24"/>
        </w:rPr>
        <w:t>s of gamified learning strategy by Lecturers and Pre-service Teachers.</w:t>
      </w:r>
    </w:p>
    <w:p w14:paraId="3798D49E"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Perceived usefulness refers to the degree to which users believe that the use of a system will improve their performance. Researchers in this field of educational technology, Khaleel, A</w:t>
      </w:r>
      <w:r>
        <w:rPr>
          <w:rFonts w:ascii="Times New Roman" w:hAnsi="Times New Roman"/>
          <w:sz w:val="24"/>
          <w:szCs w:val="24"/>
        </w:rPr>
        <w:t xml:space="preserve">shaari and Tengku Wook, (2020) conducted their research on the impact of gamification on students learning engagement and reported that this strategy improved students learning engagement and academic achievement as there exist a significant difference in </w:t>
      </w:r>
      <w:r>
        <w:rPr>
          <w:rFonts w:ascii="Times New Roman" w:hAnsi="Times New Roman"/>
          <w:sz w:val="24"/>
          <w:szCs w:val="24"/>
        </w:rPr>
        <w:t xml:space="preserve">the mean achievement scores of students taught using the strategy compared with those taught using traditional method and the </w:t>
      </w:r>
      <w:r>
        <w:rPr>
          <w:rFonts w:ascii="Times New Roman" w:hAnsi="Times New Roman"/>
          <w:sz w:val="24"/>
          <w:szCs w:val="24"/>
        </w:rPr>
        <w:lastRenderedPageBreak/>
        <w:t>difference is in favour of gamified learning strategy. Similarly, Aguilos and Fuchs (2022) conducted a research on the perceived u</w:t>
      </w:r>
      <w:r>
        <w:rPr>
          <w:rFonts w:ascii="Times New Roman" w:hAnsi="Times New Roman"/>
          <w:sz w:val="24"/>
          <w:szCs w:val="24"/>
        </w:rPr>
        <w:t>sefulness of gamified learning as perceived by students. They reported that there existed both positive and negative perceptions regarding the self-learning course but students were very much interested in learning as they found it interesting and the cont</w:t>
      </w:r>
      <w:r>
        <w:rPr>
          <w:rFonts w:ascii="Times New Roman" w:hAnsi="Times New Roman"/>
          <w:sz w:val="24"/>
          <w:szCs w:val="24"/>
        </w:rPr>
        <w:t>ent itself was not overwhelming with information. Similarly, students find the content too easy and not  too challenging and  expressed a very positive attitude toward the delivery of each lesson. They maintained that the lessons were presented well and us</w:t>
      </w:r>
      <w:r>
        <w:rPr>
          <w:rFonts w:ascii="Times New Roman" w:hAnsi="Times New Roman"/>
          <w:sz w:val="24"/>
          <w:szCs w:val="24"/>
        </w:rPr>
        <w:t>ed a mixture of audio and visual presentation, compared to traditional text-based content.  This implies that the strategy is capable of stimulating self-learning and learning motivation among the students. It should be noted that the core elements of gami</w:t>
      </w:r>
      <w:r>
        <w:rPr>
          <w:rFonts w:ascii="Times New Roman" w:hAnsi="Times New Roman"/>
          <w:sz w:val="24"/>
          <w:szCs w:val="24"/>
        </w:rPr>
        <w:t>fication such as points, badges, leaderboards are utilized to create a competitive yet collaborative learning environment in science and vocational education.</w:t>
      </w:r>
    </w:p>
    <w:p w14:paraId="7D219354"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Science education is a well recognised distinct field within education and it is concerned with t</w:t>
      </w:r>
      <w:r>
        <w:rPr>
          <w:rFonts w:ascii="Times New Roman" w:hAnsi="Times New Roman"/>
          <w:sz w:val="24"/>
          <w:szCs w:val="24"/>
        </w:rPr>
        <w:t>he teaching and learning of science and the discrete science disciplines. These disciplines include science education biology education, chemistry education, mathematics and computing education, physical and health education, integrated science education a</w:t>
      </w:r>
      <w:r>
        <w:rPr>
          <w:rFonts w:ascii="Times New Roman" w:hAnsi="Times New Roman"/>
          <w:sz w:val="24"/>
          <w:szCs w:val="24"/>
        </w:rPr>
        <w:t>nd physics education. Science education necessitates active engagement and practical application (National Research Council, 2012). Gamification has been linked to improved academic performance in science subjects. For instance, a study by Hou (2023) demon</w:t>
      </w:r>
      <w:r>
        <w:rPr>
          <w:rFonts w:ascii="Times New Roman" w:hAnsi="Times New Roman"/>
          <w:sz w:val="24"/>
          <w:szCs w:val="24"/>
        </w:rPr>
        <w:t>strated that gamified learning activities, which incorporated cloud tools and collaborative problem-solving, led to deeper engagement and better retention of scientific knowledge. This indicates that gamified strategies can effectively enhance both underst</w:t>
      </w:r>
      <w:r>
        <w:rPr>
          <w:rFonts w:ascii="Times New Roman" w:hAnsi="Times New Roman"/>
          <w:sz w:val="24"/>
          <w:szCs w:val="24"/>
        </w:rPr>
        <w:t xml:space="preserve">anding and application of scientific principles. Many gamified strategies encourage teamwork and collaboration, which are essential in scientific inquiry. By working in </w:t>
      </w:r>
      <w:r>
        <w:rPr>
          <w:rFonts w:ascii="Times New Roman" w:hAnsi="Times New Roman"/>
          <w:sz w:val="24"/>
          <w:szCs w:val="24"/>
        </w:rPr>
        <w:lastRenderedPageBreak/>
        <w:t>groups to solve problems or complete challenges, students develop critical thinking and</w:t>
      </w:r>
      <w:r>
        <w:rPr>
          <w:rFonts w:ascii="Times New Roman" w:hAnsi="Times New Roman"/>
          <w:sz w:val="24"/>
          <w:szCs w:val="24"/>
        </w:rPr>
        <w:t xml:space="preserve"> communication skills. This collaborative approach mirrors real-world scientific work, where teamwork is often necessary to conduct experiments and analyze data (Guerrero-Quiñonez etal, 2023)</w:t>
      </w:r>
    </w:p>
    <w:p w14:paraId="0C1DE6DE"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Vocational Education also known as Vocational Education and Trai</w:t>
      </w:r>
      <w:r>
        <w:rPr>
          <w:rFonts w:ascii="Times New Roman" w:hAnsi="Times New Roman"/>
          <w:sz w:val="24"/>
          <w:szCs w:val="24"/>
        </w:rPr>
        <w:t>ning (VET), could be regarded as a form of education that teaches and equip people with the skills and knowledge needed for a specific job. It can be taken at schools such as universities, polytechnics, mono technics, Colleges of Education, in a work-based</w:t>
      </w:r>
      <w:r>
        <w:rPr>
          <w:rFonts w:ascii="Times New Roman" w:hAnsi="Times New Roman"/>
          <w:sz w:val="24"/>
          <w:szCs w:val="24"/>
        </w:rPr>
        <w:t xml:space="preserve"> setting, or as part of an apprenticeship. In colleges of education system, it comprises areas like Agricultural science education, Business education, Fine and Applied Arts education, Home Economics education and Technical education. Vocational education,</w:t>
      </w:r>
      <w:r>
        <w:rPr>
          <w:rFonts w:ascii="Times New Roman" w:hAnsi="Times New Roman"/>
          <w:sz w:val="24"/>
          <w:szCs w:val="24"/>
        </w:rPr>
        <w:t xml:space="preserve"> which focuses on acquisition of skills needed for specific trades, can benefit immensely from gamification by providing practical simulations and immediate feedback, fostering an experiential learning environment provided by gamification (Bergman, &amp; Sween</w:t>
      </w:r>
      <w:r>
        <w:rPr>
          <w:rFonts w:ascii="Times New Roman" w:hAnsi="Times New Roman"/>
          <w:sz w:val="24"/>
          <w:szCs w:val="24"/>
        </w:rPr>
        <w:t>ey, 2016).</w:t>
      </w:r>
    </w:p>
    <w:p w14:paraId="722E951B"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From the available literature, it is clear that gamification is needed in science and vocational education hence this study seeks to empirically established how science and vocational education Lecturers and Pre-service Teachers perceived its us</w:t>
      </w:r>
      <w:r>
        <w:rPr>
          <w:rFonts w:ascii="Times New Roman" w:hAnsi="Times New Roman"/>
          <w:sz w:val="24"/>
          <w:szCs w:val="24"/>
        </w:rPr>
        <w:t>efulness.</w:t>
      </w:r>
    </w:p>
    <w:p w14:paraId="001B3170" w14:textId="77777777" w:rsidR="00F95402" w:rsidRDefault="00D96808">
      <w:pPr>
        <w:rPr>
          <w:rFonts w:ascii="Times New Roman" w:hAnsi="Times New Roman"/>
          <w:sz w:val="24"/>
          <w:szCs w:val="24"/>
        </w:rPr>
      </w:pPr>
      <w:r>
        <w:rPr>
          <w:rFonts w:ascii="Times New Roman" w:hAnsi="Times New Roman"/>
          <w:b/>
          <w:bCs/>
          <w:sz w:val="24"/>
          <w:szCs w:val="24"/>
        </w:rPr>
        <w:t>Statement of the Problem</w:t>
      </w:r>
    </w:p>
    <w:p w14:paraId="2E443648" w14:textId="77777777" w:rsidR="00F95402" w:rsidRDefault="00D96808">
      <w:pPr>
        <w:spacing w:line="480" w:lineRule="auto"/>
        <w:ind w:firstLine="720"/>
        <w:jc w:val="both"/>
        <w:rPr>
          <w:rFonts w:ascii="Times New Roman" w:hAnsi="Times New Roman"/>
          <w:sz w:val="24"/>
          <w:szCs w:val="24"/>
        </w:rPr>
      </w:pPr>
      <w:r>
        <w:rPr>
          <w:rFonts w:ascii="Times New Roman" w:hAnsi="Times New Roman"/>
          <w:sz w:val="24"/>
          <w:szCs w:val="24"/>
        </w:rPr>
        <w:t>The changes in knowledge, believe, aspirations, learning culture and occupational demands in the areas of science and vocational education has necessitated the need for changes in instructional strategies. The researchers</w:t>
      </w:r>
      <w:r>
        <w:rPr>
          <w:rFonts w:ascii="Times New Roman" w:hAnsi="Times New Roman"/>
          <w:sz w:val="24"/>
          <w:szCs w:val="24"/>
        </w:rPr>
        <w:t xml:space="preserve"> have observed in the recent times that students no longer cope with conventional learning styles as they are either glued to their phones and </w:t>
      </w:r>
      <w:r>
        <w:rPr>
          <w:rFonts w:ascii="Times New Roman" w:hAnsi="Times New Roman"/>
          <w:sz w:val="24"/>
          <w:szCs w:val="24"/>
        </w:rPr>
        <w:lastRenderedPageBreak/>
        <w:t xml:space="preserve">computers communicating with their friends on social media platforms or playing games. Oladeji (2019) maintained </w:t>
      </w:r>
      <w:r>
        <w:rPr>
          <w:rFonts w:ascii="Times New Roman" w:hAnsi="Times New Roman"/>
          <w:sz w:val="24"/>
          <w:szCs w:val="24"/>
        </w:rPr>
        <w:t>that students prefer interacting with social media platforms to learning. Arising from this fact, there is the need for science and vocational education lecturers and Pre-service teachers to convert the social media platforms to learning platforms. Many re</w:t>
      </w:r>
      <w:r>
        <w:rPr>
          <w:rFonts w:ascii="Times New Roman" w:hAnsi="Times New Roman"/>
          <w:sz w:val="24"/>
          <w:szCs w:val="24"/>
        </w:rPr>
        <w:t>searchers have found out that teachers are ready to apply innovative technology like gamification in teaching but there is the need for students’ readiness. Similarly, studies conducted in foreign countries have found gamification useful for teaching and l</w:t>
      </w:r>
      <w:r>
        <w:rPr>
          <w:rFonts w:ascii="Times New Roman" w:hAnsi="Times New Roman"/>
          <w:sz w:val="24"/>
          <w:szCs w:val="24"/>
        </w:rPr>
        <w:t xml:space="preserve">earning (Poondej etal, 2016, Lerdpornkulrat, et al, 2020). Also, Boudadi and Gutiérrez-Colón (2020) claimed that empirical evidence is still very limited and more empirical studies in higher education are required to access the perceived usefulness of the </w:t>
      </w:r>
      <w:r>
        <w:rPr>
          <w:rFonts w:ascii="Times New Roman" w:hAnsi="Times New Roman"/>
          <w:sz w:val="24"/>
          <w:szCs w:val="24"/>
        </w:rPr>
        <w:t>strategy and to the best knowledge of the researchers no study has been carried out on the perceived usefulness of the strategy particularly in Nigeria, hence, the need for this study.</w:t>
      </w:r>
    </w:p>
    <w:p w14:paraId="09E34286" w14:textId="77777777" w:rsidR="00F95402" w:rsidRDefault="00D96808">
      <w:pPr>
        <w:spacing w:line="480" w:lineRule="auto"/>
        <w:jc w:val="both"/>
        <w:rPr>
          <w:rFonts w:ascii="Times New Roman" w:hAnsi="Times New Roman"/>
          <w:b/>
          <w:bCs/>
          <w:sz w:val="24"/>
          <w:szCs w:val="24"/>
        </w:rPr>
      </w:pPr>
      <w:r>
        <w:rPr>
          <w:rFonts w:ascii="Times New Roman" w:hAnsi="Times New Roman"/>
          <w:b/>
          <w:bCs/>
          <w:sz w:val="24"/>
          <w:szCs w:val="24"/>
        </w:rPr>
        <w:t xml:space="preserve"> </w:t>
      </w:r>
    </w:p>
    <w:p w14:paraId="6E7BD2C9" w14:textId="77777777" w:rsidR="00F95402" w:rsidRDefault="00F95402">
      <w:pPr>
        <w:spacing w:line="480" w:lineRule="auto"/>
        <w:jc w:val="both"/>
        <w:rPr>
          <w:rFonts w:ascii="Times New Roman" w:hAnsi="Times New Roman"/>
          <w:b/>
          <w:bCs/>
          <w:sz w:val="24"/>
          <w:szCs w:val="24"/>
        </w:rPr>
      </w:pPr>
    </w:p>
    <w:p w14:paraId="1F526D7F" w14:textId="77777777" w:rsidR="00F95402" w:rsidRDefault="00D96808">
      <w:pPr>
        <w:spacing w:line="480" w:lineRule="auto"/>
        <w:jc w:val="both"/>
        <w:rPr>
          <w:rFonts w:ascii="Times New Roman" w:hAnsi="Times New Roman"/>
          <w:b/>
          <w:bCs/>
          <w:sz w:val="24"/>
          <w:szCs w:val="24"/>
        </w:rPr>
      </w:pPr>
      <w:r>
        <w:rPr>
          <w:rFonts w:ascii="Times New Roman" w:hAnsi="Times New Roman"/>
          <w:b/>
          <w:bCs/>
          <w:sz w:val="24"/>
          <w:szCs w:val="24"/>
        </w:rPr>
        <w:t xml:space="preserve">Purpose of the Study </w:t>
      </w:r>
    </w:p>
    <w:p w14:paraId="383F5A02" w14:textId="77777777" w:rsidR="00F95402" w:rsidRDefault="00D96808">
      <w:pPr>
        <w:spacing w:line="480" w:lineRule="auto"/>
        <w:jc w:val="both"/>
        <w:rPr>
          <w:rFonts w:ascii="Times New Roman" w:hAnsi="Times New Roman"/>
          <w:b/>
          <w:bCs/>
          <w:sz w:val="24"/>
          <w:szCs w:val="24"/>
        </w:rPr>
      </w:pPr>
      <w:r>
        <w:rPr>
          <w:rFonts w:ascii="Times New Roman" w:hAnsi="Times New Roman"/>
          <w:sz w:val="24"/>
          <w:szCs w:val="24"/>
        </w:rPr>
        <w:t>The main purpose of the study is to analyse th</w:t>
      </w:r>
      <w:r>
        <w:rPr>
          <w:rFonts w:ascii="Times New Roman" w:hAnsi="Times New Roman"/>
          <w:sz w:val="24"/>
          <w:szCs w:val="24"/>
        </w:rPr>
        <w:t>e perception of Science and Vocational Education Lecturers and Pre-service teachers on the usefulness of Gamification Teaching Strategy for Instruction in science and vocational education in Oyo State Colleges of Education, Nigeria. Specifically, the study</w:t>
      </w:r>
      <w:r>
        <w:rPr>
          <w:rFonts w:ascii="Times New Roman" w:hAnsi="Times New Roman"/>
          <w:sz w:val="24"/>
          <w:szCs w:val="24"/>
        </w:rPr>
        <w:t xml:space="preserve"> investigated:</w:t>
      </w:r>
    </w:p>
    <w:p w14:paraId="716CD365" w14:textId="77777777" w:rsidR="00F95402" w:rsidRDefault="00D96808">
      <w:pPr>
        <w:rPr>
          <w:rFonts w:ascii="Times New Roman" w:hAnsi="Times New Roman"/>
          <w:sz w:val="24"/>
          <w:szCs w:val="24"/>
        </w:rPr>
      </w:pPr>
      <w:r>
        <w:rPr>
          <w:rFonts w:ascii="Times New Roman" w:hAnsi="Times New Roman"/>
          <w:sz w:val="24"/>
          <w:szCs w:val="24"/>
        </w:rPr>
        <w:t>1. The perceived usefulness of gamified learning strategy for teaching science and vocational education.</w:t>
      </w:r>
    </w:p>
    <w:p w14:paraId="76F6AD45" w14:textId="77777777" w:rsidR="00F95402" w:rsidRDefault="00D96808">
      <w:pPr>
        <w:spacing w:line="360" w:lineRule="auto"/>
        <w:jc w:val="both"/>
        <w:rPr>
          <w:rFonts w:ascii="Times New Roman" w:hAnsi="Times New Roman"/>
          <w:sz w:val="24"/>
          <w:szCs w:val="24"/>
        </w:rPr>
      </w:pPr>
      <w:r>
        <w:rPr>
          <w:rFonts w:ascii="Times New Roman" w:hAnsi="Times New Roman"/>
          <w:b/>
          <w:bCs/>
          <w:sz w:val="24"/>
          <w:szCs w:val="24"/>
        </w:rPr>
        <w:t xml:space="preserve">Research Questions </w:t>
      </w:r>
    </w:p>
    <w:p w14:paraId="70621957"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lastRenderedPageBreak/>
        <w:t>This research question guided the study:</w:t>
      </w:r>
    </w:p>
    <w:p w14:paraId="7E730062" w14:textId="77777777" w:rsidR="00F95402" w:rsidRDefault="00D96808">
      <w:pPr>
        <w:rPr>
          <w:rFonts w:ascii="Times New Roman" w:hAnsi="Times New Roman"/>
          <w:sz w:val="24"/>
          <w:szCs w:val="24"/>
        </w:rPr>
      </w:pPr>
      <w:r>
        <w:rPr>
          <w:rFonts w:ascii="Times New Roman" w:hAnsi="Times New Roman"/>
          <w:sz w:val="24"/>
          <w:szCs w:val="24"/>
        </w:rPr>
        <w:t>1. What are the perceived usefulness of gamified learning strategy for teac</w:t>
      </w:r>
      <w:r>
        <w:rPr>
          <w:rFonts w:ascii="Times New Roman" w:hAnsi="Times New Roman"/>
          <w:sz w:val="24"/>
          <w:szCs w:val="24"/>
        </w:rPr>
        <w:t>hing science and vocational education?</w:t>
      </w:r>
    </w:p>
    <w:p w14:paraId="1CE2B174" w14:textId="77777777" w:rsidR="00F95402" w:rsidRDefault="00D96808">
      <w:pPr>
        <w:spacing w:line="360" w:lineRule="auto"/>
        <w:jc w:val="both"/>
        <w:rPr>
          <w:rFonts w:ascii="Times New Roman" w:hAnsi="Times New Roman"/>
          <w:sz w:val="24"/>
          <w:szCs w:val="24"/>
        </w:rPr>
      </w:pPr>
      <w:r>
        <w:rPr>
          <w:rFonts w:ascii="Times New Roman" w:hAnsi="Times New Roman"/>
          <w:b/>
          <w:bCs/>
          <w:sz w:val="24"/>
          <w:szCs w:val="24"/>
        </w:rPr>
        <w:t xml:space="preserve"> Research Hypotheses</w:t>
      </w:r>
    </w:p>
    <w:p w14:paraId="3FBE80BD"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t>The following Research Hypotheses were tested in the study.</w:t>
      </w:r>
    </w:p>
    <w:p w14:paraId="0A5DA516"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t>H01.  There is no statistically significant difference in the mean ratings of Lecturers and Pre-service Teachers on the perceived useful</w:t>
      </w:r>
      <w:r>
        <w:rPr>
          <w:rFonts w:ascii="Times New Roman" w:hAnsi="Times New Roman"/>
          <w:sz w:val="24"/>
          <w:szCs w:val="24"/>
        </w:rPr>
        <w:t>ness of gamified learning strategy for teaching science and vocational education courses in Oyo State Colleges of Education.</w:t>
      </w:r>
    </w:p>
    <w:p w14:paraId="4592E8FA" w14:textId="77777777" w:rsidR="00F95402" w:rsidRDefault="00D96808">
      <w:pPr>
        <w:rPr>
          <w:rFonts w:ascii="Times New Roman" w:hAnsi="Times New Roman"/>
          <w:sz w:val="24"/>
          <w:szCs w:val="24"/>
        </w:rPr>
      </w:pPr>
      <w:r>
        <w:rPr>
          <w:rFonts w:ascii="Times New Roman" w:hAnsi="Times New Roman"/>
          <w:sz w:val="24"/>
          <w:szCs w:val="24"/>
        </w:rPr>
        <w:t>H02. There is no statistically significant difference in the perceived usefulness of use of gamified learning strategy for teaching</w:t>
      </w:r>
      <w:r>
        <w:rPr>
          <w:rFonts w:ascii="Times New Roman" w:hAnsi="Times New Roman"/>
          <w:sz w:val="24"/>
          <w:szCs w:val="24"/>
        </w:rPr>
        <w:t xml:space="preserve"> science and vocational education courses by Lecturers and Pre-service teachers based on gender</w:t>
      </w:r>
    </w:p>
    <w:p w14:paraId="30008A33" w14:textId="77777777" w:rsidR="00F95402" w:rsidRDefault="00D96808">
      <w:pPr>
        <w:rPr>
          <w:rFonts w:ascii="Times New Roman" w:hAnsi="Times New Roman"/>
          <w:b/>
          <w:bCs/>
          <w:sz w:val="24"/>
          <w:szCs w:val="24"/>
        </w:rPr>
      </w:pPr>
      <w:r>
        <w:rPr>
          <w:rFonts w:ascii="Times New Roman" w:hAnsi="Times New Roman"/>
          <w:b/>
          <w:bCs/>
          <w:sz w:val="24"/>
          <w:szCs w:val="24"/>
        </w:rPr>
        <w:t>Methodology</w:t>
      </w:r>
    </w:p>
    <w:p w14:paraId="1FC29607" w14:textId="77777777" w:rsidR="00F95402" w:rsidRDefault="00D96808">
      <w:pPr>
        <w:rPr>
          <w:rFonts w:ascii="Times New Roman" w:hAnsi="Times New Roman"/>
          <w:sz w:val="24"/>
          <w:szCs w:val="24"/>
        </w:rPr>
      </w:pPr>
      <w:r>
        <w:rPr>
          <w:rFonts w:ascii="Times New Roman" w:hAnsi="Times New Roman"/>
          <w:sz w:val="24"/>
          <w:szCs w:val="24"/>
        </w:rPr>
        <w:t>A mixed-methods approach was adopted, incorporating quantitative surveys and qualitative interviews with Lecturers and Pre-service Teachers in scien</w:t>
      </w:r>
      <w:r>
        <w:rPr>
          <w:rFonts w:ascii="Times New Roman" w:hAnsi="Times New Roman"/>
          <w:sz w:val="24"/>
          <w:szCs w:val="24"/>
        </w:rPr>
        <w:t>ce and vocational education programmes across colleges of education in Oyo state.</w:t>
      </w:r>
    </w:p>
    <w:p w14:paraId="070259AC" w14:textId="77777777" w:rsidR="00F95402" w:rsidRDefault="00D96808">
      <w:pPr>
        <w:rPr>
          <w:rFonts w:ascii="Times New Roman" w:hAnsi="Times New Roman"/>
          <w:sz w:val="24"/>
          <w:szCs w:val="24"/>
        </w:rPr>
      </w:pPr>
      <w:r>
        <w:rPr>
          <w:rFonts w:ascii="Times New Roman" w:hAnsi="Times New Roman"/>
          <w:sz w:val="24"/>
          <w:szCs w:val="24"/>
        </w:rPr>
        <w:t>Participants included 200 Pre-service Teachers and 20 Lecturers implementing gamified strategies in their curricula. Three major instruments validated by research experts wer</w:t>
      </w:r>
      <w:r>
        <w:rPr>
          <w:rFonts w:ascii="Times New Roman" w:hAnsi="Times New Roman"/>
          <w:sz w:val="24"/>
          <w:szCs w:val="24"/>
        </w:rPr>
        <w:t>e used for the study namely: Rating scale, Gamification learning package and Questionnaire items on gamified instructional package. In order to collect data for the study, the researchers and 10 research assistants administered the instruments on the conce</w:t>
      </w:r>
      <w:r>
        <w:rPr>
          <w:rFonts w:ascii="Times New Roman" w:hAnsi="Times New Roman"/>
          <w:sz w:val="24"/>
          <w:szCs w:val="24"/>
        </w:rPr>
        <w:t xml:space="preserve">rned participants. </w:t>
      </w:r>
    </w:p>
    <w:p w14:paraId="0036C7C5" w14:textId="77777777" w:rsidR="00F95402" w:rsidRDefault="00D96808">
      <w:pPr>
        <w:rPr>
          <w:rFonts w:ascii="Times New Roman" w:hAnsi="Times New Roman"/>
          <w:sz w:val="24"/>
          <w:szCs w:val="24"/>
        </w:rPr>
      </w:pPr>
      <w:r>
        <w:rPr>
          <w:rFonts w:ascii="Times New Roman" w:hAnsi="Times New Roman"/>
          <w:sz w:val="24"/>
          <w:szCs w:val="24"/>
        </w:rPr>
        <w:t>The research question was answered using descriptive statistical tools of mean and standard while two hypotheses were tested using inferential statistics of T-test at 0.05 alpha level. Questionnaires were distributed online, while semi-</w:t>
      </w:r>
      <w:r>
        <w:rPr>
          <w:rFonts w:ascii="Times New Roman" w:hAnsi="Times New Roman"/>
          <w:sz w:val="24"/>
          <w:szCs w:val="24"/>
        </w:rPr>
        <w:t>structured interviews were conducted to gain deeper insights into perceptions and experiences.</w:t>
      </w:r>
    </w:p>
    <w:p w14:paraId="509A9174" w14:textId="77777777" w:rsidR="00F95402" w:rsidRDefault="00D96808">
      <w:pPr>
        <w:rPr>
          <w:rFonts w:ascii="Times New Roman" w:hAnsi="Times New Roman"/>
          <w:b/>
          <w:bCs/>
          <w:sz w:val="24"/>
          <w:szCs w:val="24"/>
        </w:rPr>
      </w:pPr>
      <w:r>
        <w:rPr>
          <w:rFonts w:ascii="Times New Roman" w:hAnsi="Times New Roman"/>
          <w:b/>
          <w:bCs/>
          <w:sz w:val="24"/>
          <w:szCs w:val="24"/>
        </w:rPr>
        <w:t>Results</w:t>
      </w:r>
    </w:p>
    <w:p w14:paraId="54CAF485"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t>Research Question 1: What is the perceived usefulness of gamified learning strategy for teaching science and vocational education?</w:t>
      </w:r>
    </w:p>
    <w:p w14:paraId="09137154"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t xml:space="preserve">Table 1: Perceived </w:t>
      </w:r>
      <w:r>
        <w:rPr>
          <w:rFonts w:ascii="Times New Roman" w:hAnsi="Times New Roman"/>
          <w:sz w:val="24"/>
          <w:szCs w:val="24"/>
        </w:rPr>
        <w:t>usefulness of gamified learning strategy for teaching science and vocational education</w:t>
      </w:r>
    </w:p>
    <w:tbl>
      <w:tblPr>
        <w:tblW w:w="8727" w:type="dxa"/>
        <w:tblLook w:val="04A0" w:firstRow="1" w:lastRow="0" w:firstColumn="1" w:lastColumn="0" w:noHBand="0" w:noVBand="1"/>
      </w:tblPr>
      <w:tblGrid>
        <w:gridCol w:w="634"/>
        <w:gridCol w:w="6196"/>
        <w:gridCol w:w="961"/>
        <w:gridCol w:w="936"/>
      </w:tblGrid>
      <w:tr w:rsidR="00F95402" w14:paraId="36875E74" w14:textId="77777777">
        <w:tc>
          <w:tcPr>
            <w:tcW w:w="634" w:type="dxa"/>
            <w:tcBorders>
              <w:top w:val="single" w:sz="4" w:space="0" w:color="auto"/>
              <w:bottom w:val="single" w:sz="4" w:space="0" w:color="auto"/>
            </w:tcBorders>
            <w:shd w:val="clear" w:color="FFFFFF" w:fill="auto"/>
            <w:tcMar>
              <w:top w:w="0" w:type="dxa"/>
              <w:left w:w="108" w:type="dxa"/>
              <w:bottom w:w="0" w:type="dxa"/>
              <w:right w:w="108" w:type="dxa"/>
            </w:tcMar>
          </w:tcPr>
          <w:p w14:paraId="49EF6348"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lastRenderedPageBreak/>
              <w:t>S/N</w:t>
            </w:r>
          </w:p>
        </w:tc>
        <w:tc>
          <w:tcPr>
            <w:tcW w:w="6197" w:type="dxa"/>
            <w:tcBorders>
              <w:top w:val="single" w:sz="4" w:space="0" w:color="auto"/>
              <w:bottom w:val="single" w:sz="4" w:space="0" w:color="auto"/>
            </w:tcBorders>
            <w:shd w:val="clear" w:color="FFFFFF" w:fill="auto"/>
            <w:tcMar>
              <w:top w:w="0" w:type="dxa"/>
              <w:left w:w="108" w:type="dxa"/>
              <w:bottom w:w="0" w:type="dxa"/>
              <w:right w:w="108" w:type="dxa"/>
            </w:tcMar>
          </w:tcPr>
          <w:p w14:paraId="7FC08ABB" w14:textId="77777777" w:rsidR="00F95402" w:rsidRDefault="00D96808">
            <w:pPr>
              <w:autoSpaceDE w:val="0"/>
              <w:autoSpaceDN w:val="0"/>
              <w:ind w:left="107"/>
              <w:jc w:val="both"/>
              <w:rPr>
                <w:rFonts w:ascii="Times New Roman" w:hAnsi="Times New Roman"/>
                <w:sz w:val="24"/>
                <w:szCs w:val="24"/>
              </w:rPr>
            </w:pPr>
            <w:r>
              <w:rPr>
                <w:rFonts w:ascii="Times New Roman" w:eastAsia="Palatino Linotype" w:hAnsi="Times New Roman"/>
                <w:b/>
                <w:bCs/>
                <w:sz w:val="24"/>
                <w:szCs w:val="24"/>
              </w:rPr>
              <w:t>Items</w:t>
            </w:r>
          </w:p>
        </w:tc>
        <w:tc>
          <w:tcPr>
            <w:tcW w:w="961" w:type="dxa"/>
            <w:tcBorders>
              <w:top w:val="single" w:sz="4" w:space="0" w:color="auto"/>
              <w:bottom w:val="single" w:sz="4" w:space="0" w:color="auto"/>
            </w:tcBorders>
            <w:shd w:val="clear" w:color="FFFFFF" w:fill="auto"/>
            <w:tcMar>
              <w:top w:w="0" w:type="dxa"/>
              <w:left w:w="108" w:type="dxa"/>
              <w:bottom w:w="0" w:type="dxa"/>
              <w:right w:w="108" w:type="dxa"/>
            </w:tcMar>
          </w:tcPr>
          <w:p w14:paraId="18973660"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b/>
                <w:bCs/>
                <w:color w:val="000000"/>
                <w:sz w:val="24"/>
                <w:szCs w:val="24"/>
              </w:rPr>
              <w:t xml:space="preserve">Mean </w:t>
            </w:r>
          </w:p>
        </w:tc>
        <w:tc>
          <w:tcPr>
            <w:tcW w:w="936" w:type="dxa"/>
            <w:tcBorders>
              <w:top w:val="single" w:sz="4" w:space="0" w:color="auto"/>
              <w:bottom w:val="single" w:sz="4" w:space="0" w:color="auto"/>
            </w:tcBorders>
            <w:shd w:val="clear" w:color="FFFFFF" w:fill="auto"/>
            <w:tcMar>
              <w:top w:w="0" w:type="dxa"/>
              <w:left w:w="108" w:type="dxa"/>
              <w:bottom w:w="0" w:type="dxa"/>
              <w:right w:w="108" w:type="dxa"/>
            </w:tcMar>
          </w:tcPr>
          <w:p w14:paraId="7C0DBFE3"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b/>
                <w:bCs/>
                <w:color w:val="000000"/>
                <w:sz w:val="24"/>
                <w:szCs w:val="24"/>
              </w:rPr>
              <w:t>SD</w:t>
            </w:r>
          </w:p>
        </w:tc>
      </w:tr>
      <w:tr w:rsidR="00F95402" w14:paraId="6462D51E" w14:textId="77777777">
        <w:tc>
          <w:tcPr>
            <w:tcW w:w="634" w:type="dxa"/>
            <w:tcBorders>
              <w:top w:val="single" w:sz="4" w:space="0" w:color="auto"/>
            </w:tcBorders>
            <w:shd w:val="clear" w:color="FFFFFF" w:fill="auto"/>
            <w:tcMar>
              <w:top w:w="0" w:type="dxa"/>
              <w:left w:w="108" w:type="dxa"/>
              <w:bottom w:w="0" w:type="dxa"/>
              <w:right w:w="108" w:type="dxa"/>
            </w:tcMar>
          </w:tcPr>
          <w:p w14:paraId="023F4CB4"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1</w:t>
            </w:r>
          </w:p>
        </w:tc>
        <w:tc>
          <w:tcPr>
            <w:tcW w:w="6197" w:type="dxa"/>
            <w:tcBorders>
              <w:top w:val="single" w:sz="4" w:space="0" w:color="auto"/>
            </w:tcBorders>
            <w:shd w:val="clear" w:color="FFFFFF" w:fill="auto"/>
            <w:tcMar>
              <w:top w:w="0" w:type="dxa"/>
              <w:left w:w="108" w:type="dxa"/>
              <w:bottom w:w="0" w:type="dxa"/>
              <w:right w:w="108" w:type="dxa"/>
            </w:tcMar>
          </w:tcPr>
          <w:p w14:paraId="516E5095" w14:textId="77777777" w:rsidR="00F95402" w:rsidRDefault="00D96808">
            <w:pPr>
              <w:autoSpaceDE w:val="0"/>
              <w:autoSpaceDN w:val="0"/>
              <w:spacing w:line="240" w:lineRule="auto"/>
              <w:ind w:right="104"/>
              <w:jc w:val="both"/>
              <w:rPr>
                <w:rFonts w:ascii="Times New Roman" w:hAnsi="Times New Roman"/>
                <w:sz w:val="24"/>
                <w:szCs w:val="24"/>
              </w:rPr>
            </w:pPr>
            <w:r>
              <w:rPr>
                <w:rFonts w:ascii="Times New Roman" w:eastAsia="Palatino Linotype" w:hAnsi="Times New Roman"/>
                <w:sz w:val="24"/>
                <w:szCs w:val="24"/>
              </w:rPr>
              <w:t>I believe that gamified learning strategies make science and vocational education more engaging for students.</w:t>
            </w:r>
          </w:p>
        </w:tc>
        <w:tc>
          <w:tcPr>
            <w:tcW w:w="961" w:type="dxa"/>
            <w:tcBorders>
              <w:top w:val="single" w:sz="4" w:space="0" w:color="auto"/>
            </w:tcBorders>
            <w:shd w:val="clear" w:color="FFFFFF" w:fill="auto"/>
            <w:tcMar>
              <w:top w:w="0" w:type="dxa"/>
              <w:left w:w="108" w:type="dxa"/>
              <w:bottom w:w="0" w:type="dxa"/>
              <w:right w:w="108" w:type="dxa"/>
            </w:tcMar>
          </w:tcPr>
          <w:p w14:paraId="10165101"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3.24</w:t>
            </w:r>
          </w:p>
        </w:tc>
        <w:tc>
          <w:tcPr>
            <w:tcW w:w="936" w:type="dxa"/>
            <w:tcBorders>
              <w:top w:val="single" w:sz="4" w:space="0" w:color="auto"/>
            </w:tcBorders>
            <w:shd w:val="clear" w:color="FFFFFF" w:fill="auto"/>
            <w:tcMar>
              <w:top w:w="0" w:type="dxa"/>
              <w:left w:w="108" w:type="dxa"/>
              <w:bottom w:w="0" w:type="dxa"/>
              <w:right w:w="108" w:type="dxa"/>
            </w:tcMar>
          </w:tcPr>
          <w:p w14:paraId="432E5AEC"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.885</w:t>
            </w:r>
          </w:p>
        </w:tc>
      </w:tr>
      <w:tr w:rsidR="00F95402" w14:paraId="5052CCC9" w14:textId="77777777">
        <w:tc>
          <w:tcPr>
            <w:tcW w:w="634" w:type="dxa"/>
            <w:shd w:val="clear" w:color="FFFFFF" w:fill="auto"/>
            <w:tcMar>
              <w:top w:w="0" w:type="dxa"/>
              <w:left w:w="108" w:type="dxa"/>
              <w:bottom w:w="0" w:type="dxa"/>
              <w:right w:w="108" w:type="dxa"/>
            </w:tcMar>
          </w:tcPr>
          <w:p w14:paraId="3E96C161"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2</w:t>
            </w:r>
          </w:p>
        </w:tc>
        <w:tc>
          <w:tcPr>
            <w:tcW w:w="6197" w:type="dxa"/>
            <w:shd w:val="clear" w:color="FFFFFF" w:fill="auto"/>
            <w:tcMar>
              <w:top w:w="0" w:type="dxa"/>
              <w:left w:w="108" w:type="dxa"/>
              <w:bottom w:w="0" w:type="dxa"/>
              <w:right w:w="108" w:type="dxa"/>
            </w:tcMar>
          </w:tcPr>
          <w:p w14:paraId="38858C24" w14:textId="77777777" w:rsidR="00F95402" w:rsidRDefault="00D96808">
            <w:pPr>
              <w:autoSpaceDE w:val="0"/>
              <w:autoSpaceDN w:val="0"/>
              <w:spacing w:before="1" w:line="240" w:lineRule="auto"/>
              <w:ind w:right="231"/>
              <w:jc w:val="both"/>
              <w:rPr>
                <w:rFonts w:ascii="Times New Roman" w:hAnsi="Times New Roman"/>
                <w:sz w:val="24"/>
                <w:szCs w:val="24"/>
              </w:rPr>
            </w:pPr>
            <w:r>
              <w:rPr>
                <w:rFonts w:ascii="Times New Roman" w:eastAsia="Palatino Linotype" w:hAnsi="Times New Roman"/>
                <w:sz w:val="24"/>
                <w:szCs w:val="24"/>
              </w:rPr>
              <w:t xml:space="preserve">Gamified learning helps </w:t>
            </w:r>
            <w:r>
              <w:rPr>
                <w:rFonts w:ascii="Times New Roman" w:eastAsia="Palatino Linotype" w:hAnsi="Times New Roman"/>
                <w:sz w:val="24"/>
                <w:szCs w:val="24"/>
              </w:rPr>
              <w:t>to maintain students' attention throughout the lesson.</w:t>
            </w:r>
          </w:p>
        </w:tc>
        <w:tc>
          <w:tcPr>
            <w:tcW w:w="961" w:type="dxa"/>
            <w:shd w:val="clear" w:color="FFFFFF" w:fill="auto"/>
            <w:tcMar>
              <w:top w:w="0" w:type="dxa"/>
              <w:left w:w="108" w:type="dxa"/>
              <w:bottom w:w="0" w:type="dxa"/>
              <w:right w:w="108" w:type="dxa"/>
            </w:tcMar>
          </w:tcPr>
          <w:p w14:paraId="765E1C1D"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2.95</w:t>
            </w:r>
          </w:p>
        </w:tc>
        <w:tc>
          <w:tcPr>
            <w:tcW w:w="936" w:type="dxa"/>
            <w:shd w:val="clear" w:color="FFFFFF" w:fill="auto"/>
            <w:tcMar>
              <w:top w:w="0" w:type="dxa"/>
              <w:left w:w="108" w:type="dxa"/>
              <w:bottom w:w="0" w:type="dxa"/>
              <w:right w:w="108" w:type="dxa"/>
            </w:tcMar>
          </w:tcPr>
          <w:p w14:paraId="136978FA"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.828</w:t>
            </w:r>
          </w:p>
        </w:tc>
      </w:tr>
      <w:tr w:rsidR="00F95402" w14:paraId="743E3C43" w14:textId="77777777">
        <w:tc>
          <w:tcPr>
            <w:tcW w:w="634" w:type="dxa"/>
            <w:shd w:val="clear" w:color="FFFFFF" w:fill="auto"/>
            <w:tcMar>
              <w:top w:w="0" w:type="dxa"/>
              <w:left w:w="108" w:type="dxa"/>
              <w:bottom w:w="0" w:type="dxa"/>
              <w:right w:w="108" w:type="dxa"/>
            </w:tcMar>
          </w:tcPr>
          <w:p w14:paraId="13871D2E"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3</w:t>
            </w:r>
          </w:p>
        </w:tc>
        <w:tc>
          <w:tcPr>
            <w:tcW w:w="6197" w:type="dxa"/>
            <w:shd w:val="clear" w:color="FFFFFF" w:fill="auto"/>
            <w:tcMar>
              <w:top w:w="0" w:type="dxa"/>
              <w:left w:w="108" w:type="dxa"/>
              <w:bottom w:w="0" w:type="dxa"/>
              <w:right w:w="108" w:type="dxa"/>
            </w:tcMar>
          </w:tcPr>
          <w:p w14:paraId="41771F3D" w14:textId="77777777" w:rsidR="00F95402" w:rsidRDefault="00D96808">
            <w:pPr>
              <w:autoSpaceDE w:val="0"/>
              <w:autoSpaceDN w:val="0"/>
              <w:spacing w:line="240" w:lineRule="auto"/>
              <w:jc w:val="both"/>
              <w:rPr>
                <w:rFonts w:ascii="Times New Roman" w:hAnsi="Times New Roman"/>
                <w:sz w:val="24"/>
                <w:szCs w:val="24"/>
              </w:rPr>
            </w:pPr>
            <w:r>
              <w:rPr>
                <w:rFonts w:ascii="Times New Roman" w:eastAsia="Palatino Linotype" w:hAnsi="Times New Roman"/>
                <w:sz w:val="24"/>
                <w:szCs w:val="24"/>
              </w:rPr>
              <w:t>Using games in the classroom encourages students to participate actively in science and vocational education activities.</w:t>
            </w:r>
          </w:p>
        </w:tc>
        <w:tc>
          <w:tcPr>
            <w:tcW w:w="961" w:type="dxa"/>
            <w:shd w:val="clear" w:color="FFFFFF" w:fill="auto"/>
            <w:tcMar>
              <w:top w:w="0" w:type="dxa"/>
              <w:left w:w="108" w:type="dxa"/>
              <w:bottom w:w="0" w:type="dxa"/>
              <w:right w:w="108" w:type="dxa"/>
            </w:tcMar>
          </w:tcPr>
          <w:p w14:paraId="11F6437A"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3.11</w:t>
            </w:r>
          </w:p>
        </w:tc>
        <w:tc>
          <w:tcPr>
            <w:tcW w:w="936" w:type="dxa"/>
            <w:shd w:val="clear" w:color="FFFFFF" w:fill="auto"/>
            <w:tcMar>
              <w:top w:w="0" w:type="dxa"/>
              <w:left w:w="108" w:type="dxa"/>
              <w:bottom w:w="0" w:type="dxa"/>
              <w:right w:w="108" w:type="dxa"/>
            </w:tcMar>
          </w:tcPr>
          <w:p w14:paraId="2F874A68"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.976</w:t>
            </w:r>
          </w:p>
        </w:tc>
      </w:tr>
      <w:tr w:rsidR="00F95402" w14:paraId="01841D13" w14:textId="77777777">
        <w:tc>
          <w:tcPr>
            <w:tcW w:w="634" w:type="dxa"/>
            <w:shd w:val="clear" w:color="FFFFFF" w:fill="auto"/>
            <w:tcMar>
              <w:top w:w="0" w:type="dxa"/>
              <w:left w:w="108" w:type="dxa"/>
              <w:bottom w:w="0" w:type="dxa"/>
              <w:right w:w="108" w:type="dxa"/>
            </w:tcMar>
          </w:tcPr>
          <w:p w14:paraId="129AD74B"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4</w:t>
            </w:r>
          </w:p>
        </w:tc>
        <w:tc>
          <w:tcPr>
            <w:tcW w:w="6197" w:type="dxa"/>
            <w:shd w:val="clear" w:color="FFFFFF" w:fill="auto"/>
            <w:tcMar>
              <w:top w:w="0" w:type="dxa"/>
              <w:left w:w="108" w:type="dxa"/>
              <w:bottom w:w="0" w:type="dxa"/>
              <w:right w:w="108" w:type="dxa"/>
            </w:tcMar>
          </w:tcPr>
          <w:p w14:paraId="594222F3" w14:textId="77777777" w:rsidR="00F95402" w:rsidRDefault="00D96808">
            <w:pPr>
              <w:autoSpaceDE w:val="0"/>
              <w:autoSpaceDN w:val="0"/>
              <w:spacing w:line="240" w:lineRule="auto"/>
              <w:ind w:left="107" w:right="104"/>
              <w:jc w:val="both"/>
              <w:rPr>
                <w:rFonts w:ascii="Times New Roman" w:hAnsi="Times New Roman"/>
                <w:sz w:val="24"/>
                <w:szCs w:val="24"/>
              </w:rPr>
            </w:pPr>
            <w:r>
              <w:rPr>
                <w:rFonts w:ascii="Times New Roman" w:eastAsia="Palatino Linotype" w:hAnsi="Times New Roman"/>
                <w:sz w:val="24"/>
                <w:szCs w:val="24"/>
              </w:rPr>
              <w:t xml:space="preserve">I think that gamified learning can improve students' </w:t>
            </w:r>
            <w:r>
              <w:rPr>
                <w:rFonts w:ascii="Times New Roman" w:eastAsia="Palatino Linotype" w:hAnsi="Times New Roman"/>
                <w:sz w:val="24"/>
                <w:szCs w:val="24"/>
              </w:rPr>
              <w:t>understanding of complex concepts in science and vocational education.</w:t>
            </w:r>
          </w:p>
        </w:tc>
        <w:tc>
          <w:tcPr>
            <w:tcW w:w="961" w:type="dxa"/>
            <w:shd w:val="clear" w:color="FFFFFF" w:fill="auto"/>
            <w:tcMar>
              <w:top w:w="0" w:type="dxa"/>
              <w:left w:w="108" w:type="dxa"/>
              <w:bottom w:w="0" w:type="dxa"/>
              <w:right w:w="108" w:type="dxa"/>
            </w:tcMar>
          </w:tcPr>
          <w:p w14:paraId="5943A1C9"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2.81</w:t>
            </w:r>
          </w:p>
        </w:tc>
        <w:tc>
          <w:tcPr>
            <w:tcW w:w="936" w:type="dxa"/>
            <w:shd w:val="clear" w:color="FFFFFF" w:fill="auto"/>
            <w:tcMar>
              <w:top w:w="0" w:type="dxa"/>
              <w:left w:w="108" w:type="dxa"/>
              <w:bottom w:w="0" w:type="dxa"/>
              <w:right w:w="108" w:type="dxa"/>
            </w:tcMar>
          </w:tcPr>
          <w:p w14:paraId="12A2903D"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.958</w:t>
            </w:r>
          </w:p>
        </w:tc>
      </w:tr>
      <w:tr w:rsidR="00F95402" w14:paraId="2D5CCA5F" w14:textId="77777777">
        <w:tc>
          <w:tcPr>
            <w:tcW w:w="634" w:type="dxa"/>
            <w:shd w:val="clear" w:color="FFFFFF" w:fill="auto"/>
            <w:tcMar>
              <w:top w:w="0" w:type="dxa"/>
              <w:left w:w="108" w:type="dxa"/>
              <w:bottom w:w="0" w:type="dxa"/>
              <w:right w:w="108" w:type="dxa"/>
            </w:tcMar>
          </w:tcPr>
          <w:p w14:paraId="445C1C1F"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5</w:t>
            </w:r>
          </w:p>
        </w:tc>
        <w:tc>
          <w:tcPr>
            <w:tcW w:w="6197" w:type="dxa"/>
            <w:shd w:val="clear" w:color="FFFFFF" w:fill="auto"/>
            <w:tcMar>
              <w:top w:w="0" w:type="dxa"/>
              <w:left w:w="108" w:type="dxa"/>
              <w:bottom w:w="0" w:type="dxa"/>
              <w:right w:w="108" w:type="dxa"/>
            </w:tcMar>
          </w:tcPr>
          <w:p w14:paraId="1CAFB046" w14:textId="77777777" w:rsidR="00F95402" w:rsidRDefault="00D96808">
            <w:pPr>
              <w:autoSpaceDE w:val="0"/>
              <w:autoSpaceDN w:val="0"/>
              <w:spacing w:line="240" w:lineRule="auto"/>
              <w:jc w:val="both"/>
              <w:rPr>
                <w:rFonts w:ascii="Times New Roman" w:hAnsi="Times New Roman"/>
                <w:sz w:val="24"/>
                <w:szCs w:val="24"/>
              </w:rPr>
            </w:pPr>
            <w:r>
              <w:rPr>
                <w:rFonts w:ascii="Times New Roman" w:eastAsia="Palatino Linotype" w:hAnsi="Times New Roman"/>
                <w:sz w:val="24"/>
                <w:szCs w:val="24"/>
              </w:rPr>
              <w:t>Gamified learning strategies can enhance students' problem-solving skills in science and vocational subjects.</w:t>
            </w:r>
          </w:p>
        </w:tc>
        <w:tc>
          <w:tcPr>
            <w:tcW w:w="961" w:type="dxa"/>
            <w:shd w:val="clear" w:color="FFFFFF" w:fill="auto"/>
            <w:tcMar>
              <w:top w:w="0" w:type="dxa"/>
              <w:left w:w="108" w:type="dxa"/>
              <w:bottom w:w="0" w:type="dxa"/>
              <w:right w:w="108" w:type="dxa"/>
            </w:tcMar>
          </w:tcPr>
          <w:p w14:paraId="1B0A38A9"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2.95</w:t>
            </w:r>
          </w:p>
        </w:tc>
        <w:tc>
          <w:tcPr>
            <w:tcW w:w="936" w:type="dxa"/>
            <w:shd w:val="clear" w:color="FFFFFF" w:fill="auto"/>
            <w:tcMar>
              <w:top w:w="0" w:type="dxa"/>
              <w:left w:w="108" w:type="dxa"/>
              <w:bottom w:w="0" w:type="dxa"/>
              <w:right w:w="108" w:type="dxa"/>
            </w:tcMar>
          </w:tcPr>
          <w:p w14:paraId="722C6CF4"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.979</w:t>
            </w:r>
          </w:p>
        </w:tc>
      </w:tr>
      <w:tr w:rsidR="00F95402" w14:paraId="4D9747CC" w14:textId="77777777">
        <w:tc>
          <w:tcPr>
            <w:tcW w:w="634" w:type="dxa"/>
            <w:shd w:val="clear" w:color="FFFFFF" w:fill="auto"/>
            <w:tcMar>
              <w:top w:w="0" w:type="dxa"/>
              <w:left w:w="108" w:type="dxa"/>
              <w:bottom w:w="0" w:type="dxa"/>
              <w:right w:w="108" w:type="dxa"/>
            </w:tcMar>
          </w:tcPr>
          <w:p w14:paraId="5BCC708F"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6</w:t>
            </w:r>
          </w:p>
        </w:tc>
        <w:tc>
          <w:tcPr>
            <w:tcW w:w="6197" w:type="dxa"/>
            <w:shd w:val="clear" w:color="FFFFFF" w:fill="auto"/>
            <w:tcMar>
              <w:top w:w="0" w:type="dxa"/>
              <w:left w:w="108" w:type="dxa"/>
              <w:bottom w:w="0" w:type="dxa"/>
              <w:right w:w="108" w:type="dxa"/>
            </w:tcMar>
          </w:tcPr>
          <w:p w14:paraId="4D06F3D1" w14:textId="77777777" w:rsidR="00F95402" w:rsidRDefault="00D96808">
            <w:pPr>
              <w:autoSpaceDE w:val="0"/>
              <w:autoSpaceDN w:val="0"/>
              <w:spacing w:line="240" w:lineRule="auto"/>
              <w:jc w:val="both"/>
              <w:rPr>
                <w:rFonts w:ascii="Times New Roman" w:hAnsi="Times New Roman"/>
                <w:sz w:val="24"/>
                <w:szCs w:val="24"/>
              </w:rPr>
            </w:pPr>
            <w:r>
              <w:rPr>
                <w:rFonts w:ascii="Times New Roman" w:eastAsia="Palatino Linotype" w:hAnsi="Times New Roman"/>
                <w:sz w:val="24"/>
                <w:szCs w:val="24"/>
              </w:rPr>
              <w:t xml:space="preserve">I believe that incorporating games into the </w:t>
            </w:r>
            <w:r>
              <w:rPr>
                <w:rFonts w:ascii="Times New Roman" w:eastAsia="Palatino Linotype" w:hAnsi="Times New Roman"/>
                <w:sz w:val="24"/>
                <w:szCs w:val="24"/>
              </w:rPr>
              <w:t>learning process leads to better retention of knowledge by students.</w:t>
            </w:r>
          </w:p>
        </w:tc>
        <w:tc>
          <w:tcPr>
            <w:tcW w:w="961" w:type="dxa"/>
            <w:shd w:val="clear" w:color="FFFFFF" w:fill="auto"/>
            <w:tcMar>
              <w:top w:w="0" w:type="dxa"/>
              <w:left w:w="108" w:type="dxa"/>
              <w:bottom w:w="0" w:type="dxa"/>
              <w:right w:w="108" w:type="dxa"/>
            </w:tcMar>
          </w:tcPr>
          <w:p w14:paraId="1EC478E9"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2.93</w:t>
            </w:r>
          </w:p>
        </w:tc>
        <w:tc>
          <w:tcPr>
            <w:tcW w:w="936" w:type="dxa"/>
            <w:shd w:val="clear" w:color="FFFFFF" w:fill="auto"/>
            <w:tcMar>
              <w:top w:w="0" w:type="dxa"/>
              <w:left w:w="108" w:type="dxa"/>
              <w:bottom w:w="0" w:type="dxa"/>
              <w:right w:w="108" w:type="dxa"/>
            </w:tcMar>
          </w:tcPr>
          <w:p w14:paraId="725F5044"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.972</w:t>
            </w:r>
          </w:p>
        </w:tc>
      </w:tr>
      <w:tr w:rsidR="00F95402" w14:paraId="571E658B" w14:textId="77777777">
        <w:tc>
          <w:tcPr>
            <w:tcW w:w="634" w:type="dxa"/>
            <w:shd w:val="clear" w:color="FFFFFF" w:fill="auto"/>
            <w:tcMar>
              <w:top w:w="0" w:type="dxa"/>
              <w:left w:w="108" w:type="dxa"/>
              <w:bottom w:w="0" w:type="dxa"/>
              <w:right w:w="108" w:type="dxa"/>
            </w:tcMar>
          </w:tcPr>
          <w:p w14:paraId="3FAA4A21"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7</w:t>
            </w:r>
          </w:p>
        </w:tc>
        <w:tc>
          <w:tcPr>
            <w:tcW w:w="6197" w:type="dxa"/>
            <w:shd w:val="clear" w:color="FFFFFF" w:fill="auto"/>
            <w:tcMar>
              <w:top w:w="0" w:type="dxa"/>
              <w:left w:w="108" w:type="dxa"/>
              <w:bottom w:w="0" w:type="dxa"/>
              <w:right w:w="108" w:type="dxa"/>
            </w:tcMar>
          </w:tcPr>
          <w:p w14:paraId="02EAB8D9" w14:textId="77777777" w:rsidR="00F95402" w:rsidRDefault="00D96808">
            <w:pPr>
              <w:autoSpaceDE w:val="0"/>
              <w:autoSpaceDN w:val="0"/>
              <w:spacing w:line="240" w:lineRule="auto"/>
              <w:jc w:val="both"/>
              <w:rPr>
                <w:rFonts w:ascii="Times New Roman" w:hAnsi="Times New Roman"/>
                <w:sz w:val="24"/>
                <w:szCs w:val="24"/>
              </w:rPr>
            </w:pPr>
            <w:r>
              <w:rPr>
                <w:rFonts w:ascii="Times New Roman" w:eastAsia="Palatino Linotype" w:hAnsi="Times New Roman"/>
                <w:sz w:val="24"/>
                <w:szCs w:val="24"/>
              </w:rPr>
              <w:t>Gamified learning strategies motivate students to complete tasks and assignments in science and vocational education.</w:t>
            </w:r>
          </w:p>
        </w:tc>
        <w:tc>
          <w:tcPr>
            <w:tcW w:w="961" w:type="dxa"/>
            <w:shd w:val="clear" w:color="FFFFFF" w:fill="auto"/>
            <w:tcMar>
              <w:top w:w="0" w:type="dxa"/>
              <w:left w:w="108" w:type="dxa"/>
              <w:bottom w:w="0" w:type="dxa"/>
              <w:right w:w="108" w:type="dxa"/>
            </w:tcMar>
          </w:tcPr>
          <w:p w14:paraId="01C1FCAE"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3.30</w:t>
            </w:r>
          </w:p>
        </w:tc>
        <w:tc>
          <w:tcPr>
            <w:tcW w:w="936" w:type="dxa"/>
            <w:shd w:val="clear" w:color="FFFFFF" w:fill="auto"/>
            <w:tcMar>
              <w:top w:w="0" w:type="dxa"/>
              <w:left w:w="108" w:type="dxa"/>
              <w:bottom w:w="0" w:type="dxa"/>
              <w:right w:w="108" w:type="dxa"/>
            </w:tcMar>
          </w:tcPr>
          <w:p w14:paraId="0A075A43"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.893</w:t>
            </w:r>
          </w:p>
        </w:tc>
      </w:tr>
      <w:tr w:rsidR="00F95402" w14:paraId="6C0BBC89" w14:textId="77777777">
        <w:tc>
          <w:tcPr>
            <w:tcW w:w="634" w:type="dxa"/>
            <w:shd w:val="clear" w:color="FFFFFF" w:fill="auto"/>
            <w:tcMar>
              <w:top w:w="0" w:type="dxa"/>
              <w:left w:w="108" w:type="dxa"/>
              <w:bottom w:w="0" w:type="dxa"/>
              <w:right w:w="108" w:type="dxa"/>
            </w:tcMar>
          </w:tcPr>
          <w:p w14:paraId="442A7A54"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8</w:t>
            </w:r>
          </w:p>
        </w:tc>
        <w:tc>
          <w:tcPr>
            <w:tcW w:w="6197" w:type="dxa"/>
            <w:shd w:val="clear" w:color="FFFFFF" w:fill="auto"/>
            <w:tcMar>
              <w:top w:w="0" w:type="dxa"/>
              <w:left w:w="108" w:type="dxa"/>
              <w:bottom w:w="0" w:type="dxa"/>
              <w:right w:w="108" w:type="dxa"/>
            </w:tcMar>
          </w:tcPr>
          <w:p w14:paraId="2CA3C14F" w14:textId="77777777" w:rsidR="00F95402" w:rsidRDefault="00D96808">
            <w:pPr>
              <w:autoSpaceDE w:val="0"/>
              <w:autoSpaceDN w:val="0"/>
              <w:spacing w:line="240" w:lineRule="auto"/>
              <w:ind w:right="404"/>
              <w:jc w:val="both"/>
              <w:rPr>
                <w:rFonts w:ascii="Times New Roman" w:hAnsi="Times New Roman"/>
                <w:sz w:val="24"/>
                <w:szCs w:val="24"/>
              </w:rPr>
            </w:pPr>
            <w:r>
              <w:rPr>
                <w:rFonts w:ascii="Times New Roman" w:eastAsia="Palatino Linotype" w:hAnsi="Times New Roman"/>
                <w:sz w:val="24"/>
                <w:szCs w:val="24"/>
              </w:rPr>
              <w:t xml:space="preserve">I find that gamified learning increases </w:t>
            </w:r>
            <w:r>
              <w:rPr>
                <w:rFonts w:ascii="Times New Roman" w:eastAsia="Palatino Linotype" w:hAnsi="Times New Roman"/>
                <w:sz w:val="24"/>
                <w:szCs w:val="24"/>
              </w:rPr>
              <w:t>students' intrinsic motivation to learn and explore science and vocational topics.</w:t>
            </w:r>
          </w:p>
        </w:tc>
        <w:tc>
          <w:tcPr>
            <w:tcW w:w="961" w:type="dxa"/>
            <w:shd w:val="clear" w:color="FFFFFF" w:fill="auto"/>
            <w:tcMar>
              <w:top w:w="0" w:type="dxa"/>
              <w:left w:w="108" w:type="dxa"/>
              <w:bottom w:w="0" w:type="dxa"/>
              <w:right w:w="108" w:type="dxa"/>
            </w:tcMar>
          </w:tcPr>
          <w:p w14:paraId="213BB08B"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2.97</w:t>
            </w:r>
          </w:p>
        </w:tc>
        <w:tc>
          <w:tcPr>
            <w:tcW w:w="936" w:type="dxa"/>
            <w:shd w:val="clear" w:color="FFFFFF" w:fill="auto"/>
            <w:tcMar>
              <w:top w:w="0" w:type="dxa"/>
              <w:left w:w="108" w:type="dxa"/>
              <w:bottom w:w="0" w:type="dxa"/>
              <w:right w:w="108" w:type="dxa"/>
            </w:tcMar>
          </w:tcPr>
          <w:p w14:paraId="09F08ADB"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.903</w:t>
            </w:r>
          </w:p>
        </w:tc>
      </w:tr>
      <w:tr w:rsidR="00F95402" w14:paraId="71DF86AF" w14:textId="77777777">
        <w:tc>
          <w:tcPr>
            <w:tcW w:w="634" w:type="dxa"/>
            <w:shd w:val="clear" w:color="FFFFFF" w:fill="auto"/>
            <w:tcMar>
              <w:top w:w="0" w:type="dxa"/>
              <w:left w:w="108" w:type="dxa"/>
              <w:bottom w:w="0" w:type="dxa"/>
              <w:right w:w="108" w:type="dxa"/>
            </w:tcMar>
          </w:tcPr>
          <w:p w14:paraId="194CD0D4"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9</w:t>
            </w:r>
          </w:p>
        </w:tc>
        <w:tc>
          <w:tcPr>
            <w:tcW w:w="6197" w:type="dxa"/>
            <w:shd w:val="clear" w:color="FFFFFF" w:fill="auto"/>
            <w:tcMar>
              <w:top w:w="0" w:type="dxa"/>
              <w:left w:w="108" w:type="dxa"/>
              <w:bottom w:w="0" w:type="dxa"/>
              <w:right w:w="108" w:type="dxa"/>
            </w:tcMar>
          </w:tcPr>
          <w:p w14:paraId="32F40EA3" w14:textId="77777777" w:rsidR="00F95402" w:rsidRDefault="00D96808">
            <w:pPr>
              <w:autoSpaceDE w:val="0"/>
              <w:autoSpaceDN w:val="0"/>
              <w:spacing w:line="240" w:lineRule="auto"/>
              <w:ind w:right="404"/>
              <w:jc w:val="both"/>
              <w:rPr>
                <w:rFonts w:ascii="Times New Roman" w:hAnsi="Times New Roman"/>
                <w:sz w:val="24"/>
                <w:szCs w:val="24"/>
              </w:rPr>
            </w:pPr>
            <w:r>
              <w:rPr>
                <w:rFonts w:ascii="Times New Roman" w:eastAsia="Palatino Linotype" w:hAnsi="Times New Roman"/>
                <w:sz w:val="24"/>
                <w:szCs w:val="24"/>
              </w:rPr>
              <w:t>Using gamified learning strategies encourages students to be more persistent in overcoming challenges in their studies.</w:t>
            </w:r>
          </w:p>
        </w:tc>
        <w:tc>
          <w:tcPr>
            <w:tcW w:w="961" w:type="dxa"/>
            <w:shd w:val="clear" w:color="FFFFFF" w:fill="auto"/>
            <w:tcMar>
              <w:top w:w="0" w:type="dxa"/>
              <w:left w:w="108" w:type="dxa"/>
              <w:bottom w:w="0" w:type="dxa"/>
              <w:right w:w="108" w:type="dxa"/>
            </w:tcMar>
          </w:tcPr>
          <w:p w14:paraId="57E250D7"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2.958</w:t>
            </w:r>
          </w:p>
        </w:tc>
        <w:tc>
          <w:tcPr>
            <w:tcW w:w="936" w:type="dxa"/>
            <w:shd w:val="clear" w:color="FFFFFF" w:fill="auto"/>
            <w:tcMar>
              <w:top w:w="0" w:type="dxa"/>
              <w:left w:w="108" w:type="dxa"/>
              <w:bottom w:w="0" w:type="dxa"/>
              <w:right w:w="108" w:type="dxa"/>
            </w:tcMar>
          </w:tcPr>
          <w:p w14:paraId="204428D7"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.9661</w:t>
            </w:r>
          </w:p>
        </w:tc>
      </w:tr>
      <w:tr w:rsidR="00F95402" w14:paraId="678A574A" w14:textId="77777777">
        <w:tc>
          <w:tcPr>
            <w:tcW w:w="634" w:type="dxa"/>
            <w:shd w:val="clear" w:color="FFFFFF" w:fill="auto"/>
            <w:tcMar>
              <w:top w:w="0" w:type="dxa"/>
              <w:left w:w="108" w:type="dxa"/>
              <w:bottom w:w="0" w:type="dxa"/>
              <w:right w:w="108" w:type="dxa"/>
            </w:tcMar>
          </w:tcPr>
          <w:p w14:paraId="273EEBD3" w14:textId="77777777" w:rsidR="00F95402" w:rsidRDefault="00D96808">
            <w:pPr>
              <w:tabs>
                <w:tab w:val="left" w:pos="2340"/>
              </w:tabs>
              <w:spacing w:line="360" w:lineRule="auto"/>
              <w:rPr>
                <w:rFonts w:ascii="Times New Roman" w:hAnsi="Times New Roman"/>
                <w:sz w:val="24"/>
                <w:szCs w:val="24"/>
              </w:rPr>
            </w:pPr>
            <w:r>
              <w:rPr>
                <w:rFonts w:ascii="Times New Roman" w:hAnsi="Times New Roman"/>
                <w:b/>
                <w:bCs/>
                <w:caps/>
                <w:sz w:val="24"/>
                <w:szCs w:val="24"/>
              </w:rPr>
              <w:t>10</w:t>
            </w:r>
          </w:p>
        </w:tc>
        <w:tc>
          <w:tcPr>
            <w:tcW w:w="6197" w:type="dxa"/>
            <w:shd w:val="clear" w:color="FFFFFF" w:fill="auto"/>
            <w:tcMar>
              <w:top w:w="0" w:type="dxa"/>
              <w:left w:w="108" w:type="dxa"/>
              <w:bottom w:w="0" w:type="dxa"/>
              <w:right w:w="108" w:type="dxa"/>
            </w:tcMar>
          </w:tcPr>
          <w:p w14:paraId="33E9C80F" w14:textId="77777777" w:rsidR="00F95402" w:rsidRDefault="00D96808">
            <w:pPr>
              <w:autoSpaceDE w:val="0"/>
              <w:autoSpaceDN w:val="0"/>
              <w:spacing w:line="240" w:lineRule="auto"/>
              <w:jc w:val="both"/>
              <w:rPr>
                <w:rFonts w:ascii="Times New Roman" w:hAnsi="Times New Roman"/>
                <w:sz w:val="24"/>
                <w:szCs w:val="24"/>
              </w:rPr>
            </w:pPr>
            <w:r>
              <w:rPr>
                <w:rFonts w:ascii="Times New Roman" w:eastAsia="Palatino Linotype" w:hAnsi="Times New Roman"/>
                <w:sz w:val="24"/>
                <w:szCs w:val="24"/>
              </w:rPr>
              <w:t xml:space="preserve">I believe that gamified </w:t>
            </w:r>
            <w:r>
              <w:rPr>
                <w:rFonts w:ascii="Times New Roman" w:eastAsia="Palatino Linotype" w:hAnsi="Times New Roman"/>
                <w:sz w:val="24"/>
                <w:szCs w:val="24"/>
              </w:rPr>
              <w:t>learning helps students apply theoretical knowledge to real-world situations in vocational education.</w:t>
            </w:r>
          </w:p>
        </w:tc>
        <w:tc>
          <w:tcPr>
            <w:tcW w:w="961" w:type="dxa"/>
            <w:shd w:val="clear" w:color="FFFFFF" w:fill="auto"/>
            <w:tcMar>
              <w:top w:w="0" w:type="dxa"/>
              <w:left w:w="108" w:type="dxa"/>
              <w:bottom w:w="0" w:type="dxa"/>
              <w:right w:w="108" w:type="dxa"/>
            </w:tcMar>
          </w:tcPr>
          <w:p w14:paraId="2AACA917"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2.87</w:t>
            </w:r>
          </w:p>
        </w:tc>
        <w:tc>
          <w:tcPr>
            <w:tcW w:w="936" w:type="dxa"/>
            <w:shd w:val="clear" w:color="FFFFFF" w:fill="auto"/>
            <w:tcMar>
              <w:top w:w="0" w:type="dxa"/>
              <w:left w:w="108" w:type="dxa"/>
              <w:bottom w:w="0" w:type="dxa"/>
              <w:right w:w="108" w:type="dxa"/>
            </w:tcMar>
          </w:tcPr>
          <w:p w14:paraId="3CDF8F54" w14:textId="77777777" w:rsidR="00F95402" w:rsidRDefault="00D96808">
            <w:pPr>
              <w:autoSpaceDE w:val="0"/>
              <w:autoSpaceDN w:val="0"/>
              <w:adjustRightInd w:val="0"/>
              <w:ind w:left="60" w:right="60"/>
              <w:jc w:val="center"/>
              <w:rPr>
                <w:rFonts w:ascii="Times New Roman" w:hAnsi="Times New Roman"/>
                <w:sz w:val="24"/>
                <w:szCs w:val="24"/>
              </w:rPr>
            </w:pPr>
            <w:r>
              <w:rPr>
                <w:rFonts w:ascii="Times New Roman" w:hAnsi="Times New Roman"/>
                <w:color w:val="000000"/>
                <w:sz w:val="24"/>
                <w:szCs w:val="24"/>
              </w:rPr>
              <w:t>.901</w:t>
            </w:r>
          </w:p>
        </w:tc>
      </w:tr>
      <w:tr w:rsidR="00F95402" w14:paraId="73FAB050" w14:textId="77777777">
        <w:tc>
          <w:tcPr>
            <w:tcW w:w="634" w:type="dxa"/>
            <w:tcBorders>
              <w:bottom w:val="single" w:sz="4" w:space="0" w:color="auto"/>
            </w:tcBorders>
            <w:shd w:val="clear" w:color="FFFFFF" w:fill="auto"/>
            <w:tcMar>
              <w:top w:w="0" w:type="dxa"/>
              <w:left w:w="108" w:type="dxa"/>
              <w:bottom w:w="0" w:type="dxa"/>
              <w:right w:w="108" w:type="dxa"/>
            </w:tcMar>
          </w:tcPr>
          <w:p w14:paraId="4143A08D" w14:textId="77777777" w:rsidR="00F95402" w:rsidRDefault="00F95402">
            <w:pPr>
              <w:tabs>
                <w:tab w:val="left" w:pos="2340"/>
              </w:tabs>
              <w:spacing w:line="360" w:lineRule="auto"/>
              <w:rPr>
                <w:rFonts w:ascii="Times New Roman" w:hAnsi="Times New Roman"/>
                <w:sz w:val="24"/>
                <w:szCs w:val="24"/>
              </w:rPr>
            </w:pPr>
          </w:p>
        </w:tc>
        <w:tc>
          <w:tcPr>
            <w:tcW w:w="6197" w:type="dxa"/>
            <w:tcBorders>
              <w:bottom w:val="single" w:sz="4" w:space="0" w:color="auto"/>
            </w:tcBorders>
            <w:shd w:val="clear" w:color="FFFFFF" w:fill="auto"/>
            <w:tcMar>
              <w:top w:w="0" w:type="dxa"/>
              <w:left w:w="108" w:type="dxa"/>
              <w:bottom w:w="0" w:type="dxa"/>
              <w:right w:w="108" w:type="dxa"/>
            </w:tcMar>
          </w:tcPr>
          <w:p w14:paraId="5A7325ED" w14:textId="77777777" w:rsidR="00F95402" w:rsidRDefault="00D96808">
            <w:pPr>
              <w:autoSpaceDE w:val="0"/>
              <w:autoSpaceDN w:val="0"/>
              <w:spacing w:line="240" w:lineRule="auto"/>
              <w:ind w:left="107" w:right="95"/>
              <w:jc w:val="center"/>
              <w:rPr>
                <w:rFonts w:ascii="Times New Roman" w:hAnsi="Times New Roman"/>
                <w:sz w:val="24"/>
                <w:szCs w:val="24"/>
              </w:rPr>
            </w:pPr>
            <w:r>
              <w:rPr>
                <w:rFonts w:ascii="Times New Roman" w:eastAsia="Palatino Linotype" w:hAnsi="Times New Roman"/>
                <w:b/>
                <w:bCs/>
                <w:sz w:val="24"/>
                <w:szCs w:val="24"/>
              </w:rPr>
              <w:t>Average Mean and SD</w:t>
            </w:r>
          </w:p>
        </w:tc>
        <w:tc>
          <w:tcPr>
            <w:tcW w:w="961" w:type="dxa"/>
            <w:tcBorders>
              <w:bottom w:val="single" w:sz="4" w:space="0" w:color="auto"/>
            </w:tcBorders>
            <w:shd w:val="clear" w:color="FFFFFF" w:fill="auto"/>
            <w:tcMar>
              <w:top w:w="0" w:type="dxa"/>
              <w:left w:w="108" w:type="dxa"/>
              <w:bottom w:w="0" w:type="dxa"/>
              <w:right w:w="108" w:type="dxa"/>
            </w:tcMar>
          </w:tcPr>
          <w:p w14:paraId="0E82D3BC" w14:textId="77777777" w:rsidR="00F95402" w:rsidRDefault="00D96808">
            <w:pPr>
              <w:autoSpaceDE w:val="0"/>
              <w:autoSpaceDN w:val="0"/>
              <w:adjustRightInd w:val="0"/>
              <w:jc w:val="center"/>
              <w:rPr>
                <w:rFonts w:ascii="Times New Roman" w:hAnsi="Times New Roman"/>
                <w:sz w:val="24"/>
                <w:szCs w:val="24"/>
              </w:rPr>
            </w:pPr>
            <w:r>
              <w:rPr>
                <w:rFonts w:ascii="Times New Roman" w:hAnsi="Times New Roman"/>
                <w:b/>
                <w:bCs/>
                <w:color w:val="000000"/>
                <w:sz w:val="24"/>
                <w:szCs w:val="24"/>
              </w:rPr>
              <w:t>2.99</w:t>
            </w:r>
          </w:p>
        </w:tc>
        <w:tc>
          <w:tcPr>
            <w:tcW w:w="936" w:type="dxa"/>
            <w:tcBorders>
              <w:bottom w:val="single" w:sz="4" w:space="0" w:color="auto"/>
            </w:tcBorders>
            <w:shd w:val="clear" w:color="FFFFFF" w:fill="auto"/>
            <w:tcMar>
              <w:top w:w="0" w:type="dxa"/>
              <w:left w:w="108" w:type="dxa"/>
              <w:bottom w:w="0" w:type="dxa"/>
              <w:right w:w="108" w:type="dxa"/>
            </w:tcMar>
          </w:tcPr>
          <w:p w14:paraId="4C019695" w14:textId="77777777" w:rsidR="00F95402" w:rsidRDefault="00D96808">
            <w:pPr>
              <w:autoSpaceDE w:val="0"/>
              <w:autoSpaceDN w:val="0"/>
              <w:adjustRightInd w:val="0"/>
              <w:jc w:val="center"/>
              <w:rPr>
                <w:rFonts w:ascii="Times New Roman" w:hAnsi="Times New Roman"/>
                <w:sz w:val="24"/>
                <w:szCs w:val="24"/>
              </w:rPr>
            </w:pPr>
            <w:r>
              <w:rPr>
                <w:rFonts w:ascii="Times New Roman" w:hAnsi="Times New Roman"/>
                <w:b/>
                <w:bCs/>
                <w:color w:val="000000"/>
                <w:sz w:val="24"/>
                <w:szCs w:val="24"/>
              </w:rPr>
              <w:t>0.939</w:t>
            </w:r>
          </w:p>
        </w:tc>
      </w:tr>
    </w:tbl>
    <w:p w14:paraId="734AD343" w14:textId="77777777" w:rsidR="00F95402" w:rsidRDefault="00F95402">
      <w:pPr>
        <w:spacing w:line="360" w:lineRule="auto"/>
        <w:jc w:val="both"/>
        <w:rPr>
          <w:rFonts w:ascii="Times New Roman" w:hAnsi="Times New Roman"/>
          <w:sz w:val="24"/>
          <w:szCs w:val="24"/>
        </w:rPr>
      </w:pPr>
    </w:p>
    <w:p w14:paraId="1897A841" w14:textId="77777777" w:rsidR="00F95402" w:rsidRDefault="00D96808">
      <w:pPr>
        <w:rPr>
          <w:rFonts w:ascii="Times New Roman" w:hAnsi="Times New Roman"/>
          <w:sz w:val="24"/>
          <w:szCs w:val="24"/>
        </w:rPr>
      </w:pPr>
      <w:r>
        <w:rPr>
          <w:rFonts w:ascii="Times New Roman" w:hAnsi="Times New Roman"/>
          <w:sz w:val="24"/>
          <w:szCs w:val="24"/>
        </w:rPr>
        <w:t xml:space="preserve">Table 1 illustrates the Perceived usefulness of gamified learning strategy for teaching science and </w:t>
      </w:r>
      <w:r>
        <w:rPr>
          <w:rFonts w:ascii="Times New Roman" w:hAnsi="Times New Roman"/>
          <w:sz w:val="24"/>
          <w:szCs w:val="24"/>
        </w:rPr>
        <w:t xml:space="preserve">vocational education. Taking the bench mark of mean as 2.50 in analysing research question 1, the responses of the Science and Vocational Education Lecturers and Pre-service Teachers (means) for all the ten questionnaire items were above the bench mark of </w:t>
      </w:r>
      <w:r>
        <w:rPr>
          <w:rFonts w:ascii="Times New Roman" w:hAnsi="Times New Roman"/>
          <w:sz w:val="24"/>
          <w:szCs w:val="24"/>
        </w:rPr>
        <w:t>2.50 mean. The average mean and standard deviation are (M = 2.99, SD = 0.939). This indicated that the Science and Vocational Education Lecturers and Pre-service Teachers have positively perceived the usefulness of gamified learning strategy for teaching s</w:t>
      </w:r>
      <w:r>
        <w:rPr>
          <w:rFonts w:ascii="Times New Roman" w:hAnsi="Times New Roman"/>
          <w:sz w:val="24"/>
          <w:szCs w:val="24"/>
        </w:rPr>
        <w:t>cience and vocational education.</w:t>
      </w:r>
    </w:p>
    <w:p w14:paraId="0D1E8348" w14:textId="77777777" w:rsidR="00F95402" w:rsidRDefault="00D96808">
      <w:pPr>
        <w:spacing w:line="480" w:lineRule="auto"/>
        <w:jc w:val="both"/>
        <w:rPr>
          <w:rFonts w:ascii="Times New Roman" w:hAnsi="Times New Roman"/>
          <w:sz w:val="24"/>
          <w:szCs w:val="24"/>
        </w:rPr>
      </w:pPr>
      <w:r>
        <w:rPr>
          <w:rFonts w:ascii="Times New Roman" w:hAnsi="Times New Roman"/>
          <w:b/>
          <w:bCs/>
          <w:sz w:val="24"/>
          <w:szCs w:val="24"/>
        </w:rPr>
        <w:lastRenderedPageBreak/>
        <w:t>Testing Hypothesis</w:t>
      </w:r>
    </w:p>
    <w:p w14:paraId="669F2770"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t>H0</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ab/>
        <w:t>There is no statistically significant difference in the mean ratings of Lecturers and Pre-service Teachers on the perceived usefulness of gamified learning strategy for teaching science and vocation</w:t>
      </w:r>
      <w:r>
        <w:rPr>
          <w:rFonts w:ascii="Times New Roman" w:hAnsi="Times New Roman"/>
          <w:sz w:val="24"/>
          <w:szCs w:val="24"/>
        </w:rPr>
        <w:t>al education courses in Oyo State Colleges of Education.</w:t>
      </w:r>
    </w:p>
    <w:p w14:paraId="02B8DC11" w14:textId="77777777" w:rsidR="00F95402" w:rsidRDefault="00D96808">
      <w:pPr>
        <w:spacing w:line="360" w:lineRule="auto"/>
        <w:jc w:val="both"/>
        <w:rPr>
          <w:rFonts w:ascii="Times New Roman" w:hAnsi="Times New Roman"/>
          <w:sz w:val="24"/>
          <w:szCs w:val="24"/>
        </w:rPr>
      </w:pPr>
      <w:r>
        <w:rPr>
          <w:rFonts w:ascii="Times New Roman" w:hAnsi="Times New Roman"/>
          <w:sz w:val="24"/>
          <w:szCs w:val="24"/>
        </w:rPr>
        <w:t xml:space="preserve">Table 2: Difference in the perceived usefulness of gamified learning strategy for teaching science and vocational education courses by the respondents  </w:t>
      </w:r>
    </w:p>
    <w:p w14:paraId="08DF2CA1" w14:textId="77777777" w:rsidR="00F95402" w:rsidRDefault="00F95402">
      <w:pPr>
        <w:spacing w:line="360" w:lineRule="auto"/>
        <w:jc w:val="both"/>
        <w:rPr>
          <w:rFonts w:ascii="Times New Roman" w:hAnsi="Times New Roman"/>
          <w:sz w:val="24"/>
          <w:szCs w:val="24"/>
        </w:rPr>
      </w:pPr>
    </w:p>
    <w:tbl>
      <w:tblPr>
        <w:tblW w:w="8862" w:type="dxa"/>
        <w:jc w:val="center"/>
        <w:tblLayout w:type="fixed"/>
        <w:tblLook w:val="04A0" w:firstRow="1" w:lastRow="0" w:firstColumn="1" w:lastColumn="0" w:noHBand="0" w:noVBand="1"/>
      </w:tblPr>
      <w:tblGrid>
        <w:gridCol w:w="1353"/>
        <w:gridCol w:w="712"/>
        <w:gridCol w:w="1171"/>
        <w:gridCol w:w="1312"/>
        <w:gridCol w:w="1200"/>
        <w:gridCol w:w="1002"/>
        <w:gridCol w:w="928"/>
        <w:gridCol w:w="917"/>
        <w:gridCol w:w="267"/>
      </w:tblGrid>
      <w:tr w:rsidR="00F95402" w14:paraId="035B93ED" w14:textId="77777777" w:rsidTr="00ED3847">
        <w:trPr>
          <w:trHeight w:val="569"/>
          <w:jc w:val="center"/>
        </w:trPr>
        <w:tc>
          <w:tcPr>
            <w:tcW w:w="1353" w:type="dxa"/>
            <w:tcBorders>
              <w:top w:val="single" w:sz="8" w:space="0" w:color="000000"/>
              <w:bottom w:val="single" w:sz="8" w:space="0" w:color="000000"/>
            </w:tcBorders>
            <w:shd w:val="clear" w:color="FFFFFF" w:fill="FFFFFF"/>
            <w:tcMar>
              <w:top w:w="0" w:type="dxa"/>
              <w:left w:w="108" w:type="dxa"/>
              <w:bottom w:w="0" w:type="dxa"/>
              <w:right w:w="108" w:type="dxa"/>
            </w:tcMar>
          </w:tcPr>
          <w:p w14:paraId="74BFD5A8" w14:textId="77777777" w:rsidR="00F95402" w:rsidRDefault="00D96808" w:rsidP="00ED3847">
            <w:pPr>
              <w:autoSpaceDE w:val="0"/>
              <w:autoSpaceDN w:val="0"/>
              <w:adjustRightInd w:val="0"/>
              <w:rPr>
                <w:rFonts w:ascii="Times New Roman" w:hAnsi="Times New Roman"/>
                <w:sz w:val="24"/>
                <w:szCs w:val="24"/>
              </w:rPr>
            </w:pPr>
            <w:r>
              <w:rPr>
                <w:rFonts w:ascii="Times New Roman" w:hAnsi="Times New Roman"/>
                <w:b/>
                <w:bCs/>
                <w:sz w:val="24"/>
                <w:szCs w:val="24"/>
              </w:rPr>
              <w:t>Variable</w:t>
            </w:r>
          </w:p>
        </w:tc>
        <w:tc>
          <w:tcPr>
            <w:tcW w:w="712" w:type="dxa"/>
            <w:tcBorders>
              <w:top w:val="single" w:sz="8" w:space="0" w:color="000000"/>
              <w:bottom w:val="single" w:sz="8" w:space="0" w:color="000000"/>
            </w:tcBorders>
            <w:shd w:val="clear" w:color="FFFFFF" w:fill="FFFFFF"/>
            <w:tcMar>
              <w:top w:w="0" w:type="dxa"/>
              <w:left w:w="108" w:type="dxa"/>
              <w:bottom w:w="0" w:type="dxa"/>
              <w:right w:w="108" w:type="dxa"/>
            </w:tcMar>
          </w:tcPr>
          <w:p w14:paraId="7E749590"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N</w:t>
            </w:r>
          </w:p>
        </w:tc>
        <w:tc>
          <w:tcPr>
            <w:tcW w:w="1171" w:type="dxa"/>
            <w:tcBorders>
              <w:top w:val="single" w:sz="8" w:space="0" w:color="000000"/>
              <w:bottom w:val="single" w:sz="8" w:space="0" w:color="000000"/>
            </w:tcBorders>
            <w:shd w:val="clear" w:color="FFFFFF" w:fill="FFFFFF"/>
            <w:tcMar>
              <w:top w:w="0" w:type="dxa"/>
              <w:left w:w="108" w:type="dxa"/>
              <w:bottom w:w="0" w:type="dxa"/>
              <w:right w:w="108" w:type="dxa"/>
            </w:tcMar>
          </w:tcPr>
          <w:p w14:paraId="599ABCDB" w14:textId="77777777" w:rsidR="00F95402" w:rsidRDefault="00D96808" w:rsidP="00ED3847">
            <w:pPr>
              <w:autoSpaceDE w:val="0"/>
              <w:autoSpaceDN w:val="0"/>
              <w:adjustRightInd w:val="0"/>
              <w:ind w:right="60"/>
              <w:rPr>
                <w:rFonts w:ascii="Times New Roman" w:hAnsi="Times New Roman"/>
                <w:sz w:val="24"/>
                <w:szCs w:val="24"/>
              </w:rPr>
            </w:pPr>
            <w:r>
              <w:rPr>
                <w:rFonts w:ascii="Times New Roman" w:hAnsi="Times New Roman"/>
                <w:b/>
                <w:bCs/>
                <w:color w:val="000000"/>
                <w:sz w:val="24"/>
                <w:szCs w:val="24"/>
              </w:rPr>
              <w:t>Mean</w:t>
            </w:r>
          </w:p>
        </w:tc>
        <w:tc>
          <w:tcPr>
            <w:tcW w:w="1312" w:type="dxa"/>
            <w:tcBorders>
              <w:top w:val="single" w:sz="8" w:space="0" w:color="000000"/>
              <w:bottom w:val="single" w:sz="8" w:space="0" w:color="000000"/>
            </w:tcBorders>
            <w:shd w:val="clear" w:color="FFFFFF" w:fill="FFFFFF"/>
            <w:tcMar>
              <w:top w:w="0" w:type="dxa"/>
              <w:left w:w="108" w:type="dxa"/>
              <w:bottom w:w="0" w:type="dxa"/>
              <w:right w:w="108" w:type="dxa"/>
            </w:tcMar>
          </w:tcPr>
          <w:p w14:paraId="204C0E07"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SD</w:t>
            </w:r>
          </w:p>
        </w:tc>
        <w:tc>
          <w:tcPr>
            <w:tcW w:w="1200" w:type="dxa"/>
            <w:tcBorders>
              <w:top w:val="single" w:sz="8" w:space="0" w:color="000000"/>
              <w:bottom w:val="single" w:sz="8" w:space="0" w:color="000000"/>
            </w:tcBorders>
            <w:shd w:val="clear" w:color="FFFFFF" w:fill="FFFFFF"/>
            <w:tcMar>
              <w:top w:w="0" w:type="dxa"/>
              <w:left w:w="108" w:type="dxa"/>
              <w:bottom w:w="0" w:type="dxa"/>
              <w:right w:w="108" w:type="dxa"/>
            </w:tcMar>
          </w:tcPr>
          <w:p w14:paraId="20C2EEAC"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Std. Error</w:t>
            </w:r>
          </w:p>
        </w:tc>
        <w:tc>
          <w:tcPr>
            <w:tcW w:w="1002" w:type="dxa"/>
            <w:tcBorders>
              <w:top w:val="single" w:sz="8" w:space="0" w:color="000000"/>
              <w:bottom w:val="single" w:sz="8" w:space="0" w:color="000000"/>
            </w:tcBorders>
            <w:shd w:val="clear" w:color="FFFFFF" w:fill="FFFFFF"/>
            <w:tcMar>
              <w:top w:w="0" w:type="dxa"/>
              <w:left w:w="108" w:type="dxa"/>
              <w:bottom w:w="0" w:type="dxa"/>
              <w:right w:w="108" w:type="dxa"/>
            </w:tcMar>
          </w:tcPr>
          <w:p w14:paraId="714B04F0"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T</w:t>
            </w:r>
          </w:p>
        </w:tc>
        <w:tc>
          <w:tcPr>
            <w:tcW w:w="928" w:type="dxa"/>
            <w:tcBorders>
              <w:top w:val="single" w:sz="8" w:space="0" w:color="000000"/>
              <w:bottom w:val="single" w:sz="8" w:space="0" w:color="000000"/>
            </w:tcBorders>
            <w:shd w:val="clear" w:color="FFFFFF" w:fill="FFFFFF"/>
            <w:tcMar>
              <w:top w:w="0" w:type="dxa"/>
              <w:left w:w="108" w:type="dxa"/>
              <w:bottom w:w="0" w:type="dxa"/>
              <w:right w:w="108" w:type="dxa"/>
            </w:tcMar>
          </w:tcPr>
          <w:p w14:paraId="66095DD3"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sig</w:t>
            </w:r>
          </w:p>
        </w:tc>
        <w:tc>
          <w:tcPr>
            <w:tcW w:w="1184" w:type="dxa"/>
            <w:gridSpan w:val="2"/>
            <w:tcBorders>
              <w:top w:val="single" w:sz="8" w:space="0" w:color="000000"/>
            </w:tcBorders>
            <w:tcMar>
              <w:top w:w="0" w:type="dxa"/>
              <w:left w:w="108" w:type="dxa"/>
              <w:bottom w:w="0" w:type="dxa"/>
              <w:right w:w="108" w:type="dxa"/>
            </w:tcMar>
          </w:tcPr>
          <w:p w14:paraId="10616490"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Remark</w:t>
            </w:r>
          </w:p>
        </w:tc>
      </w:tr>
      <w:tr w:rsidR="00F95402" w14:paraId="3C4B7B6A" w14:textId="77777777" w:rsidTr="00ED3847">
        <w:trPr>
          <w:gridAfter w:val="1"/>
          <w:wAfter w:w="267" w:type="dxa"/>
          <w:trHeight w:val="757"/>
          <w:jc w:val="center"/>
        </w:trPr>
        <w:tc>
          <w:tcPr>
            <w:tcW w:w="1353" w:type="dxa"/>
            <w:tcBorders>
              <w:top w:val="single" w:sz="8" w:space="0" w:color="000000"/>
            </w:tcBorders>
            <w:shd w:val="clear" w:color="FFFFFF" w:fill="FFFFFF"/>
            <w:tcMar>
              <w:top w:w="0" w:type="dxa"/>
              <w:left w:w="108" w:type="dxa"/>
              <w:bottom w:w="0" w:type="dxa"/>
              <w:right w:w="108" w:type="dxa"/>
            </w:tcMar>
          </w:tcPr>
          <w:p w14:paraId="6B4693A2" w14:textId="77777777" w:rsidR="00F95402" w:rsidRDefault="00D96808" w:rsidP="00ED3847">
            <w:pPr>
              <w:autoSpaceDE w:val="0"/>
              <w:autoSpaceDN w:val="0"/>
              <w:spacing w:line="240" w:lineRule="auto"/>
              <w:rPr>
                <w:rFonts w:ascii="Times New Roman" w:hAnsi="Times New Roman"/>
                <w:sz w:val="24"/>
                <w:szCs w:val="24"/>
              </w:rPr>
            </w:pPr>
            <w:r>
              <w:rPr>
                <w:rFonts w:ascii="Times New Roman" w:hAnsi="Times New Roman"/>
                <w:sz w:val="24"/>
                <w:szCs w:val="24"/>
              </w:rPr>
              <w:t xml:space="preserve">Pre-service Teachers </w:t>
            </w:r>
          </w:p>
        </w:tc>
        <w:tc>
          <w:tcPr>
            <w:tcW w:w="712" w:type="dxa"/>
            <w:tcBorders>
              <w:top w:val="single" w:sz="8" w:space="0" w:color="000000"/>
            </w:tcBorders>
            <w:shd w:val="clear" w:color="FFFFFF" w:fill="FFFFFF"/>
            <w:tcMar>
              <w:top w:w="0" w:type="dxa"/>
              <w:left w:w="108" w:type="dxa"/>
              <w:bottom w:w="0" w:type="dxa"/>
              <w:right w:w="108" w:type="dxa"/>
            </w:tcMar>
            <w:vAlign w:val="center"/>
          </w:tcPr>
          <w:p w14:paraId="0D9A91F6"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hAnsi="Times New Roman"/>
                <w:sz w:val="24"/>
                <w:szCs w:val="24"/>
              </w:rPr>
              <w:t>200</w:t>
            </w:r>
          </w:p>
        </w:tc>
        <w:tc>
          <w:tcPr>
            <w:tcW w:w="1171" w:type="dxa"/>
            <w:tcBorders>
              <w:top w:val="single" w:sz="8" w:space="0" w:color="000000"/>
            </w:tcBorders>
            <w:shd w:val="clear" w:color="FFFFFF" w:fill="FFFFFF"/>
            <w:tcMar>
              <w:top w:w="0" w:type="dxa"/>
              <w:left w:w="108" w:type="dxa"/>
              <w:bottom w:w="0" w:type="dxa"/>
              <w:right w:w="108" w:type="dxa"/>
            </w:tcMar>
            <w:vAlign w:val="center"/>
          </w:tcPr>
          <w:p w14:paraId="7DDE3140"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17.71</w:t>
            </w:r>
          </w:p>
        </w:tc>
        <w:tc>
          <w:tcPr>
            <w:tcW w:w="1312" w:type="dxa"/>
            <w:tcBorders>
              <w:top w:val="single" w:sz="8" w:space="0" w:color="000000"/>
            </w:tcBorders>
            <w:shd w:val="clear" w:color="FFFFFF" w:fill="FFFFFF"/>
            <w:tcMar>
              <w:top w:w="0" w:type="dxa"/>
              <w:left w:w="108" w:type="dxa"/>
              <w:bottom w:w="0" w:type="dxa"/>
              <w:right w:w="108" w:type="dxa"/>
            </w:tcMar>
            <w:vAlign w:val="center"/>
          </w:tcPr>
          <w:p w14:paraId="50146EDE"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3.120</w:t>
            </w:r>
          </w:p>
        </w:tc>
        <w:tc>
          <w:tcPr>
            <w:tcW w:w="1200" w:type="dxa"/>
            <w:vMerge w:val="restart"/>
            <w:tcBorders>
              <w:top w:val="single" w:sz="8" w:space="0" w:color="000000"/>
              <w:bottom w:val="single" w:sz="8" w:space="0" w:color="000000"/>
            </w:tcBorders>
            <w:shd w:val="clear" w:color="FFFFFF" w:fill="FFFFFF"/>
            <w:tcMar>
              <w:top w:w="0" w:type="dxa"/>
              <w:left w:w="108" w:type="dxa"/>
              <w:bottom w:w="0" w:type="dxa"/>
              <w:right w:w="108" w:type="dxa"/>
            </w:tcMar>
            <w:vAlign w:val="center"/>
          </w:tcPr>
          <w:p w14:paraId="3AEE15FD" w14:textId="77777777" w:rsidR="00F95402" w:rsidRDefault="00D96808" w:rsidP="00ED3847">
            <w:pPr>
              <w:autoSpaceDE w:val="0"/>
              <w:autoSpaceDN w:val="0"/>
              <w:adjustRightInd w:val="0"/>
              <w:spacing w:line="240" w:lineRule="auto"/>
              <w:ind w:left="60" w:right="60"/>
              <w:jc w:val="center"/>
              <w:rPr>
                <w:rFonts w:ascii="Times New Roman" w:hAnsi="Times New Roman"/>
                <w:sz w:val="24"/>
                <w:szCs w:val="24"/>
              </w:rPr>
            </w:pPr>
            <w:r>
              <w:rPr>
                <w:rFonts w:ascii="Times New Roman" w:eastAsia="Palatino Linotype" w:hAnsi="Times New Roman"/>
                <w:sz w:val="24"/>
                <w:szCs w:val="24"/>
              </w:rPr>
              <w:t>.263</w:t>
            </w:r>
          </w:p>
          <w:p w14:paraId="5ACE4E7F" w14:textId="77777777" w:rsidR="00F95402" w:rsidRDefault="00D96808" w:rsidP="00ED3847">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.256</w:t>
            </w:r>
          </w:p>
        </w:tc>
        <w:tc>
          <w:tcPr>
            <w:tcW w:w="1002" w:type="dxa"/>
            <w:vMerge w:val="restart"/>
            <w:tcBorders>
              <w:top w:val="single" w:sz="8" w:space="0" w:color="000000"/>
              <w:bottom w:val="single" w:sz="8" w:space="0" w:color="000000"/>
            </w:tcBorders>
            <w:shd w:val="clear" w:color="FFFFFF" w:fill="FFFFFF"/>
            <w:tcMar>
              <w:top w:w="0" w:type="dxa"/>
              <w:left w:w="108" w:type="dxa"/>
              <w:bottom w:w="0" w:type="dxa"/>
              <w:right w:w="108" w:type="dxa"/>
            </w:tcMar>
          </w:tcPr>
          <w:p w14:paraId="37A631D5"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-1.609</w:t>
            </w:r>
          </w:p>
          <w:p w14:paraId="7DD28E18"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-1.621</w:t>
            </w:r>
          </w:p>
        </w:tc>
        <w:tc>
          <w:tcPr>
            <w:tcW w:w="928" w:type="dxa"/>
            <w:vMerge w:val="restart"/>
            <w:tcBorders>
              <w:top w:val="single" w:sz="8" w:space="0" w:color="000000"/>
              <w:bottom w:val="single" w:sz="8" w:space="0" w:color="000000"/>
            </w:tcBorders>
            <w:shd w:val="clear" w:color="FFFFFF" w:fill="FFFFFF"/>
            <w:tcMar>
              <w:top w:w="0" w:type="dxa"/>
              <w:left w:w="108" w:type="dxa"/>
              <w:bottom w:w="0" w:type="dxa"/>
              <w:right w:w="108" w:type="dxa"/>
            </w:tcMar>
          </w:tcPr>
          <w:p w14:paraId="11A22722"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.109*</w:t>
            </w:r>
          </w:p>
        </w:tc>
        <w:tc>
          <w:tcPr>
            <w:tcW w:w="917" w:type="dxa"/>
            <w:tcMar>
              <w:top w:w="0" w:type="dxa"/>
              <w:left w:w="108" w:type="dxa"/>
              <w:bottom w:w="0" w:type="dxa"/>
              <w:right w:w="108" w:type="dxa"/>
            </w:tcMar>
          </w:tcPr>
          <w:p w14:paraId="14C3F2EF"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 N</w:t>
            </w:r>
            <w:r>
              <w:rPr>
                <w:rFonts w:ascii="Times New Roman" w:hAnsi="Times New Roman"/>
                <w:color w:val="000000"/>
                <w:sz w:val="24"/>
                <w:szCs w:val="24"/>
              </w:rPr>
              <w:t>S</w:t>
            </w:r>
          </w:p>
        </w:tc>
      </w:tr>
      <w:tr w:rsidR="00F95402" w14:paraId="07C0AF79" w14:textId="77777777" w:rsidTr="00ED3847">
        <w:trPr>
          <w:gridAfter w:val="1"/>
          <w:wAfter w:w="267" w:type="dxa"/>
          <w:trHeight w:val="323"/>
          <w:jc w:val="center"/>
        </w:trPr>
        <w:tc>
          <w:tcPr>
            <w:tcW w:w="1353" w:type="dxa"/>
            <w:tcBorders>
              <w:bottom w:val="single" w:sz="8" w:space="0" w:color="000000"/>
            </w:tcBorders>
            <w:shd w:val="clear" w:color="FFFFFF" w:fill="FFFFFF"/>
            <w:tcMar>
              <w:top w:w="0" w:type="dxa"/>
              <w:left w:w="108" w:type="dxa"/>
              <w:bottom w:w="0" w:type="dxa"/>
              <w:right w:w="108" w:type="dxa"/>
            </w:tcMar>
          </w:tcPr>
          <w:p w14:paraId="36CA5B03" w14:textId="77777777" w:rsidR="00F95402" w:rsidRDefault="00D96808" w:rsidP="00ED3847">
            <w:pPr>
              <w:autoSpaceDE w:val="0"/>
              <w:autoSpaceDN w:val="0"/>
              <w:spacing w:line="240" w:lineRule="auto"/>
              <w:rPr>
                <w:rFonts w:ascii="Times New Roman" w:hAnsi="Times New Roman"/>
                <w:sz w:val="24"/>
                <w:szCs w:val="24"/>
              </w:rPr>
            </w:pPr>
            <w:r>
              <w:rPr>
                <w:rFonts w:ascii="Times New Roman" w:hAnsi="Times New Roman"/>
                <w:sz w:val="24"/>
                <w:szCs w:val="24"/>
              </w:rPr>
              <w:t xml:space="preserve">Lecturers </w:t>
            </w:r>
          </w:p>
        </w:tc>
        <w:tc>
          <w:tcPr>
            <w:tcW w:w="712" w:type="dxa"/>
            <w:tcBorders>
              <w:bottom w:val="single" w:sz="8" w:space="0" w:color="000000"/>
            </w:tcBorders>
            <w:shd w:val="clear" w:color="FFFFFF" w:fill="FFFFFF"/>
            <w:tcMar>
              <w:top w:w="0" w:type="dxa"/>
              <w:left w:w="108" w:type="dxa"/>
              <w:bottom w:w="0" w:type="dxa"/>
              <w:right w:w="108" w:type="dxa"/>
            </w:tcMar>
            <w:vAlign w:val="center"/>
          </w:tcPr>
          <w:p w14:paraId="0C126333"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20</w:t>
            </w:r>
          </w:p>
        </w:tc>
        <w:tc>
          <w:tcPr>
            <w:tcW w:w="1171" w:type="dxa"/>
            <w:tcBorders>
              <w:bottom w:val="single" w:sz="8" w:space="0" w:color="000000"/>
            </w:tcBorders>
            <w:shd w:val="clear" w:color="FFFFFF" w:fill="FFFFFF"/>
            <w:tcMar>
              <w:top w:w="0" w:type="dxa"/>
              <w:left w:w="108" w:type="dxa"/>
              <w:bottom w:w="0" w:type="dxa"/>
              <w:right w:w="108" w:type="dxa"/>
            </w:tcMar>
            <w:vAlign w:val="center"/>
          </w:tcPr>
          <w:p w14:paraId="38745E97"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18.30</w:t>
            </w:r>
          </w:p>
        </w:tc>
        <w:tc>
          <w:tcPr>
            <w:tcW w:w="1312" w:type="dxa"/>
            <w:tcBorders>
              <w:bottom w:val="single" w:sz="8" w:space="0" w:color="000000"/>
            </w:tcBorders>
            <w:shd w:val="clear" w:color="FFFFFF" w:fill="FFFFFF"/>
            <w:tcMar>
              <w:top w:w="0" w:type="dxa"/>
              <w:left w:w="108" w:type="dxa"/>
              <w:bottom w:w="0" w:type="dxa"/>
              <w:right w:w="108" w:type="dxa"/>
            </w:tcMar>
            <w:vAlign w:val="center"/>
          </w:tcPr>
          <w:p w14:paraId="635D9022"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2.822</w:t>
            </w:r>
          </w:p>
        </w:tc>
        <w:tc>
          <w:tcPr>
            <w:tcW w:w="1200" w:type="dxa"/>
            <w:vMerge/>
            <w:tcBorders>
              <w:top w:val="single" w:sz="8" w:space="0" w:color="000000"/>
              <w:bottom w:val="single" w:sz="8" w:space="0" w:color="000000"/>
            </w:tcBorders>
            <w:shd w:val="clear" w:color="FFFFFF" w:fill="FFFFFF"/>
            <w:vAlign w:val="center"/>
          </w:tcPr>
          <w:p w14:paraId="176F5AEB" w14:textId="77777777" w:rsidR="00F95402" w:rsidRDefault="00F95402" w:rsidP="00ED3847">
            <w:pPr>
              <w:autoSpaceDE w:val="0"/>
              <w:autoSpaceDN w:val="0"/>
              <w:adjustRightInd w:val="0"/>
              <w:ind w:left="60" w:right="60"/>
              <w:jc w:val="center"/>
              <w:rPr>
                <w:rFonts w:ascii="Times New Roman" w:hAnsi="Times New Roman"/>
                <w:sz w:val="24"/>
                <w:szCs w:val="24"/>
              </w:rPr>
            </w:pPr>
          </w:p>
        </w:tc>
        <w:tc>
          <w:tcPr>
            <w:tcW w:w="1002" w:type="dxa"/>
            <w:vMerge/>
            <w:tcBorders>
              <w:top w:val="single" w:sz="8" w:space="0" w:color="000000"/>
              <w:bottom w:val="single" w:sz="8" w:space="0" w:color="000000"/>
            </w:tcBorders>
            <w:shd w:val="clear" w:color="FFFFFF" w:fill="FFFFFF"/>
          </w:tcPr>
          <w:p w14:paraId="25FFB8CC" w14:textId="77777777" w:rsidR="00F95402" w:rsidRDefault="00F95402" w:rsidP="00ED3847">
            <w:pPr>
              <w:autoSpaceDE w:val="0"/>
              <w:autoSpaceDN w:val="0"/>
              <w:adjustRightInd w:val="0"/>
              <w:ind w:left="60" w:right="60"/>
              <w:rPr>
                <w:rFonts w:ascii="Times New Roman" w:hAnsi="Times New Roman"/>
                <w:sz w:val="24"/>
                <w:szCs w:val="24"/>
              </w:rPr>
            </w:pPr>
          </w:p>
        </w:tc>
        <w:tc>
          <w:tcPr>
            <w:tcW w:w="928" w:type="dxa"/>
            <w:vMerge/>
            <w:tcBorders>
              <w:top w:val="single" w:sz="8" w:space="0" w:color="000000"/>
              <w:bottom w:val="single" w:sz="8" w:space="0" w:color="000000"/>
            </w:tcBorders>
            <w:shd w:val="clear" w:color="FFFFFF" w:fill="FFFFFF"/>
          </w:tcPr>
          <w:p w14:paraId="5E613244" w14:textId="77777777" w:rsidR="00F95402" w:rsidRDefault="00F95402" w:rsidP="00ED3847">
            <w:pPr>
              <w:autoSpaceDE w:val="0"/>
              <w:autoSpaceDN w:val="0"/>
              <w:adjustRightInd w:val="0"/>
              <w:ind w:left="60" w:right="60"/>
              <w:rPr>
                <w:rFonts w:ascii="Times New Roman" w:hAnsi="Times New Roman"/>
                <w:sz w:val="24"/>
                <w:szCs w:val="24"/>
              </w:rPr>
            </w:pPr>
          </w:p>
        </w:tc>
        <w:tc>
          <w:tcPr>
            <w:tcW w:w="917" w:type="dxa"/>
            <w:tcBorders>
              <w:bottom w:val="single" w:sz="8" w:space="0" w:color="000000"/>
            </w:tcBorders>
            <w:tcMar>
              <w:top w:w="0" w:type="dxa"/>
              <w:left w:w="108" w:type="dxa"/>
              <w:bottom w:w="0" w:type="dxa"/>
              <w:right w:w="108" w:type="dxa"/>
            </w:tcMar>
          </w:tcPr>
          <w:p w14:paraId="51D23178" w14:textId="77777777" w:rsidR="00F95402" w:rsidRDefault="00F95402" w:rsidP="00ED3847">
            <w:pPr>
              <w:rPr>
                <w:rFonts w:ascii="Times New Roman" w:hAnsi="Times New Roman"/>
                <w:sz w:val="24"/>
                <w:szCs w:val="24"/>
              </w:rPr>
            </w:pPr>
          </w:p>
        </w:tc>
      </w:tr>
    </w:tbl>
    <w:p w14:paraId="4F32A30D"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Table 2 shows the results of t-test analysis conducted to compare the difference in the perceived usefulness of gamified learning strategy for </w:t>
      </w:r>
      <w:r>
        <w:rPr>
          <w:rFonts w:ascii="Times New Roman" w:hAnsi="Times New Roman"/>
          <w:sz w:val="24"/>
          <w:szCs w:val="24"/>
        </w:rPr>
        <w:t>teaching science and vocational education courses by lecturers and pre-service teachers. There was no statistically significant difference in the mean ratings of Science and Vocational Education lecturers and pre-service teachers regarding the usefulness o</w:t>
      </w:r>
      <w:r>
        <w:rPr>
          <w:rFonts w:ascii="Times New Roman" w:hAnsi="Times New Roman"/>
          <w:sz w:val="24"/>
          <w:szCs w:val="24"/>
        </w:rPr>
        <w:t>f gamification, Pre-service Teachers (M=17.71, SD = 3.12) and Lecturers (M =18.30,SD = 2.82) conditions; t(261)= -1.609, p = .109.</w:t>
      </w:r>
    </w:p>
    <w:p w14:paraId="64A5F6AC"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H02: </w:t>
      </w:r>
      <w:r>
        <w:rPr>
          <w:rFonts w:ascii="Times New Roman" w:hAnsi="Times New Roman"/>
          <w:sz w:val="24"/>
          <w:szCs w:val="24"/>
        </w:rPr>
        <w:tab/>
        <w:t>There is no statistically significant difference in the perceived usefulness of use of gamified learning strategy for t</w:t>
      </w:r>
      <w:r>
        <w:rPr>
          <w:rFonts w:ascii="Times New Roman" w:hAnsi="Times New Roman"/>
          <w:sz w:val="24"/>
          <w:szCs w:val="24"/>
        </w:rPr>
        <w:t>eaching science and vocational education courses by lecturers and pre-service teachers based on gender</w:t>
      </w:r>
    </w:p>
    <w:p w14:paraId="4DF5133A"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Table 3: Difference in the perceived usefulness of use of gamified learning strategy for teaching science and vocational education courses by lecturers a</w:t>
      </w:r>
      <w:r>
        <w:rPr>
          <w:rFonts w:ascii="Times New Roman" w:hAnsi="Times New Roman"/>
          <w:sz w:val="24"/>
          <w:szCs w:val="24"/>
        </w:rPr>
        <w:t>nd pre-service teachers based on gender</w:t>
      </w:r>
    </w:p>
    <w:tbl>
      <w:tblPr>
        <w:tblW w:w="8862" w:type="dxa"/>
        <w:jc w:val="center"/>
        <w:tblLayout w:type="fixed"/>
        <w:tblLook w:val="04A0" w:firstRow="1" w:lastRow="0" w:firstColumn="1" w:lastColumn="0" w:noHBand="0" w:noVBand="1"/>
      </w:tblPr>
      <w:tblGrid>
        <w:gridCol w:w="1353"/>
        <w:gridCol w:w="712"/>
        <w:gridCol w:w="1171"/>
        <w:gridCol w:w="1312"/>
        <w:gridCol w:w="1200"/>
        <w:gridCol w:w="1002"/>
        <w:gridCol w:w="928"/>
        <w:gridCol w:w="917"/>
        <w:gridCol w:w="267"/>
      </w:tblGrid>
      <w:tr w:rsidR="00F95402" w14:paraId="3982E6C0" w14:textId="77777777" w:rsidTr="00ED3847">
        <w:trPr>
          <w:trHeight w:val="569"/>
          <w:jc w:val="center"/>
        </w:trPr>
        <w:tc>
          <w:tcPr>
            <w:tcW w:w="1353" w:type="dxa"/>
            <w:tcBorders>
              <w:top w:val="single" w:sz="4" w:space="0" w:color="auto"/>
            </w:tcBorders>
            <w:shd w:val="clear" w:color="FFFFFF" w:fill="FFFFFF"/>
            <w:tcMar>
              <w:top w:w="0" w:type="dxa"/>
              <w:left w:w="108" w:type="dxa"/>
              <w:bottom w:w="0" w:type="dxa"/>
              <w:right w:w="108" w:type="dxa"/>
            </w:tcMar>
          </w:tcPr>
          <w:p w14:paraId="4DEF83BE" w14:textId="77777777" w:rsidR="00F95402" w:rsidRDefault="00D96808" w:rsidP="00ED3847">
            <w:pPr>
              <w:autoSpaceDE w:val="0"/>
              <w:autoSpaceDN w:val="0"/>
              <w:adjustRightInd w:val="0"/>
              <w:rPr>
                <w:rFonts w:ascii="Times New Roman" w:hAnsi="Times New Roman"/>
                <w:sz w:val="24"/>
                <w:szCs w:val="24"/>
              </w:rPr>
            </w:pPr>
            <w:r>
              <w:rPr>
                <w:rFonts w:ascii="Times New Roman" w:hAnsi="Times New Roman"/>
                <w:b/>
                <w:bCs/>
                <w:sz w:val="24"/>
                <w:szCs w:val="24"/>
              </w:rPr>
              <w:lastRenderedPageBreak/>
              <w:t>Variable</w:t>
            </w:r>
          </w:p>
        </w:tc>
        <w:tc>
          <w:tcPr>
            <w:tcW w:w="712" w:type="dxa"/>
            <w:tcBorders>
              <w:top w:val="single" w:sz="4" w:space="0" w:color="auto"/>
            </w:tcBorders>
            <w:shd w:val="clear" w:color="FFFFFF" w:fill="FFFFFF"/>
            <w:tcMar>
              <w:top w:w="0" w:type="dxa"/>
              <w:left w:w="108" w:type="dxa"/>
              <w:bottom w:w="0" w:type="dxa"/>
              <w:right w:w="108" w:type="dxa"/>
            </w:tcMar>
          </w:tcPr>
          <w:p w14:paraId="789DEA89"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N</w:t>
            </w:r>
          </w:p>
        </w:tc>
        <w:tc>
          <w:tcPr>
            <w:tcW w:w="1171" w:type="dxa"/>
            <w:tcBorders>
              <w:top w:val="single" w:sz="4" w:space="0" w:color="auto"/>
            </w:tcBorders>
            <w:shd w:val="clear" w:color="FFFFFF" w:fill="FFFFFF"/>
            <w:tcMar>
              <w:top w:w="0" w:type="dxa"/>
              <w:left w:w="108" w:type="dxa"/>
              <w:bottom w:w="0" w:type="dxa"/>
              <w:right w:w="108" w:type="dxa"/>
            </w:tcMar>
          </w:tcPr>
          <w:p w14:paraId="5D3B73CB" w14:textId="77777777" w:rsidR="00F95402" w:rsidRDefault="00D96808" w:rsidP="00ED3847">
            <w:pPr>
              <w:autoSpaceDE w:val="0"/>
              <w:autoSpaceDN w:val="0"/>
              <w:adjustRightInd w:val="0"/>
              <w:ind w:right="60"/>
              <w:rPr>
                <w:rFonts w:ascii="Times New Roman" w:hAnsi="Times New Roman"/>
                <w:sz w:val="24"/>
                <w:szCs w:val="24"/>
              </w:rPr>
            </w:pPr>
            <w:r>
              <w:rPr>
                <w:rFonts w:ascii="Times New Roman" w:hAnsi="Times New Roman"/>
                <w:b/>
                <w:bCs/>
                <w:color w:val="000000"/>
                <w:sz w:val="24"/>
                <w:szCs w:val="24"/>
              </w:rPr>
              <w:t>Mean</w:t>
            </w:r>
          </w:p>
        </w:tc>
        <w:tc>
          <w:tcPr>
            <w:tcW w:w="1312" w:type="dxa"/>
            <w:tcBorders>
              <w:top w:val="single" w:sz="4" w:space="0" w:color="auto"/>
            </w:tcBorders>
            <w:shd w:val="clear" w:color="FFFFFF" w:fill="FFFFFF"/>
            <w:tcMar>
              <w:top w:w="0" w:type="dxa"/>
              <w:left w:w="108" w:type="dxa"/>
              <w:bottom w:w="0" w:type="dxa"/>
              <w:right w:w="108" w:type="dxa"/>
            </w:tcMar>
          </w:tcPr>
          <w:p w14:paraId="4CD60D7C"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SD</w:t>
            </w:r>
          </w:p>
        </w:tc>
        <w:tc>
          <w:tcPr>
            <w:tcW w:w="1200" w:type="dxa"/>
            <w:tcBorders>
              <w:top w:val="single" w:sz="4" w:space="0" w:color="auto"/>
            </w:tcBorders>
            <w:shd w:val="clear" w:color="FFFFFF" w:fill="FFFFFF"/>
            <w:tcMar>
              <w:top w:w="0" w:type="dxa"/>
              <w:left w:w="108" w:type="dxa"/>
              <w:bottom w:w="0" w:type="dxa"/>
              <w:right w:w="108" w:type="dxa"/>
            </w:tcMar>
          </w:tcPr>
          <w:p w14:paraId="4AD0269D"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Std. Error</w:t>
            </w:r>
          </w:p>
        </w:tc>
        <w:tc>
          <w:tcPr>
            <w:tcW w:w="1002" w:type="dxa"/>
            <w:tcBorders>
              <w:top w:val="single" w:sz="4" w:space="0" w:color="auto"/>
            </w:tcBorders>
            <w:shd w:val="clear" w:color="FFFFFF" w:fill="FFFFFF"/>
            <w:tcMar>
              <w:top w:w="0" w:type="dxa"/>
              <w:left w:w="108" w:type="dxa"/>
              <w:bottom w:w="0" w:type="dxa"/>
              <w:right w:w="108" w:type="dxa"/>
            </w:tcMar>
          </w:tcPr>
          <w:p w14:paraId="2E662356"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T</w:t>
            </w:r>
          </w:p>
        </w:tc>
        <w:tc>
          <w:tcPr>
            <w:tcW w:w="928" w:type="dxa"/>
            <w:tcBorders>
              <w:top w:val="single" w:sz="4" w:space="0" w:color="auto"/>
            </w:tcBorders>
            <w:shd w:val="clear" w:color="FFFFFF" w:fill="FFFFFF"/>
            <w:tcMar>
              <w:top w:w="0" w:type="dxa"/>
              <w:left w:w="108" w:type="dxa"/>
              <w:bottom w:w="0" w:type="dxa"/>
              <w:right w:w="108" w:type="dxa"/>
            </w:tcMar>
          </w:tcPr>
          <w:p w14:paraId="1F666CF7"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sig</w:t>
            </w:r>
          </w:p>
        </w:tc>
        <w:tc>
          <w:tcPr>
            <w:tcW w:w="1184" w:type="dxa"/>
            <w:gridSpan w:val="2"/>
            <w:tcBorders>
              <w:top w:val="single" w:sz="4" w:space="0" w:color="auto"/>
            </w:tcBorders>
            <w:tcMar>
              <w:top w:w="0" w:type="dxa"/>
              <w:left w:w="108" w:type="dxa"/>
              <w:bottom w:w="0" w:type="dxa"/>
              <w:right w:w="108" w:type="dxa"/>
            </w:tcMar>
          </w:tcPr>
          <w:p w14:paraId="376F0796"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b/>
                <w:bCs/>
                <w:color w:val="000000"/>
                <w:sz w:val="24"/>
                <w:szCs w:val="24"/>
              </w:rPr>
              <w:t>Remark</w:t>
            </w:r>
          </w:p>
        </w:tc>
      </w:tr>
      <w:tr w:rsidR="00F95402" w14:paraId="6C189C3F" w14:textId="77777777" w:rsidTr="00ED3847">
        <w:trPr>
          <w:gridAfter w:val="1"/>
          <w:wAfter w:w="267" w:type="dxa"/>
          <w:trHeight w:val="292"/>
          <w:jc w:val="center"/>
        </w:trPr>
        <w:tc>
          <w:tcPr>
            <w:tcW w:w="1353" w:type="dxa"/>
            <w:shd w:val="clear" w:color="FFFFFF" w:fill="FFFFFF"/>
            <w:tcMar>
              <w:top w:w="0" w:type="dxa"/>
              <w:left w:w="108" w:type="dxa"/>
              <w:bottom w:w="0" w:type="dxa"/>
              <w:right w:w="108" w:type="dxa"/>
            </w:tcMar>
          </w:tcPr>
          <w:p w14:paraId="6DDB24BF" w14:textId="77777777" w:rsidR="00F95402" w:rsidRDefault="00D96808" w:rsidP="00ED3847">
            <w:pPr>
              <w:autoSpaceDE w:val="0"/>
              <w:autoSpaceDN w:val="0"/>
              <w:spacing w:line="240" w:lineRule="auto"/>
              <w:rPr>
                <w:rFonts w:ascii="Times New Roman" w:hAnsi="Times New Roman"/>
                <w:sz w:val="24"/>
                <w:szCs w:val="24"/>
              </w:rPr>
            </w:pPr>
            <w:r>
              <w:rPr>
                <w:rFonts w:ascii="Times New Roman" w:eastAsia="Palatino Linotype" w:hAnsi="Times New Roman"/>
                <w:sz w:val="24"/>
                <w:szCs w:val="24"/>
              </w:rPr>
              <w:t>Male</w:t>
            </w:r>
          </w:p>
        </w:tc>
        <w:tc>
          <w:tcPr>
            <w:tcW w:w="712" w:type="dxa"/>
            <w:shd w:val="clear" w:color="FFFFFF" w:fill="FFFFFF"/>
            <w:tcMar>
              <w:top w:w="0" w:type="dxa"/>
              <w:left w:w="108" w:type="dxa"/>
              <w:bottom w:w="0" w:type="dxa"/>
              <w:right w:w="108" w:type="dxa"/>
            </w:tcMar>
            <w:vAlign w:val="center"/>
          </w:tcPr>
          <w:p w14:paraId="0B1D9ACB"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121</w:t>
            </w:r>
          </w:p>
        </w:tc>
        <w:tc>
          <w:tcPr>
            <w:tcW w:w="1171" w:type="dxa"/>
            <w:shd w:val="clear" w:color="FFFFFF" w:fill="FFFFFF"/>
            <w:tcMar>
              <w:top w:w="0" w:type="dxa"/>
              <w:left w:w="108" w:type="dxa"/>
              <w:bottom w:w="0" w:type="dxa"/>
              <w:right w:w="108" w:type="dxa"/>
            </w:tcMar>
            <w:vAlign w:val="center"/>
          </w:tcPr>
          <w:p w14:paraId="09C80456"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17.40</w:t>
            </w:r>
          </w:p>
        </w:tc>
        <w:tc>
          <w:tcPr>
            <w:tcW w:w="1312" w:type="dxa"/>
            <w:shd w:val="clear" w:color="FFFFFF" w:fill="FFFFFF"/>
            <w:tcMar>
              <w:top w:w="0" w:type="dxa"/>
              <w:left w:w="108" w:type="dxa"/>
              <w:bottom w:w="0" w:type="dxa"/>
              <w:right w:w="108" w:type="dxa"/>
            </w:tcMar>
            <w:vAlign w:val="center"/>
          </w:tcPr>
          <w:p w14:paraId="595B1F9F"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2.981</w:t>
            </w:r>
          </w:p>
        </w:tc>
        <w:tc>
          <w:tcPr>
            <w:tcW w:w="1200" w:type="dxa"/>
            <w:vMerge w:val="restart"/>
            <w:tcBorders>
              <w:bottom w:val="single" w:sz="4" w:space="0" w:color="auto"/>
            </w:tcBorders>
            <w:shd w:val="clear" w:color="FFFFFF" w:fill="FFFFFF"/>
            <w:tcMar>
              <w:top w:w="0" w:type="dxa"/>
              <w:left w:w="108" w:type="dxa"/>
              <w:bottom w:w="0" w:type="dxa"/>
              <w:right w:w="108" w:type="dxa"/>
            </w:tcMar>
            <w:vAlign w:val="center"/>
          </w:tcPr>
          <w:p w14:paraId="17D90270" w14:textId="77777777" w:rsidR="00F95402" w:rsidRDefault="00D96808" w:rsidP="00ED3847">
            <w:pPr>
              <w:autoSpaceDE w:val="0"/>
              <w:autoSpaceDN w:val="0"/>
              <w:adjustRightInd w:val="0"/>
              <w:spacing w:line="240" w:lineRule="auto"/>
              <w:ind w:left="60" w:right="60"/>
              <w:jc w:val="center"/>
              <w:rPr>
                <w:rFonts w:ascii="Times New Roman" w:hAnsi="Times New Roman"/>
                <w:sz w:val="24"/>
                <w:szCs w:val="24"/>
              </w:rPr>
            </w:pPr>
            <w:r>
              <w:rPr>
                <w:rFonts w:ascii="Times New Roman" w:eastAsia="Palatino Linotype" w:hAnsi="Times New Roman"/>
                <w:sz w:val="24"/>
                <w:szCs w:val="24"/>
              </w:rPr>
              <w:t>.251</w:t>
            </w:r>
          </w:p>
          <w:p w14:paraId="7B3F36D6" w14:textId="77777777" w:rsidR="00F95402" w:rsidRDefault="00D96808" w:rsidP="00ED3847">
            <w:pPr>
              <w:autoSpaceDE w:val="0"/>
              <w:autoSpaceDN w:val="0"/>
              <w:adjustRightInd w:val="0"/>
              <w:ind w:left="60" w:right="60"/>
              <w:jc w:val="center"/>
              <w:rPr>
                <w:rFonts w:ascii="Times New Roman" w:hAnsi="Times New Roman"/>
                <w:sz w:val="24"/>
                <w:szCs w:val="24"/>
              </w:rPr>
            </w:pPr>
            <w:r>
              <w:rPr>
                <w:rFonts w:ascii="Times New Roman" w:hAnsi="Times New Roman"/>
                <w:sz w:val="24"/>
                <w:szCs w:val="24"/>
              </w:rPr>
              <w:t>.251</w:t>
            </w:r>
          </w:p>
        </w:tc>
        <w:tc>
          <w:tcPr>
            <w:tcW w:w="1002" w:type="dxa"/>
            <w:vMerge w:val="restart"/>
            <w:tcBorders>
              <w:bottom w:val="single" w:sz="4" w:space="0" w:color="auto"/>
            </w:tcBorders>
            <w:shd w:val="clear" w:color="FFFFFF" w:fill="FFFFFF"/>
            <w:tcMar>
              <w:top w:w="0" w:type="dxa"/>
              <w:left w:w="108" w:type="dxa"/>
              <w:bottom w:w="0" w:type="dxa"/>
              <w:right w:w="108" w:type="dxa"/>
            </w:tcMar>
            <w:vAlign w:val="center"/>
          </w:tcPr>
          <w:p w14:paraId="432799C4" w14:textId="77777777" w:rsidR="00F95402" w:rsidRDefault="00D96808" w:rsidP="00ED3847">
            <w:pPr>
              <w:autoSpaceDE w:val="0"/>
              <w:autoSpaceDN w:val="0"/>
              <w:adjustRightInd w:val="0"/>
              <w:spacing w:line="320" w:lineRule="atLeast"/>
              <w:ind w:left="60" w:right="60"/>
              <w:jc w:val="center"/>
              <w:rPr>
                <w:rFonts w:ascii="Times New Roman" w:hAnsi="Times New Roman"/>
                <w:sz w:val="24"/>
                <w:szCs w:val="24"/>
              </w:rPr>
            </w:pPr>
            <w:r>
              <w:rPr>
                <w:rFonts w:ascii="Times New Roman" w:hAnsi="Times New Roman"/>
                <w:color w:val="000000"/>
                <w:sz w:val="24"/>
                <w:szCs w:val="24"/>
              </w:rPr>
              <w:t>-2.816</w:t>
            </w:r>
          </w:p>
          <w:p w14:paraId="6142CEF1"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-2.830</w:t>
            </w:r>
          </w:p>
        </w:tc>
        <w:tc>
          <w:tcPr>
            <w:tcW w:w="928" w:type="dxa"/>
            <w:vMerge w:val="restart"/>
            <w:tcBorders>
              <w:bottom w:val="single" w:sz="4" w:space="0" w:color="auto"/>
            </w:tcBorders>
            <w:shd w:val="clear" w:color="FFFFFF" w:fill="FFFFFF"/>
            <w:tcMar>
              <w:top w:w="0" w:type="dxa"/>
              <w:left w:w="108" w:type="dxa"/>
              <w:bottom w:w="0" w:type="dxa"/>
              <w:right w:w="108" w:type="dxa"/>
            </w:tcMar>
          </w:tcPr>
          <w:p w14:paraId="5B09CC1D" w14:textId="77777777" w:rsidR="00F95402" w:rsidRDefault="00D96808" w:rsidP="00ED3847">
            <w:pPr>
              <w:autoSpaceDE w:val="0"/>
              <w:autoSpaceDN w:val="0"/>
              <w:adjustRightInd w:val="0"/>
              <w:ind w:right="60"/>
              <w:rPr>
                <w:rFonts w:ascii="Times New Roman" w:hAnsi="Times New Roman"/>
                <w:sz w:val="24"/>
                <w:szCs w:val="24"/>
              </w:rPr>
            </w:pPr>
            <w:r>
              <w:rPr>
                <w:rFonts w:ascii="Times New Roman" w:hAnsi="Times New Roman"/>
                <w:color w:val="000000"/>
                <w:sz w:val="24"/>
                <w:szCs w:val="24"/>
              </w:rPr>
              <w:t>.005*</w:t>
            </w:r>
          </w:p>
        </w:tc>
        <w:tc>
          <w:tcPr>
            <w:tcW w:w="917" w:type="dxa"/>
            <w:tcMar>
              <w:top w:w="0" w:type="dxa"/>
              <w:left w:w="108" w:type="dxa"/>
              <w:bottom w:w="0" w:type="dxa"/>
              <w:right w:w="108" w:type="dxa"/>
            </w:tcMar>
          </w:tcPr>
          <w:p w14:paraId="21E86933" w14:textId="77777777" w:rsidR="00F95402" w:rsidRDefault="00D96808" w:rsidP="00ED3847">
            <w:pPr>
              <w:autoSpaceDE w:val="0"/>
              <w:autoSpaceDN w:val="0"/>
              <w:adjustRightInd w:val="0"/>
              <w:ind w:left="60" w:right="60"/>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 xml:space="preserve">* </w:t>
            </w:r>
            <w:r>
              <w:rPr>
                <w:rFonts w:ascii="Times New Roman" w:hAnsi="Times New Roman"/>
                <w:color w:val="000000"/>
                <w:sz w:val="24"/>
                <w:szCs w:val="24"/>
              </w:rPr>
              <w:t>S</w:t>
            </w:r>
          </w:p>
        </w:tc>
      </w:tr>
      <w:tr w:rsidR="00F95402" w14:paraId="0D2EB569" w14:textId="77777777" w:rsidTr="00ED3847">
        <w:trPr>
          <w:gridAfter w:val="1"/>
          <w:wAfter w:w="267" w:type="dxa"/>
          <w:trHeight w:val="323"/>
          <w:jc w:val="center"/>
        </w:trPr>
        <w:tc>
          <w:tcPr>
            <w:tcW w:w="1353" w:type="dxa"/>
            <w:tcBorders>
              <w:bottom w:val="single" w:sz="4" w:space="0" w:color="auto"/>
            </w:tcBorders>
            <w:shd w:val="clear" w:color="FFFFFF" w:fill="FFFFFF"/>
            <w:tcMar>
              <w:top w:w="0" w:type="dxa"/>
              <w:left w:w="108" w:type="dxa"/>
              <w:bottom w:w="0" w:type="dxa"/>
              <w:right w:w="108" w:type="dxa"/>
            </w:tcMar>
          </w:tcPr>
          <w:p w14:paraId="072F0B1C" w14:textId="77777777" w:rsidR="00F95402" w:rsidRDefault="00D96808" w:rsidP="00ED3847">
            <w:pPr>
              <w:autoSpaceDE w:val="0"/>
              <w:autoSpaceDN w:val="0"/>
              <w:spacing w:line="240" w:lineRule="auto"/>
              <w:rPr>
                <w:rFonts w:ascii="Times New Roman" w:hAnsi="Times New Roman"/>
                <w:sz w:val="24"/>
                <w:szCs w:val="24"/>
              </w:rPr>
            </w:pPr>
            <w:r>
              <w:rPr>
                <w:rFonts w:ascii="Times New Roman" w:eastAsia="Palatino Linotype" w:hAnsi="Times New Roman"/>
                <w:sz w:val="24"/>
                <w:szCs w:val="24"/>
              </w:rPr>
              <w:t>Female</w:t>
            </w:r>
          </w:p>
        </w:tc>
        <w:tc>
          <w:tcPr>
            <w:tcW w:w="712" w:type="dxa"/>
            <w:tcBorders>
              <w:bottom w:val="single" w:sz="4" w:space="0" w:color="auto"/>
            </w:tcBorders>
            <w:shd w:val="clear" w:color="FFFFFF" w:fill="FFFFFF"/>
            <w:tcMar>
              <w:top w:w="0" w:type="dxa"/>
              <w:left w:w="108" w:type="dxa"/>
              <w:bottom w:w="0" w:type="dxa"/>
              <w:right w:w="108" w:type="dxa"/>
            </w:tcMar>
            <w:vAlign w:val="center"/>
          </w:tcPr>
          <w:p w14:paraId="32C9EC24"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hAnsi="Times New Roman"/>
                <w:sz w:val="24"/>
                <w:szCs w:val="24"/>
              </w:rPr>
              <w:t>99</w:t>
            </w:r>
          </w:p>
        </w:tc>
        <w:tc>
          <w:tcPr>
            <w:tcW w:w="1171" w:type="dxa"/>
            <w:tcBorders>
              <w:bottom w:val="single" w:sz="4" w:space="0" w:color="auto"/>
            </w:tcBorders>
            <w:shd w:val="clear" w:color="FFFFFF" w:fill="FFFFFF"/>
            <w:tcMar>
              <w:top w:w="0" w:type="dxa"/>
              <w:left w:w="108" w:type="dxa"/>
              <w:bottom w:w="0" w:type="dxa"/>
              <w:right w:w="108" w:type="dxa"/>
            </w:tcMar>
            <w:vAlign w:val="center"/>
          </w:tcPr>
          <w:p w14:paraId="0774F90C"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18.41</w:t>
            </w:r>
          </w:p>
        </w:tc>
        <w:tc>
          <w:tcPr>
            <w:tcW w:w="1312" w:type="dxa"/>
            <w:tcBorders>
              <w:bottom w:val="single" w:sz="4" w:space="0" w:color="auto"/>
            </w:tcBorders>
            <w:shd w:val="clear" w:color="FFFFFF" w:fill="FFFFFF"/>
            <w:tcMar>
              <w:top w:w="0" w:type="dxa"/>
              <w:left w:w="108" w:type="dxa"/>
              <w:bottom w:w="0" w:type="dxa"/>
              <w:right w:w="108" w:type="dxa"/>
            </w:tcMar>
            <w:vAlign w:val="center"/>
          </w:tcPr>
          <w:p w14:paraId="2D82FE47" w14:textId="77777777" w:rsidR="00F95402" w:rsidRDefault="00D96808" w:rsidP="00ED3847">
            <w:pPr>
              <w:autoSpaceDE w:val="0"/>
              <w:autoSpaceDN w:val="0"/>
              <w:spacing w:line="240" w:lineRule="auto"/>
              <w:jc w:val="center"/>
              <w:rPr>
                <w:rFonts w:ascii="Times New Roman" w:hAnsi="Times New Roman"/>
                <w:sz w:val="24"/>
                <w:szCs w:val="24"/>
              </w:rPr>
            </w:pPr>
            <w:r>
              <w:rPr>
                <w:rFonts w:ascii="Times New Roman" w:eastAsia="Palatino Linotype" w:hAnsi="Times New Roman"/>
                <w:sz w:val="24"/>
                <w:szCs w:val="24"/>
              </w:rPr>
              <w:t>2.778</w:t>
            </w:r>
          </w:p>
        </w:tc>
        <w:tc>
          <w:tcPr>
            <w:tcW w:w="1200" w:type="dxa"/>
            <w:vMerge/>
            <w:tcBorders>
              <w:bottom w:val="single" w:sz="4" w:space="0" w:color="auto"/>
            </w:tcBorders>
            <w:shd w:val="clear" w:color="FFFFFF" w:fill="FFFFFF"/>
            <w:vAlign w:val="center"/>
          </w:tcPr>
          <w:p w14:paraId="1561B71F" w14:textId="77777777" w:rsidR="00F95402" w:rsidRDefault="00F95402" w:rsidP="00ED3847">
            <w:pPr>
              <w:autoSpaceDE w:val="0"/>
              <w:autoSpaceDN w:val="0"/>
              <w:adjustRightInd w:val="0"/>
              <w:ind w:left="60" w:right="60"/>
              <w:jc w:val="center"/>
              <w:rPr>
                <w:rFonts w:ascii="Times New Roman" w:hAnsi="Times New Roman"/>
                <w:sz w:val="24"/>
                <w:szCs w:val="24"/>
              </w:rPr>
            </w:pPr>
          </w:p>
        </w:tc>
        <w:tc>
          <w:tcPr>
            <w:tcW w:w="1002" w:type="dxa"/>
            <w:vMerge/>
            <w:tcBorders>
              <w:bottom w:val="single" w:sz="4" w:space="0" w:color="auto"/>
            </w:tcBorders>
            <w:shd w:val="clear" w:color="FFFFFF" w:fill="FFFFFF"/>
            <w:vAlign w:val="center"/>
          </w:tcPr>
          <w:p w14:paraId="60BAE51F" w14:textId="77777777" w:rsidR="00F95402" w:rsidRDefault="00F95402" w:rsidP="00ED3847">
            <w:pPr>
              <w:autoSpaceDE w:val="0"/>
              <w:autoSpaceDN w:val="0"/>
              <w:adjustRightInd w:val="0"/>
              <w:ind w:left="60" w:right="60"/>
              <w:rPr>
                <w:rFonts w:ascii="Times New Roman" w:hAnsi="Times New Roman"/>
                <w:sz w:val="24"/>
                <w:szCs w:val="24"/>
              </w:rPr>
            </w:pPr>
          </w:p>
        </w:tc>
        <w:tc>
          <w:tcPr>
            <w:tcW w:w="928" w:type="dxa"/>
            <w:vMerge/>
            <w:tcBorders>
              <w:bottom w:val="single" w:sz="4" w:space="0" w:color="auto"/>
            </w:tcBorders>
            <w:shd w:val="clear" w:color="FFFFFF" w:fill="FFFFFF"/>
          </w:tcPr>
          <w:p w14:paraId="7CF4AD53" w14:textId="77777777" w:rsidR="00F95402" w:rsidRDefault="00F95402" w:rsidP="00ED3847">
            <w:pPr>
              <w:autoSpaceDE w:val="0"/>
              <w:autoSpaceDN w:val="0"/>
              <w:adjustRightInd w:val="0"/>
              <w:ind w:right="60"/>
              <w:rPr>
                <w:rFonts w:ascii="Times New Roman" w:hAnsi="Times New Roman"/>
                <w:sz w:val="24"/>
                <w:szCs w:val="24"/>
              </w:rPr>
            </w:pPr>
          </w:p>
        </w:tc>
        <w:tc>
          <w:tcPr>
            <w:tcW w:w="917" w:type="dxa"/>
            <w:tcBorders>
              <w:bottom w:val="single" w:sz="4" w:space="0" w:color="auto"/>
            </w:tcBorders>
            <w:tcMar>
              <w:top w:w="0" w:type="dxa"/>
              <w:left w:w="108" w:type="dxa"/>
              <w:bottom w:w="0" w:type="dxa"/>
              <w:right w:w="108" w:type="dxa"/>
            </w:tcMar>
          </w:tcPr>
          <w:p w14:paraId="51AA4BE7" w14:textId="77777777" w:rsidR="00F95402" w:rsidRDefault="00F95402" w:rsidP="00ED3847">
            <w:pPr>
              <w:rPr>
                <w:rFonts w:ascii="Times New Roman" w:hAnsi="Times New Roman"/>
                <w:sz w:val="24"/>
                <w:szCs w:val="24"/>
              </w:rPr>
            </w:pPr>
          </w:p>
        </w:tc>
      </w:tr>
    </w:tbl>
    <w:p w14:paraId="53F2447A" w14:textId="77777777" w:rsidR="00F95402" w:rsidRDefault="00F95402">
      <w:pPr>
        <w:rPr>
          <w:rFonts w:ascii="Times New Roman" w:hAnsi="Times New Roman"/>
          <w:sz w:val="24"/>
          <w:szCs w:val="24"/>
        </w:rPr>
      </w:pPr>
    </w:p>
    <w:p w14:paraId="1039D32A" w14:textId="77777777" w:rsidR="00F95402" w:rsidRDefault="00F95402">
      <w:pPr>
        <w:rPr>
          <w:rFonts w:ascii="Times New Roman" w:hAnsi="Times New Roman"/>
          <w:sz w:val="24"/>
          <w:szCs w:val="24"/>
        </w:rPr>
      </w:pPr>
    </w:p>
    <w:p w14:paraId="1566B9BE" w14:textId="77777777" w:rsidR="00F95402" w:rsidRDefault="00F95402">
      <w:pPr>
        <w:rPr>
          <w:rFonts w:ascii="Times New Roman" w:hAnsi="Times New Roman"/>
          <w:sz w:val="24"/>
          <w:szCs w:val="24"/>
        </w:rPr>
      </w:pPr>
    </w:p>
    <w:p w14:paraId="20F06C71" w14:textId="77777777" w:rsidR="00F95402" w:rsidRDefault="00F95402">
      <w:pPr>
        <w:spacing w:line="480" w:lineRule="auto"/>
        <w:jc w:val="both"/>
        <w:rPr>
          <w:rFonts w:ascii="Times New Roman" w:hAnsi="Times New Roman"/>
          <w:sz w:val="24"/>
          <w:szCs w:val="24"/>
        </w:rPr>
      </w:pPr>
    </w:p>
    <w:p w14:paraId="427CEA4A" w14:textId="77777777" w:rsidR="00F95402" w:rsidRDefault="00F95402">
      <w:pPr>
        <w:spacing w:line="480" w:lineRule="auto"/>
        <w:jc w:val="both"/>
        <w:rPr>
          <w:rFonts w:ascii="Times New Roman" w:hAnsi="Times New Roman"/>
          <w:sz w:val="24"/>
          <w:szCs w:val="24"/>
        </w:rPr>
      </w:pPr>
    </w:p>
    <w:p w14:paraId="4D34FE69"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Table 4, shows the results of  t-test analysis conducted to compare the difference in the perceived usefulness of use of gamified learning strategy for teaching science and vocational education courses by pre-service teachers based on gender. There was a s</w:t>
      </w:r>
      <w:r>
        <w:rPr>
          <w:rFonts w:ascii="Times New Roman" w:hAnsi="Times New Roman"/>
          <w:sz w:val="24"/>
          <w:szCs w:val="24"/>
        </w:rPr>
        <w:t xml:space="preserve">ignificant difference in the scores for auditory learning style of male students (M=17.40, SD = 2.98) and female (M =18.41, SD = 2.78) conditions; t(261)= -2.816, p = .005. </w:t>
      </w:r>
    </w:p>
    <w:p w14:paraId="0510E0B5" w14:textId="77777777" w:rsidR="00F95402" w:rsidRDefault="00D96808">
      <w:pPr>
        <w:spacing w:line="480" w:lineRule="auto"/>
        <w:jc w:val="both"/>
        <w:rPr>
          <w:rFonts w:ascii="Times New Roman" w:hAnsi="Times New Roman"/>
          <w:sz w:val="24"/>
          <w:szCs w:val="24"/>
        </w:rPr>
      </w:pPr>
      <w:r>
        <w:rPr>
          <w:rFonts w:ascii="Times New Roman" w:hAnsi="Times New Roman"/>
          <w:b/>
          <w:bCs/>
          <w:sz w:val="24"/>
          <w:szCs w:val="24"/>
        </w:rPr>
        <w:t>Discussion of findings</w:t>
      </w:r>
    </w:p>
    <w:p w14:paraId="73893C12"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ab/>
        <w:t>The result in Table 1 indicates that lecturers and pre-ser</w:t>
      </w:r>
      <w:r>
        <w:rPr>
          <w:rFonts w:ascii="Times New Roman" w:hAnsi="Times New Roman"/>
          <w:sz w:val="24"/>
          <w:szCs w:val="24"/>
        </w:rPr>
        <w:t>vice teachers generally perceived gamified learning strategies as useful for teaching science and vocational education. With an average mean of 2.99 (SD = 0.939), all ten questionnaire items exceeded the benchmark of 2.50, reflecting a positive perception.</w:t>
      </w:r>
      <w:r>
        <w:rPr>
          <w:rFonts w:ascii="Times New Roman" w:hAnsi="Times New Roman"/>
          <w:sz w:val="24"/>
          <w:szCs w:val="24"/>
        </w:rPr>
        <w:t xml:space="preserve"> This suggests that lecturers and pre-service teachers are comfortable with incorporating these strategies into their teaching. The findings support the earlier findings of  Khaleel, Ashaari and Tengku Wook, (2020) who reported that gamification strategy i</w:t>
      </w:r>
      <w:r>
        <w:rPr>
          <w:rFonts w:ascii="Times New Roman" w:hAnsi="Times New Roman"/>
          <w:sz w:val="24"/>
          <w:szCs w:val="24"/>
        </w:rPr>
        <w:t xml:space="preserve">mproved students learning engagement and academic achievement as there exist a significant difference in the mean achievement scores of students taught using the strategy </w:t>
      </w:r>
      <w:r>
        <w:rPr>
          <w:rFonts w:ascii="Times New Roman" w:hAnsi="Times New Roman"/>
          <w:sz w:val="24"/>
          <w:szCs w:val="24"/>
        </w:rPr>
        <w:lastRenderedPageBreak/>
        <w:t>compared with those taught using traditional method and the difference is in favour o</w:t>
      </w:r>
      <w:r>
        <w:rPr>
          <w:rFonts w:ascii="Times New Roman" w:hAnsi="Times New Roman"/>
          <w:sz w:val="24"/>
          <w:szCs w:val="24"/>
        </w:rPr>
        <w:t>f gamified learning strategy. It also supports the earlier findings of Aguilos and Fuchs (2022) who reported that there existed both positive and negative perceptions regarding the self-learning course in gamification but students were very much interested</w:t>
      </w:r>
      <w:r>
        <w:rPr>
          <w:rFonts w:ascii="Times New Roman" w:hAnsi="Times New Roman"/>
          <w:sz w:val="24"/>
          <w:szCs w:val="24"/>
        </w:rPr>
        <w:t xml:space="preserve"> in learning as they found it interesting and the content itself was not overwhelming with information. Similarly, students find the content too easy and not  too challenging and  expressed a very positive attitude toward the delivery of each lesson hence </w:t>
      </w:r>
      <w:r>
        <w:rPr>
          <w:rFonts w:ascii="Times New Roman" w:hAnsi="Times New Roman"/>
          <w:sz w:val="24"/>
          <w:szCs w:val="24"/>
        </w:rPr>
        <w:t xml:space="preserve">making the strategy useful for teaching science and vocational education. </w:t>
      </w:r>
    </w:p>
    <w:p w14:paraId="72D260D8"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Conclusion </w:t>
      </w:r>
    </w:p>
    <w:p w14:paraId="0BDA244D"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Education and training of students in the present tech-based learning environment require the application of dynamic and innovative teaching strategies. This research </w:t>
      </w:r>
      <w:r>
        <w:rPr>
          <w:rFonts w:ascii="Times New Roman" w:hAnsi="Times New Roman"/>
          <w:sz w:val="24"/>
          <w:szCs w:val="24"/>
        </w:rPr>
        <w:t>has confirmed that gamified learning strategies are perceived as beneficial and useful in the teaching and learning of science and vocational education settings. This study contributes to the ongoing discourse on educational innovation and suggests that fu</w:t>
      </w:r>
      <w:r>
        <w:rPr>
          <w:rFonts w:ascii="Times New Roman" w:hAnsi="Times New Roman"/>
          <w:sz w:val="24"/>
          <w:szCs w:val="24"/>
        </w:rPr>
        <w:t>rther research could explore long-term effects on learning outcomes.</w:t>
      </w:r>
    </w:p>
    <w:p w14:paraId="4AAF4BC1"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 xml:space="preserve">Recommendations </w:t>
      </w:r>
    </w:p>
    <w:p w14:paraId="41FA0447"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Based on the findings of this study, the researchers recommended that:</w:t>
      </w:r>
    </w:p>
    <w:p w14:paraId="2F82F77A"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1. Because of the perceived usefulness, Gamification teaching strategies should be made popular for</w:t>
      </w:r>
      <w:r>
        <w:rPr>
          <w:rFonts w:ascii="Times New Roman" w:hAnsi="Times New Roman"/>
          <w:sz w:val="24"/>
          <w:szCs w:val="24"/>
        </w:rPr>
        <w:t xml:space="preserve"> teaching science and vocational education. </w:t>
      </w:r>
    </w:p>
    <w:p w14:paraId="4E5CDB6F"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2. Educational institutions should consider integrating gamified learning strategies into the curriculum for Science and Vocational Education. This would provide pre-service teachers with hands-on experience and</w:t>
      </w:r>
      <w:r>
        <w:rPr>
          <w:rFonts w:ascii="Times New Roman" w:hAnsi="Times New Roman"/>
          <w:sz w:val="24"/>
          <w:szCs w:val="24"/>
        </w:rPr>
        <w:t xml:space="preserve"> reinforce their positive perceptions of these strategies.</w:t>
      </w:r>
    </w:p>
    <w:p w14:paraId="5B5B228A"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lastRenderedPageBreak/>
        <w:t xml:space="preserve">3. To sustain and enhance the adoption of gamified learning strategies, ongoing support should be provided to pre-service teachers. This could include access to resources, mentorship programs, and </w:t>
      </w:r>
      <w:r>
        <w:rPr>
          <w:rFonts w:ascii="Times New Roman" w:hAnsi="Times New Roman"/>
          <w:sz w:val="24"/>
          <w:szCs w:val="24"/>
        </w:rPr>
        <w:t>professional development workshops.</w:t>
      </w:r>
    </w:p>
    <w:p w14:paraId="5248F394"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4. Further studies should explore the long-term impact of gamified learning strategies on teaching effectiveness and student outcomes in Science and Vocational Education.</w:t>
      </w:r>
    </w:p>
    <w:p w14:paraId="53B560BD" w14:textId="77777777" w:rsidR="00F95402" w:rsidRDefault="00D96808">
      <w:pPr>
        <w:spacing w:line="480" w:lineRule="auto"/>
        <w:jc w:val="both"/>
        <w:rPr>
          <w:rFonts w:ascii="Times New Roman" w:hAnsi="Times New Roman"/>
          <w:sz w:val="24"/>
          <w:szCs w:val="24"/>
        </w:rPr>
      </w:pPr>
      <w:r>
        <w:rPr>
          <w:rFonts w:ascii="Times New Roman" w:hAnsi="Times New Roman"/>
          <w:sz w:val="24"/>
          <w:szCs w:val="24"/>
        </w:rPr>
        <w:t>5. Government and stakeholders should provide ena</w:t>
      </w:r>
      <w:r>
        <w:rPr>
          <w:rFonts w:ascii="Times New Roman" w:hAnsi="Times New Roman"/>
          <w:sz w:val="24"/>
          <w:szCs w:val="24"/>
        </w:rPr>
        <w:t>bling environment for the application of gamification in the teaching of science and vocational education.</w:t>
      </w:r>
    </w:p>
    <w:p w14:paraId="704D02AE" w14:textId="77777777" w:rsidR="00F95402" w:rsidRDefault="00F95402">
      <w:pPr>
        <w:spacing w:line="360" w:lineRule="auto"/>
        <w:rPr>
          <w:rFonts w:ascii="Times New Roman" w:hAnsi="Times New Roman"/>
          <w:b/>
          <w:bCs/>
          <w:sz w:val="24"/>
          <w:szCs w:val="24"/>
        </w:rPr>
      </w:pPr>
    </w:p>
    <w:p w14:paraId="556CCD1D" w14:textId="77777777" w:rsidR="00F95402" w:rsidRDefault="00D96808">
      <w:pPr>
        <w:spacing w:line="360" w:lineRule="auto"/>
        <w:rPr>
          <w:rFonts w:ascii="Times New Roman" w:hAnsi="Times New Roman"/>
          <w:sz w:val="24"/>
          <w:szCs w:val="24"/>
        </w:rPr>
      </w:pPr>
      <w:r>
        <w:rPr>
          <w:rFonts w:ascii="Times New Roman" w:hAnsi="Times New Roman"/>
          <w:b/>
          <w:bCs/>
          <w:sz w:val="24"/>
          <w:szCs w:val="24"/>
        </w:rPr>
        <w:t xml:space="preserve">References </w:t>
      </w:r>
    </w:p>
    <w:p w14:paraId="4A05ADC6"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Adeagbo, S. &amp;  Oluwafemi, P. A. (2018). Small scale enterprise managers’ rating of skills needed by business education graduates for rev</w:t>
      </w:r>
      <w:r>
        <w:rPr>
          <w:rFonts w:ascii="Times New Roman" w:hAnsi="Times New Roman"/>
          <w:sz w:val="24"/>
          <w:szCs w:val="24"/>
        </w:rPr>
        <w:t xml:space="preserve">amping depressed economy in Oyo State. </w:t>
      </w:r>
      <w:r>
        <w:rPr>
          <w:rFonts w:ascii="Times New Roman" w:hAnsi="Times New Roman"/>
          <w:i/>
          <w:iCs/>
          <w:sz w:val="24"/>
          <w:szCs w:val="24"/>
        </w:rPr>
        <w:t xml:space="preserve">Al-Hikmah Journal of Education, </w:t>
      </w:r>
      <w:r>
        <w:rPr>
          <w:rFonts w:ascii="Times New Roman" w:hAnsi="Times New Roman"/>
          <w:sz w:val="24"/>
          <w:szCs w:val="24"/>
        </w:rPr>
        <w:t>5 (2), 127 - 136</w:t>
      </w:r>
      <w:r>
        <w:rPr>
          <w:rFonts w:ascii="Times New Roman" w:hAnsi="Times New Roman"/>
          <w:i/>
          <w:iCs/>
          <w:sz w:val="24"/>
          <w:szCs w:val="24"/>
        </w:rPr>
        <w:t xml:space="preserve">. </w:t>
      </w:r>
    </w:p>
    <w:p w14:paraId="56E84F68"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Aguilos, V. &amp; Fuchs, K. (2022). The Perceived Usefulness of Gamified E-Learning: A Study of Undergraduate Students With. Implications for Higher Education,</w:t>
      </w:r>
      <w:r>
        <w:rPr>
          <w:rFonts w:ascii="Times New Roman" w:hAnsi="Times New Roman"/>
          <w:i/>
          <w:iCs/>
          <w:sz w:val="24"/>
          <w:szCs w:val="24"/>
        </w:rPr>
        <w:t xml:space="preserve"> Frontier E</w:t>
      </w:r>
      <w:r>
        <w:rPr>
          <w:rFonts w:ascii="Times New Roman" w:hAnsi="Times New Roman"/>
          <w:i/>
          <w:iCs/>
          <w:sz w:val="24"/>
          <w:szCs w:val="24"/>
        </w:rPr>
        <w:t>ducational</w:t>
      </w:r>
      <w:r>
        <w:rPr>
          <w:rFonts w:ascii="Times New Roman" w:hAnsi="Times New Roman"/>
          <w:sz w:val="24"/>
          <w:szCs w:val="24"/>
        </w:rPr>
        <w:t>, 7, 1-11</w:t>
      </w:r>
    </w:p>
    <w:p w14:paraId="293B37C0"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Alshammari, M. T. (2020). Evaluation of Gamification in E-learning systems for elementary school students</w:t>
      </w:r>
      <w:r>
        <w:rPr>
          <w:rFonts w:ascii="Times New Roman" w:hAnsi="Times New Roman"/>
          <w:i/>
          <w:iCs/>
          <w:sz w:val="24"/>
          <w:szCs w:val="24"/>
        </w:rPr>
        <w:t xml:space="preserve">. TEM J. </w:t>
      </w:r>
      <w:r>
        <w:rPr>
          <w:rFonts w:ascii="Times New Roman" w:hAnsi="Times New Roman"/>
          <w:sz w:val="24"/>
          <w:szCs w:val="24"/>
        </w:rPr>
        <w:t>9, 806–813.</w:t>
      </w:r>
    </w:p>
    <w:p w14:paraId="5FD69AF6"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Bergman, J., &amp; Sweeney, D. (2016). The Role of Gamification in Education. International </w:t>
      </w:r>
      <w:r>
        <w:rPr>
          <w:rFonts w:ascii="Times New Roman" w:hAnsi="Times New Roman"/>
          <w:i/>
          <w:iCs/>
          <w:sz w:val="24"/>
          <w:szCs w:val="24"/>
        </w:rPr>
        <w:t xml:space="preserve">Journal of Technology </w:t>
      </w:r>
      <w:r>
        <w:rPr>
          <w:rFonts w:ascii="Times New Roman" w:hAnsi="Times New Roman"/>
          <w:i/>
          <w:iCs/>
          <w:sz w:val="24"/>
          <w:szCs w:val="24"/>
        </w:rPr>
        <w:t>in Education and Science</w:t>
      </w:r>
      <w:r>
        <w:rPr>
          <w:rFonts w:ascii="Times New Roman" w:hAnsi="Times New Roman"/>
          <w:sz w:val="24"/>
          <w:szCs w:val="24"/>
        </w:rPr>
        <w:t>, 1(2), 15-23.</w:t>
      </w:r>
    </w:p>
    <w:p w14:paraId="4703C3E1"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Bernik, A., Radoševi, C. D., &amp; Bubaš, G. (2017). “Introducing Gamification into e-learning university courses,” in Proceedings of the 2017 40th International Convention on Information and Communication Technology, Ele</w:t>
      </w:r>
      <w:r>
        <w:rPr>
          <w:rFonts w:ascii="Times New Roman" w:hAnsi="Times New Roman"/>
          <w:sz w:val="24"/>
          <w:szCs w:val="24"/>
        </w:rPr>
        <w:t>ctronics and Microelectronics (MIPRO), (Opatija: IEEE), 711–716. doi: 10.23919/MIPRO.2017.7973515</w:t>
      </w:r>
    </w:p>
    <w:p w14:paraId="767E79E2"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lastRenderedPageBreak/>
        <w:t>Boudadi, N. A., &amp; Gutiérrez-Colón, M. (2020). Effect of Gamification on students’ motivation and learning achievement in Second Language Acquisition within hi</w:t>
      </w:r>
      <w:r>
        <w:rPr>
          <w:rFonts w:ascii="Times New Roman" w:hAnsi="Times New Roman"/>
          <w:sz w:val="24"/>
          <w:szCs w:val="24"/>
        </w:rPr>
        <w:t>gher education: a literature review 2011-2019.</w:t>
      </w:r>
      <w:r>
        <w:rPr>
          <w:rFonts w:ascii="Times New Roman" w:hAnsi="Times New Roman"/>
          <w:i/>
          <w:iCs/>
          <w:sz w:val="24"/>
          <w:szCs w:val="24"/>
        </w:rPr>
        <w:t xml:space="preserve"> EuroCALL Rev.</w:t>
      </w:r>
      <w:r>
        <w:rPr>
          <w:rFonts w:ascii="Times New Roman" w:hAnsi="Times New Roman"/>
          <w:sz w:val="24"/>
          <w:szCs w:val="24"/>
        </w:rPr>
        <w:t xml:space="preserve"> 28, 57–69. doi: 10.4995/eurocall.2020.12974</w:t>
      </w:r>
    </w:p>
    <w:p w14:paraId="6D16C990"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Deterding, S., Dixon, D., Khaled, R., &amp; Nacke, L. (2011). From game design elements to gamefulness: defining" gamification". Proceedings of the 15th in</w:t>
      </w:r>
      <w:r>
        <w:rPr>
          <w:rFonts w:ascii="Times New Roman" w:hAnsi="Times New Roman"/>
          <w:sz w:val="24"/>
          <w:szCs w:val="24"/>
        </w:rPr>
        <w:t>ternational academic MindTrek conference: Envisioning future media environments, 9-15.</w:t>
      </w:r>
    </w:p>
    <w:p w14:paraId="1E3F79E6"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Domínguez, A., Saenz-de-Navarrete, J., de-Marcos, L., Fernández-Sanz, L., &amp; Pagés, C. (2013). Gamification applied to learning: A systematic literature review. </w:t>
      </w:r>
      <w:r>
        <w:rPr>
          <w:rFonts w:ascii="Times New Roman" w:hAnsi="Times New Roman"/>
          <w:i/>
          <w:iCs/>
          <w:sz w:val="24"/>
          <w:szCs w:val="24"/>
        </w:rPr>
        <w:t>Computers</w:t>
      </w:r>
      <w:r>
        <w:rPr>
          <w:rFonts w:ascii="Times New Roman" w:hAnsi="Times New Roman"/>
          <w:i/>
          <w:iCs/>
          <w:sz w:val="24"/>
          <w:szCs w:val="24"/>
        </w:rPr>
        <w:t xml:space="preserve"> in Human Behavior, </w:t>
      </w:r>
      <w:r>
        <w:rPr>
          <w:rFonts w:ascii="Times New Roman" w:hAnsi="Times New Roman"/>
          <w:sz w:val="24"/>
          <w:szCs w:val="24"/>
        </w:rPr>
        <w:t>29(2), 1-10.</w:t>
      </w:r>
    </w:p>
    <w:p w14:paraId="04342548"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Duggal, K., Gupta, L. R. &amp;.Singh, P. (2021). Gamification and machine learning inspired approach for classroom engagement and learning, </w:t>
      </w:r>
      <w:r>
        <w:rPr>
          <w:rFonts w:ascii="Times New Roman" w:hAnsi="Times New Roman"/>
          <w:i/>
          <w:iCs/>
          <w:sz w:val="24"/>
          <w:szCs w:val="24"/>
        </w:rPr>
        <w:t>Mathematical Problems in Engineering,</w:t>
      </w:r>
      <w:r>
        <w:rPr>
          <w:rFonts w:ascii="Times New Roman" w:hAnsi="Times New Roman"/>
          <w:sz w:val="24"/>
          <w:szCs w:val="24"/>
        </w:rPr>
        <w:t xml:space="preserve"> 1–18,  Available at </w:t>
      </w:r>
      <w:hyperlink r:id="rId6" w:history="1">
        <w:r>
          <w:rPr>
            <w:rStyle w:val="Hyperlink"/>
            <w:sz w:val="24"/>
            <w:szCs w:val="24"/>
          </w:rPr>
          <w:t>https://doi.org/10.1155/2021/9922775 accessed on 14/11/2022</w:t>
        </w:r>
      </w:hyperlink>
    </w:p>
    <w:p w14:paraId="5F86DB86"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Guerrero-Quiñonez, A. J., Quiñónez O, &amp; Barrera-Proaño, R. G. (2023). Gamified flipped classroom as a pedagogical strategy in higher education: From a systematic vision. </w:t>
      </w:r>
      <w:r>
        <w:rPr>
          <w:rFonts w:ascii="Times New Roman" w:hAnsi="Times New Roman"/>
          <w:i/>
          <w:iCs/>
          <w:sz w:val="24"/>
          <w:szCs w:val="24"/>
        </w:rPr>
        <w:t>Ibero-American Journal of Education &amp; Society Research,</w:t>
      </w:r>
      <w:r>
        <w:rPr>
          <w:rFonts w:ascii="Times New Roman" w:hAnsi="Times New Roman"/>
          <w:sz w:val="24"/>
          <w:szCs w:val="24"/>
        </w:rPr>
        <w:t xml:space="preserve"> 3(1), 238-243 DOI:10.56183/ibe</w:t>
      </w:r>
      <w:r>
        <w:rPr>
          <w:rFonts w:ascii="Times New Roman" w:hAnsi="Times New Roman"/>
          <w:sz w:val="24"/>
          <w:szCs w:val="24"/>
        </w:rPr>
        <w:t>roeds.v3i1.622</w:t>
      </w:r>
    </w:p>
    <w:p w14:paraId="53A08F80"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Hou, H. (2023). Learning Science through Cloud Gamification: A Framework for Remote Gamified Science Learning Activities Integrating Cloud Tool Sets and Three-Dimensional Scaffolding, </w:t>
      </w:r>
      <w:r>
        <w:rPr>
          <w:rFonts w:ascii="Times New Roman" w:hAnsi="Times New Roman"/>
          <w:i/>
          <w:iCs/>
          <w:sz w:val="24"/>
          <w:szCs w:val="24"/>
        </w:rPr>
        <w:t>Information</w:t>
      </w:r>
      <w:r>
        <w:rPr>
          <w:rFonts w:ascii="Times New Roman" w:hAnsi="Times New Roman"/>
          <w:sz w:val="24"/>
          <w:szCs w:val="24"/>
        </w:rPr>
        <w:t xml:space="preserve"> 14(3),165 -177 DOI:10.3390/info14030165</w:t>
      </w:r>
    </w:p>
    <w:p w14:paraId="51AE09F3"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Jira,</w:t>
      </w:r>
      <w:r>
        <w:rPr>
          <w:rFonts w:ascii="Times New Roman" w:hAnsi="Times New Roman"/>
          <w:sz w:val="24"/>
          <w:szCs w:val="24"/>
        </w:rPr>
        <w:t xml:space="preserve"> J. Mutita, T., Sasanun, B., Nualsri, S &amp; Prachyanun, N. (2022). Combining Online Learning with : An exploration into achievement, motivation, and satisfaction of the Undergraduate. </w:t>
      </w:r>
      <w:r>
        <w:rPr>
          <w:rFonts w:ascii="Times New Roman" w:hAnsi="Times New Roman"/>
          <w:i/>
          <w:iCs/>
          <w:sz w:val="24"/>
          <w:szCs w:val="24"/>
        </w:rPr>
        <w:t xml:space="preserve">International Journal of Information and Education Technology, </w:t>
      </w:r>
      <w:r>
        <w:rPr>
          <w:rFonts w:ascii="Times New Roman" w:hAnsi="Times New Roman"/>
          <w:sz w:val="24"/>
          <w:szCs w:val="24"/>
        </w:rPr>
        <w:t>12(7), 643-</w:t>
      </w:r>
      <w:r>
        <w:rPr>
          <w:rFonts w:ascii="Times New Roman" w:hAnsi="Times New Roman"/>
          <w:sz w:val="24"/>
          <w:szCs w:val="24"/>
        </w:rPr>
        <w:t>649</w:t>
      </w:r>
    </w:p>
    <w:p w14:paraId="1CC09110"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Johnson, D. W., Johnson, R. T., &amp; Smith, K. A. (2016). Cooperative Learning: Improving University Instruction by Basing Practice on Validated Theory. </w:t>
      </w:r>
      <w:r>
        <w:rPr>
          <w:rFonts w:ascii="Times New Roman" w:hAnsi="Times New Roman"/>
          <w:i/>
          <w:iCs/>
          <w:sz w:val="24"/>
          <w:szCs w:val="24"/>
        </w:rPr>
        <w:t>Journal on Excellence in College Teaching</w:t>
      </w:r>
      <w:r>
        <w:rPr>
          <w:rFonts w:ascii="Times New Roman" w:hAnsi="Times New Roman"/>
          <w:sz w:val="24"/>
          <w:szCs w:val="24"/>
        </w:rPr>
        <w:t>, 23(3), 87-116.</w:t>
      </w:r>
    </w:p>
    <w:p w14:paraId="2289C7DD"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Khaleel, F. L, Ashaari, N. S. &amp; Tengku Wook,</w:t>
      </w:r>
      <w:r>
        <w:rPr>
          <w:rFonts w:ascii="Times New Roman" w:hAnsi="Times New Roman"/>
          <w:sz w:val="24"/>
          <w:szCs w:val="24"/>
        </w:rPr>
        <w:t xml:space="preserve"> T. S. M, (2020).  The impact of gamification on students learning engagement,</w:t>
      </w:r>
      <w:r>
        <w:rPr>
          <w:rFonts w:ascii="Times New Roman" w:hAnsi="Times New Roman"/>
          <w:i/>
          <w:iCs/>
          <w:sz w:val="24"/>
          <w:szCs w:val="24"/>
        </w:rPr>
        <w:t xml:space="preserve"> International Journal of Electrical and Computer </w:t>
      </w:r>
      <w:r>
        <w:rPr>
          <w:rFonts w:ascii="Times New Roman" w:hAnsi="Times New Roman"/>
          <w:i/>
          <w:iCs/>
          <w:sz w:val="24"/>
          <w:szCs w:val="24"/>
        </w:rPr>
        <w:lastRenderedPageBreak/>
        <w:t xml:space="preserve">Engineering, </w:t>
      </w:r>
      <w:r>
        <w:rPr>
          <w:rFonts w:ascii="Times New Roman" w:hAnsi="Times New Roman"/>
          <w:sz w:val="24"/>
          <w:szCs w:val="24"/>
        </w:rPr>
        <w:t>10(5), 4965~4972 ISSN: 2088-8708, DOI: 10.11591/ijece.v10i5.pp4965-4972</w:t>
      </w:r>
    </w:p>
    <w:p w14:paraId="1AC533D7"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Lerdpornkulrat, T. &amp; Poondej, C. (2020). Do</w:t>
      </w:r>
      <w:r>
        <w:rPr>
          <w:rFonts w:ascii="Times New Roman" w:hAnsi="Times New Roman"/>
          <w:sz w:val="24"/>
          <w:szCs w:val="24"/>
        </w:rPr>
        <w:t xml:space="preserve">cuments for training workshops Gamification: Level up your classroom. Professional and Organizational Development Network of Thailand Higher Education, Bangkok: Thailand. </w:t>
      </w:r>
    </w:p>
    <w:p w14:paraId="1A628EAF"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Oladeji, A. D. (2019). Effects of social media on academic achievement of students </w:t>
      </w:r>
      <w:r>
        <w:rPr>
          <w:rFonts w:ascii="Times New Roman" w:hAnsi="Times New Roman"/>
          <w:sz w:val="24"/>
          <w:szCs w:val="24"/>
        </w:rPr>
        <w:t>in business education. (Unpublished PhD Thesis) Kwara State University.</w:t>
      </w:r>
    </w:p>
    <w:p w14:paraId="52087F4E"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 xml:space="preserve">Poondej, C. &amp; Lerdpornkulrat, T. (2016). Learning management with the gamification concept, </w:t>
      </w:r>
      <w:r>
        <w:rPr>
          <w:rFonts w:ascii="Times New Roman" w:hAnsi="Times New Roman"/>
          <w:i/>
          <w:iCs/>
          <w:sz w:val="24"/>
          <w:szCs w:val="24"/>
        </w:rPr>
        <w:t>Journal of Education, Naresuan University</w:t>
      </w:r>
      <w:r>
        <w:rPr>
          <w:rFonts w:ascii="Times New Roman" w:hAnsi="Times New Roman"/>
          <w:sz w:val="24"/>
          <w:szCs w:val="24"/>
        </w:rPr>
        <w:t>, 18(3), 331-339.</w:t>
      </w:r>
    </w:p>
    <w:p w14:paraId="2B08A1DD"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Sailer, M. &amp; Sailer, M. (2021). G</w:t>
      </w:r>
      <w:r>
        <w:rPr>
          <w:rFonts w:ascii="Times New Roman" w:hAnsi="Times New Roman"/>
          <w:sz w:val="24"/>
          <w:szCs w:val="24"/>
        </w:rPr>
        <w:t xml:space="preserve">amification of in-class activities in flipped classroom lectures, </w:t>
      </w:r>
      <w:r>
        <w:rPr>
          <w:rFonts w:ascii="Times New Roman" w:hAnsi="Times New Roman"/>
          <w:i/>
          <w:iCs/>
          <w:sz w:val="24"/>
          <w:szCs w:val="24"/>
        </w:rPr>
        <w:t>British Journal of Educational Technolog</w:t>
      </w:r>
      <w:r>
        <w:rPr>
          <w:rFonts w:ascii="Times New Roman" w:hAnsi="Times New Roman"/>
          <w:sz w:val="24"/>
          <w:szCs w:val="24"/>
        </w:rPr>
        <w:t>y, 52,(1), 75–90. Available at https://doi.org/10.1111/bjet.12948, viewed on 16/11/2022</w:t>
      </w:r>
    </w:p>
    <w:p w14:paraId="05365C8D"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Sailer, M., Hense, J. U., Mayr, S. K., &amp; Mandi, H. (2017). How</w:t>
      </w:r>
      <w:r>
        <w:rPr>
          <w:rFonts w:ascii="Times New Roman" w:hAnsi="Times New Roman"/>
          <w:sz w:val="24"/>
          <w:szCs w:val="24"/>
        </w:rPr>
        <w:t xml:space="preserve"> gamification motivates: An experimental study of the effects of specific game design elements on psychological need satisfaction. </w:t>
      </w:r>
      <w:r>
        <w:rPr>
          <w:rFonts w:ascii="Times New Roman" w:hAnsi="Times New Roman"/>
          <w:i/>
          <w:iCs/>
          <w:sz w:val="24"/>
          <w:szCs w:val="24"/>
        </w:rPr>
        <w:t>Computer in Human Behaviour</w:t>
      </w:r>
      <w:r>
        <w:rPr>
          <w:rFonts w:ascii="Times New Roman" w:hAnsi="Times New Roman"/>
          <w:sz w:val="24"/>
          <w:szCs w:val="24"/>
        </w:rPr>
        <w:t>.  69, 371–380. doi:10.1016/j.chb.2016.12.033</w:t>
      </w:r>
    </w:p>
    <w:p w14:paraId="118948B8" w14:textId="77777777" w:rsidR="00F95402" w:rsidRDefault="00F95402">
      <w:pPr>
        <w:spacing w:line="360" w:lineRule="auto"/>
        <w:ind w:left="567" w:hanging="560"/>
        <w:rPr>
          <w:rFonts w:ascii="Times New Roman" w:hAnsi="Times New Roman"/>
          <w:sz w:val="24"/>
          <w:szCs w:val="24"/>
        </w:rPr>
      </w:pPr>
    </w:p>
    <w:p w14:paraId="5AB776DC" w14:textId="77777777" w:rsidR="00F95402" w:rsidRDefault="00D96808">
      <w:pPr>
        <w:spacing w:line="360" w:lineRule="auto"/>
        <w:ind w:left="567" w:hanging="560"/>
        <w:rPr>
          <w:rFonts w:ascii="Times New Roman" w:hAnsi="Times New Roman"/>
          <w:sz w:val="24"/>
          <w:szCs w:val="24"/>
        </w:rPr>
      </w:pPr>
      <w:r>
        <w:rPr>
          <w:rFonts w:ascii="Times New Roman" w:hAnsi="Times New Roman"/>
          <w:sz w:val="24"/>
          <w:szCs w:val="24"/>
        </w:rPr>
        <w:t>Umoru, T. A. &amp; Oluwafemi P. A. (2019). Effects of p</w:t>
      </w:r>
      <w:r>
        <w:rPr>
          <w:rFonts w:ascii="Times New Roman" w:hAnsi="Times New Roman"/>
          <w:sz w:val="24"/>
          <w:szCs w:val="24"/>
        </w:rPr>
        <w:t xml:space="preserve">rogrammed instruction teaching method on academic achievement and retention of students in Business studies in Oyo state, Nigeria. </w:t>
      </w:r>
      <w:r>
        <w:rPr>
          <w:rFonts w:ascii="Times New Roman" w:hAnsi="Times New Roman"/>
          <w:i/>
          <w:iCs/>
          <w:sz w:val="24"/>
          <w:szCs w:val="24"/>
        </w:rPr>
        <w:t>Nigerian Journal of Business Education</w:t>
      </w:r>
      <w:r>
        <w:rPr>
          <w:rFonts w:ascii="Times New Roman" w:hAnsi="Times New Roman"/>
          <w:sz w:val="24"/>
          <w:szCs w:val="24"/>
        </w:rPr>
        <w:t xml:space="preserve">, 6 (2), 63-72. </w:t>
      </w:r>
    </w:p>
    <w:p w14:paraId="4B57C2B8" w14:textId="77777777" w:rsidR="00F95402" w:rsidRDefault="00D96808">
      <w:pPr>
        <w:spacing w:line="360" w:lineRule="auto"/>
        <w:ind w:left="567" w:hanging="560"/>
        <w:rPr>
          <w:rFonts w:ascii="Times New Roman" w:hAnsi="Times New Roman"/>
          <w:b/>
          <w:bCs/>
          <w:sz w:val="24"/>
          <w:szCs w:val="24"/>
        </w:rPr>
      </w:pPr>
      <w:r>
        <w:rPr>
          <w:rFonts w:ascii="Times New Roman" w:hAnsi="Times New Roman"/>
          <w:sz w:val="24"/>
          <w:szCs w:val="24"/>
        </w:rPr>
        <w:t>Wannapiroon, P., Nilsook, P., Jitsupa, J., &amp; Chaiyarak, S. (2022). Dig</w:t>
      </w:r>
      <w:r>
        <w:rPr>
          <w:rFonts w:ascii="Times New Roman" w:hAnsi="Times New Roman"/>
          <w:sz w:val="24"/>
          <w:szCs w:val="24"/>
        </w:rPr>
        <w:t xml:space="preserve">ital competences of vocational instructors with synchronous online learning in next normal education. </w:t>
      </w:r>
      <w:r>
        <w:rPr>
          <w:rFonts w:ascii="Times New Roman" w:hAnsi="Times New Roman"/>
          <w:i/>
          <w:iCs/>
          <w:sz w:val="24"/>
          <w:szCs w:val="24"/>
        </w:rPr>
        <w:t>International Journal of Instruction</w:t>
      </w:r>
      <w:r>
        <w:rPr>
          <w:rFonts w:ascii="Times New Roman" w:hAnsi="Times New Roman"/>
          <w:sz w:val="24"/>
          <w:szCs w:val="24"/>
        </w:rPr>
        <w:t xml:space="preserve">, 15(1), 293-310. </w:t>
      </w:r>
      <w:hyperlink r:id="rId7" w:history="1">
        <w:r>
          <w:rPr>
            <w:rStyle w:val="Hyperlink"/>
            <w:sz w:val="24"/>
            <w:szCs w:val="24"/>
          </w:rPr>
          <w:t>https://doi.org/10.29333/iji.2022.15117a</w:t>
        </w:r>
      </w:hyperlink>
    </w:p>
    <w:p w14:paraId="00D5DCCC" w14:textId="77777777" w:rsidR="00F95402" w:rsidRDefault="00F95402"/>
    <w:p w14:paraId="27842A52" w14:textId="77777777" w:rsidR="00F95402" w:rsidRDefault="00F95402"/>
    <w:p w14:paraId="145845B6" w14:textId="77777777" w:rsidR="00F95402" w:rsidRDefault="00F95402"/>
    <w:p w14:paraId="197725C2" w14:textId="77777777" w:rsidR="00F95402" w:rsidRDefault="00F95402"/>
    <w:p w14:paraId="0AF03C03" w14:textId="77777777" w:rsidR="00F95402" w:rsidRDefault="00F95402"/>
    <w:p w14:paraId="3D3B0795" w14:textId="77777777" w:rsidR="00F95402" w:rsidRDefault="00F95402"/>
    <w:p w14:paraId="1C9EC213" w14:textId="77777777" w:rsidR="00F95402" w:rsidRDefault="00F95402"/>
    <w:sectPr w:rsidR="00F954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26A8E" w14:textId="77777777" w:rsidR="00D96808" w:rsidRDefault="00D96808" w:rsidP="00E23EC6">
      <w:pPr>
        <w:spacing w:after="0" w:line="240" w:lineRule="auto"/>
      </w:pPr>
      <w:r>
        <w:separator/>
      </w:r>
    </w:p>
  </w:endnote>
  <w:endnote w:type="continuationSeparator" w:id="0">
    <w:p w14:paraId="4673F255" w14:textId="77777777" w:rsidR="00D96808" w:rsidRDefault="00D96808" w:rsidP="00E2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ADC7" w14:textId="77777777" w:rsidR="00E23EC6" w:rsidRDefault="00E23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AF33" w14:textId="77777777" w:rsidR="00E23EC6" w:rsidRDefault="00E23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C103D" w14:textId="77777777" w:rsidR="00E23EC6" w:rsidRDefault="00E23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B9EEB" w14:textId="77777777" w:rsidR="00D96808" w:rsidRDefault="00D96808" w:rsidP="00E23EC6">
      <w:pPr>
        <w:spacing w:after="0" w:line="240" w:lineRule="auto"/>
      </w:pPr>
      <w:r>
        <w:separator/>
      </w:r>
    </w:p>
  </w:footnote>
  <w:footnote w:type="continuationSeparator" w:id="0">
    <w:p w14:paraId="00E81BF6" w14:textId="77777777" w:rsidR="00D96808" w:rsidRDefault="00D96808" w:rsidP="00E23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9FA9" w14:textId="31E9BD70" w:rsidR="00E23EC6" w:rsidRDefault="00E23EC6">
    <w:pPr>
      <w:pStyle w:val="Header"/>
    </w:pPr>
    <w:r>
      <w:rPr>
        <w:noProof/>
      </w:rPr>
      <w:pict w14:anchorId="2FD8F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474594"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705CB" w14:textId="178F89C0" w:rsidR="00E23EC6" w:rsidRDefault="00E23EC6">
    <w:pPr>
      <w:pStyle w:val="Header"/>
    </w:pPr>
    <w:r>
      <w:rPr>
        <w:noProof/>
      </w:rPr>
      <w:pict w14:anchorId="7AAB4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474595" o:spid="_x0000_s2051"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A1D0" w14:textId="19599EDC" w:rsidR="00E23EC6" w:rsidRDefault="00E23EC6">
    <w:pPr>
      <w:pStyle w:val="Header"/>
    </w:pPr>
    <w:r>
      <w:rPr>
        <w:noProof/>
      </w:rPr>
      <w:pict w14:anchorId="33492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474593"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402"/>
    <w:rsid w:val="009C72F8"/>
    <w:rsid w:val="009E4295"/>
    <w:rsid w:val="00D96808"/>
    <w:rsid w:val="00E23EC6"/>
    <w:rsid w:val="00ED3847"/>
    <w:rsid w:val="00F95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20BDE08"/>
  <w15:docId w15:val="{C3472229-DC0F-4443-9483-6F55DCB9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styleId="ListParagraph">
    <w:name w:val="List Paragraph"/>
    <w:basedOn w:val="Normal"/>
    <w:qFormat/>
    <w:pPr>
      <w:ind w:left="720"/>
    </w:pPr>
    <w:rPr>
      <w:sz w:val="21"/>
    </w:rPr>
  </w:style>
  <w:style w:type="character" w:styleId="Hyperlink">
    <w:name w:val="Hyperlink"/>
    <w:rPr>
      <w:rFonts w:ascii="Times New Roman" w:eastAsia="SimSun" w:hAnsi="Times New Roman" w:cs="Times New Roman"/>
      <w:color w:val="0000FF"/>
      <w:sz w:val="21"/>
      <w:u w:val="single"/>
    </w:rPr>
  </w:style>
  <w:style w:type="paragraph" w:styleId="NoSpacing">
    <w:name w:val="No Spacing"/>
    <w:qFormat/>
    <w:rPr>
      <w:rFonts w:ascii="Times New Roman" w:eastAsia="Calibri" w:hAnsi="Times New Roman"/>
      <w:sz w:val="24"/>
      <w:szCs w:val="24"/>
      <w:lang w:val="en-GB" w:eastAsia="zh-CN"/>
    </w:rPr>
  </w:style>
  <w:style w:type="paragraph" w:customStyle="1" w:styleId="TableParagraph0">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1">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2">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3">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4">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5">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6">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7">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8">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paragraph" w:customStyle="1" w:styleId="TableParagraph9">
    <w:name w:val="&quot;Table Paragraph&quot;"/>
    <w:basedOn w:val="Normal"/>
    <w:qFormat/>
    <w:pPr>
      <w:widowControl w:val="0"/>
      <w:autoSpaceDE w:val="0"/>
      <w:autoSpaceDN w:val="0"/>
      <w:spacing w:line="226" w:lineRule="exact"/>
    </w:pPr>
    <w:rPr>
      <w:rFonts w:ascii="Palatino Linotype" w:eastAsia="Palatino Linotype" w:hAnsi="Palatino Linotype" w:cs="Palatino Linotype"/>
      <w:sz w:val="21"/>
    </w:rPr>
  </w:style>
  <w:style w:type="character" w:styleId="UnresolvedMention">
    <w:name w:val="Unresolved Mention"/>
    <w:uiPriority w:val="99"/>
    <w:semiHidden/>
    <w:unhideWhenUsed/>
    <w:rsid w:val="009E4295"/>
    <w:rPr>
      <w:color w:val="605E5C"/>
      <w:shd w:val="clear" w:color="auto" w:fill="E1DFDD"/>
    </w:rPr>
  </w:style>
  <w:style w:type="paragraph" w:styleId="Header">
    <w:name w:val="header"/>
    <w:basedOn w:val="Normal"/>
    <w:link w:val="HeaderChar"/>
    <w:uiPriority w:val="99"/>
    <w:unhideWhenUsed/>
    <w:rsid w:val="00E23EC6"/>
    <w:pPr>
      <w:tabs>
        <w:tab w:val="center" w:pos="4680"/>
        <w:tab w:val="right" w:pos="9360"/>
      </w:tabs>
    </w:pPr>
  </w:style>
  <w:style w:type="character" w:customStyle="1" w:styleId="HeaderChar">
    <w:name w:val="Header Char"/>
    <w:link w:val="Header"/>
    <w:uiPriority w:val="99"/>
    <w:rsid w:val="00E23EC6"/>
    <w:rPr>
      <w:sz w:val="22"/>
      <w:szCs w:val="22"/>
      <w:lang w:val="en-US" w:eastAsia="zh-CN"/>
    </w:rPr>
  </w:style>
  <w:style w:type="paragraph" w:styleId="Footer">
    <w:name w:val="footer"/>
    <w:basedOn w:val="Normal"/>
    <w:link w:val="FooterChar"/>
    <w:uiPriority w:val="99"/>
    <w:unhideWhenUsed/>
    <w:rsid w:val="00E23EC6"/>
    <w:pPr>
      <w:tabs>
        <w:tab w:val="center" w:pos="4680"/>
        <w:tab w:val="right" w:pos="9360"/>
      </w:tabs>
    </w:pPr>
  </w:style>
  <w:style w:type="character" w:customStyle="1" w:styleId="FooterChar">
    <w:name w:val="Footer Char"/>
    <w:link w:val="Footer"/>
    <w:uiPriority w:val="99"/>
    <w:rsid w:val="00E23EC6"/>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31764">
      <w:bodyDiv w:val="1"/>
      <w:marLeft w:val="0"/>
      <w:marRight w:val="0"/>
      <w:marTop w:val="0"/>
      <w:marBottom w:val="0"/>
      <w:divBdr>
        <w:top w:val="none" w:sz="0" w:space="0" w:color="auto"/>
        <w:left w:val="none" w:sz="0" w:space="0" w:color="auto"/>
        <w:bottom w:val="none" w:sz="0" w:space="0" w:color="auto"/>
        <w:right w:val="none" w:sz="0" w:space="0" w:color="auto"/>
      </w:divBdr>
    </w:div>
    <w:div w:id="188521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29333/iji.2022.15117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55/2021/9922775%20accessed%20on%2014/11/202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15</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23021RAAEG</dc:creator>
  <cp:lastModifiedBy>SDI 1084</cp:lastModifiedBy>
  <cp:revision>6</cp:revision>
  <dcterms:created xsi:type="dcterms:W3CDTF">2025-01-17T10:03:00Z</dcterms:created>
  <dcterms:modified xsi:type="dcterms:W3CDTF">2025-04-02T12:55:00Z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7efab2e9f9de44a6a62705f785fd9804</vt:lpwstr>
  </property>
</Properties>
</file>