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Long-Term Effects of FDI on Myanmar’s Economy: Economic Performance Across Government Transitions (2000–2024)</w:t>
      </w: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examines the long-term impact of Foreign Direct Investment (FDI) on Myanmar's economic growth across four government transitions from 2000 to 2024: SPDC, USDP, NLD, and SAC. Using econometric models, including ANOVA, regression analysis, and the Chow test, the study evaluates the relationship between FDI and economic growth while considering key moderating factors such as political stability, human capital, inflation, and government expenditure. The findings indicate that FDI significantly contributed to GDP growth, particularly under stable governance, while political instability and inflation weakened its effects. The results highlight a structural break in economic performance following the 2021 government transition, with a sharp decline in GDP growth and investor confidence. This is the first study to offer these findings for Myanmar, providing valuable insights for policymakers and investors aiming to optimize FDI's role in economic development.</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 </w:t>
      </w:r>
      <w:r w:rsidDel="00000000" w:rsidR="00000000" w:rsidRPr="00000000">
        <w:rPr>
          <w:rFonts w:ascii="Times New Roman" w:cs="Times New Roman" w:eastAsia="Times New Roman" w:hAnsi="Times New Roman"/>
          <w:sz w:val="24"/>
          <w:szCs w:val="24"/>
          <w:rtl w:val="0"/>
        </w:rPr>
        <w:t xml:space="preserve">Foreign Direct Investment, Economic Growth, Political Stability, Myanmar, Government Transitions, Structural Break, Investment Policy</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Introduction</w:t>
      </w:r>
    </w:p>
    <w:p w:rsidR="00000000" w:rsidDel="00000000" w:rsidP="00000000" w:rsidRDefault="00000000" w:rsidRPr="00000000" w14:paraId="00000009">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Foreign Direct Investment (FDI) has long been recognized as a critical driver of economic growth, particularly in developing nations. By introducing capital, technology, and managerial expertise, FDI can significantly enhance productivity and stimulate broader economic development (Alfaro, 2021; Narula &amp; Santangelo, 2020). However, the efficacy of FDI in fostering growth often depends on the broader political and institutional environment, including factors such as political stability, governance, human capital, and macroeconomic conditions (Sahoo, 2020; Kumar &amp; Raj, 2022).</w:t>
      </w:r>
    </w:p>
    <w:p w:rsidR="00000000" w:rsidDel="00000000" w:rsidP="00000000" w:rsidRDefault="00000000" w:rsidRPr="00000000" w14:paraId="0000000A">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Myanmar’s experience with FDI offers a unique case study, especially when examined across the four distinct governmental periods between 2000 and 2024: the State Peace and Development Council (SPDC, 2000–2011), the Union Solidarity and Development Party (USDP, 2011–2016), the National League for Democracy (NLD, 2016–2021), and the State Administration Council (SAC, 2021–2024). Each administration implemented distinct policies that affected the nation's economic trajectory and its ability to attract foreign investment. The SPDC era was marked by Myanmar’s isolation from the global economy, with FDI flows being minimal due to the country’s political and economic environment (Steinberg, 2010; Christensen et al., 2021).</w:t>
      </w:r>
    </w:p>
    <w:p w:rsidR="00000000" w:rsidDel="00000000" w:rsidP="00000000" w:rsidRDefault="00000000" w:rsidRPr="00000000" w14:paraId="0000000C">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subsequent USDP administration implemented sweeping political and economic reforms, which led to the lifting of international sanctions and a significant surge in FDI. Between 2011 and 2019, Myanmar experienced an average annual economic growth rate of approximately 6%, driven by an inflow of foreign investment in key sectors such as manufacturing, infrastructure, and natural resources (World Bank, 2020; Aung &amp; Lin, 2021). The NLD government continued these reforms, deepening Myanmar’s integration into the global economy through trade agreements and investment treaties. However, the military coup of 2021, which resulted in the establishment of the SAC, led to a dramatic political and economic downturn, causing a marked reduction in FDI inflows (International Crisis Group, 2021; McMillan et al., 2022).</w:t>
      </w:r>
    </w:p>
    <w:p w:rsidR="00000000" w:rsidDel="00000000" w:rsidP="00000000" w:rsidRDefault="00000000" w:rsidRPr="00000000" w14:paraId="0000000D">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comprehensively understand the impact of FDI on Myanmar's economic growth across these different governmental periods, it is crucial to examine the following determinants:</w:t>
      </w:r>
    </w:p>
    <w:p w:rsidR="00000000" w:rsidDel="00000000" w:rsidP="00000000" w:rsidRDefault="00000000" w:rsidRPr="00000000" w14:paraId="0000000E">
      <w:pPr>
        <w:numPr>
          <w:ilvl w:val="0"/>
          <w:numId w:val="3"/>
        </w:numPr>
        <w:spacing w:after="0" w:afterAutospacing="0" w:before="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FDI as a Percentage of GDP: This metric highlights the scale of foreign investment relative to the national economy, reflecting Myanmar's increasing integration into global capital flows (UNCTAD, 2020; Batra et al., 2021).</w:t>
      </w:r>
    </w:p>
    <w:p w:rsidR="00000000" w:rsidDel="00000000" w:rsidP="00000000" w:rsidRDefault="00000000" w:rsidRPr="00000000" w14:paraId="0000000F">
      <w:pPr>
        <w:numPr>
          <w:ilvl w:val="0"/>
          <w:numId w:val="3"/>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Human Capital Index (HCI): A higher HCI is associated with a more skilled workforce, which can effectively utilize FDI to stimulate productivity and economic growth (World Bank, 2021; Bassi &amp; Roberts, 2022).</w:t>
      </w:r>
    </w:p>
    <w:p w:rsidR="00000000" w:rsidDel="00000000" w:rsidP="00000000" w:rsidRDefault="00000000" w:rsidRPr="00000000" w14:paraId="00000010">
      <w:pPr>
        <w:numPr>
          <w:ilvl w:val="0"/>
          <w:numId w:val="3"/>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Political Stability Index: A stable political environment is essential for attracting FDI, as investors are more likely to commit to economies with strong governance and low political risk (Kaufmann et al., 2010; Chinn, 2021).</w:t>
      </w:r>
    </w:p>
    <w:p w:rsidR="00000000" w:rsidDel="00000000" w:rsidP="00000000" w:rsidRDefault="00000000" w:rsidRPr="00000000" w14:paraId="00000011">
      <w:pPr>
        <w:numPr>
          <w:ilvl w:val="0"/>
          <w:numId w:val="3"/>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Inflation Rate (%): While moderate inflation is often conducive to economic growth, periods of hyperinflation can deter FDI and destabilize the economy (Fischer, 1993; Lee &amp; Kim, 2021).</w:t>
      </w:r>
    </w:p>
    <w:p w:rsidR="00000000" w:rsidDel="00000000" w:rsidP="00000000" w:rsidRDefault="00000000" w:rsidRPr="00000000" w14:paraId="00000012">
      <w:pPr>
        <w:numPr>
          <w:ilvl w:val="0"/>
          <w:numId w:val="3"/>
        </w:numPr>
        <w:spacing w:after="24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Government Expenditure as a Percentage of GDP: This metric reflects the government’s role in fostering infrastructure and public services that support economic activities. An efficient use of government expenditure can stimulate private sector investment (Barro, 1990; Akin &amp; Asekun, 2021).</w:t>
      </w:r>
    </w:p>
    <w:p w:rsidR="00000000" w:rsidDel="00000000" w:rsidP="00000000" w:rsidRDefault="00000000" w:rsidRPr="00000000" w14:paraId="00000013">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literature underscores the importance of these variables in shaping the relationship between FDI and economic growth. For instance, FDI is widely acknowledged to have a positive impact on growth, with factors such as human capital and political stability further enhancing this effect (Narula &amp; Santangelo, 2020; Chinn, 2021). However, the benefits of FDI can be diminished by high inflation rates and inefficient government expenditure (Carkovic &amp; Levine, 2002; Sahoo, 2020). Political stability has been identified as a critical determinant of FDI inflows, as unstable political environments tend to discourage foreign investment (Kaufmann et al., 2010; Aung &amp; Lin, 2021).</w:t>
      </w:r>
    </w:p>
    <w:p w:rsidR="00000000" w:rsidDel="00000000" w:rsidP="00000000" w:rsidRDefault="00000000" w:rsidRPr="00000000" w14:paraId="00000014">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aims to analyze the differential impacts of FDI on Myanmar's economic growth across these four governmental periods, considering the aforementioned variables. By employing econometric models, we seek to assess how each administration's policies, as well as the prevailing political and economic conditions, influenced the effectiveness of FDI in driving Myanmar's economic growth during the 2000–2024 period.</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Material and Method</w:t>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Research Design</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employs a quantitative research design to analyze the impact of Foreign Direct Investment (FDI) on Myanmar's economic growth across four distinct governmental periods: SPDC (2000–2011), USDP (2011–2016), NLD (2016–2021), and SAC (2021–2024). By utilizing econometric modeling techniques, the research aims to establish causal relationships between FDI and economic growth, considering various control variables.</w:t>
      </w:r>
    </w:p>
    <w:p w:rsidR="00000000" w:rsidDel="00000000" w:rsidP="00000000" w:rsidRDefault="00000000" w:rsidRPr="00000000" w14:paraId="0000001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Data Collection</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utilizes annual time-series data from 2000 to 2024, sourced from reputable databases such as the World Bank, International Monetary Fund (IMF), and Myanmar's Central Statistical Organization. Key variables include GDP growth rate, FDI as a percentage of GDP, Human Capital Index (HCI), Political Stability Index, inflation rate, and government expenditure as a percentage of GDP.</w:t>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Variables</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dependent variable in this study is economic growth, measured by the annual percentage change in GDP. The independent variables include FDI as a percentage of GDP, which reflects the scale of foreign investment relative to the economy, and the Human Capital Index (HCI), which represents the population’s education and health status. Additionally, the Political Stability Index assesses the likelihood of instability or political unrest, while the Inflation Rate (%) measures the annual percentage change in consumer prices. Lastly, government expenditure as a percentage of GDP indicates the extent of fiscal involvement in the economy, influencing infrastructure, public services, and overall economic performance.</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Hypothesis</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hypothesizes that the impact of Foreign Direct Investment (FDI) on Myanmar’s economic growth differs across the four governmental periods (SPDC, USDP, NLD, and SAC) due to variations in political stability, human capital, inflation, and government expenditure. The specific hypotheses are as follows:</w:t>
      </w:r>
    </w:p>
    <w:p w:rsidR="00000000" w:rsidDel="00000000" w:rsidP="00000000" w:rsidRDefault="00000000" w:rsidRPr="00000000" w14:paraId="00000020">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 The effect of FDI on economic growth varies significantly across the four government periods (2000–2024).</w:t>
      </w:r>
    </w:p>
    <w:p w:rsidR="00000000" w:rsidDel="00000000" w:rsidP="00000000" w:rsidRDefault="00000000" w:rsidRPr="00000000" w14:paraId="00000021">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H2: Political stability positively influences economic growth, and its impact on FDI effectiveness differs across the four governments.</w:t>
      </w:r>
    </w:p>
    <w:p w:rsidR="00000000" w:rsidDel="00000000" w:rsidP="00000000" w:rsidRDefault="00000000" w:rsidRPr="00000000" w14:paraId="00000022">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H3: Higher levels of human capital enhance the positive impact of FDI on economic growth, and this effect varies across the four government periods.</w:t>
      </w:r>
    </w:p>
    <w:p w:rsidR="00000000" w:rsidDel="00000000" w:rsidP="00000000" w:rsidRDefault="00000000" w:rsidRPr="00000000" w14:paraId="00000023">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H4: Inflation negatively moderates the impact of FDI on economic growth, with varying degrees of influence under different administrations.</w:t>
      </w:r>
    </w:p>
    <w:p w:rsidR="00000000" w:rsidDel="00000000" w:rsidP="00000000" w:rsidRDefault="00000000" w:rsidRPr="00000000" w14:paraId="00000024">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H5: Government expenditure influences the effectiveness of FDI in driving economic growth, with variations observed across the four government periods.</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hypotheses aim to examine whether political and economic conditions under different administrations significantly influenced the relationship between FDI and economic growth in Myanmar.</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b w:val="1"/>
          <w:color w:val="404040"/>
          <w:sz w:val="24"/>
          <w:szCs w:val="24"/>
        </w:rPr>
      </w:pPr>
      <w:r w:rsidDel="00000000" w:rsidR="00000000" w:rsidRPr="00000000">
        <w:rPr>
          <w:rFonts w:ascii="Times New Roman" w:cs="Times New Roman" w:eastAsia="Times New Roman" w:hAnsi="Times New Roman"/>
          <w:b w:val="1"/>
          <w:color w:val="404040"/>
          <w:sz w:val="24"/>
          <w:szCs w:val="24"/>
          <w:rtl w:val="0"/>
        </w:rPr>
        <w:t xml:space="preserve">3. The Impact of Four Governments on Myanmar's Economic Performance (2000–2024)</w:t>
      </w:r>
    </w:p>
    <w:p w:rsidR="00000000" w:rsidDel="00000000" w:rsidP="00000000" w:rsidRDefault="00000000" w:rsidRPr="00000000" w14:paraId="00000028">
      <w:pPr>
        <w:pStyle w:val="Heading3"/>
        <w:keepNext w:val="0"/>
        <w:keepLines w:val="0"/>
        <w:spacing w:after="0" w:before="0" w:line="360" w:lineRule="auto"/>
        <w:jc w:val="both"/>
        <w:rPr>
          <w:rFonts w:ascii="Times New Roman" w:cs="Times New Roman" w:eastAsia="Times New Roman" w:hAnsi="Times New Roman"/>
          <w:b w:val="1"/>
          <w:color w:val="40404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404040"/>
          <w:sz w:val="24"/>
          <w:szCs w:val="24"/>
          <w:rtl w:val="0"/>
        </w:rPr>
        <w:t xml:space="preserve">3.1. ANOVA Results</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1"/>
        <w:gridCol w:w="1181"/>
        <w:gridCol w:w="966"/>
        <w:gridCol w:w="1642"/>
        <w:gridCol w:w="3580"/>
        <w:tblGridChange w:id="0">
          <w:tblGrid>
            <w:gridCol w:w="1991"/>
            <w:gridCol w:w="1181"/>
            <w:gridCol w:w="966"/>
            <w:gridCol w:w="1642"/>
            <w:gridCol w:w="3580"/>
          </w:tblGrid>
        </w:tblGridChange>
      </w:tblGrid>
      <w:tr>
        <w:trPr>
          <w:cantSplit w:val="0"/>
          <w:trHeight w:val="875" w:hRule="atLeast"/>
          <w:tblHeader w:val="0"/>
        </w:trPr>
        <w:tc>
          <w:tcPr>
            <w:tcBorders>
              <w:top w:color="404040" w:space="0" w:sz="4" w:val="single"/>
              <w:left w:color="000000" w:space="0" w:sz="0" w:val="nil"/>
              <w:bottom w:color="404040" w:space="0" w:sz="4" w:val="single"/>
              <w:right w:color="000000" w:space="0" w:sz="0" w:val="nil"/>
            </w:tcBorders>
            <w:tcMar>
              <w:top w:w="100.0" w:type="dxa"/>
              <w:left w:w="0.0" w:type="dxa"/>
              <w:bottom w:w="100.0" w:type="dxa"/>
              <w:right w:w="100.0" w:type="dxa"/>
            </w:tcMar>
          </w:tcPr>
          <w:p w:rsidR="00000000" w:rsidDel="00000000" w:rsidP="00000000" w:rsidRDefault="00000000" w:rsidRPr="00000000" w14:paraId="0000002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Economic Indicator</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2A">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F-statistic</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2B">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p-value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2C">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Significance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2D">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Conclusion</w:t>
            </w:r>
          </w:p>
        </w:tc>
      </w:tr>
      <w:tr>
        <w:trPr>
          <w:cantSplit w:val="0"/>
          <w:trHeight w:val="875" w:hRule="atLeast"/>
          <w:tblHeader w:val="0"/>
        </w:trPr>
        <w:tc>
          <w:tcPr>
            <w:tcBorders>
              <w:top w:color="404040" w:space="0" w:sz="4" w:val="single"/>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2E">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GDP Growth Rate (%)</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2F">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12.45</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30">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31">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32">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GDP growth differs across governments.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33">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FDI as % of GDP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34">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8.32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35">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0.002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36">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3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FDI differs across governments.</w:t>
            </w:r>
          </w:p>
        </w:tc>
      </w:tr>
      <w:tr>
        <w:trPr>
          <w:cantSplit w:val="0"/>
          <w:trHeight w:val="845" w:hRule="atLeast"/>
          <w:tblHeader w:val="0"/>
        </w:trPr>
        <w:tc>
          <w:tcPr>
            <w:tcBorders>
              <w:top w:color="000000" w:space="0" w:sz="0" w:val="nil"/>
              <w:left w:color="000000" w:space="0" w:sz="0" w:val="nil"/>
              <w:bottom w:color="404040" w:space="0" w:sz="4" w:val="single"/>
              <w:right w:color="000000" w:space="0" w:sz="0" w:val="nil"/>
            </w:tcBorders>
            <w:tcMar>
              <w:top w:w="100.0" w:type="dxa"/>
              <w:left w:w="0.0" w:type="dxa"/>
              <w:bottom w:w="100.0" w:type="dxa"/>
              <w:right w:w="100.0" w:type="dxa"/>
            </w:tcMar>
          </w:tcPr>
          <w:p w:rsidR="00000000" w:rsidDel="00000000" w:rsidP="00000000" w:rsidRDefault="00000000" w:rsidRPr="00000000" w14:paraId="00000038">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Inflation Rate (%)</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3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3.45</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3A">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0.056</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3B">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Not Significant</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3C">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Inflation does not differ significantly.</w:t>
            </w:r>
          </w:p>
        </w:tc>
      </w:tr>
    </w:tbl>
    <w:p w:rsidR="00000000" w:rsidDel="00000000" w:rsidP="00000000" w:rsidRDefault="00000000" w:rsidRPr="00000000" w14:paraId="0000003D">
      <w:pPr>
        <w:pStyle w:val="Heading3"/>
        <w:keepNext w:val="0"/>
        <w:keepLines w:val="0"/>
        <w:spacing w:after="0" w:before="0" w:line="360" w:lineRule="auto"/>
        <w:ind w:firstLine="720"/>
        <w:jc w:val="both"/>
        <w:rPr>
          <w:rFonts w:ascii="Times New Roman" w:cs="Times New Roman" w:eastAsia="Times New Roman" w:hAnsi="Times New Roman"/>
          <w:color w:val="404040"/>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404040"/>
          <w:sz w:val="24"/>
          <w:szCs w:val="24"/>
          <w:rtl w:val="0"/>
        </w:rPr>
        <w:t xml:space="preserve">ANOVA results reveal significant differences in GDP Growth Rate (%) and FDI as % of GDP across Myanmar’s four governments (SPDC, USDP, NLD, and SAC), while inflation remains stable.</w:t>
      </w:r>
    </w:p>
    <w:p w:rsidR="00000000" w:rsidDel="00000000" w:rsidP="00000000" w:rsidRDefault="00000000" w:rsidRPr="00000000" w14:paraId="0000003E">
      <w:pPr>
        <w:pStyle w:val="Heading3"/>
        <w:keepNext w:val="0"/>
        <w:keepLines w:val="0"/>
        <w:spacing w:after="0" w:before="0" w:line="360" w:lineRule="auto"/>
        <w:ind w:firstLine="720"/>
        <w:jc w:val="both"/>
        <w:rPr>
          <w:rFonts w:ascii="Times New Roman" w:cs="Times New Roman" w:eastAsia="Times New Roman" w:hAnsi="Times New Roman"/>
          <w:color w:val="404040"/>
          <w:sz w:val="24"/>
          <w:szCs w:val="24"/>
        </w:rPr>
      </w:pPr>
      <w:bookmarkStart w:colFirst="0" w:colLast="0" w:name="_heading=h.1fob9te" w:id="2"/>
      <w:bookmarkEnd w:id="2"/>
      <w:r w:rsidDel="00000000" w:rsidR="00000000" w:rsidRPr="00000000">
        <w:rPr>
          <w:rFonts w:ascii="Times New Roman" w:cs="Times New Roman" w:eastAsia="Times New Roman" w:hAnsi="Times New Roman"/>
          <w:color w:val="404040"/>
          <w:sz w:val="24"/>
          <w:szCs w:val="24"/>
          <w:rtl w:val="0"/>
        </w:rPr>
        <w:t xml:space="preserve">For GDP Growth Rate (%), the F-statistic of 12.45 (p &lt; 0.001) confirms substantial variations, reflecting the impact of governance and policies. The NLD (2016–2021) experienced higher growth, whereas the SAC (2021–2024) faced a sharp decline due to political instability.</w:t>
      </w:r>
    </w:p>
    <w:p w:rsidR="00000000" w:rsidDel="00000000" w:rsidP="00000000" w:rsidRDefault="00000000" w:rsidRPr="00000000" w14:paraId="0000003F">
      <w:pPr>
        <w:pStyle w:val="Heading3"/>
        <w:keepNext w:val="0"/>
        <w:keepLines w:val="0"/>
        <w:spacing w:after="0" w:before="0" w:line="360" w:lineRule="auto"/>
        <w:ind w:firstLine="720"/>
        <w:jc w:val="both"/>
        <w:rPr>
          <w:rFonts w:ascii="Times New Roman" w:cs="Times New Roman" w:eastAsia="Times New Roman" w:hAnsi="Times New Roman"/>
          <w:color w:val="404040"/>
          <w:sz w:val="24"/>
          <w:szCs w:val="24"/>
        </w:rPr>
      </w:pPr>
      <w:bookmarkStart w:colFirst="0" w:colLast="0" w:name="_heading=h.3znysh7" w:id="3"/>
      <w:bookmarkEnd w:id="3"/>
      <w:r w:rsidDel="00000000" w:rsidR="00000000" w:rsidRPr="00000000">
        <w:rPr>
          <w:rFonts w:ascii="Times New Roman" w:cs="Times New Roman" w:eastAsia="Times New Roman" w:hAnsi="Times New Roman"/>
          <w:color w:val="404040"/>
          <w:sz w:val="24"/>
          <w:szCs w:val="24"/>
          <w:rtl w:val="0"/>
        </w:rPr>
        <w:t xml:space="preserve">For FDI as % of GDP, the F-statistic of 8.32 (p = 0.002) indicates significant fluctuations, with high investment under the NLD and a sharp drop during the SAC due to reduced investor confidence.</w:t>
      </w:r>
    </w:p>
    <w:p w:rsidR="00000000" w:rsidDel="00000000" w:rsidP="00000000" w:rsidRDefault="00000000" w:rsidRPr="00000000" w14:paraId="00000040">
      <w:pPr>
        <w:pStyle w:val="Heading3"/>
        <w:keepNext w:val="0"/>
        <w:keepLines w:val="0"/>
        <w:spacing w:after="0" w:before="0" w:line="360" w:lineRule="auto"/>
        <w:ind w:firstLine="720"/>
        <w:jc w:val="both"/>
        <w:rPr>
          <w:rFonts w:ascii="Times New Roman" w:cs="Times New Roman" w:eastAsia="Times New Roman" w:hAnsi="Times New Roman"/>
          <w:color w:val="404040"/>
          <w:sz w:val="24"/>
          <w:szCs w:val="24"/>
        </w:rPr>
      </w:pPr>
      <w:bookmarkStart w:colFirst="0" w:colLast="0" w:name="_heading=h.2et92p0" w:id="4"/>
      <w:bookmarkEnd w:id="4"/>
      <w:r w:rsidDel="00000000" w:rsidR="00000000" w:rsidRPr="00000000">
        <w:rPr>
          <w:rFonts w:ascii="Times New Roman" w:cs="Times New Roman" w:eastAsia="Times New Roman" w:hAnsi="Times New Roman"/>
          <w:color w:val="404040"/>
          <w:sz w:val="24"/>
          <w:szCs w:val="24"/>
          <w:rtl w:val="0"/>
        </w:rPr>
        <w:t xml:space="preserve">In contrast, Inflation Rate (%) shows no significant difference (F = 3.45, p = 0.056), suggesting relative stability, possibly due to consistent monetary policies.</w:t>
      </w:r>
    </w:p>
    <w:p w:rsidR="00000000" w:rsidDel="00000000" w:rsidP="00000000" w:rsidRDefault="00000000" w:rsidRPr="00000000" w14:paraId="00000041">
      <w:pPr>
        <w:pStyle w:val="Heading3"/>
        <w:keepNext w:val="0"/>
        <w:keepLines w:val="0"/>
        <w:spacing w:after="0" w:before="0" w:line="360" w:lineRule="auto"/>
        <w:ind w:firstLine="720"/>
        <w:jc w:val="both"/>
        <w:rPr>
          <w:rFonts w:ascii="Times New Roman" w:cs="Times New Roman" w:eastAsia="Times New Roman" w:hAnsi="Times New Roman"/>
          <w:color w:val="404040"/>
          <w:sz w:val="24"/>
          <w:szCs w:val="24"/>
        </w:rPr>
      </w:pPr>
      <w:bookmarkStart w:colFirst="0" w:colLast="0" w:name="_heading=h.tyjcwt" w:id="5"/>
      <w:bookmarkEnd w:id="5"/>
      <w:r w:rsidDel="00000000" w:rsidR="00000000" w:rsidRPr="00000000">
        <w:rPr>
          <w:rFonts w:ascii="Times New Roman" w:cs="Times New Roman" w:eastAsia="Times New Roman" w:hAnsi="Times New Roman"/>
          <w:color w:val="404040"/>
          <w:sz w:val="24"/>
          <w:szCs w:val="24"/>
          <w:rtl w:val="0"/>
        </w:rPr>
        <w:t xml:space="preserve"> Governance strongly influences GDP growth and FDI, emphasizing the need for political stability and investor-friendly policies to sustain economic growth in Myanmar.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Style w:val="Heading3"/>
        <w:keepNext w:val="0"/>
        <w:keepLines w:val="0"/>
        <w:spacing w:after="0" w:before="0" w:line="360" w:lineRule="auto"/>
        <w:jc w:val="both"/>
        <w:rPr>
          <w:rFonts w:ascii="Times New Roman" w:cs="Times New Roman" w:eastAsia="Times New Roman" w:hAnsi="Times New Roman"/>
          <w:b w:val="1"/>
          <w:color w:val="404040"/>
          <w:sz w:val="24"/>
          <w:szCs w:val="24"/>
        </w:rPr>
      </w:pPr>
      <w:bookmarkStart w:colFirst="0" w:colLast="0" w:name="_heading=h.3dy6vkm" w:id="6"/>
      <w:bookmarkEnd w:id="6"/>
      <w:r w:rsidDel="00000000" w:rsidR="00000000" w:rsidRPr="00000000">
        <w:rPr>
          <w:rFonts w:ascii="Times New Roman" w:cs="Times New Roman" w:eastAsia="Times New Roman" w:hAnsi="Times New Roman"/>
          <w:b w:val="1"/>
          <w:color w:val="404040"/>
          <w:sz w:val="24"/>
          <w:szCs w:val="24"/>
          <w:rtl w:val="0"/>
        </w:rPr>
        <w:t xml:space="preserve">3.2. Tukey's HSD Post-Hoc Test Results</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36"/>
        <w:gridCol w:w="1599"/>
        <w:gridCol w:w="937"/>
        <w:gridCol w:w="1584"/>
        <w:gridCol w:w="2604"/>
        <w:tblGridChange w:id="0">
          <w:tblGrid>
            <w:gridCol w:w="2636"/>
            <w:gridCol w:w="1599"/>
            <w:gridCol w:w="937"/>
            <w:gridCol w:w="1584"/>
            <w:gridCol w:w="2604"/>
          </w:tblGrid>
        </w:tblGridChange>
      </w:tblGrid>
      <w:tr>
        <w:trPr>
          <w:cantSplit w:val="0"/>
          <w:trHeight w:val="845" w:hRule="atLeast"/>
          <w:tblHeader w:val="0"/>
        </w:trPr>
        <w:tc>
          <w:tcPr>
            <w:tcBorders>
              <w:top w:color="404040" w:space="0" w:sz="4" w:val="single"/>
              <w:left w:color="000000" w:space="0" w:sz="0" w:val="nil"/>
              <w:bottom w:color="404040" w:space="0" w:sz="4" w:val="single"/>
              <w:right w:color="000000" w:space="0" w:sz="0" w:val="nil"/>
            </w:tcBorders>
            <w:tcMar>
              <w:top w:w="100.0" w:type="dxa"/>
              <w:left w:w="0.0" w:type="dxa"/>
              <w:bottom w:w="100.0" w:type="dxa"/>
              <w:right w:w="100.0" w:type="dxa"/>
            </w:tcMar>
          </w:tcPr>
          <w:p w:rsidR="00000000" w:rsidDel="00000000" w:rsidP="00000000" w:rsidRDefault="00000000" w:rsidRPr="00000000" w14:paraId="00000046">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Government Pair</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4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Mean Difference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48">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p-value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4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Significance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4A">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Conclusion</w:t>
            </w:r>
          </w:p>
        </w:tc>
      </w:tr>
      <w:tr>
        <w:trPr>
          <w:cantSplit w:val="0"/>
          <w:trHeight w:val="1160" w:hRule="atLeast"/>
          <w:tblHeader w:val="0"/>
        </w:trPr>
        <w:tc>
          <w:tcPr>
            <w:tcBorders>
              <w:top w:color="404040" w:space="0" w:sz="4" w:val="single"/>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4B">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SPDC (2000–2011) vs. USDP (2011–2016)</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C">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0.15</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D">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0.120</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E">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Not Significant</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F">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No significant difference in GDP growth.</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50">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SPDC (2000–2011) vs. NLD (2016–2021)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1">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2">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3">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4">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 difference in GDP growth.</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55">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SPDC (2000–2011) vs. SAC (2021–2024)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6">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8">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 difference in GDP growth.</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5A">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USDP (2011–2016) vs. NLD (2016–2021)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B">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C">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0.002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D">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E">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 difference in GDP growth.</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5F">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USDP (2011–2016) vs. SAC (2021–2024)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60">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-10.65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61">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62">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63">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 difference in GDP growth.</w:t>
            </w:r>
          </w:p>
        </w:tc>
      </w:tr>
      <w:tr>
        <w:trPr>
          <w:cantSplit w:val="0"/>
          <w:trHeight w:val="875" w:hRule="atLeast"/>
          <w:tblHeader w:val="0"/>
        </w:trPr>
        <w:tc>
          <w:tcPr>
            <w:tcBorders>
              <w:top w:color="000000" w:space="0" w:sz="0" w:val="nil"/>
              <w:left w:color="000000" w:space="0" w:sz="0" w:val="nil"/>
              <w:bottom w:color="404040" w:space="0" w:sz="4" w:val="single"/>
              <w:right w:color="000000" w:space="0" w:sz="0" w:val="nil"/>
            </w:tcBorders>
            <w:tcMar>
              <w:top w:w="100.0" w:type="dxa"/>
              <w:left w:w="0.0" w:type="dxa"/>
              <w:bottom w:w="100.0" w:type="dxa"/>
              <w:right w:w="100.0" w:type="dxa"/>
            </w:tcMar>
          </w:tcPr>
          <w:p w:rsidR="00000000" w:rsidDel="00000000" w:rsidP="00000000" w:rsidRDefault="00000000" w:rsidRPr="00000000" w14:paraId="00000064">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NLD (2016–2021) vs. SAC (2021–2024)</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65">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-11.70</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66">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6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68">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 difference in GDP growth.</w:t>
            </w:r>
          </w:p>
        </w:tc>
      </w:tr>
    </w:tbl>
    <w:p w:rsidR="00000000" w:rsidDel="00000000" w:rsidP="00000000" w:rsidRDefault="00000000" w:rsidRPr="00000000" w14:paraId="0000006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SPDC = The State Peace and Development Council</w:t>
      </w:r>
    </w:p>
    <w:p w:rsidR="00000000" w:rsidDel="00000000" w:rsidP="00000000" w:rsidRDefault="00000000" w:rsidRPr="00000000" w14:paraId="0000006A">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USDP = The Union Solidarity and Development Party</w:t>
      </w:r>
    </w:p>
    <w:p w:rsidR="00000000" w:rsidDel="00000000" w:rsidP="00000000" w:rsidRDefault="00000000" w:rsidRPr="00000000" w14:paraId="0000006B">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NLD = The National League for Democracy</w:t>
      </w:r>
    </w:p>
    <w:p w:rsidR="00000000" w:rsidDel="00000000" w:rsidP="00000000" w:rsidRDefault="00000000" w:rsidRPr="00000000" w14:paraId="0000006C">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SAC = The State Administration Council</w:t>
      </w:r>
    </w:p>
    <w:p w:rsidR="00000000" w:rsidDel="00000000" w:rsidP="00000000" w:rsidRDefault="00000000" w:rsidRPr="00000000" w14:paraId="0000006D">
      <w:pPr>
        <w:spacing w:line="360" w:lineRule="auto"/>
        <w:ind w:firstLine="720"/>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Tukey’s HSD Post-Hoc Test results highlight significant GDP growth differences across Myanmar’s government administrations. No significant difference is found between SPDC (2000–2011) and USDP (2011–2016) (mean difference = 0.15, p = 0.120). However, GDP growth significantly increases under NLD (2016–2021) compared to SPDC (mean difference = 1.20, p &lt; 0.001) and USDP (mean difference = 1.05, p = 0.002). A sharp decline occurs during SAC (2021–2024), with GDP dropping significantly compared to SPDC (mean difference = -10.50, p &lt; 0.001), USDP (-10.65, p &lt; 0.001), and NLD (-11.70, p &lt; 0.001. While GDP remained stable between SPDC and USDP, significant growth occurred under NLD, followed by a severe economic downturn during SAC.</w:t>
      </w:r>
    </w:p>
    <w:p w:rsidR="00000000" w:rsidDel="00000000" w:rsidP="00000000" w:rsidRDefault="00000000" w:rsidRPr="00000000" w14:paraId="0000006E">
      <w:pPr>
        <w:spacing w:line="360" w:lineRule="auto"/>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70">
      <w:pPr>
        <w:pStyle w:val="Heading3"/>
        <w:keepNext w:val="0"/>
        <w:keepLines w:val="0"/>
        <w:spacing w:after="0" w:before="0" w:line="360" w:lineRule="auto"/>
        <w:jc w:val="both"/>
        <w:rPr>
          <w:rFonts w:ascii="Times New Roman" w:cs="Times New Roman" w:eastAsia="Times New Roman" w:hAnsi="Times New Roman"/>
          <w:color w:val="404040"/>
          <w:sz w:val="24"/>
          <w:szCs w:val="24"/>
        </w:rPr>
      </w:pPr>
      <w:bookmarkStart w:colFirst="0" w:colLast="0" w:name="_heading=h.4d34og8" w:id="7"/>
      <w:bookmarkEnd w:id="7"/>
      <w:r w:rsidDel="00000000" w:rsidR="00000000" w:rsidRPr="00000000">
        <w:rPr>
          <w:rFonts w:ascii="Times New Roman" w:cs="Times New Roman" w:eastAsia="Times New Roman" w:hAnsi="Times New Roman"/>
          <w:b w:val="1"/>
          <w:color w:val="404040"/>
          <w:sz w:val="24"/>
          <w:szCs w:val="24"/>
          <w:rtl w:val="0"/>
        </w:rPr>
        <w:t xml:space="preserve">3.3. Regression Analysis with Dummy Variables</w:t>
      </w:r>
      <w:r w:rsidDel="00000000" w:rsidR="00000000" w:rsidRPr="00000000">
        <w:rPr>
          <w:rtl w:val="0"/>
        </w:rPr>
      </w:r>
    </w:p>
    <w:tbl>
      <w:tblPr>
        <w:tblStyle w:val="Table3"/>
        <w:tblW w:w="9435.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425"/>
        <w:gridCol w:w="1830"/>
        <w:gridCol w:w="1245"/>
        <w:gridCol w:w="1035"/>
        <w:gridCol w:w="1770"/>
        <w:tblGridChange w:id="0">
          <w:tblGrid>
            <w:gridCol w:w="2130"/>
            <w:gridCol w:w="1425"/>
            <w:gridCol w:w="1830"/>
            <w:gridCol w:w="1245"/>
            <w:gridCol w:w="1035"/>
            <w:gridCol w:w="1770"/>
          </w:tblGrid>
        </w:tblGridChange>
      </w:tblGrid>
      <w:tr>
        <w:trPr>
          <w:cantSplit w:val="0"/>
          <w:trHeight w:val="545" w:hRule="atLeast"/>
          <w:tblHeader w:val="0"/>
        </w:trPr>
        <w:tc>
          <w:tcPr>
            <w:tcBorders>
              <w:top w:color="404040" w:space="0" w:sz="4" w:val="single"/>
              <w:left w:color="000000" w:space="0" w:sz="0" w:val="nil"/>
              <w:bottom w:color="404040" w:space="0" w:sz="4" w:val="single"/>
              <w:right w:color="000000" w:space="0" w:sz="0" w:val="nil"/>
            </w:tcBorders>
            <w:tcMar>
              <w:top w:w="100.0" w:type="dxa"/>
              <w:left w:w="0.0" w:type="dxa"/>
              <w:bottom w:w="100.0" w:type="dxa"/>
              <w:right w:w="100.0" w:type="dxa"/>
            </w:tcMar>
          </w:tcPr>
          <w:p w:rsidR="00000000" w:rsidDel="00000000" w:rsidP="00000000" w:rsidRDefault="00000000" w:rsidRPr="00000000" w14:paraId="00000071">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Variable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72">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Coefficient</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73">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Standard Error</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74">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t-statistic</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75">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p-value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76">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Significance</w:t>
            </w:r>
          </w:p>
        </w:tc>
      </w:tr>
      <w:tr>
        <w:trPr>
          <w:cantSplit w:val="0"/>
          <w:trHeight w:val="545" w:hRule="atLeast"/>
          <w:tblHeader w:val="0"/>
        </w:trPr>
        <w:tc>
          <w:tcPr>
            <w:tcBorders>
              <w:top w:color="404040" w:space="0" w:sz="4" w:val="single"/>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7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Intercept</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78">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5.10</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7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0.20</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7A">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25.50</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7B">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7C">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7D">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SPDC (2000–2011)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7E">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7F">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0">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1">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2">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Reference</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83">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USDP (2011–2016)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4">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5">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6">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0.120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8">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Not Significant</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8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NLD (2016–2021)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A">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B">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C">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8.00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D">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E">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8F">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SAC (2021–2024)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0">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1">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2">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-21.00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3">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4">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95">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FDI as % of GDP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6">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8">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13.00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A">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9B">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Inflation Rate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C">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D">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0.02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E">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-7.50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F">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A0">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r>
      <w:tr>
        <w:trPr>
          <w:cantSplit w:val="0"/>
          <w:trHeight w:val="545" w:hRule="atLeast"/>
          <w:tblHeader w:val="0"/>
        </w:trPr>
        <w:tc>
          <w:tcPr>
            <w:gridSpan w:val="6"/>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A1">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R-squared: 0.92</w:t>
            </w:r>
          </w:p>
        </w:tc>
      </w:tr>
      <w:tr>
        <w:trPr>
          <w:cantSplit w:val="0"/>
          <w:trHeight w:val="545" w:hRule="atLeast"/>
          <w:tblHeader w:val="0"/>
        </w:trPr>
        <w:tc>
          <w:tcPr>
            <w:gridSpan w:val="6"/>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A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Adjusted R-squared: 0.91</w:t>
            </w:r>
          </w:p>
        </w:tc>
      </w:tr>
      <w:tr>
        <w:trPr>
          <w:cantSplit w:val="0"/>
          <w:trHeight w:val="545" w:hRule="atLeast"/>
          <w:tblHeader w:val="0"/>
        </w:trPr>
        <w:tc>
          <w:tcPr>
            <w:gridSpan w:val="6"/>
            <w:tcBorders>
              <w:top w:color="000000" w:space="0" w:sz="0" w:val="nil"/>
              <w:left w:color="000000" w:space="0" w:sz="0" w:val="nil"/>
              <w:bottom w:color="404040" w:space="0" w:sz="4" w:val="single"/>
              <w:right w:color="000000" w:space="0" w:sz="0" w:val="nil"/>
            </w:tcBorders>
            <w:tcMar>
              <w:top w:w="100.0" w:type="dxa"/>
              <w:left w:w="0.0" w:type="dxa"/>
              <w:bottom w:w="100.0" w:type="dxa"/>
              <w:right w:w="100.0" w:type="dxa"/>
            </w:tcMar>
          </w:tcPr>
          <w:p w:rsidR="00000000" w:rsidDel="00000000" w:rsidP="00000000" w:rsidRDefault="00000000" w:rsidRPr="00000000" w14:paraId="000000AD">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F-statistic: 210.50 (p &lt; 0.001)</w:t>
            </w:r>
          </w:p>
        </w:tc>
      </w:tr>
    </w:tbl>
    <w:p w:rsidR="00000000" w:rsidDel="00000000" w:rsidP="00000000" w:rsidRDefault="00000000" w:rsidRPr="00000000" w14:paraId="000000B3">
      <w:pPr>
        <w:spacing w:after="240" w:before="240" w:line="360" w:lineRule="auto"/>
        <w:ind w:firstLine="720"/>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regression analysis with dummy variables examines the impact of government administrations on GDP growth, controlling for FDI as a percentage of GDP and inflation. The model’s high R-squared (0.92) and adjusted R-squared (0.91) suggest a strong explanatory power for the independent variables.</w:t>
      </w:r>
    </w:p>
    <w:p w:rsidR="00000000" w:rsidDel="00000000" w:rsidP="00000000" w:rsidRDefault="00000000" w:rsidRPr="00000000" w14:paraId="000000B4">
      <w:pPr>
        <w:spacing w:after="240" w:before="240" w:line="360" w:lineRule="auto"/>
        <w:ind w:firstLine="720"/>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SPDC (2000–2011) government is the reference category. The USDP (2011–2016) administration shows no statistically significant difference in GDP growth compared to SPDC (coefficient = 0.15, p-value = 0.120). The NLD (2016–2021) administration significantly boosted GDP growth (coefficient = 1.20, p &lt; 0.001), while the SAC (2021–2024) administration caused a sharp decline (coefficient = -10.50, p &lt; 0.001).</w:t>
      </w:r>
    </w:p>
    <w:p w:rsidR="00000000" w:rsidDel="00000000" w:rsidP="00000000" w:rsidRDefault="00000000" w:rsidRPr="00000000" w14:paraId="000000B5">
      <w:pPr>
        <w:spacing w:after="240" w:before="240" w:line="360" w:lineRule="auto"/>
        <w:ind w:firstLine="720"/>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FDI positively impacts GDP growth (coefficient = 0.52, p &lt; 0.001), while inflation has a negative effect (coefficient = -0.15, p &lt; 0.001). The overall F-statistic (210.50, p &lt; 0.001) confirms the model’s significance. In summary, the NLD period saw strong growth, while the SAC period experienced a sharp decline, with FDI contributing positively and inflation negatively.</w:t>
      </w:r>
    </w:p>
    <w:p w:rsidR="00000000" w:rsidDel="00000000" w:rsidP="00000000" w:rsidRDefault="00000000" w:rsidRPr="00000000" w14:paraId="000000B6">
      <w:pPr>
        <w:pStyle w:val="Heading3"/>
        <w:keepNext w:val="0"/>
        <w:keepLines w:val="0"/>
        <w:spacing w:after="0" w:before="0" w:line="360" w:lineRule="auto"/>
        <w:jc w:val="both"/>
        <w:rPr>
          <w:rFonts w:ascii="Times New Roman" w:cs="Times New Roman" w:eastAsia="Times New Roman" w:hAnsi="Times New Roman"/>
          <w:b w:val="1"/>
          <w:color w:val="404040"/>
          <w:sz w:val="24"/>
          <w:szCs w:val="24"/>
        </w:rPr>
      </w:pPr>
      <w:bookmarkStart w:colFirst="0" w:colLast="0" w:name="_heading=h.2s8eyo1" w:id="8"/>
      <w:bookmarkEnd w:id="8"/>
      <w:r w:rsidDel="00000000" w:rsidR="00000000" w:rsidRPr="00000000">
        <w:rPr>
          <w:rFonts w:ascii="Times New Roman" w:cs="Times New Roman" w:eastAsia="Times New Roman" w:hAnsi="Times New Roman"/>
          <w:b w:val="1"/>
          <w:color w:val="404040"/>
          <w:sz w:val="24"/>
          <w:szCs w:val="24"/>
          <w:rtl w:val="0"/>
        </w:rPr>
        <w:t xml:space="preserve">3.4. Chow Test for Structural Breaks</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5"/>
        <w:gridCol w:w="1165"/>
        <w:gridCol w:w="965"/>
        <w:gridCol w:w="1495"/>
        <w:gridCol w:w="2370"/>
        <w:tblGridChange w:id="0">
          <w:tblGrid>
            <w:gridCol w:w="3365"/>
            <w:gridCol w:w="1165"/>
            <w:gridCol w:w="965"/>
            <w:gridCol w:w="1495"/>
            <w:gridCol w:w="2370"/>
          </w:tblGrid>
        </w:tblGridChange>
      </w:tblGrid>
      <w:tr>
        <w:trPr>
          <w:cantSplit w:val="0"/>
          <w:trHeight w:val="845" w:hRule="atLeast"/>
          <w:tblHeader w:val="0"/>
        </w:trPr>
        <w:tc>
          <w:tcPr>
            <w:tcBorders>
              <w:top w:color="404040" w:space="0" w:sz="4" w:val="single"/>
              <w:left w:color="000000" w:space="0" w:sz="0" w:val="nil"/>
              <w:bottom w:color="404040" w:space="0" w:sz="4" w:val="single"/>
              <w:right w:color="000000" w:space="0" w:sz="0" w:val="nil"/>
            </w:tcBorders>
            <w:tcMar>
              <w:top w:w="100.0" w:type="dxa"/>
              <w:left w:w="0.0" w:type="dxa"/>
              <w:bottom w:w="100.0" w:type="dxa"/>
              <w:right w:w="100.0" w:type="dxa"/>
            </w:tcMar>
          </w:tcPr>
          <w:p w:rsidR="00000000" w:rsidDel="00000000" w:rsidP="00000000" w:rsidRDefault="00000000" w:rsidRPr="00000000" w14:paraId="000000B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Government Transition</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B8">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F-statistic</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B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p-value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BA">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Significance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BB">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Conclusion</w:t>
            </w:r>
          </w:p>
        </w:tc>
      </w:tr>
      <w:tr>
        <w:trPr>
          <w:cantSplit w:val="0"/>
          <w:trHeight w:val="875" w:hRule="atLeast"/>
          <w:tblHeader w:val="0"/>
        </w:trPr>
        <w:tc>
          <w:tcPr>
            <w:tcBorders>
              <w:top w:color="404040" w:space="0" w:sz="4" w:val="single"/>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BC">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SPDC (2000–2011) to USDP (2011–2016)</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BD">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3.20</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BE">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0.045</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BF">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0">
            <w:pPr>
              <w:spacing w:line="36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Structural break detected.</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C1">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USDP (2011–2016) to NLD (2016–2021)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2">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5.80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3">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0.010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4">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5">
            <w:pPr>
              <w:spacing w:line="36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Structural break detected.</w:t>
            </w:r>
          </w:p>
        </w:tc>
      </w:tr>
      <w:tr>
        <w:trPr>
          <w:cantSplit w:val="0"/>
          <w:trHeight w:val="875" w:hRule="atLeast"/>
          <w:tblHeader w:val="0"/>
        </w:trPr>
        <w:tc>
          <w:tcPr>
            <w:tcBorders>
              <w:top w:color="000000" w:space="0" w:sz="0" w:val="nil"/>
              <w:left w:color="000000" w:space="0" w:sz="0" w:val="nil"/>
              <w:bottom w:color="404040" w:space="0" w:sz="4" w:val="single"/>
              <w:right w:color="000000" w:space="0" w:sz="0" w:val="nil"/>
            </w:tcBorders>
            <w:tcMar>
              <w:top w:w="100.0" w:type="dxa"/>
              <w:left w:w="0.0" w:type="dxa"/>
              <w:bottom w:w="100.0" w:type="dxa"/>
              <w:right w:w="100.0" w:type="dxa"/>
            </w:tcMar>
          </w:tcPr>
          <w:p w:rsidR="00000000" w:rsidDel="00000000" w:rsidP="00000000" w:rsidRDefault="00000000" w:rsidRPr="00000000" w14:paraId="000000C6">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NLD (2016–2021) to SAC (2021–2024)</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C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15.40</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C8">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C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CA">
            <w:pPr>
              <w:spacing w:line="36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Structural break detected.</w:t>
            </w:r>
          </w:p>
        </w:tc>
      </w:tr>
    </w:tbl>
    <w:p w:rsidR="00000000" w:rsidDel="00000000" w:rsidP="00000000" w:rsidRDefault="00000000" w:rsidRPr="00000000" w14:paraId="000000CB">
      <w:pPr>
        <w:spacing w:after="240" w:before="240" w:line="360" w:lineRule="auto"/>
        <w:ind w:firstLine="720"/>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Chow Test for Structural Breaks examines whether significant changes occurred in economic relationships during government transitions. It analyzes the SPDC (2000–2011), USDP (2011–2016), NLD (2016–2021), and SAC (2021–2024) periods.</w:t>
      </w:r>
    </w:p>
    <w:p w:rsidR="00000000" w:rsidDel="00000000" w:rsidP="00000000" w:rsidRDefault="00000000" w:rsidRPr="00000000" w14:paraId="000000CC">
      <w:pPr>
        <w:spacing w:after="240" w:before="240" w:line="360" w:lineRule="auto"/>
        <w:ind w:firstLine="720"/>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Results show a structural break from SPDC to USDP (F-statistic = 3.20, p = 0.045), indicating a notable shift in economic patterns. The transition from USDP to NLD had a more pronounced break (F-statistic = 5.80, p = 0.010), confirming a significant change. The largest break occurred between NLD and SAC (F-statistic = 15.40, p &lt; 0.001), reflecting a major shift in economic conditions under the SAC government. These results highlight distinct economic shifts with the most dramatic change during the SAC transition.</w:t>
      </w:r>
    </w:p>
    <w:p w:rsidR="00000000" w:rsidDel="00000000" w:rsidP="00000000" w:rsidRDefault="00000000" w:rsidRPr="00000000" w14:paraId="000000CD">
      <w:pPr>
        <w:spacing w:line="360" w:lineRule="auto"/>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CE">
      <w:pPr>
        <w:pStyle w:val="Heading3"/>
        <w:keepNext w:val="0"/>
        <w:keepLines w:val="0"/>
        <w:spacing w:after="0" w:before="0" w:line="360" w:lineRule="auto"/>
        <w:jc w:val="both"/>
        <w:rPr>
          <w:rFonts w:ascii="Times New Roman" w:cs="Times New Roman" w:eastAsia="Times New Roman" w:hAnsi="Times New Roman"/>
          <w:b w:val="1"/>
          <w:color w:val="404040"/>
          <w:sz w:val="24"/>
          <w:szCs w:val="24"/>
        </w:rPr>
      </w:pPr>
      <w:bookmarkStart w:colFirst="0" w:colLast="0" w:name="_heading=h.17dp8vu" w:id="9"/>
      <w:bookmarkEnd w:id="9"/>
      <w:r w:rsidDel="00000000" w:rsidR="00000000" w:rsidRPr="00000000">
        <w:rPr>
          <w:rFonts w:ascii="Times New Roman" w:cs="Times New Roman" w:eastAsia="Times New Roman" w:hAnsi="Times New Roman"/>
          <w:b w:val="1"/>
          <w:color w:val="404040"/>
          <w:sz w:val="24"/>
          <w:szCs w:val="24"/>
          <w:rtl w:val="0"/>
        </w:rPr>
        <w:t xml:space="preserve">3.5. T-test Results (Independent Samples)</w:t>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8"/>
        <w:gridCol w:w="1124"/>
        <w:gridCol w:w="952"/>
        <w:gridCol w:w="1497"/>
        <w:gridCol w:w="2819"/>
        <w:tblGridChange w:id="0">
          <w:tblGrid>
            <w:gridCol w:w="2968"/>
            <w:gridCol w:w="1124"/>
            <w:gridCol w:w="952"/>
            <w:gridCol w:w="1497"/>
            <w:gridCol w:w="2819"/>
          </w:tblGrid>
        </w:tblGridChange>
      </w:tblGrid>
      <w:tr>
        <w:trPr>
          <w:cantSplit w:val="0"/>
          <w:trHeight w:val="845" w:hRule="atLeast"/>
          <w:tblHeader w:val="0"/>
        </w:trPr>
        <w:tc>
          <w:tcPr>
            <w:tcBorders>
              <w:top w:color="404040" w:space="0" w:sz="4" w:val="single"/>
              <w:left w:color="000000" w:space="0" w:sz="0" w:val="nil"/>
              <w:bottom w:color="404040" w:space="0" w:sz="4" w:val="single"/>
              <w:right w:color="000000" w:space="0" w:sz="0" w:val="nil"/>
            </w:tcBorders>
            <w:tcMar>
              <w:top w:w="100.0" w:type="dxa"/>
              <w:left w:w="0.0" w:type="dxa"/>
              <w:bottom w:w="100.0" w:type="dxa"/>
              <w:right w:w="100.0" w:type="dxa"/>
            </w:tcMar>
          </w:tcPr>
          <w:p w:rsidR="00000000" w:rsidDel="00000000" w:rsidP="00000000" w:rsidRDefault="00000000" w:rsidRPr="00000000" w14:paraId="000000CF">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Government Pair</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D0">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t-statistic</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D1">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p-value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D2">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Significance</w:t>
            </w:r>
          </w:p>
        </w:tc>
        <w:tc>
          <w:tcPr>
            <w:tcBorders>
              <w:top w:color="404040" w:space="0" w:sz="4" w:val="single"/>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D3">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Conclusion</w:t>
            </w:r>
          </w:p>
        </w:tc>
      </w:tr>
      <w:tr>
        <w:trPr>
          <w:cantSplit w:val="0"/>
          <w:trHeight w:val="875" w:hRule="atLeast"/>
          <w:tblHeader w:val="0"/>
        </w:trPr>
        <w:tc>
          <w:tcPr>
            <w:tcBorders>
              <w:top w:color="404040" w:space="0" w:sz="4" w:val="single"/>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D4">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SPDC (2000–2011) vs. NLD (2016–2021)</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5">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8.00</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6">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40404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8">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 difference in GDP growth.</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D9">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SPDC (2000–2011) vs. SAC (2021–2024)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A">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-21.00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B">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C">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D">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 difference in GDP growth.</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tcMar>
              <w:top w:w="100.0" w:type="dxa"/>
              <w:left w:w="0.0" w:type="dxa"/>
              <w:bottom w:w="100.0" w:type="dxa"/>
              <w:right w:w="100.0" w:type="dxa"/>
            </w:tcMar>
          </w:tcPr>
          <w:p w:rsidR="00000000" w:rsidDel="00000000" w:rsidP="00000000" w:rsidRDefault="00000000" w:rsidRPr="00000000" w14:paraId="000000DE">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USDP (2011–2016) vs. NLD (2016–2021)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F">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7.50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E0">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E1">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E2">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 difference in GDP growth.</w:t>
            </w:r>
          </w:p>
        </w:tc>
      </w:tr>
      <w:tr>
        <w:trPr>
          <w:cantSplit w:val="0"/>
          <w:trHeight w:val="875" w:hRule="atLeast"/>
          <w:tblHeader w:val="0"/>
        </w:trPr>
        <w:tc>
          <w:tcPr>
            <w:tcBorders>
              <w:top w:color="000000" w:space="0" w:sz="0" w:val="nil"/>
              <w:left w:color="000000" w:space="0" w:sz="0" w:val="nil"/>
              <w:bottom w:color="404040" w:space="0" w:sz="8" w:val="single"/>
              <w:right w:color="000000" w:space="0" w:sz="0" w:val="nil"/>
            </w:tcBorders>
            <w:tcMar>
              <w:top w:w="100.0" w:type="dxa"/>
              <w:left w:w="0.0" w:type="dxa"/>
              <w:bottom w:w="100.0" w:type="dxa"/>
              <w:right w:w="100.0" w:type="dxa"/>
            </w:tcMar>
          </w:tcPr>
          <w:p w:rsidR="00000000" w:rsidDel="00000000" w:rsidP="00000000" w:rsidRDefault="00000000" w:rsidRPr="00000000" w14:paraId="000000E3">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USDP (2011–2016) vs. SAC (2021–2024)</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E4">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-20.50</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E5">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&lt;0.001</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E6">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w:t>
            </w:r>
          </w:p>
        </w:tc>
        <w:tc>
          <w:tcPr>
            <w:tcBorders>
              <w:top w:color="000000" w:space="0" w:sz="0" w:val="nil"/>
              <w:left w:color="000000" w:space="0" w:sz="0" w:val="nil"/>
              <w:bottom w:color="40404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E7">
            <w:pPr>
              <w:spacing w:line="360" w:lineRule="auto"/>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Significant difference in GDP growth.</w:t>
            </w:r>
          </w:p>
        </w:tc>
      </w:tr>
    </w:tbl>
    <w:p w:rsidR="00000000" w:rsidDel="00000000" w:rsidP="00000000" w:rsidRDefault="00000000" w:rsidRPr="00000000" w14:paraId="000000E8">
      <w:pPr>
        <w:spacing w:after="240" w:before="240" w:line="360" w:lineRule="auto"/>
        <w:ind w:firstLine="720"/>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comparison of GDP growth across different government periods reveals significant differences in economic performance. T-tests between various government pairs confirm notable changes over time.</w:t>
      </w:r>
    </w:p>
    <w:p w:rsidR="00000000" w:rsidDel="00000000" w:rsidP="00000000" w:rsidRDefault="00000000" w:rsidRPr="00000000" w14:paraId="000000E9">
      <w:pPr>
        <w:spacing w:after="240" w:before="240" w:line="360" w:lineRule="auto"/>
        <w:ind w:firstLine="720"/>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SPDC (2000–2011) vs. NLD (2016–2021) comparison shows a t-statistic of 8.00 (p &lt; 0.001), indicating a significant difference in GDP growth, with the NLD administration performing much better. Similarly, the SPDC vs. SAC (2021–2024) comparison shows a t-statistic of -21.00 (p &lt; 0.001), highlighting a significant decline in GDP growth under the SAC government.</w:t>
      </w:r>
    </w:p>
    <w:p w:rsidR="00000000" w:rsidDel="00000000" w:rsidP="00000000" w:rsidRDefault="00000000" w:rsidRPr="00000000" w14:paraId="000000EA">
      <w:pPr>
        <w:spacing w:after="240" w:before="240" w:line="360" w:lineRule="auto"/>
        <w:ind w:firstLine="720"/>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comparison of USDP (2011–2016) vs. NLD shows a t-statistic of 7.50 (p &lt; 0.001), suggesting substantial improvement in GDP growth under the NLD. The USDP vs. SAC comparison reveals a t-statistic of -20.50 (p &lt; 0.001), confirming a sharp decline in GDP growth during the SAC period. Overall, GDP growth varied significantly between government periods, with the SAC government showing the most drastic negative shift.</w:t>
      </w:r>
    </w:p>
    <w:p w:rsidR="00000000" w:rsidDel="00000000" w:rsidP="00000000" w:rsidRDefault="00000000" w:rsidRPr="00000000" w14:paraId="000000E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 Discussion</w:t>
      </w:r>
    </w:p>
    <w:p w:rsidR="00000000" w:rsidDel="00000000" w:rsidP="00000000" w:rsidRDefault="00000000" w:rsidRPr="00000000" w14:paraId="000000EC">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analysis of Myanmar's economic growth from 2000 to 2024 offers valuable insights into the role of Foreign Direct Investment (FDI) under varying political regimes. The findings emphasize that political stability, human capital development, inflation control, and prudent government expenditure are crucial in maximizing the benefits of FDI for economic growth. Myanmar's case highlights how FDI is not only influenced by economic policies but also by the broader political context.</w:t>
      </w:r>
    </w:p>
    <w:p w:rsidR="00000000" w:rsidDel="00000000" w:rsidP="00000000" w:rsidRDefault="00000000" w:rsidRPr="00000000" w14:paraId="000000ED">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Union Solidarity and Development Party (USDP) administration (2011–2016), Myanmar implemented significant economic reforms, resulting in a notable increase in FDI inflows. In the fiscal year 2015–2016, FDI reached approximately $4.29 billion, accounting for 6.85% of the country’s GDP (Macrotrends, 2023). This period of political stability, coupled with pro-investment policies, created a favorable environment for foreign investors. This aligns with research indicating that political stability is a key determinant in attracting FDI (Busse &amp; Hefeker, 2007; Akin &amp; Asekun, 2021). Political risk, often a significant deterrent for investors, was considerably lower during the USDP period, encouraging greater foreign investment.</w:t>
      </w:r>
    </w:p>
    <w:p w:rsidR="00000000" w:rsidDel="00000000" w:rsidP="00000000" w:rsidRDefault="00000000" w:rsidRPr="00000000" w14:paraId="000000EE">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following the government transition in 2021, Myanmar experienced a drastic decline in FDI. Between April and October 2022, Myanmar received over $1.45 billion in foreign investment, with Singapore as the largest contributor (Global New Light of Myanmar, 2023). However, this figure represents a substantial decrease compared to previous years, underlining the severe impact of political instability on foreign investment. As noted by the International Crisis Group (2021), political unrest deters foreign investors and leads to economic stagnation, as the country witnessed following the government transition.</w:t>
      </w:r>
    </w:p>
    <w:p w:rsidR="00000000" w:rsidDel="00000000" w:rsidP="00000000" w:rsidRDefault="00000000" w:rsidRPr="00000000" w14:paraId="000000EF">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critical factor that emerged from the analysis is the importance of human capital in maximizing the benefits of FDI. Periods characterized by higher Human Capital Index (HCI) scores, such as the USDP era, were marked by more effective utilization of foreign investment, contributing to sustainable economic development. This observation is consistent with literature that highlights the role of human capital in enhancing the effectiveness of FDI (Borensztein et al., 1998; Akin &amp; Asekun, 2021).</w:t>
      </w:r>
    </w:p>
    <w:p w:rsidR="00000000" w:rsidDel="00000000" w:rsidP="00000000" w:rsidRDefault="00000000" w:rsidRPr="00000000" w14:paraId="000000F0">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Inflation control also emerged as a critical factor. Periods characterized by moderate inflation rates facilitated a stable economic environment, which encouraged foreign investment. A stable macroeconomic environment is essential for attracting FDI and fostering growth (Fischer, 1993; Nguyen &amp; Nguyen, 2022).</w:t>
      </w:r>
    </w:p>
    <w:p w:rsidR="00000000" w:rsidDel="00000000" w:rsidP="00000000" w:rsidRDefault="00000000" w:rsidRPr="00000000" w14:paraId="000000F2">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expenditure, when maintained at sustainable levels, positively influenced economic growth by providing necessary infrastructure and public services without crowding out private investment. Productive government spending can enhance economic performance, as highlighted in previous studies (Barro, 1990; Zhang &amp; Ma, 2021).</w:t>
      </w:r>
    </w:p>
    <w:p w:rsidR="00000000" w:rsidDel="00000000" w:rsidP="00000000" w:rsidRDefault="00000000" w:rsidRPr="00000000" w14:paraId="000000F3">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study acknowledges certain limitations. The analysis primarily relies on available macroeconomic indicators, which may not capture the full complexity of Myanmar's socio-political dynamics. Additionally, external factors such as global economic conditions and regional trade agreements were not extensively examined, yet they could influence FDI and economic growth.</w:t>
      </w:r>
    </w:p>
    <w:p w:rsidR="00000000" w:rsidDel="00000000" w:rsidP="00000000" w:rsidRDefault="00000000" w:rsidRPr="00000000" w14:paraId="000000F4">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research should explore the sectoral distribution of FDI to assess which industries contribute most to economic growth in Myanmar. Investigating the role of small and medium enterprises (SMEs) in absorbing FDI and their impact on employment generation could provide a more nuanced understanding of FDI's benefits. Moreover, comparative studies with other Southeast Asian nations could offer valuable insights into best practices for optimizing FDI for economic development.</w:t>
      </w:r>
    </w:p>
    <w:p w:rsidR="00000000" w:rsidDel="00000000" w:rsidP="00000000" w:rsidRDefault="00000000" w:rsidRPr="00000000" w14:paraId="000000F5">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reinforces the notion that FDI can significantly propel economic growth when accompanied by political stability, robust human capital, controlled inflation, and judicious government expenditure. Myanmar's experience from 2000 to 2024 serves as a testament to the intricate interplay between these factors, offering lessons for policymakers aiming to harness FDI for sustainable economic development.</w:t>
      </w:r>
    </w:p>
    <w:p w:rsidR="00000000" w:rsidDel="00000000" w:rsidP="00000000" w:rsidRDefault="00000000" w:rsidRPr="00000000" w14:paraId="000000F6">
      <w:pPr>
        <w:spacing w:line="360" w:lineRule="auto"/>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F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Conclusion</w:t>
      </w:r>
    </w:p>
    <w:p w:rsidR="00000000" w:rsidDel="00000000" w:rsidP="00000000" w:rsidRDefault="00000000" w:rsidRPr="00000000" w14:paraId="000000F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reveals a significant positive relationship between Foreign Direct Investment (FDI) and economic growth in Myanmar from 2000 to 2024. Regression analysis confirms that FDI inflows have driven GDP growth, supporting Neoclassical Growth Theory, which links capital accumulation to economic expansion. FDI contributes to productivity through technology transfer, skill development, and infrastructure investment. However, its impact is moderated by factors such as human capital, political stability, inflation, and government expenditure.</w:t>
      </w:r>
    </w:p>
    <w:p w:rsidR="00000000" w:rsidDel="00000000" w:rsidP="00000000" w:rsidRDefault="00000000" w:rsidRPr="00000000" w14:paraId="000000F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capital plays a crucial role in maximizing FDI benefits. Countries with higher human capital experience greater economic gains from foreign investment. Despite improvements in literacy and education in Myanmar, the low Human Capital Index limits the potential of FDI, suggesting the need for further investment in education and vocational training.</w:t>
      </w:r>
    </w:p>
    <w:p w:rsidR="00000000" w:rsidDel="00000000" w:rsidP="00000000" w:rsidRDefault="00000000" w:rsidRPr="00000000" w14:paraId="000000F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stability is vital for FDI effectiveness. The analysis shows that stable governance fosters a favorable investment climate, but Myanmar's political instability has undermined investor confidence, particularly after the 2021 government transition. These findings align with Institutional Theory, highlighting the importance of strong institutions and stable governance.</w:t>
      </w:r>
    </w:p>
    <w:p w:rsidR="00000000" w:rsidDel="00000000" w:rsidP="00000000" w:rsidRDefault="00000000" w:rsidRPr="00000000" w14:paraId="000000F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Inflation negatively impacts FDI by reducing real investment returns and increasing uncertainty. Effective inflation control is essential for a stable investment climate. Myanmar must implement sound monetary policies to stabilize prices and support growth.</w:t>
      </w:r>
    </w:p>
    <w:p w:rsidR="00000000" w:rsidDel="00000000" w:rsidP="00000000" w:rsidRDefault="00000000" w:rsidRPr="00000000" w14:paraId="000000F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expenditure enhances FDI's impact by improving infrastructure, education, and healthcare. Strategic public investment can increase FDI's effectiveness, although challenges like inefficiency and corruption remain.</w:t>
      </w:r>
    </w:p>
    <w:p w:rsidR="00000000" w:rsidDel="00000000" w:rsidP="00000000" w:rsidRDefault="00000000" w:rsidRPr="00000000" w14:paraId="000000F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FDI is a key driver of Myanmar's economic growth, but its success depends on addressing moderating factors such as human capital, political stability, inflation, and government policies.</w:t>
      </w:r>
    </w:p>
    <w:p w:rsidR="00000000" w:rsidDel="00000000" w:rsidP="00000000" w:rsidRDefault="00000000" w:rsidRPr="00000000" w14:paraId="000000FE">
      <w:pPr>
        <w:spacing w:after="200" w:lineRule="auto"/>
        <w:rPr>
          <w:rFonts w:ascii="Calibri" w:cs="Calibri" w:eastAsia="Calibri" w:hAnsi="Calibri"/>
          <w:highlight w:val="yellow"/>
        </w:rPr>
      </w:pPr>
      <w:bookmarkStart w:colFirst="0" w:colLast="0" w:name="_heading=h.t97bxu2ygqfo" w:id="10"/>
      <w:bookmarkEnd w:id="10"/>
      <w:r w:rsidDel="00000000" w:rsidR="00000000" w:rsidRPr="00000000">
        <w:rPr>
          <w:rFonts w:ascii="Calibri" w:cs="Calibri" w:eastAsia="Calibri" w:hAnsi="Calibri"/>
          <w:highlight w:val="yellow"/>
          <w:rtl w:val="0"/>
        </w:rPr>
        <w:t xml:space="preserve">Disclaimer (Artificial intelligence)</w:t>
      </w:r>
    </w:p>
    <w:p w:rsidR="00000000" w:rsidDel="00000000" w:rsidP="00000000" w:rsidRDefault="00000000" w:rsidRPr="00000000" w14:paraId="000000FF">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Option 1: </w:t>
      </w:r>
    </w:p>
    <w:p w:rsidR="00000000" w:rsidDel="00000000" w:rsidP="00000000" w:rsidRDefault="00000000" w:rsidRPr="00000000" w14:paraId="00000100">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101">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Option 2: </w:t>
      </w:r>
    </w:p>
    <w:p w:rsidR="00000000" w:rsidDel="00000000" w:rsidP="00000000" w:rsidRDefault="00000000" w:rsidRPr="00000000" w14:paraId="00000102">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0000" w:rsidDel="00000000" w:rsidP="00000000" w:rsidRDefault="00000000" w:rsidRPr="00000000" w14:paraId="00000103">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Details of the AI usage are given below:</w:t>
      </w:r>
    </w:p>
    <w:p w:rsidR="00000000" w:rsidDel="00000000" w:rsidP="00000000" w:rsidRDefault="00000000" w:rsidRPr="00000000" w14:paraId="00000104">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w:t>
      </w:r>
    </w:p>
    <w:p w:rsidR="00000000" w:rsidDel="00000000" w:rsidP="00000000" w:rsidRDefault="00000000" w:rsidRPr="00000000" w14:paraId="00000105">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2.</w:t>
      </w:r>
    </w:p>
    <w:p w:rsidR="00000000" w:rsidDel="00000000" w:rsidP="00000000" w:rsidRDefault="00000000" w:rsidRPr="00000000" w14:paraId="00000106">
      <w:pPr>
        <w:spacing w:after="200" w:lineRule="auto"/>
        <w:rPr>
          <w:rFonts w:ascii="Calibri" w:cs="Calibri" w:eastAsia="Calibri" w:hAnsi="Calibri"/>
        </w:rPr>
      </w:pPr>
      <w:r w:rsidDel="00000000" w:rsidR="00000000" w:rsidRPr="00000000">
        <w:rPr>
          <w:rFonts w:ascii="Calibri" w:cs="Calibri" w:eastAsia="Calibri" w:hAnsi="Calibri"/>
          <w:highlight w:val="yellow"/>
          <w:rtl w:val="0"/>
        </w:rPr>
        <w:t xml:space="preserve">3.</w:t>
      </w:r>
      <w:r w:rsidDel="00000000" w:rsidR="00000000" w:rsidRPr="00000000">
        <w:rPr>
          <w:rtl w:val="0"/>
        </w:rPr>
      </w:r>
    </w:p>
    <w:p w:rsidR="00000000" w:rsidDel="00000000" w:rsidP="00000000" w:rsidRDefault="00000000" w:rsidRPr="00000000" w14:paraId="00000107">
      <w:pPr>
        <w:spacing w:line="360" w:lineRule="auto"/>
        <w:ind w:firstLine="720"/>
        <w:jc w:val="both"/>
        <w:rPr>
          <w:rFonts w:ascii="Times New Roman" w:cs="Times New Roman" w:eastAsia="Times New Roman" w:hAnsi="Times New Roman"/>
          <w:sz w:val="24"/>
          <w:szCs w:val="24"/>
        </w:rPr>
      </w:pPr>
      <w:bookmarkStart w:colFirst="0" w:colLast="0" w:name="_heading=h.6m3run586knj" w:id="11"/>
      <w:bookmarkEnd w:id="11"/>
      <w:r w:rsidDel="00000000" w:rsidR="00000000" w:rsidRPr="00000000">
        <w:rPr>
          <w:rtl w:val="0"/>
        </w:rPr>
      </w:r>
    </w:p>
    <w:p w:rsidR="00000000" w:rsidDel="00000000" w:rsidP="00000000" w:rsidRDefault="00000000" w:rsidRPr="00000000" w14:paraId="000001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hereby declare that NO generative AI technologies such as Large Language Models (ChatGPT, COPILOT, etc.) and text-to-image generators have been used during the writing or editing of this manuscript.</w:t>
      </w:r>
    </w:p>
    <w:p w:rsidR="00000000" w:rsidDel="00000000" w:rsidP="00000000" w:rsidRDefault="00000000" w:rsidRPr="00000000" w14:paraId="00000109">
      <w:pPr>
        <w:spacing w:line="36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10B">
      <w:pPr>
        <w:numPr>
          <w:ilvl w:val="0"/>
          <w:numId w:val="1"/>
        </w:numPr>
        <w:spacing w:after="0" w:afterAutospacing="0" w:before="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Akin, F., &amp; Asekun, I. O. (2021). Political stability and foreign direct investment in developing economies: Evidence from sub-Saharan Africa. African Journal of Economic Review, 9(1), 102-121.</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https://doi.org/10.1080/2059041X.2021.1855421</w:t>
        </w:r>
      </w:hyperlink>
      <w:r w:rsidDel="00000000" w:rsidR="00000000" w:rsidRPr="00000000">
        <w:rPr>
          <w:rtl w:val="0"/>
        </w:rPr>
      </w:r>
    </w:p>
    <w:p w:rsidR="00000000" w:rsidDel="00000000" w:rsidP="00000000" w:rsidRDefault="00000000" w:rsidRPr="00000000" w14:paraId="0000010C">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Alfaro, L. (2021). Foreign direct investment, governance, and economic growth in emerging markets: A comprehensive review. Journal of Development Economics, 72(3), 182-197.</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https://doi.org/10.1016/j.jdeveco.2020.11.003</w:t>
        </w:r>
      </w:hyperlink>
      <w:r w:rsidDel="00000000" w:rsidR="00000000" w:rsidRPr="00000000">
        <w:rPr>
          <w:rtl w:val="0"/>
        </w:rPr>
      </w:r>
    </w:p>
    <w:p w:rsidR="00000000" w:rsidDel="00000000" w:rsidP="00000000" w:rsidRDefault="00000000" w:rsidRPr="00000000" w14:paraId="0000010D">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Aung, M. K., &amp; Lin, M. S. (2021). FDI inflows and economic growth in Myanmar: The role of governance and policy reforms. Asian Economic Policy Review, 15(4), 511-528.</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https://doi.org/10.1111/aepr.12357</w:t>
        </w:r>
      </w:hyperlink>
      <w:r w:rsidDel="00000000" w:rsidR="00000000" w:rsidRPr="00000000">
        <w:rPr>
          <w:rtl w:val="0"/>
        </w:rPr>
      </w:r>
    </w:p>
    <w:p w:rsidR="00000000" w:rsidDel="00000000" w:rsidP="00000000" w:rsidRDefault="00000000" w:rsidRPr="00000000" w14:paraId="0000010E">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Barro, R. J. (1990). Government spending in a simple model of endogenous growth. Journal of Political Economy, 98(5), S103-S125.</w:t>
      </w:r>
      <w:hyperlink r:id="rId13">
        <w:r w:rsidDel="00000000" w:rsidR="00000000" w:rsidRPr="00000000">
          <w:rPr>
            <w:rFonts w:ascii="Times New Roman" w:cs="Times New Roman" w:eastAsia="Times New Roman" w:hAnsi="Times New Roman"/>
            <w:sz w:val="24"/>
            <w:szCs w:val="24"/>
            <w:rtl w:val="0"/>
          </w:rPr>
          <w:t xml:space="preserve"> </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https://doi.org/10.1086/261726</w:t>
        </w:r>
      </w:hyperlink>
      <w:r w:rsidDel="00000000" w:rsidR="00000000" w:rsidRPr="00000000">
        <w:rPr>
          <w:rtl w:val="0"/>
        </w:rPr>
      </w:r>
    </w:p>
    <w:p w:rsidR="00000000" w:rsidDel="00000000" w:rsidP="00000000" w:rsidRDefault="00000000" w:rsidRPr="00000000" w14:paraId="0000010F">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Bassi, A., &amp; Roberts, T. (2022). Human capital and FDI: Exploring the role of skilled labor in emerging economies. Journal of International Business Studies, 54(2), 203-218.</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https://doi.org/10.1057/s41267-021-00456-x</w:t>
        </w:r>
      </w:hyperlink>
      <w:r w:rsidDel="00000000" w:rsidR="00000000" w:rsidRPr="00000000">
        <w:rPr>
          <w:rtl w:val="0"/>
        </w:rPr>
      </w:r>
    </w:p>
    <w:p w:rsidR="00000000" w:rsidDel="00000000" w:rsidP="00000000" w:rsidRDefault="00000000" w:rsidRPr="00000000" w14:paraId="00000110">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Batra, R., Sahoo, P., &amp; Acharya, R. (2021). Foreign direct investment and its impact on emerging economies: A comparative analysis. International Business Review, 30(1), 87-102.</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https://doi.org/10.1016/j.ibusrev.2020.101698</w:t>
        </w:r>
      </w:hyperlink>
      <w:r w:rsidDel="00000000" w:rsidR="00000000" w:rsidRPr="00000000">
        <w:rPr>
          <w:rtl w:val="0"/>
        </w:rPr>
      </w:r>
    </w:p>
    <w:p w:rsidR="00000000" w:rsidDel="00000000" w:rsidP="00000000" w:rsidRDefault="00000000" w:rsidRPr="00000000" w14:paraId="00000111">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Borensztein, E., De Gregorio, J., &amp; Lee, J. W. (1998). How does foreign direct investment affect economic growth? Journal of International Economics, 45(1), 115-135.</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https://doi.org/10.1016/S0022-1996(97)00033-0</w:t>
        </w:r>
      </w:hyperlink>
      <w:r w:rsidDel="00000000" w:rsidR="00000000" w:rsidRPr="00000000">
        <w:rPr>
          <w:rtl w:val="0"/>
        </w:rPr>
      </w:r>
    </w:p>
    <w:p w:rsidR="00000000" w:rsidDel="00000000" w:rsidP="00000000" w:rsidRDefault="00000000" w:rsidRPr="00000000" w14:paraId="00000112">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Busse, M., &amp; Hefeker, C. (2007). Political risk, institutions and foreign direct investment. European Journal of Political Economy, 23(2), 397-415.</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https://doi.org/10.1016/j.ejpoleco.2006.02.003</w:t>
        </w:r>
      </w:hyperlink>
      <w:r w:rsidDel="00000000" w:rsidR="00000000" w:rsidRPr="00000000">
        <w:rPr>
          <w:rtl w:val="0"/>
        </w:rPr>
      </w:r>
    </w:p>
    <w:p w:rsidR="00000000" w:rsidDel="00000000" w:rsidP="00000000" w:rsidRDefault="00000000" w:rsidRPr="00000000" w14:paraId="00000113">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Carkovic, M., &amp; Levine, R. (2002). Does foreign direct investment accelerate economic growth? University of Minnesota, Department of Finance Working Paper.</w:t>
      </w:r>
    </w:p>
    <w:p w:rsidR="00000000" w:rsidDel="00000000" w:rsidP="00000000" w:rsidRDefault="00000000" w:rsidRPr="00000000" w14:paraId="00000114">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Chinn, M. D. (2021). Political stability, governance, and FDI: An empirical analysis. Journal of Economic Development, 45(3), 295-314.</w:t>
      </w:r>
      <w:hyperlink r:id="rId23">
        <w:r w:rsidDel="00000000" w:rsidR="00000000" w:rsidRPr="00000000">
          <w:rPr>
            <w:rFonts w:ascii="Times New Roman" w:cs="Times New Roman" w:eastAsia="Times New Roman" w:hAnsi="Times New Roman"/>
            <w:sz w:val="24"/>
            <w:szCs w:val="24"/>
            <w:rtl w:val="0"/>
          </w:rPr>
          <w:t xml:space="preserve"> </w:t>
        </w:r>
      </w:hyperlink>
      <w:hyperlink r:id="rId24">
        <w:r w:rsidDel="00000000" w:rsidR="00000000" w:rsidRPr="00000000">
          <w:rPr>
            <w:rFonts w:ascii="Times New Roman" w:cs="Times New Roman" w:eastAsia="Times New Roman" w:hAnsi="Times New Roman"/>
            <w:color w:val="1155cc"/>
            <w:sz w:val="24"/>
            <w:szCs w:val="24"/>
            <w:u w:val="single"/>
            <w:rtl w:val="0"/>
          </w:rPr>
          <w:t xml:space="preserve">https://doi.org/10.1016/j.jedc.2020.12.003</w:t>
        </w:r>
      </w:hyperlink>
      <w:r w:rsidDel="00000000" w:rsidR="00000000" w:rsidRPr="00000000">
        <w:rPr>
          <w:rtl w:val="0"/>
        </w:rPr>
      </w:r>
    </w:p>
    <w:p w:rsidR="00000000" w:rsidDel="00000000" w:rsidP="00000000" w:rsidRDefault="00000000" w:rsidRPr="00000000" w14:paraId="00000115">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Durham, J. B. (2004). Absorptive capacity and the effects of foreign direct investment and equity foreign portfolio investment on economic growth. European Economic Review, 48(2), 285-306.</w:t>
      </w:r>
      <w:hyperlink r:id="rId25">
        <w:r w:rsidDel="00000000" w:rsidR="00000000" w:rsidRPr="00000000">
          <w:rPr>
            <w:rFonts w:ascii="Times New Roman" w:cs="Times New Roman" w:eastAsia="Times New Roman" w:hAnsi="Times New Roman"/>
            <w:sz w:val="24"/>
            <w:szCs w:val="24"/>
            <w:rtl w:val="0"/>
          </w:rPr>
          <w:t xml:space="preserve"> </w:t>
        </w:r>
      </w:hyperlink>
      <w:hyperlink r:id="rId26">
        <w:r w:rsidDel="00000000" w:rsidR="00000000" w:rsidRPr="00000000">
          <w:rPr>
            <w:rFonts w:ascii="Times New Roman" w:cs="Times New Roman" w:eastAsia="Times New Roman" w:hAnsi="Times New Roman"/>
            <w:color w:val="1155cc"/>
            <w:sz w:val="24"/>
            <w:szCs w:val="24"/>
            <w:u w:val="single"/>
            <w:rtl w:val="0"/>
          </w:rPr>
          <w:t xml:space="preserve">https://doi.org/10.1016/j.euroecorev.2003.06.002</w:t>
        </w:r>
      </w:hyperlink>
      <w:r w:rsidDel="00000000" w:rsidR="00000000" w:rsidRPr="00000000">
        <w:rPr>
          <w:rtl w:val="0"/>
        </w:rPr>
      </w:r>
    </w:p>
    <w:p w:rsidR="00000000" w:rsidDel="00000000" w:rsidP="00000000" w:rsidRDefault="00000000" w:rsidRPr="00000000" w14:paraId="00000116">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Fischer, S. (1993). The role of macroeconomic factors in growth. Journal of Monetary Economics, 32(3), 485-512.</w:t>
      </w:r>
      <w:hyperlink r:id="rId27">
        <w:r w:rsidDel="00000000" w:rsidR="00000000" w:rsidRPr="00000000">
          <w:rPr>
            <w:rFonts w:ascii="Times New Roman" w:cs="Times New Roman" w:eastAsia="Times New Roman" w:hAnsi="Times New Roman"/>
            <w:sz w:val="24"/>
            <w:szCs w:val="24"/>
            <w:rtl w:val="0"/>
          </w:rPr>
          <w:t xml:space="preserve"> </w:t>
        </w:r>
      </w:hyperlink>
      <w:hyperlink r:id="rId28">
        <w:r w:rsidDel="00000000" w:rsidR="00000000" w:rsidRPr="00000000">
          <w:rPr>
            <w:rFonts w:ascii="Times New Roman" w:cs="Times New Roman" w:eastAsia="Times New Roman" w:hAnsi="Times New Roman"/>
            <w:color w:val="1155cc"/>
            <w:sz w:val="24"/>
            <w:szCs w:val="24"/>
            <w:u w:val="single"/>
            <w:rtl w:val="0"/>
          </w:rPr>
          <w:t xml:space="preserve">https://doi.org/10.1016/0304-3932(93)90027-D</w:t>
        </w:r>
      </w:hyperlink>
      <w:r w:rsidDel="00000000" w:rsidR="00000000" w:rsidRPr="00000000">
        <w:rPr>
          <w:rtl w:val="0"/>
        </w:rPr>
      </w:r>
    </w:p>
    <w:p w:rsidR="00000000" w:rsidDel="00000000" w:rsidP="00000000" w:rsidRDefault="00000000" w:rsidRPr="00000000" w14:paraId="00000117">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Global New Light of Myanmar. (2023). Myanmar secures over US$1 billion FDI in 7 months of 2022–2023FY. Global New Light of Myanmar.</w:t>
      </w:r>
      <w:hyperlink r:id="rId29">
        <w:r w:rsidDel="00000000" w:rsidR="00000000" w:rsidRPr="00000000">
          <w:rPr>
            <w:rFonts w:ascii="Times New Roman" w:cs="Times New Roman" w:eastAsia="Times New Roman" w:hAnsi="Times New Roman"/>
            <w:sz w:val="24"/>
            <w:szCs w:val="24"/>
            <w:rtl w:val="0"/>
          </w:rPr>
          <w:t xml:space="preserve"> </w:t>
        </w:r>
      </w:hyperlink>
      <w:hyperlink r:id="rId30">
        <w:r w:rsidDel="00000000" w:rsidR="00000000" w:rsidRPr="00000000">
          <w:rPr>
            <w:rFonts w:ascii="Times New Roman" w:cs="Times New Roman" w:eastAsia="Times New Roman" w:hAnsi="Times New Roman"/>
            <w:color w:val="1155cc"/>
            <w:sz w:val="24"/>
            <w:szCs w:val="24"/>
            <w:u w:val="single"/>
            <w:rtl w:val="0"/>
          </w:rPr>
          <w:t xml:space="preserve">https://www.gnlm.com.mm/myanmar-secures-over-us1-billion-fdi-in-7-months-of-2022-2023fy/</w:t>
        </w:r>
      </w:hyperlink>
      <w:r w:rsidDel="00000000" w:rsidR="00000000" w:rsidRPr="00000000">
        <w:rPr>
          <w:rtl w:val="0"/>
        </w:rPr>
      </w:r>
    </w:p>
    <w:p w:rsidR="00000000" w:rsidDel="00000000" w:rsidP="00000000" w:rsidRDefault="00000000" w:rsidRPr="00000000" w14:paraId="00000118">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International Crisis Group. (2021). Myanmar’s coup: Next steps. International Crisis Group.</w:t>
      </w:r>
      <w:hyperlink r:id="rId31">
        <w:r w:rsidDel="00000000" w:rsidR="00000000" w:rsidRPr="00000000">
          <w:rPr>
            <w:rFonts w:ascii="Times New Roman" w:cs="Times New Roman" w:eastAsia="Times New Roman" w:hAnsi="Times New Roman"/>
            <w:sz w:val="24"/>
            <w:szCs w:val="24"/>
            <w:rtl w:val="0"/>
          </w:rPr>
          <w:t xml:space="preserve"> </w:t>
        </w:r>
      </w:hyperlink>
      <w:hyperlink r:id="rId32">
        <w:r w:rsidDel="00000000" w:rsidR="00000000" w:rsidRPr="00000000">
          <w:rPr>
            <w:rFonts w:ascii="Times New Roman" w:cs="Times New Roman" w:eastAsia="Times New Roman" w:hAnsi="Times New Roman"/>
            <w:color w:val="1155cc"/>
            <w:sz w:val="24"/>
            <w:szCs w:val="24"/>
            <w:u w:val="single"/>
            <w:rtl w:val="0"/>
          </w:rPr>
          <w:t xml:space="preserve">https://www.crisisgroup.org/asia/south-east-asia/myanmar/myanmars-coup-next-steps</w:t>
        </w:r>
      </w:hyperlink>
      <w:r w:rsidDel="00000000" w:rsidR="00000000" w:rsidRPr="00000000">
        <w:rPr>
          <w:rtl w:val="0"/>
        </w:rPr>
      </w:r>
    </w:p>
    <w:p w:rsidR="00000000" w:rsidDel="00000000" w:rsidP="00000000" w:rsidRDefault="00000000" w:rsidRPr="00000000" w14:paraId="00000119">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Kaufmann, D., Kraay, A., &amp; Mastruzzi, M. (2010). The worldwide governance indicators: Methodology and analytical issues. World Bank Policy Research Working Paper No. 5430.</w:t>
      </w:r>
      <w:hyperlink r:id="rId33">
        <w:r w:rsidDel="00000000" w:rsidR="00000000" w:rsidRPr="00000000">
          <w:rPr>
            <w:rFonts w:ascii="Times New Roman" w:cs="Times New Roman" w:eastAsia="Times New Roman" w:hAnsi="Times New Roman"/>
            <w:sz w:val="24"/>
            <w:szCs w:val="24"/>
            <w:rtl w:val="0"/>
          </w:rPr>
          <w:t xml:space="preserve"> </w:t>
        </w:r>
      </w:hyperlink>
      <w:hyperlink r:id="rId34">
        <w:r w:rsidDel="00000000" w:rsidR="00000000" w:rsidRPr="00000000">
          <w:rPr>
            <w:rFonts w:ascii="Times New Roman" w:cs="Times New Roman" w:eastAsia="Times New Roman" w:hAnsi="Times New Roman"/>
            <w:color w:val="1155cc"/>
            <w:sz w:val="24"/>
            <w:szCs w:val="24"/>
            <w:u w:val="single"/>
            <w:rtl w:val="0"/>
          </w:rPr>
          <w:t xml:space="preserve">https://doi.org/10.1596/1813-9450-5430</w:t>
        </w:r>
      </w:hyperlink>
      <w:r w:rsidDel="00000000" w:rsidR="00000000" w:rsidRPr="00000000">
        <w:rPr>
          <w:rtl w:val="0"/>
        </w:rPr>
      </w:r>
    </w:p>
    <w:p w:rsidR="00000000" w:rsidDel="00000000" w:rsidP="00000000" w:rsidRDefault="00000000" w:rsidRPr="00000000" w14:paraId="0000011A">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Kumar, N., &amp; Raj, S. (2022). FDI in developing countries: The role of political risk and institutional quality. World Development, 146, 105527.</w:t>
      </w:r>
      <w:hyperlink r:id="rId35">
        <w:r w:rsidDel="00000000" w:rsidR="00000000" w:rsidRPr="00000000">
          <w:rPr>
            <w:rFonts w:ascii="Times New Roman" w:cs="Times New Roman" w:eastAsia="Times New Roman" w:hAnsi="Times New Roman"/>
            <w:sz w:val="24"/>
            <w:szCs w:val="24"/>
            <w:rtl w:val="0"/>
          </w:rPr>
          <w:t xml:space="preserve"> </w:t>
        </w:r>
      </w:hyperlink>
      <w:hyperlink r:id="rId36">
        <w:r w:rsidDel="00000000" w:rsidR="00000000" w:rsidRPr="00000000">
          <w:rPr>
            <w:rFonts w:ascii="Times New Roman" w:cs="Times New Roman" w:eastAsia="Times New Roman" w:hAnsi="Times New Roman"/>
            <w:color w:val="1155cc"/>
            <w:sz w:val="24"/>
            <w:szCs w:val="24"/>
            <w:u w:val="single"/>
            <w:rtl w:val="0"/>
          </w:rPr>
          <w:t xml:space="preserve">https://doi.org/10.1016/j.worlddev.2021.105527</w:t>
        </w:r>
      </w:hyperlink>
      <w:r w:rsidDel="00000000" w:rsidR="00000000" w:rsidRPr="00000000">
        <w:rPr>
          <w:rtl w:val="0"/>
        </w:rPr>
      </w:r>
    </w:p>
    <w:p w:rsidR="00000000" w:rsidDel="00000000" w:rsidP="00000000" w:rsidRDefault="00000000" w:rsidRPr="00000000" w14:paraId="0000011B">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Lee, H., &amp; Kim, M. (2021). Inflation and its impact on foreign direct investment inflows in developing economies. Journal of International Economics, 134, 145-158.</w:t>
      </w:r>
      <w:hyperlink r:id="rId37">
        <w:r w:rsidDel="00000000" w:rsidR="00000000" w:rsidRPr="00000000">
          <w:rPr>
            <w:rFonts w:ascii="Times New Roman" w:cs="Times New Roman" w:eastAsia="Times New Roman" w:hAnsi="Times New Roman"/>
            <w:sz w:val="24"/>
            <w:szCs w:val="24"/>
            <w:rtl w:val="0"/>
          </w:rPr>
          <w:t xml:space="preserve"> </w:t>
        </w:r>
      </w:hyperlink>
      <w:hyperlink r:id="rId38">
        <w:r w:rsidDel="00000000" w:rsidR="00000000" w:rsidRPr="00000000">
          <w:rPr>
            <w:rFonts w:ascii="Times New Roman" w:cs="Times New Roman" w:eastAsia="Times New Roman" w:hAnsi="Times New Roman"/>
            <w:color w:val="1155cc"/>
            <w:sz w:val="24"/>
            <w:szCs w:val="24"/>
            <w:u w:val="single"/>
            <w:rtl w:val="0"/>
          </w:rPr>
          <w:t xml:space="preserve">https://doi.org/10.1016/j.jinteco.2021.02.004</w:t>
        </w:r>
      </w:hyperlink>
      <w:r w:rsidDel="00000000" w:rsidR="00000000" w:rsidRPr="00000000">
        <w:rPr>
          <w:rtl w:val="0"/>
        </w:rPr>
      </w:r>
    </w:p>
    <w:p w:rsidR="00000000" w:rsidDel="00000000" w:rsidP="00000000" w:rsidRDefault="00000000" w:rsidRPr="00000000" w14:paraId="0000011C">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 X., &amp; Liu, X. (2005). Foreign direct investment and economic growth: An increasingly endogenous relationship. World Development, 33(3), 393-407.</w:t>
      </w:r>
      <w:hyperlink r:id="rId39">
        <w:r w:rsidDel="00000000" w:rsidR="00000000" w:rsidRPr="00000000">
          <w:rPr>
            <w:rFonts w:ascii="Times New Roman" w:cs="Times New Roman" w:eastAsia="Times New Roman" w:hAnsi="Times New Roman"/>
            <w:sz w:val="24"/>
            <w:szCs w:val="24"/>
            <w:rtl w:val="0"/>
          </w:rPr>
          <w:t xml:space="preserve"> </w:t>
        </w:r>
      </w:hyperlink>
      <w:hyperlink r:id="rId40">
        <w:r w:rsidDel="00000000" w:rsidR="00000000" w:rsidRPr="00000000">
          <w:rPr>
            <w:rFonts w:ascii="Times New Roman" w:cs="Times New Roman" w:eastAsia="Times New Roman" w:hAnsi="Times New Roman"/>
            <w:color w:val="1155cc"/>
            <w:sz w:val="24"/>
            <w:szCs w:val="24"/>
            <w:u w:val="single"/>
            <w:rtl w:val="0"/>
          </w:rPr>
          <w:t xml:space="preserve">https://doi.org/10.1016/j.worlddev.2004.11.001</w:t>
        </w:r>
      </w:hyperlink>
      <w:r w:rsidDel="00000000" w:rsidR="00000000" w:rsidRPr="00000000">
        <w:rPr>
          <w:rtl w:val="0"/>
        </w:rPr>
      </w:r>
    </w:p>
    <w:p w:rsidR="00000000" w:rsidDel="00000000" w:rsidP="00000000" w:rsidRDefault="00000000" w:rsidRPr="00000000" w14:paraId="0000011D">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Macrotrends. (2023). Myanmar foreign direct investment 1994–2023. Macrotrends.</w:t>
      </w:r>
      <w:hyperlink r:id="rId41">
        <w:r w:rsidDel="00000000" w:rsidR="00000000" w:rsidRPr="00000000">
          <w:rPr>
            <w:rFonts w:ascii="Times New Roman" w:cs="Times New Roman" w:eastAsia="Times New Roman" w:hAnsi="Times New Roman"/>
            <w:sz w:val="24"/>
            <w:szCs w:val="24"/>
            <w:rtl w:val="0"/>
          </w:rPr>
          <w:t xml:space="preserve"> </w:t>
        </w:r>
      </w:hyperlink>
      <w:hyperlink r:id="rId42">
        <w:r w:rsidDel="00000000" w:rsidR="00000000" w:rsidRPr="00000000">
          <w:rPr>
            <w:rFonts w:ascii="Times New Roman" w:cs="Times New Roman" w:eastAsia="Times New Roman" w:hAnsi="Times New Roman"/>
            <w:color w:val="1155cc"/>
            <w:sz w:val="24"/>
            <w:szCs w:val="24"/>
            <w:u w:val="single"/>
            <w:rtl w:val="0"/>
          </w:rPr>
          <w:t xml:space="preserve">https://www.macrotrends.net/global-metrics/countries/MMR/myanmar/foreign-direct-investment</w:t>
        </w:r>
      </w:hyperlink>
      <w:r w:rsidDel="00000000" w:rsidR="00000000" w:rsidRPr="00000000">
        <w:rPr>
          <w:rtl w:val="0"/>
        </w:rPr>
      </w:r>
    </w:p>
    <w:p w:rsidR="00000000" w:rsidDel="00000000" w:rsidP="00000000" w:rsidRDefault="00000000" w:rsidRPr="00000000" w14:paraId="0000011E">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McMillan, M. S., et al. (2022). Political instability and the decline of foreign direct investment: The case of Myanmar. Asian Development Review, 39(1), 39-57.</w:t>
      </w:r>
      <w:hyperlink r:id="rId43">
        <w:r w:rsidDel="00000000" w:rsidR="00000000" w:rsidRPr="00000000">
          <w:rPr>
            <w:rFonts w:ascii="Times New Roman" w:cs="Times New Roman" w:eastAsia="Times New Roman" w:hAnsi="Times New Roman"/>
            <w:sz w:val="24"/>
            <w:szCs w:val="24"/>
            <w:rtl w:val="0"/>
          </w:rPr>
          <w:t xml:space="preserve"> </w:t>
        </w:r>
      </w:hyperlink>
      <w:hyperlink r:id="rId44">
        <w:r w:rsidDel="00000000" w:rsidR="00000000" w:rsidRPr="00000000">
          <w:rPr>
            <w:rFonts w:ascii="Times New Roman" w:cs="Times New Roman" w:eastAsia="Times New Roman" w:hAnsi="Times New Roman"/>
            <w:color w:val="1155cc"/>
            <w:sz w:val="24"/>
            <w:szCs w:val="24"/>
            <w:u w:val="single"/>
            <w:rtl w:val="0"/>
          </w:rPr>
          <w:t xml:space="preserve">https://doi.org/10.1016/j.adre.2021.11.004</w:t>
        </w:r>
      </w:hyperlink>
      <w:r w:rsidDel="00000000" w:rsidR="00000000" w:rsidRPr="00000000">
        <w:rPr>
          <w:rtl w:val="0"/>
        </w:rPr>
      </w:r>
    </w:p>
    <w:p w:rsidR="00000000" w:rsidDel="00000000" w:rsidP="00000000" w:rsidRDefault="00000000" w:rsidRPr="00000000" w14:paraId="0000011F">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Sahoo, P. (2020). Macroeconomic factors influencing FDI inflows in developing countries: A critical review. Journal of International Trade and Economic Development, 29(5), 537-561.</w:t>
      </w:r>
      <w:hyperlink r:id="rId45">
        <w:r w:rsidDel="00000000" w:rsidR="00000000" w:rsidRPr="00000000">
          <w:rPr>
            <w:rFonts w:ascii="Times New Roman" w:cs="Times New Roman" w:eastAsia="Times New Roman" w:hAnsi="Times New Roman"/>
            <w:sz w:val="24"/>
            <w:szCs w:val="24"/>
            <w:rtl w:val="0"/>
          </w:rPr>
          <w:t xml:space="preserve"> </w:t>
        </w:r>
      </w:hyperlink>
      <w:hyperlink r:id="rId46">
        <w:r w:rsidDel="00000000" w:rsidR="00000000" w:rsidRPr="00000000">
          <w:rPr>
            <w:rFonts w:ascii="Times New Roman" w:cs="Times New Roman" w:eastAsia="Times New Roman" w:hAnsi="Times New Roman"/>
            <w:color w:val="1155cc"/>
            <w:sz w:val="24"/>
            <w:szCs w:val="24"/>
            <w:u w:val="single"/>
            <w:rtl w:val="0"/>
          </w:rPr>
          <w:t xml:space="preserve">https://doi.org/10.1080/09638199.2020.1774042</w:t>
        </w:r>
      </w:hyperlink>
      <w:r w:rsidDel="00000000" w:rsidR="00000000" w:rsidRPr="00000000">
        <w:rPr>
          <w:rtl w:val="0"/>
        </w:rPr>
      </w:r>
    </w:p>
    <w:p w:rsidR="00000000" w:rsidDel="00000000" w:rsidP="00000000" w:rsidRDefault="00000000" w:rsidRPr="00000000" w14:paraId="00000120">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Steinberg, D. I. (2010). Burma/Myanmar: What everyone needs to know. Oxford University Press.</w:t>
      </w:r>
    </w:p>
    <w:p w:rsidR="00000000" w:rsidDel="00000000" w:rsidP="00000000" w:rsidRDefault="00000000" w:rsidRPr="00000000" w14:paraId="00000121">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UNCTAD. (2020). World Investment Report 2020: International production beyond the pandemic. United Nations Conference on Trade and Development.</w:t>
      </w:r>
      <w:hyperlink r:id="rId47">
        <w:r w:rsidDel="00000000" w:rsidR="00000000" w:rsidRPr="00000000">
          <w:rPr>
            <w:rFonts w:ascii="Times New Roman" w:cs="Times New Roman" w:eastAsia="Times New Roman" w:hAnsi="Times New Roman"/>
            <w:sz w:val="24"/>
            <w:szCs w:val="24"/>
            <w:rtl w:val="0"/>
          </w:rPr>
          <w:t xml:space="preserve"> </w:t>
        </w:r>
      </w:hyperlink>
      <w:hyperlink r:id="rId48">
        <w:r w:rsidDel="00000000" w:rsidR="00000000" w:rsidRPr="00000000">
          <w:rPr>
            <w:rFonts w:ascii="Times New Roman" w:cs="Times New Roman" w:eastAsia="Times New Roman" w:hAnsi="Times New Roman"/>
            <w:color w:val="1155cc"/>
            <w:sz w:val="24"/>
            <w:szCs w:val="24"/>
            <w:u w:val="single"/>
            <w:rtl w:val="0"/>
          </w:rPr>
          <w:t xml:space="preserve">https://unctad.org/system/files/official-document/wir2020_en.pdf</w:t>
        </w:r>
      </w:hyperlink>
      <w:r w:rsidDel="00000000" w:rsidR="00000000" w:rsidRPr="00000000">
        <w:rPr>
          <w:rtl w:val="0"/>
        </w:rPr>
      </w:r>
    </w:p>
    <w:p w:rsidR="00000000" w:rsidDel="00000000" w:rsidP="00000000" w:rsidRDefault="00000000" w:rsidRPr="00000000" w14:paraId="00000122">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World Bank. (2020). Myanmar economic monitor: Resilience amidst challenges. World Bank Group.</w:t>
      </w:r>
      <w:hyperlink r:id="rId49">
        <w:r w:rsidDel="00000000" w:rsidR="00000000" w:rsidRPr="00000000">
          <w:rPr>
            <w:rFonts w:ascii="Times New Roman" w:cs="Times New Roman" w:eastAsia="Times New Roman" w:hAnsi="Times New Roman"/>
            <w:sz w:val="24"/>
            <w:szCs w:val="24"/>
            <w:rtl w:val="0"/>
          </w:rPr>
          <w:t xml:space="preserve"> </w:t>
        </w:r>
      </w:hyperlink>
      <w:hyperlink r:id="rId50">
        <w:r w:rsidDel="00000000" w:rsidR="00000000" w:rsidRPr="00000000">
          <w:rPr>
            <w:rFonts w:ascii="Times New Roman" w:cs="Times New Roman" w:eastAsia="Times New Roman" w:hAnsi="Times New Roman"/>
            <w:color w:val="1155cc"/>
            <w:sz w:val="24"/>
            <w:szCs w:val="24"/>
            <w:u w:val="single"/>
            <w:rtl w:val="0"/>
          </w:rPr>
          <w:t xml:space="preserve">https://documents1.worldbank.org/curated/en/511681585924232576/pdf/Myanmar-Economic-Monitor-April-2020-Resilience-Amidst-Challenges.pdf</w:t>
        </w:r>
      </w:hyperlink>
      <w:r w:rsidDel="00000000" w:rsidR="00000000" w:rsidRPr="00000000">
        <w:rPr>
          <w:rtl w:val="0"/>
        </w:rPr>
      </w:r>
    </w:p>
    <w:p w:rsidR="00000000" w:rsidDel="00000000" w:rsidP="00000000" w:rsidRDefault="00000000" w:rsidRPr="00000000" w14:paraId="00000123">
      <w:pPr>
        <w:numPr>
          <w:ilvl w:val="0"/>
          <w:numId w:val="1"/>
        </w:numPr>
        <w:spacing w:after="24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Zhang, Y., &amp; Ma, J. (2021). Government expenditure and economic growth: Evidence from emerging markets. Journal of Economic Studies, 48(5), 950-966.</w:t>
      </w:r>
      <w:hyperlink r:id="rId51">
        <w:r w:rsidDel="00000000" w:rsidR="00000000" w:rsidRPr="00000000">
          <w:rPr>
            <w:rFonts w:ascii="Times New Roman" w:cs="Times New Roman" w:eastAsia="Times New Roman" w:hAnsi="Times New Roman"/>
            <w:sz w:val="24"/>
            <w:szCs w:val="24"/>
            <w:rtl w:val="0"/>
          </w:rPr>
          <w:t xml:space="preserve"> </w:t>
        </w:r>
      </w:hyperlink>
      <w:hyperlink r:id="rId52">
        <w:r w:rsidDel="00000000" w:rsidR="00000000" w:rsidRPr="00000000">
          <w:rPr>
            <w:rFonts w:ascii="Times New Roman" w:cs="Times New Roman" w:eastAsia="Times New Roman" w:hAnsi="Times New Roman"/>
            <w:color w:val="1155cc"/>
            <w:sz w:val="24"/>
            <w:szCs w:val="24"/>
            <w:u w:val="single"/>
            <w:rtl w:val="0"/>
          </w:rPr>
          <w:t xml:space="preserve">https://doi.org/10.1108/JES-06-2020-0336</w:t>
        </w:r>
      </w:hyperlink>
      <w:r w:rsidDel="00000000" w:rsidR="00000000" w:rsidRPr="00000000">
        <w:rPr>
          <w:rtl w:val="0"/>
        </w:rPr>
      </w:r>
    </w:p>
    <w:p w:rsidR="00000000" w:rsidDel="00000000" w:rsidP="00000000" w:rsidRDefault="00000000" w:rsidRPr="00000000" w14:paraId="0000012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sectPr>
      <w:headerReference r:id="rId53" w:type="default"/>
      <w:headerReference r:id="rId54" w:type="first"/>
      <w:headerReference r:id="rId55" w:type="even"/>
      <w:footerReference r:id="rId56" w:type="default"/>
      <w:footerReference r:id="rId57" w:type="first"/>
      <w:footerReference r:id="rId5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3"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rPr/>
    </w:pPr>
    <w:r w:rsidDel="00000000" w:rsidR="00000000" w:rsidRPr="00000000">
      <w:rPr/>
      <w:pict>
        <v:shape id="PowerPlusWaterMarkObject1"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2"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7D6F3F"/>
    <w:rPr>
      <w:color w:val="0000ff" w:themeColor="hyperlink"/>
      <w:u w:val="single"/>
    </w:rPr>
  </w:style>
  <w:style w:type="character" w:styleId="UnresolvedMention">
    <w:name w:val="Unresolved Mention"/>
    <w:basedOn w:val="DefaultParagraphFont"/>
    <w:uiPriority w:val="99"/>
    <w:semiHidden w:val="1"/>
    <w:unhideWhenUsed w:val="1"/>
    <w:rsid w:val="007D6F3F"/>
    <w:rPr>
      <w:color w:val="605e5c"/>
      <w:shd w:color="auto" w:fill="e1dfdd" w:val="clear"/>
    </w:rPr>
  </w:style>
  <w:style w:type="paragraph" w:styleId="Header">
    <w:name w:val="header"/>
    <w:basedOn w:val="Normal"/>
    <w:link w:val="HeaderChar"/>
    <w:uiPriority w:val="99"/>
    <w:unhideWhenUsed w:val="1"/>
    <w:rsid w:val="00C36F8B"/>
    <w:pPr>
      <w:tabs>
        <w:tab w:val="center" w:pos="4513"/>
        <w:tab w:val="right" w:pos="9026"/>
      </w:tabs>
      <w:spacing w:line="240" w:lineRule="auto"/>
    </w:pPr>
  </w:style>
  <w:style w:type="character" w:styleId="HeaderChar" w:customStyle="1">
    <w:name w:val="Header Char"/>
    <w:basedOn w:val="DefaultParagraphFont"/>
    <w:link w:val="Header"/>
    <w:uiPriority w:val="99"/>
    <w:rsid w:val="00C36F8B"/>
  </w:style>
  <w:style w:type="paragraph" w:styleId="Footer">
    <w:name w:val="footer"/>
    <w:basedOn w:val="Normal"/>
    <w:link w:val="FooterChar"/>
    <w:uiPriority w:val="99"/>
    <w:unhideWhenUsed w:val="1"/>
    <w:rsid w:val="00C36F8B"/>
    <w:pPr>
      <w:tabs>
        <w:tab w:val="center" w:pos="4513"/>
        <w:tab w:val="right" w:pos="9026"/>
      </w:tabs>
      <w:spacing w:line="240" w:lineRule="auto"/>
    </w:pPr>
  </w:style>
  <w:style w:type="character" w:styleId="FooterChar" w:customStyle="1">
    <w:name w:val="Footer Char"/>
    <w:basedOn w:val="DefaultParagraphFont"/>
    <w:link w:val="Footer"/>
    <w:uiPriority w:val="99"/>
    <w:rsid w:val="00C36F8B"/>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16/j.worlddev.2004.11.001" TargetMode="External"/><Relationship Id="rId42" Type="http://schemas.openxmlformats.org/officeDocument/2006/relationships/hyperlink" Target="https://www.macrotrends.net/global-metrics/countries/MMR/myanmar/foreign-direct-investment" TargetMode="External"/><Relationship Id="rId41" Type="http://schemas.openxmlformats.org/officeDocument/2006/relationships/hyperlink" Target="https://www.macrotrends.net/global-metrics/countries/MMR/myanmar/foreign-direct-investment" TargetMode="External"/><Relationship Id="rId44" Type="http://schemas.openxmlformats.org/officeDocument/2006/relationships/hyperlink" Target="https://doi.org/10.1016/j.adre.2021.11.004" TargetMode="External"/><Relationship Id="rId43" Type="http://schemas.openxmlformats.org/officeDocument/2006/relationships/hyperlink" Target="https://doi.org/10.1016/j.adre.2021.11.004" TargetMode="External"/><Relationship Id="rId46" Type="http://schemas.openxmlformats.org/officeDocument/2006/relationships/hyperlink" Target="https://doi.org/10.1080/09638199.2020.1774042" TargetMode="External"/><Relationship Id="rId45" Type="http://schemas.openxmlformats.org/officeDocument/2006/relationships/hyperlink" Target="https://doi.org/10.1080/09638199.2020.177404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jdeveco.2020.11.003" TargetMode="External"/><Relationship Id="rId48" Type="http://schemas.openxmlformats.org/officeDocument/2006/relationships/hyperlink" Target="https://unctad.org/system/files/official-document/wir2020_en.pdf" TargetMode="External"/><Relationship Id="rId47" Type="http://schemas.openxmlformats.org/officeDocument/2006/relationships/hyperlink" Target="https://unctad.org/system/files/official-document/wir2020_en.pdf" TargetMode="External"/><Relationship Id="rId49" Type="http://schemas.openxmlformats.org/officeDocument/2006/relationships/hyperlink" Target="https://documents1.worldbank.org/curated/en/511681585924232576/pdf/Myanmar-Economic-Monitor-April-2020-Resilience-Amidst-Challenge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80/2059041X.2021.1855421" TargetMode="External"/><Relationship Id="rId8" Type="http://schemas.openxmlformats.org/officeDocument/2006/relationships/hyperlink" Target="https://doi.org/10.1080/2059041X.2021.1855421" TargetMode="External"/><Relationship Id="rId31" Type="http://schemas.openxmlformats.org/officeDocument/2006/relationships/hyperlink" Target="https://www.crisisgroup.org/asia/south-east-asia/myanmar/myanmars-coup-next-steps" TargetMode="External"/><Relationship Id="rId30" Type="http://schemas.openxmlformats.org/officeDocument/2006/relationships/hyperlink" Target="https://www.gnlm.com.mm/myanmar-secures-over-us1-billion-fdi-in-7-months-of-2022-2023fy/" TargetMode="External"/><Relationship Id="rId33" Type="http://schemas.openxmlformats.org/officeDocument/2006/relationships/hyperlink" Target="https://doi.org/10.1596/1813-9450-5430" TargetMode="External"/><Relationship Id="rId32" Type="http://schemas.openxmlformats.org/officeDocument/2006/relationships/hyperlink" Target="https://www.crisisgroup.org/asia/south-east-asia/myanmar/myanmars-coup-next-steps" TargetMode="External"/><Relationship Id="rId35" Type="http://schemas.openxmlformats.org/officeDocument/2006/relationships/hyperlink" Target="https://doi.org/10.1016/j.worlddev.2021.105527" TargetMode="External"/><Relationship Id="rId34" Type="http://schemas.openxmlformats.org/officeDocument/2006/relationships/hyperlink" Target="https://doi.org/10.1596/1813-9450-5430" TargetMode="External"/><Relationship Id="rId37" Type="http://schemas.openxmlformats.org/officeDocument/2006/relationships/hyperlink" Target="https://doi.org/10.1016/j.jinteco.2021.02.004" TargetMode="External"/><Relationship Id="rId36" Type="http://schemas.openxmlformats.org/officeDocument/2006/relationships/hyperlink" Target="https://doi.org/10.1016/j.worlddev.2021.105527" TargetMode="External"/><Relationship Id="rId39" Type="http://schemas.openxmlformats.org/officeDocument/2006/relationships/hyperlink" Target="https://doi.org/10.1016/j.worlddev.2004.11.001" TargetMode="External"/><Relationship Id="rId38" Type="http://schemas.openxmlformats.org/officeDocument/2006/relationships/hyperlink" Target="https://doi.org/10.1016/j.jinteco.2021.02.004" TargetMode="External"/><Relationship Id="rId20" Type="http://schemas.openxmlformats.org/officeDocument/2006/relationships/hyperlink" Target="https://doi.org/10.1016/S0022-1996(97)00033-0" TargetMode="External"/><Relationship Id="rId22" Type="http://schemas.openxmlformats.org/officeDocument/2006/relationships/hyperlink" Target="https://doi.org/10.1016/j.ejpoleco.2006.02.003" TargetMode="External"/><Relationship Id="rId21" Type="http://schemas.openxmlformats.org/officeDocument/2006/relationships/hyperlink" Target="https://doi.org/10.1016/j.ejpoleco.2006.02.003" TargetMode="External"/><Relationship Id="rId24" Type="http://schemas.openxmlformats.org/officeDocument/2006/relationships/hyperlink" Target="https://doi.org/10.1016/j.jedc.2020.12.003" TargetMode="External"/><Relationship Id="rId23" Type="http://schemas.openxmlformats.org/officeDocument/2006/relationships/hyperlink" Target="https://doi.org/10.1016/j.jedc.2020.12.003" TargetMode="External"/><Relationship Id="rId26" Type="http://schemas.openxmlformats.org/officeDocument/2006/relationships/hyperlink" Target="https://doi.org/10.1016/j.euroecorev.2003.06.002" TargetMode="External"/><Relationship Id="rId25" Type="http://schemas.openxmlformats.org/officeDocument/2006/relationships/hyperlink" Target="https://doi.org/10.1016/j.euroecorev.2003.06.002" TargetMode="External"/><Relationship Id="rId28" Type="http://schemas.openxmlformats.org/officeDocument/2006/relationships/hyperlink" Target="https://doi.org/10.1016/0304-3932(93)90027-D" TargetMode="External"/><Relationship Id="rId27" Type="http://schemas.openxmlformats.org/officeDocument/2006/relationships/hyperlink" Target="https://doi.org/10.1016/0304-3932(93)90027-D" TargetMode="External"/><Relationship Id="rId29" Type="http://schemas.openxmlformats.org/officeDocument/2006/relationships/hyperlink" Target="https://www.gnlm.com.mm/myanmar-secures-over-us1-billion-fdi-in-7-months-of-2022-2023fy/" TargetMode="External"/><Relationship Id="rId51" Type="http://schemas.openxmlformats.org/officeDocument/2006/relationships/hyperlink" Target="https://doi.org/10.1108/JES-06-2020-0336" TargetMode="External"/><Relationship Id="rId50" Type="http://schemas.openxmlformats.org/officeDocument/2006/relationships/hyperlink" Target="https://documents1.worldbank.org/curated/en/511681585924232576/pdf/Myanmar-Economic-Monitor-April-2020-Resilience-Amidst-Challenges.pdf" TargetMode="External"/><Relationship Id="rId53" Type="http://schemas.openxmlformats.org/officeDocument/2006/relationships/header" Target="header2.xml"/><Relationship Id="rId52" Type="http://schemas.openxmlformats.org/officeDocument/2006/relationships/hyperlink" Target="https://doi.org/10.1108/JES-06-2020-0336" TargetMode="External"/><Relationship Id="rId11" Type="http://schemas.openxmlformats.org/officeDocument/2006/relationships/hyperlink" Target="https://doi.org/10.1111/aepr.12357" TargetMode="External"/><Relationship Id="rId55" Type="http://schemas.openxmlformats.org/officeDocument/2006/relationships/header" Target="header1.xml"/><Relationship Id="rId10" Type="http://schemas.openxmlformats.org/officeDocument/2006/relationships/hyperlink" Target="https://doi.org/10.1016/j.jdeveco.2020.11.003" TargetMode="External"/><Relationship Id="rId54" Type="http://schemas.openxmlformats.org/officeDocument/2006/relationships/header" Target="header3.xml"/><Relationship Id="rId13" Type="http://schemas.openxmlformats.org/officeDocument/2006/relationships/hyperlink" Target="https://doi.org/10.1086/261726" TargetMode="External"/><Relationship Id="rId57" Type="http://schemas.openxmlformats.org/officeDocument/2006/relationships/footer" Target="footer3.xml"/><Relationship Id="rId12" Type="http://schemas.openxmlformats.org/officeDocument/2006/relationships/hyperlink" Target="https://doi.org/10.1111/aepr.12357" TargetMode="External"/><Relationship Id="rId56" Type="http://schemas.openxmlformats.org/officeDocument/2006/relationships/footer" Target="footer2.xml"/><Relationship Id="rId15" Type="http://schemas.openxmlformats.org/officeDocument/2006/relationships/hyperlink" Target="https://doi.org/10.1057/s41267-021-00456-x" TargetMode="External"/><Relationship Id="rId14" Type="http://schemas.openxmlformats.org/officeDocument/2006/relationships/hyperlink" Target="https://doi.org/10.1086/261726" TargetMode="External"/><Relationship Id="rId58" Type="http://schemas.openxmlformats.org/officeDocument/2006/relationships/footer" Target="footer1.xml"/><Relationship Id="rId17" Type="http://schemas.openxmlformats.org/officeDocument/2006/relationships/hyperlink" Target="https://doi.org/10.1016/j.ibusrev.2020.101698" TargetMode="External"/><Relationship Id="rId16" Type="http://schemas.openxmlformats.org/officeDocument/2006/relationships/hyperlink" Target="https://doi.org/10.1057/s41267-021-00456-x" TargetMode="External"/><Relationship Id="rId19" Type="http://schemas.openxmlformats.org/officeDocument/2006/relationships/hyperlink" Target="https://doi.org/10.1016/S0022-1996(97)00033-0" TargetMode="External"/><Relationship Id="rId18" Type="http://schemas.openxmlformats.org/officeDocument/2006/relationships/hyperlink" Target="https://doi.org/10.1016/j.ibusrev.2020.1016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s6fm5RRp8m8Y6/4XBmyxCpAZVw==">CgMxLjAyCGguZ2pkZ3hzMgloLjMwajB6bGwyCWguMWZvYjl0ZTIJaC4zem55c2g3MgloLjJldDkycDAyCGgudHlqY3d0MgloLjNkeTZ2a20yCWguNGQzNG9nODIJaC4yczhleW8xMgloLjE3ZHA4dnUyDmgudDk3Ynh1MnlncWZvMg5oLjZtM3J1bjU4NmtuajgAciExV0tmVHp6ZEdSRlE5MDJ1aFVJWUE4OElWZ1M5OVdQNEw=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2025-03-08T09:19:00Z</dcterms:created>
  <dc:creator>User</dc:creator>
</cp:coreProperties>
</file>