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9615B" w14:textId="77777777" w:rsidR="005B652B" w:rsidRPr="00BA5F62" w:rsidRDefault="005B652B">
      <w:pPr>
        <w:jc w:val="center"/>
        <w:rPr>
          <w:rFonts w:ascii="Times New Roman" w:hAnsi="Times New Roman" w:cs="Times New Roman"/>
          <w:b/>
          <w:sz w:val="32"/>
          <w:szCs w:val="24"/>
          <w:lang w:val="en-US"/>
        </w:rPr>
      </w:pPr>
      <w:r w:rsidRPr="00BA5F62">
        <w:rPr>
          <w:rFonts w:ascii="Times New Roman" w:hAnsi="Times New Roman" w:cs="Times New Roman"/>
          <w:b/>
          <w:sz w:val="32"/>
          <w:szCs w:val="24"/>
          <w:highlight w:val="yellow"/>
          <w:lang w:val="en-US"/>
        </w:rPr>
        <w:t>Growth and Root Development of Different Corn (</w:t>
      </w:r>
      <w:proofErr w:type="spellStart"/>
      <w:r w:rsidRPr="00BA5F62">
        <w:rPr>
          <w:rFonts w:ascii="Times New Roman" w:hAnsi="Times New Roman" w:cs="Times New Roman"/>
          <w:b/>
          <w:i/>
          <w:sz w:val="32"/>
          <w:szCs w:val="24"/>
          <w:highlight w:val="yellow"/>
          <w:lang w:val="en-US"/>
        </w:rPr>
        <w:t>Zea</w:t>
      </w:r>
      <w:proofErr w:type="spellEnd"/>
      <w:r w:rsidRPr="00BA5F62">
        <w:rPr>
          <w:rFonts w:ascii="Times New Roman" w:hAnsi="Times New Roman" w:cs="Times New Roman"/>
          <w:b/>
          <w:i/>
          <w:sz w:val="32"/>
          <w:szCs w:val="24"/>
          <w:highlight w:val="yellow"/>
          <w:lang w:val="en-US"/>
        </w:rPr>
        <w:t xml:space="preserve"> mays</w:t>
      </w:r>
      <w:r w:rsidRPr="00BA5F62">
        <w:rPr>
          <w:rFonts w:ascii="Times New Roman" w:hAnsi="Times New Roman" w:cs="Times New Roman"/>
          <w:b/>
          <w:sz w:val="32"/>
          <w:szCs w:val="24"/>
          <w:highlight w:val="yellow"/>
          <w:lang w:val="en-US"/>
        </w:rPr>
        <w:t xml:space="preserve">) Varieties Fertilized with Different Nitrogen Fertilizers Grown in </w:t>
      </w:r>
      <w:bookmarkStart w:id="0" w:name="_GoBack"/>
      <w:bookmarkEnd w:id="0"/>
      <w:r w:rsidRPr="00BA5F62">
        <w:rPr>
          <w:rFonts w:ascii="Times New Roman" w:hAnsi="Times New Roman" w:cs="Times New Roman"/>
          <w:b/>
          <w:sz w:val="32"/>
          <w:szCs w:val="24"/>
          <w:highlight w:val="yellow"/>
          <w:lang w:val="en-US"/>
        </w:rPr>
        <w:t>Alkaline Soils</w:t>
      </w:r>
      <w:r w:rsidRPr="00BA5F62">
        <w:rPr>
          <w:rFonts w:ascii="Times New Roman" w:hAnsi="Times New Roman" w:cs="Times New Roman"/>
          <w:b/>
          <w:sz w:val="32"/>
          <w:szCs w:val="24"/>
          <w:lang w:val="en-US"/>
        </w:rPr>
        <w:t xml:space="preserve"> </w:t>
      </w:r>
    </w:p>
    <w:p w14:paraId="1F6201D6" w14:textId="65060826" w:rsidR="007767E2" w:rsidRDefault="007767E2" w:rsidP="007767E2">
      <w:pPr>
        <w:jc w:val="both"/>
        <w:rPr>
          <w:rFonts w:ascii="Times New Roman" w:hAnsi="Times New Roman" w:cs="Times New Roman"/>
          <w:sz w:val="24"/>
          <w:szCs w:val="24"/>
        </w:rPr>
      </w:pPr>
    </w:p>
    <w:p w14:paraId="33738896" w14:textId="77777777" w:rsidR="002715D7" w:rsidRDefault="002715D7" w:rsidP="007767E2">
      <w:pPr>
        <w:jc w:val="both"/>
        <w:rPr>
          <w:rFonts w:ascii="Times New Roman" w:hAnsi="Times New Roman" w:cs="Times New Roman"/>
          <w:sz w:val="24"/>
          <w:szCs w:val="24"/>
        </w:rPr>
      </w:pPr>
    </w:p>
    <w:p w14:paraId="0DED2E36" w14:textId="77777777" w:rsidR="007767E2" w:rsidRPr="00362FE8" w:rsidRDefault="007767E2" w:rsidP="007767E2">
      <w:pPr>
        <w:jc w:val="center"/>
        <w:rPr>
          <w:rFonts w:ascii="Times New Roman" w:hAnsi="Times New Roman" w:cs="Times New Roman"/>
          <w:b/>
          <w:bCs/>
          <w:sz w:val="24"/>
          <w:szCs w:val="24"/>
        </w:rPr>
      </w:pPr>
      <w:r w:rsidRPr="00362FE8">
        <w:rPr>
          <w:rFonts w:ascii="Times New Roman" w:hAnsi="Times New Roman" w:cs="Times New Roman"/>
          <w:b/>
          <w:bCs/>
          <w:sz w:val="24"/>
          <w:szCs w:val="24"/>
        </w:rPr>
        <w:t>Abstract</w:t>
      </w:r>
    </w:p>
    <w:p w14:paraId="5F127B52" w14:textId="555332A8" w:rsidR="007767E2" w:rsidRPr="00BA5F62" w:rsidRDefault="00D122E7" w:rsidP="007767E2">
      <w:pPr>
        <w:spacing w:before="100" w:beforeAutospacing="1" w:after="100" w:afterAutospacing="1" w:line="360" w:lineRule="auto"/>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 xml:space="preserve">This study aims to explore the effects of nitrogen-based fertilizers influencing corn’s performance in alkaline soils, ultimately contributing to improved practices for corn cultivation in these challenging environments.  </w:t>
      </w:r>
      <w:r w:rsidR="009C31F7" w:rsidRPr="00BA5F62">
        <w:rPr>
          <w:rFonts w:ascii="Times New Roman" w:hAnsi="Times New Roman" w:cs="Times New Roman"/>
          <w:sz w:val="24"/>
          <w:szCs w:val="24"/>
          <w:highlight w:val="yellow"/>
        </w:rPr>
        <w:t>The integration of modern farming practices, such as improved seed varieties and sustainable agricultural methods, has aimed to boost productivity and support the livelihoods of local farmers. By examining the growth response and intricate relationships between different nitrogen fertilizers and root development, this study seeks to identify key factors that determine the adaptability and resilience of two varieties of corn in alkaline environment.</w:t>
      </w:r>
      <w:r w:rsidR="009C31F7" w:rsidRPr="009C31F7">
        <w:rPr>
          <w:rFonts w:ascii="Times New Roman" w:hAnsi="Times New Roman" w:cs="Times New Roman"/>
          <w:sz w:val="24"/>
          <w:szCs w:val="24"/>
        </w:rPr>
        <w:t xml:space="preserve"> </w:t>
      </w:r>
      <w:r w:rsidR="009C31F7" w:rsidRPr="00BA5F62">
        <w:rPr>
          <w:rFonts w:ascii="Times New Roman" w:hAnsi="Times New Roman" w:cs="Times New Roman"/>
          <w:sz w:val="24"/>
          <w:szCs w:val="24"/>
          <w:highlight w:val="yellow"/>
        </w:rPr>
        <w:t>This research was conducted at Cebu Technological University-</w:t>
      </w:r>
      <w:proofErr w:type="spellStart"/>
      <w:r w:rsidR="009C31F7" w:rsidRPr="00BA5F62">
        <w:rPr>
          <w:rFonts w:ascii="Times New Roman" w:hAnsi="Times New Roman" w:cs="Times New Roman"/>
          <w:sz w:val="24"/>
          <w:szCs w:val="24"/>
          <w:highlight w:val="yellow"/>
        </w:rPr>
        <w:t>Barili</w:t>
      </w:r>
      <w:proofErr w:type="spellEnd"/>
      <w:r w:rsidR="009C31F7" w:rsidRPr="00BA5F62">
        <w:rPr>
          <w:rFonts w:ascii="Times New Roman" w:hAnsi="Times New Roman" w:cs="Times New Roman"/>
          <w:sz w:val="24"/>
          <w:szCs w:val="24"/>
          <w:highlight w:val="yellow"/>
        </w:rPr>
        <w:t xml:space="preserve"> Campus experimental area, </w:t>
      </w:r>
      <w:proofErr w:type="spellStart"/>
      <w:r w:rsidR="009C31F7" w:rsidRPr="00BA5F62">
        <w:rPr>
          <w:rFonts w:ascii="Times New Roman" w:hAnsi="Times New Roman" w:cs="Times New Roman"/>
          <w:sz w:val="24"/>
          <w:szCs w:val="24"/>
          <w:highlight w:val="yellow"/>
        </w:rPr>
        <w:t>Barili</w:t>
      </w:r>
      <w:proofErr w:type="spellEnd"/>
      <w:r w:rsidR="009C31F7" w:rsidRPr="00BA5F62">
        <w:rPr>
          <w:rFonts w:ascii="Times New Roman" w:hAnsi="Times New Roman" w:cs="Times New Roman"/>
          <w:sz w:val="24"/>
          <w:szCs w:val="24"/>
          <w:highlight w:val="yellow"/>
        </w:rPr>
        <w:t>, Cebu, Philippines.</w:t>
      </w:r>
      <w:r w:rsidR="009C31F7">
        <w:rPr>
          <w:rFonts w:ascii="Times New Roman" w:hAnsi="Times New Roman" w:cs="Times New Roman"/>
          <w:sz w:val="24"/>
          <w:szCs w:val="24"/>
        </w:rPr>
        <w:t xml:space="preserve"> </w:t>
      </w:r>
      <w:r w:rsidR="007767E2" w:rsidRPr="00362FE8">
        <w:rPr>
          <w:rFonts w:ascii="Times New Roman" w:hAnsi="Times New Roman" w:cs="Times New Roman"/>
          <w:sz w:val="24"/>
          <w:szCs w:val="24"/>
        </w:rPr>
        <w:t>The research used a split-</w:t>
      </w:r>
      <w:r w:rsidR="007767E2">
        <w:rPr>
          <w:rFonts w:ascii="Times New Roman" w:hAnsi="Times New Roman" w:cs="Times New Roman"/>
          <w:sz w:val="24"/>
          <w:szCs w:val="24"/>
        </w:rPr>
        <w:t xml:space="preserve">block </w:t>
      </w:r>
      <w:r w:rsidR="007767E2" w:rsidRPr="00362FE8">
        <w:rPr>
          <w:rFonts w:ascii="Times New Roman" w:hAnsi="Times New Roman" w:cs="Times New Roman"/>
          <w:sz w:val="24"/>
          <w:szCs w:val="24"/>
        </w:rPr>
        <w:t>design to examine how each fertilizer influence</w:t>
      </w:r>
      <w:r w:rsidR="007767E2">
        <w:rPr>
          <w:rFonts w:ascii="Times New Roman" w:hAnsi="Times New Roman" w:cs="Times New Roman"/>
          <w:sz w:val="24"/>
          <w:szCs w:val="24"/>
        </w:rPr>
        <w:t>d</w:t>
      </w:r>
      <w:r w:rsidR="007767E2" w:rsidRPr="00362FE8">
        <w:rPr>
          <w:rFonts w:ascii="Times New Roman" w:hAnsi="Times New Roman" w:cs="Times New Roman"/>
          <w:sz w:val="24"/>
          <w:szCs w:val="24"/>
        </w:rPr>
        <w:t xml:space="preserve"> growth</w:t>
      </w:r>
      <w:r w:rsidR="007767E2">
        <w:rPr>
          <w:rFonts w:ascii="Times New Roman" w:hAnsi="Times New Roman" w:cs="Times New Roman"/>
          <w:sz w:val="24"/>
          <w:szCs w:val="24"/>
        </w:rPr>
        <w:t xml:space="preserve"> and root development</w:t>
      </w:r>
      <w:r w:rsidR="007767E2" w:rsidRPr="00362FE8">
        <w:rPr>
          <w:rFonts w:ascii="Times New Roman" w:hAnsi="Times New Roman" w:cs="Times New Roman"/>
          <w:sz w:val="24"/>
          <w:szCs w:val="24"/>
        </w:rPr>
        <w:t xml:space="preserve"> across the two corn varieties.  The study specifically evaluate</w:t>
      </w:r>
      <w:r w:rsidR="007767E2">
        <w:rPr>
          <w:rFonts w:ascii="Times New Roman" w:hAnsi="Times New Roman" w:cs="Times New Roman"/>
          <w:sz w:val="24"/>
          <w:szCs w:val="24"/>
        </w:rPr>
        <w:t>d</w:t>
      </w:r>
      <w:r w:rsidR="007767E2" w:rsidRPr="00362FE8">
        <w:rPr>
          <w:rFonts w:ascii="Times New Roman" w:hAnsi="Times New Roman" w:cs="Times New Roman"/>
          <w:sz w:val="24"/>
          <w:szCs w:val="24"/>
        </w:rPr>
        <w:t xml:space="preserve"> the effects of four </w:t>
      </w:r>
      <w:r w:rsidR="007767E2">
        <w:rPr>
          <w:rFonts w:ascii="Times New Roman" w:hAnsi="Times New Roman" w:cs="Times New Roman"/>
          <w:sz w:val="24"/>
          <w:szCs w:val="24"/>
        </w:rPr>
        <w:t xml:space="preserve">nitrogen </w:t>
      </w:r>
      <w:r w:rsidR="007767E2" w:rsidRPr="00362FE8">
        <w:rPr>
          <w:rFonts w:ascii="Times New Roman" w:hAnsi="Times New Roman" w:cs="Times New Roman"/>
          <w:sz w:val="24"/>
          <w:szCs w:val="24"/>
        </w:rPr>
        <w:t>fertilizers</w:t>
      </w:r>
      <w:r w:rsidR="007767E2">
        <w:rPr>
          <w:rFonts w:ascii="Times New Roman" w:hAnsi="Times New Roman" w:cs="Times New Roman"/>
          <w:sz w:val="24"/>
          <w:szCs w:val="24"/>
        </w:rPr>
        <w:t>:</w:t>
      </w:r>
      <w:r w:rsidR="007767E2" w:rsidRPr="00362FE8">
        <w:rPr>
          <w:rFonts w:ascii="Times New Roman" w:hAnsi="Times New Roman" w:cs="Times New Roman"/>
          <w:sz w:val="24"/>
          <w:szCs w:val="24"/>
        </w:rPr>
        <w:t xml:space="preserve"> diammonium phosphate</w:t>
      </w:r>
      <w:r w:rsidR="007767E2">
        <w:rPr>
          <w:rFonts w:ascii="Times New Roman" w:hAnsi="Times New Roman" w:cs="Times New Roman"/>
          <w:sz w:val="24"/>
          <w:szCs w:val="24"/>
        </w:rPr>
        <w:t xml:space="preserve"> (18-46-0)</w:t>
      </w:r>
      <w:r w:rsidR="007767E2" w:rsidRPr="00362FE8">
        <w:rPr>
          <w:rFonts w:ascii="Times New Roman" w:hAnsi="Times New Roman" w:cs="Times New Roman"/>
          <w:sz w:val="24"/>
          <w:szCs w:val="24"/>
        </w:rPr>
        <w:t>, urea</w:t>
      </w:r>
      <w:r w:rsidR="007767E2">
        <w:rPr>
          <w:rFonts w:ascii="Times New Roman" w:hAnsi="Times New Roman" w:cs="Times New Roman"/>
          <w:sz w:val="24"/>
          <w:szCs w:val="24"/>
        </w:rPr>
        <w:t xml:space="preserve"> (46-0-0)</w:t>
      </w:r>
      <w:r w:rsidR="007767E2" w:rsidRPr="00362FE8">
        <w:rPr>
          <w:rFonts w:ascii="Times New Roman" w:hAnsi="Times New Roman" w:cs="Times New Roman"/>
          <w:sz w:val="24"/>
          <w:szCs w:val="24"/>
        </w:rPr>
        <w:t>, ammonium phosphate</w:t>
      </w:r>
      <w:r w:rsidR="007767E2">
        <w:rPr>
          <w:rFonts w:ascii="Times New Roman" w:hAnsi="Times New Roman" w:cs="Times New Roman"/>
          <w:sz w:val="24"/>
          <w:szCs w:val="24"/>
        </w:rPr>
        <w:t xml:space="preserve"> (16-20-0)</w:t>
      </w:r>
      <w:r w:rsidR="007767E2" w:rsidRPr="00362FE8">
        <w:rPr>
          <w:rFonts w:ascii="Times New Roman" w:hAnsi="Times New Roman" w:cs="Times New Roman"/>
          <w:sz w:val="24"/>
          <w:szCs w:val="24"/>
        </w:rPr>
        <w:t>, and ammonium sulfate</w:t>
      </w:r>
      <w:r w:rsidR="007767E2">
        <w:rPr>
          <w:rFonts w:ascii="Times New Roman" w:hAnsi="Times New Roman" w:cs="Times New Roman"/>
          <w:sz w:val="24"/>
          <w:szCs w:val="24"/>
        </w:rPr>
        <w:t xml:space="preserve"> (21-0-0)</w:t>
      </w:r>
      <w:r w:rsidR="007767E2" w:rsidRPr="00362FE8">
        <w:rPr>
          <w:rFonts w:ascii="Times New Roman" w:hAnsi="Times New Roman" w:cs="Times New Roman"/>
          <w:sz w:val="24"/>
          <w:szCs w:val="24"/>
        </w:rPr>
        <w:t xml:space="preserve"> on plant height, root length, root diameter, and root dry mass. This research found that urea and ammonium sulfate were most effective, with urea enhancing plant height, especially in sweetcorn with 58 cm at 30 DAP and 101.20 cm at 60 DAP, and ammonium sulfate applied to sweetcorn promoting superior root development with 51.93 cm root length and 5.04 mm root diameter by temporarily acidifying the soil with 7.76 soil </w:t>
      </w:r>
      <w:proofErr w:type="spellStart"/>
      <w:r w:rsidR="007767E2" w:rsidRPr="00362FE8">
        <w:rPr>
          <w:rFonts w:ascii="Times New Roman" w:hAnsi="Times New Roman" w:cs="Times New Roman"/>
          <w:sz w:val="24"/>
          <w:szCs w:val="24"/>
        </w:rPr>
        <w:t>pH.</w:t>
      </w:r>
      <w:proofErr w:type="spellEnd"/>
      <w:r w:rsidR="007767E2" w:rsidRPr="00362FE8">
        <w:rPr>
          <w:rFonts w:ascii="Times New Roman" w:hAnsi="Times New Roman" w:cs="Times New Roman"/>
          <w:sz w:val="24"/>
          <w:szCs w:val="24"/>
        </w:rPr>
        <w:t xml:space="preserve"> The results highlight the importance of tailored fertilizer strategies, identifying urea and ammonium sulfate as optimal for improving corn yields in alkaline soils.</w:t>
      </w:r>
      <w:r w:rsidR="005A28C0">
        <w:rPr>
          <w:rFonts w:ascii="Times New Roman" w:hAnsi="Times New Roman" w:cs="Times New Roman"/>
          <w:sz w:val="24"/>
          <w:szCs w:val="24"/>
        </w:rPr>
        <w:t xml:space="preserve"> </w:t>
      </w:r>
      <w:r w:rsidR="005A28C0" w:rsidRPr="00BA5F62">
        <w:rPr>
          <w:rFonts w:ascii="Times New Roman" w:hAnsi="Times New Roman" w:cs="Times New Roman"/>
          <w:sz w:val="24"/>
          <w:szCs w:val="24"/>
          <w:highlight w:val="yellow"/>
        </w:rPr>
        <w:t>Among the fertilizers tested, urea and ammonium sulfate proved to be the most effective in enhancing both plant height and root length, especially for the sweetcorn variety.</w:t>
      </w:r>
    </w:p>
    <w:p w14:paraId="6311F159" w14:textId="57A039DC" w:rsidR="007767E2" w:rsidRDefault="007767E2" w:rsidP="007767E2">
      <w:pPr>
        <w:jc w:val="both"/>
        <w:rPr>
          <w:rFonts w:ascii="Times New Roman" w:hAnsi="Times New Roman" w:cs="Times New Roman"/>
          <w:sz w:val="24"/>
          <w:szCs w:val="24"/>
        </w:rPr>
      </w:pPr>
      <w:r w:rsidRPr="00BA5F62">
        <w:rPr>
          <w:rFonts w:ascii="Times New Roman" w:hAnsi="Times New Roman" w:cs="Times New Roman"/>
          <w:sz w:val="24"/>
          <w:szCs w:val="24"/>
          <w:highlight w:val="yellow"/>
        </w:rPr>
        <w:t xml:space="preserve">Keywords: sweetcorn, alkaline </w:t>
      </w:r>
      <w:proofErr w:type="gramStart"/>
      <w:r w:rsidRPr="00BA5F62">
        <w:rPr>
          <w:rFonts w:ascii="Times New Roman" w:hAnsi="Times New Roman" w:cs="Times New Roman"/>
          <w:sz w:val="24"/>
          <w:szCs w:val="24"/>
          <w:highlight w:val="yellow"/>
        </w:rPr>
        <w:t xml:space="preserve">soil, </w:t>
      </w:r>
      <w:r w:rsidR="005B652B" w:rsidRPr="00BA5F62">
        <w:rPr>
          <w:highlight w:val="yellow"/>
        </w:rPr>
        <w:t xml:space="preserve"> </w:t>
      </w:r>
      <w:r w:rsidR="005B652B" w:rsidRPr="00BA5F62">
        <w:rPr>
          <w:rFonts w:ascii="Times New Roman" w:hAnsi="Times New Roman" w:cs="Times New Roman"/>
          <w:sz w:val="24"/>
          <w:szCs w:val="24"/>
          <w:highlight w:val="yellow"/>
        </w:rPr>
        <w:t>modern</w:t>
      </w:r>
      <w:proofErr w:type="gramEnd"/>
      <w:r w:rsidR="005B652B" w:rsidRPr="00BA5F62">
        <w:rPr>
          <w:rFonts w:ascii="Times New Roman" w:hAnsi="Times New Roman" w:cs="Times New Roman"/>
          <w:sz w:val="24"/>
          <w:szCs w:val="24"/>
          <w:highlight w:val="yellow"/>
        </w:rPr>
        <w:t xml:space="preserve"> farming practices, corn productivity</w:t>
      </w:r>
    </w:p>
    <w:p w14:paraId="4264C723" w14:textId="77777777" w:rsidR="007767E2" w:rsidRDefault="007767E2" w:rsidP="007767E2">
      <w:pPr>
        <w:jc w:val="both"/>
        <w:rPr>
          <w:rFonts w:ascii="Times New Roman" w:hAnsi="Times New Roman" w:cs="Times New Roman"/>
          <w:sz w:val="24"/>
          <w:szCs w:val="24"/>
        </w:rPr>
      </w:pPr>
    </w:p>
    <w:p w14:paraId="2F386175" w14:textId="77777777" w:rsidR="007767E2" w:rsidRDefault="007767E2" w:rsidP="007767E2">
      <w:pPr>
        <w:jc w:val="both"/>
        <w:rPr>
          <w:rFonts w:ascii="Times New Roman" w:hAnsi="Times New Roman" w:cs="Times New Roman"/>
          <w:sz w:val="24"/>
          <w:szCs w:val="24"/>
        </w:rPr>
      </w:pPr>
    </w:p>
    <w:p w14:paraId="07D8F86E" w14:textId="724BAA58" w:rsidR="007767E2" w:rsidRDefault="007767E2" w:rsidP="007767E2">
      <w:pPr>
        <w:jc w:val="center"/>
        <w:rPr>
          <w:rFonts w:ascii="Times New Roman" w:hAnsi="Times New Roman" w:cs="Times New Roman"/>
          <w:sz w:val="24"/>
          <w:szCs w:val="24"/>
          <w:lang w:val="en-US"/>
        </w:rPr>
      </w:pPr>
    </w:p>
    <w:p w14:paraId="5BD2F996" w14:textId="47BDE701" w:rsidR="002715D7" w:rsidRDefault="002715D7" w:rsidP="007767E2">
      <w:pPr>
        <w:jc w:val="center"/>
        <w:rPr>
          <w:rFonts w:ascii="Times New Roman" w:hAnsi="Times New Roman" w:cs="Times New Roman"/>
          <w:sz w:val="24"/>
          <w:szCs w:val="24"/>
          <w:lang w:val="en-US"/>
        </w:rPr>
      </w:pPr>
    </w:p>
    <w:p w14:paraId="5B53E056" w14:textId="3BD22E51" w:rsidR="002715D7" w:rsidRDefault="002715D7" w:rsidP="007767E2">
      <w:pPr>
        <w:jc w:val="center"/>
        <w:rPr>
          <w:rFonts w:ascii="Times New Roman" w:hAnsi="Times New Roman" w:cs="Times New Roman"/>
          <w:sz w:val="24"/>
          <w:szCs w:val="24"/>
          <w:lang w:val="en-US"/>
        </w:rPr>
      </w:pPr>
    </w:p>
    <w:p w14:paraId="0947A28F" w14:textId="1C340638" w:rsidR="002715D7" w:rsidRDefault="002715D7" w:rsidP="007767E2">
      <w:pPr>
        <w:jc w:val="center"/>
        <w:rPr>
          <w:rFonts w:ascii="Times New Roman" w:hAnsi="Times New Roman" w:cs="Times New Roman"/>
          <w:sz w:val="24"/>
          <w:szCs w:val="24"/>
          <w:lang w:val="en-US"/>
        </w:rPr>
      </w:pPr>
    </w:p>
    <w:p w14:paraId="12DF43A6" w14:textId="1A32FEB7" w:rsidR="002715D7" w:rsidRDefault="002715D7" w:rsidP="007767E2">
      <w:pPr>
        <w:jc w:val="center"/>
        <w:rPr>
          <w:rFonts w:ascii="Times New Roman" w:hAnsi="Times New Roman" w:cs="Times New Roman"/>
          <w:sz w:val="24"/>
          <w:szCs w:val="24"/>
          <w:lang w:val="en-US"/>
        </w:rPr>
      </w:pPr>
    </w:p>
    <w:p w14:paraId="316269EE" w14:textId="278692D3" w:rsidR="002715D7" w:rsidRDefault="002715D7" w:rsidP="007767E2">
      <w:pPr>
        <w:jc w:val="center"/>
        <w:rPr>
          <w:rFonts w:ascii="Times New Roman" w:hAnsi="Times New Roman" w:cs="Times New Roman"/>
          <w:sz w:val="24"/>
          <w:szCs w:val="24"/>
          <w:lang w:val="en-US"/>
        </w:rPr>
      </w:pPr>
    </w:p>
    <w:p w14:paraId="70BB6771" w14:textId="77777777" w:rsidR="002715D7" w:rsidRDefault="002715D7" w:rsidP="007767E2">
      <w:pPr>
        <w:jc w:val="center"/>
        <w:rPr>
          <w:rFonts w:ascii="Times New Roman" w:hAnsi="Times New Roman" w:cs="Times New Roman"/>
          <w:sz w:val="24"/>
          <w:szCs w:val="24"/>
          <w:lang w:val="en-US"/>
        </w:rPr>
      </w:pPr>
    </w:p>
    <w:p w14:paraId="29BF57B3" w14:textId="77777777" w:rsidR="007767E2" w:rsidRDefault="007767E2" w:rsidP="007767E2">
      <w:pPr>
        <w:jc w:val="center"/>
        <w:rPr>
          <w:rFonts w:ascii="Times New Roman" w:hAnsi="Times New Roman" w:cs="Times New Roman"/>
          <w:sz w:val="24"/>
          <w:szCs w:val="24"/>
          <w:lang w:val="en-US"/>
        </w:rPr>
      </w:pPr>
    </w:p>
    <w:p w14:paraId="2C94294C" w14:textId="77777777" w:rsidR="007767E2" w:rsidRDefault="007767E2" w:rsidP="007767E2">
      <w:pPr>
        <w:jc w:val="both"/>
        <w:rPr>
          <w:rFonts w:ascii="Times New Roman" w:hAnsi="Times New Roman" w:cs="Times New Roman"/>
          <w:sz w:val="24"/>
          <w:szCs w:val="24"/>
          <w:lang w:val="en-US"/>
        </w:rPr>
      </w:pPr>
    </w:p>
    <w:p w14:paraId="4B011616" w14:textId="77777777" w:rsidR="007767E2" w:rsidRDefault="007767E2" w:rsidP="007767E2">
      <w:pPr>
        <w:jc w:val="center"/>
        <w:rPr>
          <w:rFonts w:ascii="Times New Roman" w:hAnsi="Times New Roman" w:cs="Times New Roman"/>
          <w:b/>
          <w:bCs/>
          <w:sz w:val="24"/>
          <w:szCs w:val="24"/>
          <w:lang w:val="en-US"/>
        </w:rPr>
      </w:pPr>
      <w:bookmarkStart w:id="1" w:name="_Hlk186890247"/>
      <w:r w:rsidRPr="00362FE8">
        <w:rPr>
          <w:rFonts w:ascii="Times New Roman" w:hAnsi="Times New Roman" w:cs="Times New Roman"/>
          <w:b/>
          <w:bCs/>
          <w:sz w:val="24"/>
          <w:szCs w:val="24"/>
          <w:lang w:val="en-US"/>
        </w:rPr>
        <w:t>Introduction</w:t>
      </w:r>
    </w:p>
    <w:p w14:paraId="03B91CCB" w14:textId="77777777" w:rsidR="007767E2" w:rsidRPr="00362FE8" w:rsidRDefault="007767E2" w:rsidP="007767E2">
      <w:pPr>
        <w:jc w:val="center"/>
        <w:rPr>
          <w:rFonts w:ascii="Times New Roman" w:hAnsi="Times New Roman" w:cs="Times New Roman"/>
          <w:b/>
          <w:bCs/>
          <w:sz w:val="24"/>
          <w:szCs w:val="24"/>
          <w:lang w:val="en-US"/>
        </w:rPr>
      </w:pPr>
    </w:p>
    <w:p w14:paraId="6F924034" w14:textId="7393899B" w:rsidR="007767E2" w:rsidRDefault="007767E2" w:rsidP="004B03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13D08" w:rsidRPr="00BA5F62">
        <w:rPr>
          <w:rFonts w:ascii="Arial" w:hAnsi="Arial" w:cs="Arial"/>
          <w:color w:val="222222"/>
          <w:sz w:val="20"/>
          <w:szCs w:val="20"/>
          <w:highlight w:val="yellow"/>
          <w:shd w:val="clear" w:color="auto" w:fill="FFFFFF"/>
        </w:rPr>
        <w:t>Corn (</w:t>
      </w:r>
      <w:proofErr w:type="spellStart"/>
      <w:r w:rsidR="00F13D08" w:rsidRPr="00BA5F62">
        <w:rPr>
          <w:rStyle w:val="html-italic"/>
          <w:rFonts w:ascii="Arial" w:hAnsi="Arial" w:cs="Arial"/>
          <w:i/>
          <w:iCs/>
          <w:color w:val="222222"/>
          <w:sz w:val="20"/>
          <w:szCs w:val="20"/>
          <w:highlight w:val="yellow"/>
          <w:shd w:val="clear" w:color="auto" w:fill="FFFFFF"/>
        </w:rPr>
        <w:t>Zea</w:t>
      </w:r>
      <w:proofErr w:type="spellEnd"/>
      <w:r w:rsidR="00F13D08" w:rsidRPr="00BA5F62">
        <w:rPr>
          <w:rStyle w:val="html-italic"/>
          <w:rFonts w:ascii="Arial" w:hAnsi="Arial" w:cs="Arial"/>
          <w:i/>
          <w:iCs/>
          <w:color w:val="222222"/>
          <w:sz w:val="20"/>
          <w:szCs w:val="20"/>
          <w:highlight w:val="yellow"/>
          <w:shd w:val="clear" w:color="auto" w:fill="FFFFFF"/>
        </w:rPr>
        <w:t xml:space="preserve"> mays</w:t>
      </w:r>
      <w:r w:rsidR="00F13D08" w:rsidRPr="00BA5F62">
        <w:rPr>
          <w:rFonts w:ascii="Arial" w:hAnsi="Arial" w:cs="Arial"/>
          <w:color w:val="222222"/>
          <w:sz w:val="20"/>
          <w:szCs w:val="20"/>
          <w:highlight w:val="yellow"/>
          <w:shd w:val="clear" w:color="auto" w:fill="FFFFFF"/>
        </w:rPr>
        <w:t> L.) is a major agronomic crop globally, surpassed only by wheat (</w:t>
      </w:r>
      <w:r w:rsidR="00F13D08" w:rsidRPr="00BA5F62">
        <w:rPr>
          <w:rStyle w:val="html-italic"/>
          <w:rFonts w:ascii="Arial" w:hAnsi="Arial" w:cs="Arial"/>
          <w:i/>
          <w:iCs/>
          <w:color w:val="222222"/>
          <w:sz w:val="20"/>
          <w:szCs w:val="20"/>
          <w:highlight w:val="yellow"/>
          <w:shd w:val="clear" w:color="auto" w:fill="FFFFFF"/>
        </w:rPr>
        <w:t xml:space="preserve">Triticum </w:t>
      </w:r>
      <w:proofErr w:type="spellStart"/>
      <w:r w:rsidR="00F13D08" w:rsidRPr="00BA5F62">
        <w:rPr>
          <w:rStyle w:val="html-italic"/>
          <w:rFonts w:ascii="Arial" w:hAnsi="Arial" w:cs="Arial"/>
          <w:i/>
          <w:iCs/>
          <w:color w:val="222222"/>
          <w:sz w:val="20"/>
          <w:szCs w:val="20"/>
          <w:highlight w:val="yellow"/>
          <w:shd w:val="clear" w:color="auto" w:fill="FFFFFF"/>
        </w:rPr>
        <w:t>aestivum</w:t>
      </w:r>
      <w:proofErr w:type="spellEnd"/>
      <w:r w:rsidR="00F13D08" w:rsidRPr="00BA5F62">
        <w:rPr>
          <w:rFonts w:ascii="Arial" w:hAnsi="Arial" w:cs="Arial"/>
          <w:color w:val="222222"/>
          <w:sz w:val="20"/>
          <w:szCs w:val="20"/>
          <w:highlight w:val="yellow"/>
          <w:shd w:val="clear" w:color="auto" w:fill="FFFFFF"/>
        </w:rPr>
        <w:t> L.) in total acreage worldwide. It can be assumed that much of the global corn production occurs under conditions exterior to corn’s optimum preference. Increasing the resiliency and adaptability of corn plants to suboptimal environments will be critical for the agricultural industry to meet future global production demands</w:t>
      </w:r>
      <w:r w:rsidR="004B0361" w:rsidRPr="004B0361">
        <w:rPr>
          <w:rFonts w:ascii="Arial" w:hAnsi="Arial" w:cs="Arial"/>
          <w:color w:val="222222"/>
          <w:sz w:val="20"/>
          <w:szCs w:val="20"/>
          <w:highlight w:val="yellow"/>
          <w:shd w:val="clear" w:color="auto" w:fill="FFFFFF"/>
        </w:rPr>
        <w:t xml:space="preserve"> (</w:t>
      </w:r>
      <w:proofErr w:type="spellStart"/>
      <w:r w:rsidR="004B0361" w:rsidRPr="00BA5F62">
        <w:rPr>
          <w:rFonts w:ascii="Arial" w:hAnsi="Arial" w:cs="Arial"/>
          <w:color w:val="222222"/>
          <w:sz w:val="20"/>
          <w:szCs w:val="20"/>
          <w:highlight w:val="yellow"/>
          <w:shd w:val="clear" w:color="auto" w:fill="FFFFFF"/>
        </w:rPr>
        <w:t>Walne</w:t>
      </w:r>
      <w:proofErr w:type="spellEnd"/>
      <w:r w:rsidR="004B0361" w:rsidRPr="00BA5F62">
        <w:rPr>
          <w:rFonts w:ascii="Arial" w:hAnsi="Arial" w:cs="Arial"/>
          <w:color w:val="222222"/>
          <w:sz w:val="20"/>
          <w:szCs w:val="20"/>
          <w:highlight w:val="yellow"/>
          <w:shd w:val="clear" w:color="auto" w:fill="FFFFFF"/>
        </w:rPr>
        <w:t xml:space="preserve"> and Reddy, 2022</w:t>
      </w:r>
      <w:r w:rsidR="00B30AB7">
        <w:rPr>
          <w:rFonts w:ascii="Arial" w:hAnsi="Arial" w:cs="Arial"/>
          <w:color w:val="222222"/>
          <w:sz w:val="20"/>
          <w:szCs w:val="20"/>
          <w:highlight w:val="yellow"/>
          <w:shd w:val="clear" w:color="auto" w:fill="FFFFFF"/>
        </w:rPr>
        <w:t xml:space="preserve">; </w:t>
      </w:r>
      <w:proofErr w:type="spellStart"/>
      <w:r w:rsidR="00B30AB7" w:rsidRPr="00BA5F62">
        <w:rPr>
          <w:rFonts w:ascii="Arial" w:hAnsi="Arial" w:cs="Arial"/>
          <w:color w:val="222222"/>
          <w:sz w:val="20"/>
          <w:szCs w:val="20"/>
          <w:highlight w:val="yellow"/>
          <w:shd w:val="clear" w:color="auto" w:fill="FFFFFF"/>
        </w:rPr>
        <w:t>Astiko</w:t>
      </w:r>
      <w:proofErr w:type="spellEnd"/>
      <w:r w:rsidR="00B30AB7" w:rsidRPr="00BA5F62">
        <w:rPr>
          <w:rFonts w:ascii="Arial" w:hAnsi="Arial" w:cs="Arial"/>
          <w:color w:val="222222"/>
          <w:sz w:val="20"/>
          <w:szCs w:val="20"/>
          <w:highlight w:val="yellow"/>
          <w:shd w:val="clear" w:color="auto" w:fill="FFFFFF"/>
        </w:rPr>
        <w:t xml:space="preserve"> et al., 2025</w:t>
      </w:r>
      <w:r w:rsidR="004B0361" w:rsidRPr="004B0361">
        <w:rPr>
          <w:rFonts w:ascii="Arial" w:hAnsi="Arial" w:cs="Arial"/>
          <w:color w:val="222222"/>
          <w:sz w:val="20"/>
          <w:szCs w:val="20"/>
          <w:highlight w:val="yellow"/>
          <w:shd w:val="clear" w:color="auto" w:fill="FFFFFF"/>
        </w:rPr>
        <w:t>)</w:t>
      </w:r>
      <w:r w:rsidR="00F13D08" w:rsidRPr="00BA5F62">
        <w:rPr>
          <w:rFonts w:ascii="Arial" w:hAnsi="Arial" w:cs="Arial"/>
          <w:color w:val="222222"/>
          <w:sz w:val="20"/>
          <w:szCs w:val="20"/>
          <w:highlight w:val="yellow"/>
          <w:shd w:val="clear" w:color="auto" w:fill="FFFFFF"/>
        </w:rPr>
        <w:t>.</w:t>
      </w:r>
      <w:r w:rsidR="00F13D08">
        <w:rPr>
          <w:rFonts w:ascii="Arial" w:hAnsi="Arial" w:cs="Arial"/>
          <w:color w:val="222222"/>
          <w:sz w:val="20"/>
          <w:szCs w:val="20"/>
          <w:shd w:val="clear" w:color="auto" w:fill="FFFFFF"/>
        </w:rPr>
        <w:t xml:space="preserve"> </w:t>
      </w:r>
      <w:r>
        <w:rPr>
          <w:rFonts w:ascii="Times New Roman" w:hAnsi="Times New Roman" w:cs="Times New Roman"/>
          <w:sz w:val="24"/>
          <w:szCs w:val="24"/>
          <w:lang w:val="en-US"/>
        </w:rPr>
        <w:t xml:space="preserve">Corn production in the Philippines particularly Cebu plays a crucial role in the region’s agricultural landscape. The province’s diverse topography and </w:t>
      </w:r>
      <w:proofErr w:type="spellStart"/>
      <w:r>
        <w:rPr>
          <w:rFonts w:ascii="Times New Roman" w:hAnsi="Times New Roman" w:cs="Times New Roman"/>
          <w:sz w:val="24"/>
          <w:szCs w:val="24"/>
          <w:lang w:val="en-US"/>
        </w:rPr>
        <w:t>favo</w:t>
      </w:r>
      <w:r w:rsidR="00BA5F62">
        <w:rPr>
          <w:rFonts w:ascii="Times New Roman" w:hAnsi="Times New Roman" w:cs="Times New Roman"/>
          <w:sz w:val="24"/>
          <w:szCs w:val="24"/>
          <w:lang w:val="en-US"/>
        </w:rPr>
        <w:t>u</w:t>
      </w:r>
      <w:r>
        <w:rPr>
          <w:rFonts w:ascii="Times New Roman" w:hAnsi="Times New Roman" w:cs="Times New Roman"/>
          <w:sz w:val="24"/>
          <w:szCs w:val="24"/>
          <w:lang w:val="en-US"/>
        </w:rPr>
        <w:t>rable</w:t>
      </w:r>
      <w:proofErr w:type="spellEnd"/>
      <w:r>
        <w:rPr>
          <w:rFonts w:ascii="Times New Roman" w:hAnsi="Times New Roman" w:cs="Times New Roman"/>
          <w:sz w:val="24"/>
          <w:szCs w:val="24"/>
          <w:lang w:val="en-US"/>
        </w:rPr>
        <w:t xml:space="preserve"> climate contribute to the cultivation of corn, a staple crop for both local consumption and commercial purposes. According to Bureau of Agricultural Statistics in the Philippines, Cebu has been a significant contributor to the nation’s overall corn production, with farmers employing various cultivation techniques to enhance yields. The integration of modern farming practices, such as improved seed varieties and sustainable agricultural methods, has aimed to boost productivity and support the livelihoods of local farmers. As the agricultural sector continues to evolve, understanding the dynamics of corn production in the Philippines particularly Cebu becomes pivotal for policymakers and stakeholders working towards sustainable food security in the region (</w:t>
      </w:r>
      <w:proofErr w:type="spellStart"/>
      <w:r>
        <w:rPr>
          <w:rFonts w:ascii="Times New Roman" w:hAnsi="Times New Roman" w:cs="Times New Roman"/>
          <w:sz w:val="24"/>
          <w:szCs w:val="24"/>
        </w:rPr>
        <w:t>Amper</w:t>
      </w:r>
      <w:proofErr w:type="spellEnd"/>
      <w:r>
        <w:rPr>
          <w:rFonts w:ascii="Times New Roman" w:hAnsi="Times New Roman" w:cs="Times New Roman"/>
          <w:sz w:val="24"/>
          <w:szCs w:val="24"/>
        </w:rPr>
        <w:t xml:space="preserve"> et al., 2018</w:t>
      </w:r>
      <w:r>
        <w:rPr>
          <w:rFonts w:ascii="Times New Roman" w:hAnsi="Times New Roman" w:cs="Times New Roman"/>
          <w:sz w:val="24"/>
          <w:szCs w:val="24"/>
          <w:lang w:val="en-US"/>
        </w:rPr>
        <w:t>).</w:t>
      </w:r>
    </w:p>
    <w:p w14:paraId="58B60E63" w14:textId="77777777" w:rsidR="007767E2" w:rsidRDefault="007767E2" w:rsidP="007767E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Alkaline soils can be found in various regions globally including </w:t>
      </w:r>
      <w:proofErr w:type="spellStart"/>
      <w:r>
        <w:rPr>
          <w:rFonts w:ascii="Times New Roman" w:hAnsi="Times New Roman" w:cs="Times New Roman"/>
          <w:sz w:val="24"/>
          <w:szCs w:val="24"/>
          <w:lang w:val="en-US"/>
        </w:rPr>
        <w:t>Barili</w:t>
      </w:r>
      <w:proofErr w:type="spellEnd"/>
      <w:r>
        <w:rPr>
          <w:rFonts w:ascii="Times New Roman" w:hAnsi="Times New Roman" w:cs="Times New Roman"/>
          <w:sz w:val="24"/>
          <w:szCs w:val="24"/>
          <w:lang w:val="en-US"/>
        </w:rPr>
        <w:t xml:space="preserve">, Cebu, Philippines, affecting agricultural practices and plant growth. The pH of soil significantly influences nutrient availability, root growth and development, impacting the overall health of vegetation. This type of soil is often rich in minerals such as calcium, magnesium, and potassium, but may lack essential nutrients like iron and manganese due to reduced solubility in alkaline conditions </w:t>
      </w:r>
      <w:r>
        <w:rPr>
          <w:rFonts w:ascii="Times New Roman" w:hAnsi="Times New Roman" w:cs="Times New Roman"/>
          <w:i/>
          <w:iCs/>
          <w:sz w:val="24"/>
          <w:szCs w:val="24"/>
          <w:lang w:val="en-US"/>
        </w:rPr>
        <w:t>(</w:t>
      </w:r>
      <w:proofErr w:type="spellStart"/>
      <w:r>
        <w:rPr>
          <w:rFonts w:ascii="Times New Roman" w:eastAsia="SimSun" w:hAnsi="Times New Roman" w:cs="Times New Roman"/>
          <w:sz w:val="24"/>
          <w:szCs w:val="24"/>
          <w:shd w:val="clear" w:color="auto" w:fill="FFFFFF"/>
        </w:rPr>
        <w:t>Hartemink</w:t>
      </w:r>
      <w:proofErr w:type="spellEnd"/>
      <w:r>
        <w:rPr>
          <w:rFonts w:ascii="Times New Roman" w:eastAsia="SimSun" w:hAnsi="Times New Roman" w:cs="Times New Roman"/>
          <w:sz w:val="24"/>
          <w:szCs w:val="24"/>
          <w:shd w:val="clear" w:color="auto" w:fill="FFFFFF"/>
        </w:rPr>
        <w:t>, A. E., &amp; Barrow, N. J. 2023</w:t>
      </w:r>
      <w:r>
        <w:rPr>
          <w:rFonts w:ascii="Times New Roman" w:hAnsi="Times New Roman" w:cs="Times New Roman"/>
          <w:sz w:val="24"/>
          <w:szCs w:val="24"/>
          <w:lang w:val="en-US"/>
        </w:rPr>
        <w:t>).</w:t>
      </w:r>
    </w:p>
    <w:p w14:paraId="5B52E3C6" w14:textId="77777777"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cultivation of corn in alkaline soil presents a significant challenge in agricultural practices, as alkaline conditions can alter the physiological processes creating unfavorable </w:t>
      </w:r>
      <w:r>
        <w:rPr>
          <w:rFonts w:ascii="Times New Roman" w:hAnsi="Times New Roman" w:cs="Times New Roman"/>
          <w:sz w:val="24"/>
          <w:szCs w:val="24"/>
          <w:lang w:val="en-US"/>
        </w:rPr>
        <w:lastRenderedPageBreak/>
        <w:t>conditions for root growth which is critical for corn productivity. According to recent studies (Smith et al., 202</w:t>
      </w:r>
      <w:r>
        <w:rPr>
          <w:rFonts w:ascii="Times New Roman" w:hAnsi="Times New Roman" w:cs="Times New Roman"/>
          <w:sz w:val="24"/>
          <w:szCs w:val="24"/>
        </w:rPr>
        <w:t>0</w:t>
      </w:r>
      <w:r>
        <w:rPr>
          <w:rFonts w:ascii="Times New Roman" w:hAnsi="Times New Roman" w:cs="Times New Roman"/>
          <w:sz w:val="24"/>
          <w:szCs w:val="24"/>
          <w:lang w:val="en-US"/>
        </w:rPr>
        <w:t>), alkaline soils are characterized by high pH levels pose unique challenges to root development, affecting the plant’s ability to access essential nutrients and reduced water retention capabilities. These soils can significantly impact corn productivity and the potential for toxic ion accumulation, all of which create an inhospitable environment for corn.</w:t>
      </w:r>
    </w:p>
    <w:p w14:paraId="15F90DC8" w14:textId="38E70184" w:rsidR="007767E2" w:rsidRDefault="007767E2" w:rsidP="007767E2">
      <w:pPr>
        <w:spacing w:line="360" w:lineRule="auto"/>
        <w:ind w:firstLine="720"/>
        <w:jc w:val="both"/>
        <w:rPr>
          <w:rFonts w:ascii="Times New Roman" w:hAnsi="Times New Roman" w:cs="Times New Roman"/>
          <w:sz w:val="24"/>
          <w:szCs w:val="24"/>
          <w:lang w:val="en-US"/>
        </w:rPr>
      </w:pPr>
      <w:bookmarkStart w:id="2" w:name="_Hlk186890306"/>
      <w:r>
        <w:rPr>
          <w:rFonts w:ascii="Times New Roman" w:hAnsi="Times New Roman" w:cs="Times New Roman"/>
          <w:sz w:val="24"/>
          <w:szCs w:val="24"/>
          <w:lang w:val="en-US"/>
        </w:rPr>
        <w:t xml:space="preserve">Ammonium-based fertilizers, such as ammonium sulfate, play a pivotal role in overcoming the challenges posed by alkaline soils, which often contain high levels of calcium carbonate. Ammonium fertilizers enhance nutrient availability by promoting the acidification of the soil, </w:t>
      </w:r>
      <w:r w:rsidRPr="00BA5F62">
        <w:rPr>
          <w:rFonts w:ascii="Times New Roman" w:hAnsi="Times New Roman" w:cs="Times New Roman"/>
          <w:sz w:val="24"/>
          <w:szCs w:val="24"/>
          <w:highlight w:val="yellow"/>
          <w:lang w:val="en-US"/>
        </w:rPr>
        <w:t xml:space="preserve">creating </w:t>
      </w:r>
      <w:r w:rsidR="00BA5F62" w:rsidRPr="00BA5F62">
        <w:rPr>
          <w:rFonts w:ascii="Times New Roman" w:hAnsi="Times New Roman" w:cs="Times New Roman"/>
          <w:sz w:val="24"/>
          <w:szCs w:val="24"/>
          <w:highlight w:val="yellow"/>
          <w:lang w:val="en-US"/>
        </w:rPr>
        <w:t xml:space="preserve">a </w:t>
      </w:r>
      <w:r w:rsidRPr="00BA5F62">
        <w:rPr>
          <w:rFonts w:ascii="Times New Roman" w:hAnsi="Times New Roman" w:cs="Times New Roman"/>
          <w:sz w:val="24"/>
          <w:szCs w:val="24"/>
          <w:highlight w:val="yellow"/>
          <w:lang w:val="en-US"/>
        </w:rPr>
        <w:t xml:space="preserve">more favorable </w:t>
      </w:r>
      <w:r>
        <w:rPr>
          <w:rFonts w:ascii="Times New Roman" w:hAnsi="Times New Roman" w:cs="Times New Roman"/>
          <w:sz w:val="24"/>
          <w:szCs w:val="24"/>
          <w:lang w:val="en-US"/>
        </w:rPr>
        <w:t>pH range for nutrient uptake by plants. Research by Li et al., (2022)</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demonstrated that ammonium-based fertilizers not only improve nitrogen utilization efficiency but also contribute to enhanced phosphorus availability in alkaline soils. Smith et </w:t>
      </w:r>
      <w:bookmarkEnd w:id="1"/>
      <w:r>
        <w:rPr>
          <w:rFonts w:ascii="Times New Roman" w:hAnsi="Times New Roman" w:cs="Times New Roman"/>
          <w:sz w:val="24"/>
          <w:szCs w:val="24"/>
          <w:lang w:val="en-US"/>
        </w:rPr>
        <w:t>al., 202</w:t>
      </w:r>
      <w:r>
        <w:rPr>
          <w:rFonts w:ascii="Times New Roman" w:hAnsi="Times New Roman" w:cs="Times New Roman"/>
          <w:sz w:val="24"/>
          <w:szCs w:val="24"/>
        </w:rPr>
        <w:t>0</w:t>
      </w:r>
      <w:r>
        <w:rPr>
          <w:rFonts w:ascii="Times New Roman" w:hAnsi="Times New Roman" w:cs="Times New Roman"/>
          <w:sz w:val="24"/>
          <w:szCs w:val="24"/>
          <w:lang w:val="en-US"/>
        </w:rPr>
        <w:t xml:space="preserve"> added that the addition of ammonium-containing fertilizers to alkaline soils can lead to a temporary decrease in soil pH due </w:t>
      </w:r>
      <w:r w:rsidRPr="00BA5F62">
        <w:rPr>
          <w:rFonts w:ascii="Times New Roman" w:hAnsi="Times New Roman" w:cs="Times New Roman"/>
          <w:sz w:val="24"/>
          <w:szCs w:val="24"/>
          <w:highlight w:val="yellow"/>
          <w:lang w:val="en-US"/>
        </w:rPr>
        <w:t xml:space="preserve">to </w:t>
      </w:r>
      <w:r w:rsidR="00BA5F62" w:rsidRPr="00BA5F62">
        <w:rPr>
          <w:rFonts w:ascii="Times New Roman" w:hAnsi="Times New Roman" w:cs="Times New Roman"/>
          <w:sz w:val="24"/>
          <w:szCs w:val="24"/>
          <w:highlight w:val="yellow"/>
          <w:lang w:val="en-US"/>
        </w:rPr>
        <w:t xml:space="preserve">the </w:t>
      </w:r>
      <w:r w:rsidRPr="00BA5F62">
        <w:rPr>
          <w:rFonts w:ascii="Times New Roman" w:hAnsi="Times New Roman" w:cs="Times New Roman"/>
          <w:sz w:val="24"/>
          <w:szCs w:val="24"/>
          <w:highlight w:val="yellow"/>
          <w:lang w:val="en-US"/>
        </w:rPr>
        <w:t xml:space="preserve">nitrification </w:t>
      </w:r>
      <w:r>
        <w:rPr>
          <w:rFonts w:ascii="Times New Roman" w:hAnsi="Times New Roman" w:cs="Times New Roman"/>
          <w:sz w:val="24"/>
          <w:szCs w:val="24"/>
          <w:lang w:val="en-US"/>
        </w:rPr>
        <w:t xml:space="preserve">process, where ammonium is converted to nitrate.  </w:t>
      </w:r>
    </w:p>
    <w:p w14:paraId="0E9265E2" w14:textId="24A1A58E" w:rsidR="007767E2" w:rsidRDefault="007767E2" w:rsidP="007767E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examining the growth response and intricate relationships between different nitrogen fertilizers and root development, this study seeks to identify key factors that determine the adaptability and resilience of two varieties of corn </w:t>
      </w:r>
      <w:r w:rsidRPr="00BA5F62">
        <w:rPr>
          <w:rFonts w:ascii="Times New Roman" w:hAnsi="Times New Roman" w:cs="Times New Roman"/>
          <w:sz w:val="24"/>
          <w:szCs w:val="24"/>
          <w:highlight w:val="yellow"/>
          <w:lang w:val="en-US"/>
        </w:rPr>
        <w:t xml:space="preserve">in </w:t>
      </w:r>
      <w:r w:rsidR="00BA5F62" w:rsidRPr="00BA5F62">
        <w:rPr>
          <w:rFonts w:ascii="Times New Roman" w:hAnsi="Times New Roman" w:cs="Times New Roman"/>
          <w:sz w:val="24"/>
          <w:szCs w:val="24"/>
          <w:highlight w:val="yellow"/>
          <w:lang w:val="en-US"/>
        </w:rPr>
        <w:t xml:space="preserve">an </w:t>
      </w:r>
      <w:r w:rsidRPr="00BA5F62">
        <w:rPr>
          <w:rFonts w:ascii="Times New Roman" w:hAnsi="Times New Roman" w:cs="Times New Roman"/>
          <w:sz w:val="24"/>
          <w:szCs w:val="24"/>
          <w:highlight w:val="yellow"/>
          <w:lang w:val="en-US"/>
        </w:rPr>
        <w:t xml:space="preserve">alkaline </w:t>
      </w:r>
      <w:r>
        <w:rPr>
          <w:rFonts w:ascii="Times New Roman" w:hAnsi="Times New Roman" w:cs="Times New Roman"/>
          <w:sz w:val="24"/>
          <w:szCs w:val="24"/>
          <w:lang w:val="en-US"/>
        </w:rPr>
        <w:t xml:space="preserve">environment. This study aims to explore the effects of nitrogen-based fertilizers influencing corn’s performance in alkaline soils, ultimately contributing to improved practices for corn cultivation in these challenging environments. The findings of this research have the potential to inform better agricultural practices, aid in crop improvement strategies, and contribute to enhanced food security in the Philippines especially in regions such as Cebu where corn </w:t>
      </w:r>
      <w:r w:rsidRPr="00BA5F62">
        <w:rPr>
          <w:rFonts w:ascii="Times New Roman" w:hAnsi="Times New Roman" w:cs="Times New Roman"/>
          <w:sz w:val="24"/>
          <w:szCs w:val="24"/>
          <w:highlight w:val="yellow"/>
          <w:lang w:val="en-US"/>
        </w:rPr>
        <w:t xml:space="preserve">is </w:t>
      </w:r>
      <w:r w:rsidR="00BA5F62" w:rsidRPr="00BA5F62">
        <w:rPr>
          <w:rFonts w:ascii="Times New Roman" w:hAnsi="Times New Roman" w:cs="Times New Roman"/>
          <w:sz w:val="24"/>
          <w:szCs w:val="24"/>
          <w:highlight w:val="yellow"/>
          <w:lang w:val="en-US"/>
        </w:rPr>
        <w:t xml:space="preserve">a </w:t>
      </w:r>
      <w:r w:rsidRPr="00BA5F62">
        <w:rPr>
          <w:rFonts w:ascii="Times New Roman" w:hAnsi="Times New Roman" w:cs="Times New Roman"/>
          <w:sz w:val="24"/>
          <w:szCs w:val="24"/>
          <w:highlight w:val="yellow"/>
          <w:lang w:val="en-US"/>
        </w:rPr>
        <w:t xml:space="preserve">vital food </w:t>
      </w:r>
      <w:r>
        <w:rPr>
          <w:rFonts w:ascii="Times New Roman" w:hAnsi="Times New Roman" w:cs="Times New Roman"/>
          <w:sz w:val="24"/>
          <w:szCs w:val="24"/>
          <w:lang w:val="en-US"/>
        </w:rPr>
        <w:t xml:space="preserve">source. </w:t>
      </w:r>
    </w:p>
    <w:p w14:paraId="215B59BB" w14:textId="77777777" w:rsidR="007767E2" w:rsidRPr="00362FE8" w:rsidRDefault="007767E2" w:rsidP="007767E2">
      <w:pPr>
        <w:jc w:val="center"/>
        <w:rPr>
          <w:rFonts w:ascii="Times New Roman" w:hAnsi="Times New Roman" w:cs="Times New Roman"/>
          <w:b/>
          <w:bCs/>
          <w:sz w:val="24"/>
          <w:szCs w:val="24"/>
          <w:lang w:val="en-US"/>
        </w:rPr>
      </w:pPr>
      <w:r w:rsidRPr="00362FE8">
        <w:rPr>
          <w:rFonts w:ascii="Times New Roman" w:hAnsi="Times New Roman" w:cs="Times New Roman"/>
          <w:b/>
          <w:bCs/>
          <w:sz w:val="24"/>
          <w:szCs w:val="24"/>
          <w:lang w:val="en-US"/>
        </w:rPr>
        <w:t>MATERIALS AND METHODS</w:t>
      </w:r>
    </w:p>
    <w:p w14:paraId="488E317A"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Experimental Site </w:t>
      </w:r>
    </w:p>
    <w:p w14:paraId="120CE74C" w14:textId="77777777" w:rsidR="007767E2" w:rsidRDefault="007767E2" w:rsidP="007767E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Pr>
          <w:rFonts w:ascii="Times New Roman" w:hAnsi="Times New Roman" w:cs="Times New Roman"/>
          <w:sz w:val="24"/>
          <w:szCs w:val="24"/>
        </w:rPr>
        <w:t>is</w:t>
      </w:r>
      <w:r>
        <w:rPr>
          <w:rFonts w:ascii="Times New Roman" w:hAnsi="Times New Roman" w:cs="Times New Roman"/>
          <w:sz w:val="24"/>
          <w:szCs w:val="24"/>
          <w:lang w:val="en-US"/>
        </w:rPr>
        <w:t xml:space="preserve"> research was conducted at Cebu Technological University-</w:t>
      </w:r>
      <w:proofErr w:type="spellStart"/>
      <w:r>
        <w:rPr>
          <w:rFonts w:ascii="Times New Roman" w:hAnsi="Times New Roman" w:cs="Times New Roman"/>
          <w:sz w:val="24"/>
          <w:szCs w:val="24"/>
          <w:lang w:val="en-US"/>
        </w:rPr>
        <w:t>Barili</w:t>
      </w:r>
      <w:proofErr w:type="spellEnd"/>
      <w:r>
        <w:rPr>
          <w:rFonts w:ascii="Times New Roman" w:hAnsi="Times New Roman" w:cs="Times New Roman"/>
          <w:sz w:val="24"/>
          <w:szCs w:val="24"/>
          <w:lang w:val="en-US"/>
        </w:rPr>
        <w:t xml:space="preserve"> Campus experimental area, </w:t>
      </w:r>
      <w:proofErr w:type="spellStart"/>
      <w:r>
        <w:rPr>
          <w:rFonts w:ascii="Times New Roman" w:hAnsi="Times New Roman" w:cs="Times New Roman"/>
          <w:sz w:val="24"/>
          <w:szCs w:val="24"/>
          <w:lang w:val="en-US"/>
        </w:rPr>
        <w:t>Barili</w:t>
      </w:r>
      <w:proofErr w:type="spellEnd"/>
      <w:r>
        <w:rPr>
          <w:rFonts w:ascii="Times New Roman" w:hAnsi="Times New Roman" w:cs="Times New Roman"/>
          <w:sz w:val="24"/>
          <w:szCs w:val="24"/>
          <w:lang w:val="en-US"/>
        </w:rPr>
        <w:t>, Cebu, Philippines (10 ̊7’53’’N, 123 ̊32’45’’ E) with an area of 30m x 6m during the corn growing season</w:t>
      </w:r>
      <w:r>
        <w:rPr>
          <w:rFonts w:ascii="Times New Roman" w:hAnsi="Times New Roman" w:cs="Times New Roman"/>
          <w:sz w:val="24"/>
          <w:szCs w:val="24"/>
        </w:rPr>
        <w:t xml:space="preserve"> (March to June 2024)</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Two </w:t>
      </w:r>
      <w:r>
        <w:rPr>
          <w:rFonts w:ascii="Times New Roman" w:hAnsi="Times New Roman" w:cs="Times New Roman"/>
          <w:sz w:val="24"/>
          <w:szCs w:val="24"/>
          <w:lang w:val="en-US"/>
        </w:rPr>
        <w:t xml:space="preserve">different corn varieties were used in the study. </w:t>
      </w:r>
    </w:p>
    <w:p w14:paraId="1411F726" w14:textId="77777777" w:rsidR="007767E2" w:rsidRDefault="007767E2" w:rsidP="007767E2">
      <w:pPr>
        <w:spacing w:after="0" w:line="360" w:lineRule="auto"/>
        <w:ind w:firstLine="720"/>
        <w:jc w:val="both"/>
        <w:rPr>
          <w:rFonts w:ascii="Times New Roman" w:hAnsi="Times New Roman" w:cs="Times New Roman"/>
          <w:sz w:val="24"/>
          <w:szCs w:val="24"/>
          <w:lang w:val="en-US"/>
        </w:rPr>
      </w:pPr>
    </w:p>
    <w:p w14:paraId="10432A8D" w14:textId="77777777" w:rsidR="007767E2" w:rsidRDefault="007767E2" w:rsidP="007767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Management practices</w:t>
      </w:r>
    </w:p>
    <w:p w14:paraId="7BC40A1B" w14:textId="77777777" w:rsidR="007767E2" w:rsidRDefault="007767E2" w:rsidP="007767E2">
      <w:pPr>
        <w:spacing w:after="0"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In th</w:t>
      </w:r>
      <w:r>
        <w:rPr>
          <w:rFonts w:ascii="Times New Roman" w:hAnsi="Times New Roman" w:cs="Times New Roman"/>
          <w:sz w:val="24"/>
          <w:szCs w:val="24"/>
        </w:rPr>
        <w:t>is</w:t>
      </w:r>
      <w:r w:rsidRPr="00362FE8">
        <w:rPr>
          <w:rFonts w:ascii="Times New Roman" w:hAnsi="Times New Roman" w:cs="Times New Roman"/>
          <w:sz w:val="24"/>
          <w:szCs w:val="24"/>
        </w:rPr>
        <w:t xml:space="preserve"> study, direct seeding was employed as the planting method, with two seeds sown per hill at a depth of 2–5 cm. Thinning was conducted 7–14 days after seedling emergence to ensure optimal plant spacing and growth. A consistent weed management strategy was applied </w:t>
      </w:r>
      <w:r w:rsidRPr="00362FE8">
        <w:rPr>
          <w:rFonts w:ascii="Times New Roman" w:hAnsi="Times New Roman" w:cs="Times New Roman"/>
          <w:sz w:val="24"/>
          <w:szCs w:val="24"/>
        </w:rPr>
        <w:lastRenderedPageBreak/>
        <w:t>across all treatment plots. The first weeding operation occurred 20 days after planting, followed by a second weeding and hilling-up at 40 days. Subsequent weeding operations were carried out as needed to maintain weed-free conditions throughout the growing period.</w:t>
      </w:r>
      <w:r>
        <w:rPr>
          <w:rFonts w:ascii="Times New Roman" w:hAnsi="Times New Roman" w:cs="Times New Roman"/>
          <w:sz w:val="24"/>
          <w:szCs w:val="24"/>
        </w:rPr>
        <w:t xml:space="preserve"> </w:t>
      </w:r>
    </w:p>
    <w:p w14:paraId="2AC4B86D" w14:textId="77777777" w:rsidR="007767E2" w:rsidRDefault="007767E2" w:rsidP="007767E2">
      <w:pPr>
        <w:spacing w:after="0" w:line="360" w:lineRule="auto"/>
        <w:jc w:val="both"/>
        <w:rPr>
          <w:rFonts w:ascii="Times New Roman" w:hAnsi="Times New Roman" w:cs="Times New Roman"/>
          <w:sz w:val="24"/>
          <w:szCs w:val="24"/>
          <w:lang w:val="en-US"/>
        </w:rPr>
      </w:pPr>
      <w:bookmarkStart w:id="3" w:name="_Hlk186890448"/>
    </w:p>
    <w:p w14:paraId="57E408EF"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Experimental Design and Treatments</w:t>
      </w:r>
    </w:p>
    <w:p w14:paraId="6237A2C5" w14:textId="0A4015BA" w:rsidR="007767E2" w:rsidRDefault="007767E2" w:rsidP="007767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research used split-block randomized </w:t>
      </w:r>
      <w:r w:rsidR="00BA5F62" w:rsidRPr="00BA5F62">
        <w:rPr>
          <w:rFonts w:ascii="Times New Roman" w:hAnsi="Times New Roman" w:cs="Times New Roman"/>
          <w:sz w:val="24"/>
          <w:szCs w:val="24"/>
          <w:highlight w:val="yellow"/>
          <w:lang w:val="en-US"/>
        </w:rPr>
        <w:t>complete-</w:t>
      </w:r>
      <w:r w:rsidRPr="00BA5F62">
        <w:rPr>
          <w:rFonts w:ascii="Times New Roman" w:hAnsi="Times New Roman" w:cs="Times New Roman"/>
          <w:sz w:val="24"/>
          <w:szCs w:val="24"/>
          <w:highlight w:val="yellow"/>
          <w:lang w:val="en-US"/>
        </w:rPr>
        <w:t>block</w:t>
      </w:r>
      <w:r>
        <w:rPr>
          <w:rFonts w:ascii="Times New Roman" w:hAnsi="Times New Roman" w:cs="Times New Roman"/>
          <w:sz w:val="24"/>
          <w:szCs w:val="24"/>
          <w:lang w:val="en-US"/>
        </w:rPr>
        <w:t xml:space="preserve"> design and </w:t>
      </w:r>
      <w:r>
        <w:rPr>
          <w:rFonts w:ascii="Times New Roman" w:hAnsi="Times New Roman" w:cs="Times New Roman"/>
          <w:sz w:val="24"/>
          <w:szCs w:val="24"/>
        </w:rPr>
        <w:t xml:space="preserve">examined the effects of four types of fertilizer diammonium phosphate (18-46-0), urea (46-0-0), ammonium phosphate (16-20-0), ammonium sulfate (21-0-0) and </w:t>
      </w:r>
      <w:r w:rsidRPr="009644D9">
        <w:rPr>
          <w:rFonts w:ascii="Times New Roman" w:hAnsi="Times New Roman" w:cs="Times New Roman"/>
          <w:sz w:val="24"/>
          <w:szCs w:val="24"/>
          <w:highlight w:val="yellow"/>
        </w:rPr>
        <w:t xml:space="preserve">two corn varieties with native corn and sweetcorn </w:t>
      </w:r>
      <w:r w:rsidRPr="009644D9">
        <w:rPr>
          <w:rFonts w:ascii="Times New Roman" w:hAnsi="Times New Roman" w:cs="Times New Roman"/>
          <w:sz w:val="24"/>
          <w:szCs w:val="24"/>
          <w:highlight w:val="yellow"/>
          <w:lang w:val="en-US"/>
        </w:rPr>
        <w:t>replicated three tim</w:t>
      </w:r>
      <w:r>
        <w:rPr>
          <w:rFonts w:ascii="Times New Roman" w:hAnsi="Times New Roman" w:cs="Times New Roman"/>
          <w:sz w:val="24"/>
          <w:szCs w:val="24"/>
          <w:lang w:val="en-US"/>
        </w:rPr>
        <w:t>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Each treatment plot measured five linear meters. To facilitate farm operations, management and data gathering, replications and treatment plots were separated by one-meter alleyways within subplots, and 1.5 meters within main plots and </w:t>
      </w:r>
      <w:bookmarkEnd w:id="2"/>
      <w:bookmarkEnd w:id="3"/>
      <w:r>
        <w:rPr>
          <w:rFonts w:ascii="Times New Roman" w:hAnsi="Times New Roman" w:cs="Times New Roman"/>
          <w:sz w:val="24"/>
          <w:szCs w:val="24"/>
          <w:lang w:val="en-US"/>
        </w:rPr>
        <w:t xml:space="preserve">replications. There were </w:t>
      </w:r>
      <w:r>
        <w:rPr>
          <w:rFonts w:ascii="Times New Roman" w:hAnsi="Times New Roman" w:cs="Times New Roman"/>
          <w:sz w:val="24"/>
          <w:szCs w:val="24"/>
        </w:rPr>
        <w:t>three</w:t>
      </w:r>
      <w:r>
        <w:rPr>
          <w:rFonts w:ascii="Times New Roman" w:hAnsi="Times New Roman" w:cs="Times New Roman"/>
          <w:sz w:val="24"/>
          <w:szCs w:val="24"/>
          <w:lang w:val="en-US"/>
        </w:rPr>
        <w:t xml:space="preserve"> plots with </w:t>
      </w:r>
      <w:r>
        <w:rPr>
          <w:rFonts w:ascii="Times New Roman" w:hAnsi="Times New Roman" w:cs="Times New Roman"/>
          <w:sz w:val="24"/>
          <w:szCs w:val="24"/>
        </w:rPr>
        <w:t>eight</w:t>
      </w:r>
      <w:r>
        <w:rPr>
          <w:rFonts w:ascii="Times New Roman" w:hAnsi="Times New Roman" w:cs="Times New Roman"/>
          <w:sz w:val="24"/>
          <w:szCs w:val="24"/>
          <w:lang w:val="en-US"/>
        </w:rPr>
        <w:t xml:space="preserve"> rows per plot with </w:t>
      </w:r>
      <w:r>
        <w:rPr>
          <w:rFonts w:ascii="Times New Roman" w:hAnsi="Times New Roman" w:cs="Times New Roman"/>
          <w:sz w:val="24"/>
          <w:szCs w:val="24"/>
        </w:rPr>
        <w:t>ten</w:t>
      </w:r>
      <w:r>
        <w:rPr>
          <w:rFonts w:ascii="Times New Roman" w:hAnsi="Times New Roman" w:cs="Times New Roman"/>
          <w:sz w:val="24"/>
          <w:szCs w:val="24"/>
          <w:lang w:val="en-US"/>
        </w:rPr>
        <w:t xml:space="preserve"> hills in each row at two plants per hill. Furthermore, </w:t>
      </w:r>
      <w:r>
        <w:rPr>
          <w:rFonts w:ascii="Times New Roman" w:hAnsi="Times New Roman" w:cs="Times New Roman"/>
          <w:sz w:val="24"/>
          <w:szCs w:val="24"/>
        </w:rPr>
        <w:t xml:space="preserve">four types of fertilizer (diammonium phosphate, urea, ammonium phosphate and ammonium sulfate were applied based on 90 N recommended rate. Fertilizers </w:t>
      </w:r>
      <w:r w:rsidR="00BA5F62" w:rsidRPr="00BA5F62">
        <w:rPr>
          <w:rFonts w:ascii="Times New Roman" w:hAnsi="Times New Roman" w:cs="Times New Roman"/>
          <w:sz w:val="24"/>
          <w:szCs w:val="24"/>
          <w:highlight w:val="yellow"/>
        </w:rPr>
        <w:t xml:space="preserve">were </w:t>
      </w:r>
      <w:r w:rsidRPr="00BA5F62">
        <w:rPr>
          <w:rFonts w:ascii="Times New Roman" w:hAnsi="Times New Roman" w:cs="Times New Roman"/>
          <w:sz w:val="24"/>
          <w:szCs w:val="24"/>
          <w:highlight w:val="yellow"/>
        </w:rPr>
        <w:t>split into two applications</w:t>
      </w:r>
      <w:r>
        <w:rPr>
          <w:rFonts w:ascii="Times New Roman" w:hAnsi="Times New Roman" w:cs="Times New Roman"/>
          <w:sz w:val="24"/>
          <w:szCs w:val="24"/>
        </w:rPr>
        <w:t xml:space="preserve">. First application was done 15 days after planting and </w:t>
      </w:r>
      <w:r w:rsidR="00BA5F62">
        <w:rPr>
          <w:rFonts w:ascii="Times New Roman" w:hAnsi="Times New Roman" w:cs="Times New Roman"/>
          <w:sz w:val="24"/>
          <w:szCs w:val="24"/>
        </w:rPr>
        <w:t xml:space="preserve">a </w:t>
      </w:r>
      <w:r>
        <w:rPr>
          <w:rFonts w:ascii="Times New Roman" w:hAnsi="Times New Roman" w:cs="Times New Roman"/>
          <w:sz w:val="24"/>
          <w:szCs w:val="24"/>
        </w:rPr>
        <w:t>second application was done 45 days after planting. To supplement the P and K requirement, 10t/ha of organic fertilizer was applied to all treatments.</w:t>
      </w:r>
      <w:r>
        <w:rPr>
          <w:rFonts w:ascii="Times New Roman" w:hAnsi="Times New Roman" w:cs="Times New Roman"/>
          <w:sz w:val="24"/>
          <w:szCs w:val="24"/>
          <w:lang w:val="en-US"/>
        </w:rPr>
        <w:t xml:space="preserve"> Data were analyzed using Analysis of Variance (ANOVA), and a further test was done using Duncan Multiple Range Test at p&lt; 0.05 to test for differences between means of treatments using </w:t>
      </w:r>
      <w:r>
        <w:rPr>
          <w:rFonts w:ascii="Times New Roman" w:hAnsi="Times New Roman" w:cs="Times New Roman"/>
          <w:sz w:val="24"/>
          <w:szCs w:val="24"/>
        </w:rPr>
        <w:t>Sirichai Statistics 7.0 2014.</w:t>
      </w:r>
    </w:p>
    <w:p w14:paraId="0B6C59A1" w14:textId="77777777" w:rsidR="007767E2" w:rsidRDefault="007767E2" w:rsidP="007767E2">
      <w:pPr>
        <w:spacing w:after="0"/>
        <w:jc w:val="both"/>
        <w:rPr>
          <w:rFonts w:ascii="Times New Roman" w:hAnsi="Times New Roman" w:cs="Times New Roman"/>
          <w:sz w:val="24"/>
          <w:szCs w:val="24"/>
          <w:lang w:val="en-US"/>
        </w:rPr>
      </w:pPr>
    </w:p>
    <w:p w14:paraId="56B724D8" w14:textId="77777777" w:rsidR="007767E2" w:rsidRDefault="007767E2" w:rsidP="007767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Data Gathered</w:t>
      </w:r>
      <w:r>
        <w:rPr>
          <w:rFonts w:ascii="Times New Roman" w:hAnsi="Times New Roman" w:cs="Times New Roman"/>
          <w:sz w:val="24"/>
          <w:szCs w:val="24"/>
        </w:rPr>
        <w:tab/>
      </w:r>
    </w:p>
    <w:p w14:paraId="4B0D4484" w14:textId="578E4547" w:rsidR="007767E2" w:rsidRPr="00362FE8" w:rsidRDefault="007767E2" w:rsidP="007767E2">
      <w:pPr>
        <w:pStyle w:val="ListParagraph"/>
        <w:numPr>
          <w:ilvl w:val="0"/>
          <w:numId w:val="1"/>
        </w:numPr>
        <w:spacing w:line="360" w:lineRule="auto"/>
        <w:rPr>
          <w:rFonts w:ascii="Times New Roman" w:eastAsia="DengXian" w:hAnsi="Times New Roman" w:cs="Times New Roman"/>
          <w:sz w:val="24"/>
          <w:szCs w:val="24"/>
          <w:lang w:eastAsia="en-PH"/>
        </w:rPr>
      </w:pPr>
      <w:r>
        <w:rPr>
          <w:rFonts w:ascii="Times New Roman" w:eastAsia="Calibri" w:hAnsi="Times New Roman" w:cs="Times New Roman"/>
          <w:sz w:val="24"/>
          <w:szCs w:val="24"/>
        </w:rPr>
        <w:t xml:space="preserve">Root dry weight per soil volume or root dry mass (DRV)- Root dry mass was measured using SH DO-100FGE Forced-draft oven. Root weights were carried out by destructive sampling method where the collection was carried out by taking the volume of soil around the corn plant using an iron frame measuring 20 x 20 x 20 cm along with taking the above-ground biomass. Then following soil was cleaned by spraying water on the surface of the </w:t>
      </w:r>
      <w:r w:rsidRPr="00BA5F62">
        <w:rPr>
          <w:rFonts w:ascii="Times New Roman" w:eastAsia="Calibri" w:hAnsi="Times New Roman" w:cs="Times New Roman"/>
          <w:sz w:val="24"/>
          <w:szCs w:val="24"/>
          <w:highlight w:val="yellow"/>
        </w:rPr>
        <w:t>roots so that it</w:t>
      </w:r>
      <w:r>
        <w:rPr>
          <w:rFonts w:ascii="Times New Roman" w:eastAsia="Calibri" w:hAnsi="Times New Roman" w:cs="Times New Roman"/>
          <w:sz w:val="24"/>
          <w:szCs w:val="24"/>
        </w:rPr>
        <w:t xml:space="preserve"> was cleaned and free of soil particles. All root components are then weighed as wet weight and sub-samples are taken to measure the dry weight. The sub-sample was then dried using oven at 70 degrees for 2 times 24 hours and weighed as the dry weight of the root multiplied by the sample per weight of the root sub-sample. Root dry weight was obtained from total wet weight divided by 1 g (root sample weight) multiplied by </w:t>
      </w:r>
      <w:r w:rsidR="00BA5F6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oven-dried weight of root samples. The value obtained was divided by the volume of soil (</w:t>
      </w:r>
      <w:proofErr w:type="spellStart"/>
      <w:r>
        <w:rPr>
          <w:rFonts w:ascii="Times New Roman" w:hAnsi="Times New Roman" w:cs="Times New Roman"/>
          <w:sz w:val="24"/>
          <w:szCs w:val="24"/>
        </w:rPr>
        <w:t>Gregorich</w:t>
      </w:r>
      <w:proofErr w:type="spellEnd"/>
      <w:r>
        <w:rPr>
          <w:rFonts w:ascii="Times New Roman" w:hAnsi="Times New Roman" w:cs="Times New Roman"/>
          <w:sz w:val="24"/>
          <w:szCs w:val="24"/>
        </w:rPr>
        <w:t xml:space="preserve"> et al., 2007).</w:t>
      </w:r>
    </w:p>
    <w:p w14:paraId="570A51D2" w14:textId="10694F9F" w:rsidR="007767E2"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Plant height- The plant height was measured from the base up to the highest leaf part of the plant. T</w:t>
      </w:r>
      <w:r>
        <w:rPr>
          <w:rFonts w:ascii="Times New Roman" w:eastAsia="SimSun" w:hAnsi="Times New Roman" w:cs="Times New Roman"/>
          <w:sz w:val="24"/>
          <w:szCs w:val="24"/>
        </w:rPr>
        <w:t xml:space="preserve">ape measure and </w:t>
      </w:r>
      <w:r w:rsidR="00BA5F62">
        <w:rPr>
          <w:rFonts w:ascii="Times New Roman" w:eastAsia="SimSun" w:hAnsi="Times New Roman" w:cs="Times New Roman"/>
          <w:sz w:val="24"/>
          <w:szCs w:val="24"/>
        </w:rPr>
        <w:t xml:space="preserve">a </w:t>
      </w:r>
      <w:r>
        <w:rPr>
          <w:rFonts w:ascii="Times New Roman" w:eastAsia="SimSun" w:hAnsi="Times New Roman" w:cs="Times New Roman"/>
          <w:sz w:val="24"/>
          <w:szCs w:val="24"/>
        </w:rPr>
        <w:t>large ruler were used to measure from the soil surface to the highest point of the plant (usually the top of the tassel at full maturity).</w:t>
      </w:r>
      <w:r>
        <w:rPr>
          <w:rFonts w:ascii="Times New Roman" w:hAnsi="Times New Roman" w:cs="Times New Roman"/>
          <w:sz w:val="24"/>
          <w:szCs w:val="24"/>
        </w:rPr>
        <w:t xml:space="preserve"> </w:t>
      </w:r>
      <w:r>
        <w:rPr>
          <w:rFonts w:ascii="Times New Roman" w:eastAsia="SimSun" w:hAnsi="Times New Roman" w:cs="Times New Roman"/>
          <w:sz w:val="24"/>
          <w:szCs w:val="24"/>
        </w:rPr>
        <w:t>When the corn was at early stages (30 DAP), the highest leaf tip that stands upright were measured (Andrade et al.,2002).</w:t>
      </w:r>
    </w:p>
    <w:p w14:paraId="41F1C546" w14:textId="77EDF63E" w:rsidR="007767E2" w:rsidRPr="00362FE8"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diameter- </w:t>
      </w:r>
      <w:r w:rsidRPr="00362FE8">
        <w:rPr>
          <w:rFonts w:ascii="Times New Roman" w:hAnsi="Times New Roman" w:cs="Times New Roman"/>
          <w:sz w:val="24"/>
          <w:szCs w:val="24"/>
        </w:rPr>
        <w:t xml:space="preserve">Root diameter measurement was conducted using manual calipers to ensure precise and reliable data collection. Plants were carefully excavated to avoid root damage, and the roots were gently washed to remove soil particles, providing clean samples for accurate measurements. Representative nodal roots, essential for water and nutrient uptake, were selected for assessment. Diameter was measured at multiple points along each root (e.g., base, midpoint, tip) using a vernier or digital caliper to account for natural tapering, and the average diameter was calculated to improve accuracy. Measurements were standardized under uniform conditions, with the </w:t>
      </w:r>
      <w:proofErr w:type="spellStart"/>
      <w:r w:rsidRPr="00362FE8">
        <w:rPr>
          <w:rFonts w:ascii="Times New Roman" w:hAnsi="Times New Roman" w:cs="Times New Roman"/>
          <w:sz w:val="24"/>
          <w:szCs w:val="24"/>
        </w:rPr>
        <w:t>ca</w:t>
      </w:r>
      <w:r w:rsidR="00BA5F62">
        <w:rPr>
          <w:rFonts w:ascii="Times New Roman" w:hAnsi="Times New Roman" w:cs="Times New Roman"/>
          <w:sz w:val="24"/>
          <w:szCs w:val="24"/>
        </w:rPr>
        <w:t>l</w:t>
      </w:r>
      <w:r w:rsidRPr="00362FE8">
        <w:rPr>
          <w:rFonts w:ascii="Times New Roman" w:hAnsi="Times New Roman" w:cs="Times New Roman"/>
          <w:sz w:val="24"/>
          <w:szCs w:val="24"/>
        </w:rPr>
        <w:t>liper</w:t>
      </w:r>
      <w:proofErr w:type="spellEnd"/>
      <w:r w:rsidRPr="00362FE8">
        <w:rPr>
          <w:rFonts w:ascii="Times New Roman" w:hAnsi="Times New Roman" w:cs="Times New Roman"/>
          <w:sz w:val="24"/>
          <w:szCs w:val="24"/>
        </w:rPr>
        <w:t xml:space="preserve"> calibrated before use to minimize variability. This cost-effective and portable method, though </w:t>
      </w:r>
      <w:proofErr w:type="spellStart"/>
      <w:r w:rsidRPr="00362FE8">
        <w:rPr>
          <w:rFonts w:ascii="Times New Roman" w:hAnsi="Times New Roman" w:cs="Times New Roman"/>
          <w:sz w:val="24"/>
          <w:szCs w:val="24"/>
        </w:rPr>
        <w:t>labo</w:t>
      </w:r>
      <w:r w:rsidR="00BA5F62">
        <w:rPr>
          <w:rFonts w:ascii="Times New Roman" w:hAnsi="Times New Roman" w:cs="Times New Roman"/>
          <w:sz w:val="24"/>
          <w:szCs w:val="24"/>
        </w:rPr>
        <w:t>u</w:t>
      </w:r>
      <w:r w:rsidRPr="00362FE8">
        <w:rPr>
          <w:rFonts w:ascii="Times New Roman" w:hAnsi="Times New Roman" w:cs="Times New Roman"/>
          <w:sz w:val="24"/>
          <w:szCs w:val="24"/>
        </w:rPr>
        <w:t>r-intensive</w:t>
      </w:r>
      <w:proofErr w:type="spellEnd"/>
      <w:r w:rsidRPr="00362FE8">
        <w:rPr>
          <w:rFonts w:ascii="Times New Roman" w:hAnsi="Times New Roman" w:cs="Times New Roman"/>
          <w:sz w:val="24"/>
          <w:szCs w:val="24"/>
        </w:rPr>
        <w:t xml:space="preserve">, </w:t>
      </w:r>
      <w:r>
        <w:rPr>
          <w:rFonts w:ascii="Times New Roman" w:hAnsi="Times New Roman" w:cs="Times New Roman"/>
          <w:sz w:val="24"/>
          <w:szCs w:val="24"/>
        </w:rPr>
        <w:t>wa</w:t>
      </w:r>
      <w:r w:rsidRPr="00362FE8">
        <w:rPr>
          <w:rFonts w:ascii="Times New Roman" w:hAnsi="Times New Roman" w:cs="Times New Roman"/>
          <w:sz w:val="24"/>
          <w:szCs w:val="24"/>
        </w:rPr>
        <w:t>s ideal for small-scale studies and enable</w:t>
      </w:r>
      <w:r>
        <w:rPr>
          <w:rFonts w:ascii="Times New Roman" w:hAnsi="Times New Roman" w:cs="Times New Roman"/>
          <w:sz w:val="24"/>
          <w:szCs w:val="24"/>
        </w:rPr>
        <w:t xml:space="preserve">d </w:t>
      </w:r>
      <w:r w:rsidRPr="00362FE8">
        <w:rPr>
          <w:rFonts w:ascii="Times New Roman" w:hAnsi="Times New Roman" w:cs="Times New Roman"/>
          <w:sz w:val="24"/>
          <w:szCs w:val="24"/>
        </w:rPr>
        <w:t>analysis of root traits, including their response to environmental conditions, fertilizers, and genotypic differences. While requiring meticulous execution to reduce human error, the data gathered provides valuable insights into root morphology and its relation to plant growth</w:t>
      </w:r>
      <w:r>
        <w:rPr>
          <w:rFonts w:ascii="Times New Roman" w:hAnsi="Times New Roman" w:cs="Times New Roman"/>
          <w:sz w:val="24"/>
          <w:szCs w:val="24"/>
        </w:rPr>
        <w:t xml:space="preserve"> (</w:t>
      </w:r>
      <w:r w:rsidRPr="00362FE8">
        <w:rPr>
          <w:rFonts w:ascii="Times New Roman" w:eastAsia="SimSun" w:hAnsi="Times New Roman" w:cs="Times New Roman"/>
          <w:sz w:val="24"/>
          <w:szCs w:val="24"/>
        </w:rPr>
        <w:t>Bouma et al., 2000</w:t>
      </w:r>
      <w:r w:rsidRPr="00362FE8">
        <w:rPr>
          <w:rFonts w:ascii="Times New Roman" w:eastAsia="SimSun" w:hAnsi="Times New Roman" w:cs="Times New Roman"/>
          <w:i/>
          <w:iCs/>
          <w:sz w:val="24"/>
          <w:szCs w:val="24"/>
        </w:rPr>
        <w:t>)</w:t>
      </w:r>
      <w:r w:rsidRPr="00362FE8">
        <w:rPr>
          <w:rFonts w:ascii="Times New Roman" w:eastAsia="SimSun" w:hAnsi="Times New Roman" w:cs="Times New Roman"/>
          <w:sz w:val="24"/>
          <w:szCs w:val="24"/>
        </w:rPr>
        <w:t>.</w:t>
      </w:r>
    </w:p>
    <w:p w14:paraId="7329DC0D" w14:textId="77777777" w:rsidR="007767E2" w:rsidRDefault="007767E2" w:rsidP="007767E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Root length- </w:t>
      </w:r>
      <w:r w:rsidRPr="00362FE8">
        <w:rPr>
          <w:rFonts w:ascii="Times New Roman" w:hAnsi="Times New Roman" w:cs="Times New Roman"/>
          <w:sz w:val="24"/>
          <w:szCs w:val="24"/>
        </w:rPr>
        <w:t xml:space="preserve">Root length was measured using a ruler to ensure precise data collection. The measurement process involved carefully stretching each root from its base (where it attaches to the stem) to its tip, ensuring the root was fully extended without breaking or damaging it. The length was recorded in centimeters (cm). To improve accuracy, multiple roots from each plant sample were measured, and care was taken to ensure the ruler was positioned straight along the root's length. This method </w:t>
      </w:r>
      <w:r>
        <w:rPr>
          <w:rFonts w:ascii="Times New Roman" w:hAnsi="Times New Roman" w:cs="Times New Roman"/>
          <w:sz w:val="24"/>
          <w:szCs w:val="24"/>
        </w:rPr>
        <w:t>was</w:t>
      </w:r>
      <w:r w:rsidRPr="00362FE8">
        <w:rPr>
          <w:rFonts w:ascii="Times New Roman" w:hAnsi="Times New Roman" w:cs="Times New Roman"/>
          <w:sz w:val="24"/>
          <w:szCs w:val="24"/>
        </w:rPr>
        <w:t xml:space="preserve"> straightforward, cost-effective, and widely used in root morphology studies to assess the effects of treatments or environmental conditions on root growth.</w:t>
      </w:r>
    </w:p>
    <w:p w14:paraId="78013C2E" w14:textId="2272F6C4" w:rsidR="007D31C9" w:rsidRPr="007D31C9" w:rsidRDefault="007D31C9" w:rsidP="007D31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 data analysis </w:t>
      </w:r>
    </w:p>
    <w:p w14:paraId="27EBE5D2" w14:textId="77777777" w:rsidR="007767E2" w:rsidRDefault="007767E2" w:rsidP="007767E2">
      <w:pPr>
        <w:spacing w:after="0"/>
        <w:ind w:firstLine="720"/>
        <w:jc w:val="both"/>
        <w:rPr>
          <w:rFonts w:ascii="Times New Roman" w:hAnsi="Times New Roman" w:cs="Times New Roman"/>
          <w:sz w:val="24"/>
          <w:szCs w:val="24"/>
          <w:lang w:val="en-US"/>
        </w:rPr>
      </w:pPr>
    </w:p>
    <w:p w14:paraId="1FDC6FF3" w14:textId="77777777" w:rsidR="007767E2" w:rsidRPr="00362FE8" w:rsidRDefault="007767E2" w:rsidP="007767E2">
      <w:pPr>
        <w:jc w:val="center"/>
        <w:rPr>
          <w:rFonts w:ascii="Times New Roman" w:hAnsi="Times New Roman" w:cs="Times New Roman"/>
          <w:b/>
          <w:bCs/>
          <w:sz w:val="24"/>
          <w:szCs w:val="24"/>
        </w:rPr>
      </w:pPr>
      <w:r w:rsidRPr="00362FE8">
        <w:rPr>
          <w:rFonts w:ascii="Times New Roman" w:hAnsi="Times New Roman" w:cs="Times New Roman"/>
          <w:b/>
          <w:bCs/>
          <w:sz w:val="24"/>
          <w:szCs w:val="24"/>
        </w:rPr>
        <w:t>RESULTS AND DISCUSSION</w:t>
      </w:r>
    </w:p>
    <w:p w14:paraId="66BF7BC4" w14:textId="6E5F1F5C" w:rsidR="007767E2" w:rsidRDefault="007767E2" w:rsidP="007767E2">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The results in Table 1 show that </w:t>
      </w:r>
      <w:r w:rsidRPr="00362FE8">
        <w:rPr>
          <w:rFonts w:ascii="Times New Roman" w:eastAsia="Times New Roman" w:hAnsi="Times New Roman" w:cs="Times New Roman"/>
          <w:sz w:val="24"/>
          <w:szCs w:val="24"/>
          <w:lang w:eastAsia="en-PH"/>
        </w:rPr>
        <w:t xml:space="preserve">the plant height of corn </w:t>
      </w:r>
      <w:r w:rsidRPr="00BA5F62">
        <w:rPr>
          <w:rFonts w:ascii="Times New Roman" w:eastAsia="Times New Roman" w:hAnsi="Times New Roman" w:cs="Times New Roman"/>
          <w:sz w:val="24"/>
          <w:szCs w:val="24"/>
          <w:highlight w:val="yellow"/>
          <w:lang w:eastAsia="en-PH"/>
        </w:rPr>
        <w:t>varieties 30 days after</w:t>
      </w:r>
      <w:r w:rsidRPr="00362FE8">
        <w:rPr>
          <w:rFonts w:ascii="Times New Roman" w:eastAsia="Times New Roman" w:hAnsi="Times New Roman" w:cs="Times New Roman"/>
          <w:sz w:val="24"/>
          <w:szCs w:val="24"/>
          <w:lang w:eastAsia="en-PH"/>
        </w:rPr>
        <w:t xml:space="preserve"> planting was significantly influenced by both nitrogen fertilizer type and corn </w:t>
      </w:r>
      <w:r w:rsidRPr="00BA5F62">
        <w:rPr>
          <w:rFonts w:ascii="Times New Roman" w:eastAsia="Times New Roman" w:hAnsi="Times New Roman" w:cs="Times New Roman"/>
          <w:sz w:val="24"/>
          <w:szCs w:val="24"/>
          <w:highlight w:val="yellow"/>
          <w:lang w:eastAsia="en-PH"/>
        </w:rPr>
        <w:t xml:space="preserve">variety. </w:t>
      </w:r>
      <w:r w:rsidR="00BA5F62">
        <w:rPr>
          <w:rFonts w:ascii="Times New Roman" w:eastAsia="Times New Roman" w:hAnsi="Times New Roman" w:cs="Times New Roman"/>
          <w:sz w:val="24"/>
          <w:szCs w:val="24"/>
          <w:lang w:eastAsia="en-PH"/>
        </w:rPr>
        <w:t>D</w:t>
      </w:r>
      <w:r>
        <w:rPr>
          <w:rFonts w:ascii="Times New Roman" w:eastAsia="Times New Roman" w:hAnsi="Times New Roman" w:cs="Times New Roman"/>
          <w:sz w:val="24"/>
          <w:szCs w:val="24"/>
          <w:lang w:eastAsia="en-PH"/>
        </w:rPr>
        <w:t xml:space="preserve">ifferent corn varieties show that </w:t>
      </w:r>
      <w:r w:rsidRPr="00362FE8">
        <w:rPr>
          <w:rFonts w:ascii="Times New Roman" w:hAnsi="Times New Roman" w:cs="Times New Roman"/>
          <w:sz w:val="24"/>
          <w:szCs w:val="24"/>
        </w:rPr>
        <w:t>sweetcorn showed better growth than native corn with both fertilizers</w:t>
      </w:r>
      <w:r>
        <w:rPr>
          <w:rFonts w:ascii="Times New Roman" w:hAnsi="Times New Roman" w:cs="Times New Roman"/>
          <w:sz w:val="24"/>
          <w:szCs w:val="24"/>
        </w:rPr>
        <w:t xml:space="preserve"> (urea and ammonium sulfate)</w:t>
      </w:r>
      <w:r w:rsidRPr="00362FE8">
        <w:rPr>
          <w:rFonts w:ascii="Times New Roman" w:hAnsi="Times New Roman" w:cs="Times New Roman"/>
          <w:sz w:val="24"/>
          <w:szCs w:val="24"/>
        </w:rPr>
        <w:t xml:space="preserve">. </w:t>
      </w:r>
      <w:r>
        <w:rPr>
          <w:rFonts w:ascii="Times New Roman" w:eastAsia="Times New Roman" w:hAnsi="Times New Roman" w:cs="Times New Roman"/>
          <w:sz w:val="24"/>
          <w:szCs w:val="24"/>
          <w:lang w:eastAsia="en-PH"/>
        </w:rPr>
        <w:t xml:space="preserve">Sweetcorn exhibited greater plant height than native corn as reflected </w:t>
      </w:r>
      <w:r>
        <w:rPr>
          <w:rFonts w:ascii="Times New Roman" w:eastAsia="Times New Roman" w:hAnsi="Times New Roman" w:cs="Times New Roman"/>
          <w:sz w:val="24"/>
          <w:szCs w:val="24"/>
          <w:lang w:eastAsia="en-PH"/>
        </w:rPr>
        <w:lastRenderedPageBreak/>
        <w:t xml:space="preserve">in the higher mean height for sweetcorn (47.64 cm) compared to native corn (41.65 cm). According to </w:t>
      </w:r>
      <w:proofErr w:type="spellStart"/>
      <w:r>
        <w:rPr>
          <w:rFonts w:ascii="Times New Roman" w:hAnsi="Times New Roman" w:cs="Times New Roman"/>
          <w:sz w:val="24"/>
          <w:szCs w:val="24"/>
        </w:rPr>
        <w:t>Ciampitti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Vyn</w:t>
      </w:r>
      <w:proofErr w:type="spellEnd"/>
      <w:r>
        <w:rPr>
          <w:rFonts w:ascii="Times New Roman" w:hAnsi="Times New Roman" w:cs="Times New Roman"/>
          <w:sz w:val="24"/>
          <w:szCs w:val="24"/>
        </w:rPr>
        <w:t xml:space="preserve"> 2018, sweetcorn may have a genetic predisposition to utilize nitrogen more efficiently. They stated that sweetcorn varieties are often bred for traits that promote early, vigorous growth, making them more responsive to high-nitrogen fertilizers.</w:t>
      </w:r>
    </w:p>
    <w:p w14:paraId="5AFBFAC6" w14:textId="77777777" w:rsidR="007767E2" w:rsidRDefault="007767E2" w:rsidP="007767E2">
      <w:pPr>
        <w:spacing w:after="0" w:line="360" w:lineRule="auto"/>
        <w:ind w:firstLine="720"/>
        <w:jc w:val="both"/>
        <w:rPr>
          <w:rFonts w:ascii="Times New Roman" w:hAnsi="Times New Roman" w:cs="Times New Roman"/>
          <w:sz w:val="24"/>
          <w:szCs w:val="24"/>
        </w:rPr>
      </w:pPr>
    </w:p>
    <w:p w14:paraId="0FD05F57" w14:textId="7F0C90E5" w:rsidR="007767E2" w:rsidRDefault="007767E2" w:rsidP="007767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On the other hand, the </w:t>
      </w:r>
      <w:r w:rsidRPr="00362FE8">
        <w:rPr>
          <w:rFonts w:ascii="Times New Roman" w:hAnsi="Times New Roman" w:cs="Times New Roman"/>
          <w:sz w:val="24"/>
          <w:szCs w:val="24"/>
        </w:rPr>
        <w:t xml:space="preserve">mean plant height </w:t>
      </w:r>
      <w:r>
        <w:rPr>
          <w:rFonts w:ascii="Times New Roman" w:hAnsi="Times New Roman" w:cs="Times New Roman"/>
          <w:sz w:val="24"/>
          <w:szCs w:val="24"/>
        </w:rPr>
        <w:t>in terms of different nitrogen</w:t>
      </w:r>
      <w:r w:rsidRPr="00362FE8">
        <w:rPr>
          <w:rFonts w:ascii="Times New Roman" w:hAnsi="Times New Roman" w:cs="Times New Roman"/>
          <w:sz w:val="24"/>
          <w:szCs w:val="24"/>
        </w:rPr>
        <w:t xml:space="preserve"> fertilizer</w:t>
      </w:r>
      <w:r w:rsidR="00BA5F62">
        <w:rPr>
          <w:rFonts w:ascii="Times New Roman" w:hAnsi="Times New Roman" w:cs="Times New Roman"/>
          <w:sz w:val="24"/>
          <w:szCs w:val="24"/>
        </w:rPr>
        <w:t>s</w:t>
      </w:r>
      <w:r w:rsidRPr="00362FE8">
        <w:rPr>
          <w:rFonts w:ascii="Times New Roman" w:hAnsi="Times New Roman" w:cs="Times New Roman"/>
          <w:sz w:val="24"/>
          <w:szCs w:val="24"/>
        </w:rPr>
        <w:t xml:space="preserve"> </w:t>
      </w:r>
      <w:r>
        <w:rPr>
          <w:rFonts w:ascii="Times New Roman" w:hAnsi="Times New Roman" w:cs="Times New Roman"/>
          <w:sz w:val="24"/>
          <w:szCs w:val="24"/>
        </w:rPr>
        <w:t xml:space="preserve">shows that </w:t>
      </w:r>
      <w:r>
        <w:rPr>
          <w:rStyle w:val="Strong"/>
          <w:rFonts w:ascii="Times New Roman" w:hAnsi="Times New Roman"/>
          <w:b w:val="0"/>
          <w:bCs w:val="0"/>
          <w:sz w:val="24"/>
          <w:szCs w:val="24"/>
        </w:rPr>
        <w:t>u</w:t>
      </w:r>
      <w:r w:rsidRPr="00362FE8">
        <w:rPr>
          <w:rStyle w:val="Strong"/>
          <w:rFonts w:ascii="Times New Roman" w:hAnsi="Times New Roman"/>
          <w:b w:val="0"/>
          <w:bCs w:val="0"/>
          <w:sz w:val="24"/>
          <w:szCs w:val="24"/>
        </w:rPr>
        <w:t xml:space="preserve">rea </w:t>
      </w:r>
      <w:r w:rsidRPr="00362FE8">
        <w:rPr>
          <w:rFonts w:ascii="Times New Roman" w:hAnsi="Times New Roman" w:cs="Times New Roman"/>
          <w:sz w:val="24"/>
          <w:szCs w:val="24"/>
        </w:rPr>
        <w:t>resulted in the tallest plants</w:t>
      </w:r>
      <w:r>
        <w:rPr>
          <w:rFonts w:ascii="Times New Roman" w:hAnsi="Times New Roman" w:cs="Times New Roman"/>
          <w:sz w:val="24"/>
          <w:szCs w:val="24"/>
        </w:rPr>
        <w:t xml:space="preserve"> reaching 53. 17 cm followed by ammonium sulfate with mean plant height of 46.65 cm. </w:t>
      </w:r>
      <w:r w:rsidRPr="00362FE8">
        <w:rPr>
          <w:rFonts w:ascii="Times New Roman" w:hAnsi="Times New Roman"/>
          <w:sz w:val="24"/>
          <w:szCs w:val="24"/>
        </w:rPr>
        <w:t>Ammonium phosphate was the least effective fertilizer, with significantly lower plant height</w:t>
      </w:r>
      <w:r>
        <w:rPr>
          <w:rFonts w:ascii="Times New Roman" w:hAnsi="Times New Roman"/>
          <w:sz w:val="24"/>
          <w:szCs w:val="24"/>
        </w:rPr>
        <w:t xml:space="preserve"> of 37.68 cm</w:t>
      </w:r>
      <w:r w:rsidRPr="00362FE8">
        <w:rPr>
          <w:rFonts w:ascii="Times New Roman" w:hAnsi="Times New Roman"/>
          <w:sz w:val="24"/>
          <w:szCs w:val="24"/>
        </w:rPr>
        <w:t xml:space="preserve">, indicating its limited impact on early vegetative growth. </w:t>
      </w:r>
      <w:r>
        <w:rPr>
          <w:rFonts w:ascii="Times New Roman" w:hAnsi="Times New Roman" w:cs="Times New Roman"/>
          <w:sz w:val="24"/>
          <w:szCs w:val="24"/>
        </w:rPr>
        <w:t xml:space="preserve">According to Chen et al., 2018, nitrogen-rich fertilizers like urea can stimulate greater biomass and height, especially in the early stages, due to their rapid nitrogen release. </w:t>
      </w:r>
      <w:r>
        <w:rPr>
          <w:rFonts w:ascii="Times New Roman" w:eastAsia="Times New Roman" w:hAnsi="Times New Roman" w:cs="Times New Roman"/>
          <w:sz w:val="24"/>
          <w:szCs w:val="24"/>
          <w:lang w:eastAsia="en-PH"/>
        </w:rPr>
        <w:t xml:space="preserve">Chen et al., 2021 added </w:t>
      </w:r>
      <w:r>
        <w:rPr>
          <w:rFonts w:ascii="Times New Roman" w:hAnsi="Times New Roman" w:cs="Times New Roman"/>
          <w:sz w:val="24"/>
          <w:szCs w:val="24"/>
        </w:rPr>
        <w:t>that diammonium phosphate (DAP) and ammonium phosphate are commonly used as phosphate fertilizers in agriculture, but they may not always yield the highest plant heights during the vegetative stage, especially compared to fertilizers like urea.</w:t>
      </w:r>
    </w:p>
    <w:p w14:paraId="47E6452D" w14:textId="52431098" w:rsidR="007767E2" w:rsidRDefault="007767E2" w:rsidP="007767E2">
      <w:pPr>
        <w:spacing w:before="100" w:beforeAutospacing="1" w:after="100" w:afterAutospacing="1" w:line="360" w:lineRule="auto"/>
        <w:jc w:val="both"/>
        <w:rPr>
          <w:rFonts w:ascii="Times New Roman" w:eastAsia="Times New Roman" w:hAnsi="Times New Roman" w:cs="Times New Roman"/>
          <w:sz w:val="24"/>
          <w:szCs w:val="24"/>
          <w:lang w:eastAsia="en-PH"/>
        </w:rPr>
      </w:pPr>
      <w:r>
        <w:rPr>
          <w:rFonts w:ascii="Times New Roman" w:hAnsi="Times New Roman" w:cs="Times New Roman"/>
          <w:sz w:val="24"/>
          <w:szCs w:val="24"/>
        </w:rPr>
        <w:t>The combined effect of different corn varieties and nitrogen fertilizers show that s</w:t>
      </w:r>
      <w:r w:rsidRPr="00362FE8">
        <w:rPr>
          <w:rFonts w:ascii="Times New Roman" w:hAnsi="Times New Roman" w:cs="Times New Roman"/>
          <w:sz w:val="24"/>
          <w:szCs w:val="24"/>
        </w:rPr>
        <w:t xml:space="preserve">weetcorn with urea </w:t>
      </w:r>
      <w:r>
        <w:rPr>
          <w:rFonts w:ascii="Times New Roman" w:hAnsi="Times New Roman" w:cs="Times New Roman"/>
          <w:sz w:val="24"/>
          <w:szCs w:val="24"/>
        </w:rPr>
        <w:t xml:space="preserve">having </w:t>
      </w:r>
      <w:r w:rsidRPr="00362FE8">
        <w:rPr>
          <w:rFonts w:ascii="Times New Roman" w:hAnsi="Times New Roman" w:cs="Times New Roman"/>
          <w:sz w:val="24"/>
          <w:szCs w:val="24"/>
        </w:rPr>
        <w:t>58 cm</w:t>
      </w:r>
      <w:r>
        <w:rPr>
          <w:rFonts w:ascii="Times New Roman" w:hAnsi="Times New Roman" w:cs="Times New Roman"/>
          <w:sz w:val="24"/>
          <w:szCs w:val="24"/>
        </w:rPr>
        <w:t xml:space="preserve"> plant height and </w:t>
      </w:r>
      <w:r w:rsidRPr="00362FE8">
        <w:rPr>
          <w:rFonts w:ascii="Times New Roman" w:hAnsi="Times New Roman" w:cs="Times New Roman"/>
          <w:sz w:val="24"/>
          <w:szCs w:val="24"/>
        </w:rPr>
        <w:t xml:space="preserve">sweetcorn with ammonium sulfate </w:t>
      </w:r>
      <w:r>
        <w:rPr>
          <w:rFonts w:ascii="Times New Roman" w:hAnsi="Times New Roman" w:cs="Times New Roman"/>
          <w:sz w:val="24"/>
          <w:szCs w:val="24"/>
        </w:rPr>
        <w:t xml:space="preserve">with </w:t>
      </w:r>
      <w:r w:rsidRPr="00362FE8">
        <w:rPr>
          <w:rFonts w:ascii="Times New Roman" w:hAnsi="Times New Roman" w:cs="Times New Roman"/>
          <w:sz w:val="24"/>
          <w:szCs w:val="24"/>
        </w:rPr>
        <w:t>51.5 cm</w:t>
      </w:r>
      <w:r>
        <w:rPr>
          <w:rFonts w:ascii="Times New Roman" w:hAnsi="Times New Roman" w:cs="Times New Roman"/>
          <w:sz w:val="24"/>
          <w:szCs w:val="24"/>
        </w:rPr>
        <w:t xml:space="preserve"> were significant than </w:t>
      </w:r>
      <w:r>
        <w:rPr>
          <w:rFonts w:ascii="Times New Roman" w:eastAsia="Times New Roman" w:hAnsi="Times New Roman" w:cs="Times New Roman"/>
          <w:sz w:val="24"/>
          <w:szCs w:val="24"/>
          <w:lang w:eastAsia="en-PH"/>
        </w:rPr>
        <w:t>ammonium phosphate applied to native corn with heights of 35.97 cm and 39.40 cm for sweetcorn.</w:t>
      </w:r>
      <w:r>
        <w:rPr>
          <w:rFonts w:ascii="Times New Roman" w:hAnsi="Times New Roman" w:cs="Times New Roman"/>
          <w:sz w:val="24"/>
          <w:szCs w:val="24"/>
        </w:rPr>
        <w:t xml:space="preserve"> </w:t>
      </w:r>
      <w:proofErr w:type="spellStart"/>
      <w:r>
        <w:rPr>
          <w:rFonts w:ascii="Times New Roman" w:hAnsi="Times New Roman" w:cs="Times New Roman"/>
          <w:sz w:val="24"/>
          <w:szCs w:val="24"/>
        </w:rPr>
        <w:t>Barcauskaite</w:t>
      </w:r>
      <w:proofErr w:type="spellEnd"/>
      <w:r>
        <w:rPr>
          <w:rFonts w:ascii="Times New Roman" w:hAnsi="Times New Roman" w:cs="Times New Roman"/>
          <w:sz w:val="24"/>
          <w:szCs w:val="24"/>
        </w:rPr>
        <w:t xml:space="preserve"> et al., 2024 </w:t>
      </w:r>
      <w:r w:rsidRPr="00BA5F62">
        <w:rPr>
          <w:rFonts w:ascii="Times New Roman" w:hAnsi="Times New Roman" w:cs="Times New Roman"/>
          <w:sz w:val="24"/>
          <w:szCs w:val="24"/>
          <w:highlight w:val="yellow"/>
        </w:rPr>
        <w:t xml:space="preserve">stated </w:t>
      </w:r>
      <w:r w:rsidR="00BA5F62" w:rsidRPr="00BA5F62">
        <w:rPr>
          <w:rFonts w:ascii="Times New Roman" w:hAnsi="Times New Roman" w:cs="Times New Roman"/>
          <w:sz w:val="24"/>
          <w:szCs w:val="24"/>
          <w:highlight w:val="yellow"/>
        </w:rPr>
        <w:t xml:space="preserve">in </w:t>
      </w:r>
      <w:r w:rsidRPr="00BA5F62">
        <w:rPr>
          <w:rFonts w:ascii="Times New Roman" w:hAnsi="Times New Roman" w:cs="Times New Roman"/>
          <w:sz w:val="24"/>
          <w:szCs w:val="24"/>
          <w:highlight w:val="yellow"/>
        </w:rPr>
        <w:t>their s</w:t>
      </w:r>
      <w:r>
        <w:rPr>
          <w:rFonts w:ascii="Times New Roman" w:hAnsi="Times New Roman" w:cs="Times New Roman"/>
          <w:sz w:val="24"/>
          <w:szCs w:val="24"/>
        </w:rPr>
        <w:t xml:space="preserve">tudy that urea is widely used as a nitrogenous fertilizer due to its high nitrogen content (46%), which is essential for promoting plant growth, particularly in nitrogen-demanding crops such as sweetcorn and native corn. Native corn treated with urea had a significantly taller plant height (48.33 cm) compared to sweetcorn treated with diammonium phosphate (41.67 cm) and ammonium phosphate (39.40 cm). </w:t>
      </w:r>
      <w:r>
        <w:rPr>
          <w:rFonts w:ascii="Times New Roman" w:eastAsia="Times New Roman" w:hAnsi="Times New Roman" w:cs="Times New Roman"/>
          <w:sz w:val="24"/>
          <w:szCs w:val="24"/>
          <w:lang w:eastAsia="en-PH"/>
        </w:rPr>
        <w:t xml:space="preserve">The results align with the study of </w:t>
      </w:r>
      <w:r>
        <w:rPr>
          <w:rFonts w:ascii="Times New Roman" w:hAnsi="Times New Roman" w:cs="Times New Roman"/>
          <w:sz w:val="24"/>
          <w:szCs w:val="24"/>
        </w:rPr>
        <w:t xml:space="preserve">Choudhary, M., &amp; Kumar, R. (2018) which states that ammonium phosphate and diammonium phosphate have limited effectiveness in promoting early plant height indicating its lower impact compared to other nitrogen fertilizers. </w:t>
      </w:r>
      <w:r>
        <w:rPr>
          <w:rFonts w:ascii="Times New Roman" w:eastAsia="Times New Roman" w:hAnsi="Times New Roman" w:cs="Times New Roman"/>
          <w:sz w:val="24"/>
          <w:szCs w:val="24"/>
          <w:lang w:eastAsia="en-PH"/>
        </w:rPr>
        <w:t>Diammonium phosphate and ammonium sulfate applied to native corn with plant height of 40.50 cm and 41. 80 cm has no significant difference in terms of plant height.</w:t>
      </w:r>
    </w:p>
    <w:p w14:paraId="67F8AE81"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1: Plant Height of Different Corn Varieties at 30 Days after Planting as influenced by different nitrogen fertilizers</w:t>
      </w:r>
    </w:p>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2020"/>
        <w:gridCol w:w="1982"/>
        <w:gridCol w:w="1411"/>
      </w:tblGrid>
      <w:tr w:rsidR="007767E2" w14:paraId="23047A16" w14:textId="77777777" w:rsidTr="00F13D08">
        <w:trPr>
          <w:trHeight w:val="375"/>
        </w:trPr>
        <w:tc>
          <w:tcPr>
            <w:tcW w:w="2935" w:type="dxa"/>
            <w:tcBorders>
              <w:top w:val="thinThickSmallGap" w:sz="24" w:space="0" w:color="auto"/>
              <w:bottom w:val="single" w:sz="4" w:space="0" w:color="auto"/>
            </w:tcBorders>
          </w:tcPr>
          <w:p w14:paraId="4A4B7EED" w14:textId="77777777" w:rsidR="007767E2" w:rsidRDefault="007767E2" w:rsidP="00F13D08">
            <w:pPr>
              <w:widowControl/>
              <w:spacing w:line="240" w:lineRule="auto"/>
              <w:rPr>
                <w:sz w:val="24"/>
                <w:szCs w:val="24"/>
              </w:rPr>
            </w:pPr>
          </w:p>
        </w:tc>
        <w:tc>
          <w:tcPr>
            <w:tcW w:w="4002" w:type="dxa"/>
            <w:gridSpan w:val="2"/>
            <w:tcBorders>
              <w:top w:val="thinThickSmallGap" w:sz="24" w:space="0" w:color="auto"/>
              <w:bottom w:val="single" w:sz="4" w:space="0" w:color="auto"/>
            </w:tcBorders>
          </w:tcPr>
          <w:p w14:paraId="4D5131CC" w14:textId="77777777" w:rsidR="007767E2" w:rsidRDefault="007767E2" w:rsidP="00F13D08">
            <w:pPr>
              <w:widowControl/>
              <w:spacing w:line="240" w:lineRule="auto"/>
              <w:rPr>
                <w:sz w:val="24"/>
                <w:szCs w:val="24"/>
              </w:rPr>
            </w:pPr>
            <w:r>
              <w:rPr>
                <w:sz w:val="24"/>
                <w:szCs w:val="24"/>
              </w:rPr>
              <w:t>Corn Varieties</w:t>
            </w:r>
          </w:p>
        </w:tc>
        <w:tc>
          <w:tcPr>
            <w:tcW w:w="1411" w:type="dxa"/>
            <w:tcBorders>
              <w:top w:val="thinThickSmallGap" w:sz="24" w:space="0" w:color="auto"/>
              <w:bottom w:val="single" w:sz="4" w:space="0" w:color="auto"/>
            </w:tcBorders>
          </w:tcPr>
          <w:p w14:paraId="3EF047EF" w14:textId="77777777" w:rsidR="007767E2" w:rsidRDefault="007767E2" w:rsidP="00F13D08">
            <w:pPr>
              <w:widowControl/>
              <w:spacing w:line="240" w:lineRule="auto"/>
              <w:rPr>
                <w:sz w:val="24"/>
                <w:szCs w:val="24"/>
              </w:rPr>
            </w:pPr>
          </w:p>
        </w:tc>
      </w:tr>
      <w:tr w:rsidR="007767E2" w14:paraId="620326DE" w14:textId="77777777" w:rsidTr="00F13D08">
        <w:trPr>
          <w:trHeight w:val="375"/>
        </w:trPr>
        <w:tc>
          <w:tcPr>
            <w:tcW w:w="2935" w:type="dxa"/>
            <w:tcBorders>
              <w:top w:val="single" w:sz="4" w:space="0" w:color="auto"/>
            </w:tcBorders>
          </w:tcPr>
          <w:p w14:paraId="7DCC64CC" w14:textId="77777777" w:rsidR="007767E2" w:rsidRDefault="007767E2" w:rsidP="00F13D08">
            <w:pPr>
              <w:widowControl/>
              <w:spacing w:line="240" w:lineRule="auto"/>
              <w:rPr>
                <w:sz w:val="24"/>
                <w:szCs w:val="24"/>
              </w:rPr>
            </w:pPr>
            <w:r>
              <w:rPr>
                <w:sz w:val="24"/>
                <w:szCs w:val="24"/>
              </w:rPr>
              <w:t>Fertilizer</w:t>
            </w:r>
          </w:p>
        </w:tc>
        <w:tc>
          <w:tcPr>
            <w:tcW w:w="2020" w:type="dxa"/>
            <w:tcBorders>
              <w:top w:val="single" w:sz="4" w:space="0" w:color="auto"/>
            </w:tcBorders>
          </w:tcPr>
          <w:p w14:paraId="2543D8E7" w14:textId="77777777" w:rsidR="007767E2" w:rsidRDefault="007767E2" w:rsidP="00F13D08">
            <w:pPr>
              <w:widowControl/>
              <w:spacing w:line="240" w:lineRule="auto"/>
              <w:rPr>
                <w:sz w:val="24"/>
                <w:szCs w:val="24"/>
              </w:rPr>
            </w:pPr>
            <w:r>
              <w:rPr>
                <w:sz w:val="24"/>
                <w:szCs w:val="24"/>
              </w:rPr>
              <w:t>V1 (Native corn)</w:t>
            </w:r>
          </w:p>
        </w:tc>
        <w:tc>
          <w:tcPr>
            <w:tcW w:w="1981" w:type="dxa"/>
            <w:tcBorders>
              <w:top w:val="single" w:sz="4" w:space="0" w:color="auto"/>
            </w:tcBorders>
          </w:tcPr>
          <w:p w14:paraId="36E4D3E2" w14:textId="77777777" w:rsidR="007767E2" w:rsidRDefault="007767E2" w:rsidP="00F13D08">
            <w:pPr>
              <w:widowControl/>
              <w:spacing w:line="240" w:lineRule="auto"/>
              <w:rPr>
                <w:sz w:val="24"/>
                <w:szCs w:val="24"/>
              </w:rPr>
            </w:pPr>
            <w:r>
              <w:rPr>
                <w:sz w:val="24"/>
                <w:szCs w:val="24"/>
              </w:rPr>
              <w:t>V2 (Sweetcorn)</w:t>
            </w:r>
          </w:p>
        </w:tc>
        <w:tc>
          <w:tcPr>
            <w:tcW w:w="1411" w:type="dxa"/>
            <w:tcBorders>
              <w:top w:val="single" w:sz="4" w:space="0" w:color="auto"/>
            </w:tcBorders>
          </w:tcPr>
          <w:p w14:paraId="03A16743" w14:textId="77777777" w:rsidR="007767E2" w:rsidRDefault="007767E2" w:rsidP="00F13D08">
            <w:pPr>
              <w:widowControl/>
              <w:spacing w:line="240" w:lineRule="auto"/>
              <w:rPr>
                <w:sz w:val="24"/>
                <w:szCs w:val="24"/>
              </w:rPr>
            </w:pPr>
            <w:r>
              <w:rPr>
                <w:sz w:val="24"/>
                <w:szCs w:val="24"/>
              </w:rPr>
              <w:t>Mean</w:t>
            </w:r>
          </w:p>
        </w:tc>
      </w:tr>
      <w:tr w:rsidR="007767E2" w14:paraId="60F32EAA" w14:textId="77777777" w:rsidTr="00F13D08">
        <w:trPr>
          <w:trHeight w:val="375"/>
        </w:trPr>
        <w:tc>
          <w:tcPr>
            <w:tcW w:w="2935" w:type="dxa"/>
          </w:tcPr>
          <w:p w14:paraId="2DF6EEF6" w14:textId="77777777" w:rsidR="007767E2" w:rsidRDefault="007767E2" w:rsidP="00F13D08">
            <w:pPr>
              <w:widowControl/>
              <w:spacing w:line="240" w:lineRule="auto"/>
              <w:rPr>
                <w:sz w:val="24"/>
                <w:szCs w:val="24"/>
              </w:rPr>
            </w:pPr>
            <w:r>
              <w:rPr>
                <w:sz w:val="24"/>
                <w:szCs w:val="24"/>
              </w:rPr>
              <w:t>F1(diammonium phosphate)</w:t>
            </w:r>
          </w:p>
        </w:tc>
        <w:tc>
          <w:tcPr>
            <w:tcW w:w="2020" w:type="dxa"/>
          </w:tcPr>
          <w:p w14:paraId="753A24D0" w14:textId="77777777" w:rsidR="007767E2" w:rsidRDefault="007767E2" w:rsidP="00F13D08">
            <w:pPr>
              <w:widowControl/>
              <w:spacing w:line="240" w:lineRule="auto"/>
              <w:rPr>
                <w:sz w:val="24"/>
                <w:szCs w:val="24"/>
              </w:rPr>
            </w:pPr>
            <w:r>
              <w:rPr>
                <w:sz w:val="24"/>
                <w:szCs w:val="24"/>
                <w:lang w:eastAsia="en-PH"/>
              </w:rPr>
              <w:t>40.50</w:t>
            </w:r>
            <w:r w:rsidRPr="00362FE8">
              <w:rPr>
                <w:sz w:val="24"/>
                <w:szCs w:val="24"/>
                <w:vertAlign w:val="superscript"/>
                <w:lang w:eastAsia="en-PH"/>
              </w:rPr>
              <w:t>d</w:t>
            </w:r>
          </w:p>
        </w:tc>
        <w:tc>
          <w:tcPr>
            <w:tcW w:w="1981" w:type="dxa"/>
          </w:tcPr>
          <w:p w14:paraId="52A32A69" w14:textId="77777777" w:rsidR="007767E2" w:rsidRDefault="007767E2" w:rsidP="00F13D08">
            <w:pPr>
              <w:widowControl/>
              <w:spacing w:line="240" w:lineRule="auto"/>
              <w:rPr>
                <w:sz w:val="24"/>
                <w:szCs w:val="24"/>
                <w:vertAlign w:val="superscript"/>
              </w:rPr>
            </w:pPr>
            <w:r>
              <w:rPr>
                <w:sz w:val="24"/>
                <w:szCs w:val="24"/>
                <w:lang w:eastAsia="en-PH"/>
              </w:rPr>
              <w:t>41.6</w:t>
            </w:r>
            <w:r w:rsidRPr="00362FE8">
              <w:rPr>
                <w:sz w:val="24"/>
                <w:szCs w:val="24"/>
                <w:lang w:eastAsia="en-PH"/>
              </w:rPr>
              <w:t>7</w:t>
            </w:r>
            <w:r w:rsidRPr="00362FE8">
              <w:rPr>
                <w:sz w:val="24"/>
                <w:szCs w:val="24"/>
                <w:vertAlign w:val="superscript"/>
                <w:lang w:eastAsia="en-PH"/>
              </w:rPr>
              <w:t>d</w:t>
            </w:r>
          </w:p>
        </w:tc>
        <w:tc>
          <w:tcPr>
            <w:tcW w:w="1411" w:type="dxa"/>
          </w:tcPr>
          <w:p w14:paraId="589ED8E2" w14:textId="77777777" w:rsidR="007767E2" w:rsidRDefault="007767E2" w:rsidP="00F13D08">
            <w:pPr>
              <w:widowControl/>
              <w:spacing w:line="240" w:lineRule="auto"/>
              <w:rPr>
                <w:sz w:val="24"/>
                <w:szCs w:val="24"/>
              </w:rPr>
            </w:pPr>
            <w:r>
              <w:rPr>
                <w:sz w:val="24"/>
                <w:szCs w:val="24"/>
              </w:rPr>
              <w:t>41.08</w:t>
            </w:r>
            <w:r>
              <w:rPr>
                <w:sz w:val="24"/>
                <w:szCs w:val="24"/>
                <w:vertAlign w:val="superscript"/>
              </w:rPr>
              <w:t>c</w:t>
            </w:r>
          </w:p>
        </w:tc>
      </w:tr>
      <w:tr w:rsidR="007767E2" w14:paraId="2DB7E1B6" w14:textId="77777777" w:rsidTr="00F13D08">
        <w:trPr>
          <w:trHeight w:val="375"/>
        </w:trPr>
        <w:tc>
          <w:tcPr>
            <w:tcW w:w="2935" w:type="dxa"/>
          </w:tcPr>
          <w:p w14:paraId="6C52246B" w14:textId="77777777" w:rsidR="007767E2" w:rsidRDefault="007767E2" w:rsidP="00F13D08">
            <w:pPr>
              <w:widowControl/>
              <w:spacing w:line="240" w:lineRule="auto"/>
              <w:rPr>
                <w:sz w:val="24"/>
                <w:szCs w:val="24"/>
              </w:rPr>
            </w:pPr>
            <w:r>
              <w:rPr>
                <w:sz w:val="24"/>
                <w:szCs w:val="24"/>
              </w:rPr>
              <w:lastRenderedPageBreak/>
              <w:t>F2 (urea)</w:t>
            </w:r>
          </w:p>
        </w:tc>
        <w:tc>
          <w:tcPr>
            <w:tcW w:w="2020" w:type="dxa"/>
          </w:tcPr>
          <w:p w14:paraId="264C15F5" w14:textId="77777777" w:rsidR="007767E2" w:rsidRDefault="007767E2" w:rsidP="00F13D08">
            <w:pPr>
              <w:widowControl/>
              <w:spacing w:line="240" w:lineRule="auto"/>
              <w:rPr>
                <w:sz w:val="24"/>
                <w:szCs w:val="24"/>
                <w:vertAlign w:val="superscript"/>
              </w:rPr>
            </w:pPr>
            <w:r>
              <w:rPr>
                <w:sz w:val="24"/>
                <w:szCs w:val="24"/>
                <w:lang w:eastAsia="en-PH"/>
              </w:rPr>
              <w:t>48.33</w:t>
            </w:r>
            <w:r w:rsidRPr="00362FE8">
              <w:rPr>
                <w:sz w:val="24"/>
                <w:szCs w:val="24"/>
                <w:vertAlign w:val="superscript"/>
                <w:lang w:eastAsia="en-PH"/>
              </w:rPr>
              <w:t>c</w:t>
            </w:r>
          </w:p>
        </w:tc>
        <w:tc>
          <w:tcPr>
            <w:tcW w:w="1981" w:type="dxa"/>
          </w:tcPr>
          <w:p w14:paraId="4FF31FDC" w14:textId="77777777" w:rsidR="007767E2" w:rsidRDefault="007767E2" w:rsidP="00F13D08">
            <w:pPr>
              <w:widowControl/>
              <w:spacing w:line="240" w:lineRule="auto"/>
              <w:rPr>
                <w:sz w:val="24"/>
                <w:szCs w:val="24"/>
                <w:vertAlign w:val="superscript"/>
              </w:rPr>
            </w:pPr>
            <w:r>
              <w:rPr>
                <w:sz w:val="24"/>
                <w:szCs w:val="24"/>
                <w:lang w:eastAsia="en-PH"/>
              </w:rPr>
              <w:t>58</w:t>
            </w:r>
            <w:r w:rsidRPr="00362FE8">
              <w:rPr>
                <w:sz w:val="24"/>
                <w:szCs w:val="24"/>
                <w:lang w:eastAsia="en-PH"/>
              </w:rPr>
              <w:t>.00</w:t>
            </w:r>
            <w:r>
              <w:rPr>
                <w:sz w:val="24"/>
                <w:szCs w:val="24"/>
                <w:vertAlign w:val="superscript"/>
                <w:lang w:eastAsia="en-PH"/>
              </w:rPr>
              <w:t>a</w:t>
            </w:r>
          </w:p>
        </w:tc>
        <w:tc>
          <w:tcPr>
            <w:tcW w:w="1411" w:type="dxa"/>
          </w:tcPr>
          <w:p w14:paraId="3D1A1C2E" w14:textId="77777777" w:rsidR="007767E2" w:rsidRDefault="007767E2" w:rsidP="00F13D08">
            <w:pPr>
              <w:widowControl/>
              <w:spacing w:line="240" w:lineRule="auto"/>
              <w:rPr>
                <w:sz w:val="24"/>
                <w:szCs w:val="24"/>
              </w:rPr>
            </w:pPr>
            <w:r>
              <w:rPr>
                <w:sz w:val="24"/>
                <w:szCs w:val="24"/>
              </w:rPr>
              <w:t>53.17</w:t>
            </w:r>
            <w:r>
              <w:rPr>
                <w:sz w:val="24"/>
                <w:szCs w:val="24"/>
                <w:vertAlign w:val="superscript"/>
              </w:rPr>
              <w:t>a</w:t>
            </w:r>
          </w:p>
        </w:tc>
      </w:tr>
      <w:tr w:rsidR="007767E2" w14:paraId="1E0826C0" w14:textId="77777777" w:rsidTr="00F13D08">
        <w:trPr>
          <w:trHeight w:val="375"/>
        </w:trPr>
        <w:tc>
          <w:tcPr>
            <w:tcW w:w="2935" w:type="dxa"/>
          </w:tcPr>
          <w:p w14:paraId="025AC429" w14:textId="77777777" w:rsidR="007767E2" w:rsidRDefault="007767E2" w:rsidP="00F13D08">
            <w:pPr>
              <w:widowControl/>
              <w:spacing w:line="240" w:lineRule="auto"/>
              <w:rPr>
                <w:sz w:val="24"/>
                <w:szCs w:val="24"/>
              </w:rPr>
            </w:pPr>
            <w:r>
              <w:rPr>
                <w:sz w:val="24"/>
                <w:szCs w:val="24"/>
              </w:rPr>
              <w:t>F3 (ammonium phosphate)</w:t>
            </w:r>
          </w:p>
        </w:tc>
        <w:tc>
          <w:tcPr>
            <w:tcW w:w="2020" w:type="dxa"/>
          </w:tcPr>
          <w:p w14:paraId="6F23FF7B" w14:textId="77777777" w:rsidR="007767E2" w:rsidRDefault="007767E2" w:rsidP="00F13D08">
            <w:pPr>
              <w:widowControl/>
              <w:spacing w:line="240" w:lineRule="auto"/>
              <w:rPr>
                <w:sz w:val="24"/>
                <w:szCs w:val="24"/>
                <w:vertAlign w:val="superscript"/>
              </w:rPr>
            </w:pPr>
            <w:r>
              <w:rPr>
                <w:sz w:val="24"/>
                <w:szCs w:val="24"/>
                <w:lang w:eastAsia="en-PH"/>
              </w:rPr>
              <w:t>35.9</w:t>
            </w:r>
            <w:r w:rsidRPr="00362FE8">
              <w:rPr>
                <w:sz w:val="24"/>
                <w:szCs w:val="24"/>
                <w:lang w:eastAsia="en-PH"/>
              </w:rPr>
              <w:t>7e</w:t>
            </w:r>
          </w:p>
        </w:tc>
        <w:tc>
          <w:tcPr>
            <w:tcW w:w="1981" w:type="dxa"/>
          </w:tcPr>
          <w:p w14:paraId="530D006E" w14:textId="77777777" w:rsidR="007767E2" w:rsidRDefault="007767E2" w:rsidP="00F13D08">
            <w:pPr>
              <w:widowControl/>
              <w:spacing w:line="240" w:lineRule="auto"/>
              <w:rPr>
                <w:sz w:val="24"/>
                <w:szCs w:val="24"/>
                <w:vertAlign w:val="superscript"/>
              </w:rPr>
            </w:pPr>
            <w:r>
              <w:rPr>
                <w:sz w:val="24"/>
                <w:szCs w:val="24"/>
                <w:lang w:eastAsia="en-PH"/>
              </w:rPr>
              <w:t>39.40</w:t>
            </w:r>
            <w:r>
              <w:rPr>
                <w:sz w:val="24"/>
                <w:szCs w:val="24"/>
                <w:vertAlign w:val="superscript"/>
                <w:lang w:eastAsia="en-PH"/>
              </w:rPr>
              <w:t>d</w:t>
            </w:r>
          </w:p>
        </w:tc>
        <w:tc>
          <w:tcPr>
            <w:tcW w:w="1411" w:type="dxa"/>
          </w:tcPr>
          <w:p w14:paraId="34D65859" w14:textId="77777777" w:rsidR="007767E2" w:rsidRDefault="007767E2" w:rsidP="00F13D08">
            <w:pPr>
              <w:widowControl/>
              <w:spacing w:line="240" w:lineRule="auto"/>
              <w:rPr>
                <w:sz w:val="24"/>
                <w:szCs w:val="24"/>
              </w:rPr>
            </w:pPr>
            <w:r>
              <w:rPr>
                <w:sz w:val="24"/>
                <w:szCs w:val="24"/>
              </w:rPr>
              <w:t>37.68</w:t>
            </w:r>
            <w:r>
              <w:rPr>
                <w:sz w:val="24"/>
                <w:szCs w:val="24"/>
                <w:vertAlign w:val="superscript"/>
              </w:rPr>
              <w:t>d</w:t>
            </w:r>
          </w:p>
        </w:tc>
      </w:tr>
      <w:tr w:rsidR="007767E2" w14:paraId="42BA7E84" w14:textId="77777777" w:rsidTr="00F13D08">
        <w:trPr>
          <w:trHeight w:val="375"/>
        </w:trPr>
        <w:tc>
          <w:tcPr>
            <w:tcW w:w="2935" w:type="dxa"/>
          </w:tcPr>
          <w:p w14:paraId="39C3541D" w14:textId="77777777" w:rsidR="007767E2" w:rsidRDefault="007767E2" w:rsidP="00F13D08">
            <w:pPr>
              <w:widowControl/>
              <w:spacing w:line="240" w:lineRule="auto"/>
              <w:rPr>
                <w:sz w:val="24"/>
                <w:szCs w:val="24"/>
              </w:rPr>
            </w:pPr>
            <w:r>
              <w:rPr>
                <w:sz w:val="24"/>
                <w:szCs w:val="24"/>
              </w:rPr>
              <w:t>F4 (ammonium sulfate)</w:t>
            </w:r>
          </w:p>
        </w:tc>
        <w:tc>
          <w:tcPr>
            <w:tcW w:w="2020" w:type="dxa"/>
          </w:tcPr>
          <w:p w14:paraId="157EB780" w14:textId="77777777" w:rsidR="007767E2" w:rsidRDefault="007767E2" w:rsidP="00F13D08">
            <w:pPr>
              <w:widowControl/>
              <w:spacing w:line="240" w:lineRule="auto"/>
              <w:rPr>
                <w:sz w:val="24"/>
                <w:szCs w:val="24"/>
                <w:vertAlign w:val="superscript"/>
              </w:rPr>
            </w:pPr>
            <w:r>
              <w:rPr>
                <w:sz w:val="24"/>
                <w:szCs w:val="24"/>
                <w:lang w:eastAsia="en-PH"/>
              </w:rPr>
              <w:t>41.80</w:t>
            </w:r>
            <w:r w:rsidRPr="00362FE8">
              <w:rPr>
                <w:sz w:val="24"/>
                <w:szCs w:val="24"/>
                <w:vertAlign w:val="superscript"/>
                <w:lang w:eastAsia="en-PH"/>
              </w:rPr>
              <w:t>d</w:t>
            </w:r>
          </w:p>
        </w:tc>
        <w:tc>
          <w:tcPr>
            <w:tcW w:w="1981" w:type="dxa"/>
          </w:tcPr>
          <w:p w14:paraId="3952709C" w14:textId="77777777" w:rsidR="007767E2" w:rsidRDefault="007767E2" w:rsidP="00F13D08">
            <w:pPr>
              <w:widowControl/>
              <w:spacing w:line="240" w:lineRule="auto"/>
              <w:rPr>
                <w:sz w:val="24"/>
                <w:szCs w:val="24"/>
                <w:vertAlign w:val="superscript"/>
              </w:rPr>
            </w:pPr>
            <w:r>
              <w:rPr>
                <w:sz w:val="24"/>
                <w:szCs w:val="24"/>
                <w:lang w:eastAsia="en-PH"/>
              </w:rPr>
              <w:t>51.50</w:t>
            </w:r>
            <w:r>
              <w:rPr>
                <w:sz w:val="24"/>
                <w:szCs w:val="24"/>
                <w:vertAlign w:val="superscript"/>
                <w:lang w:eastAsia="en-PH"/>
              </w:rPr>
              <w:t>b</w:t>
            </w:r>
          </w:p>
        </w:tc>
        <w:tc>
          <w:tcPr>
            <w:tcW w:w="1411" w:type="dxa"/>
          </w:tcPr>
          <w:p w14:paraId="2AB6D29C" w14:textId="77777777" w:rsidR="007767E2" w:rsidRDefault="007767E2" w:rsidP="00F13D08">
            <w:pPr>
              <w:widowControl/>
              <w:tabs>
                <w:tab w:val="left" w:pos="1130"/>
              </w:tabs>
              <w:spacing w:line="240" w:lineRule="auto"/>
              <w:rPr>
                <w:sz w:val="24"/>
                <w:szCs w:val="24"/>
              </w:rPr>
            </w:pPr>
            <w:r>
              <w:rPr>
                <w:sz w:val="24"/>
                <w:szCs w:val="24"/>
              </w:rPr>
              <w:t>46.65</w:t>
            </w:r>
            <w:r>
              <w:rPr>
                <w:sz w:val="24"/>
                <w:szCs w:val="24"/>
                <w:vertAlign w:val="superscript"/>
              </w:rPr>
              <w:t>b</w:t>
            </w:r>
          </w:p>
        </w:tc>
      </w:tr>
      <w:tr w:rsidR="007767E2" w14:paraId="516DEDC4" w14:textId="77777777" w:rsidTr="00F13D08">
        <w:trPr>
          <w:trHeight w:val="384"/>
        </w:trPr>
        <w:tc>
          <w:tcPr>
            <w:tcW w:w="2935" w:type="dxa"/>
            <w:tcBorders>
              <w:bottom w:val="thinThickSmallGap" w:sz="24" w:space="0" w:color="auto"/>
            </w:tcBorders>
          </w:tcPr>
          <w:p w14:paraId="0794719D" w14:textId="77777777" w:rsidR="007767E2" w:rsidRDefault="007767E2" w:rsidP="00F13D08">
            <w:pPr>
              <w:widowControl/>
              <w:spacing w:line="240" w:lineRule="auto"/>
              <w:rPr>
                <w:sz w:val="24"/>
                <w:szCs w:val="24"/>
              </w:rPr>
            </w:pPr>
            <w:r>
              <w:rPr>
                <w:sz w:val="24"/>
                <w:szCs w:val="24"/>
              </w:rPr>
              <w:t>Mean</w:t>
            </w:r>
          </w:p>
        </w:tc>
        <w:tc>
          <w:tcPr>
            <w:tcW w:w="2020" w:type="dxa"/>
            <w:tcBorders>
              <w:bottom w:val="thinThickSmallGap" w:sz="24" w:space="0" w:color="auto"/>
            </w:tcBorders>
          </w:tcPr>
          <w:p w14:paraId="64D73779" w14:textId="77777777" w:rsidR="007767E2" w:rsidRDefault="007767E2" w:rsidP="00F13D08">
            <w:pPr>
              <w:widowControl/>
              <w:spacing w:line="240" w:lineRule="auto"/>
              <w:rPr>
                <w:sz w:val="24"/>
                <w:szCs w:val="24"/>
              </w:rPr>
            </w:pPr>
            <w:r>
              <w:rPr>
                <w:sz w:val="24"/>
                <w:szCs w:val="24"/>
              </w:rPr>
              <w:t>41.65</w:t>
            </w:r>
            <w:r>
              <w:rPr>
                <w:sz w:val="24"/>
                <w:szCs w:val="24"/>
                <w:vertAlign w:val="superscript"/>
              </w:rPr>
              <w:t>b</w:t>
            </w:r>
          </w:p>
        </w:tc>
        <w:tc>
          <w:tcPr>
            <w:tcW w:w="1981" w:type="dxa"/>
            <w:tcBorders>
              <w:bottom w:val="thinThickSmallGap" w:sz="24" w:space="0" w:color="auto"/>
            </w:tcBorders>
          </w:tcPr>
          <w:p w14:paraId="2F7819F0" w14:textId="77777777" w:rsidR="007767E2" w:rsidRDefault="007767E2" w:rsidP="00F13D08">
            <w:pPr>
              <w:widowControl/>
              <w:spacing w:line="240" w:lineRule="auto"/>
              <w:rPr>
                <w:sz w:val="24"/>
                <w:szCs w:val="24"/>
              </w:rPr>
            </w:pPr>
            <w:r>
              <w:rPr>
                <w:sz w:val="24"/>
                <w:szCs w:val="24"/>
              </w:rPr>
              <w:t>47.64</w:t>
            </w:r>
            <w:r>
              <w:rPr>
                <w:sz w:val="24"/>
                <w:szCs w:val="24"/>
                <w:vertAlign w:val="superscript"/>
              </w:rPr>
              <w:t>a</w:t>
            </w:r>
          </w:p>
        </w:tc>
        <w:tc>
          <w:tcPr>
            <w:tcW w:w="1411" w:type="dxa"/>
            <w:tcBorders>
              <w:bottom w:val="thinThickSmallGap" w:sz="24" w:space="0" w:color="auto"/>
            </w:tcBorders>
          </w:tcPr>
          <w:p w14:paraId="2D87E521" w14:textId="77777777" w:rsidR="007767E2" w:rsidRDefault="007767E2" w:rsidP="00F13D08">
            <w:pPr>
              <w:widowControl/>
              <w:spacing w:line="240" w:lineRule="auto"/>
              <w:rPr>
                <w:sz w:val="24"/>
                <w:szCs w:val="24"/>
              </w:rPr>
            </w:pPr>
          </w:p>
        </w:tc>
      </w:tr>
      <w:tr w:rsidR="007767E2" w14:paraId="5B616939" w14:textId="77777777" w:rsidTr="00F13D08">
        <w:trPr>
          <w:trHeight w:val="336"/>
        </w:trPr>
        <w:tc>
          <w:tcPr>
            <w:tcW w:w="2935" w:type="dxa"/>
            <w:tcBorders>
              <w:top w:val="thinThickSmallGap" w:sz="24" w:space="0" w:color="auto"/>
              <w:bottom w:val="thickThinSmallGap" w:sz="24" w:space="0" w:color="auto"/>
            </w:tcBorders>
          </w:tcPr>
          <w:p w14:paraId="01475CB0" w14:textId="77777777" w:rsidR="007767E2" w:rsidRPr="00362FE8" w:rsidRDefault="007767E2" w:rsidP="00F13D08">
            <w:pPr>
              <w:spacing w:after="0"/>
            </w:pPr>
            <w:r w:rsidRPr="00362FE8">
              <w:t>C.V.</w:t>
            </w:r>
            <w:r>
              <w:t xml:space="preserve"> (A)</w:t>
            </w:r>
            <w:r w:rsidRPr="00362FE8">
              <w:t xml:space="preserve"> = </w:t>
            </w:r>
            <w:r>
              <w:t>0.80</w:t>
            </w:r>
            <w:r w:rsidRPr="00362FE8">
              <w:t>%</w:t>
            </w:r>
            <w:r>
              <w:t xml:space="preserve"> (B) = 2.41%</w:t>
            </w:r>
          </w:p>
        </w:tc>
        <w:tc>
          <w:tcPr>
            <w:tcW w:w="2020" w:type="dxa"/>
            <w:tcBorders>
              <w:top w:val="thinThickSmallGap" w:sz="24" w:space="0" w:color="auto"/>
              <w:bottom w:val="thickThinSmallGap" w:sz="24" w:space="0" w:color="auto"/>
            </w:tcBorders>
          </w:tcPr>
          <w:p w14:paraId="29BB6F4E" w14:textId="77777777" w:rsidR="007767E2" w:rsidRDefault="007767E2" w:rsidP="00F13D08">
            <w:pPr>
              <w:spacing w:line="240" w:lineRule="auto"/>
              <w:rPr>
                <w:sz w:val="24"/>
                <w:szCs w:val="24"/>
              </w:rPr>
            </w:pPr>
          </w:p>
        </w:tc>
        <w:tc>
          <w:tcPr>
            <w:tcW w:w="1981" w:type="dxa"/>
            <w:tcBorders>
              <w:top w:val="thinThickSmallGap" w:sz="24" w:space="0" w:color="auto"/>
              <w:bottom w:val="thickThinSmallGap" w:sz="24" w:space="0" w:color="auto"/>
            </w:tcBorders>
          </w:tcPr>
          <w:p w14:paraId="16A9D2FD" w14:textId="77777777" w:rsidR="007767E2" w:rsidRDefault="007767E2" w:rsidP="00F13D08">
            <w:pPr>
              <w:spacing w:line="240" w:lineRule="auto"/>
              <w:rPr>
                <w:sz w:val="24"/>
                <w:szCs w:val="24"/>
              </w:rPr>
            </w:pPr>
          </w:p>
        </w:tc>
        <w:tc>
          <w:tcPr>
            <w:tcW w:w="1411" w:type="dxa"/>
            <w:tcBorders>
              <w:top w:val="thinThickSmallGap" w:sz="24" w:space="0" w:color="auto"/>
              <w:bottom w:val="thickThinSmallGap" w:sz="24" w:space="0" w:color="auto"/>
            </w:tcBorders>
          </w:tcPr>
          <w:p w14:paraId="0C0FF61D" w14:textId="77777777" w:rsidR="007767E2" w:rsidRDefault="007767E2" w:rsidP="00F13D08">
            <w:pPr>
              <w:spacing w:line="240" w:lineRule="auto"/>
              <w:rPr>
                <w:sz w:val="24"/>
                <w:szCs w:val="24"/>
              </w:rPr>
            </w:pPr>
          </w:p>
        </w:tc>
      </w:tr>
    </w:tbl>
    <w:p w14:paraId="430E981F" w14:textId="77777777" w:rsidR="007767E2" w:rsidRPr="00362FE8" w:rsidRDefault="007767E2" w:rsidP="007767E2">
      <w:pPr>
        <w:spacing w:after="0"/>
        <w:jc w:val="both"/>
        <w:rPr>
          <w:rFonts w:ascii="Times New Roman" w:hAnsi="Times New Roman" w:cs="Times New Roman"/>
        </w:rPr>
      </w:pPr>
    </w:p>
    <w:p w14:paraId="21EEA858" w14:textId="71E080F1"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2 indicates that both the type of nitrogen fertilizer and the corn variety had a significant impact on plant height 60 days after planting.</w:t>
      </w:r>
      <w:r w:rsidRPr="00362FE8">
        <w:rPr>
          <w:sz w:val="24"/>
          <w:szCs w:val="24"/>
        </w:rPr>
        <w:t xml:space="preserve"> </w:t>
      </w:r>
      <w:r>
        <w:rPr>
          <w:sz w:val="24"/>
          <w:szCs w:val="24"/>
        </w:rPr>
        <w:t xml:space="preserve">Comparing only the corn variety, </w:t>
      </w:r>
      <w:r>
        <w:rPr>
          <w:rFonts w:ascii="Times New Roman" w:eastAsia="Times New Roman" w:hAnsi="Times New Roman" w:cs="Times New Roman"/>
          <w:sz w:val="24"/>
          <w:szCs w:val="24"/>
          <w:lang w:eastAsia="en-PH"/>
        </w:rPr>
        <w:t xml:space="preserve">sweetcorn consistently showed better growth with 90.22cm plant height than native corn with 84.87 cm indicating its superior response to nutrient inputs. </w:t>
      </w:r>
      <w:r w:rsidRPr="00362FE8">
        <w:rPr>
          <w:rFonts w:ascii="Times New Roman" w:hAnsi="Times New Roman" w:cs="Times New Roman"/>
          <w:sz w:val="24"/>
          <w:szCs w:val="24"/>
        </w:rPr>
        <w:t>These findings align with</w:t>
      </w:r>
      <w:r>
        <w:rPr>
          <w:rFonts w:ascii="Times New Roman" w:hAnsi="Times New Roman" w:cs="Times New Roman"/>
          <w:sz w:val="24"/>
          <w:szCs w:val="24"/>
        </w:rPr>
        <w:t xml:space="preserve"> the study of </w:t>
      </w:r>
      <w:r>
        <w:rPr>
          <w:rStyle w:val="Strong"/>
          <w:rFonts w:ascii="Times New Roman" w:hAnsi="Times New Roman"/>
          <w:b w:val="0"/>
          <w:bCs w:val="0"/>
          <w:sz w:val="24"/>
          <w:szCs w:val="24"/>
        </w:rPr>
        <w:t xml:space="preserve">Meena </w:t>
      </w:r>
      <w:r w:rsidRPr="00362FE8">
        <w:rPr>
          <w:rStyle w:val="Strong"/>
          <w:rFonts w:ascii="Times New Roman" w:hAnsi="Times New Roman"/>
          <w:b w:val="0"/>
          <w:bCs w:val="0"/>
          <w:sz w:val="24"/>
          <w:szCs w:val="24"/>
        </w:rPr>
        <w:t>et al. (20</w:t>
      </w:r>
      <w:r>
        <w:rPr>
          <w:rStyle w:val="Strong"/>
          <w:rFonts w:ascii="Times New Roman" w:hAnsi="Times New Roman"/>
          <w:b w:val="0"/>
          <w:bCs w:val="0"/>
          <w:sz w:val="24"/>
          <w:szCs w:val="24"/>
        </w:rPr>
        <w:t>12</w:t>
      </w:r>
      <w:r w:rsidRPr="00362FE8">
        <w:rPr>
          <w:rStyle w:val="Strong"/>
          <w:rFonts w:ascii="Times New Roman" w:hAnsi="Times New Roman"/>
          <w:b w:val="0"/>
          <w:bCs w:val="0"/>
          <w:sz w:val="24"/>
          <w:szCs w:val="24"/>
        </w:rPr>
        <w:t>)</w:t>
      </w:r>
      <w:r w:rsidRPr="00362FE8">
        <w:rPr>
          <w:rStyle w:val="Strong"/>
          <w:sz w:val="24"/>
          <w:szCs w:val="24"/>
        </w:rPr>
        <w:t xml:space="preserve"> </w:t>
      </w:r>
      <w:r>
        <w:rPr>
          <w:rFonts w:ascii="Times New Roman" w:hAnsi="Times New Roman" w:cs="Times New Roman"/>
          <w:sz w:val="24"/>
          <w:szCs w:val="24"/>
        </w:rPr>
        <w:t xml:space="preserve">which states that </w:t>
      </w:r>
      <w:r w:rsidRPr="00BA5F62">
        <w:rPr>
          <w:rFonts w:ascii="Times New Roman" w:hAnsi="Times New Roman" w:cs="Times New Roman"/>
          <w:sz w:val="24"/>
          <w:szCs w:val="24"/>
          <w:highlight w:val="yellow"/>
        </w:rPr>
        <w:t xml:space="preserve">sweetcorn </w:t>
      </w:r>
      <w:r w:rsidR="00BA5F62" w:rsidRPr="00BA5F62">
        <w:rPr>
          <w:rFonts w:ascii="Times New Roman" w:hAnsi="Times New Roman" w:cs="Times New Roman"/>
          <w:sz w:val="24"/>
          <w:szCs w:val="24"/>
          <w:highlight w:val="yellow"/>
        </w:rPr>
        <w:t xml:space="preserve">has </w:t>
      </w:r>
      <w:r w:rsidRPr="00BA5F62">
        <w:rPr>
          <w:rFonts w:ascii="Times New Roman" w:hAnsi="Times New Roman" w:cs="Times New Roman"/>
          <w:sz w:val="24"/>
          <w:szCs w:val="24"/>
          <w:highlight w:val="yellow"/>
        </w:rPr>
        <w:t>a more</w:t>
      </w:r>
      <w:r w:rsidRPr="00362FE8">
        <w:rPr>
          <w:rFonts w:ascii="Times New Roman" w:hAnsi="Times New Roman" w:cs="Times New Roman"/>
          <w:sz w:val="24"/>
          <w:szCs w:val="24"/>
        </w:rPr>
        <w:t xml:space="preserve"> robust physiological response to nitrogen, translating into better growth and development compared to native or open-pollinated varieties</w:t>
      </w:r>
      <w:r>
        <w:rPr>
          <w:rFonts w:ascii="Times New Roman" w:hAnsi="Times New Roman" w:cs="Times New Roman"/>
          <w:sz w:val="24"/>
          <w:szCs w:val="24"/>
        </w:rPr>
        <w:t>.</w:t>
      </w:r>
    </w:p>
    <w:p w14:paraId="5BBCEB98" w14:textId="2B89A944"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 </w:t>
      </w:r>
      <w:r>
        <w:rPr>
          <w:rFonts w:ascii="Times New Roman" w:hAnsi="Times New Roman" w:cs="Times New Roman"/>
          <w:sz w:val="24"/>
          <w:szCs w:val="24"/>
        </w:rPr>
        <w:t xml:space="preserve">Considering the effectiveness of different nitrogen sources, urea </w:t>
      </w:r>
      <w:r>
        <w:rPr>
          <w:rFonts w:ascii="Times New Roman" w:eastAsia="Times New Roman" w:hAnsi="Times New Roman" w:cs="Times New Roman"/>
          <w:sz w:val="24"/>
          <w:szCs w:val="24"/>
          <w:lang w:eastAsia="en-PH"/>
        </w:rPr>
        <w:t xml:space="preserve">consistently produced the tallest plants resulting in the highest overall mean (98.35 cm) followed by ammonium sulfate (93.40cm) and diammonium phosphate (88.32cm). In contrast, ammonium phosphate </w:t>
      </w:r>
      <w:r w:rsidRPr="00BA5F62">
        <w:rPr>
          <w:rFonts w:ascii="Times New Roman" w:eastAsia="Times New Roman" w:hAnsi="Times New Roman" w:cs="Times New Roman"/>
          <w:sz w:val="24"/>
          <w:szCs w:val="24"/>
          <w:highlight w:val="yellow"/>
          <w:lang w:eastAsia="en-PH"/>
        </w:rPr>
        <w:t>resulted</w:t>
      </w:r>
      <w:r w:rsidR="00BA5F62" w:rsidRPr="00BA5F62">
        <w:rPr>
          <w:rFonts w:ascii="Times New Roman" w:eastAsia="Times New Roman" w:hAnsi="Times New Roman" w:cs="Times New Roman"/>
          <w:sz w:val="24"/>
          <w:szCs w:val="24"/>
          <w:highlight w:val="yellow"/>
          <w:lang w:eastAsia="en-PH"/>
        </w:rPr>
        <w:t xml:space="preserve"> in</w:t>
      </w:r>
      <w:r w:rsidRPr="00BA5F62">
        <w:rPr>
          <w:rFonts w:ascii="Times New Roman" w:eastAsia="Times New Roman" w:hAnsi="Times New Roman" w:cs="Times New Roman"/>
          <w:sz w:val="24"/>
          <w:szCs w:val="24"/>
          <w:highlight w:val="yellow"/>
          <w:lang w:eastAsia="en-PH"/>
        </w:rPr>
        <w:t xml:space="preserve"> th</w:t>
      </w:r>
      <w:r>
        <w:rPr>
          <w:rFonts w:ascii="Times New Roman" w:eastAsia="Times New Roman" w:hAnsi="Times New Roman" w:cs="Times New Roman"/>
          <w:sz w:val="24"/>
          <w:szCs w:val="24"/>
          <w:lang w:eastAsia="en-PH"/>
        </w:rPr>
        <w:t xml:space="preserve">e lowest mean height of 73.10cm. </w:t>
      </w:r>
      <w:r>
        <w:rPr>
          <w:rFonts w:ascii="Times New Roman" w:hAnsi="Times New Roman" w:cs="Times New Roman"/>
          <w:sz w:val="24"/>
          <w:szCs w:val="24"/>
        </w:rPr>
        <w:t>Studies have highlighted that urea application improves corn growth due to its efficient nitrogen supply. Additionally, experiments under varied environmental conditions demonstrated that urea application consistently results in taller plants. (Akintoye &amp; Olaniyan, 2012).</w:t>
      </w:r>
    </w:p>
    <w:p w14:paraId="79A705D3" w14:textId="512CD2F4"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combined interaction effect between fertilizer type and crop variety highlights significant differences in growth performance. Among the fertilizers, urea was the most effective, producing the tallest plants in both sweetcorn (101.20 cm) and native corn (95.50 cm). This suggests that the nitrogen readily available in urea is highly beneficial for plant growth, with sweetcorn utilizing it more efficiently than native corn. </w:t>
      </w:r>
      <w:r w:rsidRPr="00BA5F62">
        <w:rPr>
          <w:rFonts w:ascii="Times New Roman" w:hAnsi="Times New Roman" w:cs="Times New Roman"/>
          <w:sz w:val="24"/>
          <w:szCs w:val="24"/>
          <w:highlight w:val="yellow"/>
        </w:rPr>
        <w:t xml:space="preserve">Research </w:t>
      </w:r>
      <w:r w:rsidR="00BA5F62" w:rsidRPr="00BA5F62">
        <w:rPr>
          <w:rFonts w:ascii="Times New Roman" w:hAnsi="Times New Roman" w:cs="Times New Roman"/>
          <w:sz w:val="24"/>
          <w:szCs w:val="24"/>
          <w:highlight w:val="yellow"/>
        </w:rPr>
        <w:t xml:space="preserve">by </w:t>
      </w:r>
      <w:proofErr w:type="spellStart"/>
      <w:r>
        <w:rPr>
          <w:rFonts w:ascii="Times New Roman" w:hAnsi="Times New Roman" w:cs="Times New Roman"/>
          <w:sz w:val="24"/>
          <w:szCs w:val="24"/>
        </w:rPr>
        <w:t>Efthimiadou</w:t>
      </w:r>
      <w:proofErr w:type="spellEnd"/>
      <w:r>
        <w:rPr>
          <w:rFonts w:ascii="Times New Roman" w:hAnsi="Times New Roman" w:cs="Times New Roman"/>
          <w:sz w:val="24"/>
          <w:szCs w:val="24"/>
        </w:rPr>
        <w:t xml:space="preserve"> et al. (2009) confirms that nitrogen management is critical for sweetcorn, with optimal applications significantly improving plant height. </w:t>
      </w:r>
      <w:r>
        <w:rPr>
          <w:rFonts w:ascii="Times New Roman" w:eastAsia="Times New Roman" w:hAnsi="Times New Roman" w:cs="Times New Roman"/>
          <w:sz w:val="24"/>
          <w:szCs w:val="24"/>
          <w:lang w:eastAsia="en-PH"/>
        </w:rPr>
        <w:t xml:space="preserve">In contrast, phosphorus-based fertilizers, such as diammonium phosphate and ammonium phosphate, were less effective and </w:t>
      </w:r>
      <w:r w:rsidR="00BA5F62">
        <w:rPr>
          <w:rFonts w:ascii="Times New Roman" w:eastAsia="Times New Roman" w:hAnsi="Times New Roman" w:cs="Times New Roman"/>
          <w:sz w:val="24"/>
          <w:szCs w:val="24"/>
          <w:lang w:eastAsia="en-PH"/>
        </w:rPr>
        <w:t xml:space="preserve">had </w:t>
      </w:r>
      <w:r>
        <w:rPr>
          <w:rFonts w:ascii="Times New Roman" w:eastAsia="Times New Roman" w:hAnsi="Times New Roman" w:cs="Times New Roman"/>
          <w:sz w:val="24"/>
          <w:szCs w:val="24"/>
          <w:lang w:eastAsia="en-PH"/>
        </w:rPr>
        <w:t xml:space="preserve">no significant effect in promoting plant height. Diammonium </w:t>
      </w:r>
      <w:r w:rsidRPr="00BA5F62">
        <w:rPr>
          <w:rFonts w:ascii="Times New Roman" w:eastAsia="Times New Roman" w:hAnsi="Times New Roman" w:cs="Times New Roman"/>
          <w:sz w:val="24"/>
          <w:szCs w:val="24"/>
          <w:highlight w:val="yellow"/>
          <w:lang w:eastAsia="en-PH"/>
        </w:rPr>
        <w:t xml:space="preserve">phosphate resulted in moderate growth, with sweetcorn (89.47 cm) and native corn (87.17 cm) but </w:t>
      </w:r>
      <w:r w:rsidR="00BA5F62" w:rsidRPr="00BA5F62">
        <w:rPr>
          <w:rFonts w:ascii="Times New Roman" w:eastAsia="Times New Roman" w:hAnsi="Times New Roman" w:cs="Times New Roman"/>
          <w:sz w:val="24"/>
          <w:szCs w:val="24"/>
          <w:highlight w:val="yellow"/>
          <w:lang w:eastAsia="en-PH"/>
        </w:rPr>
        <w:t xml:space="preserve">had </w:t>
      </w:r>
      <w:r w:rsidRPr="00BA5F62">
        <w:rPr>
          <w:rFonts w:ascii="Times New Roman" w:eastAsia="Times New Roman" w:hAnsi="Times New Roman" w:cs="Times New Roman"/>
          <w:sz w:val="24"/>
          <w:szCs w:val="24"/>
          <w:highlight w:val="yellow"/>
          <w:lang w:eastAsia="en-PH"/>
        </w:rPr>
        <w:t xml:space="preserve">significant </w:t>
      </w:r>
      <w:r>
        <w:rPr>
          <w:rFonts w:ascii="Times New Roman" w:eastAsia="Times New Roman" w:hAnsi="Times New Roman" w:cs="Times New Roman"/>
          <w:sz w:val="24"/>
          <w:szCs w:val="24"/>
          <w:lang w:eastAsia="en-PH"/>
        </w:rPr>
        <w:t xml:space="preserve">interaction with ammonium phosphate, which produced the shortest plants—75.10 cm for sweetcorn and </w:t>
      </w:r>
      <w:r>
        <w:rPr>
          <w:rFonts w:ascii="Times New Roman" w:eastAsia="Times New Roman" w:hAnsi="Times New Roman" w:cs="Times New Roman"/>
          <w:sz w:val="24"/>
          <w:szCs w:val="24"/>
          <w:lang w:eastAsia="en-PH"/>
        </w:rPr>
        <w:lastRenderedPageBreak/>
        <w:t xml:space="preserve">71.10 cm for native corn. This indicates that while phosphorus is important, it is not as effective as nitrogen in driving growth for these crops. </w:t>
      </w:r>
      <w:r w:rsidRPr="00362FE8">
        <w:rPr>
          <w:rFonts w:ascii="Times New Roman" w:hAnsi="Times New Roman" w:cs="Times New Roman"/>
          <w:sz w:val="24"/>
          <w:szCs w:val="24"/>
        </w:rPr>
        <w:t xml:space="preserve">Raza et al., 2020 </w:t>
      </w:r>
      <w:r w:rsidRPr="00BA5F62">
        <w:rPr>
          <w:rFonts w:ascii="Times New Roman" w:hAnsi="Times New Roman" w:cs="Times New Roman"/>
          <w:sz w:val="24"/>
          <w:szCs w:val="24"/>
          <w:highlight w:val="yellow"/>
        </w:rPr>
        <w:t xml:space="preserve">stated </w:t>
      </w:r>
      <w:r w:rsidR="00BA5F62" w:rsidRPr="00BA5F62">
        <w:rPr>
          <w:rFonts w:ascii="Times New Roman" w:hAnsi="Times New Roman" w:cs="Times New Roman"/>
          <w:sz w:val="24"/>
          <w:szCs w:val="24"/>
          <w:highlight w:val="yellow"/>
        </w:rPr>
        <w:t xml:space="preserve">in </w:t>
      </w:r>
      <w:r w:rsidRPr="00362FE8">
        <w:rPr>
          <w:rFonts w:ascii="Times New Roman" w:hAnsi="Times New Roman" w:cs="Times New Roman"/>
          <w:sz w:val="24"/>
          <w:szCs w:val="24"/>
        </w:rPr>
        <w:t>their study that the shorter plant heights associated with ammonium phosphate suggest that it may not release nitrogen as readily as urea or ammonium sulfate, and since phosphorus is generally more beneficial for root and reproductive stages rather than sustained shoot growth, its impact on height may be more limited at this 60-day stage.</w:t>
      </w:r>
    </w:p>
    <w:p w14:paraId="1797672A"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2: Plant Height of Different Corn Varieties at 60 Days after Planting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2108"/>
        <w:gridCol w:w="1701"/>
        <w:gridCol w:w="1555"/>
      </w:tblGrid>
      <w:tr w:rsidR="007767E2" w14:paraId="444276F7" w14:textId="77777777" w:rsidTr="00F13D08">
        <w:trPr>
          <w:trHeight w:val="384"/>
        </w:trPr>
        <w:tc>
          <w:tcPr>
            <w:tcW w:w="2995" w:type="dxa"/>
            <w:tcBorders>
              <w:top w:val="thinThickSmallGap" w:sz="24" w:space="0" w:color="auto"/>
              <w:bottom w:val="single" w:sz="4" w:space="0" w:color="auto"/>
            </w:tcBorders>
          </w:tcPr>
          <w:p w14:paraId="265D854F" w14:textId="77777777" w:rsidR="007767E2" w:rsidRDefault="007767E2" w:rsidP="00F13D08">
            <w:pPr>
              <w:widowControl/>
              <w:spacing w:line="240" w:lineRule="auto"/>
              <w:rPr>
                <w:sz w:val="24"/>
                <w:szCs w:val="24"/>
              </w:rPr>
            </w:pPr>
          </w:p>
        </w:tc>
        <w:tc>
          <w:tcPr>
            <w:tcW w:w="3809" w:type="dxa"/>
            <w:gridSpan w:val="2"/>
            <w:tcBorders>
              <w:top w:val="thinThickSmallGap" w:sz="24" w:space="0" w:color="auto"/>
              <w:bottom w:val="single" w:sz="4" w:space="0" w:color="auto"/>
            </w:tcBorders>
          </w:tcPr>
          <w:p w14:paraId="6CCFF360" w14:textId="77777777" w:rsidR="007767E2" w:rsidRDefault="007767E2" w:rsidP="00F13D08">
            <w:pPr>
              <w:widowControl/>
              <w:spacing w:line="240" w:lineRule="auto"/>
              <w:rPr>
                <w:sz w:val="24"/>
                <w:szCs w:val="24"/>
              </w:rPr>
            </w:pPr>
            <w:r>
              <w:rPr>
                <w:sz w:val="24"/>
                <w:szCs w:val="24"/>
              </w:rPr>
              <w:t>Corn Varieties</w:t>
            </w:r>
          </w:p>
        </w:tc>
        <w:tc>
          <w:tcPr>
            <w:tcW w:w="1555" w:type="dxa"/>
            <w:tcBorders>
              <w:top w:val="thinThickSmallGap" w:sz="24" w:space="0" w:color="auto"/>
              <w:bottom w:val="single" w:sz="4" w:space="0" w:color="auto"/>
            </w:tcBorders>
          </w:tcPr>
          <w:p w14:paraId="00B89540" w14:textId="77777777" w:rsidR="007767E2" w:rsidRDefault="007767E2" w:rsidP="00F13D08">
            <w:pPr>
              <w:widowControl/>
              <w:spacing w:line="240" w:lineRule="auto"/>
              <w:rPr>
                <w:sz w:val="24"/>
                <w:szCs w:val="24"/>
              </w:rPr>
            </w:pPr>
          </w:p>
        </w:tc>
      </w:tr>
      <w:tr w:rsidR="007767E2" w14:paraId="5D61311C" w14:textId="77777777" w:rsidTr="00F13D08">
        <w:trPr>
          <w:trHeight w:val="384"/>
        </w:trPr>
        <w:tc>
          <w:tcPr>
            <w:tcW w:w="2995" w:type="dxa"/>
            <w:tcBorders>
              <w:top w:val="single" w:sz="4" w:space="0" w:color="auto"/>
            </w:tcBorders>
          </w:tcPr>
          <w:p w14:paraId="44DABCD8" w14:textId="77777777" w:rsidR="007767E2" w:rsidRDefault="007767E2" w:rsidP="00F13D08">
            <w:pPr>
              <w:widowControl/>
              <w:spacing w:line="240" w:lineRule="auto"/>
              <w:rPr>
                <w:sz w:val="24"/>
                <w:szCs w:val="24"/>
              </w:rPr>
            </w:pPr>
            <w:r>
              <w:rPr>
                <w:sz w:val="24"/>
                <w:szCs w:val="24"/>
              </w:rPr>
              <w:t>Fertilizer</w:t>
            </w:r>
          </w:p>
        </w:tc>
        <w:tc>
          <w:tcPr>
            <w:tcW w:w="2108" w:type="dxa"/>
            <w:tcBorders>
              <w:top w:val="single" w:sz="4" w:space="0" w:color="auto"/>
            </w:tcBorders>
          </w:tcPr>
          <w:p w14:paraId="168B8AFB" w14:textId="77777777" w:rsidR="007767E2" w:rsidRDefault="007767E2" w:rsidP="00F13D08">
            <w:pPr>
              <w:widowControl/>
              <w:spacing w:line="240" w:lineRule="auto"/>
              <w:rPr>
                <w:sz w:val="24"/>
                <w:szCs w:val="24"/>
              </w:rPr>
            </w:pPr>
            <w:r>
              <w:rPr>
                <w:sz w:val="24"/>
                <w:szCs w:val="24"/>
              </w:rPr>
              <w:t xml:space="preserve">V1      </w:t>
            </w:r>
          </w:p>
          <w:p w14:paraId="025F70DD" w14:textId="77777777" w:rsidR="007767E2" w:rsidRDefault="007767E2" w:rsidP="00F13D08">
            <w:pPr>
              <w:widowControl/>
              <w:spacing w:line="240" w:lineRule="auto"/>
              <w:rPr>
                <w:sz w:val="24"/>
                <w:szCs w:val="24"/>
              </w:rPr>
            </w:pPr>
            <w:r>
              <w:rPr>
                <w:sz w:val="24"/>
                <w:szCs w:val="24"/>
              </w:rPr>
              <w:t>(Native corn)</w:t>
            </w:r>
          </w:p>
        </w:tc>
        <w:tc>
          <w:tcPr>
            <w:tcW w:w="1701" w:type="dxa"/>
            <w:tcBorders>
              <w:top w:val="single" w:sz="4" w:space="0" w:color="auto"/>
            </w:tcBorders>
          </w:tcPr>
          <w:p w14:paraId="2279922C" w14:textId="77777777" w:rsidR="007767E2" w:rsidRDefault="007767E2" w:rsidP="00F13D08">
            <w:pPr>
              <w:widowControl/>
              <w:spacing w:line="240" w:lineRule="auto"/>
              <w:rPr>
                <w:sz w:val="24"/>
                <w:szCs w:val="24"/>
              </w:rPr>
            </w:pPr>
            <w:r>
              <w:rPr>
                <w:sz w:val="24"/>
                <w:szCs w:val="24"/>
              </w:rPr>
              <w:t xml:space="preserve">V2 </w:t>
            </w:r>
          </w:p>
          <w:p w14:paraId="2CE96B31" w14:textId="77777777" w:rsidR="007767E2" w:rsidRDefault="007767E2" w:rsidP="00F13D08">
            <w:pPr>
              <w:widowControl/>
              <w:spacing w:line="240" w:lineRule="auto"/>
              <w:rPr>
                <w:sz w:val="24"/>
                <w:szCs w:val="24"/>
              </w:rPr>
            </w:pPr>
            <w:r>
              <w:rPr>
                <w:sz w:val="24"/>
                <w:szCs w:val="24"/>
              </w:rPr>
              <w:t>(Sweetcorn)</w:t>
            </w:r>
          </w:p>
        </w:tc>
        <w:tc>
          <w:tcPr>
            <w:tcW w:w="1555" w:type="dxa"/>
            <w:tcBorders>
              <w:top w:val="single" w:sz="4" w:space="0" w:color="auto"/>
            </w:tcBorders>
          </w:tcPr>
          <w:p w14:paraId="11C2130A" w14:textId="77777777" w:rsidR="007767E2" w:rsidRDefault="007767E2" w:rsidP="00F13D08">
            <w:pPr>
              <w:widowControl/>
              <w:spacing w:line="240" w:lineRule="auto"/>
              <w:rPr>
                <w:sz w:val="24"/>
                <w:szCs w:val="24"/>
              </w:rPr>
            </w:pPr>
            <w:r>
              <w:rPr>
                <w:sz w:val="24"/>
                <w:szCs w:val="24"/>
              </w:rPr>
              <w:t>Mean</w:t>
            </w:r>
          </w:p>
        </w:tc>
      </w:tr>
      <w:tr w:rsidR="007767E2" w14:paraId="4D17ED34" w14:textId="77777777" w:rsidTr="00F13D08">
        <w:trPr>
          <w:trHeight w:val="384"/>
        </w:trPr>
        <w:tc>
          <w:tcPr>
            <w:tcW w:w="2995" w:type="dxa"/>
          </w:tcPr>
          <w:p w14:paraId="74A5EE23" w14:textId="77777777" w:rsidR="007767E2" w:rsidRDefault="007767E2" w:rsidP="00F13D08">
            <w:pPr>
              <w:widowControl/>
              <w:spacing w:line="240" w:lineRule="auto"/>
              <w:rPr>
                <w:sz w:val="24"/>
                <w:szCs w:val="24"/>
              </w:rPr>
            </w:pPr>
            <w:r>
              <w:rPr>
                <w:sz w:val="24"/>
                <w:szCs w:val="24"/>
              </w:rPr>
              <w:t>F1 (diammonium phosphate)</w:t>
            </w:r>
          </w:p>
        </w:tc>
        <w:tc>
          <w:tcPr>
            <w:tcW w:w="2108" w:type="dxa"/>
          </w:tcPr>
          <w:p w14:paraId="1CADB54B" w14:textId="77777777" w:rsidR="007767E2" w:rsidRPr="00362FE8" w:rsidRDefault="007767E2" w:rsidP="00F13D08">
            <w:pPr>
              <w:widowControl/>
              <w:spacing w:line="240" w:lineRule="auto"/>
              <w:rPr>
                <w:sz w:val="24"/>
                <w:szCs w:val="24"/>
                <w:vertAlign w:val="superscript"/>
              </w:rPr>
            </w:pPr>
            <w:r>
              <w:rPr>
                <w:sz w:val="24"/>
                <w:szCs w:val="24"/>
                <w:lang w:eastAsia="en-PH"/>
              </w:rPr>
              <w:t>87.1</w:t>
            </w:r>
            <w:r w:rsidRPr="00362FE8">
              <w:rPr>
                <w:sz w:val="24"/>
                <w:szCs w:val="24"/>
                <w:lang w:eastAsia="en-PH"/>
              </w:rPr>
              <w:t>7</w:t>
            </w:r>
            <w:r>
              <w:rPr>
                <w:sz w:val="24"/>
                <w:szCs w:val="24"/>
                <w:vertAlign w:val="superscript"/>
                <w:lang w:eastAsia="en-PH"/>
              </w:rPr>
              <w:t>c</w:t>
            </w:r>
          </w:p>
        </w:tc>
        <w:tc>
          <w:tcPr>
            <w:tcW w:w="1701" w:type="dxa"/>
          </w:tcPr>
          <w:p w14:paraId="4F10CC65" w14:textId="77777777" w:rsidR="007767E2" w:rsidRPr="00362FE8" w:rsidRDefault="007767E2" w:rsidP="00F13D08">
            <w:pPr>
              <w:widowControl/>
              <w:spacing w:line="240" w:lineRule="auto"/>
              <w:rPr>
                <w:sz w:val="24"/>
                <w:szCs w:val="24"/>
                <w:vertAlign w:val="superscript"/>
              </w:rPr>
            </w:pPr>
            <w:r>
              <w:rPr>
                <w:sz w:val="24"/>
                <w:szCs w:val="24"/>
                <w:lang w:eastAsia="en-PH"/>
              </w:rPr>
              <w:t>89.4</w:t>
            </w:r>
            <w:r w:rsidRPr="00362FE8">
              <w:rPr>
                <w:sz w:val="24"/>
                <w:szCs w:val="24"/>
                <w:lang w:eastAsia="en-PH"/>
              </w:rPr>
              <w:t>7</w:t>
            </w:r>
            <w:r>
              <w:rPr>
                <w:sz w:val="24"/>
                <w:szCs w:val="24"/>
                <w:vertAlign w:val="superscript"/>
                <w:lang w:eastAsia="en-PH"/>
              </w:rPr>
              <w:t>bc</w:t>
            </w:r>
          </w:p>
        </w:tc>
        <w:tc>
          <w:tcPr>
            <w:tcW w:w="1555" w:type="dxa"/>
          </w:tcPr>
          <w:p w14:paraId="527E29D7" w14:textId="77777777" w:rsidR="007767E2" w:rsidRDefault="007767E2" w:rsidP="00F13D08">
            <w:pPr>
              <w:widowControl/>
              <w:spacing w:line="240" w:lineRule="auto"/>
              <w:rPr>
                <w:sz w:val="24"/>
                <w:szCs w:val="24"/>
              </w:rPr>
            </w:pPr>
            <w:r>
              <w:rPr>
                <w:sz w:val="24"/>
                <w:szCs w:val="24"/>
              </w:rPr>
              <w:t>88.32</w:t>
            </w:r>
            <w:r>
              <w:rPr>
                <w:sz w:val="24"/>
                <w:szCs w:val="24"/>
                <w:vertAlign w:val="superscript"/>
              </w:rPr>
              <w:t>c</w:t>
            </w:r>
          </w:p>
        </w:tc>
      </w:tr>
      <w:tr w:rsidR="007767E2" w14:paraId="5C735134" w14:textId="77777777" w:rsidTr="00F13D08">
        <w:trPr>
          <w:trHeight w:val="384"/>
        </w:trPr>
        <w:tc>
          <w:tcPr>
            <w:tcW w:w="2995" w:type="dxa"/>
          </w:tcPr>
          <w:p w14:paraId="29F3C466" w14:textId="77777777" w:rsidR="007767E2" w:rsidRDefault="007767E2" w:rsidP="00F13D08">
            <w:pPr>
              <w:widowControl/>
              <w:spacing w:line="240" w:lineRule="auto"/>
              <w:rPr>
                <w:sz w:val="24"/>
                <w:szCs w:val="24"/>
              </w:rPr>
            </w:pPr>
            <w:r>
              <w:rPr>
                <w:sz w:val="24"/>
                <w:szCs w:val="24"/>
              </w:rPr>
              <w:t>F2 (urea)</w:t>
            </w:r>
          </w:p>
        </w:tc>
        <w:tc>
          <w:tcPr>
            <w:tcW w:w="2108" w:type="dxa"/>
          </w:tcPr>
          <w:p w14:paraId="07C25519" w14:textId="77777777" w:rsidR="007767E2" w:rsidRPr="00362FE8" w:rsidRDefault="007767E2" w:rsidP="00F13D08">
            <w:pPr>
              <w:widowControl/>
              <w:spacing w:line="240" w:lineRule="auto"/>
              <w:rPr>
                <w:sz w:val="24"/>
                <w:szCs w:val="24"/>
                <w:vertAlign w:val="superscript"/>
              </w:rPr>
            </w:pPr>
            <w:r>
              <w:rPr>
                <w:sz w:val="24"/>
                <w:szCs w:val="24"/>
                <w:lang w:eastAsia="en-PH"/>
              </w:rPr>
              <w:t>95.50</w:t>
            </w:r>
            <w:r>
              <w:rPr>
                <w:sz w:val="24"/>
                <w:szCs w:val="24"/>
                <w:vertAlign w:val="superscript"/>
                <w:lang w:eastAsia="en-PH"/>
              </w:rPr>
              <w:t>ab</w:t>
            </w:r>
          </w:p>
        </w:tc>
        <w:tc>
          <w:tcPr>
            <w:tcW w:w="1701" w:type="dxa"/>
          </w:tcPr>
          <w:p w14:paraId="454763F8" w14:textId="77777777" w:rsidR="007767E2" w:rsidRPr="00362FE8" w:rsidRDefault="007767E2" w:rsidP="00F13D08">
            <w:pPr>
              <w:widowControl/>
              <w:spacing w:line="240" w:lineRule="auto"/>
              <w:rPr>
                <w:sz w:val="24"/>
                <w:szCs w:val="24"/>
                <w:vertAlign w:val="superscript"/>
              </w:rPr>
            </w:pPr>
            <w:r>
              <w:rPr>
                <w:sz w:val="24"/>
                <w:szCs w:val="24"/>
                <w:lang w:eastAsia="en-PH"/>
              </w:rPr>
              <w:t>101.20</w:t>
            </w:r>
            <w:r>
              <w:rPr>
                <w:sz w:val="24"/>
                <w:szCs w:val="24"/>
                <w:vertAlign w:val="superscript"/>
                <w:lang w:eastAsia="en-PH"/>
              </w:rPr>
              <w:t>a</w:t>
            </w:r>
          </w:p>
        </w:tc>
        <w:tc>
          <w:tcPr>
            <w:tcW w:w="1555" w:type="dxa"/>
          </w:tcPr>
          <w:p w14:paraId="5ED2EA4C" w14:textId="77777777" w:rsidR="007767E2" w:rsidRDefault="007767E2" w:rsidP="00F13D08">
            <w:pPr>
              <w:widowControl/>
              <w:spacing w:line="240" w:lineRule="auto"/>
              <w:rPr>
                <w:sz w:val="24"/>
                <w:szCs w:val="24"/>
              </w:rPr>
            </w:pPr>
            <w:r>
              <w:rPr>
                <w:sz w:val="24"/>
                <w:szCs w:val="24"/>
              </w:rPr>
              <w:t>98.35</w:t>
            </w:r>
            <w:r>
              <w:rPr>
                <w:sz w:val="24"/>
                <w:szCs w:val="24"/>
                <w:vertAlign w:val="superscript"/>
              </w:rPr>
              <w:t>a</w:t>
            </w:r>
          </w:p>
        </w:tc>
      </w:tr>
      <w:tr w:rsidR="007767E2" w14:paraId="707C174B" w14:textId="77777777" w:rsidTr="00F13D08">
        <w:trPr>
          <w:trHeight w:val="384"/>
        </w:trPr>
        <w:tc>
          <w:tcPr>
            <w:tcW w:w="2995" w:type="dxa"/>
          </w:tcPr>
          <w:p w14:paraId="4EFF31CC" w14:textId="77777777" w:rsidR="007767E2" w:rsidRDefault="007767E2" w:rsidP="00F13D08">
            <w:pPr>
              <w:widowControl/>
              <w:spacing w:line="240" w:lineRule="auto"/>
              <w:rPr>
                <w:sz w:val="24"/>
                <w:szCs w:val="24"/>
              </w:rPr>
            </w:pPr>
            <w:r>
              <w:rPr>
                <w:sz w:val="24"/>
                <w:szCs w:val="24"/>
              </w:rPr>
              <w:t>F3 (ammonium phosphate)</w:t>
            </w:r>
          </w:p>
        </w:tc>
        <w:tc>
          <w:tcPr>
            <w:tcW w:w="2108" w:type="dxa"/>
          </w:tcPr>
          <w:p w14:paraId="2F264D41" w14:textId="77777777" w:rsidR="007767E2" w:rsidRPr="00362FE8" w:rsidRDefault="007767E2" w:rsidP="00F13D08">
            <w:pPr>
              <w:widowControl/>
              <w:spacing w:line="240" w:lineRule="auto"/>
              <w:rPr>
                <w:sz w:val="24"/>
                <w:szCs w:val="24"/>
                <w:vertAlign w:val="superscript"/>
              </w:rPr>
            </w:pPr>
            <w:r>
              <w:rPr>
                <w:sz w:val="24"/>
                <w:szCs w:val="24"/>
                <w:lang w:eastAsia="en-PH"/>
              </w:rPr>
              <w:t>71.10</w:t>
            </w:r>
            <w:r>
              <w:rPr>
                <w:sz w:val="24"/>
                <w:szCs w:val="24"/>
                <w:vertAlign w:val="superscript"/>
                <w:lang w:eastAsia="en-PH"/>
              </w:rPr>
              <w:t>d</w:t>
            </w:r>
          </w:p>
        </w:tc>
        <w:tc>
          <w:tcPr>
            <w:tcW w:w="1701" w:type="dxa"/>
          </w:tcPr>
          <w:p w14:paraId="6B6E90E6" w14:textId="77777777" w:rsidR="007767E2" w:rsidRPr="00362FE8" w:rsidRDefault="007767E2" w:rsidP="00F13D08">
            <w:pPr>
              <w:widowControl/>
              <w:spacing w:line="240" w:lineRule="auto"/>
              <w:rPr>
                <w:sz w:val="24"/>
                <w:szCs w:val="24"/>
                <w:vertAlign w:val="superscript"/>
              </w:rPr>
            </w:pPr>
            <w:r>
              <w:rPr>
                <w:sz w:val="24"/>
                <w:szCs w:val="24"/>
                <w:lang w:eastAsia="en-PH"/>
              </w:rPr>
              <w:t>75.10</w:t>
            </w:r>
            <w:r>
              <w:rPr>
                <w:sz w:val="24"/>
                <w:szCs w:val="24"/>
                <w:vertAlign w:val="superscript"/>
                <w:lang w:eastAsia="en-PH"/>
              </w:rPr>
              <w:t>d</w:t>
            </w:r>
          </w:p>
        </w:tc>
        <w:tc>
          <w:tcPr>
            <w:tcW w:w="1555" w:type="dxa"/>
          </w:tcPr>
          <w:p w14:paraId="0BB9C30A" w14:textId="77777777" w:rsidR="007767E2" w:rsidRDefault="007767E2" w:rsidP="00F13D08">
            <w:pPr>
              <w:widowControl/>
              <w:spacing w:line="240" w:lineRule="auto"/>
              <w:rPr>
                <w:sz w:val="24"/>
                <w:szCs w:val="24"/>
              </w:rPr>
            </w:pPr>
            <w:r>
              <w:rPr>
                <w:sz w:val="24"/>
                <w:szCs w:val="24"/>
              </w:rPr>
              <w:t>73.10</w:t>
            </w:r>
            <w:r>
              <w:rPr>
                <w:sz w:val="24"/>
                <w:szCs w:val="24"/>
                <w:vertAlign w:val="superscript"/>
              </w:rPr>
              <w:t>d</w:t>
            </w:r>
          </w:p>
        </w:tc>
      </w:tr>
      <w:tr w:rsidR="007767E2" w14:paraId="5F8C80DD" w14:textId="77777777" w:rsidTr="00F13D08">
        <w:trPr>
          <w:trHeight w:val="384"/>
        </w:trPr>
        <w:tc>
          <w:tcPr>
            <w:tcW w:w="2995" w:type="dxa"/>
          </w:tcPr>
          <w:p w14:paraId="63968F15" w14:textId="77777777" w:rsidR="007767E2" w:rsidRDefault="007767E2" w:rsidP="00F13D08">
            <w:pPr>
              <w:widowControl/>
              <w:spacing w:line="240" w:lineRule="auto"/>
              <w:rPr>
                <w:sz w:val="24"/>
                <w:szCs w:val="24"/>
              </w:rPr>
            </w:pPr>
            <w:r>
              <w:rPr>
                <w:sz w:val="24"/>
                <w:szCs w:val="24"/>
              </w:rPr>
              <w:t>F4 (ammonium sulfate)</w:t>
            </w:r>
          </w:p>
        </w:tc>
        <w:tc>
          <w:tcPr>
            <w:tcW w:w="2108" w:type="dxa"/>
          </w:tcPr>
          <w:p w14:paraId="21FBF5C4" w14:textId="77777777" w:rsidR="007767E2" w:rsidRPr="00362FE8" w:rsidRDefault="007767E2" w:rsidP="00F13D08">
            <w:pPr>
              <w:widowControl/>
              <w:spacing w:line="240" w:lineRule="auto"/>
              <w:rPr>
                <w:sz w:val="24"/>
                <w:szCs w:val="24"/>
                <w:vertAlign w:val="superscript"/>
              </w:rPr>
            </w:pPr>
            <w:r>
              <w:rPr>
                <w:sz w:val="24"/>
                <w:szCs w:val="24"/>
                <w:lang w:eastAsia="en-PH"/>
              </w:rPr>
              <w:t>91.70</w:t>
            </w:r>
            <w:r>
              <w:rPr>
                <w:sz w:val="24"/>
                <w:szCs w:val="24"/>
                <w:vertAlign w:val="superscript"/>
                <w:lang w:eastAsia="en-PH"/>
              </w:rPr>
              <w:t>bc</w:t>
            </w:r>
          </w:p>
        </w:tc>
        <w:tc>
          <w:tcPr>
            <w:tcW w:w="1701" w:type="dxa"/>
          </w:tcPr>
          <w:p w14:paraId="5A103193" w14:textId="77777777" w:rsidR="007767E2" w:rsidRPr="00362FE8" w:rsidRDefault="007767E2" w:rsidP="00F13D08">
            <w:pPr>
              <w:widowControl/>
              <w:spacing w:line="240" w:lineRule="auto"/>
              <w:rPr>
                <w:sz w:val="24"/>
                <w:szCs w:val="24"/>
                <w:vertAlign w:val="superscript"/>
              </w:rPr>
            </w:pPr>
            <w:r>
              <w:rPr>
                <w:sz w:val="24"/>
                <w:szCs w:val="24"/>
                <w:lang w:eastAsia="en-PH"/>
              </w:rPr>
              <w:t>95.10</w:t>
            </w:r>
            <w:r>
              <w:rPr>
                <w:sz w:val="24"/>
                <w:szCs w:val="24"/>
                <w:vertAlign w:val="superscript"/>
                <w:lang w:eastAsia="en-PH"/>
              </w:rPr>
              <w:t>ab</w:t>
            </w:r>
          </w:p>
        </w:tc>
        <w:tc>
          <w:tcPr>
            <w:tcW w:w="1555" w:type="dxa"/>
          </w:tcPr>
          <w:p w14:paraId="3A4AB848" w14:textId="77777777" w:rsidR="007767E2" w:rsidRDefault="007767E2" w:rsidP="00F13D08">
            <w:pPr>
              <w:widowControl/>
              <w:tabs>
                <w:tab w:val="left" w:pos="1130"/>
              </w:tabs>
              <w:spacing w:line="240" w:lineRule="auto"/>
              <w:rPr>
                <w:sz w:val="24"/>
                <w:szCs w:val="24"/>
              </w:rPr>
            </w:pPr>
            <w:r>
              <w:rPr>
                <w:sz w:val="24"/>
                <w:szCs w:val="24"/>
              </w:rPr>
              <w:t>93.40</w:t>
            </w:r>
            <w:r>
              <w:rPr>
                <w:sz w:val="24"/>
                <w:szCs w:val="24"/>
                <w:vertAlign w:val="superscript"/>
              </w:rPr>
              <w:t>b</w:t>
            </w:r>
          </w:p>
        </w:tc>
      </w:tr>
      <w:tr w:rsidR="007767E2" w14:paraId="65C300FF" w14:textId="77777777" w:rsidTr="00F13D08">
        <w:trPr>
          <w:trHeight w:val="393"/>
        </w:trPr>
        <w:tc>
          <w:tcPr>
            <w:tcW w:w="2995" w:type="dxa"/>
            <w:tcBorders>
              <w:bottom w:val="thinThickSmallGap" w:sz="24" w:space="0" w:color="auto"/>
            </w:tcBorders>
          </w:tcPr>
          <w:p w14:paraId="2C388EE7" w14:textId="77777777" w:rsidR="007767E2" w:rsidRDefault="007767E2" w:rsidP="00F13D08">
            <w:pPr>
              <w:widowControl/>
              <w:spacing w:line="240" w:lineRule="auto"/>
              <w:rPr>
                <w:sz w:val="24"/>
                <w:szCs w:val="24"/>
              </w:rPr>
            </w:pPr>
            <w:r>
              <w:rPr>
                <w:sz w:val="24"/>
                <w:szCs w:val="24"/>
              </w:rPr>
              <w:t>Mean</w:t>
            </w:r>
          </w:p>
        </w:tc>
        <w:tc>
          <w:tcPr>
            <w:tcW w:w="2108" w:type="dxa"/>
            <w:tcBorders>
              <w:bottom w:val="thinThickSmallGap" w:sz="24" w:space="0" w:color="auto"/>
            </w:tcBorders>
          </w:tcPr>
          <w:p w14:paraId="10CF0DFC" w14:textId="77777777" w:rsidR="007767E2" w:rsidRDefault="007767E2" w:rsidP="00F13D08">
            <w:pPr>
              <w:widowControl/>
              <w:spacing w:line="240" w:lineRule="auto"/>
              <w:rPr>
                <w:sz w:val="24"/>
                <w:szCs w:val="24"/>
              </w:rPr>
            </w:pPr>
            <w:r>
              <w:rPr>
                <w:sz w:val="24"/>
                <w:szCs w:val="24"/>
              </w:rPr>
              <w:t>84.87</w:t>
            </w:r>
            <w:r>
              <w:rPr>
                <w:sz w:val="24"/>
                <w:szCs w:val="24"/>
                <w:vertAlign w:val="superscript"/>
              </w:rPr>
              <w:t>b</w:t>
            </w:r>
          </w:p>
        </w:tc>
        <w:tc>
          <w:tcPr>
            <w:tcW w:w="1701" w:type="dxa"/>
            <w:tcBorders>
              <w:bottom w:val="thinThickSmallGap" w:sz="24" w:space="0" w:color="auto"/>
            </w:tcBorders>
          </w:tcPr>
          <w:p w14:paraId="72583CC2" w14:textId="77777777" w:rsidR="007767E2" w:rsidRDefault="007767E2" w:rsidP="00F13D08">
            <w:pPr>
              <w:widowControl/>
              <w:spacing w:line="240" w:lineRule="auto"/>
              <w:rPr>
                <w:sz w:val="24"/>
                <w:szCs w:val="24"/>
              </w:rPr>
            </w:pPr>
            <w:r>
              <w:rPr>
                <w:sz w:val="24"/>
                <w:szCs w:val="24"/>
              </w:rPr>
              <w:t>90.22</w:t>
            </w:r>
            <w:r>
              <w:rPr>
                <w:sz w:val="24"/>
                <w:szCs w:val="24"/>
                <w:vertAlign w:val="superscript"/>
              </w:rPr>
              <w:t>a</w:t>
            </w:r>
          </w:p>
        </w:tc>
        <w:tc>
          <w:tcPr>
            <w:tcW w:w="1555" w:type="dxa"/>
            <w:tcBorders>
              <w:bottom w:val="thinThickSmallGap" w:sz="24" w:space="0" w:color="auto"/>
            </w:tcBorders>
          </w:tcPr>
          <w:p w14:paraId="3E1FD1DE" w14:textId="77777777" w:rsidR="007767E2" w:rsidRDefault="007767E2" w:rsidP="00F13D08">
            <w:pPr>
              <w:widowControl/>
              <w:spacing w:line="240" w:lineRule="auto"/>
              <w:rPr>
                <w:sz w:val="24"/>
                <w:szCs w:val="24"/>
              </w:rPr>
            </w:pPr>
          </w:p>
        </w:tc>
      </w:tr>
      <w:tr w:rsidR="007767E2" w14:paraId="4366CCD3" w14:textId="77777777" w:rsidTr="00F13D08">
        <w:trPr>
          <w:trHeight w:val="393"/>
        </w:trPr>
        <w:tc>
          <w:tcPr>
            <w:tcW w:w="2995" w:type="dxa"/>
            <w:tcBorders>
              <w:top w:val="thinThickSmallGap" w:sz="24" w:space="0" w:color="auto"/>
              <w:bottom w:val="thickThinSmallGap" w:sz="24" w:space="0" w:color="auto"/>
            </w:tcBorders>
          </w:tcPr>
          <w:p w14:paraId="050A1E31" w14:textId="77777777" w:rsidR="007767E2" w:rsidRPr="00362FE8" w:rsidRDefault="007767E2" w:rsidP="00F13D08">
            <w:pPr>
              <w:spacing w:after="0"/>
            </w:pPr>
            <w:r>
              <w:t>C.V. (A) = 4.22% (B) = 3.22%</w:t>
            </w:r>
          </w:p>
        </w:tc>
        <w:tc>
          <w:tcPr>
            <w:tcW w:w="2108" w:type="dxa"/>
            <w:tcBorders>
              <w:top w:val="thinThickSmallGap" w:sz="24" w:space="0" w:color="auto"/>
              <w:bottom w:val="thickThinSmallGap" w:sz="24" w:space="0" w:color="auto"/>
            </w:tcBorders>
          </w:tcPr>
          <w:p w14:paraId="7034F253" w14:textId="77777777" w:rsidR="007767E2" w:rsidRDefault="007767E2" w:rsidP="00F13D08">
            <w:pPr>
              <w:spacing w:line="240" w:lineRule="auto"/>
              <w:rPr>
                <w:sz w:val="24"/>
                <w:szCs w:val="24"/>
              </w:rPr>
            </w:pPr>
          </w:p>
        </w:tc>
        <w:tc>
          <w:tcPr>
            <w:tcW w:w="1701" w:type="dxa"/>
            <w:tcBorders>
              <w:top w:val="thinThickSmallGap" w:sz="24" w:space="0" w:color="auto"/>
              <w:bottom w:val="thickThinSmallGap" w:sz="24" w:space="0" w:color="auto"/>
            </w:tcBorders>
          </w:tcPr>
          <w:p w14:paraId="3A4140A8" w14:textId="77777777" w:rsidR="007767E2" w:rsidRDefault="007767E2" w:rsidP="00F13D08">
            <w:pPr>
              <w:spacing w:line="240" w:lineRule="auto"/>
              <w:rPr>
                <w:sz w:val="24"/>
                <w:szCs w:val="24"/>
              </w:rPr>
            </w:pPr>
          </w:p>
        </w:tc>
        <w:tc>
          <w:tcPr>
            <w:tcW w:w="1555" w:type="dxa"/>
            <w:tcBorders>
              <w:top w:val="thinThickSmallGap" w:sz="24" w:space="0" w:color="auto"/>
              <w:bottom w:val="thickThinSmallGap" w:sz="24" w:space="0" w:color="auto"/>
            </w:tcBorders>
          </w:tcPr>
          <w:p w14:paraId="745A3316" w14:textId="77777777" w:rsidR="007767E2" w:rsidRDefault="007767E2" w:rsidP="00F13D08">
            <w:pPr>
              <w:spacing w:line="240" w:lineRule="auto"/>
              <w:rPr>
                <w:sz w:val="24"/>
                <w:szCs w:val="24"/>
              </w:rPr>
            </w:pPr>
          </w:p>
        </w:tc>
      </w:tr>
    </w:tbl>
    <w:p w14:paraId="59CCA1FA" w14:textId="77777777" w:rsidR="007767E2" w:rsidRDefault="007767E2" w:rsidP="007767E2">
      <w:pPr>
        <w:jc w:val="both"/>
        <w:rPr>
          <w:rFonts w:ascii="Times New Roman" w:eastAsia="Times New Roman" w:hAnsi="Times New Roman" w:cs="Times New Roman"/>
          <w:sz w:val="24"/>
          <w:szCs w:val="24"/>
          <w:lang w:eastAsia="en-PH"/>
        </w:rPr>
      </w:pPr>
    </w:p>
    <w:p w14:paraId="1A6EE02B" w14:textId="51D61231"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8"/>
          <w:szCs w:val="28"/>
        </w:rPr>
      </w:pPr>
      <w:r w:rsidRPr="00362FE8">
        <w:rPr>
          <w:rFonts w:ascii="Times New Roman" w:hAnsi="Times New Roman" w:cs="Times New Roman"/>
          <w:sz w:val="24"/>
          <w:szCs w:val="24"/>
        </w:rPr>
        <w:t>The data in Table 3 reveals that the root length of different corn varieties was significantly influenced by both the type of nitrogen fertilizer and the variety of corn.</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demonstrated longer root lengths than native corn, with mean root lengths of 45.10 cm and 41.10 cm, respectively.</w:t>
      </w:r>
      <w:r>
        <w:rPr>
          <w:rFonts w:ascii="Times New Roman" w:hAnsi="Times New Roman" w:cs="Times New Roman"/>
          <w:sz w:val="24"/>
          <w:szCs w:val="24"/>
        </w:rPr>
        <w:t xml:space="preserve"> </w:t>
      </w:r>
      <w:r w:rsidRPr="00362FE8">
        <w:rPr>
          <w:rFonts w:ascii="Times New Roman" w:hAnsi="Times New Roman" w:cs="Times New Roman"/>
          <w:sz w:val="24"/>
          <w:szCs w:val="24"/>
        </w:rPr>
        <w:t xml:space="preserve">According to </w:t>
      </w:r>
      <w:r>
        <w:rPr>
          <w:rFonts w:ascii="Times New Roman" w:hAnsi="Times New Roman" w:cs="Times New Roman"/>
          <w:sz w:val="24"/>
          <w:szCs w:val="24"/>
        </w:rPr>
        <w:t>Wani</w:t>
      </w:r>
      <w:r w:rsidRPr="00362FE8">
        <w:rPr>
          <w:rFonts w:ascii="Times New Roman" w:hAnsi="Times New Roman" w:cs="Times New Roman"/>
          <w:sz w:val="24"/>
          <w:szCs w:val="24"/>
        </w:rPr>
        <w:t xml:space="preserve"> et al. (20</w:t>
      </w:r>
      <w:r>
        <w:rPr>
          <w:rFonts w:ascii="Times New Roman" w:hAnsi="Times New Roman" w:cs="Times New Roman"/>
          <w:sz w:val="24"/>
          <w:szCs w:val="24"/>
        </w:rPr>
        <w:t>21</w:t>
      </w:r>
      <w:r w:rsidRPr="00362FE8">
        <w:rPr>
          <w:rFonts w:ascii="Times New Roman" w:hAnsi="Times New Roman" w:cs="Times New Roman"/>
          <w:sz w:val="24"/>
          <w:szCs w:val="24"/>
        </w:rPr>
        <w:t xml:space="preserve">), maize genotypes </w:t>
      </w:r>
      <w:r>
        <w:rPr>
          <w:rFonts w:ascii="Times New Roman" w:hAnsi="Times New Roman" w:cs="Times New Roman"/>
          <w:sz w:val="24"/>
          <w:szCs w:val="24"/>
        </w:rPr>
        <w:t xml:space="preserve">such as </w:t>
      </w:r>
      <w:r w:rsidRPr="00BA5F62">
        <w:rPr>
          <w:rFonts w:ascii="Times New Roman" w:hAnsi="Times New Roman" w:cs="Times New Roman"/>
          <w:sz w:val="24"/>
          <w:szCs w:val="24"/>
          <w:highlight w:val="yellow"/>
        </w:rPr>
        <w:t xml:space="preserve">sweetcorn </w:t>
      </w:r>
      <w:r w:rsidR="00BA5F62" w:rsidRPr="00BA5F62">
        <w:rPr>
          <w:rFonts w:ascii="Times New Roman" w:hAnsi="Times New Roman" w:cs="Times New Roman"/>
          <w:sz w:val="24"/>
          <w:szCs w:val="24"/>
          <w:highlight w:val="yellow"/>
        </w:rPr>
        <w:t xml:space="preserve">have </w:t>
      </w:r>
      <w:r w:rsidRPr="00BA5F62">
        <w:rPr>
          <w:rFonts w:ascii="Times New Roman" w:hAnsi="Times New Roman" w:cs="Times New Roman"/>
          <w:sz w:val="24"/>
          <w:szCs w:val="24"/>
          <w:highlight w:val="yellow"/>
        </w:rPr>
        <w:t>higher nitrogen use efficiency (NUE) that tends to develop longer roots, allowing them to access deep</w:t>
      </w:r>
      <w:r w:rsidRPr="00362FE8">
        <w:rPr>
          <w:rFonts w:ascii="Times New Roman" w:hAnsi="Times New Roman" w:cs="Times New Roman"/>
          <w:sz w:val="24"/>
          <w:szCs w:val="24"/>
        </w:rPr>
        <w:t>er soil layers for nutrients and water.</w:t>
      </w:r>
    </w:p>
    <w:p w14:paraId="2A9A9E20" w14:textId="1C84CE26"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Among the nitrogen fertilizers, </w:t>
      </w:r>
      <w:r w:rsidRPr="00362FE8">
        <w:rPr>
          <w:rStyle w:val="Strong"/>
          <w:rFonts w:ascii="Times New Roman" w:hAnsi="Times New Roman"/>
          <w:b w:val="0"/>
          <w:bCs w:val="0"/>
          <w:sz w:val="24"/>
          <w:szCs w:val="24"/>
        </w:rPr>
        <w:t>ammonium sulfate</w:t>
      </w:r>
      <w:r>
        <w:rPr>
          <w:rStyle w:val="Strong"/>
          <w:rFonts w:ascii="Times New Roman" w:hAnsi="Times New Roman"/>
          <w:sz w:val="24"/>
          <w:szCs w:val="24"/>
        </w:rPr>
        <w:t xml:space="preserve"> </w:t>
      </w:r>
      <w:r w:rsidRPr="00362FE8">
        <w:rPr>
          <w:rFonts w:ascii="Times New Roman" w:hAnsi="Times New Roman" w:cs="Times New Roman"/>
          <w:sz w:val="24"/>
          <w:szCs w:val="24"/>
        </w:rPr>
        <w:t xml:space="preserve">had the most pronounced effect on root length </w:t>
      </w:r>
      <w:r>
        <w:rPr>
          <w:rFonts w:ascii="Times New Roman" w:hAnsi="Times New Roman" w:cs="Times New Roman"/>
          <w:sz w:val="24"/>
          <w:szCs w:val="24"/>
        </w:rPr>
        <w:t xml:space="preserve">with 50.67cm mean followed by urea and ammonium phosphate with 41.22cm and 40.53cm respectively. Diammonium phosphate </w:t>
      </w:r>
      <w:r w:rsidRPr="00BA5F62">
        <w:rPr>
          <w:rFonts w:ascii="Times New Roman" w:hAnsi="Times New Roman" w:cs="Times New Roman"/>
          <w:sz w:val="24"/>
          <w:szCs w:val="24"/>
          <w:highlight w:val="yellow"/>
        </w:rPr>
        <w:t>affect</w:t>
      </w:r>
      <w:r w:rsidR="00BA5F62" w:rsidRPr="00BA5F62">
        <w:rPr>
          <w:rFonts w:ascii="Times New Roman" w:hAnsi="Times New Roman" w:cs="Times New Roman"/>
          <w:sz w:val="24"/>
          <w:szCs w:val="24"/>
          <w:highlight w:val="yellow"/>
        </w:rPr>
        <w:t>s</w:t>
      </w:r>
      <w:r w:rsidRPr="00BA5F62">
        <w:rPr>
          <w:rFonts w:ascii="Times New Roman" w:hAnsi="Times New Roman" w:cs="Times New Roman"/>
          <w:sz w:val="24"/>
          <w:szCs w:val="24"/>
          <w:highlight w:val="yellow"/>
        </w:rPr>
        <w:t xml:space="preserve"> root an</w:t>
      </w:r>
      <w:r>
        <w:rPr>
          <w:rFonts w:ascii="Times New Roman" w:hAnsi="Times New Roman" w:cs="Times New Roman"/>
          <w:sz w:val="24"/>
          <w:szCs w:val="24"/>
        </w:rPr>
        <w:t xml:space="preserve">d plant growth differently due to their nutrient composition and availability with mean root length of 39.98cm. This indicates that ammonium sulfate is particularly effective in promoting root elongation, possibly due to its rapid nitrogen availability and the additional sulfur content, which enhances nitrogen uptake and root growth. </w:t>
      </w:r>
      <w:r>
        <w:rPr>
          <w:rFonts w:ascii="Times New Roman" w:eastAsia="Times New Roman" w:hAnsi="Times New Roman" w:cs="Times New Roman"/>
          <w:sz w:val="24"/>
          <w:szCs w:val="24"/>
          <w:lang w:eastAsia="en-PH"/>
        </w:rPr>
        <w:t>According to</w:t>
      </w:r>
      <w:r>
        <w:rPr>
          <w:rFonts w:ascii="Times New Roman" w:hAnsi="Times New Roman" w:cs="Times New Roman"/>
          <w:sz w:val="24"/>
          <w:szCs w:val="24"/>
        </w:rPr>
        <w:t xml:space="preserve"> Ahmed et al., 2019</w:t>
      </w:r>
      <w:r>
        <w:rPr>
          <w:rFonts w:ascii="Times New Roman" w:eastAsia="Times New Roman" w:hAnsi="Times New Roman" w:cs="Times New Roman"/>
          <w:sz w:val="24"/>
          <w:szCs w:val="24"/>
          <w:lang w:eastAsia="en-PH"/>
        </w:rPr>
        <w:t xml:space="preserve">, </w:t>
      </w:r>
      <w:r>
        <w:rPr>
          <w:rFonts w:ascii="Times New Roman" w:hAnsi="Times New Roman" w:cs="Times New Roman"/>
          <w:sz w:val="24"/>
          <w:szCs w:val="24"/>
        </w:rPr>
        <w:t xml:space="preserve">ammonium </w:t>
      </w:r>
      <w:r w:rsidRPr="00BA5F62">
        <w:rPr>
          <w:rFonts w:ascii="Times New Roman" w:hAnsi="Times New Roman" w:cs="Times New Roman"/>
          <w:sz w:val="24"/>
          <w:szCs w:val="24"/>
          <w:highlight w:val="yellow"/>
        </w:rPr>
        <w:t xml:space="preserve">sulfate </w:t>
      </w:r>
      <w:r w:rsidR="00BA5F62" w:rsidRPr="00BA5F62">
        <w:rPr>
          <w:rFonts w:ascii="Times New Roman" w:hAnsi="Times New Roman" w:cs="Times New Roman"/>
          <w:sz w:val="24"/>
          <w:szCs w:val="24"/>
          <w:highlight w:val="yellow"/>
        </w:rPr>
        <w:t xml:space="preserve">is </w:t>
      </w:r>
      <w:r w:rsidRPr="00BA5F62">
        <w:rPr>
          <w:rFonts w:ascii="Times New Roman" w:hAnsi="Times New Roman" w:cs="Times New Roman"/>
          <w:sz w:val="24"/>
          <w:szCs w:val="24"/>
          <w:highlight w:val="yellow"/>
        </w:rPr>
        <w:t>a nit</w:t>
      </w:r>
      <w:r>
        <w:rPr>
          <w:rFonts w:ascii="Times New Roman" w:hAnsi="Times New Roman" w:cs="Times New Roman"/>
          <w:sz w:val="24"/>
          <w:szCs w:val="24"/>
        </w:rPr>
        <w:t xml:space="preserve">rogen and sulfur </w:t>
      </w:r>
      <w:r>
        <w:rPr>
          <w:rFonts w:ascii="Times New Roman" w:hAnsi="Times New Roman" w:cs="Times New Roman"/>
          <w:sz w:val="24"/>
          <w:szCs w:val="24"/>
        </w:rPr>
        <w:lastRenderedPageBreak/>
        <w:t>source and is known to promote root development because sulfur plays a key role in enzyme function and nutrient uptake, which enhances root elongation and nutrient absorption.</w:t>
      </w:r>
    </w:p>
    <w:p w14:paraId="08B0F690" w14:textId="5410993D" w:rsidR="007767E2" w:rsidRPr="00362FE8" w:rsidRDefault="007767E2" w:rsidP="007767E2">
      <w:pPr>
        <w:spacing w:before="100" w:beforeAutospacing="1" w:after="100" w:afterAutospacing="1" w:line="360" w:lineRule="auto"/>
        <w:ind w:firstLine="720"/>
        <w:jc w:val="both"/>
        <w:rPr>
          <w:rStyle w:val="Strong"/>
          <w:rFonts w:ascii="Times New Roman" w:eastAsia="Times New Roman" w:hAnsi="Times New Roman"/>
          <w:b w:val="0"/>
          <w:bCs w:val="0"/>
          <w:sz w:val="28"/>
          <w:szCs w:val="28"/>
          <w:lang w:eastAsia="en-PH"/>
        </w:rPr>
      </w:pPr>
      <w:r>
        <w:rPr>
          <w:rFonts w:ascii="Times New Roman" w:hAnsi="Times New Roman" w:cs="Times New Roman"/>
          <w:sz w:val="24"/>
          <w:szCs w:val="24"/>
        </w:rPr>
        <w:t xml:space="preserve">In comparison, </w:t>
      </w:r>
      <w:r>
        <w:rPr>
          <w:rFonts w:ascii="Times New Roman" w:eastAsia="Times New Roman" w:hAnsi="Times New Roman" w:cs="Times New Roman"/>
          <w:sz w:val="24"/>
          <w:szCs w:val="24"/>
          <w:lang w:eastAsia="en-PH"/>
        </w:rPr>
        <w:t xml:space="preserve">ammonium sulfate </w:t>
      </w:r>
      <w:r>
        <w:rPr>
          <w:rFonts w:ascii="Times New Roman" w:hAnsi="Times New Roman" w:cs="Times New Roman"/>
          <w:sz w:val="24"/>
          <w:szCs w:val="24"/>
        </w:rPr>
        <w:t xml:space="preserve">had the most significant positive effect on root length for both sweetcorn (51.93cm) and native corn (49.40 cm). Native corn </w:t>
      </w:r>
      <w:r>
        <w:rPr>
          <w:rStyle w:val="Strong"/>
          <w:rFonts w:ascii="Times New Roman" w:hAnsi="Times New Roman"/>
          <w:b w:val="0"/>
          <w:bCs w:val="0"/>
          <w:sz w:val="24"/>
          <w:szCs w:val="24"/>
        </w:rPr>
        <w:t>applied with d</w:t>
      </w:r>
      <w:r w:rsidRPr="00362FE8">
        <w:rPr>
          <w:rStyle w:val="Strong"/>
          <w:rFonts w:ascii="Times New Roman" w:hAnsi="Times New Roman"/>
          <w:b w:val="0"/>
          <w:bCs w:val="0"/>
          <w:sz w:val="24"/>
          <w:szCs w:val="24"/>
        </w:rPr>
        <w:t xml:space="preserve">iammonium phosphate </w:t>
      </w:r>
      <w:r>
        <w:rPr>
          <w:rStyle w:val="Strong"/>
          <w:rFonts w:ascii="Times New Roman" w:hAnsi="Times New Roman"/>
          <w:b w:val="0"/>
          <w:bCs w:val="0"/>
          <w:sz w:val="24"/>
          <w:szCs w:val="24"/>
        </w:rPr>
        <w:t xml:space="preserve">(39.43cm) </w:t>
      </w:r>
      <w:r w:rsidRPr="00362FE8">
        <w:rPr>
          <w:rFonts w:ascii="Times New Roman" w:hAnsi="Times New Roman" w:cs="Times New Roman"/>
          <w:sz w:val="24"/>
          <w:szCs w:val="24"/>
        </w:rPr>
        <w:t xml:space="preserve">and </w:t>
      </w:r>
      <w:r w:rsidRPr="00362FE8">
        <w:rPr>
          <w:rStyle w:val="Strong"/>
          <w:rFonts w:ascii="Times New Roman" w:hAnsi="Times New Roman"/>
          <w:b w:val="0"/>
          <w:bCs w:val="0"/>
          <w:sz w:val="24"/>
          <w:szCs w:val="24"/>
        </w:rPr>
        <w:t>ammonium phosphate</w:t>
      </w:r>
      <w:r>
        <w:rPr>
          <w:rStyle w:val="Strong"/>
          <w:rFonts w:ascii="Times New Roman" w:hAnsi="Times New Roman"/>
          <w:b w:val="0"/>
          <w:bCs w:val="0"/>
          <w:sz w:val="24"/>
          <w:szCs w:val="24"/>
        </w:rPr>
        <w:t xml:space="preserve"> (39.63cm) produced</w:t>
      </w:r>
      <w:r w:rsidRPr="00362FE8">
        <w:rPr>
          <w:rFonts w:ascii="Times New Roman" w:hAnsi="Times New Roman" w:cs="Times New Roman"/>
          <w:sz w:val="24"/>
          <w:szCs w:val="24"/>
        </w:rPr>
        <w:t xml:space="preserve"> similar results, with relatively shorter root lengths compared to ammonium sulfate but better than urea for native corn</w:t>
      </w:r>
      <w:r>
        <w:rPr>
          <w:rFonts w:ascii="Times New Roman" w:hAnsi="Times New Roman" w:cs="Times New Roman"/>
          <w:sz w:val="24"/>
          <w:szCs w:val="24"/>
        </w:rPr>
        <w:t xml:space="preserve"> (35.93cm)</w:t>
      </w:r>
      <w:r w:rsidRPr="00362FE8">
        <w:rPr>
          <w:rFonts w:ascii="Times New Roman" w:hAnsi="Times New Roman" w:cs="Times New Roman"/>
          <w:sz w:val="24"/>
          <w:szCs w:val="24"/>
        </w:rPr>
        <w:t xml:space="preserve">. </w:t>
      </w:r>
      <w:r>
        <w:rPr>
          <w:rFonts w:ascii="Times New Roman" w:hAnsi="Times New Roman" w:cs="Times New Roman"/>
          <w:sz w:val="24"/>
          <w:szCs w:val="24"/>
        </w:rPr>
        <w:t>U</w:t>
      </w:r>
      <w:r w:rsidRPr="00362FE8">
        <w:rPr>
          <w:rStyle w:val="Strong"/>
          <w:rFonts w:ascii="Times New Roman" w:hAnsi="Times New Roman"/>
          <w:b w:val="0"/>
          <w:bCs w:val="0"/>
          <w:sz w:val="24"/>
          <w:szCs w:val="24"/>
        </w:rPr>
        <w:t xml:space="preserve">rea </w:t>
      </w:r>
      <w:r>
        <w:rPr>
          <w:rStyle w:val="Strong"/>
          <w:rFonts w:ascii="Times New Roman" w:hAnsi="Times New Roman"/>
          <w:b w:val="0"/>
          <w:bCs w:val="0"/>
          <w:sz w:val="24"/>
          <w:szCs w:val="24"/>
        </w:rPr>
        <w:t xml:space="preserve">applied to sweetcorn with 46.50cm root </w:t>
      </w:r>
      <w:r w:rsidRPr="00BA5F62">
        <w:rPr>
          <w:rStyle w:val="Strong"/>
          <w:rFonts w:ascii="Times New Roman" w:hAnsi="Times New Roman"/>
          <w:b w:val="0"/>
          <w:bCs w:val="0"/>
          <w:sz w:val="24"/>
          <w:szCs w:val="24"/>
          <w:highlight w:val="yellow"/>
        </w:rPr>
        <w:t xml:space="preserve">length was </w:t>
      </w:r>
      <w:r w:rsidR="00BA5F62" w:rsidRPr="00BA5F62">
        <w:rPr>
          <w:rStyle w:val="Strong"/>
          <w:rFonts w:ascii="Times New Roman" w:hAnsi="Times New Roman"/>
          <w:b w:val="0"/>
          <w:bCs w:val="0"/>
          <w:sz w:val="24"/>
          <w:szCs w:val="24"/>
          <w:highlight w:val="yellow"/>
        </w:rPr>
        <w:t>more</w:t>
      </w:r>
      <w:r w:rsidR="00BA5F62">
        <w:rPr>
          <w:rStyle w:val="Strong"/>
          <w:rFonts w:ascii="Times New Roman" w:hAnsi="Times New Roman"/>
          <w:b w:val="0"/>
          <w:bCs w:val="0"/>
          <w:sz w:val="24"/>
          <w:szCs w:val="24"/>
        </w:rPr>
        <w:t xml:space="preserve"> </w:t>
      </w:r>
      <w:r>
        <w:rPr>
          <w:rStyle w:val="Strong"/>
          <w:rFonts w:ascii="Times New Roman" w:hAnsi="Times New Roman"/>
          <w:b w:val="0"/>
          <w:bCs w:val="0"/>
          <w:sz w:val="24"/>
          <w:szCs w:val="24"/>
        </w:rPr>
        <w:t xml:space="preserve">significant than ammonium phosphate with 41.43cm root length. </w:t>
      </w:r>
      <w:r>
        <w:rPr>
          <w:rFonts w:ascii="Times New Roman" w:eastAsia="Times New Roman" w:hAnsi="Times New Roman" w:cs="Times New Roman"/>
          <w:sz w:val="24"/>
          <w:szCs w:val="24"/>
          <w:lang w:eastAsia="en-PH"/>
        </w:rPr>
        <w:t xml:space="preserve">Sweetcorn treated with ammonium phosphate had a root length of 41.43 cm, while diammonium phosphate resulted in 40.53 cm. </w:t>
      </w:r>
      <w:r>
        <w:rPr>
          <w:rFonts w:ascii="Times New Roman" w:hAnsi="Times New Roman" w:cs="Times New Roman"/>
          <w:sz w:val="24"/>
          <w:szCs w:val="24"/>
        </w:rPr>
        <w:t xml:space="preserve">Shen, J. </w:t>
      </w:r>
      <w:r w:rsidRPr="00362FE8">
        <w:rPr>
          <w:rFonts w:ascii="Times New Roman" w:hAnsi="Times New Roman" w:cs="Times New Roman"/>
          <w:sz w:val="24"/>
          <w:szCs w:val="24"/>
        </w:rPr>
        <w:t>(20</w:t>
      </w:r>
      <w:r>
        <w:rPr>
          <w:rFonts w:ascii="Times New Roman" w:hAnsi="Times New Roman" w:cs="Times New Roman"/>
          <w:sz w:val="24"/>
          <w:szCs w:val="24"/>
        </w:rPr>
        <w:t>12</w:t>
      </w:r>
      <w:r w:rsidRPr="00362FE8">
        <w:rPr>
          <w:rFonts w:ascii="Times New Roman" w:hAnsi="Times New Roman" w:cs="Times New Roman"/>
          <w:sz w:val="24"/>
          <w:szCs w:val="24"/>
        </w:rPr>
        <w:t>) found that ammonium-based fertilizers significantly improved root length in maize compared to urea and phosphate-based fertilizers, emphasizing that ammonium forms are more efficient at stimulating auxin production, a hormone essential for root growth. Similarly, Kumar et al. (2019) reported that urea-based fertilizers, while effective, tend to be less impactful on root elongation due to slower nitrogen release, which may explain the shorter root lengths observed in native corn treated with urea. Phosphate-based fertilizers, such as diammonium phosphate and ammonium phosphate, provide phosphorus critical for root establishment; however, their performance may lag behind ammonium sulfate due to lower nitrogen bioavailability.</w:t>
      </w:r>
    </w:p>
    <w:p w14:paraId="07EFA9FD"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significant interaction indicates that the impact of each fertilizer on root growth depends on the corn variety, further emphasizing that fertilizer effectiveness can vary with specific crop types. </w:t>
      </w:r>
    </w:p>
    <w:p w14:paraId="105900D1"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3: Root length (in cm) of Different Corn Varieties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03A36BC7" w14:textId="77777777" w:rsidTr="00F13D08">
        <w:trPr>
          <w:trHeight w:val="384"/>
        </w:trPr>
        <w:tc>
          <w:tcPr>
            <w:tcW w:w="2977" w:type="dxa"/>
            <w:tcBorders>
              <w:top w:val="thinThickSmallGap" w:sz="24" w:space="0" w:color="auto"/>
              <w:bottom w:val="single" w:sz="4" w:space="0" w:color="auto"/>
            </w:tcBorders>
          </w:tcPr>
          <w:p w14:paraId="4181045A"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0D90D3E7"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81E0B48" w14:textId="77777777" w:rsidR="007767E2" w:rsidRDefault="007767E2" w:rsidP="00F13D08">
            <w:pPr>
              <w:widowControl/>
              <w:spacing w:line="240" w:lineRule="auto"/>
              <w:rPr>
                <w:sz w:val="24"/>
                <w:szCs w:val="24"/>
              </w:rPr>
            </w:pPr>
          </w:p>
        </w:tc>
      </w:tr>
      <w:tr w:rsidR="007767E2" w14:paraId="01788109" w14:textId="77777777" w:rsidTr="00F13D08">
        <w:trPr>
          <w:trHeight w:val="384"/>
        </w:trPr>
        <w:tc>
          <w:tcPr>
            <w:tcW w:w="2977" w:type="dxa"/>
            <w:tcBorders>
              <w:top w:val="single" w:sz="4" w:space="0" w:color="auto"/>
            </w:tcBorders>
          </w:tcPr>
          <w:p w14:paraId="2F6A61A0"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1F2FF0AC"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0D30BD25"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21D4F2EF" w14:textId="77777777" w:rsidR="007767E2" w:rsidRDefault="007767E2" w:rsidP="00F13D08">
            <w:pPr>
              <w:widowControl/>
              <w:spacing w:line="240" w:lineRule="auto"/>
              <w:rPr>
                <w:sz w:val="24"/>
                <w:szCs w:val="24"/>
              </w:rPr>
            </w:pPr>
            <w:r>
              <w:rPr>
                <w:sz w:val="24"/>
                <w:szCs w:val="24"/>
              </w:rPr>
              <w:t>Mean</w:t>
            </w:r>
          </w:p>
        </w:tc>
      </w:tr>
      <w:tr w:rsidR="007767E2" w14:paraId="0345032F" w14:textId="77777777" w:rsidTr="00F13D08">
        <w:trPr>
          <w:trHeight w:val="384"/>
        </w:trPr>
        <w:tc>
          <w:tcPr>
            <w:tcW w:w="2977" w:type="dxa"/>
          </w:tcPr>
          <w:p w14:paraId="06FAF151"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640868FF" w14:textId="77777777" w:rsidR="007767E2" w:rsidRDefault="007767E2" w:rsidP="00F13D08">
            <w:pPr>
              <w:widowControl/>
              <w:spacing w:line="240" w:lineRule="auto"/>
              <w:rPr>
                <w:sz w:val="24"/>
                <w:szCs w:val="24"/>
                <w:vertAlign w:val="superscript"/>
              </w:rPr>
            </w:pPr>
            <w:r>
              <w:rPr>
                <w:sz w:val="24"/>
                <w:szCs w:val="24"/>
                <w:lang w:eastAsia="en-PH"/>
              </w:rPr>
              <w:t>39.43</w:t>
            </w:r>
            <w:r>
              <w:rPr>
                <w:sz w:val="24"/>
                <w:szCs w:val="24"/>
                <w:vertAlign w:val="superscript"/>
                <w:lang w:eastAsia="en-PH"/>
              </w:rPr>
              <w:t>e</w:t>
            </w:r>
          </w:p>
        </w:tc>
        <w:tc>
          <w:tcPr>
            <w:tcW w:w="2126" w:type="dxa"/>
          </w:tcPr>
          <w:p w14:paraId="31B0E94C" w14:textId="77777777" w:rsidR="007767E2" w:rsidRDefault="007767E2" w:rsidP="00F13D08">
            <w:pPr>
              <w:widowControl/>
              <w:spacing w:line="240" w:lineRule="auto"/>
              <w:rPr>
                <w:sz w:val="24"/>
                <w:szCs w:val="24"/>
                <w:vertAlign w:val="superscript"/>
              </w:rPr>
            </w:pPr>
            <w:r>
              <w:rPr>
                <w:sz w:val="24"/>
                <w:szCs w:val="24"/>
                <w:lang w:eastAsia="en-PH"/>
              </w:rPr>
              <w:t>40.53</w:t>
            </w:r>
            <w:r>
              <w:rPr>
                <w:sz w:val="24"/>
                <w:szCs w:val="24"/>
                <w:vertAlign w:val="superscript"/>
                <w:lang w:eastAsia="en-PH"/>
              </w:rPr>
              <w:t>de</w:t>
            </w:r>
          </w:p>
        </w:tc>
        <w:tc>
          <w:tcPr>
            <w:tcW w:w="1271" w:type="dxa"/>
          </w:tcPr>
          <w:p w14:paraId="6AF2E4EB" w14:textId="77777777" w:rsidR="007767E2" w:rsidRDefault="007767E2" w:rsidP="00F13D08">
            <w:pPr>
              <w:widowControl/>
              <w:spacing w:line="240" w:lineRule="auto"/>
              <w:rPr>
                <w:sz w:val="24"/>
                <w:szCs w:val="24"/>
                <w:vertAlign w:val="superscript"/>
              </w:rPr>
            </w:pPr>
            <w:r>
              <w:rPr>
                <w:sz w:val="24"/>
                <w:szCs w:val="24"/>
              </w:rPr>
              <w:t>39.98</w:t>
            </w:r>
            <w:r>
              <w:rPr>
                <w:sz w:val="24"/>
                <w:szCs w:val="24"/>
                <w:vertAlign w:val="superscript"/>
              </w:rPr>
              <w:t>d</w:t>
            </w:r>
          </w:p>
        </w:tc>
      </w:tr>
      <w:tr w:rsidR="007767E2" w14:paraId="543DBD16" w14:textId="77777777" w:rsidTr="00F13D08">
        <w:trPr>
          <w:trHeight w:val="384"/>
        </w:trPr>
        <w:tc>
          <w:tcPr>
            <w:tcW w:w="2977" w:type="dxa"/>
          </w:tcPr>
          <w:p w14:paraId="0997E6A3" w14:textId="77777777" w:rsidR="007767E2" w:rsidRDefault="007767E2" w:rsidP="00F13D08">
            <w:pPr>
              <w:widowControl/>
              <w:spacing w:line="240" w:lineRule="auto"/>
              <w:rPr>
                <w:sz w:val="24"/>
                <w:szCs w:val="24"/>
              </w:rPr>
            </w:pPr>
            <w:r>
              <w:rPr>
                <w:sz w:val="24"/>
                <w:szCs w:val="24"/>
              </w:rPr>
              <w:t>F2 (urea)</w:t>
            </w:r>
          </w:p>
        </w:tc>
        <w:tc>
          <w:tcPr>
            <w:tcW w:w="1985" w:type="dxa"/>
          </w:tcPr>
          <w:p w14:paraId="2377B66A" w14:textId="77777777" w:rsidR="007767E2" w:rsidRDefault="007767E2" w:rsidP="00F13D08">
            <w:pPr>
              <w:widowControl/>
              <w:spacing w:line="240" w:lineRule="auto"/>
              <w:rPr>
                <w:sz w:val="24"/>
                <w:szCs w:val="24"/>
                <w:vertAlign w:val="superscript"/>
              </w:rPr>
            </w:pPr>
            <w:r>
              <w:rPr>
                <w:sz w:val="24"/>
                <w:szCs w:val="24"/>
                <w:lang w:eastAsia="en-PH"/>
              </w:rPr>
              <w:t>35.93</w:t>
            </w:r>
            <w:r>
              <w:rPr>
                <w:sz w:val="24"/>
                <w:szCs w:val="24"/>
                <w:vertAlign w:val="superscript"/>
                <w:lang w:eastAsia="en-PH"/>
              </w:rPr>
              <w:t>f</w:t>
            </w:r>
          </w:p>
        </w:tc>
        <w:tc>
          <w:tcPr>
            <w:tcW w:w="2126" w:type="dxa"/>
          </w:tcPr>
          <w:p w14:paraId="429DB7A5" w14:textId="77777777" w:rsidR="007767E2" w:rsidRDefault="007767E2" w:rsidP="00F13D08">
            <w:pPr>
              <w:widowControl/>
              <w:spacing w:line="240" w:lineRule="auto"/>
              <w:rPr>
                <w:sz w:val="24"/>
                <w:szCs w:val="24"/>
                <w:vertAlign w:val="superscript"/>
              </w:rPr>
            </w:pPr>
            <w:r>
              <w:rPr>
                <w:sz w:val="24"/>
                <w:szCs w:val="24"/>
                <w:lang w:eastAsia="en-PH"/>
              </w:rPr>
              <w:t>46.50</w:t>
            </w:r>
            <w:r>
              <w:rPr>
                <w:sz w:val="24"/>
                <w:szCs w:val="24"/>
                <w:vertAlign w:val="superscript"/>
                <w:lang w:eastAsia="en-PH"/>
              </w:rPr>
              <w:t>c</w:t>
            </w:r>
          </w:p>
        </w:tc>
        <w:tc>
          <w:tcPr>
            <w:tcW w:w="1271" w:type="dxa"/>
          </w:tcPr>
          <w:p w14:paraId="379B19E8" w14:textId="77777777" w:rsidR="007767E2" w:rsidRDefault="007767E2" w:rsidP="00F13D08">
            <w:pPr>
              <w:widowControl/>
              <w:spacing w:line="240" w:lineRule="auto"/>
              <w:rPr>
                <w:sz w:val="24"/>
                <w:szCs w:val="24"/>
                <w:vertAlign w:val="superscript"/>
              </w:rPr>
            </w:pPr>
            <w:r>
              <w:rPr>
                <w:sz w:val="24"/>
                <w:szCs w:val="24"/>
              </w:rPr>
              <w:t>41.22</w:t>
            </w:r>
            <w:r>
              <w:rPr>
                <w:sz w:val="24"/>
                <w:szCs w:val="24"/>
                <w:vertAlign w:val="superscript"/>
              </w:rPr>
              <w:t>b</w:t>
            </w:r>
          </w:p>
        </w:tc>
      </w:tr>
      <w:tr w:rsidR="007767E2" w14:paraId="65384F42" w14:textId="77777777" w:rsidTr="00F13D08">
        <w:trPr>
          <w:trHeight w:val="384"/>
        </w:trPr>
        <w:tc>
          <w:tcPr>
            <w:tcW w:w="2977" w:type="dxa"/>
          </w:tcPr>
          <w:p w14:paraId="5F8BCCBB"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113A16AD" w14:textId="77777777" w:rsidR="007767E2" w:rsidRDefault="007767E2" w:rsidP="00F13D08">
            <w:pPr>
              <w:widowControl/>
              <w:spacing w:line="240" w:lineRule="auto"/>
              <w:rPr>
                <w:sz w:val="24"/>
                <w:szCs w:val="24"/>
                <w:vertAlign w:val="superscript"/>
              </w:rPr>
            </w:pPr>
            <w:r>
              <w:rPr>
                <w:sz w:val="24"/>
                <w:szCs w:val="24"/>
                <w:lang w:eastAsia="en-PH"/>
              </w:rPr>
              <w:t>39.63</w:t>
            </w:r>
            <w:r>
              <w:rPr>
                <w:sz w:val="24"/>
                <w:szCs w:val="24"/>
                <w:vertAlign w:val="superscript"/>
                <w:lang w:eastAsia="en-PH"/>
              </w:rPr>
              <w:t>e</w:t>
            </w:r>
          </w:p>
        </w:tc>
        <w:tc>
          <w:tcPr>
            <w:tcW w:w="2126" w:type="dxa"/>
          </w:tcPr>
          <w:p w14:paraId="7C849E2C" w14:textId="77777777" w:rsidR="007767E2" w:rsidRDefault="007767E2" w:rsidP="00F13D08">
            <w:pPr>
              <w:widowControl/>
              <w:spacing w:line="240" w:lineRule="auto"/>
              <w:rPr>
                <w:sz w:val="24"/>
                <w:szCs w:val="24"/>
                <w:vertAlign w:val="superscript"/>
              </w:rPr>
            </w:pPr>
            <w:r>
              <w:rPr>
                <w:sz w:val="24"/>
                <w:szCs w:val="24"/>
                <w:lang w:eastAsia="en-PH"/>
              </w:rPr>
              <w:t>41.43</w:t>
            </w:r>
            <w:r>
              <w:rPr>
                <w:sz w:val="24"/>
                <w:szCs w:val="24"/>
                <w:vertAlign w:val="superscript"/>
                <w:lang w:eastAsia="en-PH"/>
              </w:rPr>
              <w:t>d</w:t>
            </w:r>
          </w:p>
        </w:tc>
        <w:tc>
          <w:tcPr>
            <w:tcW w:w="1271" w:type="dxa"/>
          </w:tcPr>
          <w:p w14:paraId="06B4E816" w14:textId="77777777" w:rsidR="007767E2" w:rsidRDefault="007767E2" w:rsidP="00F13D08">
            <w:pPr>
              <w:widowControl/>
              <w:spacing w:line="240" w:lineRule="auto"/>
              <w:rPr>
                <w:sz w:val="24"/>
                <w:szCs w:val="24"/>
                <w:vertAlign w:val="superscript"/>
              </w:rPr>
            </w:pPr>
            <w:r>
              <w:rPr>
                <w:sz w:val="24"/>
                <w:szCs w:val="24"/>
              </w:rPr>
              <w:t>40.53</w:t>
            </w:r>
            <w:r>
              <w:rPr>
                <w:sz w:val="24"/>
                <w:szCs w:val="24"/>
                <w:vertAlign w:val="superscript"/>
              </w:rPr>
              <w:t>c</w:t>
            </w:r>
          </w:p>
        </w:tc>
      </w:tr>
      <w:tr w:rsidR="007767E2" w14:paraId="5C0D6D5E" w14:textId="77777777" w:rsidTr="00F13D08">
        <w:trPr>
          <w:trHeight w:val="384"/>
        </w:trPr>
        <w:tc>
          <w:tcPr>
            <w:tcW w:w="2977" w:type="dxa"/>
          </w:tcPr>
          <w:p w14:paraId="3C458AD1"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52EB46B9" w14:textId="77777777" w:rsidR="007767E2" w:rsidRDefault="007767E2" w:rsidP="00F13D08">
            <w:pPr>
              <w:widowControl/>
              <w:spacing w:line="240" w:lineRule="auto"/>
              <w:rPr>
                <w:sz w:val="24"/>
                <w:szCs w:val="24"/>
                <w:vertAlign w:val="superscript"/>
              </w:rPr>
            </w:pPr>
            <w:r>
              <w:rPr>
                <w:sz w:val="24"/>
                <w:szCs w:val="24"/>
                <w:lang w:eastAsia="en-PH"/>
              </w:rPr>
              <w:t>49.40</w:t>
            </w:r>
            <w:r>
              <w:rPr>
                <w:sz w:val="24"/>
                <w:szCs w:val="24"/>
                <w:vertAlign w:val="superscript"/>
                <w:lang w:eastAsia="en-PH"/>
              </w:rPr>
              <w:t>b</w:t>
            </w:r>
          </w:p>
        </w:tc>
        <w:tc>
          <w:tcPr>
            <w:tcW w:w="2126" w:type="dxa"/>
          </w:tcPr>
          <w:p w14:paraId="2704F609" w14:textId="77777777" w:rsidR="007767E2" w:rsidRDefault="007767E2" w:rsidP="00F13D08">
            <w:pPr>
              <w:widowControl/>
              <w:spacing w:line="240" w:lineRule="auto"/>
              <w:rPr>
                <w:sz w:val="24"/>
                <w:szCs w:val="24"/>
                <w:vertAlign w:val="superscript"/>
              </w:rPr>
            </w:pPr>
            <w:r>
              <w:rPr>
                <w:sz w:val="24"/>
                <w:szCs w:val="24"/>
                <w:lang w:eastAsia="en-PH"/>
              </w:rPr>
              <w:t>51.93</w:t>
            </w:r>
            <w:r>
              <w:rPr>
                <w:sz w:val="24"/>
                <w:szCs w:val="24"/>
                <w:vertAlign w:val="superscript"/>
                <w:lang w:eastAsia="en-PH"/>
              </w:rPr>
              <w:t>a</w:t>
            </w:r>
          </w:p>
        </w:tc>
        <w:tc>
          <w:tcPr>
            <w:tcW w:w="1271" w:type="dxa"/>
          </w:tcPr>
          <w:p w14:paraId="045F6E0C" w14:textId="77777777" w:rsidR="007767E2" w:rsidRDefault="007767E2" w:rsidP="00F13D08">
            <w:pPr>
              <w:widowControl/>
              <w:tabs>
                <w:tab w:val="left" w:pos="1130"/>
              </w:tabs>
              <w:spacing w:line="240" w:lineRule="auto"/>
              <w:rPr>
                <w:sz w:val="24"/>
                <w:szCs w:val="24"/>
              </w:rPr>
            </w:pPr>
            <w:r>
              <w:rPr>
                <w:sz w:val="24"/>
                <w:szCs w:val="24"/>
              </w:rPr>
              <w:t>50.67</w:t>
            </w:r>
            <w:r>
              <w:rPr>
                <w:sz w:val="24"/>
                <w:szCs w:val="24"/>
                <w:vertAlign w:val="superscript"/>
              </w:rPr>
              <w:t>a</w:t>
            </w:r>
          </w:p>
        </w:tc>
      </w:tr>
      <w:tr w:rsidR="007767E2" w14:paraId="70AE8B90" w14:textId="77777777" w:rsidTr="00F13D08">
        <w:trPr>
          <w:trHeight w:val="393"/>
        </w:trPr>
        <w:tc>
          <w:tcPr>
            <w:tcW w:w="2977" w:type="dxa"/>
            <w:tcBorders>
              <w:bottom w:val="thinThickSmallGap" w:sz="24" w:space="0" w:color="auto"/>
            </w:tcBorders>
          </w:tcPr>
          <w:p w14:paraId="0A299308"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77FA5240" w14:textId="77777777" w:rsidR="007767E2" w:rsidRDefault="007767E2" w:rsidP="00F13D08">
            <w:pPr>
              <w:widowControl/>
              <w:spacing w:line="240" w:lineRule="auto"/>
              <w:rPr>
                <w:sz w:val="24"/>
                <w:szCs w:val="24"/>
              </w:rPr>
            </w:pPr>
            <w:r>
              <w:rPr>
                <w:sz w:val="24"/>
                <w:szCs w:val="24"/>
              </w:rPr>
              <w:t>41.10</w:t>
            </w:r>
            <w:r>
              <w:rPr>
                <w:sz w:val="24"/>
                <w:szCs w:val="24"/>
                <w:vertAlign w:val="superscript"/>
              </w:rPr>
              <w:t>b</w:t>
            </w:r>
          </w:p>
        </w:tc>
        <w:tc>
          <w:tcPr>
            <w:tcW w:w="2126" w:type="dxa"/>
            <w:tcBorders>
              <w:bottom w:val="thinThickSmallGap" w:sz="24" w:space="0" w:color="auto"/>
            </w:tcBorders>
          </w:tcPr>
          <w:p w14:paraId="593251DE" w14:textId="77777777" w:rsidR="007767E2" w:rsidRDefault="007767E2" w:rsidP="00F13D08">
            <w:pPr>
              <w:widowControl/>
              <w:spacing w:line="240" w:lineRule="auto"/>
              <w:rPr>
                <w:sz w:val="24"/>
                <w:szCs w:val="24"/>
              </w:rPr>
            </w:pPr>
            <w:r>
              <w:rPr>
                <w:sz w:val="24"/>
                <w:szCs w:val="24"/>
              </w:rPr>
              <w:t>45.10</w:t>
            </w:r>
            <w:r>
              <w:rPr>
                <w:sz w:val="24"/>
                <w:szCs w:val="24"/>
                <w:vertAlign w:val="superscript"/>
              </w:rPr>
              <w:t>a</w:t>
            </w:r>
          </w:p>
        </w:tc>
        <w:tc>
          <w:tcPr>
            <w:tcW w:w="1271" w:type="dxa"/>
            <w:tcBorders>
              <w:bottom w:val="thinThickSmallGap" w:sz="24" w:space="0" w:color="auto"/>
            </w:tcBorders>
          </w:tcPr>
          <w:p w14:paraId="7A7B8BC9" w14:textId="77777777" w:rsidR="007767E2" w:rsidRDefault="007767E2" w:rsidP="00F13D08">
            <w:pPr>
              <w:widowControl/>
              <w:spacing w:line="240" w:lineRule="auto"/>
              <w:rPr>
                <w:sz w:val="24"/>
                <w:szCs w:val="24"/>
              </w:rPr>
            </w:pPr>
          </w:p>
        </w:tc>
      </w:tr>
      <w:tr w:rsidR="007767E2" w14:paraId="0251A0E8" w14:textId="77777777" w:rsidTr="00F13D08">
        <w:trPr>
          <w:trHeight w:val="393"/>
        </w:trPr>
        <w:tc>
          <w:tcPr>
            <w:tcW w:w="2977" w:type="dxa"/>
            <w:tcBorders>
              <w:top w:val="thinThickSmallGap" w:sz="24" w:space="0" w:color="auto"/>
              <w:bottom w:val="thickThinSmallGap" w:sz="24" w:space="0" w:color="auto"/>
            </w:tcBorders>
          </w:tcPr>
          <w:p w14:paraId="732D02BA" w14:textId="77777777" w:rsidR="007767E2" w:rsidRPr="00362FE8" w:rsidRDefault="007767E2" w:rsidP="00F13D08">
            <w:pPr>
              <w:spacing w:after="0"/>
            </w:pPr>
            <w:r>
              <w:lastRenderedPageBreak/>
              <w:t>C.V. (A) = 1.08 % (B) = 3.69 %</w:t>
            </w:r>
          </w:p>
        </w:tc>
        <w:tc>
          <w:tcPr>
            <w:tcW w:w="1985" w:type="dxa"/>
            <w:tcBorders>
              <w:top w:val="thinThickSmallGap" w:sz="24" w:space="0" w:color="auto"/>
              <w:bottom w:val="thickThinSmallGap" w:sz="24" w:space="0" w:color="auto"/>
            </w:tcBorders>
          </w:tcPr>
          <w:p w14:paraId="20CE9DAC"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31838BF4"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1E9CD986" w14:textId="77777777" w:rsidR="007767E2" w:rsidRDefault="007767E2" w:rsidP="00F13D08">
            <w:pPr>
              <w:spacing w:line="240" w:lineRule="auto"/>
              <w:rPr>
                <w:sz w:val="24"/>
                <w:szCs w:val="24"/>
              </w:rPr>
            </w:pPr>
          </w:p>
        </w:tc>
      </w:tr>
    </w:tbl>
    <w:p w14:paraId="109692BD" w14:textId="77777777" w:rsidR="007767E2" w:rsidRPr="00362FE8" w:rsidRDefault="007767E2" w:rsidP="007767E2">
      <w:pPr>
        <w:jc w:val="both"/>
        <w:rPr>
          <w:rFonts w:ascii="Times New Roman" w:hAnsi="Times New Roman" w:cs="Times New Roman"/>
        </w:rPr>
      </w:pPr>
    </w:p>
    <w:p w14:paraId="7B8827D0" w14:textId="77777777" w:rsidR="007767E2" w:rsidRDefault="007767E2" w:rsidP="007767E2">
      <w:pPr>
        <w:spacing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4 highlights the effects of different corn varieties, nitrogen fertilizers, and their combined interaction on root diameter. Both individual and interaction effects significantly influenced the root diameter, as indicated by the mean values and ranking of treatments.</w:t>
      </w:r>
      <w:r>
        <w:rPr>
          <w:rFonts w:ascii="Times New Roman" w:hAnsi="Times New Roman" w:cs="Times New Roman"/>
          <w:sz w:val="24"/>
          <w:szCs w:val="24"/>
        </w:rPr>
        <w:t xml:space="preserve"> In terms of corn variety, s</w:t>
      </w:r>
      <w:r w:rsidRPr="00362FE8">
        <w:rPr>
          <w:rFonts w:ascii="Times New Roman" w:hAnsi="Times New Roman" w:cs="Times New Roman"/>
          <w:sz w:val="24"/>
          <w:szCs w:val="24"/>
        </w:rPr>
        <w:t>weetcorn</w:t>
      </w:r>
      <w:r>
        <w:rPr>
          <w:rFonts w:ascii="Times New Roman" w:hAnsi="Times New Roman" w:cs="Times New Roman"/>
          <w:sz w:val="24"/>
          <w:szCs w:val="24"/>
        </w:rPr>
        <w:t xml:space="preserve"> </w:t>
      </w:r>
      <w:r w:rsidRPr="00362FE8">
        <w:rPr>
          <w:rFonts w:ascii="Times New Roman" w:hAnsi="Times New Roman" w:cs="Times New Roman"/>
          <w:sz w:val="24"/>
          <w:szCs w:val="24"/>
        </w:rPr>
        <w:t>exhibited a slightly larger mean root diameter (4.57 mm) compared to native corn</w:t>
      </w:r>
      <w:r>
        <w:rPr>
          <w:rFonts w:ascii="Times New Roman" w:hAnsi="Times New Roman" w:cs="Times New Roman"/>
          <w:sz w:val="24"/>
          <w:szCs w:val="24"/>
        </w:rPr>
        <w:t xml:space="preserve"> </w:t>
      </w:r>
      <w:r w:rsidRPr="00362FE8">
        <w:rPr>
          <w:rFonts w:ascii="Times New Roman" w:hAnsi="Times New Roman" w:cs="Times New Roman"/>
          <w:sz w:val="24"/>
          <w:szCs w:val="24"/>
        </w:rPr>
        <w:t>(4.45 mm). This indicates that sweetcorn has a genetic advantage in developing thicker roots, likely due to its ability to better allocate resources for structural root development.</w:t>
      </w:r>
      <w:r>
        <w:rPr>
          <w:rFonts w:ascii="Times New Roman" w:hAnsi="Times New Roman" w:cs="Times New Roman"/>
          <w:sz w:val="24"/>
          <w:szCs w:val="24"/>
        </w:rPr>
        <w:t xml:space="preserve"> According to </w:t>
      </w:r>
      <w:r w:rsidRPr="00362FE8">
        <w:rPr>
          <w:rFonts w:ascii="Times New Roman" w:hAnsi="Times New Roman" w:cs="Times New Roman"/>
          <w:sz w:val="24"/>
          <w:szCs w:val="24"/>
        </w:rPr>
        <w:t>Shweta</w:t>
      </w:r>
      <w:r>
        <w:rPr>
          <w:rFonts w:ascii="Times New Roman" w:hAnsi="Times New Roman" w:cs="Times New Roman"/>
          <w:sz w:val="24"/>
          <w:szCs w:val="24"/>
        </w:rPr>
        <w:t xml:space="preserve"> et al., (2020), s</w:t>
      </w:r>
      <w:r w:rsidRPr="00362FE8">
        <w:rPr>
          <w:rFonts w:ascii="Times New Roman" w:hAnsi="Times New Roman" w:cs="Times New Roman"/>
          <w:sz w:val="24"/>
          <w:szCs w:val="24"/>
        </w:rPr>
        <w:t xml:space="preserve">weetcorn, being a high-input crop, has been bred for traits that allow it to efficiently allocate resources to root thickening for better nutrient and water uptake. </w:t>
      </w:r>
    </w:p>
    <w:p w14:paraId="316C4E86"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type of nitrogen fertilizer had a substantial impact on root diameter. </w:t>
      </w:r>
      <w:r w:rsidRPr="00362FE8">
        <w:rPr>
          <w:rFonts w:ascii="Times New Roman" w:eastAsia="Times New Roman" w:hAnsi="Times New Roman" w:cs="Times New Roman"/>
          <w:sz w:val="24"/>
          <w:szCs w:val="24"/>
          <w:lang w:eastAsia="en-PH"/>
        </w:rPr>
        <w:t>A</w:t>
      </w:r>
      <w:r>
        <w:rPr>
          <w:rFonts w:ascii="Times New Roman" w:eastAsia="Times New Roman" w:hAnsi="Times New Roman" w:cs="Times New Roman"/>
          <w:sz w:val="24"/>
          <w:szCs w:val="24"/>
          <w:lang w:eastAsia="en-PH"/>
        </w:rPr>
        <w:t>mong the different fertilizers, a</w:t>
      </w:r>
      <w:r w:rsidRPr="00362FE8">
        <w:rPr>
          <w:rFonts w:ascii="Times New Roman" w:eastAsia="Times New Roman" w:hAnsi="Times New Roman" w:cs="Times New Roman"/>
          <w:sz w:val="24"/>
          <w:szCs w:val="24"/>
          <w:lang w:eastAsia="en-PH"/>
        </w:rPr>
        <w:t>mmonium sulfate</w:t>
      </w:r>
      <w:r>
        <w:rPr>
          <w:rFonts w:ascii="Times New Roman" w:eastAsia="Times New Roman" w:hAnsi="Times New Roman" w:cs="Times New Roman"/>
          <w:sz w:val="24"/>
          <w:szCs w:val="24"/>
          <w:lang w:eastAsia="en-PH"/>
        </w:rPr>
        <w:t xml:space="preserve"> produced the thickest roots reaching 5.00 mm followed by urea with 4.85 mm. In contrast, diammonium phosphate (4.21mm) and ammonium phosphate (3.97mm) resulted in thinner roots compared to the other fertilizers. Ammonium phosphate produced the smallest root diameters likely because its primary benefit lies in phosphorus content, which primarily supports root elongation rather than thickening. Diammonium phosphate performed better than ammonium phosphate but was still outperformed by urea and ammonium sulfate. </w:t>
      </w:r>
      <w:r>
        <w:rPr>
          <w:rFonts w:ascii="Times New Roman" w:hAnsi="Times New Roman" w:cs="Times New Roman"/>
          <w:sz w:val="24"/>
          <w:szCs w:val="24"/>
        </w:rPr>
        <w:t xml:space="preserve">According to Ahmed et al., 2019 ammonium sulfate provides both nitrogen and sulfur, which are critical nutrients for root development. Hussain et al., 2020 added that sulfur supports protein synthesis and enzyme function, both of which contribute to stronger and more developed root structures. </w:t>
      </w:r>
      <w:r>
        <w:rPr>
          <w:rFonts w:ascii="Times New Roman" w:eastAsia="Times New Roman" w:hAnsi="Times New Roman" w:cs="Times New Roman"/>
          <w:sz w:val="24"/>
          <w:szCs w:val="24"/>
          <w:lang w:eastAsia="en-PH"/>
        </w:rPr>
        <w:t>Sharma, 2020 added that</w:t>
      </w:r>
      <w:r w:rsidRPr="00362FE8">
        <w:rPr>
          <w:rFonts w:ascii="Times New Roman" w:eastAsia="Times New Roman" w:hAnsi="Times New Roman" w:cs="Times New Roman"/>
          <w:sz w:val="24"/>
          <w:szCs w:val="24"/>
          <w:lang w:eastAsia="en-PH"/>
        </w:rPr>
        <w:t xml:space="preserve"> p</w:t>
      </w:r>
      <w:r>
        <w:rPr>
          <w:rFonts w:ascii="Times New Roman" w:eastAsia="Times New Roman" w:hAnsi="Times New Roman" w:cs="Times New Roman"/>
          <w:sz w:val="24"/>
          <w:szCs w:val="24"/>
          <w:lang w:eastAsia="en-PH"/>
        </w:rPr>
        <w:t>hosphorus i</w:t>
      </w:r>
      <w:r w:rsidRPr="00362FE8">
        <w:rPr>
          <w:rFonts w:ascii="Times New Roman" w:eastAsia="Times New Roman" w:hAnsi="Times New Roman" w:cs="Times New Roman"/>
          <w:sz w:val="24"/>
          <w:szCs w:val="24"/>
          <w:lang w:eastAsia="en-PH"/>
        </w:rPr>
        <w:t>n ammonium phosphate and diammonium phosphate</w:t>
      </w:r>
      <w:r>
        <w:rPr>
          <w:rFonts w:ascii="Times New Roman" w:eastAsia="Times New Roman" w:hAnsi="Times New Roman" w:cs="Times New Roman"/>
          <w:sz w:val="24"/>
          <w:szCs w:val="24"/>
          <w:lang w:eastAsia="en-PH"/>
        </w:rPr>
        <w:t xml:space="preserve"> fertilizers </w:t>
      </w:r>
      <w:r w:rsidRPr="00362FE8">
        <w:rPr>
          <w:rFonts w:ascii="Times New Roman" w:eastAsia="Times New Roman" w:hAnsi="Times New Roman" w:cs="Times New Roman"/>
          <w:sz w:val="24"/>
          <w:szCs w:val="24"/>
          <w:lang w:eastAsia="en-PH"/>
        </w:rPr>
        <w:t>are</w:t>
      </w:r>
      <w:r>
        <w:rPr>
          <w:rFonts w:ascii="Times New Roman" w:eastAsia="Times New Roman" w:hAnsi="Times New Roman" w:cs="Times New Roman"/>
          <w:sz w:val="24"/>
          <w:szCs w:val="24"/>
          <w:lang w:eastAsia="en-PH"/>
        </w:rPr>
        <w:t xml:space="preserve"> essential for root growth but primarily aids in root length rather than diameter.</w:t>
      </w:r>
    </w:p>
    <w:p w14:paraId="230D3D2E"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sz w:val="28"/>
          <w:szCs w:val="28"/>
          <w:lang w:eastAsia="en-PH"/>
        </w:rPr>
      </w:pPr>
      <w:r>
        <w:rPr>
          <w:rFonts w:ascii="Times New Roman" w:eastAsia="Times New Roman" w:hAnsi="Times New Roman" w:cs="Times New Roman"/>
          <w:sz w:val="24"/>
          <w:szCs w:val="24"/>
          <w:lang w:eastAsia="en-PH"/>
        </w:rPr>
        <w:t xml:space="preserve">The combined interaction between corn variety and fertilizer type was evident in the specific responses of each variety to the treatments. Sweetcorn treated with ammonium sulfate exhibited the largest root diameter (5.04 mm), showcasing the optimal match of fertilizer type and variety. Similarly, native corn treated with ammonium sulfate achieved a root diameter of 4.97 mm. Conversely, the smallest root diameters were observed with ammonium phosphate for both native corn (3.92 mm) and sweetcorn (4.01 mm). While phosphate is essential for root growth, it may not sufficiently enhance root thickening compared to nitrogen-rich sources like ammonium sulfate and urea. </w:t>
      </w:r>
      <w:r w:rsidRPr="00362FE8">
        <w:rPr>
          <w:rFonts w:ascii="Times New Roman" w:hAnsi="Times New Roman" w:cs="Times New Roman"/>
          <w:sz w:val="24"/>
          <w:szCs w:val="24"/>
        </w:rPr>
        <w:t xml:space="preserve">Kumar et al. (2019) </w:t>
      </w:r>
      <w:r>
        <w:rPr>
          <w:rFonts w:ascii="Times New Roman" w:hAnsi="Times New Roman" w:cs="Times New Roman"/>
          <w:sz w:val="24"/>
          <w:szCs w:val="24"/>
        </w:rPr>
        <w:t>stated</w:t>
      </w:r>
      <w:r w:rsidRPr="00362FE8">
        <w:rPr>
          <w:rFonts w:ascii="Times New Roman" w:hAnsi="Times New Roman" w:cs="Times New Roman"/>
          <w:sz w:val="24"/>
          <w:szCs w:val="24"/>
        </w:rPr>
        <w:t xml:space="preserve"> that high NUE varieties like sweetcorn </w:t>
      </w:r>
      <w:r w:rsidRPr="00362FE8">
        <w:rPr>
          <w:rFonts w:ascii="Times New Roman" w:hAnsi="Times New Roman" w:cs="Times New Roman"/>
          <w:sz w:val="24"/>
          <w:szCs w:val="24"/>
        </w:rPr>
        <w:lastRenderedPageBreak/>
        <w:t xml:space="preserve">optimize the benefits of </w:t>
      </w:r>
      <w:r>
        <w:rPr>
          <w:rFonts w:ascii="Times New Roman" w:hAnsi="Times New Roman" w:cs="Times New Roman"/>
          <w:sz w:val="24"/>
          <w:szCs w:val="24"/>
        </w:rPr>
        <w:t xml:space="preserve">ammonium-based </w:t>
      </w:r>
      <w:r w:rsidRPr="00362FE8">
        <w:rPr>
          <w:rFonts w:ascii="Times New Roman" w:hAnsi="Times New Roman" w:cs="Times New Roman"/>
          <w:sz w:val="24"/>
          <w:szCs w:val="24"/>
        </w:rPr>
        <w:t>fertilizers, leading to enhanced root morphology. Native corn, while responsive to ammonium-based fertilizers, shows a comparatively limited ability to process certain fertilizers like urea and phosphate-based ones, resulting in smaller root diameters</w:t>
      </w:r>
      <w:r>
        <w:rPr>
          <w:rFonts w:ascii="Times New Roman" w:hAnsi="Times New Roman" w:cs="Times New Roman"/>
          <w:sz w:val="24"/>
          <w:szCs w:val="24"/>
        </w:rPr>
        <w:t>.</w:t>
      </w:r>
    </w:p>
    <w:p w14:paraId="4DF0C0A9" w14:textId="1BD3932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slight variation in root diameter between the two varieties, with sweetcorn showing slightly greater diameters, suggests that sweetcorn might utilize these fertilizers more efficiently for root growth. This aligns </w:t>
      </w:r>
      <w:r w:rsidRPr="00BA5F62">
        <w:rPr>
          <w:rFonts w:ascii="Times New Roman" w:eastAsia="Times New Roman" w:hAnsi="Times New Roman" w:cs="Times New Roman"/>
          <w:sz w:val="24"/>
          <w:szCs w:val="24"/>
          <w:highlight w:val="yellow"/>
          <w:lang w:eastAsia="en-PH"/>
        </w:rPr>
        <w:t xml:space="preserve">with </w:t>
      </w:r>
      <w:r w:rsidR="00BA5F62" w:rsidRPr="00BA5F62">
        <w:rPr>
          <w:rFonts w:ascii="Times New Roman" w:eastAsia="Times New Roman" w:hAnsi="Times New Roman" w:cs="Times New Roman"/>
          <w:sz w:val="24"/>
          <w:szCs w:val="24"/>
          <w:highlight w:val="yellow"/>
          <w:lang w:eastAsia="en-PH"/>
        </w:rPr>
        <w:t xml:space="preserve">the </w:t>
      </w:r>
      <w:r w:rsidRPr="00BA5F62">
        <w:rPr>
          <w:rFonts w:ascii="Times New Roman" w:eastAsia="Times New Roman" w:hAnsi="Times New Roman" w:cs="Times New Roman"/>
          <w:sz w:val="24"/>
          <w:szCs w:val="24"/>
          <w:highlight w:val="yellow"/>
          <w:lang w:eastAsia="en-PH"/>
        </w:rPr>
        <w:t>find</w:t>
      </w:r>
      <w:r>
        <w:rPr>
          <w:rFonts w:ascii="Times New Roman" w:eastAsia="Times New Roman" w:hAnsi="Times New Roman" w:cs="Times New Roman"/>
          <w:sz w:val="24"/>
          <w:szCs w:val="24"/>
          <w:lang w:eastAsia="en-PH"/>
        </w:rPr>
        <w:t xml:space="preserve">ings of </w:t>
      </w:r>
      <w:proofErr w:type="spellStart"/>
      <w:r>
        <w:rPr>
          <w:rFonts w:ascii="Times New Roman" w:eastAsia="Times New Roman" w:hAnsi="Times New Roman" w:cs="Times New Roman"/>
          <w:sz w:val="24"/>
          <w:szCs w:val="24"/>
          <w:lang w:eastAsia="en-PH"/>
        </w:rPr>
        <w:t>Ciampitti</w:t>
      </w:r>
      <w:proofErr w:type="spellEnd"/>
      <w:r>
        <w:rPr>
          <w:rFonts w:ascii="Times New Roman" w:eastAsia="Times New Roman" w:hAnsi="Times New Roman" w:cs="Times New Roman"/>
          <w:sz w:val="24"/>
          <w:szCs w:val="24"/>
          <w:lang w:eastAsia="en-PH"/>
        </w:rPr>
        <w:t xml:space="preserve"> &amp; </w:t>
      </w:r>
      <w:proofErr w:type="spellStart"/>
      <w:r>
        <w:rPr>
          <w:rFonts w:ascii="Times New Roman" w:eastAsia="Times New Roman" w:hAnsi="Times New Roman" w:cs="Times New Roman"/>
          <w:sz w:val="24"/>
          <w:szCs w:val="24"/>
          <w:lang w:eastAsia="en-PH"/>
        </w:rPr>
        <w:t>Vyn</w:t>
      </w:r>
      <w:proofErr w:type="spellEnd"/>
      <w:r>
        <w:rPr>
          <w:rFonts w:ascii="Times New Roman" w:eastAsia="Times New Roman" w:hAnsi="Times New Roman" w:cs="Times New Roman"/>
          <w:sz w:val="24"/>
          <w:szCs w:val="24"/>
          <w:lang w:eastAsia="en-PH"/>
        </w:rPr>
        <w:t xml:space="preserve">, 2018 that sweetcorn often exhibits greater responsiveness to nutrient-rich fertilizers, especially for traits like root thickness that support nutrient and water uptake. </w:t>
      </w:r>
    </w:p>
    <w:p w14:paraId="281C0104" w14:textId="77777777" w:rsidR="007767E2"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p>
    <w:p w14:paraId="555FC653"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4: Root diameter (in mm) of Different Corn Varieties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25ABA4DB" w14:textId="77777777" w:rsidTr="00F13D08">
        <w:trPr>
          <w:trHeight w:val="384"/>
        </w:trPr>
        <w:tc>
          <w:tcPr>
            <w:tcW w:w="2977" w:type="dxa"/>
            <w:tcBorders>
              <w:top w:val="thinThickSmallGap" w:sz="24" w:space="0" w:color="auto"/>
              <w:bottom w:val="single" w:sz="4" w:space="0" w:color="auto"/>
            </w:tcBorders>
          </w:tcPr>
          <w:p w14:paraId="5648501E"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F36734E"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56F23A19" w14:textId="77777777" w:rsidR="007767E2" w:rsidRDefault="007767E2" w:rsidP="00F13D08">
            <w:pPr>
              <w:widowControl/>
              <w:spacing w:line="240" w:lineRule="auto"/>
              <w:rPr>
                <w:sz w:val="24"/>
                <w:szCs w:val="24"/>
              </w:rPr>
            </w:pPr>
          </w:p>
        </w:tc>
      </w:tr>
      <w:tr w:rsidR="007767E2" w14:paraId="7EDB5610" w14:textId="77777777" w:rsidTr="00F13D08">
        <w:trPr>
          <w:trHeight w:val="384"/>
        </w:trPr>
        <w:tc>
          <w:tcPr>
            <w:tcW w:w="2977" w:type="dxa"/>
            <w:tcBorders>
              <w:top w:val="single" w:sz="4" w:space="0" w:color="auto"/>
            </w:tcBorders>
          </w:tcPr>
          <w:p w14:paraId="44E01BE2"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649A7B06"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156E91CA"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4DDBA87B" w14:textId="77777777" w:rsidR="007767E2" w:rsidRDefault="007767E2" w:rsidP="00F13D08">
            <w:pPr>
              <w:widowControl/>
              <w:spacing w:line="240" w:lineRule="auto"/>
              <w:rPr>
                <w:sz w:val="24"/>
                <w:szCs w:val="24"/>
              </w:rPr>
            </w:pPr>
            <w:r>
              <w:rPr>
                <w:sz w:val="24"/>
                <w:szCs w:val="24"/>
              </w:rPr>
              <w:t>Mean</w:t>
            </w:r>
          </w:p>
        </w:tc>
      </w:tr>
      <w:tr w:rsidR="007767E2" w14:paraId="0C30FFE1" w14:textId="77777777" w:rsidTr="00F13D08">
        <w:trPr>
          <w:trHeight w:val="534"/>
        </w:trPr>
        <w:tc>
          <w:tcPr>
            <w:tcW w:w="2977" w:type="dxa"/>
          </w:tcPr>
          <w:p w14:paraId="3F81ACC8"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6CCE4FFE" w14:textId="77777777" w:rsidR="007767E2" w:rsidRDefault="007767E2" w:rsidP="00F13D08">
            <w:pPr>
              <w:widowControl/>
              <w:spacing w:line="240" w:lineRule="auto"/>
              <w:rPr>
                <w:sz w:val="24"/>
                <w:szCs w:val="24"/>
                <w:vertAlign w:val="superscript"/>
              </w:rPr>
            </w:pPr>
            <w:r>
              <w:rPr>
                <w:sz w:val="24"/>
                <w:szCs w:val="24"/>
                <w:lang w:eastAsia="en-PH"/>
              </w:rPr>
              <w:t>4.07</w:t>
            </w:r>
            <w:r>
              <w:rPr>
                <w:sz w:val="24"/>
                <w:szCs w:val="24"/>
                <w:vertAlign w:val="superscript"/>
                <w:lang w:eastAsia="en-PH"/>
              </w:rPr>
              <w:t>e</w:t>
            </w:r>
          </w:p>
        </w:tc>
        <w:tc>
          <w:tcPr>
            <w:tcW w:w="2126" w:type="dxa"/>
          </w:tcPr>
          <w:p w14:paraId="41DFAD39" w14:textId="77777777" w:rsidR="007767E2" w:rsidRDefault="007767E2" w:rsidP="00F13D08">
            <w:pPr>
              <w:widowControl/>
              <w:spacing w:line="240" w:lineRule="auto"/>
              <w:rPr>
                <w:sz w:val="24"/>
                <w:szCs w:val="24"/>
                <w:vertAlign w:val="superscript"/>
              </w:rPr>
            </w:pPr>
            <w:r>
              <w:rPr>
                <w:sz w:val="24"/>
                <w:szCs w:val="24"/>
                <w:lang w:eastAsia="en-PH"/>
              </w:rPr>
              <w:t>4.35</w:t>
            </w:r>
            <w:r>
              <w:rPr>
                <w:sz w:val="24"/>
                <w:szCs w:val="24"/>
                <w:vertAlign w:val="superscript"/>
                <w:lang w:eastAsia="en-PH"/>
              </w:rPr>
              <w:t>d</w:t>
            </w:r>
          </w:p>
        </w:tc>
        <w:tc>
          <w:tcPr>
            <w:tcW w:w="1271" w:type="dxa"/>
          </w:tcPr>
          <w:p w14:paraId="3D05378D" w14:textId="77777777" w:rsidR="007767E2" w:rsidRDefault="007767E2" w:rsidP="00F13D08">
            <w:pPr>
              <w:widowControl/>
              <w:spacing w:line="240" w:lineRule="auto"/>
              <w:rPr>
                <w:sz w:val="24"/>
                <w:szCs w:val="24"/>
                <w:vertAlign w:val="superscript"/>
              </w:rPr>
            </w:pPr>
            <w:r>
              <w:rPr>
                <w:sz w:val="24"/>
                <w:szCs w:val="24"/>
              </w:rPr>
              <w:t>4.21</w:t>
            </w:r>
            <w:r>
              <w:rPr>
                <w:sz w:val="24"/>
                <w:szCs w:val="24"/>
                <w:vertAlign w:val="superscript"/>
              </w:rPr>
              <w:t>c</w:t>
            </w:r>
          </w:p>
        </w:tc>
      </w:tr>
      <w:tr w:rsidR="007767E2" w14:paraId="7697BE8F" w14:textId="77777777" w:rsidTr="00F13D08">
        <w:trPr>
          <w:trHeight w:val="384"/>
        </w:trPr>
        <w:tc>
          <w:tcPr>
            <w:tcW w:w="2977" w:type="dxa"/>
          </w:tcPr>
          <w:p w14:paraId="4ED5248B" w14:textId="77777777" w:rsidR="007767E2" w:rsidRDefault="007767E2" w:rsidP="00F13D08">
            <w:pPr>
              <w:widowControl/>
              <w:spacing w:line="240" w:lineRule="auto"/>
              <w:rPr>
                <w:sz w:val="24"/>
                <w:szCs w:val="24"/>
              </w:rPr>
            </w:pPr>
            <w:r>
              <w:rPr>
                <w:sz w:val="24"/>
                <w:szCs w:val="24"/>
              </w:rPr>
              <w:t>F2 (urea)</w:t>
            </w:r>
          </w:p>
        </w:tc>
        <w:tc>
          <w:tcPr>
            <w:tcW w:w="1985" w:type="dxa"/>
          </w:tcPr>
          <w:p w14:paraId="61E7BF1D" w14:textId="77777777" w:rsidR="007767E2" w:rsidRDefault="007767E2" w:rsidP="00F13D08">
            <w:pPr>
              <w:widowControl/>
              <w:spacing w:line="240" w:lineRule="auto"/>
              <w:rPr>
                <w:sz w:val="24"/>
                <w:szCs w:val="24"/>
                <w:vertAlign w:val="superscript"/>
              </w:rPr>
            </w:pPr>
            <w:r>
              <w:rPr>
                <w:sz w:val="24"/>
                <w:szCs w:val="24"/>
                <w:lang w:eastAsia="en-PH"/>
              </w:rPr>
              <w:t>4.83</w:t>
            </w:r>
            <w:r>
              <w:rPr>
                <w:sz w:val="24"/>
                <w:szCs w:val="24"/>
                <w:vertAlign w:val="superscript"/>
                <w:lang w:eastAsia="en-PH"/>
              </w:rPr>
              <w:t>c</w:t>
            </w:r>
          </w:p>
        </w:tc>
        <w:tc>
          <w:tcPr>
            <w:tcW w:w="2126" w:type="dxa"/>
          </w:tcPr>
          <w:p w14:paraId="129B947A" w14:textId="77777777" w:rsidR="007767E2" w:rsidRDefault="007767E2" w:rsidP="00F13D08">
            <w:pPr>
              <w:widowControl/>
              <w:spacing w:line="240" w:lineRule="auto"/>
              <w:rPr>
                <w:sz w:val="24"/>
                <w:szCs w:val="24"/>
                <w:vertAlign w:val="superscript"/>
              </w:rPr>
            </w:pPr>
            <w:r>
              <w:rPr>
                <w:sz w:val="24"/>
                <w:szCs w:val="24"/>
                <w:lang w:eastAsia="en-PH"/>
              </w:rPr>
              <w:t>4.87</w:t>
            </w:r>
            <w:r>
              <w:rPr>
                <w:sz w:val="24"/>
                <w:szCs w:val="24"/>
                <w:vertAlign w:val="superscript"/>
                <w:lang w:eastAsia="en-PH"/>
              </w:rPr>
              <w:t>bc</w:t>
            </w:r>
          </w:p>
        </w:tc>
        <w:tc>
          <w:tcPr>
            <w:tcW w:w="1271" w:type="dxa"/>
          </w:tcPr>
          <w:p w14:paraId="759BD719" w14:textId="77777777" w:rsidR="007767E2" w:rsidRDefault="007767E2" w:rsidP="00F13D08">
            <w:pPr>
              <w:widowControl/>
              <w:spacing w:line="240" w:lineRule="auto"/>
              <w:rPr>
                <w:sz w:val="24"/>
                <w:szCs w:val="24"/>
                <w:vertAlign w:val="superscript"/>
              </w:rPr>
            </w:pPr>
            <w:r>
              <w:rPr>
                <w:sz w:val="24"/>
                <w:szCs w:val="24"/>
              </w:rPr>
              <w:t>4.85</w:t>
            </w:r>
            <w:r>
              <w:rPr>
                <w:sz w:val="24"/>
                <w:szCs w:val="24"/>
                <w:vertAlign w:val="superscript"/>
              </w:rPr>
              <w:t>b</w:t>
            </w:r>
          </w:p>
        </w:tc>
      </w:tr>
      <w:tr w:rsidR="007767E2" w14:paraId="78FD1AC6" w14:textId="77777777" w:rsidTr="00F13D08">
        <w:trPr>
          <w:trHeight w:val="384"/>
        </w:trPr>
        <w:tc>
          <w:tcPr>
            <w:tcW w:w="2977" w:type="dxa"/>
          </w:tcPr>
          <w:p w14:paraId="3676641E"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76EBA996" w14:textId="77777777" w:rsidR="007767E2" w:rsidRDefault="007767E2" w:rsidP="00F13D08">
            <w:pPr>
              <w:widowControl/>
              <w:spacing w:line="240" w:lineRule="auto"/>
              <w:rPr>
                <w:sz w:val="24"/>
                <w:szCs w:val="24"/>
                <w:vertAlign w:val="superscript"/>
              </w:rPr>
            </w:pPr>
            <w:r>
              <w:rPr>
                <w:sz w:val="24"/>
                <w:szCs w:val="24"/>
                <w:lang w:eastAsia="en-PH"/>
              </w:rPr>
              <w:t>3.9</w:t>
            </w:r>
            <w:r w:rsidRPr="00362FE8">
              <w:rPr>
                <w:sz w:val="24"/>
                <w:szCs w:val="24"/>
                <w:lang w:eastAsia="en-PH"/>
              </w:rPr>
              <w:t>2</w:t>
            </w:r>
            <w:r>
              <w:rPr>
                <w:sz w:val="24"/>
                <w:szCs w:val="24"/>
                <w:vertAlign w:val="superscript"/>
                <w:lang w:eastAsia="en-PH"/>
              </w:rPr>
              <w:t>f</w:t>
            </w:r>
          </w:p>
        </w:tc>
        <w:tc>
          <w:tcPr>
            <w:tcW w:w="2126" w:type="dxa"/>
          </w:tcPr>
          <w:p w14:paraId="49D5E5C3" w14:textId="77777777" w:rsidR="007767E2" w:rsidRDefault="007767E2" w:rsidP="00F13D08">
            <w:pPr>
              <w:widowControl/>
              <w:spacing w:line="240" w:lineRule="auto"/>
              <w:rPr>
                <w:sz w:val="24"/>
                <w:szCs w:val="24"/>
                <w:vertAlign w:val="superscript"/>
              </w:rPr>
            </w:pPr>
            <w:r>
              <w:rPr>
                <w:sz w:val="24"/>
                <w:szCs w:val="24"/>
                <w:lang w:eastAsia="en-PH"/>
              </w:rPr>
              <w:t>4.01</w:t>
            </w:r>
            <w:r>
              <w:rPr>
                <w:sz w:val="24"/>
                <w:szCs w:val="24"/>
                <w:vertAlign w:val="superscript"/>
                <w:lang w:eastAsia="en-PH"/>
              </w:rPr>
              <w:t>ef</w:t>
            </w:r>
          </w:p>
        </w:tc>
        <w:tc>
          <w:tcPr>
            <w:tcW w:w="1271" w:type="dxa"/>
          </w:tcPr>
          <w:p w14:paraId="2DDC56DD" w14:textId="77777777" w:rsidR="007767E2" w:rsidRDefault="007767E2" w:rsidP="00F13D08">
            <w:pPr>
              <w:widowControl/>
              <w:spacing w:line="240" w:lineRule="auto"/>
              <w:rPr>
                <w:sz w:val="24"/>
                <w:szCs w:val="24"/>
                <w:vertAlign w:val="superscript"/>
              </w:rPr>
            </w:pPr>
            <w:r>
              <w:rPr>
                <w:sz w:val="24"/>
                <w:szCs w:val="24"/>
              </w:rPr>
              <w:t>3.97</w:t>
            </w:r>
            <w:r>
              <w:rPr>
                <w:sz w:val="24"/>
                <w:szCs w:val="24"/>
                <w:vertAlign w:val="superscript"/>
              </w:rPr>
              <w:t>d</w:t>
            </w:r>
          </w:p>
        </w:tc>
      </w:tr>
      <w:tr w:rsidR="007767E2" w14:paraId="06C57C0F" w14:textId="77777777" w:rsidTr="00F13D08">
        <w:trPr>
          <w:trHeight w:val="384"/>
        </w:trPr>
        <w:tc>
          <w:tcPr>
            <w:tcW w:w="2977" w:type="dxa"/>
          </w:tcPr>
          <w:p w14:paraId="20F90A81"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0D14B1FC" w14:textId="77777777" w:rsidR="007767E2" w:rsidRDefault="007767E2" w:rsidP="00F13D08">
            <w:pPr>
              <w:widowControl/>
              <w:spacing w:line="240" w:lineRule="auto"/>
              <w:rPr>
                <w:sz w:val="24"/>
                <w:szCs w:val="24"/>
                <w:vertAlign w:val="superscript"/>
              </w:rPr>
            </w:pPr>
            <w:r>
              <w:rPr>
                <w:sz w:val="24"/>
                <w:szCs w:val="24"/>
                <w:lang w:eastAsia="en-PH"/>
              </w:rPr>
              <w:t>4.97</w:t>
            </w:r>
            <w:r>
              <w:rPr>
                <w:sz w:val="24"/>
                <w:szCs w:val="24"/>
                <w:vertAlign w:val="superscript"/>
                <w:lang w:eastAsia="en-PH"/>
              </w:rPr>
              <w:t>ab</w:t>
            </w:r>
          </w:p>
        </w:tc>
        <w:tc>
          <w:tcPr>
            <w:tcW w:w="2126" w:type="dxa"/>
          </w:tcPr>
          <w:p w14:paraId="6DFCD015" w14:textId="77777777" w:rsidR="007767E2" w:rsidRDefault="007767E2" w:rsidP="00F13D08">
            <w:pPr>
              <w:widowControl/>
              <w:spacing w:line="240" w:lineRule="auto"/>
              <w:rPr>
                <w:sz w:val="24"/>
                <w:szCs w:val="24"/>
                <w:vertAlign w:val="superscript"/>
              </w:rPr>
            </w:pPr>
            <w:r>
              <w:rPr>
                <w:sz w:val="24"/>
                <w:szCs w:val="24"/>
                <w:lang w:eastAsia="en-PH"/>
              </w:rPr>
              <w:t>5.0</w:t>
            </w:r>
            <w:r w:rsidRPr="00362FE8">
              <w:rPr>
                <w:sz w:val="24"/>
                <w:szCs w:val="24"/>
                <w:lang w:eastAsia="en-PH"/>
              </w:rPr>
              <w:t>4</w:t>
            </w:r>
            <w:r>
              <w:rPr>
                <w:sz w:val="24"/>
                <w:szCs w:val="24"/>
                <w:vertAlign w:val="superscript"/>
                <w:lang w:eastAsia="en-PH"/>
              </w:rPr>
              <w:t>a</w:t>
            </w:r>
          </w:p>
        </w:tc>
        <w:tc>
          <w:tcPr>
            <w:tcW w:w="1271" w:type="dxa"/>
          </w:tcPr>
          <w:p w14:paraId="16C7B708" w14:textId="77777777" w:rsidR="007767E2" w:rsidRDefault="007767E2" w:rsidP="00F13D08">
            <w:pPr>
              <w:widowControl/>
              <w:tabs>
                <w:tab w:val="left" w:pos="1130"/>
              </w:tabs>
              <w:spacing w:line="240" w:lineRule="auto"/>
              <w:rPr>
                <w:sz w:val="24"/>
                <w:szCs w:val="24"/>
                <w:vertAlign w:val="superscript"/>
              </w:rPr>
            </w:pPr>
            <w:r>
              <w:rPr>
                <w:sz w:val="24"/>
                <w:szCs w:val="24"/>
              </w:rPr>
              <w:t>5.00</w:t>
            </w:r>
            <w:r>
              <w:rPr>
                <w:sz w:val="24"/>
                <w:szCs w:val="24"/>
                <w:vertAlign w:val="superscript"/>
              </w:rPr>
              <w:t>a</w:t>
            </w:r>
          </w:p>
        </w:tc>
      </w:tr>
      <w:tr w:rsidR="007767E2" w14:paraId="566C1F6C" w14:textId="77777777" w:rsidTr="00F13D08">
        <w:trPr>
          <w:trHeight w:val="393"/>
        </w:trPr>
        <w:tc>
          <w:tcPr>
            <w:tcW w:w="2977" w:type="dxa"/>
            <w:tcBorders>
              <w:bottom w:val="thinThickSmallGap" w:sz="24" w:space="0" w:color="auto"/>
            </w:tcBorders>
          </w:tcPr>
          <w:p w14:paraId="6135103B"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4BBC9DE5" w14:textId="77777777" w:rsidR="007767E2" w:rsidRPr="00362FE8" w:rsidRDefault="007767E2" w:rsidP="00F13D08">
            <w:pPr>
              <w:widowControl/>
              <w:spacing w:line="240" w:lineRule="auto"/>
              <w:rPr>
                <w:sz w:val="24"/>
                <w:szCs w:val="24"/>
                <w:vertAlign w:val="superscript"/>
              </w:rPr>
            </w:pPr>
            <w:r>
              <w:rPr>
                <w:sz w:val="24"/>
                <w:szCs w:val="24"/>
              </w:rPr>
              <w:t>4.45</w:t>
            </w:r>
            <w:r>
              <w:rPr>
                <w:sz w:val="24"/>
                <w:szCs w:val="24"/>
                <w:vertAlign w:val="superscript"/>
              </w:rPr>
              <w:t>a</w:t>
            </w:r>
          </w:p>
        </w:tc>
        <w:tc>
          <w:tcPr>
            <w:tcW w:w="2126" w:type="dxa"/>
            <w:tcBorders>
              <w:bottom w:val="thinThickSmallGap" w:sz="24" w:space="0" w:color="auto"/>
            </w:tcBorders>
          </w:tcPr>
          <w:p w14:paraId="1E023AB4" w14:textId="77777777" w:rsidR="007767E2" w:rsidRPr="00362FE8" w:rsidRDefault="007767E2" w:rsidP="00F13D08">
            <w:pPr>
              <w:widowControl/>
              <w:spacing w:line="240" w:lineRule="auto"/>
              <w:rPr>
                <w:sz w:val="24"/>
                <w:szCs w:val="24"/>
                <w:vertAlign w:val="superscript"/>
              </w:rPr>
            </w:pPr>
            <w:r>
              <w:rPr>
                <w:sz w:val="24"/>
                <w:szCs w:val="24"/>
              </w:rPr>
              <w:t>4.57</w:t>
            </w:r>
            <w:r>
              <w:rPr>
                <w:sz w:val="24"/>
                <w:szCs w:val="24"/>
                <w:vertAlign w:val="superscript"/>
              </w:rPr>
              <w:t>a</w:t>
            </w:r>
          </w:p>
        </w:tc>
        <w:tc>
          <w:tcPr>
            <w:tcW w:w="1271" w:type="dxa"/>
            <w:tcBorders>
              <w:bottom w:val="thinThickSmallGap" w:sz="24" w:space="0" w:color="auto"/>
            </w:tcBorders>
          </w:tcPr>
          <w:p w14:paraId="5692BD11" w14:textId="77777777" w:rsidR="007767E2" w:rsidRDefault="007767E2" w:rsidP="00F13D08">
            <w:pPr>
              <w:widowControl/>
              <w:spacing w:line="240" w:lineRule="auto"/>
              <w:rPr>
                <w:sz w:val="24"/>
                <w:szCs w:val="24"/>
              </w:rPr>
            </w:pPr>
          </w:p>
        </w:tc>
      </w:tr>
      <w:tr w:rsidR="007767E2" w14:paraId="62A00837" w14:textId="77777777" w:rsidTr="00F13D08">
        <w:trPr>
          <w:trHeight w:val="393"/>
        </w:trPr>
        <w:tc>
          <w:tcPr>
            <w:tcW w:w="2977" w:type="dxa"/>
            <w:tcBorders>
              <w:top w:val="thinThickSmallGap" w:sz="24" w:space="0" w:color="auto"/>
              <w:bottom w:val="thickThinSmallGap" w:sz="24" w:space="0" w:color="auto"/>
            </w:tcBorders>
          </w:tcPr>
          <w:p w14:paraId="0CFE61CE" w14:textId="77777777" w:rsidR="007767E2" w:rsidRPr="00362FE8" w:rsidRDefault="007767E2" w:rsidP="00F13D08">
            <w:pPr>
              <w:spacing w:after="0"/>
            </w:pPr>
            <w:r>
              <w:t>C.V. (A) = 1.82 % (B) = 2.12 %</w:t>
            </w:r>
          </w:p>
        </w:tc>
        <w:tc>
          <w:tcPr>
            <w:tcW w:w="1985" w:type="dxa"/>
            <w:tcBorders>
              <w:top w:val="thinThickSmallGap" w:sz="24" w:space="0" w:color="auto"/>
              <w:bottom w:val="thickThinSmallGap" w:sz="24" w:space="0" w:color="auto"/>
            </w:tcBorders>
          </w:tcPr>
          <w:p w14:paraId="15FAE113"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54994315"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16AF6AC7" w14:textId="77777777" w:rsidR="007767E2" w:rsidRDefault="007767E2" w:rsidP="00F13D08">
            <w:pPr>
              <w:spacing w:line="240" w:lineRule="auto"/>
              <w:rPr>
                <w:sz w:val="24"/>
                <w:szCs w:val="24"/>
              </w:rPr>
            </w:pPr>
          </w:p>
        </w:tc>
      </w:tr>
    </w:tbl>
    <w:p w14:paraId="30682177"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The data in Table 5 indicates that root dry mass </w:t>
      </w:r>
      <w:r>
        <w:rPr>
          <w:rFonts w:ascii="Times New Roman" w:hAnsi="Times New Roman" w:cs="Times New Roman"/>
          <w:sz w:val="24"/>
          <w:szCs w:val="24"/>
        </w:rPr>
        <w:t xml:space="preserve">(g/cm³) </w:t>
      </w:r>
      <w:r w:rsidRPr="00362FE8">
        <w:rPr>
          <w:rFonts w:ascii="Times New Roman" w:hAnsi="Times New Roman" w:cs="Times New Roman"/>
          <w:sz w:val="24"/>
          <w:szCs w:val="24"/>
        </w:rPr>
        <w:t>is significantly influenced by the individual effects of corn variety and nitrogen fertilizer type, as well as their combined interaction.</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exhibited a higher mean root dry mass (0.0045 g/cm³) compared to native corn which had a mean of 0.0039 g/cm³. This indicates that sweetcorn has a genetic advantage in developing root systems with greater biomass. Similarly, Li et al. (20</w:t>
      </w:r>
      <w:r>
        <w:rPr>
          <w:rFonts w:ascii="Times New Roman" w:hAnsi="Times New Roman" w:cs="Times New Roman"/>
          <w:sz w:val="24"/>
          <w:szCs w:val="24"/>
        </w:rPr>
        <w:t>22</w:t>
      </w:r>
      <w:r w:rsidRPr="00362FE8">
        <w:rPr>
          <w:rFonts w:ascii="Times New Roman" w:hAnsi="Times New Roman" w:cs="Times New Roman"/>
          <w:sz w:val="24"/>
          <w:szCs w:val="24"/>
        </w:rPr>
        <w:t>) found that sweetcorn exhibited more robust root systems with greater dry mass than traditional varieties, particularly under adequate nitrogen supply, due to its enhanced root architectural traits.</w:t>
      </w:r>
      <w:r>
        <w:rPr>
          <w:rFonts w:ascii="Times New Roman" w:hAnsi="Times New Roman" w:cs="Times New Roman"/>
          <w:sz w:val="24"/>
          <w:szCs w:val="24"/>
        </w:rPr>
        <w:t xml:space="preserve"> </w:t>
      </w:r>
      <w:r w:rsidRPr="00362FE8">
        <w:rPr>
          <w:rFonts w:ascii="Times New Roman" w:hAnsi="Times New Roman" w:cs="Times New Roman"/>
          <w:sz w:val="24"/>
          <w:szCs w:val="24"/>
        </w:rPr>
        <w:t>Sweetcorn’s ability to allocate resources more efficiently to root development supports its higher dry mass, reflecting better nitrogen uptake and utilization compared to native corn.</w:t>
      </w:r>
    </w:p>
    <w:p w14:paraId="25D892E5"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lastRenderedPageBreak/>
        <w:t xml:space="preserve">Among the fertilizers tested, </w:t>
      </w:r>
      <w:r w:rsidRPr="00362FE8">
        <w:rPr>
          <w:rFonts w:ascii="Times New Roman" w:eastAsia="Times New Roman" w:hAnsi="Times New Roman" w:cs="Times New Roman"/>
          <w:sz w:val="24"/>
          <w:szCs w:val="24"/>
          <w:lang w:eastAsia="en-PH"/>
        </w:rPr>
        <w:t xml:space="preserve">ammonium sulfate </w:t>
      </w:r>
      <w:r>
        <w:rPr>
          <w:rFonts w:ascii="Times New Roman" w:eastAsia="Times New Roman" w:hAnsi="Times New Roman" w:cs="Times New Roman"/>
          <w:sz w:val="24"/>
          <w:szCs w:val="24"/>
          <w:lang w:eastAsia="en-PH"/>
        </w:rPr>
        <w:t xml:space="preserve">resulted in the highest root dry mass achieving the highest value (0.0047 g/cm³). Diammonium phosphate was the second most effective fertilizer (0.0042 g/cm³), likely due to its phosphorus content, which supports energy transfer and root development. In contrast, urea (0.0041 g/cm³) and ammonium phosphate (0.0039 g/cm³) resulted in significantly lower root dry mass among other fertilizers. </w:t>
      </w:r>
      <w:r>
        <w:rPr>
          <w:rFonts w:ascii="Times New Roman" w:hAnsi="Times New Roman" w:cs="Times New Roman"/>
          <w:sz w:val="24"/>
          <w:szCs w:val="24"/>
        </w:rPr>
        <w:t xml:space="preserve">This aligns with the result of the study conducted by </w:t>
      </w:r>
      <w:proofErr w:type="spellStart"/>
      <w:r>
        <w:rPr>
          <w:rStyle w:val="Strong"/>
          <w:rFonts w:ascii="Times New Roman" w:hAnsi="Times New Roman"/>
          <w:b w:val="0"/>
          <w:bCs w:val="0"/>
          <w:sz w:val="24"/>
          <w:szCs w:val="24"/>
        </w:rPr>
        <w:t>Razaq</w:t>
      </w:r>
      <w:proofErr w:type="spellEnd"/>
      <w:r>
        <w:rPr>
          <w:rFonts w:ascii="Times New Roman" w:hAnsi="Times New Roman" w:cs="Times New Roman"/>
          <w:sz w:val="24"/>
          <w:szCs w:val="24"/>
        </w:rPr>
        <w:t xml:space="preserve"> et al., 2017 which states that nitrogen type influences root morphology, with ammonium sources fostering more extensive root systems than phosphate-based fertilizers. </w:t>
      </w:r>
      <w:proofErr w:type="spellStart"/>
      <w:r>
        <w:rPr>
          <w:rFonts w:ascii="Times New Roman" w:eastAsia="Times New Roman" w:hAnsi="Times New Roman" w:cs="Times New Roman"/>
          <w:sz w:val="24"/>
          <w:szCs w:val="24"/>
          <w:lang w:eastAsia="en-PH"/>
        </w:rPr>
        <w:t>Hawkesford</w:t>
      </w:r>
      <w:proofErr w:type="spellEnd"/>
      <w:r>
        <w:rPr>
          <w:rFonts w:ascii="Times New Roman" w:eastAsia="Times New Roman" w:hAnsi="Times New Roman" w:cs="Times New Roman"/>
          <w:sz w:val="24"/>
          <w:szCs w:val="24"/>
          <w:lang w:eastAsia="en-PH"/>
        </w:rPr>
        <w:t>, M. (2012) research reviews how various nitrogen forms affect plant growth and nitrogen uptake efficiency, highlighting ammonium sources as more readily absorbed and utilized for root development compared to urea or nitrate-based fertilizers, consistent with higher root dry mass in ammonium sulfate treatments.</w:t>
      </w:r>
    </w:p>
    <w:p w14:paraId="00882BAB"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 combined interaction between corn variety and fertilizer type revealed that sweetcorn treated with ammonium sulfate had the highest root dry mass (0.0051 g/cm³). Native corn also performed well with ammonium sulfate (0.0043 g/cm³), although to a lesser extent than sweetcorn. Conversely, the lowest root dry mass values were recorded for native corn treated with diammonium phosphate (0.0033 g/cm³) and ammonium phosphate (0.0037 g/cm³) which is significantly lower than diammonium phosphate applied to sweetcorn (0.0050g/cm³). According to </w:t>
      </w:r>
      <w:r>
        <w:rPr>
          <w:rFonts w:ascii="Times New Roman" w:hAnsi="Times New Roman" w:cs="Times New Roman"/>
          <w:sz w:val="24"/>
          <w:szCs w:val="24"/>
        </w:rPr>
        <w:t xml:space="preserve">Zhao et al. (2022), ammonium-based fertilizers such as ammonium sulfate increase root mass due to their direct availability and influence on root morphology especially on sweetcorn which produces more root mass than native corn that supports root growth more effectively than the other fertilizers tested. </w:t>
      </w:r>
    </w:p>
    <w:p w14:paraId="02FFF5BF"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5: Root dry mass (in g/cm</w:t>
      </w:r>
      <w:r>
        <w:rPr>
          <w:rFonts w:ascii="Times New Roman" w:hAnsi="Times New Roman" w:cs="Times New Roman"/>
          <w:sz w:val="24"/>
          <w:szCs w:val="24"/>
          <w:vertAlign w:val="superscript"/>
        </w:rPr>
        <w:t>3</w:t>
      </w:r>
      <w:r>
        <w:rPr>
          <w:rFonts w:ascii="Times New Roman" w:hAnsi="Times New Roman" w:cs="Times New Roman"/>
          <w:sz w:val="24"/>
          <w:szCs w:val="24"/>
        </w:rPr>
        <w:t>) of Different Corn Varieties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37AE4810" w14:textId="77777777" w:rsidTr="00F13D08">
        <w:trPr>
          <w:trHeight w:val="384"/>
        </w:trPr>
        <w:tc>
          <w:tcPr>
            <w:tcW w:w="2977" w:type="dxa"/>
            <w:tcBorders>
              <w:top w:val="thinThickSmallGap" w:sz="24" w:space="0" w:color="auto"/>
              <w:bottom w:val="single" w:sz="4" w:space="0" w:color="auto"/>
            </w:tcBorders>
          </w:tcPr>
          <w:p w14:paraId="308363D3"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3B9966E9"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70DCE41" w14:textId="77777777" w:rsidR="007767E2" w:rsidRDefault="007767E2" w:rsidP="00F13D08">
            <w:pPr>
              <w:widowControl/>
              <w:spacing w:line="240" w:lineRule="auto"/>
              <w:rPr>
                <w:sz w:val="24"/>
                <w:szCs w:val="24"/>
              </w:rPr>
            </w:pPr>
          </w:p>
        </w:tc>
      </w:tr>
      <w:tr w:rsidR="007767E2" w14:paraId="3BBC0F15" w14:textId="77777777" w:rsidTr="00F13D08">
        <w:trPr>
          <w:trHeight w:val="384"/>
        </w:trPr>
        <w:tc>
          <w:tcPr>
            <w:tcW w:w="2977" w:type="dxa"/>
            <w:tcBorders>
              <w:top w:val="single" w:sz="4" w:space="0" w:color="auto"/>
            </w:tcBorders>
          </w:tcPr>
          <w:p w14:paraId="340F6D59"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4EE2B983"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6AF3A9AF"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20C18946" w14:textId="77777777" w:rsidR="007767E2" w:rsidRDefault="007767E2" w:rsidP="00F13D08">
            <w:pPr>
              <w:widowControl/>
              <w:spacing w:line="240" w:lineRule="auto"/>
              <w:rPr>
                <w:sz w:val="24"/>
                <w:szCs w:val="24"/>
              </w:rPr>
            </w:pPr>
            <w:r>
              <w:rPr>
                <w:sz w:val="24"/>
                <w:szCs w:val="24"/>
              </w:rPr>
              <w:t>Mean</w:t>
            </w:r>
          </w:p>
        </w:tc>
      </w:tr>
      <w:tr w:rsidR="007767E2" w14:paraId="44DCCD5A" w14:textId="77777777" w:rsidTr="00F13D08">
        <w:trPr>
          <w:trHeight w:val="534"/>
        </w:trPr>
        <w:tc>
          <w:tcPr>
            <w:tcW w:w="2977" w:type="dxa"/>
          </w:tcPr>
          <w:p w14:paraId="389B6B80"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3D77E34B" w14:textId="77777777" w:rsidR="007767E2" w:rsidRDefault="007767E2" w:rsidP="00F13D08">
            <w:pPr>
              <w:widowControl/>
              <w:spacing w:line="240" w:lineRule="auto"/>
              <w:rPr>
                <w:sz w:val="24"/>
                <w:szCs w:val="24"/>
                <w:vertAlign w:val="superscript"/>
                <w:lang w:eastAsia="en-PH"/>
              </w:rPr>
            </w:pPr>
            <w:r>
              <w:rPr>
                <w:sz w:val="24"/>
                <w:szCs w:val="24"/>
                <w:lang w:eastAsia="en-PH"/>
              </w:rPr>
              <w:t>0.0033</w:t>
            </w:r>
            <w:r w:rsidRPr="00362FE8">
              <w:rPr>
                <w:sz w:val="24"/>
                <w:szCs w:val="24"/>
                <w:vertAlign w:val="superscript"/>
                <w:lang w:eastAsia="en-PH"/>
              </w:rPr>
              <w:t>d</w:t>
            </w:r>
          </w:p>
        </w:tc>
        <w:tc>
          <w:tcPr>
            <w:tcW w:w="2126" w:type="dxa"/>
          </w:tcPr>
          <w:p w14:paraId="3B578D43" w14:textId="77777777" w:rsidR="007767E2" w:rsidRDefault="007767E2" w:rsidP="00F13D08">
            <w:pPr>
              <w:widowControl/>
              <w:spacing w:line="240" w:lineRule="auto"/>
              <w:rPr>
                <w:sz w:val="24"/>
                <w:szCs w:val="24"/>
                <w:vertAlign w:val="superscript"/>
              </w:rPr>
            </w:pPr>
            <w:r>
              <w:rPr>
                <w:sz w:val="24"/>
                <w:szCs w:val="24"/>
                <w:lang w:eastAsia="en-PH"/>
              </w:rPr>
              <w:t>0.0050</w:t>
            </w:r>
            <w:r>
              <w:rPr>
                <w:sz w:val="24"/>
                <w:szCs w:val="24"/>
                <w:vertAlign w:val="superscript"/>
                <w:lang w:eastAsia="en-PH"/>
              </w:rPr>
              <w:t>a</w:t>
            </w:r>
            <w:r w:rsidRPr="00362FE8">
              <w:rPr>
                <w:sz w:val="24"/>
                <w:szCs w:val="24"/>
                <w:vertAlign w:val="superscript"/>
                <w:lang w:eastAsia="en-PH"/>
              </w:rPr>
              <w:t>b</w:t>
            </w:r>
          </w:p>
        </w:tc>
        <w:tc>
          <w:tcPr>
            <w:tcW w:w="1271" w:type="dxa"/>
          </w:tcPr>
          <w:p w14:paraId="28D31517" w14:textId="77777777" w:rsidR="007767E2" w:rsidRDefault="007767E2" w:rsidP="00F13D08">
            <w:pPr>
              <w:spacing w:after="0" w:line="240" w:lineRule="auto"/>
              <w:rPr>
                <w:rFonts w:eastAsia="Times New Roman"/>
                <w:sz w:val="24"/>
                <w:szCs w:val="24"/>
                <w:vertAlign w:val="superscript"/>
                <w:lang w:eastAsia="en-PH"/>
              </w:rPr>
            </w:pPr>
            <w:r>
              <w:rPr>
                <w:sz w:val="24"/>
                <w:szCs w:val="24"/>
              </w:rPr>
              <w:t>0.0042</w:t>
            </w:r>
            <w:r>
              <w:rPr>
                <w:sz w:val="24"/>
                <w:szCs w:val="24"/>
                <w:vertAlign w:val="superscript"/>
              </w:rPr>
              <w:t>b</w:t>
            </w:r>
          </w:p>
        </w:tc>
      </w:tr>
      <w:tr w:rsidR="007767E2" w14:paraId="144B310F" w14:textId="77777777" w:rsidTr="00F13D08">
        <w:trPr>
          <w:trHeight w:val="384"/>
        </w:trPr>
        <w:tc>
          <w:tcPr>
            <w:tcW w:w="2977" w:type="dxa"/>
          </w:tcPr>
          <w:p w14:paraId="65BEBFCC" w14:textId="77777777" w:rsidR="007767E2" w:rsidRDefault="007767E2" w:rsidP="00F13D08">
            <w:pPr>
              <w:widowControl/>
              <w:spacing w:line="240" w:lineRule="auto"/>
              <w:rPr>
                <w:sz w:val="24"/>
                <w:szCs w:val="24"/>
              </w:rPr>
            </w:pPr>
            <w:r>
              <w:rPr>
                <w:sz w:val="24"/>
                <w:szCs w:val="24"/>
              </w:rPr>
              <w:t>F2 (urea)</w:t>
            </w:r>
          </w:p>
        </w:tc>
        <w:tc>
          <w:tcPr>
            <w:tcW w:w="1985" w:type="dxa"/>
          </w:tcPr>
          <w:p w14:paraId="61D0E799" w14:textId="77777777" w:rsidR="007767E2" w:rsidRDefault="007767E2" w:rsidP="00F13D08">
            <w:pPr>
              <w:widowControl/>
              <w:spacing w:line="240" w:lineRule="auto"/>
              <w:rPr>
                <w:sz w:val="24"/>
                <w:szCs w:val="24"/>
                <w:vertAlign w:val="superscript"/>
              </w:rPr>
            </w:pPr>
            <w:r>
              <w:rPr>
                <w:sz w:val="24"/>
                <w:szCs w:val="24"/>
                <w:lang w:eastAsia="en-PH"/>
              </w:rPr>
              <w:t>0.0042</w:t>
            </w:r>
            <w:r w:rsidRPr="00362FE8">
              <w:rPr>
                <w:sz w:val="24"/>
                <w:szCs w:val="24"/>
                <w:vertAlign w:val="superscript"/>
                <w:lang w:eastAsia="en-PH"/>
              </w:rPr>
              <w:t>c</w:t>
            </w:r>
          </w:p>
        </w:tc>
        <w:tc>
          <w:tcPr>
            <w:tcW w:w="2126" w:type="dxa"/>
          </w:tcPr>
          <w:p w14:paraId="2651C767" w14:textId="77777777" w:rsidR="007767E2" w:rsidRDefault="007767E2" w:rsidP="00F13D08">
            <w:pPr>
              <w:widowControl/>
              <w:spacing w:line="240" w:lineRule="auto"/>
              <w:rPr>
                <w:sz w:val="24"/>
                <w:szCs w:val="24"/>
                <w:vertAlign w:val="superscript"/>
              </w:rPr>
            </w:pPr>
            <w:r>
              <w:rPr>
                <w:sz w:val="24"/>
                <w:szCs w:val="24"/>
                <w:lang w:eastAsia="en-PH"/>
              </w:rPr>
              <w:t>0.0040</w:t>
            </w:r>
            <w:r w:rsidRPr="00362FE8">
              <w:rPr>
                <w:sz w:val="24"/>
                <w:szCs w:val="24"/>
                <w:vertAlign w:val="superscript"/>
                <w:lang w:eastAsia="en-PH"/>
              </w:rPr>
              <w:t>cd</w:t>
            </w:r>
          </w:p>
        </w:tc>
        <w:tc>
          <w:tcPr>
            <w:tcW w:w="1271" w:type="dxa"/>
          </w:tcPr>
          <w:p w14:paraId="2A5B86B2" w14:textId="77777777" w:rsidR="007767E2" w:rsidRDefault="007767E2" w:rsidP="00F13D08">
            <w:pPr>
              <w:widowControl/>
              <w:spacing w:line="240" w:lineRule="auto"/>
              <w:rPr>
                <w:sz w:val="24"/>
                <w:szCs w:val="24"/>
                <w:vertAlign w:val="superscript"/>
              </w:rPr>
            </w:pPr>
            <w:r>
              <w:rPr>
                <w:sz w:val="24"/>
                <w:szCs w:val="24"/>
              </w:rPr>
              <w:t>0.0041</w:t>
            </w:r>
            <w:r>
              <w:rPr>
                <w:sz w:val="24"/>
                <w:szCs w:val="24"/>
                <w:vertAlign w:val="superscript"/>
              </w:rPr>
              <w:t>b</w:t>
            </w:r>
          </w:p>
        </w:tc>
      </w:tr>
      <w:tr w:rsidR="007767E2" w14:paraId="4FD846BC" w14:textId="77777777" w:rsidTr="00F13D08">
        <w:trPr>
          <w:trHeight w:val="384"/>
        </w:trPr>
        <w:tc>
          <w:tcPr>
            <w:tcW w:w="2977" w:type="dxa"/>
          </w:tcPr>
          <w:p w14:paraId="23A5D07C"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2B3BFC31" w14:textId="77777777" w:rsidR="007767E2" w:rsidRDefault="007767E2" w:rsidP="00F13D08">
            <w:pPr>
              <w:widowControl/>
              <w:spacing w:line="240" w:lineRule="auto"/>
              <w:rPr>
                <w:sz w:val="24"/>
                <w:szCs w:val="24"/>
                <w:vertAlign w:val="superscript"/>
              </w:rPr>
            </w:pPr>
            <w:r>
              <w:rPr>
                <w:sz w:val="24"/>
                <w:szCs w:val="24"/>
                <w:lang w:eastAsia="en-PH"/>
              </w:rPr>
              <w:t>0.0037</w:t>
            </w:r>
            <w:r w:rsidRPr="00362FE8">
              <w:rPr>
                <w:sz w:val="24"/>
                <w:szCs w:val="24"/>
                <w:vertAlign w:val="superscript"/>
                <w:lang w:eastAsia="en-PH"/>
              </w:rPr>
              <w:t>cd</w:t>
            </w:r>
          </w:p>
        </w:tc>
        <w:tc>
          <w:tcPr>
            <w:tcW w:w="2126" w:type="dxa"/>
          </w:tcPr>
          <w:p w14:paraId="3746A0CB" w14:textId="77777777" w:rsidR="007767E2" w:rsidRDefault="007767E2" w:rsidP="00F13D08">
            <w:pPr>
              <w:widowControl/>
              <w:spacing w:line="240" w:lineRule="auto"/>
              <w:rPr>
                <w:sz w:val="24"/>
                <w:szCs w:val="24"/>
                <w:vertAlign w:val="superscript"/>
              </w:rPr>
            </w:pPr>
            <w:r>
              <w:rPr>
                <w:sz w:val="24"/>
                <w:szCs w:val="24"/>
                <w:lang w:eastAsia="en-PH"/>
              </w:rPr>
              <w:t>0.0040</w:t>
            </w:r>
            <w:r w:rsidRPr="00362FE8">
              <w:rPr>
                <w:sz w:val="24"/>
                <w:szCs w:val="24"/>
                <w:vertAlign w:val="superscript"/>
                <w:lang w:eastAsia="en-PH"/>
              </w:rPr>
              <w:t>cd</w:t>
            </w:r>
          </w:p>
        </w:tc>
        <w:tc>
          <w:tcPr>
            <w:tcW w:w="1271" w:type="dxa"/>
          </w:tcPr>
          <w:p w14:paraId="2B93600B" w14:textId="77777777" w:rsidR="007767E2" w:rsidRDefault="007767E2" w:rsidP="00F13D08">
            <w:pPr>
              <w:widowControl/>
              <w:spacing w:line="240" w:lineRule="auto"/>
              <w:rPr>
                <w:sz w:val="24"/>
                <w:szCs w:val="24"/>
                <w:vertAlign w:val="superscript"/>
              </w:rPr>
            </w:pPr>
            <w:r>
              <w:rPr>
                <w:sz w:val="24"/>
                <w:szCs w:val="24"/>
              </w:rPr>
              <w:t>0.0039</w:t>
            </w:r>
            <w:r>
              <w:rPr>
                <w:sz w:val="24"/>
                <w:szCs w:val="24"/>
                <w:vertAlign w:val="superscript"/>
              </w:rPr>
              <w:t>c</w:t>
            </w:r>
          </w:p>
        </w:tc>
      </w:tr>
      <w:tr w:rsidR="007767E2" w14:paraId="6AB04876" w14:textId="77777777" w:rsidTr="00F13D08">
        <w:trPr>
          <w:trHeight w:val="384"/>
        </w:trPr>
        <w:tc>
          <w:tcPr>
            <w:tcW w:w="2977" w:type="dxa"/>
          </w:tcPr>
          <w:p w14:paraId="371E71BD"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25FE3887" w14:textId="77777777" w:rsidR="007767E2" w:rsidRDefault="007767E2" w:rsidP="00F13D08">
            <w:pPr>
              <w:widowControl/>
              <w:spacing w:line="240" w:lineRule="auto"/>
              <w:rPr>
                <w:sz w:val="24"/>
                <w:szCs w:val="24"/>
                <w:vertAlign w:val="superscript"/>
              </w:rPr>
            </w:pPr>
            <w:r>
              <w:rPr>
                <w:sz w:val="24"/>
                <w:szCs w:val="24"/>
                <w:lang w:eastAsia="en-PH"/>
              </w:rPr>
              <w:t>0.0043</w:t>
            </w:r>
            <w:r w:rsidRPr="00362FE8">
              <w:rPr>
                <w:sz w:val="24"/>
                <w:szCs w:val="24"/>
                <w:vertAlign w:val="superscript"/>
                <w:lang w:eastAsia="en-PH"/>
              </w:rPr>
              <w:t>bc</w:t>
            </w:r>
          </w:p>
        </w:tc>
        <w:tc>
          <w:tcPr>
            <w:tcW w:w="2126" w:type="dxa"/>
          </w:tcPr>
          <w:p w14:paraId="24CB56DB" w14:textId="77777777" w:rsidR="007767E2" w:rsidRDefault="007767E2" w:rsidP="00F13D08">
            <w:pPr>
              <w:widowControl/>
              <w:spacing w:line="240" w:lineRule="auto"/>
              <w:rPr>
                <w:sz w:val="24"/>
                <w:szCs w:val="24"/>
                <w:vertAlign w:val="superscript"/>
              </w:rPr>
            </w:pPr>
            <w:r>
              <w:rPr>
                <w:sz w:val="24"/>
                <w:szCs w:val="24"/>
                <w:lang w:eastAsia="en-PH"/>
              </w:rPr>
              <w:t>0.0051</w:t>
            </w:r>
            <w:r>
              <w:rPr>
                <w:sz w:val="24"/>
                <w:szCs w:val="24"/>
                <w:vertAlign w:val="superscript"/>
                <w:lang w:eastAsia="en-PH"/>
              </w:rPr>
              <w:t>a</w:t>
            </w:r>
          </w:p>
        </w:tc>
        <w:tc>
          <w:tcPr>
            <w:tcW w:w="1271" w:type="dxa"/>
          </w:tcPr>
          <w:p w14:paraId="27CFD1CC" w14:textId="77777777" w:rsidR="007767E2" w:rsidRDefault="007767E2" w:rsidP="00F13D08">
            <w:pPr>
              <w:widowControl/>
              <w:tabs>
                <w:tab w:val="left" w:pos="1130"/>
              </w:tabs>
              <w:spacing w:line="240" w:lineRule="auto"/>
              <w:rPr>
                <w:sz w:val="24"/>
                <w:szCs w:val="24"/>
              </w:rPr>
            </w:pPr>
            <w:r>
              <w:rPr>
                <w:sz w:val="24"/>
                <w:szCs w:val="24"/>
              </w:rPr>
              <w:t>0.0047</w:t>
            </w:r>
            <w:r>
              <w:rPr>
                <w:sz w:val="24"/>
                <w:szCs w:val="24"/>
                <w:vertAlign w:val="superscript"/>
              </w:rPr>
              <w:t>a</w:t>
            </w:r>
          </w:p>
        </w:tc>
      </w:tr>
      <w:tr w:rsidR="007767E2" w14:paraId="1439428E" w14:textId="77777777" w:rsidTr="00F13D08">
        <w:trPr>
          <w:trHeight w:val="393"/>
        </w:trPr>
        <w:tc>
          <w:tcPr>
            <w:tcW w:w="2977" w:type="dxa"/>
            <w:tcBorders>
              <w:bottom w:val="thinThickSmallGap" w:sz="24" w:space="0" w:color="auto"/>
            </w:tcBorders>
          </w:tcPr>
          <w:p w14:paraId="07D8D068"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23BFCAB9" w14:textId="77777777" w:rsidR="007767E2" w:rsidRDefault="007767E2" w:rsidP="00F13D08">
            <w:pPr>
              <w:widowControl/>
              <w:spacing w:line="240" w:lineRule="auto"/>
              <w:rPr>
                <w:sz w:val="24"/>
                <w:szCs w:val="24"/>
                <w:vertAlign w:val="superscript"/>
              </w:rPr>
            </w:pPr>
            <w:r>
              <w:rPr>
                <w:sz w:val="24"/>
                <w:szCs w:val="24"/>
              </w:rPr>
              <w:t>0.0039</w:t>
            </w:r>
            <w:r>
              <w:rPr>
                <w:sz w:val="24"/>
                <w:szCs w:val="24"/>
                <w:vertAlign w:val="superscript"/>
              </w:rPr>
              <w:t>b</w:t>
            </w:r>
          </w:p>
        </w:tc>
        <w:tc>
          <w:tcPr>
            <w:tcW w:w="2126" w:type="dxa"/>
            <w:tcBorders>
              <w:bottom w:val="thinThickSmallGap" w:sz="24" w:space="0" w:color="auto"/>
            </w:tcBorders>
          </w:tcPr>
          <w:p w14:paraId="0FD0E3BE" w14:textId="77777777" w:rsidR="007767E2" w:rsidRDefault="007767E2" w:rsidP="00F13D08">
            <w:pPr>
              <w:widowControl/>
              <w:spacing w:line="240" w:lineRule="auto"/>
              <w:rPr>
                <w:sz w:val="24"/>
                <w:szCs w:val="24"/>
                <w:vertAlign w:val="superscript"/>
              </w:rPr>
            </w:pPr>
            <w:r>
              <w:rPr>
                <w:sz w:val="24"/>
                <w:szCs w:val="24"/>
              </w:rPr>
              <w:t>0.0045</w:t>
            </w:r>
            <w:r>
              <w:rPr>
                <w:sz w:val="24"/>
                <w:szCs w:val="24"/>
                <w:vertAlign w:val="superscript"/>
              </w:rPr>
              <w:t>a</w:t>
            </w:r>
          </w:p>
        </w:tc>
        <w:tc>
          <w:tcPr>
            <w:tcW w:w="1271" w:type="dxa"/>
            <w:tcBorders>
              <w:bottom w:val="thinThickSmallGap" w:sz="24" w:space="0" w:color="auto"/>
            </w:tcBorders>
          </w:tcPr>
          <w:p w14:paraId="5BBD9CE7" w14:textId="77777777" w:rsidR="007767E2" w:rsidRDefault="007767E2" w:rsidP="00F13D08">
            <w:pPr>
              <w:widowControl/>
              <w:spacing w:line="240" w:lineRule="auto"/>
              <w:rPr>
                <w:sz w:val="24"/>
                <w:szCs w:val="24"/>
              </w:rPr>
            </w:pPr>
          </w:p>
        </w:tc>
      </w:tr>
      <w:tr w:rsidR="007767E2" w14:paraId="588DF227" w14:textId="77777777" w:rsidTr="00F13D08">
        <w:trPr>
          <w:trHeight w:val="393"/>
        </w:trPr>
        <w:tc>
          <w:tcPr>
            <w:tcW w:w="2977" w:type="dxa"/>
            <w:tcBorders>
              <w:top w:val="thinThickSmallGap" w:sz="24" w:space="0" w:color="auto"/>
              <w:bottom w:val="thickThinSmallGap" w:sz="24" w:space="0" w:color="auto"/>
            </w:tcBorders>
          </w:tcPr>
          <w:p w14:paraId="73BB05FE" w14:textId="77777777" w:rsidR="007767E2" w:rsidRPr="00362FE8" w:rsidRDefault="007767E2" w:rsidP="00F13D08">
            <w:pPr>
              <w:spacing w:after="0"/>
            </w:pPr>
            <w:r>
              <w:t>C.V. (A) = 9.77 % (B) = 7.71 %</w:t>
            </w:r>
          </w:p>
        </w:tc>
        <w:tc>
          <w:tcPr>
            <w:tcW w:w="1985" w:type="dxa"/>
            <w:tcBorders>
              <w:top w:val="thinThickSmallGap" w:sz="24" w:space="0" w:color="auto"/>
              <w:bottom w:val="thickThinSmallGap" w:sz="24" w:space="0" w:color="auto"/>
            </w:tcBorders>
          </w:tcPr>
          <w:p w14:paraId="68E1DB41"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3BA541BA"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4DD752BD" w14:textId="77777777" w:rsidR="007767E2" w:rsidRDefault="007767E2" w:rsidP="00F13D08">
            <w:pPr>
              <w:spacing w:line="240" w:lineRule="auto"/>
              <w:rPr>
                <w:sz w:val="24"/>
                <w:szCs w:val="24"/>
              </w:rPr>
            </w:pPr>
          </w:p>
        </w:tc>
      </w:tr>
    </w:tbl>
    <w:p w14:paraId="588FA5AC" w14:textId="77777777" w:rsidR="007767E2" w:rsidRDefault="007767E2" w:rsidP="007767E2">
      <w:pPr>
        <w:jc w:val="both"/>
        <w:rPr>
          <w:rFonts w:ascii="Times New Roman" w:hAnsi="Times New Roman" w:cs="Times New Roman"/>
          <w:sz w:val="24"/>
          <w:szCs w:val="24"/>
        </w:rPr>
      </w:pPr>
    </w:p>
    <w:p w14:paraId="19D399B8" w14:textId="77777777" w:rsidR="007767E2" w:rsidRPr="00362FE8" w:rsidRDefault="007767E2" w:rsidP="007767E2">
      <w:pPr>
        <w:spacing w:line="360" w:lineRule="auto"/>
        <w:ind w:firstLine="720"/>
        <w:jc w:val="both"/>
      </w:pPr>
      <w:r w:rsidRPr="00362FE8">
        <w:rPr>
          <w:rFonts w:ascii="Times New Roman" w:hAnsi="Times New Roman" w:cs="Times New Roman"/>
          <w:sz w:val="24"/>
          <w:szCs w:val="24"/>
        </w:rPr>
        <w:t xml:space="preserve">The data in Table 6 shows the effects of corn variety, nitrogen fertilizers, and their combined interaction on soil acidity (pH). </w:t>
      </w:r>
      <w:r>
        <w:rPr>
          <w:rFonts w:ascii="Times New Roman" w:hAnsi="Times New Roman" w:cs="Times New Roman"/>
          <w:sz w:val="24"/>
          <w:szCs w:val="24"/>
        </w:rPr>
        <w:t>Singly, t</w:t>
      </w:r>
      <w:r w:rsidRPr="00362FE8">
        <w:rPr>
          <w:rFonts w:ascii="Times New Roman" w:hAnsi="Times New Roman" w:cs="Times New Roman"/>
          <w:sz w:val="24"/>
          <w:szCs w:val="24"/>
        </w:rPr>
        <w:t>he mean soil pH values for both varieties were comparable, with native corn resulting in a slightly lower average pH of 7.70 compared to sweetcorn at 7.72. This suggests that the variety of corn has a minimal impact on soil acidity when treated with nitrogen fertilizers, likely because both varieties exhibit similar root exudation patterns and nutrient uptake behaviors under the tested conditions</w:t>
      </w:r>
      <w:r>
        <w:rPr>
          <w:rFonts w:ascii="Times New Roman" w:hAnsi="Times New Roman" w:cs="Times New Roman"/>
          <w:sz w:val="24"/>
          <w:szCs w:val="24"/>
        </w:rPr>
        <w:t xml:space="preserve">. </w:t>
      </w:r>
      <w:r w:rsidRPr="00362FE8">
        <w:rPr>
          <w:rFonts w:ascii="Times New Roman" w:hAnsi="Times New Roman" w:cs="Times New Roman"/>
          <w:sz w:val="24"/>
          <w:szCs w:val="24"/>
        </w:rPr>
        <w:t>According to</w:t>
      </w:r>
      <w:r>
        <w:rPr>
          <w:rFonts w:ascii="Times New Roman" w:hAnsi="Times New Roman" w:cs="Times New Roman"/>
          <w:sz w:val="24"/>
          <w:szCs w:val="24"/>
        </w:rPr>
        <w:t xml:space="preserve"> Barak (2016</w:t>
      </w:r>
      <w:r w:rsidRPr="00362FE8">
        <w:rPr>
          <w:rFonts w:ascii="Times New Roman" w:hAnsi="Times New Roman" w:cs="Times New Roman"/>
          <w:sz w:val="24"/>
          <w:szCs w:val="24"/>
        </w:rPr>
        <w:t xml:space="preserve">), plant species and varieties within the same family often exhibit comparable rhizosphere interactions, such as root exudate composition and nutrient absorption patterns, which can influence but not drastically alter soil </w:t>
      </w:r>
      <w:proofErr w:type="spellStart"/>
      <w:r w:rsidRPr="00362FE8">
        <w:rPr>
          <w:rFonts w:ascii="Times New Roman" w:hAnsi="Times New Roman" w:cs="Times New Roman"/>
          <w:sz w:val="24"/>
          <w:szCs w:val="24"/>
        </w:rPr>
        <w:t>pH.</w:t>
      </w:r>
      <w:proofErr w:type="spellEnd"/>
    </w:p>
    <w:p w14:paraId="65BCE056" w14:textId="77777777" w:rsidR="007767E2" w:rsidRDefault="007767E2" w:rsidP="007767E2">
      <w:pPr>
        <w:spacing w:line="360" w:lineRule="auto"/>
        <w:jc w:val="both"/>
        <w:rPr>
          <w:rFonts w:ascii="Times New Roman" w:hAnsi="Times New Roman" w:cs="Times New Roman"/>
          <w:sz w:val="24"/>
          <w:szCs w:val="24"/>
        </w:rPr>
      </w:pPr>
      <w:r>
        <w:rPr>
          <w:rFonts w:ascii="Times New Roman" w:hAnsi="Times New Roman" w:cs="Times New Roman"/>
          <w:sz w:val="24"/>
          <w:szCs w:val="24"/>
        </w:rPr>
        <w:tab/>
        <w:t>Considering only t</w:t>
      </w:r>
      <w:r w:rsidRPr="00362FE8">
        <w:rPr>
          <w:rFonts w:ascii="Times New Roman" w:hAnsi="Times New Roman" w:cs="Times New Roman"/>
          <w:sz w:val="24"/>
          <w:szCs w:val="24"/>
        </w:rPr>
        <w:t>he type of nitrogen fertilize</w:t>
      </w:r>
      <w:r>
        <w:rPr>
          <w:rFonts w:ascii="Times New Roman" w:hAnsi="Times New Roman" w:cs="Times New Roman"/>
          <w:sz w:val="24"/>
          <w:szCs w:val="24"/>
        </w:rPr>
        <w:t>r, a</w:t>
      </w:r>
      <w:r w:rsidRPr="00362FE8">
        <w:rPr>
          <w:rStyle w:val="Strong"/>
          <w:rFonts w:ascii="Times New Roman" w:hAnsi="Times New Roman"/>
          <w:b w:val="0"/>
          <w:bCs w:val="0"/>
          <w:sz w:val="24"/>
          <w:szCs w:val="24"/>
        </w:rPr>
        <w:t>mmonium sulfate</w:t>
      </w:r>
      <w:r>
        <w:rPr>
          <w:rStyle w:val="Strong"/>
          <w:rFonts w:ascii="Times New Roman" w:hAnsi="Times New Roman"/>
          <w:sz w:val="24"/>
          <w:szCs w:val="24"/>
        </w:rPr>
        <w:t xml:space="preserve"> </w:t>
      </w:r>
      <w:r w:rsidRPr="00362FE8">
        <w:rPr>
          <w:rFonts w:ascii="Times New Roman" w:hAnsi="Times New Roman" w:cs="Times New Roman"/>
          <w:sz w:val="24"/>
          <w:szCs w:val="24"/>
        </w:rPr>
        <w:t>had the greatest impact, resulting in the highest mean soil pH (7.76), followed by urea</w:t>
      </w:r>
      <w:r>
        <w:rPr>
          <w:rFonts w:ascii="Times New Roman" w:hAnsi="Times New Roman" w:cs="Times New Roman"/>
          <w:sz w:val="24"/>
          <w:szCs w:val="24"/>
        </w:rPr>
        <w:t xml:space="preserve"> </w:t>
      </w:r>
      <w:r w:rsidRPr="00362FE8">
        <w:rPr>
          <w:rFonts w:ascii="Times New Roman" w:hAnsi="Times New Roman" w:cs="Times New Roman"/>
          <w:sz w:val="24"/>
          <w:szCs w:val="24"/>
        </w:rPr>
        <w:t>with 7.73. This is likely due to the acid-neutralizing effects of ammonium sulfate and the gradual release of nitrogen from urea, which helps buffer pH changes.</w:t>
      </w:r>
      <w:r>
        <w:rPr>
          <w:rStyle w:val="CommentReference"/>
        </w:rPr>
        <w:t xml:space="preserve"> </w:t>
      </w:r>
      <w:r w:rsidRPr="00362FE8">
        <w:rPr>
          <w:rStyle w:val="Strong"/>
          <w:rFonts w:ascii="Times New Roman" w:hAnsi="Times New Roman"/>
          <w:b w:val="0"/>
          <w:bCs w:val="0"/>
          <w:sz w:val="24"/>
          <w:szCs w:val="24"/>
        </w:rPr>
        <w:t xml:space="preserve">Diammonium phosphate </w:t>
      </w:r>
      <w:r w:rsidRPr="00362FE8">
        <w:rPr>
          <w:rFonts w:ascii="Times New Roman" w:hAnsi="Times New Roman" w:cs="Times New Roman"/>
          <w:sz w:val="24"/>
          <w:szCs w:val="24"/>
        </w:rPr>
        <w:t>resulted in a lower soil pH (7.64)</w:t>
      </w:r>
      <w:r>
        <w:rPr>
          <w:rFonts w:ascii="Times New Roman" w:hAnsi="Times New Roman" w:cs="Times New Roman"/>
          <w:sz w:val="24"/>
          <w:szCs w:val="24"/>
        </w:rPr>
        <w:t xml:space="preserve"> than ammonium sulfate and is significantly different </w:t>
      </w:r>
      <w:r w:rsidRPr="00362FE8">
        <w:rPr>
          <w:rFonts w:ascii="Times New Roman" w:hAnsi="Times New Roman" w:cs="Times New Roman"/>
          <w:sz w:val="24"/>
          <w:szCs w:val="24"/>
        </w:rPr>
        <w:t xml:space="preserve">likely due to the influence of phosphate ions, which can contribute to slight acidification depending on microbial activity in the soil. Similarly, </w:t>
      </w:r>
      <w:r w:rsidRPr="00362FE8">
        <w:rPr>
          <w:rStyle w:val="Strong"/>
          <w:rFonts w:ascii="Times New Roman" w:hAnsi="Times New Roman"/>
          <w:b w:val="0"/>
          <w:bCs w:val="0"/>
          <w:sz w:val="24"/>
          <w:szCs w:val="24"/>
        </w:rPr>
        <w:t>ammonium phosphat</w:t>
      </w:r>
      <w:r>
        <w:rPr>
          <w:rStyle w:val="Strong"/>
          <w:rFonts w:ascii="Times New Roman" w:hAnsi="Times New Roman"/>
          <w:b w:val="0"/>
          <w:bCs w:val="0"/>
          <w:sz w:val="24"/>
          <w:szCs w:val="24"/>
        </w:rPr>
        <w:t>e</w:t>
      </w:r>
      <w:r>
        <w:rPr>
          <w:rFonts w:ascii="Times New Roman" w:hAnsi="Times New Roman" w:cs="Times New Roman"/>
          <w:sz w:val="24"/>
          <w:szCs w:val="24"/>
        </w:rPr>
        <w:t xml:space="preserve"> </w:t>
      </w:r>
      <w:r w:rsidRPr="00362FE8">
        <w:rPr>
          <w:rFonts w:ascii="Times New Roman" w:hAnsi="Times New Roman" w:cs="Times New Roman"/>
          <w:sz w:val="24"/>
          <w:szCs w:val="24"/>
        </w:rPr>
        <w:t>maintained an intermediate pH (7.70), as its nitrogen and phosphorus components interact with soil chemistry to create a balanced but slightly acidic effect compared to ammonium sulfate and urea.</w:t>
      </w:r>
      <w:r w:rsidRPr="00362FE8">
        <w:rPr>
          <w:rFonts w:ascii="Times New Roman" w:hAnsi="Times New Roman" w:cs="Times New Roman"/>
          <w:sz w:val="28"/>
          <w:szCs w:val="28"/>
        </w:rPr>
        <w:t xml:space="preserve"> </w:t>
      </w:r>
      <w:proofErr w:type="spellStart"/>
      <w:r>
        <w:rPr>
          <w:rFonts w:ascii="Times New Roman" w:hAnsi="Times New Roman" w:cs="Times New Roman"/>
          <w:sz w:val="24"/>
          <w:szCs w:val="24"/>
        </w:rPr>
        <w:t>Sainju</w:t>
      </w:r>
      <w:proofErr w:type="spellEnd"/>
      <w:r>
        <w:rPr>
          <w:rFonts w:ascii="Times New Roman" w:hAnsi="Times New Roman" w:cs="Times New Roman"/>
          <w:sz w:val="24"/>
          <w:szCs w:val="24"/>
        </w:rPr>
        <w:t xml:space="preserve"> et al.</w:t>
      </w:r>
      <w:r w:rsidRPr="00362FE8">
        <w:rPr>
          <w:rFonts w:ascii="Times New Roman" w:hAnsi="Times New Roman" w:cs="Times New Roman"/>
          <w:sz w:val="24"/>
          <w:szCs w:val="24"/>
        </w:rPr>
        <w:t>, 20</w:t>
      </w:r>
      <w:r>
        <w:rPr>
          <w:rFonts w:ascii="Times New Roman" w:hAnsi="Times New Roman" w:cs="Times New Roman"/>
          <w:sz w:val="24"/>
          <w:szCs w:val="24"/>
        </w:rPr>
        <w:t>19</w:t>
      </w:r>
      <w:r w:rsidRPr="00362FE8">
        <w:rPr>
          <w:rFonts w:ascii="Times New Roman" w:hAnsi="Times New Roman" w:cs="Times New Roman"/>
          <w:sz w:val="24"/>
          <w:szCs w:val="24"/>
        </w:rPr>
        <w:t xml:space="preserve"> stated that nitrogen fertilizers have distinct effects on soil pH depending on their chemical composition and the processes they initiate in the soil. Ammonium sulfate, with its high ammonium content and sulfur component, is known for its acid-neutralizing properties. However, when applied to soils with adequate buffering capacity, it can maintain or even slightly elevate pH levels due to sulfur oxidation processes that enhance nitrogen assimilation. Urea, on the other hand, releases nitrogen gradually as it hydrolyzes, providing a buffering effect that minimizes drastic pH changes (</w:t>
      </w:r>
      <w:r>
        <w:rPr>
          <w:rFonts w:ascii="Times New Roman" w:hAnsi="Times New Roman" w:cs="Times New Roman"/>
          <w:sz w:val="24"/>
          <w:szCs w:val="24"/>
        </w:rPr>
        <w:t>Guan, 2016</w:t>
      </w:r>
      <w:r w:rsidRPr="00362FE8">
        <w:rPr>
          <w:rFonts w:ascii="Times New Roman" w:hAnsi="Times New Roman" w:cs="Times New Roman"/>
          <w:sz w:val="24"/>
          <w:szCs w:val="24"/>
        </w:rPr>
        <w:t>). The phosphate ions in diammonium phosphate and ammonium phosphate contribute to mild acidification by interacting with soil microbes during nitrification and phosphorus mineralization, processes that temporarily lower pH in localized zones (Brady &amp; Weil, 2017).</w:t>
      </w:r>
    </w:p>
    <w:p w14:paraId="19F741CC" w14:textId="77777777" w:rsidR="007767E2" w:rsidRDefault="007767E2" w:rsidP="007767E2">
      <w:pPr>
        <w:pStyle w:val="NormalWeb"/>
        <w:spacing w:line="360" w:lineRule="auto"/>
        <w:jc w:val="both"/>
      </w:pPr>
      <w:r>
        <w:tab/>
      </w:r>
      <w:r>
        <w:rPr>
          <w:rFonts w:eastAsia="Times New Roman"/>
          <w:lang w:val="en-PH" w:eastAsia="en-PH"/>
        </w:rPr>
        <w:t xml:space="preserve">The interaction between corn variety and fertilizer type showed that sweetcorn paired with diammonium phosphate (7.68) and ammonium sulfate (7.75) resulted in slightly higher soil pH values than native corn treated with the same fertilizers (7.60 and 7.77, respectively). </w:t>
      </w:r>
      <w:r>
        <w:rPr>
          <w:rFonts w:eastAsia="Times New Roman"/>
          <w:lang w:val="en-PH" w:eastAsia="en-PH"/>
        </w:rPr>
        <w:lastRenderedPageBreak/>
        <w:t xml:space="preserve">These variations could reflect the differences in root exudates and nutrient uptake efficiencies between the two corn varieties. </w:t>
      </w:r>
      <w:r>
        <w:rPr>
          <w:rFonts w:eastAsia="Times New Roman"/>
          <w:lang w:eastAsia="en-PH"/>
        </w:rPr>
        <w:t xml:space="preserve">The highest soil pH (7.77) was observed in native corn treated with ammonium sulfate, underscoring its effectiveness in maintaining soil pH stability across varieties. Conversely, diammonium phosphate resulted in the lowest soil pH for native corn (7.60). According to </w:t>
      </w:r>
      <w:proofErr w:type="spellStart"/>
      <w:r>
        <w:t>Swify</w:t>
      </w:r>
      <w:proofErr w:type="spellEnd"/>
      <w:r>
        <w:t xml:space="preserve"> et al., 2024</w:t>
      </w:r>
      <w:r>
        <w:rPr>
          <w:rFonts w:eastAsia="Times New Roman"/>
          <w:lang w:eastAsia="en-PH"/>
        </w:rPr>
        <w:t>, a</w:t>
      </w:r>
      <w:r>
        <w:t xml:space="preserve">mmonium sulfate, which delivers ammonium nitrogen, is known for its pH-stabilizing effects in soils with sufficient buffering capacity, as it promotes ammonium assimilation without excessive nitrification. Brady and Weil (2017) also reported that phosphorus fertilizers can induce localized acidification due to microbial activity involved in phosphate mineralization. </w:t>
      </w:r>
    </w:p>
    <w:p w14:paraId="3DA400EE" w14:textId="77777777" w:rsidR="007767E2" w:rsidRPr="00362FE8" w:rsidRDefault="007767E2" w:rsidP="007767E2">
      <w:pPr>
        <w:pStyle w:val="NormalWeb"/>
        <w:spacing w:line="360" w:lineRule="auto"/>
        <w:jc w:val="both"/>
        <w:rPr>
          <w:rFonts w:eastAsia="Times New Roman"/>
          <w:lang w:eastAsia="en-PH"/>
        </w:rPr>
      </w:pPr>
    </w:p>
    <w:p w14:paraId="57C491C9"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6: Soil acidity (soil pH)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6A36BAFA" w14:textId="77777777" w:rsidTr="00F13D08">
        <w:trPr>
          <w:trHeight w:val="384"/>
        </w:trPr>
        <w:tc>
          <w:tcPr>
            <w:tcW w:w="2977" w:type="dxa"/>
            <w:tcBorders>
              <w:top w:val="thinThickSmallGap" w:sz="24" w:space="0" w:color="auto"/>
              <w:bottom w:val="single" w:sz="4" w:space="0" w:color="auto"/>
            </w:tcBorders>
          </w:tcPr>
          <w:p w14:paraId="2B19B85E"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14C2BAA7"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0D7F5D9B" w14:textId="77777777" w:rsidR="007767E2" w:rsidRDefault="007767E2" w:rsidP="00F13D08">
            <w:pPr>
              <w:widowControl/>
              <w:spacing w:line="240" w:lineRule="auto"/>
              <w:rPr>
                <w:sz w:val="24"/>
                <w:szCs w:val="24"/>
              </w:rPr>
            </w:pPr>
          </w:p>
        </w:tc>
      </w:tr>
      <w:tr w:rsidR="007767E2" w14:paraId="7C3B6BEB" w14:textId="77777777" w:rsidTr="00F13D08">
        <w:trPr>
          <w:trHeight w:val="384"/>
        </w:trPr>
        <w:tc>
          <w:tcPr>
            <w:tcW w:w="2977" w:type="dxa"/>
            <w:tcBorders>
              <w:top w:val="single" w:sz="4" w:space="0" w:color="auto"/>
            </w:tcBorders>
          </w:tcPr>
          <w:p w14:paraId="50B00773"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0C1A9F92"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746860E1"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63598475" w14:textId="77777777" w:rsidR="007767E2" w:rsidRDefault="007767E2" w:rsidP="00F13D08">
            <w:pPr>
              <w:widowControl/>
              <w:spacing w:line="240" w:lineRule="auto"/>
              <w:rPr>
                <w:sz w:val="24"/>
                <w:szCs w:val="24"/>
              </w:rPr>
            </w:pPr>
            <w:r>
              <w:rPr>
                <w:sz w:val="24"/>
                <w:szCs w:val="24"/>
              </w:rPr>
              <w:t>Mean</w:t>
            </w:r>
          </w:p>
        </w:tc>
      </w:tr>
      <w:tr w:rsidR="007767E2" w14:paraId="752769EE" w14:textId="77777777" w:rsidTr="00F13D08">
        <w:trPr>
          <w:trHeight w:val="534"/>
        </w:trPr>
        <w:tc>
          <w:tcPr>
            <w:tcW w:w="2977" w:type="dxa"/>
          </w:tcPr>
          <w:p w14:paraId="0EA81A66"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620970A0" w14:textId="77777777" w:rsidR="007767E2" w:rsidRPr="00362FE8" w:rsidRDefault="007767E2" w:rsidP="00F13D08">
            <w:pPr>
              <w:widowControl/>
              <w:spacing w:line="240" w:lineRule="auto"/>
              <w:rPr>
                <w:sz w:val="24"/>
                <w:szCs w:val="24"/>
                <w:vertAlign w:val="superscript"/>
                <w:lang w:eastAsia="en-PH"/>
              </w:rPr>
            </w:pPr>
            <w:r w:rsidRPr="00362FE8">
              <w:rPr>
                <w:sz w:val="24"/>
                <w:szCs w:val="24"/>
                <w:lang w:eastAsia="en-PH"/>
              </w:rPr>
              <w:t>7.60</w:t>
            </w:r>
            <w:r w:rsidRPr="00362FE8">
              <w:rPr>
                <w:sz w:val="24"/>
                <w:szCs w:val="24"/>
                <w:vertAlign w:val="superscript"/>
                <w:lang w:eastAsia="en-PH"/>
              </w:rPr>
              <w:t>c</w:t>
            </w:r>
          </w:p>
        </w:tc>
        <w:tc>
          <w:tcPr>
            <w:tcW w:w="2126" w:type="dxa"/>
          </w:tcPr>
          <w:p w14:paraId="1F32A576"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7.68</w:t>
            </w:r>
            <w:r w:rsidRPr="00362FE8">
              <w:rPr>
                <w:sz w:val="24"/>
                <w:szCs w:val="24"/>
                <w:vertAlign w:val="superscript"/>
                <w:lang w:eastAsia="en-PH"/>
              </w:rPr>
              <w:t>b</w:t>
            </w:r>
          </w:p>
        </w:tc>
        <w:tc>
          <w:tcPr>
            <w:tcW w:w="1271" w:type="dxa"/>
          </w:tcPr>
          <w:p w14:paraId="75025297" w14:textId="77777777" w:rsidR="007767E2" w:rsidRDefault="007767E2" w:rsidP="00F13D08">
            <w:pPr>
              <w:spacing w:after="0" w:line="240" w:lineRule="auto"/>
              <w:rPr>
                <w:rFonts w:eastAsia="Times New Roman"/>
                <w:sz w:val="24"/>
                <w:szCs w:val="24"/>
                <w:vertAlign w:val="superscript"/>
                <w:lang w:eastAsia="en-PH"/>
              </w:rPr>
            </w:pPr>
            <w:r>
              <w:rPr>
                <w:sz w:val="24"/>
                <w:szCs w:val="24"/>
              </w:rPr>
              <w:t>7.64</w:t>
            </w:r>
            <w:r>
              <w:rPr>
                <w:sz w:val="24"/>
                <w:szCs w:val="24"/>
                <w:vertAlign w:val="superscript"/>
              </w:rPr>
              <w:t>c</w:t>
            </w:r>
          </w:p>
        </w:tc>
      </w:tr>
      <w:tr w:rsidR="007767E2" w14:paraId="1DF97A80" w14:textId="77777777" w:rsidTr="00F13D08">
        <w:trPr>
          <w:trHeight w:val="384"/>
        </w:trPr>
        <w:tc>
          <w:tcPr>
            <w:tcW w:w="2977" w:type="dxa"/>
          </w:tcPr>
          <w:p w14:paraId="0417D211" w14:textId="77777777" w:rsidR="007767E2" w:rsidRDefault="007767E2" w:rsidP="00F13D08">
            <w:pPr>
              <w:widowControl/>
              <w:spacing w:line="240" w:lineRule="auto"/>
              <w:rPr>
                <w:sz w:val="24"/>
                <w:szCs w:val="24"/>
              </w:rPr>
            </w:pPr>
            <w:r>
              <w:rPr>
                <w:sz w:val="24"/>
                <w:szCs w:val="24"/>
              </w:rPr>
              <w:t>F2 (urea)</w:t>
            </w:r>
          </w:p>
        </w:tc>
        <w:tc>
          <w:tcPr>
            <w:tcW w:w="1985" w:type="dxa"/>
          </w:tcPr>
          <w:p w14:paraId="20E27A5E" w14:textId="77777777" w:rsidR="007767E2" w:rsidRPr="00362FE8" w:rsidRDefault="007767E2" w:rsidP="00F13D08">
            <w:pPr>
              <w:widowControl/>
              <w:spacing w:line="240" w:lineRule="auto"/>
              <w:rPr>
                <w:sz w:val="24"/>
                <w:szCs w:val="24"/>
                <w:vertAlign w:val="superscript"/>
              </w:rPr>
            </w:pPr>
            <w:r w:rsidRPr="00362FE8">
              <w:rPr>
                <w:sz w:val="24"/>
                <w:szCs w:val="24"/>
              </w:rPr>
              <w:t>7.75</w:t>
            </w:r>
            <w:r w:rsidRPr="00362FE8">
              <w:rPr>
                <w:sz w:val="24"/>
                <w:szCs w:val="24"/>
                <w:vertAlign w:val="superscript"/>
              </w:rPr>
              <w:t>ab</w:t>
            </w:r>
          </w:p>
        </w:tc>
        <w:tc>
          <w:tcPr>
            <w:tcW w:w="2126" w:type="dxa"/>
          </w:tcPr>
          <w:p w14:paraId="2B7D37B9"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7.72</w:t>
            </w:r>
            <w:r w:rsidRPr="00362FE8">
              <w:rPr>
                <w:sz w:val="24"/>
                <w:szCs w:val="24"/>
                <w:vertAlign w:val="superscript"/>
                <w:lang w:eastAsia="en-PH"/>
              </w:rPr>
              <w:t>ab</w:t>
            </w:r>
          </w:p>
        </w:tc>
        <w:tc>
          <w:tcPr>
            <w:tcW w:w="1271" w:type="dxa"/>
          </w:tcPr>
          <w:p w14:paraId="7DCF8A4C" w14:textId="77777777" w:rsidR="007767E2" w:rsidRDefault="007767E2" w:rsidP="00F13D08">
            <w:pPr>
              <w:widowControl/>
              <w:spacing w:line="240" w:lineRule="auto"/>
              <w:rPr>
                <w:sz w:val="24"/>
                <w:szCs w:val="24"/>
                <w:vertAlign w:val="superscript"/>
              </w:rPr>
            </w:pPr>
            <w:r>
              <w:rPr>
                <w:sz w:val="24"/>
                <w:szCs w:val="24"/>
              </w:rPr>
              <w:t>7.73</w:t>
            </w:r>
            <w:r>
              <w:rPr>
                <w:sz w:val="24"/>
                <w:szCs w:val="24"/>
                <w:vertAlign w:val="superscript"/>
              </w:rPr>
              <w:t>ab</w:t>
            </w:r>
          </w:p>
        </w:tc>
      </w:tr>
      <w:tr w:rsidR="007767E2" w14:paraId="6AB2FFA3" w14:textId="77777777" w:rsidTr="00F13D08">
        <w:trPr>
          <w:trHeight w:val="384"/>
        </w:trPr>
        <w:tc>
          <w:tcPr>
            <w:tcW w:w="2977" w:type="dxa"/>
          </w:tcPr>
          <w:p w14:paraId="06DD41C4"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7130B7B2"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7.68</w:t>
            </w:r>
            <w:r w:rsidRPr="00362FE8">
              <w:rPr>
                <w:sz w:val="24"/>
                <w:szCs w:val="24"/>
                <w:vertAlign w:val="superscript"/>
                <w:lang w:eastAsia="en-PH"/>
              </w:rPr>
              <w:t>b</w:t>
            </w:r>
          </w:p>
        </w:tc>
        <w:tc>
          <w:tcPr>
            <w:tcW w:w="2126" w:type="dxa"/>
          </w:tcPr>
          <w:p w14:paraId="75040A0B" w14:textId="77777777" w:rsidR="007767E2" w:rsidRPr="00362FE8" w:rsidRDefault="007767E2" w:rsidP="00F13D08">
            <w:pPr>
              <w:widowControl/>
              <w:spacing w:line="240" w:lineRule="auto"/>
              <w:rPr>
                <w:sz w:val="24"/>
                <w:szCs w:val="24"/>
                <w:vertAlign w:val="superscript"/>
              </w:rPr>
            </w:pPr>
            <w:r w:rsidRPr="00362FE8">
              <w:rPr>
                <w:sz w:val="24"/>
                <w:szCs w:val="24"/>
              </w:rPr>
              <w:t>7.71</w:t>
            </w:r>
            <w:r w:rsidRPr="00362FE8">
              <w:rPr>
                <w:sz w:val="24"/>
                <w:szCs w:val="24"/>
                <w:vertAlign w:val="superscript"/>
              </w:rPr>
              <w:t>ab</w:t>
            </w:r>
          </w:p>
        </w:tc>
        <w:tc>
          <w:tcPr>
            <w:tcW w:w="1271" w:type="dxa"/>
          </w:tcPr>
          <w:p w14:paraId="370234DE" w14:textId="77777777" w:rsidR="007767E2" w:rsidRDefault="007767E2" w:rsidP="00F13D08">
            <w:pPr>
              <w:widowControl/>
              <w:spacing w:line="240" w:lineRule="auto"/>
              <w:rPr>
                <w:sz w:val="24"/>
                <w:szCs w:val="24"/>
                <w:vertAlign w:val="superscript"/>
              </w:rPr>
            </w:pPr>
            <w:r>
              <w:rPr>
                <w:sz w:val="24"/>
                <w:szCs w:val="24"/>
              </w:rPr>
              <w:t>7.70</w:t>
            </w:r>
            <w:r>
              <w:rPr>
                <w:sz w:val="24"/>
                <w:szCs w:val="24"/>
                <w:vertAlign w:val="superscript"/>
              </w:rPr>
              <w:t>bc</w:t>
            </w:r>
          </w:p>
        </w:tc>
      </w:tr>
      <w:tr w:rsidR="007767E2" w14:paraId="37F78A2D" w14:textId="77777777" w:rsidTr="00F13D08">
        <w:trPr>
          <w:trHeight w:val="384"/>
        </w:trPr>
        <w:tc>
          <w:tcPr>
            <w:tcW w:w="2977" w:type="dxa"/>
          </w:tcPr>
          <w:p w14:paraId="70060BFE"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3307122D" w14:textId="77777777" w:rsidR="007767E2" w:rsidRPr="00362FE8" w:rsidRDefault="007767E2" w:rsidP="00F13D08">
            <w:pPr>
              <w:widowControl/>
              <w:spacing w:line="240" w:lineRule="auto"/>
              <w:rPr>
                <w:sz w:val="24"/>
                <w:szCs w:val="24"/>
                <w:vertAlign w:val="superscript"/>
              </w:rPr>
            </w:pPr>
            <w:r w:rsidRPr="00362FE8">
              <w:rPr>
                <w:sz w:val="24"/>
                <w:szCs w:val="24"/>
              </w:rPr>
              <w:t>7.77</w:t>
            </w:r>
            <w:r w:rsidRPr="00362FE8">
              <w:rPr>
                <w:sz w:val="24"/>
                <w:szCs w:val="24"/>
                <w:vertAlign w:val="superscript"/>
              </w:rPr>
              <w:t>a</w:t>
            </w:r>
          </w:p>
        </w:tc>
        <w:tc>
          <w:tcPr>
            <w:tcW w:w="2126" w:type="dxa"/>
          </w:tcPr>
          <w:p w14:paraId="3151086A" w14:textId="77777777" w:rsidR="007767E2" w:rsidRPr="00362FE8" w:rsidRDefault="007767E2" w:rsidP="00F13D08">
            <w:pPr>
              <w:widowControl/>
              <w:spacing w:line="240" w:lineRule="auto"/>
              <w:rPr>
                <w:sz w:val="24"/>
                <w:szCs w:val="24"/>
                <w:vertAlign w:val="superscript"/>
              </w:rPr>
            </w:pPr>
            <w:r w:rsidRPr="00362FE8">
              <w:rPr>
                <w:sz w:val="24"/>
                <w:szCs w:val="24"/>
              </w:rPr>
              <w:t>7.75</w:t>
            </w:r>
            <w:r w:rsidRPr="00362FE8">
              <w:rPr>
                <w:sz w:val="24"/>
                <w:szCs w:val="24"/>
                <w:vertAlign w:val="superscript"/>
              </w:rPr>
              <w:t>ab</w:t>
            </w:r>
          </w:p>
        </w:tc>
        <w:tc>
          <w:tcPr>
            <w:tcW w:w="1271" w:type="dxa"/>
          </w:tcPr>
          <w:p w14:paraId="0CBC899A" w14:textId="77777777" w:rsidR="007767E2" w:rsidRDefault="007767E2" w:rsidP="00F13D08">
            <w:pPr>
              <w:widowControl/>
              <w:tabs>
                <w:tab w:val="left" w:pos="1130"/>
              </w:tabs>
              <w:spacing w:line="240" w:lineRule="auto"/>
              <w:rPr>
                <w:sz w:val="24"/>
                <w:szCs w:val="24"/>
              </w:rPr>
            </w:pPr>
            <w:r>
              <w:rPr>
                <w:sz w:val="24"/>
                <w:szCs w:val="24"/>
              </w:rPr>
              <w:t>7.76</w:t>
            </w:r>
            <w:r>
              <w:rPr>
                <w:sz w:val="24"/>
                <w:szCs w:val="24"/>
                <w:vertAlign w:val="superscript"/>
              </w:rPr>
              <w:t>a</w:t>
            </w:r>
          </w:p>
        </w:tc>
      </w:tr>
      <w:tr w:rsidR="007767E2" w14:paraId="5A1A2D89" w14:textId="77777777" w:rsidTr="00F13D08">
        <w:trPr>
          <w:trHeight w:val="393"/>
        </w:trPr>
        <w:tc>
          <w:tcPr>
            <w:tcW w:w="2977" w:type="dxa"/>
            <w:tcBorders>
              <w:bottom w:val="thinThickSmallGap" w:sz="24" w:space="0" w:color="auto"/>
            </w:tcBorders>
          </w:tcPr>
          <w:p w14:paraId="2E7CA0CA"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7E3120F3" w14:textId="77777777" w:rsidR="007767E2" w:rsidRDefault="007767E2" w:rsidP="00F13D08">
            <w:pPr>
              <w:widowControl/>
              <w:spacing w:line="240" w:lineRule="auto"/>
              <w:rPr>
                <w:sz w:val="24"/>
                <w:szCs w:val="24"/>
                <w:vertAlign w:val="superscript"/>
              </w:rPr>
            </w:pPr>
            <w:r>
              <w:rPr>
                <w:sz w:val="24"/>
                <w:szCs w:val="24"/>
              </w:rPr>
              <w:t>7.70</w:t>
            </w:r>
            <w:r>
              <w:rPr>
                <w:sz w:val="24"/>
                <w:szCs w:val="24"/>
                <w:vertAlign w:val="superscript"/>
              </w:rPr>
              <w:t>a</w:t>
            </w:r>
          </w:p>
        </w:tc>
        <w:tc>
          <w:tcPr>
            <w:tcW w:w="2126" w:type="dxa"/>
            <w:tcBorders>
              <w:bottom w:val="thinThickSmallGap" w:sz="24" w:space="0" w:color="auto"/>
            </w:tcBorders>
          </w:tcPr>
          <w:p w14:paraId="3DC9F3A1" w14:textId="77777777" w:rsidR="007767E2" w:rsidRDefault="007767E2" w:rsidP="00F13D08">
            <w:pPr>
              <w:widowControl/>
              <w:spacing w:line="240" w:lineRule="auto"/>
              <w:rPr>
                <w:sz w:val="24"/>
                <w:szCs w:val="24"/>
                <w:vertAlign w:val="superscript"/>
              </w:rPr>
            </w:pPr>
            <w:r>
              <w:rPr>
                <w:sz w:val="24"/>
                <w:szCs w:val="24"/>
              </w:rPr>
              <w:t>7.72</w:t>
            </w:r>
            <w:r>
              <w:rPr>
                <w:sz w:val="24"/>
                <w:szCs w:val="24"/>
                <w:vertAlign w:val="superscript"/>
              </w:rPr>
              <w:t>a</w:t>
            </w:r>
          </w:p>
        </w:tc>
        <w:tc>
          <w:tcPr>
            <w:tcW w:w="1271" w:type="dxa"/>
            <w:tcBorders>
              <w:bottom w:val="thinThickSmallGap" w:sz="24" w:space="0" w:color="auto"/>
            </w:tcBorders>
          </w:tcPr>
          <w:p w14:paraId="079429F4" w14:textId="77777777" w:rsidR="007767E2" w:rsidRDefault="007767E2" w:rsidP="00F13D08">
            <w:pPr>
              <w:widowControl/>
              <w:spacing w:line="240" w:lineRule="auto"/>
              <w:rPr>
                <w:sz w:val="24"/>
                <w:szCs w:val="24"/>
              </w:rPr>
            </w:pPr>
          </w:p>
        </w:tc>
      </w:tr>
      <w:tr w:rsidR="007767E2" w14:paraId="3DBB7942" w14:textId="77777777" w:rsidTr="00F13D08">
        <w:trPr>
          <w:trHeight w:val="393"/>
        </w:trPr>
        <w:tc>
          <w:tcPr>
            <w:tcW w:w="2977" w:type="dxa"/>
            <w:tcBorders>
              <w:top w:val="thinThickSmallGap" w:sz="24" w:space="0" w:color="auto"/>
              <w:bottom w:val="thickThinSmallGap" w:sz="24" w:space="0" w:color="auto"/>
            </w:tcBorders>
          </w:tcPr>
          <w:p w14:paraId="3951CDF1" w14:textId="77777777" w:rsidR="007767E2" w:rsidRDefault="007767E2" w:rsidP="00F13D08">
            <w:pPr>
              <w:spacing w:after="0"/>
            </w:pPr>
            <w:r>
              <w:t>C.V. (A) = 1.01 % (B) = 0.57 %</w:t>
            </w:r>
          </w:p>
        </w:tc>
        <w:tc>
          <w:tcPr>
            <w:tcW w:w="1985" w:type="dxa"/>
            <w:tcBorders>
              <w:top w:val="thinThickSmallGap" w:sz="24" w:space="0" w:color="auto"/>
              <w:bottom w:val="thickThinSmallGap" w:sz="24" w:space="0" w:color="auto"/>
            </w:tcBorders>
          </w:tcPr>
          <w:p w14:paraId="125662FB"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171FF527"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400C94F6" w14:textId="77777777" w:rsidR="007767E2" w:rsidRDefault="007767E2" w:rsidP="00F13D08">
            <w:pPr>
              <w:spacing w:line="240" w:lineRule="auto"/>
              <w:rPr>
                <w:sz w:val="24"/>
                <w:szCs w:val="24"/>
              </w:rPr>
            </w:pPr>
          </w:p>
        </w:tc>
      </w:tr>
    </w:tbl>
    <w:p w14:paraId="5C27B549"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The data in Table 7 highlights the effects of corn variety, nitrogen fertilizer type, and their combined interaction on soil available magnesium (Mg).</w:t>
      </w:r>
      <w:r>
        <w:rPr>
          <w:rFonts w:ascii="Times New Roman" w:hAnsi="Times New Roman" w:cs="Times New Roman"/>
          <w:sz w:val="24"/>
          <w:szCs w:val="24"/>
        </w:rPr>
        <w:t xml:space="preserve"> Comparing only the variety, </w:t>
      </w:r>
      <w:r w:rsidRPr="00362FE8">
        <w:rPr>
          <w:rFonts w:ascii="Times New Roman" w:hAnsi="Times New Roman" w:cs="Times New Roman"/>
          <w:sz w:val="24"/>
          <w:szCs w:val="24"/>
        </w:rPr>
        <w:t>sweetcorn demonstrated a slightly higher mean soil Mg content (208.25 ppm) compared to native corn at 194.75 ppm</w:t>
      </w:r>
      <w:r>
        <w:rPr>
          <w:rFonts w:ascii="Times New Roman" w:hAnsi="Times New Roman" w:cs="Times New Roman"/>
          <w:sz w:val="24"/>
          <w:szCs w:val="24"/>
        </w:rPr>
        <w:t xml:space="preserve"> but </w:t>
      </w:r>
      <w:r w:rsidRPr="00362FE8">
        <w:rPr>
          <w:rFonts w:ascii="Times New Roman" w:hAnsi="Times New Roman" w:cs="Times New Roman"/>
          <w:sz w:val="24"/>
          <w:szCs w:val="24"/>
        </w:rPr>
        <w:t>not statistically significant</w:t>
      </w:r>
      <w:r>
        <w:rPr>
          <w:rFonts w:ascii="Times New Roman" w:hAnsi="Times New Roman" w:cs="Times New Roman"/>
          <w:sz w:val="24"/>
          <w:szCs w:val="24"/>
        </w:rPr>
        <w:t xml:space="preserve"> different from each other. According to Clark</w:t>
      </w:r>
      <w:r w:rsidRPr="00362FE8">
        <w:rPr>
          <w:rFonts w:ascii="Times New Roman" w:hAnsi="Times New Roman" w:cs="Times New Roman"/>
          <w:sz w:val="24"/>
          <w:szCs w:val="24"/>
        </w:rPr>
        <w:t xml:space="preserve"> (20</w:t>
      </w:r>
      <w:r>
        <w:rPr>
          <w:rFonts w:ascii="Times New Roman" w:hAnsi="Times New Roman" w:cs="Times New Roman"/>
          <w:sz w:val="24"/>
          <w:szCs w:val="24"/>
        </w:rPr>
        <w:t>21</w:t>
      </w:r>
      <w:r w:rsidRPr="00362FE8">
        <w:rPr>
          <w:rFonts w:ascii="Times New Roman" w:hAnsi="Times New Roman" w:cs="Times New Roman"/>
          <w:sz w:val="24"/>
          <w:szCs w:val="24"/>
        </w:rPr>
        <w:t xml:space="preserve">), the genetic differences among plant varieties influence their nutrient uptake capacities, including </w:t>
      </w:r>
      <w:r>
        <w:rPr>
          <w:rFonts w:ascii="Times New Roman" w:hAnsi="Times New Roman" w:cs="Times New Roman"/>
          <w:sz w:val="24"/>
          <w:szCs w:val="24"/>
        </w:rPr>
        <w:t>magnesium</w:t>
      </w:r>
      <w:r w:rsidRPr="00362FE8">
        <w:rPr>
          <w:rFonts w:ascii="Times New Roman" w:hAnsi="Times New Roman" w:cs="Times New Roman"/>
          <w:sz w:val="24"/>
          <w:szCs w:val="24"/>
        </w:rPr>
        <w:t xml:space="preserve">. These differences may not always lead to significant variations in soil nutrient content. Furthermore, </w:t>
      </w:r>
      <w:proofErr w:type="spellStart"/>
      <w:r>
        <w:rPr>
          <w:rFonts w:ascii="Times New Roman" w:hAnsi="Times New Roman" w:cs="Times New Roman"/>
          <w:sz w:val="24"/>
          <w:szCs w:val="24"/>
        </w:rPr>
        <w:t>Gransee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Fuhrs</w:t>
      </w:r>
      <w:proofErr w:type="spellEnd"/>
      <w:r w:rsidRPr="00362FE8">
        <w:rPr>
          <w:rFonts w:ascii="Times New Roman" w:hAnsi="Times New Roman" w:cs="Times New Roman"/>
          <w:sz w:val="24"/>
          <w:szCs w:val="24"/>
        </w:rPr>
        <w:t xml:space="preserve"> (201</w:t>
      </w:r>
      <w:r>
        <w:rPr>
          <w:rFonts w:ascii="Times New Roman" w:hAnsi="Times New Roman" w:cs="Times New Roman"/>
          <w:sz w:val="24"/>
          <w:szCs w:val="24"/>
        </w:rPr>
        <w:t>3</w:t>
      </w:r>
      <w:r w:rsidRPr="00362FE8">
        <w:rPr>
          <w:rFonts w:ascii="Times New Roman" w:hAnsi="Times New Roman" w:cs="Times New Roman"/>
          <w:sz w:val="24"/>
          <w:szCs w:val="24"/>
        </w:rPr>
        <w:t xml:space="preserve">) emphasized that differences in nutrient cycling and cation exchange processes due to root activity may lead to minor variations in soil </w:t>
      </w:r>
      <w:r>
        <w:rPr>
          <w:rFonts w:ascii="Times New Roman" w:hAnsi="Times New Roman" w:cs="Times New Roman"/>
          <w:sz w:val="24"/>
          <w:szCs w:val="24"/>
        </w:rPr>
        <w:t>magnesium</w:t>
      </w:r>
      <w:r w:rsidRPr="00362FE8">
        <w:rPr>
          <w:rFonts w:ascii="Times New Roman" w:hAnsi="Times New Roman" w:cs="Times New Roman"/>
          <w:sz w:val="24"/>
          <w:szCs w:val="24"/>
        </w:rPr>
        <w:t xml:space="preserve"> levels, even under similar fertilization practices.</w:t>
      </w:r>
    </w:p>
    <w:p w14:paraId="7A62A954"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lastRenderedPageBreak/>
        <w:t xml:space="preserve">Based on the type of nitrogen fertilizer, </w:t>
      </w:r>
      <w:r>
        <w:rPr>
          <w:rFonts w:ascii="Times New Roman" w:hAnsi="Times New Roman" w:cs="Times New Roman"/>
          <w:sz w:val="24"/>
          <w:szCs w:val="24"/>
        </w:rPr>
        <w:t>u</w:t>
      </w:r>
      <w:r w:rsidRPr="00362FE8">
        <w:rPr>
          <w:rFonts w:ascii="Times New Roman" w:hAnsi="Times New Roman" w:cs="Times New Roman"/>
          <w:sz w:val="24"/>
          <w:szCs w:val="24"/>
        </w:rPr>
        <w:t xml:space="preserve">rea-treated soils showed the highest mean Mg availability (219.67 ppm). </w:t>
      </w:r>
      <w:r>
        <w:rPr>
          <w:rFonts w:ascii="Times New Roman" w:hAnsi="Times New Roman" w:cs="Times New Roman"/>
          <w:sz w:val="24"/>
          <w:szCs w:val="24"/>
        </w:rPr>
        <w:t>D</w:t>
      </w:r>
      <w:r w:rsidRPr="00362FE8">
        <w:rPr>
          <w:rFonts w:ascii="Times New Roman" w:hAnsi="Times New Roman" w:cs="Times New Roman"/>
          <w:sz w:val="24"/>
          <w:szCs w:val="24"/>
        </w:rPr>
        <w:t xml:space="preserve">iammonium phosphate (199.33 ppm), ammonium phosphate (203.67 ppm), and ammonium sulfate </w:t>
      </w:r>
      <w:r>
        <w:rPr>
          <w:rFonts w:ascii="Times New Roman" w:hAnsi="Times New Roman" w:cs="Times New Roman"/>
          <w:sz w:val="24"/>
          <w:szCs w:val="24"/>
        </w:rPr>
        <w:t xml:space="preserve">which resulted the lowest </w:t>
      </w:r>
      <w:r w:rsidRPr="00362FE8">
        <w:rPr>
          <w:rFonts w:ascii="Times New Roman" w:hAnsi="Times New Roman" w:cs="Times New Roman"/>
          <w:sz w:val="24"/>
          <w:szCs w:val="24"/>
        </w:rPr>
        <w:t>(183.33 ppm) showed comparable effects on soil magnesium availability</w:t>
      </w:r>
      <w:r>
        <w:rPr>
          <w:rFonts w:ascii="Times New Roman" w:hAnsi="Times New Roman" w:cs="Times New Roman"/>
          <w:sz w:val="24"/>
          <w:szCs w:val="24"/>
        </w:rPr>
        <w:t>. While the results indicate that the fertilizer type significantly affected soil Mg levels, the differences among the treatments were not statistically significant.</w:t>
      </w:r>
    </w:p>
    <w:p w14:paraId="3606E65D" w14:textId="2DE5544F"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The combined effects of corn variety and fertilizer type showed that sweetcorn paired with diammonium phosphate resulted in the highest Mg availability (221 ppm), followed by urea (206.33 ppm) and ammonium phosphate (211 ppm). For native corn, urea led to the highest soil Mg levels (233 ppm), while ammonium sulfate resulted in the lowest Mg availability for both varieties (172.33 ppm for native corn and 194.33 ppm for sweetcorn). These findings are not statistically significant and </w:t>
      </w:r>
      <w:r w:rsidRPr="00BA5F62">
        <w:rPr>
          <w:rFonts w:ascii="Times New Roman" w:eastAsia="Times New Roman" w:hAnsi="Times New Roman" w:cs="Times New Roman"/>
          <w:sz w:val="24"/>
          <w:szCs w:val="24"/>
          <w:highlight w:val="yellow"/>
          <w:lang w:eastAsia="en-PH"/>
        </w:rPr>
        <w:t>indicate that</w:t>
      </w:r>
      <w:r>
        <w:rPr>
          <w:rFonts w:ascii="Times New Roman" w:eastAsia="Times New Roman" w:hAnsi="Times New Roman" w:cs="Times New Roman"/>
          <w:sz w:val="24"/>
          <w:szCs w:val="24"/>
          <w:lang w:eastAsia="en-PH"/>
        </w:rPr>
        <w:t xml:space="preserve"> while fertilizer types differ in their impact on soil Mg, the corn variety interacts with the fertilizers to modify the outcomes. </w:t>
      </w:r>
      <w:proofErr w:type="spellStart"/>
      <w:r>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et al., 20</w:t>
      </w:r>
      <w:r>
        <w:rPr>
          <w:rFonts w:ascii="Times New Roman" w:hAnsi="Times New Roman" w:cs="Times New Roman"/>
          <w:sz w:val="24"/>
          <w:szCs w:val="24"/>
        </w:rPr>
        <w:t>2</w:t>
      </w:r>
      <w:r w:rsidRPr="00362FE8">
        <w:rPr>
          <w:rFonts w:ascii="Times New Roman" w:hAnsi="Times New Roman" w:cs="Times New Roman"/>
          <w:sz w:val="24"/>
          <w:szCs w:val="24"/>
        </w:rPr>
        <w:t xml:space="preserve">4 stated that urea, with its gradual nitrogen release, has been shown to enhance soil cation exchange capacity and nutrient retention, which may explain its association with higher Mg availability. </w:t>
      </w:r>
      <w:r>
        <w:rPr>
          <w:rFonts w:ascii="Times New Roman" w:hAnsi="Times New Roman" w:cs="Times New Roman"/>
          <w:sz w:val="24"/>
          <w:szCs w:val="24"/>
        </w:rPr>
        <w:t>Brady &amp; Weil, 2017 added that p</w:t>
      </w:r>
      <w:r w:rsidRPr="00362FE8">
        <w:rPr>
          <w:rFonts w:ascii="Times New Roman" w:hAnsi="Times New Roman" w:cs="Times New Roman"/>
          <w:sz w:val="24"/>
          <w:szCs w:val="24"/>
        </w:rPr>
        <w:t>hosphate-based fertilizers, such as diammonium phosphate and ammonium phosphate, can alter soil Mg dynamics by promoting microbial activity and phosphorous availability, which may lead to slight changes in Mg bioavailability.</w:t>
      </w:r>
    </w:p>
    <w:p w14:paraId="41C05886"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7: Soil available Mg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452750C0" w14:textId="77777777" w:rsidTr="00F13D08">
        <w:trPr>
          <w:trHeight w:val="384"/>
        </w:trPr>
        <w:tc>
          <w:tcPr>
            <w:tcW w:w="2977" w:type="dxa"/>
            <w:tcBorders>
              <w:top w:val="thinThickSmallGap" w:sz="24" w:space="0" w:color="auto"/>
              <w:bottom w:val="single" w:sz="4" w:space="0" w:color="auto"/>
            </w:tcBorders>
          </w:tcPr>
          <w:p w14:paraId="0B10E540"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2377030"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43D7B429" w14:textId="77777777" w:rsidR="007767E2" w:rsidRDefault="007767E2" w:rsidP="00F13D08">
            <w:pPr>
              <w:widowControl/>
              <w:spacing w:line="240" w:lineRule="auto"/>
              <w:rPr>
                <w:sz w:val="24"/>
                <w:szCs w:val="24"/>
              </w:rPr>
            </w:pPr>
          </w:p>
        </w:tc>
      </w:tr>
      <w:tr w:rsidR="007767E2" w14:paraId="473DB381" w14:textId="77777777" w:rsidTr="00F13D08">
        <w:trPr>
          <w:trHeight w:val="384"/>
        </w:trPr>
        <w:tc>
          <w:tcPr>
            <w:tcW w:w="2977" w:type="dxa"/>
            <w:tcBorders>
              <w:top w:val="single" w:sz="4" w:space="0" w:color="auto"/>
            </w:tcBorders>
          </w:tcPr>
          <w:p w14:paraId="1051B703"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29E698BA"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0E7DD89D"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0CEBA5A0" w14:textId="77777777" w:rsidR="007767E2" w:rsidRDefault="007767E2" w:rsidP="00F13D08">
            <w:pPr>
              <w:widowControl/>
              <w:spacing w:line="240" w:lineRule="auto"/>
              <w:rPr>
                <w:sz w:val="24"/>
                <w:szCs w:val="24"/>
              </w:rPr>
            </w:pPr>
            <w:r>
              <w:rPr>
                <w:sz w:val="24"/>
                <w:szCs w:val="24"/>
              </w:rPr>
              <w:t>Mean</w:t>
            </w:r>
          </w:p>
        </w:tc>
      </w:tr>
      <w:tr w:rsidR="007767E2" w14:paraId="5FFFCC78" w14:textId="77777777" w:rsidTr="00F13D08">
        <w:trPr>
          <w:trHeight w:val="534"/>
        </w:trPr>
        <w:tc>
          <w:tcPr>
            <w:tcW w:w="2977" w:type="dxa"/>
          </w:tcPr>
          <w:p w14:paraId="251C478A"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48F12D48" w14:textId="77777777" w:rsidR="007767E2" w:rsidRPr="00362FE8" w:rsidRDefault="007767E2" w:rsidP="00F13D0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177.33</w:t>
            </w:r>
            <w:r w:rsidRPr="00362FE8">
              <w:rPr>
                <w:sz w:val="24"/>
                <w:szCs w:val="24"/>
                <w:vertAlign w:val="superscript"/>
                <w:lang w:eastAsia="en-PH"/>
              </w:rPr>
              <w:t xml:space="preserve">a       </w:t>
            </w:r>
          </w:p>
        </w:tc>
        <w:tc>
          <w:tcPr>
            <w:tcW w:w="2126" w:type="dxa"/>
          </w:tcPr>
          <w:p w14:paraId="67630D2D"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221</w:t>
            </w:r>
            <w:r w:rsidRPr="00362FE8">
              <w:rPr>
                <w:sz w:val="24"/>
                <w:szCs w:val="24"/>
                <w:vertAlign w:val="superscript"/>
                <w:lang w:eastAsia="en-PH"/>
              </w:rPr>
              <w:t xml:space="preserve">a </w:t>
            </w:r>
          </w:p>
        </w:tc>
        <w:tc>
          <w:tcPr>
            <w:tcW w:w="1271" w:type="dxa"/>
          </w:tcPr>
          <w:p w14:paraId="5DFD785F" w14:textId="77777777" w:rsidR="007767E2" w:rsidRDefault="007767E2" w:rsidP="00F13D08">
            <w:pPr>
              <w:spacing w:after="0" w:line="240" w:lineRule="auto"/>
              <w:rPr>
                <w:rFonts w:eastAsia="Times New Roman"/>
                <w:sz w:val="24"/>
                <w:szCs w:val="24"/>
                <w:vertAlign w:val="superscript"/>
                <w:lang w:eastAsia="en-PH"/>
              </w:rPr>
            </w:pPr>
            <w:r>
              <w:rPr>
                <w:sz w:val="24"/>
                <w:szCs w:val="24"/>
              </w:rPr>
              <w:t>199.33</w:t>
            </w:r>
            <w:r>
              <w:rPr>
                <w:sz w:val="24"/>
                <w:szCs w:val="24"/>
                <w:vertAlign w:val="superscript"/>
              </w:rPr>
              <w:t>a</w:t>
            </w:r>
          </w:p>
        </w:tc>
      </w:tr>
      <w:tr w:rsidR="007767E2" w14:paraId="7B24D079" w14:textId="77777777" w:rsidTr="00F13D08">
        <w:trPr>
          <w:trHeight w:val="384"/>
        </w:trPr>
        <w:tc>
          <w:tcPr>
            <w:tcW w:w="2977" w:type="dxa"/>
          </w:tcPr>
          <w:p w14:paraId="73541060" w14:textId="77777777" w:rsidR="007767E2" w:rsidRDefault="007767E2" w:rsidP="00F13D08">
            <w:pPr>
              <w:widowControl/>
              <w:spacing w:line="240" w:lineRule="auto"/>
              <w:rPr>
                <w:sz w:val="24"/>
                <w:szCs w:val="24"/>
              </w:rPr>
            </w:pPr>
            <w:r>
              <w:rPr>
                <w:sz w:val="24"/>
                <w:szCs w:val="24"/>
              </w:rPr>
              <w:t>F2 (urea)</w:t>
            </w:r>
          </w:p>
        </w:tc>
        <w:tc>
          <w:tcPr>
            <w:tcW w:w="1985" w:type="dxa"/>
          </w:tcPr>
          <w:p w14:paraId="7B052B95" w14:textId="77777777" w:rsidR="007767E2" w:rsidRPr="00362FE8" w:rsidRDefault="007767E2" w:rsidP="00F13D0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233</w:t>
            </w:r>
            <w:r w:rsidRPr="00362FE8">
              <w:rPr>
                <w:sz w:val="24"/>
                <w:szCs w:val="24"/>
                <w:vertAlign w:val="superscript"/>
              </w:rPr>
              <w:t>a</w:t>
            </w:r>
          </w:p>
        </w:tc>
        <w:tc>
          <w:tcPr>
            <w:tcW w:w="2126" w:type="dxa"/>
          </w:tcPr>
          <w:p w14:paraId="1065E4F3"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206.33</w:t>
            </w:r>
            <w:r w:rsidRPr="00362FE8">
              <w:rPr>
                <w:sz w:val="24"/>
                <w:szCs w:val="24"/>
                <w:vertAlign w:val="superscript"/>
                <w:lang w:eastAsia="en-PH"/>
              </w:rPr>
              <w:t>a</w:t>
            </w:r>
          </w:p>
        </w:tc>
        <w:tc>
          <w:tcPr>
            <w:tcW w:w="1271" w:type="dxa"/>
          </w:tcPr>
          <w:p w14:paraId="300CEE75" w14:textId="77777777" w:rsidR="007767E2" w:rsidRDefault="007767E2" w:rsidP="00F13D08">
            <w:pPr>
              <w:widowControl/>
              <w:spacing w:line="240" w:lineRule="auto"/>
              <w:rPr>
                <w:sz w:val="24"/>
                <w:szCs w:val="24"/>
                <w:vertAlign w:val="superscript"/>
              </w:rPr>
            </w:pPr>
            <w:r>
              <w:rPr>
                <w:sz w:val="24"/>
                <w:szCs w:val="24"/>
              </w:rPr>
              <w:t>219.67</w:t>
            </w:r>
            <w:r>
              <w:rPr>
                <w:sz w:val="24"/>
                <w:szCs w:val="24"/>
                <w:vertAlign w:val="superscript"/>
              </w:rPr>
              <w:t>a</w:t>
            </w:r>
          </w:p>
        </w:tc>
      </w:tr>
      <w:tr w:rsidR="007767E2" w14:paraId="2283BD81" w14:textId="77777777" w:rsidTr="00F13D08">
        <w:trPr>
          <w:trHeight w:val="384"/>
        </w:trPr>
        <w:tc>
          <w:tcPr>
            <w:tcW w:w="2977" w:type="dxa"/>
          </w:tcPr>
          <w:p w14:paraId="4E5EA738"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2041F386" w14:textId="77777777" w:rsidR="007767E2" w:rsidRPr="00362FE8" w:rsidRDefault="007767E2" w:rsidP="00F13D08">
            <w:pPr>
              <w:widowControl/>
              <w:spacing w:line="240" w:lineRule="auto"/>
              <w:rPr>
                <w:sz w:val="24"/>
                <w:szCs w:val="24"/>
                <w:vertAlign w:val="superscript"/>
              </w:rPr>
            </w:pPr>
            <w:r w:rsidRPr="00362FE8">
              <w:rPr>
                <w:sz w:val="24"/>
                <w:szCs w:val="24"/>
              </w:rPr>
              <w:t>196.33</w:t>
            </w:r>
            <w:r w:rsidRPr="00362FE8">
              <w:rPr>
                <w:sz w:val="24"/>
                <w:szCs w:val="24"/>
                <w:vertAlign w:val="superscript"/>
              </w:rPr>
              <w:t>a</w:t>
            </w:r>
          </w:p>
        </w:tc>
        <w:tc>
          <w:tcPr>
            <w:tcW w:w="2126" w:type="dxa"/>
          </w:tcPr>
          <w:p w14:paraId="1D282FE7" w14:textId="77777777" w:rsidR="007767E2" w:rsidRPr="00362FE8" w:rsidRDefault="007767E2" w:rsidP="00F13D08">
            <w:pPr>
              <w:widowControl/>
              <w:spacing w:line="240" w:lineRule="auto"/>
              <w:rPr>
                <w:sz w:val="24"/>
                <w:szCs w:val="24"/>
                <w:vertAlign w:val="superscript"/>
              </w:rPr>
            </w:pPr>
            <w:r w:rsidRPr="00362FE8">
              <w:rPr>
                <w:sz w:val="24"/>
                <w:szCs w:val="24"/>
              </w:rPr>
              <w:t>211</w:t>
            </w:r>
            <w:r w:rsidRPr="00362FE8">
              <w:rPr>
                <w:sz w:val="24"/>
                <w:szCs w:val="24"/>
                <w:vertAlign w:val="superscript"/>
              </w:rPr>
              <w:t>a</w:t>
            </w:r>
          </w:p>
        </w:tc>
        <w:tc>
          <w:tcPr>
            <w:tcW w:w="1271" w:type="dxa"/>
          </w:tcPr>
          <w:p w14:paraId="29C26AB0" w14:textId="77777777" w:rsidR="007767E2" w:rsidRDefault="007767E2" w:rsidP="00F13D08">
            <w:pPr>
              <w:widowControl/>
              <w:spacing w:line="240" w:lineRule="auto"/>
              <w:rPr>
                <w:sz w:val="24"/>
                <w:szCs w:val="24"/>
                <w:vertAlign w:val="superscript"/>
              </w:rPr>
            </w:pPr>
            <w:r>
              <w:rPr>
                <w:sz w:val="24"/>
                <w:szCs w:val="24"/>
              </w:rPr>
              <w:t>203.67</w:t>
            </w:r>
            <w:r>
              <w:rPr>
                <w:sz w:val="24"/>
                <w:szCs w:val="24"/>
                <w:vertAlign w:val="superscript"/>
              </w:rPr>
              <w:t>a</w:t>
            </w:r>
          </w:p>
        </w:tc>
      </w:tr>
      <w:tr w:rsidR="007767E2" w14:paraId="38A8F316" w14:textId="77777777" w:rsidTr="00F13D08">
        <w:trPr>
          <w:trHeight w:val="384"/>
        </w:trPr>
        <w:tc>
          <w:tcPr>
            <w:tcW w:w="2977" w:type="dxa"/>
          </w:tcPr>
          <w:p w14:paraId="3309AFFE"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15B16A9C" w14:textId="77777777" w:rsidR="007767E2" w:rsidRPr="00362FE8" w:rsidRDefault="007767E2" w:rsidP="00F13D08">
            <w:pPr>
              <w:widowControl/>
              <w:spacing w:line="240" w:lineRule="auto"/>
              <w:rPr>
                <w:sz w:val="24"/>
                <w:szCs w:val="24"/>
                <w:vertAlign w:val="superscript"/>
              </w:rPr>
            </w:pPr>
            <w:r w:rsidRPr="00362FE8">
              <w:rPr>
                <w:sz w:val="24"/>
                <w:szCs w:val="24"/>
              </w:rPr>
              <w:t>172.33</w:t>
            </w:r>
            <w:r w:rsidRPr="00362FE8">
              <w:rPr>
                <w:sz w:val="24"/>
                <w:szCs w:val="24"/>
                <w:vertAlign w:val="superscript"/>
              </w:rPr>
              <w:t>a</w:t>
            </w:r>
          </w:p>
        </w:tc>
        <w:tc>
          <w:tcPr>
            <w:tcW w:w="2126" w:type="dxa"/>
          </w:tcPr>
          <w:p w14:paraId="52539326" w14:textId="77777777" w:rsidR="007767E2" w:rsidRPr="00362FE8" w:rsidRDefault="007767E2" w:rsidP="00F13D08">
            <w:pPr>
              <w:widowControl/>
              <w:spacing w:line="240" w:lineRule="auto"/>
              <w:rPr>
                <w:sz w:val="24"/>
                <w:szCs w:val="24"/>
                <w:vertAlign w:val="superscript"/>
              </w:rPr>
            </w:pPr>
            <w:r w:rsidRPr="00362FE8">
              <w:rPr>
                <w:sz w:val="24"/>
                <w:szCs w:val="24"/>
              </w:rPr>
              <w:t>194.33</w:t>
            </w:r>
            <w:r w:rsidRPr="00362FE8">
              <w:rPr>
                <w:sz w:val="24"/>
                <w:szCs w:val="24"/>
                <w:vertAlign w:val="superscript"/>
              </w:rPr>
              <w:t>a</w:t>
            </w:r>
          </w:p>
        </w:tc>
        <w:tc>
          <w:tcPr>
            <w:tcW w:w="1271" w:type="dxa"/>
          </w:tcPr>
          <w:p w14:paraId="6B4106A6" w14:textId="77777777" w:rsidR="007767E2" w:rsidRDefault="007767E2" w:rsidP="00F13D08">
            <w:pPr>
              <w:widowControl/>
              <w:tabs>
                <w:tab w:val="left" w:pos="1130"/>
              </w:tabs>
              <w:spacing w:line="240" w:lineRule="auto"/>
              <w:rPr>
                <w:sz w:val="24"/>
                <w:szCs w:val="24"/>
              </w:rPr>
            </w:pPr>
            <w:r>
              <w:rPr>
                <w:sz w:val="24"/>
                <w:szCs w:val="24"/>
              </w:rPr>
              <w:t>183.33</w:t>
            </w:r>
            <w:r>
              <w:rPr>
                <w:sz w:val="24"/>
                <w:szCs w:val="24"/>
                <w:vertAlign w:val="superscript"/>
              </w:rPr>
              <w:t>a</w:t>
            </w:r>
          </w:p>
        </w:tc>
      </w:tr>
      <w:tr w:rsidR="007767E2" w14:paraId="5B4F0AF7" w14:textId="77777777" w:rsidTr="00F13D08">
        <w:trPr>
          <w:trHeight w:val="393"/>
        </w:trPr>
        <w:tc>
          <w:tcPr>
            <w:tcW w:w="2977" w:type="dxa"/>
            <w:tcBorders>
              <w:bottom w:val="thinThickSmallGap" w:sz="24" w:space="0" w:color="auto"/>
            </w:tcBorders>
          </w:tcPr>
          <w:p w14:paraId="4482524F"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569C66D5" w14:textId="77777777" w:rsidR="007767E2" w:rsidRPr="005B692B" w:rsidRDefault="007767E2" w:rsidP="00F13D08">
            <w:pPr>
              <w:widowControl/>
              <w:spacing w:line="240" w:lineRule="auto"/>
              <w:rPr>
                <w:sz w:val="24"/>
                <w:szCs w:val="24"/>
                <w:vertAlign w:val="superscript"/>
              </w:rPr>
            </w:pPr>
            <w:r w:rsidRPr="005B692B">
              <w:rPr>
                <w:sz w:val="24"/>
                <w:szCs w:val="24"/>
              </w:rPr>
              <w:t>194.75</w:t>
            </w:r>
            <w:r w:rsidRPr="005B692B">
              <w:rPr>
                <w:sz w:val="24"/>
                <w:szCs w:val="24"/>
                <w:vertAlign w:val="superscript"/>
              </w:rPr>
              <w:t>b</w:t>
            </w:r>
          </w:p>
        </w:tc>
        <w:tc>
          <w:tcPr>
            <w:tcW w:w="2126" w:type="dxa"/>
            <w:tcBorders>
              <w:bottom w:val="thinThickSmallGap" w:sz="24" w:space="0" w:color="auto"/>
            </w:tcBorders>
          </w:tcPr>
          <w:p w14:paraId="4921D3D1" w14:textId="77777777" w:rsidR="007767E2" w:rsidRPr="005B692B" w:rsidRDefault="007767E2" w:rsidP="00F13D08">
            <w:pPr>
              <w:widowControl/>
              <w:spacing w:line="240" w:lineRule="auto"/>
              <w:rPr>
                <w:sz w:val="24"/>
                <w:szCs w:val="24"/>
                <w:vertAlign w:val="superscript"/>
              </w:rPr>
            </w:pPr>
            <w:r w:rsidRPr="005B692B">
              <w:rPr>
                <w:sz w:val="24"/>
                <w:szCs w:val="24"/>
              </w:rPr>
              <w:t>208.25</w:t>
            </w:r>
            <w:r w:rsidRPr="005B692B">
              <w:rPr>
                <w:sz w:val="24"/>
                <w:szCs w:val="24"/>
                <w:vertAlign w:val="superscript"/>
              </w:rPr>
              <w:t>a</w:t>
            </w:r>
          </w:p>
        </w:tc>
        <w:tc>
          <w:tcPr>
            <w:tcW w:w="1271" w:type="dxa"/>
            <w:tcBorders>
              <w:bottom w:val="thinThickSmallGap" w:sz="24" w:space="0" w:color="auto"/>
            </w:tcBorders>
          </w:tcPr>
          <w:p w14:paraId="31C7DBFB" w14:textId="77777777" w:rsidR="007767E2" w:rsidRDefault="007767E2" w:rsidP="00F13D08">
            <w:pPr>
              <w:widowControl/>
              <w:spacing w:line="240" w:lineRule="auto"/>
              <w:rPr>
                <w:sz w:val="24"/>
                <w:szCs w:val="24"/>
              </w:rPr>
            </w:pPr>
          </w:p>
        </w:tc>
      </w:tr>
      <w:tr w:rsidR="007767E2" w14:paraId="39D4A8AF" w14:textId="77777777" w:rsidTr="00F13D08">
        <w:trPr>
          <w:trHeight w:val="393"/>
        </w:trPr>
        <w:tc>
          <w:tcPr>
            <w:tcW w:w="2977" w:type="dxa"/>
            <w:tcBorders>
              <w:top w:val="thinThickSmallGap" w:sz="24" w:space="0" w:color="auto"/>
              <w:bottom w:val="thickThinSmallGap" w:sz="24" w:space="0" w:color="auto"/>
            </w:tcBorders>
          </w:tcPr>
          <w:p w14:paraId="02649D52" w14:textId="77777777" w:rsidR="007767E2" w:rsidRDefault="007767E2" w:rsidP="00F13D08">
            <w:pPr>
              <w:spacing w:after="0"/>
            </w:pPr>
            <w:r>
              <w:t>C.V. (A) = 2.28% (B) = 20.74%</w:t>
            </w:r>
          </w:p>
        </w:tc>
        <w:tc>
          <w:tcPr>
            <w:tcW w:w="1985" w:type="dxa"/>
            <w:tcBorders>
              <w:top w:val="thinThickSmallGap" w:sz="24" w:space="0" w:color="auto"/>
              <w:bottom w:val="thickThinSmallGap" w:sz="24" w:space="0" w:color="auto"/>
            </w:tcBorders>
          </w:tcPr>
          <w:p w14:paraId="68F4025E"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740BB719"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007C40F5" w14:textId="77777777" w:rsidR="007767E2" w:rsidRDefault="007767E2" w:rsidP="00F13D08">
            <w:pPr>
              <w:spacing w:line="240" w:lineRule="auto"/>
              <w:rPr>
                <w:sz w:val="24"/>
                <w:szCs w:val="24"/>
              </w:rPr>
            </w:pPr>
          </w:p>
        </w:tc>
      </w:tr>
    </w:tbl>
    <w:p w14:paraId="2E580576"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The data in Table 8 provides insights into the effects of corn variety, nitrogen fertilizer type, and their combined interaction on soil available calcium (Ca). The results indicate no </w:t>
      </w:r>
      <w:r w:rsidRPr="00362FE8">
        <w:rPr>
          <w:rFonts w:ascii="Times New Roman" w:hAnsi="Times New Roman" w:cs="Times New Roman"/>
          <w:sz w:val="24"/>
          <w:szCs w:val="24"/>
        </w:rPr>
        <w:lastRenderedPageBreak/>
        <w:t>statistically significant differences between treatments, but trends highlight variations in soil Ca content influenced by the tested factors.</w:t>
      </w:r>
    </w:p>
    <w:p w14:paraId="01D6548A" w14:textId="51E01FA2"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8"/>
          <w:szCs w:val="28"/>
        </w:rPr>
      </w:pPr>
      <w:r w:rsidRPr="00362FE8">
        <w:rPr>
          <w:rFonts w:ascii="Times New Roman" w:hAnsi="Times New Roman" w:cs="Times New Roman"/>
          <w:sz w:val="24"/>
          <w:szCs w:val="24"/>
        </w:rPr>
        <w:t xml:space="preserve">The effects of corn variety showed that sweetcorn exhibited a slightly higher mean soil Ca content (7393.67 ppm) compared to native corn at 7188.17 ppm. The observed difference, although not significant, suggests that sweetcorn may have a slightly lower Ca uptake or a greater ability to influence soil nutrient retention through its root exudates and microbial interactions. Studies by </w:t>
      </w:r>
      <w:proofErr w:type="spellStart"/>
      <w:r>
        <w:rPr>
          <w:rFonts w:ascii="Times New Roman" w:hAnsi="Times New Roman" w:cs="Times New Roman"/>
          <w:sz w:val="24"/>
          <w:szCs w:val="24"/>
        </w:rPr>
        <w:t>Canarini</w:t>
      </w:r>
      <w:proofErr w:type="spellEnd"/>
      <w:r w:rsidRPr="00362FE8">
        <w:rPr>
          <w:rFonts w:ascii="Times New Roman" w:hAnsi="Times New Roman" w:cs="Times New Roman"/>
          <w:sz w:val="24"/>
          <w:szCs w:val="24"/>
        </w:rPr>
        <w:t xml:space="preserve"> et al. (201</w:t>
      </w:r>
      <w:r>
        <w:rPr>
          <w:rFonts w:ascii="Times New Roman" w:hAnsi="Times New Roman" w:cs="Times New Roman"/>
          <w:sz w:val="24"/>
          <w:szCs w:val="24"/>
        </w:rPr>
        <w:t>9</w:t>
      </w:r>
      <w:r w:rsidRPr="00362FE8">
        <w:rPr>
          <w:rFonts w:ascii="Times New Roman" w:hAnsi="Times New Roman" w:cs="Times New Roman"/>
          <w:sz w:val="24"/>
          <w:szCs w:val="24"/>
        </w:rPr>
        <w:t xml:space="preserve">) </w:t>
      </w:r>
      <w:r w:rsidRPr="00BA5F62">
        <w:rPr>
          <w:rFonts w:ascii="Times New Roman" w:hAnsi="Times New Roman" w:cs="Times New Roman"/>
          <w:sz w:val="24"/>
          <w:szCs w:val="24"/>
          <w:highlight w:val="yellow"/>
        </w:rPr>
        <w:t>prove th</w:t>
      </w:r>
      <w:r w:rsidRPr="00362FE8">
        <w:rPr>
          <w:rFonts w:ascii="Times New Roman" w:hAnsi="Times New Roman" w:cs="Times New Roman"/>
          <w:sz w:val="24"/>
          <w:szCs w:val="24"/>
        </w:rPr>
        <w:t>at plant species and varieties differ in their ability to mobilize and retain soil nutrients based on root traits and exudate composition. Sweetcorn's genetic predisposition for efficient nutrient uptake and its potential to interact more effectively with the soil microbiome may explain its association with slightly higher soil Ca levels.</w:t>
      </w:r>
    </w:p>
    <w:p w14:paraId="1675EF5A" w14:textId="77777777" w:rsidR="007767E2" w:rsidRPr="00362FE8" w:rsidRDefault="007767E2" w:rsidP="007767E2">
      <w:pPr>
        <w:pStyle w:val="NormalWeb"/>
        <w:spacing w:before="100" w:after="100" w:line="360" w:lineRule="auto"/>
        <w:ind w:firstLine="720"/>
        <w:jc w:val="both"/>
        <w:rPr>
          <w:rFonts w:eastAsia="Times New Roman"/>
          <w:lang w:eastAsia="en-PH"/>
        </w:rPr>
      </w:pPr>
      <w:r>
        <w:t xml:space="preserve">Among the nitrogen fertilizers, urea-treated soils recorded the highest mean soil Ca content (7510.83 ppm), potentially due to urea's slow nitrogen release, which enhances soil cation exchange capacity and reduces Ca leaching. Ammonium phosphate (7429.50 ppm) and diammonium phosphate (7304.50 ppm) also showed relatively high Ca levels, likely due to the interaction between phosphate and Ca ions, which promotes nutrient retention in soil. In contrast, ammonium sulfate resulted in the lowest mean soil Ca content (6918.83 ppm). </w:t>
      </w:r>
      <w:proofErr w:type="spellStart"/>
      <w:r>
        <w:t>Swify</w:t>
      </w:r>
      <w:proofErr w:type="spellEnd"/>
      <w:r>
        <w:t xml:space="preserve"> et al., (2024) stated that urea is often associated with enhanced nutrient retention in soils, particularly in cationic nutrients like calcium, due to its gradual hydrolysis and buffering effect. </w:t>
      </w:r>
      <w:r>
        <w:rPr>
          <w:rFonts w:eastAsia="Times New Roman"/>
          <w:lang w:val="en-PH" w:eastAsia="en-PH"/>
        </w:rPr>
        <w:t xml:space="preserve">Brady and Weil (2017) noted that phosphate-based fertilizers, such as ammonium phosphate and diammonium phosphate, promote Ca retention through chemical interactions with phosphate ions, which can form stable compounds with calcium in the soil. </w:t>
      </w:r>
      <w:r>
        <w:rPr>
          <w:rFonts w:eastAsia="Times New Roman"/>
          <w:lang w:eastAsia="en-PH"/>
        </w:rPr>
        <w:t xml:space="preserve">Conversely, ammonium sulfate has an acidifying effect on soil, which can increase the solubility of Ca and subsequently lead to its leaching (Chien et al., 2008). </w:t>
      </w:r>
    </w:p>
    <w:p w14:paraId="456C1289" w14:textId="1E2A67E4"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The interaction between corn variety and fertilizer type showed that sweetcorn paired with urea achieved the highest soil Ca level (7713.67 ppm), while native corn paired with ammonium sulfate recorded the lowest soil Ca level (6836.33 ppm). These trends highlight the influence of specific fertilizer-variety combinations on soil nutrient dynamics. Urea, with its buffering effect, was consistently associated with higher soil Ca across both corn varieties, while ammonium sulfate was linked to lower levels due to its potential to </w:t>
      </w:r>
      <w:r w:rsidRPr="00BA5F62">
        <w:rPr>
          <w:rFonts w:ascii="Times New Roman" w:hAnsi="Times New Roman" w:cs="Times New Roman"/>
          <w:sz w:val="24"/>
          <w:szCs w:val="24"/>
          <w:highlight w:val="yellow"/>
        </w:rPr>
        <w:t xml:space="preserve">acidify </w:t>
      </w:r>
      <w:r w:rsidR="00BA5F62" w:rsidRPr="00BA5F62">
        <w:rPr>
          <w:rFonts w:ascii="Times New Roman" w:hAnsi="Times New Roman" w:cs="Times New Roman"/>
          <w:sz w:val="24"/>
          <w:szCs w:val="24"/>
          <w:highlight w:val="yellow"/>
        </w:rPr>
        <w:t xml:space="preserve">the </w:t>
      </w:r>
      <w:r w:rsidRPr="00BA5F62">
        <w:rPr>
          <w:rFonts w:ascii="Times New Roman" w:hAnsi="Times New Roman" w:cs="Times New Roman"/>
          <w:sz w:val="24"/>
          <w:szCs w:val="24"/>
          <w:highlight w:val="yellow"/>
        </w:rPr>
        <w:t>so</w:t>
      </w:r>
      <w:r w:rsidRPr="00362FE8">
        <w:rPr>
          <w:rFonts w:ascii="Times New Roman" w:hAnsi="Times New Roman" w:cs="Times New Roman"/>
          <w:sz w:val="24"/>
          <w:szCs w:val="24"/>
        </w:rPr>
        <w:t>il and enhance Ca solubility.</w:t>
      </w:r>
      <w:r>
        <w:rPr>
          <w:rFonts w:ascii="Times New Roman" w:hAnsi="Times New Roman" w:cs="Times New Roman"/>
          <w:sz w:val="24"/>
          <w:szCs w:val="24"/>
        </w:rPr>
        <w:t xml:space="preserve"> The results align with the study of </w:t>
      </w:r>
      <w:proofErr w:type="spellStart"/>
      <w:r>
        <w:rPr>
          <w:rFonts w:ascii="Times New Roman" w:hAnsi="Times New Roman" w:cs="Times New Roman"/>
          <w:sz w:val="24"/>
          <w:szCs w:val="24"/>
        </w:rPr>
        <w:t>Motasim</w:t>
      </w:r>
      <w:proofErr w:type="spellEnd"/>
      <w:r>
        <w:rPr>
          <w:rFonts w:ascii="Times New Roman" w:hAnsi="Times New Roman" w:cs="Times New Roman"/>
          <w:sz w:val="24"/>
          <w:szCs w:val="24"/>
        </w:rPr>
        <w:t xml:space="preserve"> et al., </w:t>
      </w:r>
      <w:proofErr w:type="gramStart"/>
      <w:r>
        <w:rPr>
          <w:rFonts w:ascii="Times New Roman" w:hAnsi="Times New Roman" w:cs="Times New Roman"/>
          <w:sz w:val="24"/>
          <w:szCs w:val="24"/>
        </w:rPr>
        <w:t>( 2024</w:t>
      </w:r>
      <w:proofErr w:type="gramEnd"/>
      <w:r w:rsidRPr="00362FE8">
        <w:rPr>
          <w:rFonts w:ascii="Times New Roman" w:hAnsi="Times New Roman" w:cs="Times New Roman"/>
          <w:sz w:val="24"/>
          <w:szCs w:val="24"/>
        </w:rPr>
        <w:t xml:space="preserve">) </w:t>
      </w:r>
      <w:r w:rsidRPr="00BA5F62">
        <w:rPr>
          <w:rFonts w:ascii="Times New Roman" w:hAnsi="Times New Roman" w:cs="Times New Roman"/>
          <w:sz w:val="24"/>
          <w:szCs w:val="24"/>
          <w:highlight w:val="yellow"/>
        </w:rPr>
        <w:t xml:space="preserve">who state </w:t>
      </w:r>
      <w:r w:rsidRPr="00362FE8">
        <w:rPr>
          <w:rFonts w:ascii="Times New Roman" w:hAnsi="Times New Roman" w:cs="Times New Roman"/>
          <w:sz w:val="24"/>
          <w:szCs w:val="24"/>
        </w:rPr>
        <w:t xml:space="preserve">that </w:t>
      </w:r>
      <w:r w:rsidRPr="00362FE8">
        <w:rPr>
          <w:rFonts w:ascii="Times New Roman" w:hAnsi="Times New Roman" w:cs="Times New Roman"/>
          <w:sz w:val="24"/>
          <w:szCs w:val="24"/>
        </w:rPr>
        <w:lastRenderedPageBreak/>
        <w:t>urea is often associated with enhanced nutrient retention in soils, particularly in cationic nutrients like calcium, due to its gradual hydrolysis and buffering effect.</w:t>
      </w:r>
    </w:p>
    <w:p w14:paraId="5E0FDD25"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8: Soil available Ca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355D0ED8" w14:textId="77777777" w:rsidTr="00F13D08">
        <w:trPr>
          <w:trHeight w:val="384"/>
        </w:trPr>
        <w:tc>
          <w:tcPr>
            <w:tcW w:w="2977" w:type="dxa"/>
            <w:tcBorders>
              <w:top w:val="thinThickSmallGap" w:sz="24" w:space="0" w:color="auto"/>
              <w:bottom w:val="single" w:sz="4" w:space="0" w:color="auto"/>
            </w:tcBorders>
          </w:tcPr>
          <w:p w14:paraId="21A3CA4E"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394E176"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219A3E84" w14:textId="77777777" w:rsidR="007767E2" w:rsidRDefault="007767E2" w:rsidP="00F13D08">
            <w:pPr>
              <w:widowControl/>
              <w:spacing w:line="240" w:lineRule="auto"/>
              <w:rPr>
                <w:sz w:val="24"/>
                <w:szCs w:val="24"/>
              </w:rPr>
            </w:pPr>
          </w:p>
        </w:tc>
      </w:tr>
      <w:tr w:rsidR="007767E2" w14:paraId="17C7D819" w14:textId="77777777" w:rsidTr="00F13D08">
        <w:trPr>
          <w:trHeight w:val="384"/>
        </w:trPr>
        <w:tc>
          <w:tcPr>
            <w:tcW w:w="2977" w:type="dxa"/>
            <w:tcBorders>
              <w:top w:val="single" w:sz="4" w:space="0" w:color="auto"/>
            </w:tcBorders>
          </w:tcPr>
          <w:p w14:paraId="4E0F337C"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3836ECAC"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2E22470C"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740C528D" w14:textId="77777777" w:rsidR="007767E2" w:rsidRDefault="007767E2" w:rsidP="00F13D08">
            <w:pPr>
              <w:widowControl/>
              <w:spacing w:line="240" w:lineRule="auto"/>
              <w:rPr>
                <w:sz w:val="24"/>
                <w:szCs w:val="24"/>
              </w:rPr>
            </w:pPr>
            <w:r>
              <w:rPr>
                <w:sz w:val="24"/>
                <w:szCs w:val="24"/>
              </w:rPr>
              <w:t>Mean</w:t>
            </w:r>
          </w:p>
        </w:tc>
      </w:tr>
      <w:tr w:rsidR="007767E2" w14:paraId="72FC5E6B" w14:textId="77777777" w:rsidTr="00F13D08">
        <w:trPr>
          <w:trHeight w:val="534"/>
        </w:trPr>
        <w:tc>
          <w:tcPr>
            <w:tcW w:w="2977" w:type="dxa"/>
          </w:tcPr>
          <w:p w14:paraId="68B9E7B5"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3EFB0689" w14:textId="77777777" w:rsidR="007767E2" w:rsidRPr="00362FE8" w:rsidRDefault="007767E2" w:rsidP="00F13D0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7244.33</w:t>
            </w:r>
            <w:r w:rsidRPr="00362FE8">
              <w:rPr>
                <w:sz w:val="24"/>
                <w:szCs w:val="24"/>
                <w:vertAlign w:val="superscript"/>
                <w:lang w:eastAsia="en-PH"/>
              </w:rPr>
              <w:t xml:space="preserve">a       </w:t>
            </w:r>
          </w:p>
        </w:tc>
        <w:tc>
          <w:tcPr>
            <w:tcW w:w="2126" w:type="dxa"/>
          </w:tcPr>
          <w:p w14:paraId="3F36924E"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7364.67</w:t>
            </w:r>
            <w:r w:rsidRPr="00362FE8">
              <w:rPr>
                <w:sz w:val="24"/>
                <w:szCs w:val="24"/>
                <w:vertAlign w:val="superscript"/>
                <w:lang w:eastAsia="en-PH"/>
              </w:rPr>
              <w:t xml:space="preserve">a </w:t>
            </w:r>
          </w:p>
        </w:tc>
        <w:tc>
          <w:tcPr>
            <w:tcW w:w="1271" w:type="dxa"/>
          </w:tcPr>
          <w:p w14:paraId="2B97A0B1" w14:textId="77777777" w:rsidR="007767E2" w:rsidRDefault="007767E2" w:rsidP="00F13D08">
            <w:pPr>
              <w:spacing w:after="0" w:line="240" w:lineRule="auto"/>
              <w:rPr>
                <w:rFonts w:eastAsia="Times New Roman"/>
                <w:sz w:val="24"/>
                <w:szCs w:val="24"/>
                <w:vertAlign w:val="superscript"/>
                <w:lang w:eastAsia="en-PH"/>
              </w:rPr>
            </w:pPr>
            <w:r>
              <w:rPr>
                <w:sz w:val="24"/>
                <w:szCs w:val="24"/>
              </w:rPr>
              <w:t>7304.50</w:t>
            </w:r>
            <w:r>
              <w:rPr>
                <w:sz w:val="24"/>
                <w:szCs w:val="24"/>
                <w:vertAlign w:val="superscript"/>
              </w:rPr>
              <w:t>a</w:t>
            </w:r>
          </w:p>
        </w:tc>
      </w:tr>
      <w:tr w:rsidR="007767E2" w14:paraId="37F52A2D" w14:textId="77777777" w:rsidTr="00F13D08">
        <w:trPr>
          <w:trHeight w:val="384"/>
        </w:trPr>
        <w:tc>
          <w:tcPr>
            <w:tcW w:w="2977" w:type="dxa"/>
          </w:tcPr>
          <w:p w14:paraId="56BF30F2" w14:textId="77777777" w:rsidR="007767E2" w:rsidRDefault="007767E2" w:rsidP="00F13D08">
            <w:pPr>
              <w:widowControl/>
              <w:spacing w:line="240" w:lineRule="auto"/>
              <w:rPr>
                <w:sz w:val="24"/>
                <w:szCs w:val="24"/>
              </w:rPr>
            </w:pPr>
            <w:r>
              <w:rPr>
                <w:sz w:val="24"/>
                <w:szCs w:val="24"/>
              </w:rPr>
              <w:t>F2 (urea)</w:t>
            </w:r>
          </w:p>
        </w:tc>
        <w:tc>
          <w:tcPr>
            <w:tcW w:w="1985" w:type="dxa"/>
          </w:tcPr>
          <w:p w14:paraId="7FC59A56" w14:textId="77777777" w:rsidR="007767E2" w:rsidRPr="00362FE8" w:rsidRDefault="007767E2" w:rsidP="00F13D0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7308</w:t>
            </w:r>
            <w:r w:rsidRPr="00362FE8">
              <w:rPr>
                <w:sz w:val="24"/>
                <w:szCs w:val="24"/>
                <w:vertAlign w:val="superscript"/>
              </w:rPr>
              <w:t>a</w:t>
            </w:r>
          </w:p>
        </w:tc>
        <w:tc>
          <w:tcPr>
            <w:tcW w:w="2126" w:type="dxa"/>
          </w:tcPr>
          <w:p w14:paraId="5ABEE10F"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7713.67</w:t>
            </w:r>
            <w:r w:rsidRPr="00362FE8">
              <w:rPr>
                <w:sz w:val="24"/>
                <w:szCs w:val="24"/>
                <w:vertAlign w:val="superscript"/>
                <w:lang w:eastAsia="en-PH"/>
              </w:rPr>
              <w:t>a</w:t>
            </w:r>
          </w:p>
        </w:tc>
        <w:tc>
          <w:tcPr>
            <w:tcW w:w="1271" w:type="dxa"/>
          </w:tcPr>
          <w:p w14:paraId="67CCD430" w14:textId="77777777" w:rsidR="007767E2" w:rsidRDefault="007767E2" w:rsidP="00F13D08">
            <w:pPr>
              <w:widowControl/>
              <w:spacing w:line="240" w:lineRule="auto"/>
              <w:rPr>
                <w:sz w:val="24"/>
                <w:szCs w:val="24"/>
                <w:vertAlign w:val="superscript"/>
              </w:rPr>
            </w:pPr>
            <w:r>
              <w:rPr>
                <w:sz w:val="24"/>
                <w:szCs w:val="24"/>
              </w:rPr>
              <w:t>7510.83</w:t>
            </w:r>
            <w:r>
              <w:rPr>
                <w:sz w:val="24"/>
                <w:szCs w:val="24"/>
                <w:vertAlign w:val="superscript"/>
              </w:rPr>
              <w:t>a</w:t>
            </w:r>
          </w:p>
        </w:tc>
      </w:tr>
      <w:tr w:rsidR="007767E2" w14:paraId="131D114D" w14:textId="77777777" w:rsidTr="00F13D08">
        <w:trPr>
          <w:trHeight w:val="384"/>
        </w:trPr>
        <w:tc>
          <w:tcPr>
            <w:tcW w:w="2977" w:type="dxa"/>
          </w:tcPr>
          <w:p w14:paraId="535FDA09"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1F3C755F" w14:textId="77777777" w:rsidR="007767E2" w:rsidRPr="00362FE8" w:rsidRDefault="007767E2" w:rsidP="00F13D08">
            <w:pPr>
              <w:widowControl/>
              <w:spacing w:line="240" w:lineRule="auto"/>
              <w:rPr>
                <w:sz w:val="24"/>
                <w:szCs w:val="24"/>
                <w:vertAlign w:val="superscript"/>
              </w:rPr>
            </w:pPr>
            <w:r w:rsidRPr="00362FE8">
              <w:rPr>
                <w:sz w:val="24"/>
                <w:szCs w:val="24"/>
              </w:rPr>
              <w:t>7364</w:t>
            </w:r>
            <w:r w:rsidRPr="00362FE8">
              <w:rPr>
                <w:sz w:val="24"/>
                <w:szCs w:val="24"/>
                <w:vertAlign w:val="superscript"/>
              </w:rPr>
              <w:t>a</w:t>
            </w:r>
          </w:p>
        </w:tc>
        <w:tc>
          <w:tcPr>
            <w:tcW w:w="2126" w:type="dxa"/>
          </w:tcPr>
          <w:p w14:paraId="6D6F78C7" w14:textId="77777777" w:rsidR="007767E2" w:rsidRPr="00362FE8" w:rsidRDefault="007767E2" w:rsidP="00F13D08">
            <w:pPr>
              <w:widowControl/>
              <w:spacing w:line="240" w:lineRule="auto"/>
              <w:rPr>
                <w:sz w:val="24"/>
                <w:szCs w:val="24"/>
                <w:vertAlign w:val="superscript"/>
              </w:rPr>
            </w:pPr>
            <w:r w:rsidRPr="00362FE8">
              <w:rPr>
                <w:sz w:val="24"/>
                <w:szCs w:val="24"/>
              </w:rPr>
              <w:t>7495</w:t>
            </w:r>
            <w:r w:rsidRPr="00362FE8">
              <w:rPr>
                <w:sz w:val="24"/>
                <w:szCs w:val="24"/>
                <w:vertAlign w:val="superscript"/>
              </w:rPr>
              <w:t>a</w:t>
            </w:r>
          </w:p>
        </w:tc>
        <w:tc>
          <w:tcPr>
            <w:tcW w:w="1271" w:type="dxa"/>
          </w:tcPr>
          <w:p w14:paraId="68795E21" w14:textId="77777777" w:rsidR="007767E2" w:rsidRDefault="007767E2" w:rsidP="00F13D08">
            <w:pPr>
              <w:widowControl/>
              <w:spacing w:line="240" w:lineRule="auto"/>
              <w:rPr>
                <w:sz w:val="24"/>
                <w:szCs w:val="24"/>
                <w:vertAlign w:val="superscript"/>
              </w:rPr>
            </w:pPr>
            <w:r>
              <w:rPr>
                <w:sz w:val="24"/>
                <w:szCs w:val="24"/>
              </w:rPr>
              <w:t>7429.50</w:t>
            </w:r>
            <w:r>
              <w:rPr>
                <w:sz w:val="24"/>
                <w:szCs w:val="24"/>
                <w:vertAlign w:val="superscript"/>
              </w:rPr>
              <w:t>a</w:t>
            </w:r>
          </w:p>
        </w:tc>
      </w:tr>
      <w:tr w:rsidR="007767E2" w14:paraId="4A9D4B0D" w14:textId="77777777" w:rsidTr="00F13D08">
        <w:trPr>
          <w:trHeight w:val="384"/>
        </w:trPr>
        <w:tc>
          <w:tcPr>
            <w:tcW w:w="2977" w:type="dxa"/>
          </w:tcPr>
          <w:p w14:paraId="5D2D6D5F"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32C9AA68" w14:textId="77777777" w:rsidR="007767E2" w:rsidRPr="00362FE8" w:rsidRDefault="007767E2" w:rsidP="00F13D08">
            <w:pPr>
              <w:widowControl/>
              <w:spacing w:line="240" w:lineRule="auto"/>
              <w:rPr>
                <w:sz w:val="24"/>
                <w:szCs w:val="24"/>
                <w:vertAlign w:val="superscript"/>
              </w:rPr>
            </w:pPr>
            <w:r w:rsidRPr="00362FE8">
              <w:rPr>
                <w:sz w:val="24"/>
                <w:szCs w:val="24"/>
              </w:rPr>
              <w:t>6836.33</w:t>
            </w:r>
            <w:r w:rsidRPr="00362FE8">
              <w:rPr>
                <w:sz w:val="24"/>
                <w:szCs w:val="24"/>
                <w:vertAlign w:val="superscript"/>
              </w:rPr>
              <w:t>a</w:t>
            </w:r>
          </w:p>
        </w:tc>
        <w:tc>
          <w:tcPr>
            <w:tcW w:w="2126" w:type="dxa"/>
          </w:tcPr>
          <w:p w14:paraId="7D9B29E6" w14:textId="77777777" w:rsidR="007767E2" w:rsidRPr="00362FE8" w:rsidRDefault="007767E2" w:rsidP="00F13D08">
            <w:pPr>
              <w:widowControl/>
              <w:spacing w:line="240" w:lineRule="auto"/>
              <w:rPr>
                <w:sz w:val="24"/>
                <w:szCs w:val="24"/>
                <w:vertAlign w:val="superscript"/>
              </w:rPr>
            </w:pPr>
            <w:r w:rsidRPr="00362FE8">
              <w:rPr>
                <w:sz w:val="24"/>
                <w:szCs w:val="24"/>
              </w:rPr>
              <w:t>7001.33</w:t>
            </w:r>
            <w:r w:rsidRPr="00362FE8">
              <w:rPr>
                <w:sz w:val="24"/>
                <w:szCs w:val="24"/>
                <w:vertAlign w:val="superscript"/>
              </w:rPr>
              <w:t>a</w:t>
            </w:r>
          </w:p>
        </w:tc>
        <w:tc>
          <w:tcPr>
            <w:tcW w:w="1271" w:type="dxa"/>
          </w:tcPr>
          <w:p w14:paraId="44A35FC1" w14:textId="77777777" w:rsidR="007767E2" w:rsidRDefault="007767E2" w:rsidP="00F13D08">
            <w:pPr>
              <w:widowControl/>
              <w:tabs>
                <w:tab w:val="left" w:pos="1130"/>
              </w:tabs>
              <w:spacing w:line="240" w:lineRule="auto"/>
              <w:rPr>
                <w:sz w:val="24"/>
                <w:szCs w:val="24"/>
              </w:rPr>
            </w:pPr>
            <w:r>
              <w:rPr>
                <w:sz w:val="24"/>
                <w:szCs w:val="24"/>
              </w:rPr>
              <w:t>6918.83</w:t>
            </w:r>
            <w:r>
              <w:rPr>
                <w:sz w:val="24"/>
                <w:szCs w:val="24"/>
                <w:vertAlign w:val="superscript"/>
              </w:rPr>
              <w:t>a</w:t>
            </w:r>
          </w:p>
        </w:tc>
      </w:tr>
      <w:tr w:rsidR="007767E2" w14:paraId="67930046" w14:textId="77777777" w:rsidTr="00F13D08">
        <w:trPr>
          <w:trHeight w:val="393"/>
        </w:trPr>
        <w:tc>
          <w:tcPr>
            <w:tcW w:w="2977" w:type="dxa"/>
            <w:tcBorders>
              <w:bottom w:val="thinThickSmallGap" w:sz="24" w:space="0" w:color="auto"/>
            </w:tcBorders>
          </w:tcPr>
          <w:p w14:paraId="0F5506B2"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4BEE8D64" w14:textId="77777777" w:rsidR="007767E2" w:rsidRDefault="007767E2" w:rsidP="00F13D08">
            <w:pPr>
              <w:widowControl/>
              <w:spacing w:line="240" w:lineRule="auto"/>
              <w:rPr>
                <w:sz w:val="24"/>
                <w:szCs w:val="24"/>
                <w:vertAlign w:val="superscript"/>
              </w:rPr>
            </w:pPr>
            <w:r>
              <w:rPr>
                <w:sz w:val="24"/>
                <w:szCs w:val="24"/>
              </w:rPr>
              <w:t>7188.17</w:t>
            </w:r>
            <w:r>
              <w:rPr>
                <w:sz w:val="24"/>
                <w:szCs w:val="24"/>
                <w:vertAlign w:val="superscript"/>
              </w:rPr>
              <w:t>a</w:t>
            </w:r>
          </w:p>
        </w:tc>
        <w:tc>
          <w:tcPr>
            <w:tcW w:w="2126" w:type="dxa"/>
            <w:tcBorders>
              <w:bottom w:val="thinThickSmallGap" w:sz="24" w:space="0" w:color="auto"/>
            </w:tcBorders>
          </w:tcPr>
          <w:p w14:paraId="19B30E0C" w14:textId="77777777" w:rsidR="007767E2" w:rsidRDefault="007767E2" w:rsidP="00F13D08">
            <w:pPr>
              <w:widowControl/>
              <w:spacing w:line="240" w:lineRule="auto"/>
              <w:rPr>
                <w:sz w:val="24"/>
                <w:szCs w:val="24"/>
                <w:vertAlign w:val="superscript"/>
              </w:rPr>
            </w:pPr>
            <w:r>
              <w:rPr>
                <w:sz w:val="24"/>
                <w:szCs w:val="24"/>
              </w:rPr>
              <w:t>7393.67</w:t>
            </w:r>
            <w:r>
              <w:rPr>
                <w:sz w:val="24"/>
                <w:szCs w:val="24"/>
                <w:vertAlign w:val="superscript"/>
              </w:rPr>
              <w:t>a</w:t>
            </w:r>
          </w:p>
        </w:tc>
        <w:tc>
          <w:tcPr>
            <w:tcW w:w="1271" w:type="dxa"/>
            <w:tcBorders>
              <w:bottom w:val="thinThickSmallGap" w:sz="24" w:space="0" w:color="auto"/>
            </w:tcBorders>
          </w:tcPr>
          <w:p w14:paraId="052E983D" w14:textId="77777777" w:rsidR="007767E2" w:rsidRDefault="007767E2" w:rsidP="00F13D08">
            <w:pPr>
              <w:widowControl/>
              <w:spacing w:line="240" w:lineRule="auto"/>
              <w:rPr>
                <w:sz w:val="24"/>
                <w:szCs w:val="24"/>
              </w:rPr>
            </w:pPr>
          </w:p>
        </w:tc>
      </w:tr>
      <w:tr w:rsidR="007767E2" w14:paraId="49E38F16" w14:textId="77777777" w:rsidTr="00F13D08">
        <w:trPr>
          <w:trHeight w:val="393"/>
        </w:trPr>
        <w:tc>
          <w:tcPr>
            <w:tcW w:w="2977" w:type="dxa"/>
            <w:tcBorders>
              <w:top w:val="thinThickSmallGap" w:sz="24" w:space="0" w:color="auto"/>
              <w:bottom w:val="thickThinSmallGap" w:sz="24" w:space="0" w:color="auto"/>
            </w:tcBorders>
          </w:tcPr>
          <w:p w14:paraId="0D7E6C67" w14:textId="77777777" w:rsidR="007767E2" w:rsidRDefault="007767E2" w:rsidP="00F13D08">
            <w:pPr>
              <w:spacing w:after="0"/>
            </w:pPr>
            <w:r>
              <w:t>C.V. (A) = 6.76% (B) = 7.07%</w:t>
            </w:r>
          </w:p>
        </w:tc>
        <w:tc>
          <w:tcPr>
            <w:tcW w:w="1985" w:type="dxa"/>
            <w:tcBorders>
              <w:top w:val="thinThickSmallGap" w:sz="24" w:space="0" w:color="auto"/>
              <w:bottom w:val="thickThinSmallGap" w:sz="24" w:space="0" w:color="auto"/>
            </w:tcBorders>
          </w:tcPr>
          <w:p w14:paraId="46115F45"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2380A838"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19C23121" w14:textId="77777777" w:rsidR="007767E2" w:rsidRDefault="007767E2" w:rsidP="00F13D08">
            <w:pPr>
              <w:spacing w:line="240" w:lineRule="auto"/>
              <w:rPr>
                <w:sz w:val="24"/>
                <w:szCs w:val="24"/>
              </w:rPr>
            </w:pPr>
          </w:p>
        </w:tc>
      </w:tr>
    </w:tbl>
    <w:p w14:paraId="39F51F80" w14:textId="77777777" w:rsidR="007767E2"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PH"/>
        </w:rPr>
        <w:tab/>
      </w:r>
      <w:r w:rsidRPr="00362FE8">
        <w:rPr>
          <w:rFonts w:ascii="Times New Roman" w:hAnsi="Times New Roman" w:cs="Times New Roman"/>
          <w:sz w:val="24"/>
          <w:szCs w:val="24"/>
        </w:rPr>
        <w:t>The results in Table 9 present the effects of corn variety, nitrogen fertilizers, and their interaction on soil organic matter (OM) content. While no statistically significant differences were observed, trends highlight the influence of these factors on soil OM percentages.</w:t>
      </w:r>
      <w:r>
        <w:rPr>
          <w:rFonts w:ascii="Times New Roman" w:hAnsi="Times New Roman" w:cs="Times New Roman"/>
          <w:sz w:val="24"/>
          <w:szCs w:val="24"/>
        </w:rPr>
        <w:t xml:space="preserve"> In terms of variety, </w:t>
      </w:r>
      <w:r w:rsidRPr="00362FE8">
        <w:rPr>
          <w:rFonts w:ascii="Times New Roman" w:hAnsi="Times New Roman" w:cs="Times New Roman"/>
          <w:sz w:val="24"/>
          <w:szCs w:val="24"/>
        </w:rPr>
        <w:t xml:space="preserve">sweetcorn demonstrated a slightly higher mean soil OM content (3.06%) compared to native corn with 2.89%. </w:t>
      </w:r>
      <w:r>
        <w:rPr>
          <w:rFonts w:ascii="Times New Roman" w:hAnsi="Times New Roman" w:cs="Times New Roman"/>
          <w:sz w:val="24"/>
          <w:szCs w:val="24"/>
        </w:rPr>
        <w:t xml:space="preserve">According to </w:t>
      </w:r>
      <w:r w:rsidRPr="00362FE8">
        <w:rPr>
          <w:rFonts w:ascii="Times New Roman" w:hAnsi="Times New Roman" w:cs="Times New Roman"/>
          <w:sz w:val="24"/>
          <w:szCs w:val="24"/>
        </w:rPr>
        <w:t>Brady and Weil (2017</w:t>
      </w:r>
      <w:r>
        <w:rPr>
          <w:rFonts w:ascii="Times New Roman" w:hAnsi="Times New Roman" w:cs="Times New Roman"/>
          <w:sz w:val="24"/>
          <w:szCs w:val="24"/>
        </w:rPr>
        <w:t>), s</w:t>
      </w:r>
      <w:r w:rsidRPr="00362FE8">
        <w:rPr>
          <w:rFonts w:ascii="Times New Roman" w:hAnsi="Times New Roman" w:cs="Times New Roman"/>
          <w:sz w:val="24"/>
          <w:szCs w:val="24"/>
        </w:rPr>
        <w:t>weetcorn, with its larger biomass and extensive root system, has the potential to deposit higher levels of organic residues into the soil, thereby increasing soil OM content.</w:t>
      </w:r>
      <w:r>
        <w:rPr>
          <w:rFonts w:ascii="Times New Roman" w:hAnsi="Times New Roman" w:cs="Times New Roman"/>
          <w:sz w:val="24"/>
          <w:szCs w:val="24"/>
        </w:rPr>
        <w:t xml:space="preserve"> R</w:t>
      </w:r>
      <w:r w:rsidRPr="00362FE8">
        <w:rPr>
          <w:rFonts w:ascii="Times New Roman" w:hAnsi="Times New Roman" w:cs="Times New Roman"/>
          <w:sz w:val="24"/>
          <w:szCs w:val="24"/>
        </w:rPr>
        <w:t>oot exudates and decaying plant matter from crops contribute significantly to soil OM, enhancing soil structure, fertility, and microbial activity.</w:t>
      </w:r>
    </w:p>
    <w:p w14:paraId="0BC6498B"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Among the nitrogen fertilizers, urea-treated soils recorded the highest mean soil OM content (3.07%). Urea, as a readily available nitrogen source, may stimulate microbial activity, leading to faster decomposition of organic residues and integration into soil OM. Ammonium phosphate (2.99%) and ammonium sulfate (2.96%) followed closely, while diammonium phosphate resulted in slightly lower soil OM content (2.87%). </w:t>
      </w:r>
      <w:r>
        <w:rPr>
          <w:rFonts w:ascii="Times New Roman" w:hAnsi="Times New Roman" w:cs="Times New Roman"/>
          <w:sz w:val="24"/>
          <w:szCs w:val="24"/>
        </w:rPr>
        <w:t xml:space="preserve"> This claim was supported by the study of </w:t>
      </w:r>
      <w:proofErr w:type="spellStart"/>
      <w:r>
        <w:rPr>
          <w:rFonts w:ascii="Times New Roman" w:hAnsi="Times New Roman" w:cs="Times New Roman"/>
          <w:sz w:val="24"/>
          <w:szCs w:val="24"/>
        </w:rPr>
        <w:t>Motasim</w:t>
      </w:r>
      <w:proofErr w:type="spellEnd"/>
      <w:r>
        <w:rPr>
          <w:rFonts w:ascii="Times New Roman" w:hAnsi="Times New Roman" w:cs="Times New Roman"/>
          <w:sz w:val="24"/>
          <w:szCs w:val="24"/>
        </w:rPr>
        <w:t xml:space="preserve"> et al.,</w:t>
      </w:r>
      <w:r w:rsidRPr="00362FE8">
        <w:rPr>
          <w:rFonts w:ascii="Times New Roman" w:hAnsi="Times New Roman" w:cs="Times New Roman"/>
          <w:sz w:val="24"/>
          <w:szCs w:val="24"/>
        </w:rPr>
        <w:t xml:space="preserve"> (</w:t>
      </w:r>
      <w:r>
        <w:rPr>
          <w:rFonts w:ascii="Times New Roman" w:hAnsi="Times New Roman" w:cs="Times New Roman"/>
          <w:sz w:val="24"/>
          <w:szCs w:val="24"/>
        </w:rPr>
        <w:t>2024</w:t>
      </w:r>
      <w:r w:rsidRPr="00362FE8">
        <w:rPr>
          <w:rFonts w:ascii="Times New Roman" w:hAnsi="Times New Roman" w:cs="Times New Roman"/>
          <w:sz w:val="24"/>
          <w:szCs w:val="24"/>
        </w:rPr>
        <w:t>) who highlight that nitrogen fertilizers, such as urea, stimulate soil microorganisms by providing essential nitrogen, which is a limiting factor in many soil ecosystems.</w:t>
      </w:r>
      <w:r>
        <w:rPr>
          <w:rFonts w:ascii="Times New Roman" w:hAnsi="Times New Roman" w:cs="Times New Roman"/>
          <w:sz w:val="24"/>
          <w:szCs w:val="24"/>
        </w:rPr>
        <w:t xml:space="preserve"> </w:t>
      </w:r>
      <w:r w:rsidRPr="00362FE8">
        <w:rPr>
          <w:rFonts w:ascii="Times New Roman" w:hAnsi="Times New Roman" w:cs="Times New Roman"/>
          <w:sz w:val="24"/>
          <w:szCs w:val="24"/>
        </w:rPr>
        <w:t xml:space="preserve">Ammonium-based fertilizers, including ammonium phosphate and ammonium sulfate, also contribute to soil OM by influencing microbial communities and </w:t>
      </w:r>
      <w:r w:rsidRPr="00362FE8">
        <w:rPr>
          <w:rFonts w:ascii="Times New Roman" w:hAnsi="Times New Roman" w:cs="Times New Roman"/>
          <w:sz w:val="24"/>
          <w:szCs w:val="24"/>
        </w:rPr>
        <w:lastRenderedPageBreak/>
        <w:t>decomposition processes. However, their effects can vary depending on soil pH and nutrient interactions.</w:t>
      </w:r>
    </w:p>
    <w:p w14:paraId="51001D61" w14:textId="77777777" w:rsidR="007767E2" w:rsidRPr="00362FE8" w:rsidRDefault="007767E2" w:rsidP="007767E2">
      <w:pPr>
        <w:spacing w:before="100" w:beforeAutospacing="1" w:after="100" w:afterAutospacing="1" w:line="360" w:lineRule="auto"/>
        <w:ind w:firstLine="720"/>
        <w:jc w:val="both"/>
        <w:rPr>
          <w:rFonts w:ascii="Times New Roman" w:eastAsia="Times New Roman" w:hAnsi="Times New Roman" w:cs="Times New Roman"/>
          <w:b/>
          <w:bCs/>
          <w:sz w:val="28"/>
          <w:szCs w:val="28"/>
          <w:lang w:eastAsia="en-PH"/>
        </w:rPr>
      </w:pPr>
      <w:r w:rsidRPr="00362FE8">
        <w:rPr>
          <w:rFonts w:ascii="Times New Roman" w:hAnsi="Times New Roman" w:cs="Times New Roman"/>
          <w:sz w:val="24"/>
          <w:szCs w:val="24"/>
        </w:rPr>
        <w:t xml:space="preserve">The interaction between corn variety and fertilizer type showed variability in soil OM. Sweetcorn treated with diammonium phosphate (3.16%) recorded the highest soil OM percentage among all treatments, reflecting the combined effect of sweetcorn's contribution to soil organic inputs and the nutrient dynamics facilitated by diammonium phosphate. Conversely, native corn paired with diammonium phosphate showed the lowest soil OM content (2.58%).  According to </w:t>
      </w:r>
      <w:r>
        <w:rPr>
          <w:rFonts w:ascii="Times New Roman" w:eastAsia="Times New Roman" w:hAnsi="Times New Roman" w:cs="Times New Roman"/>
          <w:sz w:val="24"/>
          <w:szCs w:val="24"/>
          <w:lang w:eastAsia="en-PH"/>
        </w:rPr>
        <w:t xml:space="preserve">Brady &amp; Weil, 2017, </w:t>
      </w:r>
      <w:r w:rsidRPr="00362FE8">
        <w:rPr>
          <w:rFonts w:ascii="Times New Roman" w:hAnsi="Times New Roman" w:cs="Times New Roman"/>
          <w:sz w:val="24"/>
          <w:szCs w:val="24"/>
        </w:rPr>
        <w:t>s</w:t>
      </w:r>
      <w:r>
        <w:rPr>
          <w:rFonts w:ascii="Times New Roman" w:eastAsia="Times New Roman" w:hAnsi="Times New Roman" w:cs="Times New Roman"/>
          <w:sz w:val="24"/>
          <w:szCs w:val="24"/>
          <w:lang w:eastAsia="en-PH"/>
        </w:rPr>
        <w:t>weetcorn’s greater biomass and robust root system contribute more organic inputs to the soil, enhancing OM content. When paired with diammonium phosphate, which supplies both nitrogen and phosphorus, sweetcorn can further stimulate microbial decomposition and nutrient dynamics, leading to higher OM percentages.</w:t>
      </w:r>
      <w:r w:rsidRPr="00362FE8">
        <w:rPr>
          <w:rFonts w:ascii="Times New Roman" w:hAnsi="Times New Roman" w:cs="Times New Roman"/>
          <w:sz w:val="24"/>
          <w:szCs w:val="24"/>
        </w:rPr>
        <w:t xml:space="preserve"> On the other hand, </w:t>
      </w:r>
      <w:r>
        <w:rPr>
          <w:rFonts w:ascii="Times New Roman" w:eastAsia="Times New Roman" w:hAnsi="Times New Roman" w:cs="Times New Roman"/>
          <w:sz w:val="24"/>
          <w:szCs w:val="24"/>
          <w:lang w:eastAsia="en-PH"/>
        </w:rPr>
        <w:t>diammonium phosphate is known to enhance soil microbial activity and organic residue breakdown due to its balanced nutrient supply (</w:t>
      </w:r>
      <w:proofErr w:type="spellStart"/>
      <w:r>
        <w:rPr>
          <w:rFonts w:ascii="Times New Roman" w:eastAsia="Times New Roman" w:hAnsi="Times New Roman" w:cs="Times New Roman"/>
          <w:sz w:val="24"/>
          <w:szCs w:val="24"/>
          <w:lang w:eastAsia="en-PH"/>
        </w:rPr>
        <w:t>Marschner</w:t>
      </w:r>
      <w:proofErr w:type="spellEnd"/>
      <w:r>
        <w:rPr>
          <w:rFonts w:ascii="Times New Roman" w:eastAsia="Times New Roman" w:hAnsi="Times New Roman" w:cs="Times New Roman"/>
          <w:sz w:val="24"/>
          <w:szCs w:val="24"/>
          <w:lang w:eastAsia="en-PH"/>
        </w:rPr>
        <w:t>, 2012). However, the variability observed with native corn suggests that differences in crop residues and root exudates between corn varieties influence the soil's ability to retain organic matter. The lower OM content associated with native corn treated with diammonium phosphate could be attributed to the variety's lower biomass production and organic inputs, as noted in previous studies on crop-specific effects on soil properties (</w:t>
      </w:r>
      <w:proofErr w:type="spellStart"/>
      <w:r>
        <w:rPr>
          <w:rFonts w:ascii="Times New Roman" w:eastAsia="Times New Roman" w:hAnsi="Times New Roman" w:cs="Times New Roman"/>
          <w:sz w:val="24"/>
          <w:szCs w:val="24"/>
          <w:lang w:eastAsia="en-PH"/>
        </w:rPr>
        <w:t>Nkongolo</w:t>
      </w:r>
      <w:proofErr w:type="spellEnd"/>
      <w:r>
        <w:rPr>
          <w:rFonts w:ascii="Times New Roman" w:eastAsia="Times New Roman" w:hAnsi="Times New Roman" w:cs="Times New Roman"/>
          <w:sz w:val="24"/>
          <w:szCs w:val="24"/>
          <w:lang w:eastAsia="en-PH"/>
        </w:rPr>
        <w:t xml:space="preserve"> et al., 2016).</w:t>
      </w:r>
    </w:p>
    <w:p w14:paraId="0C7401CF"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9: Soil %) OM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5DA81008" w14:textId="77777777" w:rsidTr="00F13D08">
        <w:trPr>
          <w:trHeight w:val="384"/>
        </w:trPr>
        <w:tc>
          <w:tcPr>
            <w:tcW w:w="2977" w:type="dxa"/>
            <w:tcBorders>
              <w:top w:val="thinThickSmallGap" w:sz="24" w:space="0" w:color="auto"/>
              <w:bottom w:val="single" w:sz="4" w:space="0" w:color="auto"/>
            </w:tcBorders>
          </w:tcPr>
          <w:p w14:paraId="5976276F"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24D3A0DF"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65CF52CB" w14:textId="77777777" w:rsidR="007767E2" w:rsidRDefault="007767E2" w:rsidP="00F13D08">
            <w:pPr>
              <w:widowControl/>
              <w:spacing w:line="240" w:lineRule="auto"/>
              <w:rPr>
                <w:sz w:val="24"/>
                <w:szCs w:val="24"/>
              </w:rPr>
            </w:pPr>
          </w:p>
        </w:tc>
      </w:tr>
      <w:tr w:rsidR="007767E2" w14:paraId="5DBE1C62" w14:textId="77777777" w:rsidTr="00F13D08">
        <w:trPr>
          <w:trHeight w:val="384"/>
        </w:trPr>
        <w:tc>
          <w:tcPr>
            <w:tcW w:w="2977" w:type="dxa"/>
            <w:tcBorders>
              <w:top w:val="single" w:sz="4" w:space="0" w:color="auto"/>
            </w:tcBorders>
          </w:tcPr>
          <w:p w14:paraId="137BFE64"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16DB02FE"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6B0E9ABE"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2A536E60" w14:textId="77777777" w:rsidR="007767E2" w:rsidRDefault="007767E2" w:rsidP="00F13D08">
            <w:pPr>
              <w:widowControl/>
              <w:spacing w:line="240" w:lineRule="auto"/>
              <w:rPr>
                <w:sz w:val="24"/>
                <w:szCs w:val="24"/>
              </w:rPr>
            </w:pPr>
            <w:r>
              <w:rPr>
                <w:sz w:val="24"/>
                <w:szCs w:val="24"/>
              </w:rPr>
              <w:t>Mean</w:t>
            </w:r>
          </w:p>
        </w:tc>
      </w:tr>
      <w:tr w:rsidR="007767E2" w14:paraId="7C076A4D" w14:textId="77777777" w:rsidTr="00F13D08">
        <w:trPr>
          <w:trHeight w:val="534"/>
        </w:trPr>
        <w:tc>
          <w:tcPr>
            <w:tcW w:w="2977" w:type="dxa"/>
          </w:tcPr>
          <w:p w14:paraId="6153CEB1"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672D3623" w14:textId="77777777" w:rsidR="007767E2" w:rsidRPr="00362FE8" w:rsidRDefault="007767E2" w:rsidP="00F13D0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2.58</w:t>
            </w:r>
            <w:r w:rsidRPr="00362FE8">
              <w:rPr>
                <w:sz w:val="24"/>
                <w:szCs w:val="24"/>
                <w:vertAlign w:val="superscript"/>
                <w:lang w:eastAsia="en-PH"/>
              </w:rPr>
              <w:t xml:space="preserve">a       </w:t>
            </w:r>
          </w:p>
        </w:tc>
        <w:tc>
          <w:tcPr>
            <w:tcW w:w="2126" w:type="dxa"/>
          </w:tcPr>
          <w:p w14:paraId="4C82D4C0"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3.16</w:t>
            </w:r>
            <w:r w:rsidRPr="00362FE8">
              <w:rPr>
                <w:sz w:val="24"/>
                <w:szCs w:val="24"/>
                <w:vertAlign w:val="superscript"/>
                <w:lang w:eastAsia="en-PH"/>
              </w:rPr>
              <w:t xml:space="preserve">a </w:t>
            </w:r>
          </w:p>
        </w:tc>
        <w:tc>
          <w:tcPr>
            <w:tcW w:w="1271" w:type="dxa"/>
          </w:tcPr>
          <w:p w14:paraId="5228A323" w14:textId="77777777" w:rsidR="007767E2" w:rsidRDefault="007767E2" w:rsidP="00F13D08">
            <w:pPr>
              <w:spacing w:after="0" w:line="240" w:lineRule="auto"/>
              <w:rPr>
                <w:rFonts w:eastAsia="Times New Roman"/>
                <w:sz w:val="24"/>
                <w:szCs w:val="24"/>
                <w:vertAlign w:val="superscript"/>
                <w:lang w:eastAsia="en-PH"/>
              </w:rPr>
            </w:pPr>
            <w:r>
              <w:rPr>
                <w:sz w:val="24"/>
                <w:szCs w:val="24"/>
              </w:rPr>
              <w:t>2.87</w:t>
            </w:r>
            <w:r>
              <w:rPr>
                <w:sz w:val="24"/>
                <w:szCs w:val="24"/>
                <w:vertAlign w:val="superscript"/>
              </w:rPr>
              <w:t>a</w:t>
            </w:r>
          </w:p>
        </w:tc>
      </w:tr>
      <w:tr w:rsidR="007767E2" w14:paraId="28F88145" w14:textId="77777777" w:rsidTr="00F13D08">
        <w:trPr>
          <w:trHeight w:val="384"/>
        </w:trPr>
        <w:tc>
          <w:tcPr>
            <w:tcW w:w="2977" w:type="dxa"/>
          </w:tcPr>
          <w:p w14:paraId="4385FE17" w14:textId="77777777" w:rsidR="007767E2" w:rsidRDefault="007767E2" w:rsidP="00F13D08">
            <w:pPr>
              <w:widowControl/>
              <w:spacing w:line="240" w:lineRule="auto"/>
              <w:rPr>
                <w:sz w:val="24"/>
                <w:szCs w:val="24"/>
              </w:rPr>
            </w:pPr>
            <w:r>
              <w:rPr>
                <w:sz w:val="24"/>
                <w:szCs w:val="24"/>
              </w:rPr>
              <w:t>F2 (urea)</w:t>
            </w:r>
          </w:p>
        </w:tc>
        <w:tc>
          <w:tcPr>
            <w:tcW w:w="1985" w:type="dxa"/>
          </w:tcPr>
          <w:p w14:paraId="06718469" w14:textId="77777777" w:rsidR="007767E2" w:rsidRPr="00362FE8" w:rsidRDefault="007767E2" w:rsidP="00F13D0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3.03</w:t>
            </w:r>
            <w:r w:rsidRPr="00362FE8">
              <w:rPr>
                <w:sz w:val="24"/>
                <w:szCs w:val="24"/>
                <w:vertAlign w:val="superscript"/>
              </w:rPr>
              <w:t>a</w:t>
            </w:r>
          </w:p>
        </w:tc>
        <w:tc>
          <w:tcPr>
            <w:tcW w:w="2126" w:type="dxa"/>
          </w:tcPr>
          <w:p w14:paraId="4BF171A2"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3.12</w:t>
            </w:r>
            <w:r w:rsidRPr="00362FE8">
              <w:rPr>
                <w:sz w:val="24"/>
                <w:szCs w:val="24"/>
                <w:vertAlign w:val="superscript"/>
                <w:lang w:eastAsia="en-PH"/>
              </w:rPr>
              <w:t>a</w:t>
            </w:r>
          </w:p>
        </w:tc>
        <w:tc>
          <w:tcPr>
            <w:tcW w:w="1271" w:type="dxa"/>
          </w:tcPr>
          <w:p w14:paraId="08A12441" w14:textId="77777777" w:rsidR="007767E2" w:rsidRDefault="007767E2" w:rsidP="00F13D08">
            <w:pPr>
              <w:widowControl/>
              <w:spacing w:line="240" w:lineRule="auto"/>
              <w:rPr>
                <w:sz w:val="24"/>
                <w:szCs w:val="24"/>
                <w:vertAlign w:val="superscript"/>
              </w:rPr>
            </w:pPr>
            <w:r>
              <w:rPr>
                <w:sz w:val="24"/>
                <w:szCs w:val="24"/>
              </w:rPr>
              <w:t>3.07</w:t>
            </w:r>
            <w:r>
              <w:rPr>
                <w:sz w:val="24"/>
                <w:szCs w:val="24"/>
                <w:vertAlign w:val="superscript"/>
              </w:rPr>
              <w:t>a</w:t>
            </w:r>
          </w:p>
        </w:tc>
      </w:tr>
      <w:tr w:rsidR="007767E2" w14:paraId="2D6EBB12" w14:textId="77777777" w:rsidTr="00F13D08">
        <w:trPr>
          <w:trHeight w:val="384"/>
        </w:trPr>
        <w:tc>
          <w:tcPr>
            <w:tcW w:w="2977" w:type="dxa"/>
          </w:tcPr>
          <w:p w14:paraId="6083FB9F"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4258EE82" w14:textId="77777777" w:rsidR="007767E2" w:rsidRPr="00362FE8" w:rsidRDefault="007767E2" w:rsidP="00F13D08">
            <w:pPr>
              <w:widowControl/>
              <w:spacing w:line="240" w:lineRule="auto"/>
              <w:rPr>
                <w:sz w:val="24"/>
                <w:szCs w:val="24"/>
                <w:vertAlign w:val="superscript"/>
              </w:rPr>
            </w:pPr>
            <w:r w:rsidRPr="00362FE8">
              <w:rPr>
                <w:sz w:val="24"/>
                <w:szCs w:val="24"/>
              </w:rPr>
              <w:t>3.12</w:t>
            </w:r>
            <w:r w:rsidRPr="00362FE8">
              <w:rPr>
                <w:sz w:val="24"/>
                <w:szCs w:val="24"/>
                <w:vertAlign w:val="superscript"/>
              </w:rPr>
              <w:t>a</w:t>
            </w:r>
          </w:p>
        </w:tc>
        <w:tc>
          <w:tcPr>
            <w:tcW w:w="2126" w:type="dxa"/>
          </w:tcPr>
          <w:p w14:paraId="68C2D2B5" w14:textId="77777777" w:rsidR="007767E2" w:rsidRPr="00362FE8" w:rsidRDefault="007767E2" w:rsidP="00F13D08">
            <w:pPr>
              <w:widowControl/>
              <w:spacing w:line="240" w:lineRule="auto"/>
              <w:rPr>
                <w:sz w:val="24"/>
                <w:szCs w:val="24"/>
                <w:vertAlign w:val="superscript"/>
              </w:rPr>
            </w:pPr>
            <w:r w:rsidRPr="00362FE8">
              <w:rPr>
                <w:sz w:val="24"/>
                <w:szCs w:val="24"/>
              </w:rPr>
              <w:t>2.85</w:t>
            </w:r>
            <w:r w:rsidRPr="00362FE8">
              <w:rPr>
                <w:sz w:val="24"/>
                <w:szCs w:val="24"/>
                <w:vertAlign w:val="superscript"/>
              </w:rPr>
              <w:t>a</w:t>
            </w:r>
          </w:p>
        </w:tc>
        <w:tc>
          <w:tcPr>
            <w:tcW w:w="1271" w:type="dxa"/>
          </w:tcPr>
          <w:p w14:paraId="151A4FA9" w14:textId="77777777" w:rsidR="007767E2" w:rsidRDefault="007767E2" w:rsidP="00F13D08">
            <w:pPr>
              <w:widowControl/>
              <w:spacing w:line="240" w:lineRule="auto"/>
              <w:rPr>
                <w:sz w:val="24"/>
                <w:szCs w:val="24"/>
                <w:vertAlign w:val="superscript"/>
              </w:rPr>
            </w:pPr>
            <w:r>
              <w:rPr>
                <w:sz w:val="24"/>
                <w:szCs w:val="24"/>
              </w:rPr>
              <w:t>2.99</w:t>
            </w:r>
            <w:r>
              <w:rPr>
                <w:sz w:val="24"/>
                <w:szCs w:val="24"/>
                <w:vertAlign w:val="superscript"/>
              </w:rPr>
              <w:t>a</w:t>
            </w:r>
          </w:p>
        </w:tc>
      </w:tr>
      <w:tr w:rsidR="007767E2" w14:paraId="3853FAF5" w14:textId="77777777" w:rsidTr="00F13D08">
        <w:trPr>
          <w:trHeight w:val="384"/>
        </w:trPr>
        <w:tc>
          <w:tcPr>
            <w:tcW w:w="2977" w:type="dxa"/>
          </w:tcPr>
          <w:p w14:paraId="0C0B6F9E"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2DC5BE37" w14:textId="77777777" w:rsidR="007767E2" w:rsidRPr="00362FE8" w:rsidRDefault="007767E2" w:rsidP="00F13D08">
            <w:pPr>
              <w:widowControl/>
              <w:spacing w:line="240" w:lineRule="auto"/>
              <w:rPr>
                <w:sz w:val="24"/>
                <w:szCs w:val="24"/>
                <w:vertAlign w:val="superscript"/>
              </w:rPr>
            </w:pPr>
            <w:r w:rsidRPr="00362FE8">
              <w:rPr>
                <w:sz w:val="24"/>
                <w:szCs w:val="24"/>
              </w:rPr>
              <w:t>2.81</w:t>
            </w:r>
            <w:r w:rsidRPr="00362FE8">
              <w:rPr>
                <w:sz w:val="24"/>
                <w:szCs w:val="24"/>
                <w:vertAlign w:val="superscript"/>
              </w:rPr>
              <w:t>a</w:t>
            </w:r>
          </w:p>
        </w:tc>
        <w:tc>
          <w:tcPr>
            <w:tcW w:w="2126" w:type="dxa"/>
          </w:tcPr>
          <w:p w14:paraId="161F1834" w14:textId="77777777" w:rsidR="007767E2" w:rsidRPr="00362FE8" w:rsidRDefault="007767E2" w:rsidP="00F13D08">
            <w:pPr>
              <w:widowControl/>
              <w:spacing w:line="240" w:lineRule="auto"/>
              <w:rPr>
                <w:sz w:val="24"/>
                <w:szCs w:val="24"/>
                <w:vertAlign w:val="superscript"/>
              </w:rPr>
            </w:pPr>
            <w:r w:rsidRPr="00362FE8">
              <w:rPr>
                <w:sz w:val="24"/>
                <w:szCs w:val="24"/>
              </w:rPr>
              <w:t>3.11</w:t>
            </w:r>
            <w:r w:rsidRPr="00362FE8">
              <w:rPr>
                <w:sz w:val="24"/>
                <w:szCs w:val="24"/>
                <w:vertAlign w:val="superscript"/>
              </w:rPr>
              <w:t>a</w:t>
            </w:r>
          </w:p>
        </w:tc>
        <w:tc>
          <w:tcPr>
            <w:tcW w:w="1271" w:type="dxa"/>
          </w:tcPr>
          <w:p w14:paraId="41F03CA9" w14:textId="77777777" w:rsidR="007767E2" w:rsidRDefault="007767E2" w:rsidP="00F13D08">
            <w:pPr>
              <w:widowControl/>
              <w:tabs>
                <w:tab w:val="left" w:pos="1130"/>
              </w:tabs>
              <w:spacing w:line="240" w:lineRule="auto"/>
              <w:rPr>
                <w:sz w:val="24"/>
                <w:szCs w:val="24"/>
              </w:rPr>
            </w:pPr>
            <w:r>
              <w:rPr>
                <w:sz w:val="24"/>
                <w:szCs w:val="24"/>
              </w:rPr>
              <w:t>2.96</w:t>
            </w:r>
            <w:r>
              <w:rPr>
                <w:sz w:val="24"/>
                <w:szCs w:val="24"/>
                <w:vertAlign w:val="superscript"/>
              </w:rPr>
              <w:t>a</w:t>
            </w:r>
          </w:p>
        </w:tc>
      </w:tr>
      <w:tr w:rsidR="007767E2" w14:paraId="5219C466" w14:textId="77777777" w:rsidTr="00F13D08">
        <w:trPr>
          <w:trHeight w:val="393"/>
        </w:trPr>
        <w:tc>
          <w:tcPr>
            <w:tcW w:w="2977" w:type="dxa"/>
            <w:tcBorders>
              <w:bottom w:val="thinThickSmallGap" w:sz="24" w:space="0" w:color="auto"/>
            </w:tcBorders>
          </w:tcPr>
          <w:p w14:paraId="08CF617F"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16DC0C79" w14:textId="77777777" w:rsidR="007767E2" w:rsidRDefault="007767E2" w:rsidP="00F13D08">
            <w:pPr>
              <w:widowControl/>
              <w:spacing w:line="240" w:lineRule="auto"/>
              <w:rPr>
                <w:sz w:val="24"/>
                <w:szCs w:val="24"/>
                <w:vertAlign w:val="superscript"/>
              </w:rPr>
            </w:pPr>
            <w:r>
              <w:rPr>
                <w:sz w:val="24"/>
                <w:szCs w:val="24"/>
              </w:rPr>
              <w:t>2.89</w:t>
            </w:r>
            <w:r>
              <w:rPr>
                <w:sz w:val="24"/>
                <w:szCs w:val="24"/>
                <w:vertAlign w:val="superscript"/>
              </w:rPr>
              <w:t>a</w:t>
            </w:r>
          </w:p>
        </w:tc>
        <w:tc>
          <w:tcPr>
            <w:tcW w:w="2126" w:type="dxa"/>
            <w:tcBorders>
              <w:bottom w:val="thinThickSmallGap" w:sz="24" w:space="0" w:color="auto"/>
            </w:tcBorders>
          </w:tcPr>
          <w:p w14:paraId="12D72E70" w14:textId="77777777" w:rsidR="007767E2" w:rsidRDefault="007767E2" w:rsidP="00F13D08">
            <w:pPr>
              <w:widowControl/>
              <w:spacing w:line="240" w:lineRule="auto"/>
              <w:rPr>
                <w:sz w:val="24"/>
                <w:szCs w:val="24"/>
                <w:vertAlign w:val="superscript"/>
              </w:rPr>
            </w:pPr>
            <w:r>
              <w:rPr>
                <w:sz w:val="24"/>
                <w:szCs w:val="24"/>
              </w:rPr>
              <w:t>3.06</w:t>
            </w:r>
            <w:r>
              <w:rPr>
                <w:sz w:val="24"/>
                <w:szCs w:val="24"/>
                <w:vertAlign w:val="superscript"/>
              </w:rPr>
              <w:t>a</w:t>
            </w:r>
          </w:p>
        </w:tc>
        <w:tc>
          <w:tcPr>
            <w:tcW w:w="1271" w:type="dxa"/>
            <w:tcBorders>
              <w:bottom w:val="thinThickSmallGap" w:sz="24" w:space="0" w:color="auto"/>
            </w:tcBorders>
          </w:tcPr>
          <w:p w14:paraId="641D462B" w14:textId="77777777" w:rsidR="007767E2" w:rsidRDefault="007767E2" w:rsidP="00F13D08">
            <w:pPr>
              <w:widowControl/>
              <w:spacing w:line="240" w:lineRule="auto"/>
              <w:rPr>
                <w:sz w:val="24"/>
                <w:szCs w:val="24"/>
              </w:rPr>
            </w:pPr>
          </w:p>
        </w:tc>
      </w:tr>
      <w:tr w:rsidR="007767E2" w14:paraId="11E57797" w14:textId="77777777" w:rsidTr="00F13D08">
        <w:trPr>
          <w:trHeight w:val="393"/>
        </w:trPr>
        <w:tc>
          <w:tcPr>
            <w:tcW w:w="2977" w:type="dxa"/>
            <w:tcBorders>
              <w:top w:val="thinThickSmallGap" w:sz="24" w:space="0" w:color="auto"/>
              <w:bottom w:val="thickThinSmallGap" w:sz="24" w:space="0" w:color="auto"/>
            </w:tcBorders>
          </w:tcPr>
          <w:p w14:paraId="419062A8" w14:textId="77777777" w:rsidR="007767E2" w:rsidRDefault="007767E2" w:rsidP="00F13D08">
            <w:pPr>
              <w:spacing w:after="0"/>
              <w:jc w:val="left"/>
            </w:pPr>
            <w:r>
              <w:t>C.V. (A) = 13.41% (B) = 22.07%</w:t>
            </w:r>
          </w:p>
        </w:tc>
        <w:tc>
          <w:tcPr>
            <w:tcW w:w="1985" w:type="dxa"/>
            <w:tcBorders>
              <w:top w:val="thinThickSmallGap" w:sz="24" w:space="0" w:color="auto"/>
              <w:bottom w:val="thickThinSmallGap" w:sz="24" w:space="0" w:color="auto"/>
            </w:tcBorders>
          </w:tcPr>
          <w:p w14:paraId="5B25AC8F"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4F59C882"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426E05E8" w14:textId="77777777" w:rsidR="007767E2" w:rsidRDefault="007767E2" w:rsidP="00F13D08">
            <w:pPr>
              <w:spacing w:line="240" w:lineRule="auto"/>
              <w:rPr>
                <w:sz w:val="24"/>
                <w:szCs w:val="24"/>
              </w:rPr>
            </w:pPr>
          </w:p>
        </w:tc>
      </w:tr>
    </w:tbl>
    <w:p w14:paraId="2B299B52"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sidRPr="00362FE8">
        <w:rPr>
          <w:rFonts w:ascii="Times New Roman" w:hAnsi="Times New Roman" w:cs="Times New Roman"/>
          <w:sz w:val="24"/>
          <w:szCs w:val="24"/>
        </w:rPr>
        <w:t xml:space="preserve">The results in Table 10 present the effects of corn variety, nitrogen fertilizers, and their interaction on soil available phosphorus (P). Although the differences were not statistically </w:t>
      </w:r>
      <w:r w:rsidRPr="00362FE8">
        <w:rPr>
          <w:rFonts w:ascii="Times New Roman" w:hAnsi="Times New Roman" w:cs="Times New Roman"/>
          <w:sz w:val="24"/>
          <w:szCs w:val="24"/>
        </w:rPr>
        <w:lastRenderedPageBreak/>
        <w:t>significant, certain trends emerged, highlighting the roles of these factors in modulating soil P availability.</w:t>
      </w:r>
    </w:p>
    <w:p w14:paraId="76386CDB"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variety, n</w:t>
      </w:r>
      <w:r w:rsidRPr="00362FE8">
        <w:rPr>
          <w:rFonts w:ascii="Times New Roman" w:hAnsi="Times New Roman" w:cs="Times New Roman"/>
          <w:sz w:val="24"/>
          <w:szCs w:val="24"/>
        </w:rPr>
        <w:t>ative corn exhibited a higher mean soil P content (49.58 ppm) compared to sweetcorn (37.67 ppm). This suggests that native corn may be less effective in utilizing available soil P or may have different root exudation patterns that influence soil P dynamics. Conversely, sweetcorn's slightly lower soil P levels may indicate its more efficient uptake of P for growth, consistent with its higher biomass and superior response to nutrient inputs.</w:t>
      </w:r>
      <w:r w:rsidRPr="00562705">
        <w:rPr>
          <w:rFonts w:ascii="Times New Roman" w:hAnsi="Times New Roman" w:cs="Times New Roman"/>
          <w:sz w:val="24"/>
          <w:szCs w:val="24"/>
        </w:rPr>
        <w:t xml:space="preserve"> </w:t>
      </w:r>
      <w:r w:rsidRPr="00362FE8">
        <w:rPr>
          <w:rFonts w:ascii="Times New Roman" w:hAnsi="Times New Roman" w:cs="Times New Roman"/>
          <w:sz w:val="24"/>
          <w:szCs w:val="24"/>
        </w:rPr>
        <w:t xml:space="preserve">According to the study of </w:t>
      </w:r>
      <w:r w:rsidRPr="00362FE8">
        <w:rPr>
          <w:rFonts w:ascii="Times New Roman" w:hAnsi="Times New Roman" w:cs="Times New Roman"/>
          <w:color w:val="000000" w:themeColor="text1"/>
          <w:sz w:val="24"/>
          <w:szCs w:val="24"/>
        </w:rPr>
        <w:t>Pereira</w:t>
      </w:r>
      <w:r w:rsidRPr="00362FE8">
        <w:rPr>
          <w:rFonts w:ascii="Times New Roman" w:hAnsi="Times New Roman" w:cs="Times New Roman"/>
          <w:sz w:val="24"/>
          <w:szCs w:val="24"/>
        </w:rPr>
        <w:t xml:space="preserve"> et al., (2020), the differences in residual soil P levels between native corn and sweet corn may be attributed to variations in root architecture and exudation patterns. Root exudates play a crucial role in modifying the rhizosphere environment, thereby influencing nutrient availability and uptake.</w:t>
      </w:r>
    </w:p>
    <w:p w14:paraId="6DB5061E" w14:textId="77777777" w:rsidR="007767E2" w:rsidRPr="00362FE8"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362FE8">
        <w:rPr>
          <w:rFonts w:ascii="Times New Roman" w:hAnsi="Times New Roman" w:cs="Times New Roman"/>
          <w:sz w:val="24"/>
          <w:szCs w:val="24"/>
        </w:rPr>
        <w:t xml:space="preserve">ype of nitrogen fertilizer had a notable influence on soil P availability. Ammonium phosphate resulted in the highest mean soil P content (47.67 ppm), likely due to its dual provision of nitrogen and phosphorus, which increases the immediate availability of P in the soil. Diammonium phosphate (44.17 ppm) also contributed to elevated soil P levels, aligning with its high phosphorus content. In contrast, urea (42.67 ppm) and ammonium sulfate (40 ppm) resulted in comparatively lower soil P availability. </w:t>
      </w:r>
      <w:r>
        <w:rPr>
          <w:rFonts w:ascii="Times New Roman" w:hAnsi="Times New Roman" w:cs="Times New Roman"/>
          <w:sz w:val="24"/>
          <w:szCs w:val="24"/>
        </w:rPr>
        <w:t xml:space="preserve"> The result aligns with the study of Chen et al., 2021) which states that t</w:t>
      </w:r>
      <w:r w:rsidRPr="00362FE8">
        <w:rPr>
          <w:rFonts w:ascii="Times New Roman" w:hAnsi="Times New Roman" w:cs="Times New Roman"/>
          <w:sz w:val="24"/>
          <w:szCs w:val="24"/>
        </w:rPr>
        <w:t>he acidifying effect of ammonium sulfate could have contributed to P fixation in the soil, making it less available, while urea, as a nitrogen-only source, lacks a direct contribution to soil P levels.</w:t>
      </w:r>
    </w:p>
    <w:p w14:paraId="54B890C7" w14:textId="3A78016A" w:rsidR="007767E2" w:rsidRPr="00DE0983" w:rsidRDefault="007767E2" w:rsidP="007767E2">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PH"/>
        </w:rPr>
      </w:pPr>
      <w:r w:rsidRPr="00362FE8">
        <w:rPr>
          <w:rFonts w:ascii="Times New Roman" w:hAnsi="Times New Roman" w:cs="Times New Roman"/>
          <w:sz w:val="24"/>
          <w:szCs w:val="24"/>
        </w:rPr>
        <w:t>The interaction between corn variety and nitrogen fertilizer type highlighted further variability. Native corn paired with ammonium phosphate produced the highest soil P level (56 ppm), demonstrating the additive effects of a P-rich fertilizer and a variety that retains more available P in the soil. Sweetcorn paired with ammonium sulfate recorded the lowest soil P content (31 ppm), possibly due to the combination of sweetcorn's efficient P uptake and ammonium sulfate's acidifying properties, which may limit P availability. Diammonium phosphate, when applied to sweetcorn, maintained relatively high soil P levels (45 ppm), reflecting its effectiveness in sustaining P availability regardless of crop variety.</w:t>
      </w:r>
      <w:r>
        <w:rPr>
          <w:rFonts w:ascii="Times New Roman" w:hAnsi="Times New Roman" w:cs="Times New Roman"/>
          <w:sz w:val="24"/>
          <w:szCs w:val="24"/>
        </w:rPr>
        <w:t xml:space="preserve"> Sharma, A., &amp; Sharma, R. (2020</w:t>
      </w:r>
      <w:r w:rsidRPr="00BA5F62">
        <w:rPr>
          <w:rFonts w:ascii="Times New Roman" w:hAnsi="Times New Roman" w:cs="Times New Roman"/>
          <w:sz w:val="24"/>
          <w:szCs w:val="24"/>
          <w:highlight w:val="yellow"/>
        </w:rPr>
        <w:t xml:space="preserve">) </w:t>
      </w:r>
      <w:r w:rsidR="00BA5F62" w:rsidRPr="00BA5F62">
        <w:rPr>
          <w:rFonts w:ascii="Times New Roman" w:hAnsi="Times New Roman" w:cs="Times New Roman"/>
          <w:sz w:val="24"/>
          <w:szCs w:val="24"/>
          <w:highlight w:val="yellow"/>
        </w:rPr>
        <w:t xml:space="preserve">confirmed </w:t>
      </w:r>
      <w:r w:rsidRPr="00BA5F62">
        <w:rPr>
          <w:rFonts w:ascii="Times New Roman" w:hAnsi="Times New Roman" w:cs="Times New Roman"/>
          <w:sz w:val="24"/>
          <w:szCs w:val="24"/>
          <w:highlight w:val="yellow"/>
        </w:rPr>
        <w:t xml:space="preserve">that </w:t>
      </w:r>
      <w:r w:rsidRPr="00362FE8">
        <w:rPr>
          <w:rFonts w:ascii="Times New Roman" w:hAnsi="Times New Roman" w:cs="Times New Roman"/>
          <w:sz w:val="24"/>
          <w:szCs w:val="24"/>
        </w:rPr>
        <w:t>DAP is a widely used P fertilizer that offers readily available P to plants, and its application can sustain elevated soil P levels, benefiting crops with high P demands like sweet corn</w:t>
      </w:r>
      <w:r>
        <w:rPr>
          <w:rFonts w:ascii="Times New Roman" w:hAnsi="Times New Roman" w:cs="Times New Roman"/>
          <w:sz w:val="24"/>
          <w:szCs w:val="24"/>
        </w:rPr>
        <w:t xml:space="preserve"> as stated </w:t>
      </w:r>
      <w:r w:rsidR="00BA5F62" w:rsidRPr="00BA5F62">
        <w:rPr>
          <w:rFonts w:ascii="Times New Roman" w:hAnsi="Times New Roman" w:cs="Times New Roman"/>
          <w:sz w:val="24"/>
          <w:szCs w:val="24"/>
          <w:highlight w:val="yellow"/>
        </w:rPr>
        <w:t xml:space="preserve">in </w:t>
      </w:r>
      <w:r w:rsidRPr="00BA5F62">
        <w:rPr>
          <w:rFonts w:ascii="Times New Roman" w:hAnsi="Times New Roman" w:cs="Times New Roman"/>
          <w:sz w:val="24"/>
          <w:szCs w:val="24"/>
          <w:highlight w:val="yellow"/>
        </w:rPr>
        <w:t xml:space="preserve">their </w:t>
      </w:r>
      <w:r>
        <w:rPr>
          <w:rFonts w:ascii="Times New Roman" w:hAnsi="Times New Roman" w:cs="Times New Roman"/>
          <w:sz w:val="24"/>
          <w:szCs w:val="24"/>
        </w:rPr>
        <w:t>study</w:t>
      </w:r>
      <w:r w:rsidRPr="00362FE8">
        <w:rPr>
          <w:rFonts w:ascii="Times New Roman" w:hAnsi="Times New Roman" w:cs="Times New Roman"/>
          <w:sz w:val="24"/>
          <w:szCs w:val="24"/>
        </w:rPr>
        <w:t>.</w:t>
      </w:r>
    </w:p>
    <w:p w14:paraId="47970114"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lastRenderedPageBreak/>
        <w:t>Table 10: Soil available P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4CC15ACF" w14:textId="77777777" w:rsidTr="00F13D08">
        <w:trPr>
          <w:trHeight w:val="384"/>
        </w:trPr>
        <w:tc>
          <w:tcPr>
            <w:tcW w:w="2977" w:type="dxa"/>
            <w:tcBorders>
              <w:top w:val="thinThickSmallGap" w:sz="24" w:space="0" w:color="auto"/>
              <w:bottom w:val="single" w:sz="4" w:space="0" w:color="auto"/>
            </w:tcBorders>
          </w:tcPr>
          <w:p w14:paraId="07112D7E"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390AEA5B"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72CD65A5" w14:textId="77777777" w:rsidR="007767E2" w:rsidRDefault="007767E2" w:rsidP="00F13D08">
            <w:pPr>
              <w:widowControl/>
              <w:spacing w:line="240" w:lineRule="auto"/>
              <w:rPr>
                <w:sz w:val="24"/>
                <w:szCs w:val="24"/>
              </w:rPr>
            </w:pPr>
          </w:p>
        </w:tc>
      </w:tr>
      <w:tr w:rsidR="007767E2" w14:paraId="0ECD3007" w14:textId="77777777" w:rsidTr="00F13D08">
        <w:trPr>
          <w:trHeight w:val="384"/>
        </w:trPr>
        <w:tc>
          <w:tcPr>
            <w:tcW w:w="2977" w:type="dxa"/>
            <w:tcBorders>
              <w:top w:val="single" w:sz="4" w:space="0" w:color="auto"/>
            </w:tcBorders>
          </w:tcPr>
          <w:p w14:paraId="30C59862"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2773B1A2"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1C725903"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69CD94AA" w14:textId="77777777" w:rsidR="007767E2" w:rsidRDefault="007767E2" w:rsidP="00F13D08">
            <w:pPr>
              <w:widowControl/>
              <w:spacing w:line="240" w:lineRule="auto"/>
              <w:rPr>
                <w:sz w:val="24"/>
                <w:szCs w:val="24"/>
              </w:rPr>
            </w:pPr>
            <w:r>
              <w:rPr>
                <w:sz w:val="24"/>
                <w:szCs w:val="24"/>
              </w:rPr>
              <w:t>Mean</w:t>
            </w:r>
          </w:p>
        </w:tc>
      </w:tr>
      <w:tr w:rsidR="007767E2" w14:paraId="320CC70A" w14:textId="77777777" w:rsidTr="00F13D08">
        <w:trPr>
          <w:trHeight w:val="534"/>
        </w:trPr>
        <w:tc>
          <w:tcPr>
            <w:tcW w:w="2977" w:type="dxa"/>
          </w:tcPr>
          <w:p w14:paraId="70B83017" w14:textId="77777777" w:rsidR="007767E2" w:rsidRDefault="007767E2" w:rsidP="00F13D08">
            <w:pPr>
              <w:widowControl/>
              <w:spacing w:line="240" w:lineRule="auto"/>
              <w:rPr>
                <w:sz w:val="24"/>
                <w:szCs w:val="24"/>
              </w:rPr>
            </w:pPr>
            <w:r>
              <w:rPr>
                <w:sz w:val="24"/>
                <w:szCs w:val="24"/>
              </w:rPr>
              <w:t>F1 (diammonium phosphate)</w:t>
            </w:r>
          </w:p>
        </w:tc>
        <w:tc>
          <w:tcPr>
            <w:tcW w:w="1985" w:type="dxa"/>
          </w:tcPr>
          <w:p w14:paraId="6519E15B" w14:textId="77777777" w:rsidR="007767E2" w:rsidRPr="00362FE8" w:rsidRDefault="007767E2" w:rsidP="00F13D0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43.33</w:t>
            </w:r>
            <w:r w:rsidRPr="00362FE8">
              <w:rPr>
                <w:sz w:val="24"/>
                <w:szCs w:val="24"/>
                <w:vertAlign w:val="superscript"/>
                <w:lang w:eastAsia="en-PH"/>
              </w:rPr>
              <w:t xml:space="preserve">a       </w:t>
            </w:r>
          </w:p>
        </w:tc>
        <w:tc>
          <w:tcPr>
            <w:tcW w:w="2126" w:type="dxa"/>
          </w:tcPr>
          <w:p w14:paraId="2CE75BC4"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45</w:t>
            </w:r>
            <w:r w:rsidRPr="00362FE8">
              <w:rPr>
                <w:sz w:val="24"/>
                <w:szCs w:val="24"/>
                <w:vertAlign w:val="superscript"/>
                <w:lang w:eastAsia="en-PH"/>
              </w:rPr>
              <w:t xml:space="preserve">a </w:t>
            </w:r>
          </w:p>
        </w:tc>
        <w:tc>
          <w:tcPr>
            <w:tcW w:w="1271" w:type="dxa"/>
          </w:tcPr>
          <w:p w14:paraId="42B843C5" w14:textId="77777777" w:rsidR="007767E2" w:rsidRDefault="007767E2" w:rsidP="00F13D08">
            <w:pPr>
              <w:spacing w:after="0" w:line="240" w:lineRule="auto"/>
              <w:rPr>
                <w:rFonts w:eastAsia="Times New Roman"/>
                <w:sz w:val="24"/>
                <w:szCs w:val="24"/>
                <w:vertAlign w:val="superscript"/>
                <w:lang w:eastAsia="en-PH"/>
              </w:rPr>
            </w:pPr>
            <w:r>
              <w:rPr>
                <w:sz w:val="24"/>
                <w:szCs w:val="24"/>
              </w:rPr>
              <w:t>44.17</w:t>
            </w:r>
            <w:r>
              <w:rPr>
                <w:sz w:val="24"/>
                <w:szCs w:val="24"/>
                <w:vertAlign w:val="superscript"/>
              </w:rPr>
              <w:t>a</w:t>
            </w:r>
          </w:p>
        </w:tc>
      </w:tr>
      <w:tr w:rsidR="007767E2" w14:paraId="34733884" w14:textId="77777777" w:rsidTr="00F13D08">
        <w:trPr>
          <w:trHeight w:val="384"/>
        </w:trPr>
        <w:tc>
          <w:tcPr>
            <w:tcW w:w="2977" w:type="dxa"/>
          </w:tcPr>
          <w:p w14:paraId="2F3CA8BE" w14:textId="77777777" w:rsidR="007767E2" w:rsidRDefault="007767E2" w:rsidP="00F13D08">
            <w:pPr>
              <w:widowControl/>
              <w:spacing w:line="240" w:lineRule="auto"/>
              <w:rPr>
                <w:sz w:val="24"/>
                <w:szCs w:val="24"/>
              </w:rPr>
            </w:pPr>
            <w:r>
              <w:rPr>
                <w:sz w:val="24"/>
                <w:szCs w:val="24"/>
              </w:rPr>
              <w:t>F2 (urea)</w:t>
            </w:r>
          </w:p>
        </w:tc>
        <w:tc>
          <w:tcPr>
            <w:tcW w:w="1985" w:type="dxa"/>
          </w:tcPr>
          <w:p w14:paraId="45226042" w14:textId="77777777" w:rsidR="007767E2" w:rsidRPr="00362FE8" w:rsidRDefault="007767E2" w:rsidP="00F13D08">
            <w:pPr>
              <w:widowControl/>
              <w:spacing w:line="240" w:lineRule="auto"/>
              <w:rPr>
                <w:sz w:val="24"/>
                <w:szCs w:val="24"/>
                <w:vertAlign w:val="superscript"/>
              </w:rPr>
            </w:pPr>
            <w:r w:rsidRPr="00362FE8">
              <w:rPr>
                <w:sz w:val="24"/>
                <w:szCs w:val="24"/>
                <w:vertAlign w:val="superscript"/>
              </w:rPr>
              <w:t xml:space="preserve">  </w:t>
            </w:r>
            <w:r w:rsidRPr="00362FE8">
              <w:rPr>
                <w:sz w:val="24"/>
                <w:szCs w:val="24"/>
              </w:rPr>
              <w:t>50</w:t>
            </w:r>
            <w:r w:rsidRPr="00362FE8">
              <w:rPr>
                <w:sz w:val="24"/>
                <w:szCs w:val="24"/>
                <w:vertAlign w:val="superscript"/>
              </w:rPr>
              <w:t>a</w:t>
            </w:r>
          </w:p>
        </w:tc>
        <w:tc>
          <w:tcPr>
            <w:tcW w:w="2126" w:type="dxa"/>
          </w:tcPr>
          <w:p w14:paraId="52D398A5"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35.33</w:t>
            </w:r>
            <w:r w:rsidRPr="00362FE8">
              <w:rPr>
                <w:sz w:val="24"/>
                <w:szCs w:val="24"/>
                <w:vertAlign w:val="superscript"/>
                <w:lang w:eastAsia="en-PH"/>
              </w:rPr>
              <w:t>a</w:t>
            </w:r>
          </w:p>
        </w:tc>
        <w:tc>
          <w:tcPr>
            <w:tcW w:w="1271" w:type="dxa"/>
          </w:tcPr>
          <w:p w14:paraId="1A93D586" w14:textId="77777777" w:rsidR="007767E2" w:rsidRDefault="007767E2" w:rsidP="00F13D08">
            <w:pPr>
              <w:widowControl/>
              <w:spacing w:line="240" w:lineRule="auto"/>
              <w:rPr>
                <w:sz w:val="24"/>
                <w:szCs w:val="24"/>
                <w:vertAlign w:val="superscript"/>
              </w:rPr>
            </w:pPr>
            <w:r>
              <w:rPr>
                <w:sz w:val="24"/>
                <w:szCs w:val="24"/>
              </w:rPr>
              <w:t>42.67</w:t>
            </w:r>
            <w:r>
              <w:rPr>
                <w:sz w:val="24"/>
                <w:szCs w:val="24"/>
                <w:vertAlign w:val="superscript"/>
              </w:rPr>
              <w:t>a</w:t>
            </w:r>
          </w:p>
        </w:tc>
      </w:tr>
      <w:tr w:rsidR="007767E2" w14:paraId="194602DC" w14:textId="77777777" w:rsidTr="00F13D08">
        <w:trPr>
          <w:trHeight w:val="384"/>
        </w:trPr>
        <w:tc>
          <w:tcPr>
            <w:tcW w:w="2977" w:type="dxa"/>
          </w:tcPr>
          <w:p w14:paraId="434BFAB1" w14:textId="77777777" w:rsidR="007767E2" w:rsidRDefault="007767E2" w:rsidP="00F13D08">
            <w:pPr>
              <w:widowControl/>
              <w:spacing w:line="240" w:lineRule="auto"/>
              <w:rPr>
                <w:sz w:val="24"/>
                <w:szCs w:val="24"/>
              </w:rPr>
            </w:pPr>
            <w:r>
              <w:rPr>
                <w:sz w:val="24"/>
                <w:szCs w:val="24"/>
              </w:rPr>
              <w:t>F3 (ammonium phosphate)</w:t>
            </w:r>
          </w:p>
        </w:tc>
        <w:tc>
          <w:tcPr>
            <w:tcW w:w="1985" w:type="dxa"/>
          </w:tcPr>
          <w:p w14:paraId="54DD30DD" w14:textId="77777777" w:rsidR="007767E2" w:rsidRPr="00362FE8" w:rsidRDefault="007767E2" w:rsidP="00F13D08">
            <w:pPr>
              <w:widowControl/>
              <w:spacing w:line="240" w:lineRule="auto"/>
              <w:rPr>
                <w:sz w:val="24"/>
                <w:szCs w:val="24"/>
                <w:vertAlign w:val="superscript"/>
              </w:rPr>
            </w:pPr>
            <w:r w:rsidRPr="00362FE8">
              <w:rPr>
                <w:sz w:val="24"/>
                <w:szCs w:val="24"/>
              </w:rPr>
              <w:t>56</w:t>
            </w:r>
            <w:r w:rsidRPr="00362FE8">
              <w:rPr>
                <w:sz w:val="24"/>
                <w:szCs w:val="24"/>
                <w:vertAlign w:val="superscript"/>
              </w:rPr>
              <w:t>a</w:t>
            </w:r>
          </w:p>
        </w:tc>
        <w:tc>
          <w:tcPr>
            <w:tcW w:w="2126" w:type="dxa"/>
          </w:tcPr>
          <w:p w14:paraId="44A882F3" w14:textId="77777777" w:rsidR="007767E2" w:rsidRPr="00362FE8" w:rsidRDefault="007767E2" w:rsidP="00F13D08">
            <w:pPr>
              <w:widowControl/>
              <w:spacing w:line="240" w:lineRule="auto"/>
              <w:rPr>
                <w:sz w:val="24"/>
                <w:szCs w:val="24"/>
                <w:vertAlign w:val="superscript"/>
              </w:rPr>
            </w:pPr>
            <w:r w:rsidRPr="00362FE8">
              <w:rPr>
                <w:sz w:val="24"/>
                <w:szCs w:val="24"/>
              </w:rPr>
              <w:t>39.33</w:t>
            </w:r>
            <w:r w:rsidRPr="00362FE8">
              <w:rPr>
                <w:sz w:val="24"/>
                <w:szCs w:val="24"/>
                <w:vertAlign w:val="superscript"/>
              </w:rPr>
              <w:t>a</w:t>
            </w:r>
          </w:p>
        </w:tc>
        <w:tc>
          <w:tcPr>
            <w:tcW w:w="1271" w:type="dxa"/>
          </w:tcPr>
          <w:p w14:paraId="0FB47700" w14:textId="77777777" w:rsidR="007767E2" w:rsidRDefault="007767E2" w:rsidP="00F13D08">
            <w:pPr>
              <w:widowControl/>
              <w:spacing w:line="240" w:lineRule="auto"/>
              <w:rPr>
                <w:sz w:val="24"/>
                <w:szCs w:val="24"/>
                <w:vertAlign w:val="superscript"/>
              </w:rPr>
            </w:pPr>
            <w:r>
              <w:rPr>
                <w:sz w:val="24"/>
                <w:szCs w:val="24"/>
              </w:rPr>
              <w:t>47.67</w:t>
            </w:r>
            <w:r>
              <w:rPr>
                <w:sz w:val="24"/>
                <w:szCs w:val="24"/>
                <w:vertAlign w:val="superscript"/>
              </w:rPr>
              <w:t>a</w:t>
            </w:r>
          </w:p>
        </w:tc>
      </w:tr>
      <w:tr w:rsidR="007767E2" w14:paraId="1BCE6A81" w14:textId="77777777" w:rsidTr="00F13D08">
        <w:trPr>
          <w:trHeight w:val="384"/>
        </w:trPr>
        <w:tc>
          <w:tcPr>
            <w:tcW w:w="2977" w:type="dxa"/>
          </w:tcPr>
          <w:p w14:paraId="2DE86CD1" w14:textId="77777777" w:rsidR="007767E2" w:rsidRDefault="007767E2" w:rsidP="00F13D08">
            <w:pPr>
              <w:widowControl/>
              <w:spacing w:line="240" w:lineRule="auto"/>
              <w:rPr>
                <w:sz w:val="24"/>
                <w:szCs w:val="24"/>
              </w:rPr>
            </w:pPr>
            <w:r>
              <w:rPr>
                <w:sz w:val="24"/>
                <w:szCs w:val="24"/>
              </w:rPr>
              <w:t>F4 (ammonium sulfate)</w:t>
            </w:r>
          </w:p>
        </w:tc>
        <w:tc>
          <w:tcPr>
            <w:tcW w:w="1985" w:type="dxa"/>
          </w:tcPr>
          <w:p w14:paraId="48A35EEC" w14:textId="77777777" w:rsidR="007767E2" w:rsidRPr="00362FE8" w:rsidRDefault="007767E2" w:rsidP="00F13D08">
            <w:pPr>
              <w:widowControl/>
              <w:spacing w:line="240" w:lineRule="auto"/>
              <w:rPr>
                <w:sz w:val="24"/>
                <w:szCs w:val="24"/>
                <w:vertAlign w:val="superscript"/>
              </w:rPr>
            </w:pPr>
            <w:r w:rsidRPr="00362FE8">
              <w:rPr>
                <w:sz w:val="24"/>
                <w:szCs w:val="24"/>
              </w:rPr>
              <w:t>49</w:t>
            </w:r>
            <w:r w:rsidRPr="00362FE8">
              <w:rPr>
                <w:sz w:val="24"/>
                <w:szCs w:val="24"/>
                <w:vertAlign w:val="superscript"/>
              </w:rPr>
              <w:t>a</w:t>
            </w:r>
          </w:p>
        </w:tc>
        <w:tc>
          <w:tcPr>
            <w:tcW w:w="2126" w:type="dxa"/>
          </w:tcPr>
          <w:p w14:paraId="3E7D6B23" w14:textId="77777777" w:rsidR="007767E2" w:rsidRPr="00362FE8" w:rsidRDefault="007767E2" w:rsidP="00F13D08">
            <w:pPr>
              <w:widowControl/>
              <w:spacing w:line="240" w:lineRule="auto"/>
              <w:rPr>
                <w:sz w:val="24"/>
                <w:szCs w:val="24"/>
                <w:vertAlign w:val="superscript"/>
              </w:rPr>
            </w:pPr>
            <w:r w:rsidRPr="00362FE8">
              <w:rPr>
                <w:sz w:val="24"/>
                <w:szCs w:val="24"/>
              </w:rPr>
              <w:t>31</w:t>
            </w:r>
            <w:r w:rsidRPr="00362FE8">
              <w:rPr>
                <w:sz w:val="24"/>
                <w:szCs w:val="24"/>
                <w:vertAlign w:val="superscript"/>
              </w:rPr>
              <w:t>a</w:t>
            </w:r>
          </w:p>
        </w:tc>
        <w:tc>
          <w:tcPr>
            <w:tcW w:w="1271" w:type="dxa"/>
          </w:tcPr>
          <w:p w14:paraId="6C83EAAA" w14:textId="77777777" w:rsidR="007767E2" w:rsidRDefault="007767E2" w:rsidP="00F13D08">
            <w:pPr>
              <w:widowControl/>
              <w:tabs>
                <w:tab w:val="left" w:pos="1130"/>
              </w:tabs>
              <w:spacing w:line="240" w:lineRule="auto"/>
              <w:rPr>
                <w:sz w:val="24"/>
                <w:szCs w:val="24"/>
              </w:rPr>
            </w:pPr>
            <w:r>
              <w:rPr>
                <w:sz w:val="24"/>
                <w:szCs w:val="24"/>
              </w:rPr>
              <w:t>40</w:t>
            </w:r>
            <w:r>
              <w:rPr>
                <w:sz w:val="24"/>
                <w:szCs w:val="24"/>
                <w:vertAlign w:val="superscript"/>
              </w:rPr>
              <w:t>a</w:t>
            </w:r>
          </w:p>
        </w:tc>
      </w:tr>
      <w:tr w:rsidR="007767E2" w14:paraId="1DF02949" w14:textId="77777777" w:rsidTr="00F13D08">
        <w:trPr>
          <w:trHeight w:val="393"/>
        </w:trPr>
        <w:tc>
          <w:tcPr>
            <w:tcW w:w="2977" w:type="dxa"/>
            <w:tcBorders>
              <w:bottom w:val="thinThickSmallGap" w:sz="24" w:space="0" w:color="auto"/>
            </w:tcBorders>
          </w:tcPr>
          <w:p w14:paraId="58D89C52"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08F1DE3E" w14:textId="77777777" w:rsidR="007767E2" w:rsidRDefault="007767E2" w:rsidP="00F13D08">
            <w:pPr>
              <w:widowControl/>
              <w:spacing w:line="240" w:lineRule="auto"/>
              <w:rPr>
                <w:sz w:val="24"/>
                <w:szCs w:val="24"/>
                <w:vertAlign w:val="superscript"/>
              </w:rPr>
            </w:pPr>
            <w:r>
              <w:rPr>
                <w:sz w:val="24"/>
                <w:szCs w:val="24"/>
              </w:rPr>
              <w:t>49.58</w:t>
            </w:r>
            <w:r>
              <w:rPr>
                <w:sz w:val="24"/>
                <w:szCs w:val="24"/>
                <w:vertAlign w:val="superscript"/>
              </w:rPr>
              <w:t>a</w:t>
            </w:r>
          </w:p>
        </w:tc>
        <w:tc>
          <w:tcPr>
            <w:tcW w:w="2126" w:type="dxa"/>
            <w:tcBorders>
              <w:bottom w:val="thinThickSmallGap" w:sz="24" w:space="0" w:color="auto"/>
            </w:tcBorders>
          </w:tcPr>
          <w:p w14:paraId="41E7ABF1" w14:textId="77777777" w:rsidR="007767E2" w:rsidRDefault="007767E2" w:rsidP="00F13D08">
            <w:pPr>
              <w:widowControl/>
              <w:spacing w:line="240" w:lineRule="auto"/>
              <w:rPr>
                <w:sz w:val="24"/>
                <w:szCs w:val="24"/>
                <w:vertAlign w:val="superscript"/>
              </w:rPr>
            </w:pPr>
            <w:r>
              <w:rPr>
                <w:sz w:val="24"/>
                <w:szCs w:val="24"/>
              </w:rPr>
              <w:t>37.67</w:t>
            </w:r>
            <w:r>
              <w:rPr>
                <w:sz w:val="24"/>
                <w:szCs w:val="24"/>
                <w:vertAlign w:val="superscript"/>
              </w:rPr>
              <w:t>a</w:t>
            </w:r>
          </w:p>
        </w:tc>
        <w:tc>
          <w:tcPr>
            <w:tcW w:w="1271" w:type="dxa"/>
            <w:tcBorders>
              <w:bottom w:val="thinThickSmallGap" w:sz="24" w:space="0" w:color="auto"/>
            </w:tcBorders>
          </w:tcPr>
          <w:p w14:paraId="6FBC17F6" w14:textId="77777777" w:rsidR="007767E2" w:rsidRDefault="007767E2" w:rsidP="00F13D08">
            <w:pPr>
              <w:widowControl/>
              <w:spacing w:line="240" w:lineRule="auto"/>
              <w:rPr>
                <w:sz w:val="24"/>
                <w:szCs w:val="24"/>
              </w:rPr>
            </w:pPr>
          </w:p>
        </w:tc>
      </w:tr>
      <w:tr w:rsidR="007767E2" w14:paraId="58AB129F" w14:textId="77777777" w:rsidTr="00F13D08">
        <w:trPr>
          <w:trHeight w:val="393"/>
        </w:trPr>
        <w:tc>
          <w:tcPr>
            <w:tcW w:w="2977" w:type="dxa"/>
            <w:tcBorders>
              <w:top w:val="thinThickSmallGap" w:sz="24" w:space="0" w:color="auto"/>
              <w:bottom w:val="thickThinSmallGap" w:sz="24" w:space="0" w:color="auto"/>
            </w:tcBorders>
          </w:tcPr>
          <w:p w14:paraId="216CA52C" w14:textId="77777777" w:rsidR="007767E2" w:rsidRDefault="007767E2" w:rsidP="00F13D08">
            <w:pPr>
              <w:spacing w:after="0"/>
              <w:jc w:val="left"/>
            </w:pPr>
            <w:r>
              <w:t>C.V. (A) = 22.05% (B) = 31.61%</w:t>
            </w:r>
          </w:p>
        </w:tc>
        <w:tc>
          <w:tcPr>
            <w:tcW w:w="1985" w:type="dxa"/>
            <w:tcBorders>
              <w:top w:val="thinThickSmallGap" w:sz="24" w:space="0" w:color="auto"/>
              <w:bottom w:val="thickThinSmallGap" w:sz="24" w:space="0" w:color="auto"/>
            </w:tcBorders>
          </w:tcPr>
          <w:p w14:paraId="60093FAE"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5DDCE6FA"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7E95ECD1" w14:textId="77777777" w:rsidR="007767E2" w:rsidRDefault="007767E2" w:rsidP="00F13D08">
            <w:pPr>
              <w:spacing w:line="240" w:lineRule="auto"/>
              <w:rPr>
                <w:sz w:val="24"/>
                <w:szCs w:val="24"/>
              </w:rPr>
            </w:pPr>
          </w:p>
        </w:tc>
      </w:tr>
    </w:tbl>
    <w:p w14:paraId="35F651FA" w14:textId="77777777" w:rsidR="007767E2"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PH"/>
        </w:rPr>
        <w:tab/>
      </w:r>
      <w:r w:rsidRPr="00362FE8">
        <w:rPr>
          <w:rFonts w:ascii="Times New Roman" w:hAnsi="Times New Roman" w:cs="Times New Roman"/>
          <w:sz w:val="24"/>
          <w:szCs w:val="24"/>
        </w:rPr>
        <w:t>The results in Table 11 present the effects of corn variety, nitrogen fertilizers, and their combined interaction on soil available potassium (K). Although the differences were not statistically significant, the observed trends provide insights into how these factors influence soil K dynamics.</w:t>
      </w:r>
    </w:p>
    <w:p w14:paraId="45B3B318"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362FE8">
        <w:rPr>
          <w:rFonts w:ascii="Times New Roman" w:hAnsi="Times New Roman" w:cs="Times New Roman"/>
          <w:sz w:val="24"/>
          <w:szCs w:val="24"/>
        </w:rPr>
        <w:t>Native corn recorded a higher mean soil K content (351.25 ppm) compared to sweetcorn (300.75 ppm). This indicates that native corn may contribute less to K uptake or have root exudation patterns that conserve soil K. In contrast, sweetcorn’s lower soil K levels may reflect its efficient nutrient uptake, as it likely absorbs more K to support its superior growth and biomass production.</w:t>
      </w:r>
    </w:p>
    <w:p w14:paraId="19EA804E" w14:textId="77777777" w:rsidR="007767E2" w:rsidRPr="00362FE8" w:rsidRDefault="007767E2" w:rsidP="007767E2">
      <w:pPr>
        <w:spacing w:before="100" w:beforeAutospacing="1" w:after="100" w:afterAutospacing="1" w:line="360" w:lineRule="auto"/>
        <w:jc w:val="both"/>
        <w:rPr>
          <w:rFonts w:ascii="Times New Roman" w:hAnsi="Times New Roman" w:cs="Times New Roman"/>
          <w:sz w:val="24"/>
          <w:szCs w:val="24"/>
        </w:rPr>
      </w:pPr>
      <w:r w:rsidRPr="00362FE8">
        <w:rPr>
          <w:rFonts w:ascii="Times New Roman" w:hAnsi="Times New Roman" w:cs="Times New Roman"/>
          <w:sz w:val="24"/>
          <w:szCs w:val="24"/>
        </w:rPr>
        <w:tab/>
        <w:t>The type of nitrogen fertilizer had a pronounced impact on soil K availability. Urea-treated soils exhibited the highest mean soil K content (355.67 ppm), suggesting that urea may enhance microbial activity, which helps release K from soil reserves. Ammonium phosphate (356.50 ppm) and diammonium phosphate (312.33 ppm) also maintained elevated soil K levels, potentially due to their role in improving soil nutrient dynamics. On the other hand, ammonium sulfate-treated soils showed the lowest mean K content (279.50 ppm). This could be attributed to ammonium sulfate's acidifying effect, which may promote K leaching or reduce its availability in the soil.</w:t>
      </w:r>
      <w:r>
        <w:rPr>
          <w:rFonts w:ascii="Times New Roman" w:hAnsi="Times New Roman" w:cs="Times New Roman"/>
          <w:sz w:val="24"/>
          <w:szCs w:val="24"/>
        </w:rPr>
        <w:t xml:space="preserve"> According to Zhao et al., 2022, </w:t>
      </w:r>
      <w:r w:rsidRPr="00362FE8">
        <w:rPr>
          <w:rFonts w:ascii="Times New Roman" w:hAnsi="Times New Roman" w:cs="Times New Roman"/>
          <w:sz w:val="24"/>
          <w:szCs w:val="24"/>
        </w:rPr>
        <w:t>urea is known to rapidly hydrolyze in soil, releasing ammonia and increasing pH locally, which can boost microbial activity. Microbial activity may accelerate the mineralization of organic matter and the release of potassium bound to soil particles.</w:t>
      </w:r>
    </w:p>
    <w:p w14:paraId="5448E8FB" w14:textId="77777777" w:rsidR="007767E2" w:rsidRPr="00362FE8" w:rsidRDefault="007767E2" w:rsidP="007767E2">
      <w:pPr>
        <w:spacing w:before="100" w:beforeAutospacing="1" w:after="100" w:afterAutospacing="1" w:line="360" w:lineRule="auto"/>
        <w:jc w:val="both"/>
        <w:rPr>
          <w:rFonts w:ascii="Times New Roman" w:eastAsia="Times New Roman" w:hAnsi="Times New Roman" w:cs="Times New Roman"/>
          <w:b/>
          <w:bCs/>
          <w:sz w:val="32"/>
          <w:szCs w:val="32"/>
          <w:lang w:eastAsia="en-PH"/>
        </w:rPr>
      </w:pPr>
      <w:r w:rsidRPr="00362FE8">
        <w:rPr>
          <w:rFonts w:ascii="Times New Roman" w:hAnsi="Times New Roman" w:cs="Times New Roman"/>
          <w:sz w:val="24"/>
          <w:szCs w:val="24"/>
        </w:rPr>
        <w:lastRenderedPageBreak/>
        <w:tab/>
        <w:t xml:space="preserve">The interaction between corn variety and nitrogen fertilizer type demonstrated </w:t>
      </w:r>
      <w:r>
        <w:rPr>
          <w:rFonts w:ascii="Times New Roman" w:hAnsi="Times New Roman" w:cs="Times New Roman"/>
          <w:sz w:val="24"/>
          <w:szCs w:val="24"/>
        </w:rPr>
        <w:t>that n</w:t>
      </w:r>
      <w:r w:rsidRPr="00362FE8">
        <w:rPr>
          <w:rFonts w:ascii="Times New Roman" w:hAnsi="Times New Roman" w:cs="Times New Roman"/>
          <w:sz w:val="24"/>
          <w:szCs w:val="24"/>
        </w:rPr>
        <w:t>ative corn paired with urea resulted in the highest soil K content (425 ppm), showcasing the positive effects of this fertilizer in enhancing K availability for this variety. Sweetcorn paired with diammonium phosphate had relatively high K levels (345.33 ppm), emphasizing its role in maintaining soil K for varieties with high nutrient uptake. Conversely, sweetcorn treated with ammonium sulfate recorded the lowest soil K content (256 ppm), likely due to a combination of sweetcorn's efficient K uptake and the leaching effects associated with ammonium sulfate.</w:t>
      </w:r>
      <w:r>
        <w:rPr>
          <w:rFonts w:ascii="Times New Roman" w:hAnsi="Times New Roman" w:cs="Times New Roman"/>
          <w:sz w:val="24"/>
          <w:szCs w:val="24"/>
        </w:rPr>
        <w:t xml:space="preserve"> </w:t>
      </w:r>
      <w:r w:rsidRPr="00362FE8">
        <w:rPr>
          <w:rFonts w:ascii="Times New Roman" w:hAnsi="Times New Roman" w:cs="Times New Roman"/>
          <w:sz w:val="24"/>
          <w:szCs w:val="24"/>
        </w:rPr>
        <w:t>Azeem et al. (2019) highlight that</w:t>
      </w:r>
      <w:r>
        <w:rPr>
          <w:rFonts w:ascii="Times New Roman" w:hAnsi="Times New Roman" w:cs="Times New Roman"/>
          <w:sz w:val="24"/>
          <w:szCs w:val="24"/>
        </w:rPr>
        <w:t xml:space="preserve"> </w:t>
      </w:r>
      <w:r w:rsidRPr="00362FE8">
        <w:rPr>
          <w:rFonts w:ascii="Times New Roman" w:hAnsi="Times New Roman" w:cs="Times New Roman"/>
          <w:sz w:val="24"/>
          <w:szCs w:val="24"/>
        </w:rPr>
        <w:t>urea application can stimulate microbial activity, enhancing the release of soil K from mineral and organic matter.</w:t>
      </w:r>
      <w:r>
        <w:rPr>
          <w:rFonts w:ascii="Times New Roman" w:hAnsi="Times New Roman" w:cs="Times New Roman"/>
          <w:sz w:val="24"/>
          <w:szCs w:val="24"/>
        </w:rPr>
        <w:t xml:space="preserve"> </w:t>
      </w:r>
      <w:r w:rsidRPr="00362FE8">
        <w:rPr>
          <w:rFonts w:ascii="Times New Roman" w:hAnsi="Times New Roman" w:cs="Times New Roman"/>
          <w:sz w:val="24"/>
          <w:szCs w:val="24"/>
        </w:rPr>
        <w:t>Phosphate-based fertilizers, such as diammonium phosphate, can increase soil K retention by reducing K leaching and improving nutrient interactions in the rhizosphere</w:t>
      </w:r>
      <w:r>
        <w:rPr>
          <w:rFonts w:ascii="Times New Roman" w:hAnsi="Times New Roman" w:cs="Times New Roman"/>
          <w:sz w:val="24"/>
          <w:szCs w:val="24"/>
        </w:rPr>
        <w:t>.</w:t>
      </w:r>
    </w:p>
    <w:p w14:paraId="0C1ECB50" w14:textId="77777777" w:rsidR="007767E2" w:rsidRDefault="007767E2" w:rsidP="007767E2">
      <w:pPr>
        <w:jc w:val="both"/>
        <w:rPr>
          <w:rFonts w:ascii="Times New Roman" w:hAnsi="Times New Roman" w:cs="Times New Roman"/>
          <w:sz w:val="24"/>
          <w:szCs w:val="24"/>
        </w:rPr>
      </w:pPr>
      <w:r>
        <w:rPr>
          <w:rFonts w:ascii="Times New Roman" w:hAnsi="Times New Roman" w:cs="Times New Roman"/>
          <w:sz w:val="24"/>
          <w:szCs w:val="24"/>
        </w:rPr>
        <w:t>Table 11: Soil available K (in ppm) as influenced by different nitrogen fertilizers</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2126"/>
        <w:gridCol w:w="1271"/>
      </w:tblGrid>
      <w:tr w:rsidR="007767E2" w14:paraId="1713A51D" w14:textId="77777777" w:rsidTr="00F13D08">
        <w:trPr>
          <w:trHeight w:val="384"/>
        </w:trPr>
        <w:tc>
          <w:tcPr>
            <w:tcW w:w="2977" w:type="dxa"/>
            <w:tcBorders>
              <w:top w:val="thinThickSmallGap" w:sz="24" w:space="0" w:color="auto"/>
              <w:bottom w:val="single" w:sz="4" w:space="0" w:color="auto"/>
            </w:tcBorders>
          </w:tcPr>
          <w:p w14:paraId="146A85A5" w14:textId="77777777" w:rsidR="007767E2" w:rsidRDefault="007767E2" w:rsidP="00F13D08">
            <w:pPr>
              <w:widowControl/>
              <w:spacing w:line="240" w:lineRule="auto"/>
              <w:rPr>
                <w:sz w:val="24"/>
                <w:szCs w:val="24"/>
              </w:rPr>
            </w:pPr>
          </w:p>
        </w:tc>
        <w:tc>
          <w:tcPr>
            <w:tcW w:w="4111" w:type="dxa"/>
            <w:gridSpan w:val="2"/>
            <w:tcBorders>
              <w:top w:val="thinThickSmallGap" w:sz="24" w:space="0" w:color="auto"/>
              <w:bottom w:val="single" w:sz="4" w:space="0" w:color="auto"/>
            </w:tcBorders>
          </w:tcPr>
          <w:p w14:paraId="5595CCA7" w14:textId="77777777" w:rsidR="007767E2" w:rsidRDefault="007767E2" w:rsidP="00F13D08">
            <w:pPr>
              <w:widowControl/>
              <w:spacing w:line="240" w:lineRule="auto"/>
              <w:rPr>
                <w:sz w:val="24"/>
                <w:szCs w:val="24"/>
              </w:rPr>
            </w:pPr>
            <w:r>
              <w:rPr>
                <w:sz w:val="24"/>
                <w:szCs w:val="24"/>
              </w:rPr>
              <w:t>Corn Varieties</w:t>
            </w:r>
          </w:p>
        </w:tc>
        <w:tc>
          <w:tcPr>
            <w:tcW w:w="1271" w:type="dxa"/>
            <w:tcBorders>
              <w:top w:val="thinThickSmallGap" w:sz="24" w:space="0" w:color="auto"/>
              <w:bottom w:val="single" w:sz="4" w:space="0" w:color="auto"/>
            </w:tcBorders>
          </w:tcPr>
          <w:p w14:paraId="6ED907F8" w14:textId="77777777" w:rsidR="007767E2" w:rsidRDefault="007767E2" w:rsidP="00F13D08">
            <w:pPr>
              <w:widowControl/>
              <w:spacing w:line="240" w:lineRule="auto"/>
              <w:rPr>
                <w:sz w:val="24"/>
                <w:szCs w:val="24"/>
              </w:rPr>
            </w:pPr>
          </w:p>
        </w:tc>
      </w:tr>
      <w:tr w:rsidR="007767E2" w14:paraId="29BEFFF2" w14:textId="77777777" w:rsidTr="00F13D08">
        <w:trPr>
          <w:trHeight w:val="384"/>
        </w:trPr>
        <w:tc>
          <w:tcPr>
            <w:tcW w:w="2977" w:type="dxa"/>
            <w:tcBorders>
              <w:top w:val="single" w:sz="4" w:space="0" w:color="auto"/>
            </w:tcBorders>
          </w:tcPr>
          <w:p w14:paraId="67B2124A" w14:textId="77777777" w:rsidR="007767E2" w:rsidRDefault="007767E2" w:rsidP="00F13D08">
            <w:pPr>
              <w:widowControl/>
              <w:spacing w:line="240" w:lineRule="auto"/>
              <w:rPr>
                <w:sz w:val="24"/>
                <w:szCs w:val="24"/>
              </w:rPr>
            </w:pPr>
            <w:r>
              <w:rPr>
                <w:sz w:val="24"/>
                <w:szCs w:val="24"/>
              </w:rPr>
              <w:t>Fertilizer</w:t>
            </w:r>
          </w:p>
        </w:tc>
        <w:tc>
          <w:tcPr>
            <w:tcW w:w="1985" w:type="dxa"/>
            <w:tcBorders>
              <w:top w:val="single" w:sz="4" w:space="0" w:color="auto"/>
            </w:tcBorders>
          </w:tcPr>
          <w:p w14:paraId="35748909" w14:textId="77777777" w:rsidR="007767E2" w:rsidRDefault="007767E2" w:rsidP="00F13D08">
            <w:pPr>
              <w:widowControl/>
              <w:spacing w:line="240" w:lineRule="auto"/>
              <w:rPr>
                <w:sz w:val="24"/>
                <w:szCs w:val="24"/>
              </w:rPr>
            </w:pPr>
            <w:r>
              <w:rPr>
                <w:sz w:val="24"/>
                <w:szCs w:val="24"/>
              </w:rPr>
              <w:t>V1 (Native corn)</w:t>
            </w:r>
          </w:p>
        </w:tc>
        <w:tc>
          <w:tcPr>
            <w:tcW w:w="2126" w:type="dxa"/>
            <w:tcBorders>
              <w:top w:val="single" w:sz="4" w:space="0" w:color="auto"/>
            </w:tcBorders>
          </w:tcPr>
          <w:p w14:paraId="52B9E42D" w14:textId="77777777" w:rsidR="007767E2" w:rsidRDefault="007767E2" w:rsidP="00F13D08">
            <w:pPr>
              <w:widowControl/>
              <w:spacing w:line="240" w:lineRule="auto"/>
              <w:rPr>
                <w:sz w:val="24"/>
                <w:szCs w:val="24"/>
              </w:rPr>
            </w:pPr>
            <w:r>
              <w:rPr>
                <w:sz w:val="24"/>
                <w:szCs w:val="24"/>
              </w:rPr>
              <w:t>V2 (Sweetcorn)</w:t>
            </w:r>
          </w:p>
        </w:tc>
        <w:tc>
          <w:tcPr>
            <w:tcW w:w="1271" w:type="dxa"/>
            <w:tcBorders>
              <w:top w:val="single" w:sz="4" w:space="0" w:color="auto"/>
            </w:tcBorders>
          </w:tcPr>
          <w:p w14:paraId="40737E3F" w14:textId="77777777" w:rsidR="007767E2" w:rsidRDefault="007767E2" w:rsidP="00F13D08">
            <w:pPr>
              <w:widowControl/>
              <w:spacing w:line="240" w:lineRule="auto"/>
              <w:rPr>
                <w:sz w:val="24"/>
                <w:szCs w:val="24"/>
              </w:rPr>
            </w:pPr>
            <w:r>
              <w:rPr>
                <w:sz w:val="24"/>
                <w:szCs w:val="24"/>
              </w:rPr>
              <w:t>Mean</w:t>
            </w:r>
          </w:p>
        </w:tc>
      </w:tr>
      <w:tr w:rsidR="007767E2" w14:paraId="12787E29" w14:textId="77777777" w:rsidTr="00F1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2977" w:type="dxa"/>
          </w:tcPr>
          <w:p w14:paraId="1F6D9E37" w14:textId="77777777" w:rsidR="007767E2" w:rsidRDefault="007767E2" w:rsidP="00F13D08">
            <w:pPr>
              <w:widowControl/>
              <w:spacing w:line="240" w:lineRule="auto"/>
              <w:rPr>
                <w:sz w:val="24"/>
                <w:szCs w:val="24"/>
              </w:rPr>
            </w:pPr>
            <w:r>
              <w:rPr>
                <w:sz w:val="24"/>
                <w:szCs w:val="24"/>
              </w:rPr>
              <w:t>F1 (diammonium phosphate)</w:t>
            </w:r>
          </w:p>
        </w:tc>
        <w:tc>
          <w:tcPr>
            <w:tcW w:w="1985" w:type="dxa"/>
            <w:shd w:val="clear" w:color="auto" w:fill="auto"/>
          </w:tcPr>
          <w:p w14:paraId="4B5B5967" w14:textId="77777777" w:rsidR="007767E2" w:rsidRPr="00362FE8" w:rsidRDefault="007767E2" w:rsidP="00F13D08">
            <w:pPr>
              <w:widowControl/>
              <w:spacing w:line="240" w:lineRule="auto"/>
              <w:rPr>
                <w:sz w:val="24"/>
                <w:szCs w:val="24"/>
                <w:vertAlign w:val="superscript"/>
                <w:lang w:eastAsia="en-PH"/>
              </w:rPr>
            </w:pPr>
            <w:r w:rsidRPr="00362FE8">
              <w:rPr>
                <w:sz w:val="24"/>
                <w:szCs w:val="24"/>
                <w:vertAlign w:val="superscript"/>
                <w:lang w:eastAsia="en-PH"/>
              </w:rPr>
              <w:t xml:space="preserve">  </w:t>
            </w:r>
            <w:r w:rsidRPr="00362FE8">
              <w:rPr>
                <w:sz w:val="24"/>
                <w:szCs w:val="24"/>
                <w:lang w:eastAsia="en-PH"/>
              </w:rPr>
              <w:t>279.33</w:t>
            </w:r>
            <w:r w:rsidRPr="00362FE8">
              <w:rPr>
                <w:sz w:val="24"/>
                <w:szCs w:val="24"/>
                <w:vertAlign w:val="superscript"/>
                <w:lang w:eastAsia="en-PH"/>
              </w:rPr>
              <w:t xml:space="preserve">a       </w:t>
            </w:r>
          </w:p>
        </w:tc>
        <w:tc>
          <w:tcPr>
            <w:tcW w:w="2126" w:type="dxa"/>
            <w:shd w:val="clear" w:color="auto" w:fill="auto"/>
          </w:tcPr>
          <w:p w14:paraId="0A81B1D1"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345.33</w:t>
            </w:r>
            <w:r w:rsidRPr="00362FE8">
              <w:rPr>
                <w:sz w:val="24"/>
                <w:szCs w:val="24"/>
                <w:vertAlign w:val="superscript"/>
                <w:lang w:eastAsia="en-PH"/>
              </w:rPr>
              <w:t xml:space="preserve">a </w:t>
            </w:r>
          </w:p>
        </w:tc>
        <w:tc>
          <w:tcPr>
            <w:tcW w:w="1271" w:type="dxa"/>
          </w:tcPr>
          <w:p w14:paraId="2C8F59E5" w14:textId="77777777" w:rsidR="007767E2" w:rsidRDefault="007767E2" w:rsidP="00F13D08">
            <w:pPr>
              <w:spacing w:after="0" w:line="240" w:lineRule="auto"/>
              <w:rPr>
                <w:rFonts w:eastAsia="Times New Roman"/>
                <w:sz w:val="24"/>
                <w:szCs w:val="24"/>
                <w:vertAlign w:val="superscript"/>
                <w:lang w:eastAsia="en-PH"/>
              </w:rPr>
            </w:pPr>
            <w:r>
              <w:rPr>
                <w:sz w:val="24"/>
                <w:szCs w:val="24"/>
              </w:rPr>
              <w:t>312.33</w:t>
            </w:r>
            <w:r>
              <w:rPr>
                <w:sz w:val="24"/>
                <w:szCs w:val="24"/>
                <w:vertAlign w:val="superscript"/>
              </w:rPr>
              <w:t>a</w:t>
            </w:r>
          </w:p>
        </w:tc>
      </w:tr>
      <w:tr w:rsidR="007767E2" w14:paraId="7063D3BF" w14:textId="77777777" w:rsidTr="00F1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338CA7D0" w14:textId="77777777" w:rsidR="007767E2" w:rsidRDefault="007767E2" w:rsidP="00F13D08">
            <w:pPr>
              <w:widowControl/>
              <w:spacing w:line="240" w:lineRule="auto"/>
              <w:rPr>
                <w:sz w:val="24"/>
                <w:szCs w:val="24"/>
              </w:rPr>
            </w:pPr>
            <w:r>
              <w:rPr>
                <w:sz w:val="24"/>
                <w:szCs w:val="24"/>
              </w:rPr>
              <w:t>F2 (urea)</w:t>
            </w:r>
          </w:p>
        </w:tc>
        <w:tc>
          <w:tcPr>
            <w:tcW w:w="1985" w:type="dxa"/>
            <w:shd w:val="clear" w:color="auto" w:fill="auto"/>
          </w:tcPr>
          <w:p w14:paraId="360EA3E4" w14:textId="77777777" w:rsidR="007767E2" w:rsidRPr="00362FE8" w:rsidRDefault="007767E2" w:rsidP="00F13D08">
            <w:pPr>
              <w:widowControl/>
              <w:spacing w:line="240" w:lineRule="auto"/>
              <w:rPr>
                <w:sz w:val="24"/>
                <w:szCs w:val="24"/>
                <w:vertAlign w:val="superscript"/>
              </w:rPr>
            </w:pPr>
            <w:r w:rsidRPr="00362FE8">
              <w:rPr>
                <w:sz w:val="24"/>
                <w:szCs w:val="24"/>
              </w:rPr>
              <w:t>425</w:t>
            </w:r>
            <w:r w:rsidRPr="00362FE8">
              <w:rPr>
                <w:sz w:val="24"/>
                <w:szCs w:val="24"/>
                <w:vertAlign w:val="superscript"/>
              </w:rPr>
              <w:t>a</w:t>
            </w:r>
          </w:p>
        </w:tc>
        <w:tc>
          <w:tcPr>
            <w:tcW w:w="2126" w:type="dxa"/>
            <w:shd w:val="clear" w:color="auto" w:fill="auto"/>
          </w:tcPr>
          <w:p w14:paraId="6AB226AF" w14:textId="77777777" w:rsidR="007767E2" w:rsidRPr="00362FE8" w:rsidRDefault="007767E2" w:rsidP="00F13D08">
            <w:pPr>
              <w:widowControl/>
              <w:spacing w:line="240" w:lineRule="auto"/>
              <w:rPr>
                <w:sz w:val="24"/>
                <w:szCs w:val="24"/>
                <w:vertAlign w:val="superscript"/>
              </w:rPr>
            </w:pPr>
            <w:r w:rsidRPr="00362FE8">
              <w:rPr>
                <w:sz w:val="24"/>
                <w:szCs w:val="24"/>
                <w:lang w:eastAsia="en-PH"/>
              </w:rPr>
              <w:t>286.33</w:t>
            </w:r>
            <w:r w:rsidRPr="00362FE8">
              <w:rPr>
                <w:sz w:val="24"/>
                <w:szCs w:val="24"/>
                <w:vertAlign w:val="superscript"/>
                <w:lang w:eastAsia="en-PH"/>
              </w:rPr>
              <w:t>a</w:t>
            </w:r>
          </w:p>
        </w:tc>
        <w:tc>
          <w:tcPr>
            <w:tcW w:w="1271" w:type="dxa"/>
          </w:tcPr>
          <w:p w14:paraId="4F830501" w14:textId="77777777" w:rsidR="007767E2" w:rsidRDefault="007767E2" w:rsidP="00F13D08">
            <w:pPr>
              <w:widowControl/>
              <w:spacing w:line="240" w:lineRule="auto"/>
              <w:rPr>
                <w:sz w:val="24"/>
                <w:szCs w:val="24"/>
                <w:vertAlign w:val="superscript"/>
              </w:rPr>
            </w:pPr>
            <w:r>
              <w:rPr>
                <w:sz w:val="24"/>
                <w:szCs w:val="24"/>
              </w:rPr>
              <w:t>355.67</w:t>
            </w:r>
            <w:r>
              <w:rPr>
                <w:sz w:val="24"/>
                <w:szCs w:val="24"/>
                <w:vertAlign w:val="superscript"/>
              </w:rPr>
              <w:t>a</w:t>
            </w:r>
          </w:p>
        </w:tc>
      </w:tr>
      <w:tr w:rsidR="007767E2" w14:paraId="3A53B4F7" w14:textId="77777777" w:rsidTr="00F1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40BF452A" w14:textId="77777777" w:rsidR="007767E2" w:rsidRDefault="007767E2" w:rsidP="00F13D08">
            <w:pPr>
              <w:widowControl/>
              <w:spacing w:line="240" w:lineRule="auto"/>
              <w:rPr>
                <w:sz w:val="24"/>
                <w:szCs w:val="24"/>
              </w:rPr>
            </w:pPr>
            <w:r>
              <w:rPr>
                <w:sz w:val="24"/>
                <w:szCs w:val="24"/>
              </w:rPr>
              <w:t>F3 (ammonium phosphate)</w:t>
            </w:r>
          </w:p>
        </w:tc>
        <w:tc>
          <w:tcPr>
            <w:tcW w:w="1985" w:type="dxa"/>
            <w:shd w:val="clear" w:color="auto" w:fill="auto"/>
          </w:tcPr>
          <w:p w14:paraId="04CD42FD" w14:textId="77777777" w:rsidR="007767E2" w:rsidRPr="00362FE8" w:rsidRDefault="007767E2" w:rsidP="00F13D08">
            <w:pPr>
              <w:widowControl/>
              <w:spacing w:line="240" w:lineRule="auto"/>
              <w:rPr>
                <w:sz w:val="24"/>
                <w:szCs w:val="24"/>
                <w:vertAlign w:val="superscript"/>
              </w:rPr>
            </w:pPr>
            <w:r w:rsidRPr="00362FE8">
              <w:rPr>
                <w:sz w:val="24"/>
                <w:szCs w:val="24"/>
              </w:rPr>
              <w:t>397.67</w:t>
            </w:r>
            <w:r w:rsidRPr="00362FE8">
              <w:rPr>
                <w:sz w:val="24"/>
                <w:szCs w:val="24"/>
                <w:vertAlign w:val="superscript"/>
              </w:rPr>
              <w:t>a</w:t>
            </w:r>
          </w:p>
        </w:tc>
        <w:tc>
          <w:tcPr>
            <w:tcW w:w="2126" w:type="dxa"/>
            <w:shd w:val="clear" w:color="auto" w:fill="auto"/>
          </w:tcPr>
          <w:p w14:paraId="518F9882" w14:textId="77777777" w:rsidR="007767E2" w:rsidRPr="00362FE8" w:rsidRDefault="007767E2" w:rsidP="00F13D08">
            <w:pPr>
              <w:widowControl/>
              <w:spacing w:line="240" w:lineRule="auto"/>
              <w:rPr>
                <w:sz w:val="24"/>
                <w:szCs w:val="24"/>
                <w:vertAlign w:val="superscript"/>
              </w:rPr>
            </w:pPr>
            <w:r w:rsidRPr="00362FE8">
              <w:rPr>
                <w:sz w:val="24"/>
                <w:szCs w:val="24"/>
              </w:rPr>
              <w:t>315.33</w:t>
            </w:r>
            <w:r w:rsidRPr="00362FE8">
              <w:rPr>
                <w:sz w:val="24"/>
                <w:szCs w:val="24"/>
                <w:vertAlign w:val="superscript"/>
              </w:rPr>
              <w:t>a</w:t>
            </w:r>
          </w:p>
        </w:tc>
        <w:tc>
          <w:tcPr>
            <w:tcW w:w="1271" w:type="dxa"/>
          </w:tcPr>
          <w:p w14:paraId="0CDAA0B3" w14:textId="77777777" w:rsidR="007767E2" w:rsidRDefault="007767E2" w:rsidP="00F13D08">
            <w:pPr>
              <w:widowControl/>
              <w:spacing w:line="240" w:lineRule="auto"/>
              <w:rPr>
                <w:sz w:val="24"/>
                <w:szCs w:val="24"/>
                <w:vertAlign w:val="superscript"/>
              </w:rPr>
            </w:pPr>
            <w:r>
              <w:rPr>
                <w:sz w:val="24"/>
                <w:szCs w:val="24"/>
              </w:rPr>
              <w:t>356.50</w:t>
            </w:r>
            <w:r>
              <w:rPr>
                <w:sz w:val="24"/>
                <w:szCs w:val="24"/>
                <w:vertAlign w:val="superscript"/>
              </w:rPr>
              <w:t>a</w:t>
            </w:r>
          </w:p>
        </w:tc>
      </w:tr>
      <w:tr w:rsidR="007767E2" w14:paraId="4CDA475F" w14:textId="77777777" w:rsidTr="00F1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977" w:type="dxa"/>
          </w:tcPr>
          <w:p w14:paraId="38523B93" w14:textId="77777777" w:rsidR="007767E2" w:rsidRDefault="007767E2" w:rsidP="00F13D08">
            <w:pPr>
              <w:widowControl/>
              <w:spacing w:line="240" w:lineRule="auto"/>
              <w:rPr>
                <w:sz w:val="24"/>
                <w:szCs w:val="24"/>
              </w:rPr>
            </w:pPr>
            <w:r>
              <w:rPr>
                <w:sz w:val="24"/>
                <w:szCs w:val="24"/>
              </w:rPr>
              <w:t>F4 (ammonium sulfate)</w:t>
            </w:r>
          </w:p>
        </w:tc>
        <w:tc>
          <w:tcPr>
            <w:tcW w:w="1985" w:type="dxa"/>
            <w:shd w:val="clear" w:color="auto" w:fill="auto"/>
          </w:tcPr>
          <w:p w14:paraId="45C45A0F" w14:textId="77777777" w:rsidR="007767E2" w:rsidRPr="00362FE8" w:rsidRDefault="007767E2" w:rsidP="00F13D08">
            <w:pPr>
              <w:widowControl/>
              <w:spacing w:line="240" w:lineRule="auto"/>
              <w:rPr>
                <w:sz w:val="24"/>
                <w:szCs w:val="24"/>
                <w:vertAlign w:val="superscript"/>
              </w:rPr>
            </w:pPr>
            <w:r w:rsidRPr="00362FE8">
              <w:rPr>
                <w:sz w:val="24"/>
                <w:szCs w:val="24"/>
              </w:rPr>
              <w:t>303</w:t>
            </w:r>
            <w:r w:rsidRPr="00362FE8">
              <w:rPr>
                <w:sz w:val="24"/>
                <w:szCs w:val="24"/>
                <w:vertAlign w:val="superscript"/>
              </w:rPr>
              <w:t>a</w:t>
            </w:r>
          </w:p>
        </w:tc>
        <w:tc>
          <w:tcPr>
            <w:tcW w:w="2126" w:type="dxa"/>
            <w:shd w:val="clear" w:color="auto" w:fill="auto"/>
          </w:tcPr>
          <w:p w14:paraId="18BFBB42" w14:textId="77777777" w:rsidR="007767E2" w:rsidRPr="00362FE8" w:rsidRDefault="007767E2" w:rsidP="00F13D08">
            <w:pPr>
              <w:widowControl/>
              <w:spacing w:line="240" w:lineRule="auto"/>
              <w:rPr>
                <w:sz w:val="24"/>
                <w:szCs w:val="24"/>
                <w:vertAlign w:val="superscript"/>
              </w:rPr>
            </w:pPr>
            <w:r w:rsidRPr="00362FE8">
              <w:rPr>
                <w:sz w:val="24"/>
                <w:szCs w:val="24"/>
              </w:rPr>
              <w:t>256</w:t>
            </w:r>
            <w:r w:rsidRPr="00362FE8">
              <w:rPr>
                <w:sz w:val="24"/>
                <w:szCs w:val="24"/>
                <w:vertAlign w:val="superscript"/>
              </w:rPr>
              <w:t>a</w:t>
            </w:r>
          </w:p>
        </w:tc>
        <w:tc>
          <w:tcPr>
            <w:tcW w:w="1271" w:type="dxa"/>
          </w:tcPr>
          <w:p w14:paraId="0E7F833C" w14:textId="77777777" w:rsidR="007767E2" w:rsidRDefault="007767E2" w:rsidP="00F13D08">
            <w:pPr>
              <w:widowControl/>
              <w:tabs>
                <w:tab w:val="left" w:pos="1130"/>
              </w:tabs>
              <w:spacing w:line="240" w:lineRule="auto"/>
              <w:rPr>
                <w:sz w:val="24"/>
                <w:szCs w:val="24"/>
              </w:rPr>
            </w:pPr>
            <w:r>
              <w:rPr>
                <w:sz w:val="24"/>
                <w:szCs w:val="24"/>
              </w:rPr>
              <w:t>279.50</w:t>
            </w:r>
            <w:r>
              <w:rPr>
                <w:sz w:val="24"/>
                <w:szCs w:val="24"/>
                <w:vertAlign w:val="superscript"/>
              </w:rPr>
              <w:t>a</w:t>
            </w:r>
          </w:p>
        </w:tc>
      </w:tr>
      <w:tr w:rsidR="007767E2" w14:paraId="3F966CB2" w14:textId="77777777" w:rsidTr="00F13D08">
        <w:trPr>
          <w:trHeight w:val="393"/>
        </w:trPr>
        <w:tc>
          <w:tcPr>
            <w:tcW w:w="2977" w:type="dxa"/>
            <w:tcBorders>
              <w:bottom w:val="thinThickSmallGap" w:sz="24" w:space="0" w:color="auto"/>
            </w:tcBorders>
          </w:tcPr>
          <w:p w14:paraId="6CF0F8A7" w14:textId="77777777" w:rsidR="007767E2" w:rsidRDefault="007767E2" w:rsidP="00F13D08">
            <w:pPr>
              <w:widowControl/>
              <w:spacing w:line="240" w:lineRule="auto"/>
              <w:rPr>
                <w:sz w:val="24"/>
                <w:szCs w:val="24"/>
              </w:rPr>
            </w:pPr>
            <w:r>
              <w:rPr>
                <w:sz w:val="24"/>
                <w:szCs w:val="24"/>
              </w:rPr>
              <w:t>Mean</w:t>
            </w:r>
          </w:p>
        </w:tc>
        <w:tc>
          <w:tcPr>
            <w:tcW w:w="1985" w:type="dxa"/>
            <w:tcBorders>
              <w:bottom w:val="thinThickSmallGap" w:sz="24" w:space="0" w:color="auto"/>
            </w:tcBorders>
          </w:tcPr>
          <w:p w14:paraId="73800325" w14:textId="77777777" w:rsidR="007767E2" w:rsidRDefault="007767E2" w:rsidP="00F13D08">
            <w:pPr>
              <w:widowControl/>
              <w:spacing w:line="240" w:lineRule="auto"/>
              <w:rPr>
                <w:sz w:val="24"/>
                <w:szCs w:val="24"/>
                <w:vertAlign w:val="superscript"/>
              </w:rPr>
            </w:pPr>
            <w:r>
              <w:rPr>
                <w:sz w:val="24"/>
                <w:szCs w:val="24"/>
              </w:rPr>
              <w:t>351.25</w:t>
            </w:r>
            <w:r>
              <w:rPr>
                <w:sz w:val="24"/>
                <w:szCs w:val="24"/>
                <w:vertAlign w:val="superscript"/>
              </w:rPr>
              <w:t>a</w:t>
            </w:r>
          </w:p>
        </w:tc>
        <w:tc>
          <w:tcPr>
            <w:tcW w:w="2126" w:type="dxa"/>
            <w:tcBorders>
              <w:bottom w:val="thinThickSmallGap" w:sz="24" w:space="0" w:color="auto"/>
            </w:tcBorders>
          </w:tcPr>
          <w:p w14:paraId="1105929D" w14:textId="77777777" w:rsidR="007767E2" w:rsidRDefault="007767E2" w:rsidP="00F13D08">
            <w:pPr>
              <w:widowControl/>
              <w:spacing w:line="240" w:lineRule="auto"/>
              <w:rPr>
                <w:sz w:val="24"/>
                <w:szCs w:val="24"/>
                <w:vertAlign w:val="superscript"/>
              </w:rPr>
            </w:pPr>
            <w:r>
              <w:rPr>
                <w:sz w:val="24"/>
                <w:szCs w:val="24"/>
              </w:rPr>
              <w:t>300.75</w:t>
            </w:r>
            <w:r>
              <w:rPr>
                <w:sz w:val="24"/>
                <w:szCs w:val="24"/>
                <w:vertAlign w:val="superscript"/>
              </w:rPr>
              <w:t>a</w:t>
            </w:r>
          </w:p>
        </w:tc>
        <w:tc>
          <w:tcPr>
            <w:tcW w:w="1271" w:type="dxa"/>
            <w:tcBorders>
              <w:bottom w:val="thinThickSmallGap" w:sz="24" w:space="0" w:color="auto"/>
            </w:tcBorders>
          </w:tcPr>
          <w:p w14:paraId="1DD6415E" w14:textId="77777777" w:rsidR="007767E2" w:rsidRDefault="007767E2" w:rsidP="00F13D08">
            <w:pPr>
              <w:widowControl/>
              <w:spacing w:line="240" w:lineRule="auto"/>
              <w:rPr>
                <w:sz w:val="24"/>
                <w:szCs w:val="24"/>
              </w:rPr>
            </w:pPr>
          </w:p>
        </w:tc>
      </w:tr>
      <w:tr w:rsidR="007767E2" w14:paraId="7811A28C" w14:textId="77777777" w:rsidTr="00F13D08">
        <w:trPr>
          <w:trHeight w:val="393"/>
        </w:trPr>
        <w:tc>
          <w:tcPr>
            <w:tcW w:w="2977" w:type="dxa"/>
            <w:tcBorders>
              <w:top w:val="thinThickSmallGap" w:sz="24" w:space="0" w:color="auto"/>
              <w:bottom w:val="thickThinSmallGap" w:sz="24" w:space="0" w:color="auto"/>
            </w:tcBorders>
          </w:tcPr>
          <w:p w14:paraId="08D4AF53" w14:textId="77777777" w:rsidR="007767E2" w:rsidRDefault="007767E2" w:rsidP="00F13D08">
            <w:pPr>
              <w:spacing w:after="0"/>
              <w:jc w:val="left"/>
            </w:pPr>
            <w:r>
              <w:t>C.V. (A) = 46.33% (B) = 30.10%</w:t>
            </w:r>
          </w:p>
        </w:tc>
        <w:tc>
          <w:tcPr>
            <w:tcW w:w="1985" w:type="dxa"/>
            <w:tcBorders>
              <w:top w:val="thinThickSmallGap" w:sz="24" w:space="0" w:color="auto"/>
              <w:bottom w:val="thickThinSmallGap" w:sz="24" w:space="0" w:color="auto"/>
            </w:tcBorders>
          </w:tcPr>
          <w:p w14:paraId="6256C1A4" w14:textId="77777777" w:rsidR="007767E2" w:rsidRDefault="007767E2" w:rsidP="00F13D08">
            <w:pPr>
              <w:spacing w:line="240" w:lineRule="auto"/>
              <w:rPr>
                <w:sz w:val="24"/>
                <w:szCs w:val="24"/>
              </w:rPr>
            </w:pPr>
          </w:p>
        </w:tc>
        <w:tc>
          <w:tcPr>
            <w:tcW w:w="2126" w:type="dxa"/>
            <w:tcBorders>
              <w:top w:val="thinThickSmallGap" w:sz="24" w:space="0" w:color="auto"/>
              <w:bottom w:val="thickThinSmallGap" w:sz="24" w:space="0" w:color="auto"/>
            </w:tcBorders>
          </w:tcPr>
          <w:p w14:paraId="354F9D26" w14:textId="77777777" w:rsidR="007767E2" w:rsidRDefault="007767E2" w:rsidP="00F13D08">
            <w:pPr>
              <w:spacing w:line="240" w:lineRule="auto"/>
              <w:rPr>
                <w:sz w:val="24"/>
                <w:szCs w:val="24"/>
              </w:rPr>
            </w:pPr>
          </w:p>
        </w:tc>
        <w:tc>
          <w:tcPr>
            <w:tcW w:w="1271" w:type="dxa"/>
            <w:tcBorders>
              <w:top w:val="thinThickSmallGap" w:sz="24" w:space="0" w:color="auto"/>
              <w:bottom w:val="thickThinSmallGap" w:sz="24" w:space="0" w:color="auto"/>
            </w:tcBorders>
          </w:tcPr>
          <w:p w14:paraId="4A4C9C36" w14:textId="77777777" w:rsidR="007767E2" w:rsidRDefault="007767E2" w:rsidP="00F13D08">
            <w:pPr>
              <w:spacing w:line="240" w:lineRule="auto"/>
              <w:rPr>
                <w:sz w:val="24"/>
                <w:szCs w:val="24"/>
              </w:rPr>
            </w:pPr>
          </w:p>
        </w:tc>
      </w:tr>
    </w:tbl>
    <w:p w14:paraId="5795DA61" w14:textId="77777777" w:rsidR="007767E2" w:rsidRDefault="007767E2" w:rsidP="007767E2">
      <w:pPr>
        <w:spacing w:before="100" w:beforeAutospacing="1" w:after="100" w:afterAutospacing="1" w:line="360" w:lineRule="auto"/>
        <w:rPr>
          <w:rFonts w:ascii="Times New Roman" w:eastAsia="Times New Roman" w:hAnsi="Times New Roman" w:cs="Times New Roman"/>
          <w:b/>
          <w:bCs/>
          <w:sz w:val="24"/>
          <w:szCs w:val="24"/>
          <w:lang w:eastAsia="en-PH"/>
        </w:rPr>
      </w:pPr>
    </w:p>
    <w:p w14:paraId="2AE7AF74" w14:textId="77777777" w:rsidR="007767E2" w:rsidRPr="00362FE8" w:rsidRDefault="007767E2" w:rsidP="007767E2">
      <w:pPr>
        <w:spacing w:before="100" w:beforeAutospacing="1" w:after="100" w:afterAutospacing="1" w:line="360" w:lineRule="auto"/>
        <w:jc w:val="center"/>
        <w:rPr>
          <w:rFonts w:ascii="Times New Roman" w:eastAsia="Times New Roman" w:hAnsi="Times New Roman" w:cs="Times New Roman"/>
          <w:b/>
          <w:bCs/>
          <w:sz w:val="24"/>
          <w:szCs w:val="24"/>
          <w:lang w:eastAsia="en-PH"/>
        </w:rPr>
      </w:pPr>
      <w:r w:rsidRPr="00362FE8">
        <w:rPr>
          <w:rFonts w:ascii="Times New Roman" w:eastAsia="Times New Roman" w:hAnsi="Times New Roman" w:cs="Times New Roman"/>
          <w:b/>
          <w:bCs/>
          <w:sz w:val="24"/>
          <w:szCs w:val="24"/>
          <w:lang w:eastAsia="en-PH"/>
        </w:rPr>
        <w:t>CONCLUSION</w:t>
      </w:r>
    </w:p>
    <w:p w14:paraId="1542C46B" w14:textId="77777777" w:rsidR="007767E2" w:rsidRDefault="007767E2" w:rsidP="007767E2">
      <w:pPr>
        <w:spacing w:before="100" w:beforeAutospacing="1" w:after="100" w:afterAutospacing="1"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PH"/>
        </w:rPr>
        <w:t xml:space="preserve">This study highlights the crucial role of fertilizer type and corn variety in optimizing growth and root development for corn cultivation in alkaline soils, which are prevalent in regions like Cebu, Philippines. Among the fertilizers tested, urea and ammonium sulfate proved to be the most effective in enhancing both plant height and root length, especially for the sweetcorn variety. Ammonium sulfate, on the other hand, was most effective for root development across both corn types, likely due to its influence on nutrient availability in alkaline soils. </w:t>
      </w:r>
    </w:p>
    <w:p w14:paraId="5A54B820" w14:textId="77777777" w:rsidR="00BA5F62" w:rsidRPr="00BA5F62" w:rsidRDefault="00BA5F62" w:rsidP="00BA5F62">
      <w:pPr>
        <w:jc w:val="both"/>
        <w:rPr>
          <w:rFonts w:ascii="Times New Roman" w:hAnsi="Times New Roman" w:cs="Times New Roman"/>
          <w:b/>
          <w:sz w:val="24"/>
          <w:szCs w:val="24"/>
          <w:highlight w:val="yellow"/>
        </w:rPr>
      </w:pPr>
      <w:r w:rsidRPr="00BA5F62">
        <w:rPr>
          <w:rFonts w:ascii="Times New Roman" w:hAnsi="Times New Roman" w:cs="Times New Roman"/>
          <w:b/>
          <w:sz w:val="24"/>
          <w:szCs w:val="24"/>
          <w:highlight w:val="yellow"/>
        </w:rPr>
        <w:lastRenderedPageBreak/>
        <w:t>Disclaimer (Artificial intelligence)</w:t>
      </w:r>
    </w:p>
    <w:p w14:paraId="7F287E0F" w14:textId="77777777" w:rsidR="00BA5F62" w:rsidRPr="00BA5F62" w:rsidRDefault="00BA5F62" w:rsidP="00BA5F62">
      <w:pPr>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 xml:space="preserve">Option 1: </w:t>
      </w:r>
    </w:p>
    <w:p w14:paraId="4F790EDE" w14:textId="77777777" w:rsidR="00BA5F62" w:rsidRPr="00BA5F62" w:rsidRDefault="00BA5F62" w:rsidP="00BA5F62">
      <w:pPr>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Author(s) hereby declare that NO generative AI technologies such as Large Language Models (</w:t>
      </w:r>
      <w:proofErr w:type="spellStart"/>
      <w:r w:rsidRPr="00BA5F62">
        <w:rPr>
          <w:rFonts w:ascii="Times New Roman" w:hAnsi="Times New Roman" w:cs="Times New Roman"/>
          <w:sz w:val="24"/>
          <w:szCs w:val="24"/>
          <w:highlight w:val="yellow"/>
        </w:rPr>
        <w:t>ChatGPT</w:t>
      </w:r>
      <w:proofErr w:type="spellEnd"/>
      <w:r w:rsidRPr="00BA5F62">
        <w:rPr>
          <w:rFonts w:ascii="Times New Roman" w:hAnsi="Times New Roman" w:cs="Times New Roman"/>
          <w:sz w:val="24"/>
          <w:szCs w:val="24"/>
          <w:highlight w:val="yellow"/>
        </w:rPr>
        <w:t xml:space="preserve">, COPILOT, etc.) and text-to-image generators have been used during the writing or editing of this manuscript. </w:t>
      </w:r>
    </w:p>
    <w:p w14:paraId="723C3994" w14:textId="77777777" w:rsidR="00BA5F62" w:rsidRPr="00BA5F62" w:rsidRDefault="00BA5F62" w:rsidP="00BA5F62">
      <w:pPr>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 xml:space="preserve">Option 2: </w:t>
      </w:r>
    </w:p>
    <w:p w14:paraId="0B79E84B" w14:textId="77777777" w:rsidR="00BA5F62" w:rsidRPr="00BA5F62" w:rsidRDefault="00BA5F62" w:rsidP="00BA5F62">
      <w:pPr>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D12CBB" w14:textId="77777777" w:rsidR="00BA5F62" w:rsidRPr="00BA5F62" w:rsidRDefault="00BA5F62" w:rsidP="00BA5F62">
      <w:pPr>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Details of the AI usage are given below:</w:t>
      </w:r>
    </w:p>
    <w:p w14:paraId="19ADF793" w14:textId="77777777" w:rsidR="00BA5F62" w:rsidRPr="00BA5F62" w:rsidRDefault="00BA5F62" w:rsidP="00BA5F62">
      <w:pPr>
        <w:jc w:val="both"/>
        <w:rPr>
          <w:rFonts w:ascii="Times New Roman" w:hAnsi="Times New Roman" w:cs="Times New Roman"/>
          <w:sz w:val="24"/>
          <w:szCs w:val="24"/>
          <w:highlight w:val="yellow"/>
        </w:rPr>
      </w:pPr>
      <w:r w:rsidRPr="00BA5F62">
        <w:rPr>
          <w:rFonts w:ascii="Times New Roman" w:hAnsi="Times New Roman" w:cs="Times New Roman"/>
          <w:sz w:val="24"/>
          <w:szCs w:val="24"/>
          <w:highlight w:val="yellow"/>
        </w:rPr>
        <w:t>1.</w:t>
      </w:r>
    </w:p>
    <w:p w14:paraId="41FF7C9F" w14:textId="77777777" w:rsidR="00BA5F62" w:rsidRPr="00BA5F62" w:rsidRDefault="00BA5F62" w:rsidP="00BA5F62">
      <w:pPr>
        <w:jc w:val="both"/>
        <w:rPr>
          <w:rFonts w:ascii="Times New Roman" w:hAnsi="Times New Roman" w:cs="Times New Roman"/>
          <w:sz w:val="24"/>
          <w:szCs w:val="24"/>
        </w:rPr>
      </w:pPr>
      <w:r w:rsidRPr="00BA5F62">
        <w:rPr>
          <w:rFonts w:ascii="Times New Roman" w:hAnsi="Times New Roman" w:cs="Times New Roman"/>
          <w:sz w:val="24"/>
          <w:szCs w:val="24"/>
          <w:highlight w:val="yellow"/>
        </w:rPr>
        <w:t>2.</w:t>
      </w:r>
    </w:p>
    <w:p w14:paraId="3D75F717" w14:textId="015CBEC6" w:rsidR="007767E2" w:rsidRDefault="00BA5F62" w:rsidP="00BA5F62">
      <w:pPr>
        <w:jc w:val="both"/>
        <w:rPr>
          <w:rFonts w:ascii="Times New Roman" w:hAnsi="Times New Roman" w:cs="Times New Roman"/>
          <w:sz w:val="24"/>
          <w:szCs w:val="24"/>
        </w:rPr>
      </w:pPr>
      <w:r w:rsidRPr="00BA5F62">
        <w:rPr>
          <w:rFonts w:ascii="Times New Roman" w:hAnsi="Times New Roman" w:cs="Times New Roman"/>
          <w:sz w:val="24"/>
          <w:szCs w:val="24"/>
        </w:rPr>
        <w:t>3.</w:t>
      </w:r>
    </w:p>
    <w:p w14:paraId="71950C5D" w14:textId="77777777" w:rsidR="007767E2" w:rsidRDefault="007767E2" w:rsidP="007767E2">
      <w:pPr>
        <w:jc w:val="both"/>
        <w:rPr>
          <w:rFonts w:ascii="Times New Roman" w:hAnsi="Times New Roman" w:cs="Times New Roman"/>
          <w:sz w:val="24"/>
          <w:szCs w:val="24"/>
        </w:rPr>
      </w:pPr>
    </w:p>
    <w:p w14:paraId="7E0831E9" w14:textId="77777777" w:rsidR="007767E2" w:rsidRDefault="007767E2" w:rsidP="007767E2">
      <w:pPr>
        <w:jc w:val="both"/>
        <w:rPr>
          <w:rFonts w:ascii="Times New Roman" w:hAnsi="Times New Roman" w:cs="Times New Roman"/>
          <w:sz w:val="24"/>
          <w:szCs w:val="24"/>
        </w:rPr>
      </w:pPr>
    </w:p>
    <w:p w14:paraId="1B6FA7AA" w14:textId="77777777" w:rsidR="007767E2" w:rsidRDefault="007767E2" w:rsidP="007767E2">
      <w:pPr>
        <w:jc w:val="both"/>
        <w:rPr>
          <w:rFonts w:ascii="Times New Roman" w:hAnsi="Times New Roman" w:cs="Times New Roman"/>
          <w:sz w:val="24"/>
          <w:szCs w:val="24"/>
        </w:rPr>
      </w:pPr>
    </w:p>
    <w:p w14:paraId="257FED84" w14:textId="77777777" w:rsidR="007767E2" w:rsidRDefault="007767E2" w:rsidP="007767E2">
      <w:pPr>
        <w:jc w:val="both"/>
        <w:rPr>
          <w:rFonts w:ascii="Times New Roman" w:hAnsi="Times New Roman" w:cs="Times New Roman"/>
          <w:sz w:val="24"/>
          <w:szCs w:val="24"/>
        </w:rPr>
      </w:pPr>
    </w:p>
    <w:p w14:paraId="37C7A2BE" w14:textId="77777777" w:rsidR="007767E2" w:rsidRDefault="007767E2" w:rsidP="007767E2">
      <w:pPr>
        <w:jc w:val="both"/>
        <w:rPr>
          <w:rFonts w:ascii="Times New Roman" w:hAnsi="Times New Roman" w:cs="Times New Roman"/>
          <w:sz w:val="24"/>
          <w:szCs w:val="24"/>
        </w:rPr>
      </w:pPr>
    </w:p>
    <w:p w14:paraId="00BB18F0" w14:textId="77777777" w:rsidR="007767E2" w:rsidRDefault="007767E2" w:rsidP="007767E2">
      <w:pPr>
        <w:jc w:val="both"/>
        <w:rPr>
          <w:rFonts w:ascii="Times New Roman" w:hAnsi="Times New Roman" w:cs="Times New Roman"/>
          <w:sz w:val="24"/>
          <w:szCs w:val="24"/>
        </w:rPr>
      </w:pPr>
    </w:p>
    <w:p w14:paraId="24B84E5C" w14:textId="77777777" w:rsidR="007767E2" w:rsidRDefault="007767E2" w:rsidP="007767E2">
      <w:pPr>
        <w:jc w:val="both"/>
        <w:rPr>
          <w:rFonts w:ascii="Times New Roman" w:hAnsi="Times New Roman" w:cs="Times New Roman"/>
          <w:sz w:val="24"/>
          <w:szCs w:val="24"/>
        </w:rPr>
      </w:pPr>
    </w:p>
    <w:p w14:paraId="4DA2E87A" w14:textId="77777777" w:rsidR="007767E2" w:rsidRDefault="007767E2" w:rsidP="007767E2">
      <w:pPr>
        <w:jc w:val="both"/>
        <w:rPr>
          <w:rFonts w:ascii="Times New Roman" w:hAnsi="Times New Roman" w:cs="Times New Roman"/>
          <w:sz w:val="24"/>
          <w:szCs w:val="24"/>
        </w:rPr>
      </w:pPr>
    </w:p>
    <w:p w14:paraId="7DBD797B" w14:textId="77777777" w:rsidR="007767E2" w:rsidRDefault="007767E2" w:rsidP="007767E2">
      <w:pPr>
        <w:jc w:val="both"/>
        <w:rPr>
          <w:rFonts w:ascii="Times New Roman" w:hAnsi="Times New Roman" w:cs="Times New Roman"/>
          <w:sz w:val="24"/>
          <w:szCs w:val="24"/>
        </w:rPr>
      </w:pPr>
    </w:p>
    <w:p w14:paraId="68EA4E14" w14:textId="2B3CD1D8" w:rsidR="007767E2" w:rsidRPr="00BA5F62" w:rsidRDefault="004F6B34" w:rsidP="007767E2">
      <w:pPr>
        <w:jc w:val="both"/>
        <w:rPr>
          <w:rFonts w:ascii="Times New Roman" w:hAnsi="Times New Roman" w:cs="Times New Roman"/>
          <w:b/>
          <w:sz w:val="24"/>
          <w:szCs w:val="24"/>
        </w:rPr>
      </w:pPr>
      <w:r w:rsidRPr="00BA5F62">
        <w:rPr>
          <w:rFonts w:ascii="Times New Roman" w:hAnsi="Times New Roman" w:cs="Times New Roman"/>
          <w:b/>
          <w:sz w:val="24"/>
          <w:szCs w:val="24"/>
        </w:rPr>
        <w:t xml:space="preserve">References </w:t>
      </w:r>
    </w:p>
    <w:p w14:paraId="7FC252C4" w14:textId="77777777" w:rsidR="007767E2" w:rsidRPr="0007519B" w:rsidRDefault="007767E2" w:rsidP="007767E2">
      <w:pPr>
        <w:ind w:left="709" w:hanging="851"/>
        <w:jc w:val="both"/>
        <w:rPr>
          <w:rFonts w:ascii="Times New Roman" w:hAnsi="Times New Roman" w:cs="Times New Roman"/>
          <w:sz w:val="24"/>
          <w:szCs w:val="24"/>
        </w:rPr>
      </w:pPr>
      <w:r>
        <w:rPr>
          <w:rFonts w:ascii="Times New Roman" w:hAnsi="Times New Roman" w:cs="Times New Roman"/>
        </w:rPr>
        <w:t xml:space="preserve"> </w:t>
      </w:r>
      <w:r w:rsidRPr="0007519B">
        <w:rPr>
          <w:rFonts w:ascii="Times New Roman" w:hAnsi="Times New Roman" w:cs="Times New Roman"/>
        </w:rPr>
        <w:t xml:space="preserve">Ahmed, F., Usman, M., Ahmed, N., &amp; Fahad, S. (2019). Influence of sulfur and nitrogen application on maize growth and development. </w:t>
      </w:r>
      <w:r w:rsidRPr="0007519B">
        <w:rPr>
          <w:rStyle w:val="Emphasis"/>
          <w:rFonts w:ascii="Times New Roman" w:hAnsi="Times New Roman" w:cs="Times New Roman"/>
        </w:rPr>
        <w:t>Soil Science and Plant Nutrition</w:t>
      </w:r>
      <w:r w:rsidRPr="0007519B">
        <w:rPr>
          <w:rFonts w:ascii="Times New Roman" w:hAnsi="Times New Roman" w:cs="Times New Roman"/>
        </w:rPr>
        <w:t>, 65(2), 169-178. https://doi.org/10.1080/00380768.2019.1576515</w:t>
      </w:r>
    </w:p>
    <w:p w14:paraId="5CEE32EB" w14:textId="77777777" w:rsidR="007767E2" w:rsidRPr="00362FE8" w:rsidRDefault="007767E2" w:rsidP="007767E2">
      <w:pPr>
        <w:ind w:left="709" w:hanging="709"/>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Akintoye, E. A., &amp; Olaniyan, A. B. (2012). </w:t>
      </w:r>
      <w:r w:rsidRPr="00362FE8">
        <w:rPr>
          <w:rStyle w:val="Emphasis"/>
          <w:rFonts w:ascii="Times New Roman" w:hAnsi="Times New Roman" w:cs="Times New Roman"/>
          <w:sz w:val="24"/>
          <w:szCs w:val="24"/>
        </w:rPr>
        <w:t xml:space="preserve">Performance of sweet corn,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 L. </w:t>
      </w:r>
      <w:proofErr w:type="spellStart"/>
      <w:r w:rsidRPr="00362FE8">
        <w:rPr>
          <w:rStyle w:val="Emphasis"/>
          <w:rFonts w:ascii="Times New Roman" w:hAnsi="Times New Roman" w:cs="Times New Roman"/>
          <w:sz w:val="24"/>
          <w:szCs w:val="24"/>
        </w:rPr>
        <w:t>saccharata</w:t>
      </w:r>
      <w:proofErr w:type="spellEnd"/>
      <w:r w:rsidRPr="00362FE8">
        <w:rPr>
          <w:rStyle w:val="Emphasis"/>
          <w:rFonts w:ascii="Times New Roman" w:hAnsi="Times New Roman" w:cs="Times New Roman"/>
          <w:sz w:val="24"/>
          <w:szCs w:val="24"/>
        </w:rPr>
        <w:t xml:space="preserve"> applied with goat manure and Bio-N</w:t>
      </w:r>
      <w:r w:rsidRPr="00362FE8">
        <w:rPr>
          <w:rFonts w:ascii="Times New Roman" w:hAnsi="Times New Roman" w:cs="Times New Roman"/>
          <w:sz w:val="24"/>
          <w:szCs w:val="24"/>
        </w:rPr>
        <w:t>. Journal of Multidisciplinary Scientific Studies, 6(2), 1048. https://doi.org/10.7828/jmds.v6i2.1048</w:t>
      </w:r>
    </w:p>
    <w:p w14:paraId="39245C2E" w14:textId="77777777" w:rsidR="007767E2" w:rsidRPr="0007519B" w:rsidRDefault="007767E2" w:rsidP="007767E2">
      <w:pPr>
        <w:ind w:left="709" w:hanging="709"/>
        <w:jc w:val="both"/>
        <w:rPr>
          <w:rFonts w:ascii="Times New Roman" w:eastAsia="SimSun" w:hAnsi="Times New Roman" w:cs="Times New Roman"/>
          <w:sz w:val="24"/>
          <w:szCs w:val="24"/>
          <w:shd w:val="clear" w:color="auto" w:fill="FFFFFF"/>
        </w:rPr>
      </w:pPr>
      <w:proofErr w:type="spellStart"/>
      <w:r w:rsidRPr="0007519B">
        <w:rPr>
          <w:rFonts w:ascii="Times New Roman" w:eastAsia="SimSun" w:hAnsi="Times New Roman" w:cs="Times New Roman"/>
          <w:sz w:val="24"/>
          <w:szCs w:val="24"/>
          <w:shd w:val="clear" w:color="auto" w:fill="FFFFFF"/>
        </w:rPr>
        <w:t>Amper</w:t>
      </w:r>
      <w:proofErr w:type="spellEnd"/>
      <w:r w:rsidRPr="0007519B">
        <w:rPr>
          <w:rFonts w:ascii="Times New Roman" w:eastAsia="SimSun" w:hAnsi="Times New Roman" w:cs="Times New Roman"/>
          <w:sz w:val="24"/>
          <w:szCs w:val="24"/>
          <w:shd w:val="clear" w:color="auto" w:fill="FFFFFF"/>
        </w:rPr>
        <w:t>, Z. H. S., Eugenio, A. R., Bacon, P. M., &amp; Bonita, B. (2018). Subsistence oriented corn production in Cebu: contrasting local knowledge and development perspectives. </w:t>
      </w:r>
      <w:proofErr w:type="spellStart"/>
      <w:r w:rsidRPr="0007519B">
        <w:rPr>
          <w:rFonts w:ascii="Times New Roman" w:eastAsia="SimSun" w:hAnsi="Times New Roman" w:cs="Times New Roman"/>
          <w:i/>
          <w:iCs/>
          <w:sz w:val="24"/>
          <w:szCs w:val="24"/>
          <w:shd w:val="clear" w:color="auto" w:fill="FFFFFF"/>
        </w:rPr>
        <w:t>Aghamtao</w:t>
      </w:r>
      <w:proofErr w:type="spellEnd"/>
      <w:r w:rsidRPr="0007519B">
        <w:rPr>
          <w:rFonts w:ascii="Times New Roman" w:eastAsia="SimSun" w:hAnsi="Times New Roman" w:cs="Times New Roman"/>
          <w:i/>
          <w:iCs/>
          <w:sz w:val="24"/>
          <w:szCs w:val="24"/>
          <w:shd w:val="clear" w:color="auto" w:fill="FFFFFF"/>
        </w:rPr>
        <w:t xml:space="preserve"> J</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26</w:t>
      </w:r>
      <w:r w:rsidRPr="0007519B">
        <w:rPr>
          <w:rFonts w:ascii="Times New Roman" w:eastAsia="SimSun" w:hAnsi="Times New Roman" w:cs="Times New Roman"/>
          <w:sz w:val="24"/>
          <w:szCs w:val="24"/>
          <w:shd w:val="clear" w:color="auto" w:fill="FFFFFF"/>
        </w:rPr>
        <w:t>, 75-93.</w:t>
      </w:r>
    </w:p>
    <w:p w14:paraId="42F11F63" w14:textId="77777777" w:rsidR="007767E2" w:rsidRPr="0007519B" w:rsidRDefault="007767E2" w:rsidP="007767E2">
      <w:pPr>
        <w:ind w:left="709" w:hanging="709"/>
        <w:jc w:val="both"/>
        <w:rPr>
          <w:rFonts w:ascii="Times New Roman" w:eastAsia="SimSun" w:hAnsi="Times New Roman" w:cs="Times New Roman"/>
          <w:sz w:val="24"/>
          <w:szCs w:val="24"/>
        </w:rPr>
      </w:pPr>
      <w:r w:rsidRPr="0007519B">
        <w:rPr>
          <w:rFonts w:ascii="Times New Roman" w:eastAsia="SimSun" w:hAnsi="Times New Roman" w:cs="Times New Roman"/>
          <w:sz w:val="24"/>
          <w:szCs w:val="24"/>
        </w:rPr>
        <w:t xml:space="preserve">Andrade, F. H., </w:t>
      </w:r>
      <w:proofErr w:type="spellStart"/>
      <w:r w:rsidRPr="0007519B">
        <w:rPr>
          <w:rFonts w:ascii="Times New Roman" w:eastAsia="SimSun" w:hAnsi="Times New Roman" w:cs="Times New Roman"/>
          <w:sz w:val="24"/>
          <w:szCs w:val="24"/>
        </w:rPr>
        <w:t>Calviño</w:t>
      </w:r>
      <w:proofErr w:type="spellEnd"/>
      <w:r w:rsidRPr="0007519B">
        <w:rPr>
          <w:rFonts w:ascii="Times New Roman" w:eastAsia="SimSun" w:hAnsi="Times New Roman" w:cs="Times New Roman"/>
          <w:sz w:val="24"/>
          <w:szCs w:val="24"/>
        </w:rPr>
        <w:t xml:space="preserve">, P., Cirilo, A., &amp; Barbieri, P. (2002). Yield responses to narrow rows depend on increased radiation interception. </w:t>
      </w:r>
      <w:r w:rsidRPr="0007519B">
        <w:rPr>
          <w:rStyle w:val="Emphasis"/>
          <w:rFonts w:ascii="Times New Roman" w:eastAsia="SimSun" w:hAnsi="Times New Roman" w:cs="Times New Roman"/>
          <w:sz w:val="24"/>
          <w:szCs w:val="24"/>
        </w:rPr>
        <w:t>Agronomy Journal</w:t>
      </w:r>
      <w:r w:rsidRPr="0007519B">
        <w:rPr>
          <w:rFonts w:ascii="Times New Roman" w:eastAsia="SimSun" w:hAnsi="Times New Roman" w:cs="Times New Roman"/>
          <w:sz w:val="24"/>
          <w:szCs w:val="24"/>
        </w:rPr>
        <w:t>, 94(5), 975-980.</w:t>
      </w:r>
    </w:p>
    <w:p w14:paraId="374DE82A"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lastRenderedPageBreak/>
        <w:t xml:space="preserve">Azeem, M., </w:t>
      </w:r>
      <w:proofErr w:type="spellStart"/>
      <w:r w:rsidRPr="00362FE8">
        <w:rPr>
          <w:rFonts w:ascii="Times New Roman" w:hAnsi="Times New Roman" w:cs="Times New Roman"/>
          <w:sz w:val="24"/>
          <w:szCs w:val="24"/>
        </w:rPr>
        <w:t>Kuzyakov</w:t>
      </w:r>
      <w:proofErr w:type="spellEnd"/>
      <w:r w:rsidRPr="00362FE8">
        <w:rPr>
          <w:rFonts w:ascii="Times New Roman" w:hAnsi="Times New Roman" w:cs="Times New Roman"/>
          <w:sz w:val="24"/>
          <w:szCs w:val="24"/>
        </w:rPr>
        <w:t xml:space="preserve">, Y., &amp; Xiao, B. (2019). Effects of nitrogen fertilizers on crop yield, potassium uptake, and soil potassium dynamics: A review. </w:t>
      </w:r>
      <w:r w:rsidRPr="00362FE8">
        <w:rPr>
          <w:rStyle w:val="Emphasis"/>
          <w:rFonts w:ascii="Times New Roman" w:hAnsi="Times New Roman" w:cs="Times New Roman"/>
          <w:sz w:val="24"/>
          <w:szCs w:val="24"/>
        </w:rPr>
        <w:t>Agriculture, Ecosystems &amp; Environment, 276,</w:t>
      </w:r>
      <w:r w:rsidRPr="00362FE8">
        <w:rPr>
          <w:rFonts w:ascii="Times New Roman" w:hAnsi="Times New Roman" w:cs="Times New Roman"/>
          <w:sz w:val="24"/>
          <w:szCs w:val="24"/>
        </w:rPr>
        <w:t xml:space="preserve"> 95-105. https://doi.org/10.xxxx</w:t>
      </w:r>
    </w:p>
    <w:p w14:paraId="42D06CDF" w14:textId="77777777" w:rsidR="007767E2" w:rsidRPr="0007519B" w:rsidRDefault="007767E2" w:rsidP="007767E2">
      <w:pPr>
        <w:ind w:left="709" w:hanging="709"/>
        <w:jc w:val="both"/>
        <w:rPr>
          <w:rFonts w:ascii="Times New Roman" w:hAnsi="Times New Roman" w:cs="Times New Roman"/>
          <w:sz w:val="24"/>
          <w:szCs w:val="24"/>
        </w:rPr>
      </w:pPr>
      <w:r w:rsidRPr="00362FE8">
        <w:rPr>
          <w:rFonts w:ascii="Times New Roman" w:hAnsi="Times New Roman" w:cs="Times New Roman"/>
          <w:sz w:val="24"/>
          <w:szCs w:val="24"/>
        </w:rPr>
        <w:t xml:space="preserve">Barak, P. (2016). Long-term effects of nitrogen fertilizers on soil acidity. </w:t>
      </w:r>
      <w:r w:rsidRPr="00362FE8">
        <w:rPr>
          <w:rStyle w:val="Emphasis"/>
          <w:rFonts w:ascii="Times New Roman" w:hAnsi="Times New Roman" w:cs="Times New Roman"/>
          <w:sz w:val="24"/>
          <w:szCs w:val="24"/>
        </w:rPr>
        <w:t>University of Wisconsin Extension</w:t>
      </w:r>
      <w:r w:rsidRPr="00362FE8">
        <w:rPr>
          <w:rFonts w:ascii="Times New Roman" w:hAnsi="Times New Roman" w:cs="Times New Roman"/>
          <w:sz w:val="24"/>
          <w:szCs w:val="24"/>
        </w:rPr>
        <w:t>. Retrieved from https://extension.soils.wisc.edu/wp-content/uploads/sites/68/2016/06/2A.barak_.pdf</w:t>
      </w:r>
    </w:p>
    <w:p w14:paraId="50ED8A24" w14:textId="77777777" w:rsidR="007767E2" w:rsidRPr="00362FE8" w:rsidRDefault="007767E2" w:rsidP="007767E2">
      <w:pPr>
        <w:ind w:left="709" w:hanging="709"/>
        <w:jc w:val="both"/>
        <w:rPr>
          <w:rFonts w:ascii="Times New Roman" w:hAnsi="Times New Roman" w:cs="Times New Roman"/>
          <w:sz w:val="28"/>
          <w:szCs w:val="28"/>
        </w:rPr>
      </w:pPr>
      <w:proofErr w:type="spellStart"/>
      <w:r w:rsidRPr="00362FE8">
        <w:rPr>
          <w:rFonts w:ascii="Times New Roman" w:hAnsi="Times New Roman" w:cs="Times New Roman"/>
          <w:sz w:val="24"/>
          <w:szCs w:val="24"/>
        </w:rPr>
        <w:t>Barcauskaite</w:t>
      </w:r>
      <w:proofErr w:type="spellEnd"/>
      <w:r w:rsidRPr="00362FE8">
        <w:rPr>
          <w:rFonts w:ascii="Times New Roman" w:hAnsi="Times New Roman" w:cs="Times New Roman"/>
          <w:sz w:val="24"/>
          <w:szCs w:val="24"/>
        </w:rPr>
        <w:t xml:space="preserve">, K., </w:t>
      </w:r>
      <w:proofErr w:type="spellStart"/>
      <w:r w:rsidRPr="00362FE8">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S., </w:t>
      </w:r>
      <w:proofErr w:type="spellStart"/>
      <w:r w:rsidRPr="00362FE8">
        <w:rPr>
          <w:rFonts w:ascii="Times New Roman" w:hAnsi="Times New Roman" w:cs="Times New Roman"/>
          <w:sz w:val="24"/>
          <w:szCs w:val="24"/>
        </w:rPr>
        <w:t>Mažeika</w:t>
      </w:r>
      <w:proofErr w:type="spellEnd"/>
      <w:r w:rsidRPr="00362FE8">
        <w:rPr>
          <w:rFonts w:ascii="Times New Roman" w:hAnsi="Times New Roman" w:cs="Times New Roman"/>
          <w:sz w:val="24"/>
          <w:szCs w:val="24"/>
        </w:rPr>
        <w:t xml:space="preserve">, R., </w:t>
      </w:r>
      <w:proofErr w:type="spellStart"/>
      <w:r w:rsidRPr="00362FE8">
        <w:rPr>
          <w:rFonts w:ascii="Times New Roman" w:hAnsi="Times New Roman" w:cs="Times New Roman"/>
          <w:sz w:val="24"/>
          <w:szCs w:val="24"/>
        </w:rPr>
        <w:t>Baltrusaitis</w:t>
      </w:r>
      <w:proofErr w:type="spellEnd"/>
      <w:r w:rsidRPr="00362FE8">
        <w:rPr>
          <w:rFonts w:ascii="Times New Roman" w:hAnsi="Times New Roman" w:cs="Times New Roman"/>
          <w:sz w:val="24"/>
          <w:szCs w:val="24"/>
        </w:rPr>
        <w:t xml:space="preserve">, J., &amp; </w:t>
      </w:r>
      <w:proofErr w:type="spellStart"/>
      <w:r w:rsidRPr="00362FE8">
        <w:rPr>
          <w:rFonts w:ascii="Times New Roman" w:hAnsi="Times New Roman" w:cs="Times New Roman"/>
          <w:sz w:val="24"/>
          <w:szCs w:val="24"/>
        </w:rPr>
        <w:t>Drapanauskaitė</w:t>
      </w:r>
      <w:proofErr w:type="spellEnd"/>
      <w:r w:rsidRPr="00362FE8">
        <w:rPr>
          <w:rFonts w:ascii="Times New Roman" w:hAnsi="Times New Roman" w:cs="Times New Roman"/>
          <w:sz w:val="24"/>
          <w:szCs w:val="24"/>
        </w:rPr>
        <w:t xml:space="preserve">, D. (2024). </w:t>
      </w:r>
      <w:r w:rsidRPr="00362FE8">
        <w:rPr>
          <w:rStyle w:val="Emphasis"/>
          <w:rFonts w:ascii="Times New Roman" w:hAnsi="Times New Roman" w:cs="Times New Roman"/>
          <w:sz w:val="24"/>
          <w:szCs w:val="24"/>
        </w:rPr>
        <w:t>Review: Modified urea fertilizers and their effects on improving nitrogen use efficiency (NUE)</w:t>
      </w:r>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Sustainability</w:t>
      </w:r>
      <w:r w:rsidRPr="00362FE8">
        <w:rPr>
          <w:rFonts w:ascii="Times New Roman" w:hAnsi="Times New Roman" w:cs="Times New Roman"/>
          <w:sz w:val="24"/>
          <w:szCs w:val="24"/>
        </w:rPr>
        <w:t>, 16(1), 188. https://doi.org/10.3390/su16010188</w:t>
      </w:r>
    </w:p>
    <w:p w14:paraId="43D96CD5" w14:textId="77777777" w:rsidR="007767E2" w:rsidRPr="0007519B" w:rsidRDefault="007767E2" w:rsidP="007767E2">
      <w:pPr>
        <w:ind w:left="851" w:hanging="851"/>
        <w:jc w:val="both"/>
        <w:rPr>
          <w:rFonts w:ascii="Times New Roman" w:eastAsia="SimSun" w:hAnsi="Times New Roman" w:cs="Times New Roman"/>
          <w:sz w:val="24"/>
          <w:szCs w:val="24"/>
        </w:rPr>
      </w:pPr>
      <w:r w:rsidRPr="0007519B">
        <w:rPr>
          <w:rFonts w:ascii="Times New Roman" w:eastAsia="SimSun" w:hAnsi="Times New Roman" w:cs="Times New Roman"/>
          <w:sz w:val="24"/>
          <w:szCs w:val="24"/>
        </w:rPr>
        <w:t xml:space="preserve">Bouma, T. J., Nielsen, K. L., </w:t>
      </w:r>
      <w:proofErr w:type="spellStart"/>
      <w:r w:rsidRPr="0007519B">
        <w:rPr>
          <w:rFonts w:ascii="Times New Roman" w:eastAsia="SimSun" w:hAnsi="Times New Roman" w:cs="Times New Roman"/>
          <w:sz w:val="24"/>
          <w:szCs w:val="24"/>
        </w:rPr>
        <w:t>Eissenstat</w:t>
      </w:r>
      <w:proofErr w:type="spellEnd"/>
      <w:r w:rsidRPr="0007519B">
        <w:rPr>
          <w:rFonts w:ascii="Times New Roman" w:eastAsia="SimSun" w:hAnsi="Times New Roman" w:cs="Times New Roman"/>
          <w:sz w:val="24"/>
          <w:szCs w:val="24"/>
        </w:rPr>
        <w:t xml:space="preserve">, D. M., &amp; Lynch, J. P. (2000). Estimating respiration of roots in soil: Interactions with soil CO₂, soil temperature and soil water content. </w:t>
      </w:r>
      <w:r w:rsidRPr="0007519B">
        <w:rPr>
          <w:rStyle w:val="Emphasis"/>
          <w:rFonts w:ascii="Times New Roman" w:eastAsia="SimSun" w:hAnsi="Times New Roman" w:cs="Times New Roman"/>
          <w:sz w:val="24"/>
          <w:szCs w:val="24"/>
        </w:rPr>
        <w:t>Plant and Soil</w:t>
      </w:r>
      <w:r w:rsidRPr="0007519B">
        <w:rPr>
          <w:rFonts w:ascii="Times New Roman" w:eastAsia="SimSun" w:hAnsi="Times New Roman" w:cs="Times New Roman"/>
          <w:sz w:val="24"/>
          <w:szCs w:val="24"/>
        </w:rPr>
        <w:t>, 227(1), 215-232.</w:t>
      </w:r>
    </w:p>
    <w:p w14:paraId="0730F47C" w14:textId="77777777" w:rsidR="007767E2" w:rsidRPr="0007519B"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t xml:space="preserve">Brady, N. C., &amp; Weil, R. R. (2017). </w:t>
      </w:r>
      <w:r w:rsidRPr="00362FE8">
        <w:rPr>
          <w:rStyle w:val="Emphasis"/>
          <w:rFonts w:ascii="Times New Roman" w:hAnsi="Times New Roman" w:cs="Times New Roman"/>
          <w:sz w:val="24"/>
          <w:szCs w:val="24"/>
        </w:rPr>
        <w:t>The Nature and Properties of Soils</w:t>
      </w:r>
      <w:r w:rsidRPr="00362FE8">
        <w:rPr>
          <w:rFonts w:ascii="Times New Roman" w:hAnsi="Times New Roman" w:cs="Times New Roman"/>
          <w:sz w:val="24"/>
          <w:szCs w:val="24"/>
        </w:rPr>
        <w:t xml:space="preserve"> (15th ed.). Pearson Education.</w:t>
      </w:r>
    </w:p>
    <w:p w14:paraId="7C1FE8FF" w14:textId="77777777" w:rsidR="007767E2" w:rsidRPr="00362FE8" w:rsidRDefault="007767E2" w:rsidP="007767E2">
      <w:pPr>
        <w:spacing w:after="0"/>
        <w:ind w:left="851" w:hanging="851"/>
        <w:jc w:val="both"/>
        <w:rPr>
          <w:rFonts w:ascii="Times New Roman" w:hAnsi="Times New Roman" w:cs="Times New Roman"/>
          <w:sz w:val="28"/>
          <w:szCs w:val="28"/>
        </w:rPr>
      </w:pPr>
    </w:p>
    <w:p w14:paraId="6F3A886D" w14:textId="77777777" w:rsidR="007767E2" w:rsidRPr="0007519B" w:rsidRDefault="007767E2" w:rsidP="007767E2">
      <w:pPr>
        <w:spacing w:after="0"/>
        <w:ind w:left="851" w:hanging="851"/>
        <w:jc w:val="both"/>
        <w:rPr>
          <w:rFonts w:ascii="Times New Roman" w:hAnsi="Times New Roman" w:cs="Times New Roman"/>
          <w:sz w:val="24"/>
          <w:szCs w:val="24"/>
        </w:rPr>
      </w:pPr>
      <w:proofErr w:type="spellStart"/>
      <w:r w:rsidRPr="00362FE8">
        <w:rPr>
          <w:rFonts w:ascii="Times New Roman" w:hAnsi="Times New Roman" w:cs="Times New Roman"/>
          <w:sz w:val="24"/>
          <w:szCs w:val="24"/>
        </w:rPr>
        <w:t>Canarini</w:t>
      </w:r>
      <w:proofErr w:type="spellEnd"/>
      <w:r w:rsidRPr="00362FE8">
        <w:rPr>
          <w:rFonts w:ascii="Times New Roman" w:hAnsi="Times New Roman" w:cs="Times New Roman"/>
          <w:sz w:val="24"/>
          <w:szCs w:val="24"/>
        </w:rPr>
        <w:t xml:space="preserve">, A., Kaiser, C., Merchant, A., Richter, A., &amp; </w:t>
      </w:r>
      <w:proofErr w:type="spellStart"/>
      <w:r w:rsidRPr="00362FE8">
        <w:rPr>
          <w:rFonts w:ascii="Times New Roman" w:hAnsi="Times New Roman" w:cs="Times New Roman"/>
          <w:sz w:val="24"/>
          <w:szCs w:val="24"/>
        </w:rPr>
        <w:t>Wanek</w:t>
      </w:r>
      <w:proofErr w:type="spellEnd"/>
      <w:r w:rsidRPr="00362FE8">
        <w:rPr>
          <w:rFonts w:ascii="Times New Roman" w:hAnsi="Times New Roman" w:cs="Times New Roman"/>
          <w:sz w:val="24"/>
          <w:szCs w:val="24"/>
        </w:rPr>
        <w:t xml:space="preserve">, W. (2019). Root exudation of primary metabolites: Mechanisms and their roles in plant responses to environmental stimuli. </w:t>
      </w:r>
      <w:r w:rsidRPr="00362FE8">
        <w:rPr>
          <w:rStyle w:val="Emphasis"/>
          <w:rFonts w:ascii="Times New Roman" w:hAnsi="Times New Roman" w:cs="Times New Roman"/>
          <w:sz w:val="24"/>
          <w:szCs w:val="24"/>
        </w:rPr>
        <w:t>Frontiers in Plant Science, 10</w:t>
      </w:r>
      <w:r w:rsidRPr="00362FE8">
        <w:rPr>
          <w:rFonts w:ascii="Times New Roman" w:hAnsi="Times New Roman" w:cs="Times New Roman"/>
          <w:sz w:val="24"/>
          <w:szCs w:val="24"/>
        </w:rPr>
        <w:t>, 157</w:t>
      </w:r>
      <w:r w:rsidRPr="00362FE8">
        <w:rPr>
          <w:rFonts w:ascii="Times New Roman" w:hAnsi="Times New Roman" w:cs="Times New Roman"/>
          <w:color w:val="000000" w:themeColor="text1"/>
          <w:sz w:val="24"/>
          <w:szCs w:val="24"/>
        </w:rPr>
        <w:t xml:space="preserve">. </w:t>
      </w:r>
      <w:hyperlink r:id="rId7" w:history="1">
        <w:r w:rsidRPr="00362FE8">
          <w:rPr>
            <w:rStyle w:val="Hyperlink"/>
            <w:rFonts w:ascii="Times New Roman" w:hAnsi="Times New Roman" w:cs="Times New Roman"/>
            <w:color w:val="000000" w:themeColor="text1"/>
            <w:sz w:val="24"/>
            <w:szCs w:val="24"/>
          </w:rPr>
          <w:t>https://doi.org/10.3389/fpls.2019.00157</w:t>
        </w:r>
      </w:hyperlink>
    </w:p>
    <w:p w14:paraId="3390BF4D" w14:textId="77777777" w:rsidR="007767E2" w:rsidRPr="00362FE8" w:rsidRDefault="007767E2" w:rsidP="007767E2">
      <w:pPr>
        <w:spacing w:after="0"/>
        <w:ind w:left="851" w:hanging="851"/>
        <w:jc w:val="both"/>
        <w:rPr>
          <w:rFonts w:ascii="Times New Roman" w:hAnsi="Times New Roman" w:cs="Times New Roman"/>
          <w:sz w:val="24"/>
          <w:szCs w:val="24"/>
        </w:rPr>
      </w:pPr>
    </w:p>
    <w:p w14:paraId="5307B0A2" w14:textId="77777777" w:rsidR="007767E2" w:rsidRPr="00E40CA6" w:rsidRDefault="007767E2" w:rsidP="007767E2">
      <w:pPr>
        <w:spacing w:after="0"/>
        <w:ind w:left="851" w:hanging="851"/>
        <w:jc w:val="both"/>
        <w:rPr>
          <w:rStyle w:val="Hyperlink"/>
          <w:rFonts w:ascii="Times New Roman" w:hAnsi="Times New Roman" w:cs="Times New Roman"/>
          <w:sz w:val="24"/>
          <w:szCs w:val="24"/>
          <w:lang w:val="de-CH"/>
        </w:rPr>
      </w:pPr>
      <w:r w:rsidRPr="0007519B">
        <w:rPr>
          <w:rFonts w:ascii="Times New Roman" w:hAnsi="Times New Roman" w:cs="Times New Roman"/>
          <w:sz w:val="24"/>
          <w:szCs w:val="24"/>
        </w:rPr>
        <w:t xml:space="preserve">Chen, X., Yang, Z., Huang, Q., &amp; Zhang, Y. (2018). Effects of nitrogen fertilizer types on growth, yield, and nitrogen use efficiency in maize. </w:t>
      </w:r>
      <w:r w:rsidRPr="00E40CA6">
        <w:rPr>
          <w:rStyle w:val="Emphasis"/>
          <w:rFonts w:ascii="Times New Roman" w:hAnsi="Times New Roman" w:cs="Times New Roman"/>
          <w:sz w:val="24"/>
          <w:szCs w:val="24"/>
          <w:lang w:val="de-CH"/>
        </w:rPr>
        <w:t>Field Crops Research</w:t>
      </w:r>
      <w:r w:rsidRPr="00E40CA6">
        <w:rPr>
          <w:rFonts w:ascii="Times New Roman" w:hAnsi="Times New Roman" w:cs="Times New Roman"/>
          <w:sz w:val="24"/>
          <w:szCs w:val="24"/>
          <w:lang w:val="de-CH"/>
        </w:rPr>
        <w:t xml:space="preserve">, 222, 105-112. </w:t>
      </w:r>
      <w:hyperlink r:id="rId8" w:history="1">
        <w:r w:rsidRPr="00E40CA6">
          <w:rPr>
            <w:rStyle w:val="Hyperlink"/>
            <w:rFonts w:ascii="Times New Roman" w:hAnsi="Times New Roman" w:cs="Times New Roman"/>
            <w:color w:val="000000" w:themeColor="text1"/>
            <w:sz w:val="24"/>
            <w:szCs w:val="24"/>
            <w:lang w:val="de-CH"/>
          </w:rPr>
          <w:t>https://doi.org/10.1016/j.fcr.2018.03.020</w:t>
        </w:r>
      </w:hyperlink>
    </w:p>
    <w:p w14:paraId="69101183" w14:textId="77777777" w:rsidR="007767E2" w:rsidRPr="00E40CA6" w:rsidRDefault="007767E2" w:rsidP="007767E2">
      <w:pPr>
        <w:spacing w:after="0"/>
        <w:ind w:left="851" w:hanging="851"/>
        <w:jc w:val="both"/>
        <w:rPr>
          <w:lang w:val="de-CH"/>
        </w:rPr>
      </w:pPr>
      <w:r w:rsidRPr="00E40CA6">
        <w:rPr>
          <w:lang w:val="de-CH"/>
        </w:rPr>
        <w:t xml:space="preserve"> </w:t>
      </w:r>
    </w:p>
    <w:p w14:paraId="287CC68D" w14:textId="77777777" w:rsidR="007767E2" w:rsidRPr="00362FE8" w:rsidRDefault="007767E2" w:rsidP="007767E2">
      <w:pPr>
        <w:spacing w:after="0"/>
        <w:ind w:left="851" w:hanging="851"/>
        <w:jc w:val="both"/>
        <w:rPr>
          <w:rFonts w:ascii="Times New Roman" w:hAnsi="Times New Roman" w:cs="Times New Roman"/>
          <w:sz w:val="24"/>
          <w:szCs w:val="24"/>
        </w:rPr>
      </w:pPr>
      <w:r w:rsidRPr="00E40CA6">
        <w:rPr>
          <w:rStyle w:val="Strong"/>
          <w:rFonts w:ascii="Times New Roman" w:hAnsi="Times New Roman"/>
          <w:b w:val="0"/>
          <w:bCs w:val="0"/>
          <w:sz w:val="24"/>
          <w:szCs w:val="24"/>
          <w:lang w:val="de-CH"/>
        </w:rPr>
        <w:t>Chen, Q., Qu, Z., Li, Z., Zhang, Z., Ma, G., Liu, Z., Wang, Y., Wu, L., Fang, F., &amp; Wei, Z. (2021).</w:t>
      </w:r>
      <w:r w:rsidRPr="00E40CA6">
        <w:rPr>
          <w:rFonts w:ascii="Times New Roman" w:hAnsi="Times New Roman" w:cs="Times New Roman"/>
          <w:sz w:val="24"/>
          <w:szCs w:val="24"/>
          <w:lang w:val="de-CH"/>
        </w:rPr>
        <w:t xml:space="preserve"> </w:t>
      </w:r>
      <w:r w:rsidRPr="00362FE8">
        <w:rPr>
          <w:rFonts w:ascii="Times New Roman" w:hAnsi="Times New Roman" w:cs="Times New Roman"/>
          <w:sz w:val="24"/>
          <w:szCs w:val="24"/>
        </w:rPr>
        <w:t xml:space="preserve">Coated diammonium phosphate combined with humic acid improves soil phosphorus availability and photosynthesis and the yield of maize. </w:t>
      </w:r>
      <w:r w:rsidRPr="00362FE8">
        <w:rPr>
          <w:rStyle w:val="Emphasis"/>
          <w:rFonts w:ascii="Times New Roman" w:hAnsi="Times New Roman" w:cs="Times New Roman"/>
          <w:sz w:val="24"/>
          <w:szCs w:val="24"/>
        </w:rPr>
        <w:t>Frontiers in Plant Science, 12</w:t>
      </w:r>
      <w:r w:rsidRPr="00362FE8">
        <w:rPr>
          <w:rFonts w:ascii="Times New Roman" w:hAnsi="Times New Roman" w:cs="Times New Roman"/>
          <w:sz w:val="24"/>
          <w:szCs w:val="24"/>
        </w:rPr>
        <w:t>, 759929. https://doi.org/10.3389/fpls.2021.759929</w:t>
      </w:r>
    </w:p>
    <w:p w14:paraId="55D9E1A5" w14:textId="77777777" w:rsidR="007767E2" w:rsidRPr="0007519B" w:rsidRDefault="007767E2" w:rsidP="007767E2">
      <w:pPr>
        <w:spacing w:after="0"/>
        <w:ind w:left="851" w:hanging="851"/>
        <w:jc w:val="both"/>
      </w:pPr>
    </w:p>
    <w:p w14:paraId="22B2494A" w14:textId="77777777" w:rsidR="007767E2" w:rsidRPr="00362FE8" w:rsidRDefault="007767E2" w:rsidP="007767E2">
      <w:pPr>
        <w:spacing w:after="0"/>
        <w:ind w:left="851" w:hanging="851"/>
        <w:jc w:val="both"/>
        <w:rPr>
          <w:rFonts w:ascii="Times New Roman" w:hAnsi="Times New Roman" w:cs="Times New Roman"/>
          <w:sz w:val="24"/>
          <w:szCs w:val="24"/>
        </w:rPr>
      </w:pPr>
      <w:r w:rsidRPr="00362FE8">
        <w:rPr>
          <w:rFonts w:ascii="Times New Roman" w:hAnsi="Times New Roman" w:cs="Times New Roman"/>
          <w:sz w:val="24"/>
          <w:szCs w:val="24"/>
        </w:rPr>
        <w:t xml:space="preserve">Chien, S. H., Gearhart, M., &amp; </w:t>
      </w:r>
      <w:proofErr w:type="spellStart"/>
      <w:r w:rsidRPr="00362FE8">
        <w:rPr>
          <w:rFonts w:ascii="Times New Roman" w:hAnsi="Times New Roman" w:cs="Times New Roman"/>
          <w:sz w:val="24"/>
          <w:szCs w:val="24"/>
        </w:rPr>
        <w:t>Villagarcia</w:t>
      </w:r>
      <w:proofErr w:type="spellEnd"/>
      <w:r w:rsidRPr="00362FE8">
        <w:rPr>
          <w:rFonts w:ascii="Times New Roman" w:hAnsi="Times New Roman" w:cs="Times New Roman"/>
          <w:sz w:val="24"/>
          <w:szCs w:val="24"/>
        </w:rPr>
        <w:t xml:space="preserve">, S. (2008). Comparison of ammonium sulfate with other nitrogen and sulfur fertilizers in increasing crop production and minimizing environmental impact: A review. </w:t>
      </w:r>
      <w:r w:rsidRPr="00362FE8">
        <w:rPr>
          <w:rStyle w:val="Emphasis"/>
          <w:rFonts w:ascii="Times New Roman" w:hAnsi="Times New Roman" w:cs="Times New Roman"/>
          <w:sz w:val="24"/>
          <w:szCs w:val="24"/>
        </w:rPr>
        <w:t>Soil Science</w:t>
      </w:r>
      <w:r w:rsidRPr="00362FE8">
        <w:rPr>
          <w:rFonts w:ascii="Times New Roman" w:hAnsi="Times New Roman" w:cs="Times New Roman"/>
          <w:sz w:val="24"/>
          <w:szCs w:val="24"/>
        </w:rPr>
        <w:t xml:space="preserve">. Retrieved from </w:t>
      </w:r>
      <w:proofErr w:type="spellStart"/>
      <w:r w:rsidRPr="00362FE8">
        <w:rPr>
          <w:rFonts w:ascii="Times New Roman" w:hAnsi="Times New Roman" w:cs="Times New Roman"/>
          <w:sz w:val="24"/>
          <w:szCs w:val="24"/>
        </w:rPr>
        <w:t>AdvanSix</w:t>
      </w:r>
      <w:proofErr w:type="spellEnd"/>
      <w:r w:rsidRPr="00362FE8">
        <w:rPr>
          <w:rFonts w:ascii="Times New Roman" w:hAnsi="Times New Roman" w:cs="Times New Roman"/>
          <w:sz w:val="24"/>
          <w:szCs w:val="24"/>
        </w:rPr>
        <w:t>.</w:t>
      </w:r>
    </w:p>
    <w:p w14:paraId="2CB26743" w14:textId="77777777" w:rsidR="007767E2" w:rsidRPr="00362FE8" w:rsidRDefault="007767E2" w:rsidP="007767E2">
      <w:pPr>
        <w:spacing w:after="0"/>
        <w:ind w:left="851" w:hanging="851"/>
        <w:jc w:val="both"/>
        <w:rPr>
          <w:rFonts w:ascii="Times New Roman" w:hAnsi="Times New Roman" w:cs="Times New Roman"/>
          <w:sz w:val="24"/>
          <w:szCs w:val="24"/>
        </w:rPr>
      </w:pPr>
    </w:p>
    <w:p w14:paraId="533044D7" w14:textId="77777777" w:rsidR="007767E2" w:rsidRPr="00362FE8" w:rsidRDefault="007767E2" w:rsidP="007767E2">
      <w:pPr>
        <w:spacing w:after="0"/>
        <w:ind w:left="851" w:hanging="851"/>
        <w:jc w:val="both"/>
        <w:rPr>
          <w:rFonts w:ascii="Times New Roman" w:hAnsi="Times New Roman" w:cs="Times New Roman"/>
          <w:sz w:val="28"/>
          <w:szCs w:val="28"/>
        </w:rPr>
      </w:pPr>
      <w:r w:rsidRPr="00362FE8">
        <w:rPr>
          <w:rFonts w:ascii="Times New Roman" w:hAnsi="Times New Roman" w:cs="Times New Roman"/>
          <w:sz w:val="24"/>
          <w:szCs w:val="24"/>
        </w:rPr>
        <w:t>Choudhary, M., &amp; Kumar, R. (2018). Effect of nitrogen and phosphorus fertilization on growth and yield of maize (</w:t>
      </w:r>
      <w:proofErr w:type="spellStart"/>
      <w:r w:rsidRPr="00362FE8">
        <w:rPr>
          <w:rFonts w:ascii="Times New Roman" w:hAnsi="Times New Roman" w:cs="Times New Roman"/>
          <w:sz w:val="24"/>
          <w:szCs w:val="24"/>
        </w:rPr>
        <w:t>Zea</w:t>
      </w:r>
      <w:proofErr w:type="spellEnd"/>
      <w:r w:rsidRPr="00362FE8">
        <w:rPr>
          <w:rFonts w:ascii="Times New Roman" w:hAnsi="Times New Roman" w:cs="Times New Roman"/>
          <w:sz w:val="24"/>
          <w:szCs w:val="24"/>
        </w:rPr>
        <w:t xml:space="preserve"> mays L.). </w:t>
      </w:r>
      <w:r w:rsidRPr="00362FE8">
        <w:rPr>
          <w:rStyle w:val="Emphasis"/>
          <w:rFonts w:ascii="Times New Roman" w:hAnsi="Times New Roman" w:cs="Times New Roman"/>
          <w:sz w:val="24"/>
          <w:szCs w:val="24"/>
        </w:rPr>
        <w:t>International Journal of Current Microbiology and Applied Sciences, 7</w:t>
      </w:r>
      <w:r w:rsidRPr="00362FE8">
        <w:rPr>
          <w:rFonts w:ascii="Times New Roman" w:hAnsi="Times New Roman" w:cs="Times New Roman"/>
          <w:sz w:val="24"/>
          <w:szCs w:val="24"/>
        </w:rPr>
        <w:t>(4), 1169-1175. DOI: 10.20546/ijcmas.2018.704.129</w:t>
      </w:r>
    </w:p>
    <w:p w14:paraId="7DCDBB3A" w14:textId="77777777" w:rsidR="007767E2" w:rsidRPr="0007519B" w:rsidRDefault="007767E2" w:rsidP="007767E2">
      <w:pPr>
        <w:spacing w:after="0"/>
        <w:jc w:val="both"/>
        <w:rPr>
          <w:rFonts w:ascii="Times New Roman" w:hAnsi="Times New Roman" w:cs="Times New Roman"/>
          <w:sz w:val="24"/>
          <w:szCs w:val="24"/>
        </w:rPr>
      </w:pPr>
    </w:p>
    <w:p w14:paraId="58949914" w14:textId="77777777" w:rsidR="007767E2" w:rsidRPr="0007519B" w:rsidRDefault="007767E2" w:rsidP="007767E2">
      <w:pPr>
        <w:spacing w:after="0"/>
        <w:ind w:left="851" w:hanging="851"/>
        <w:jc w:val="both"/>
        <w:rPr>
          <w:rStyle w:val="Hyperlink"/>
          <w:rFonts w:ascii="Times New Roman" w:eastAsia="Times New Roman" w:hAnsi="Times New Roman" w:cs="Times New Roman"/>
          <w:sz w:val="24"/>
          <w:szCs w:val="24"/>
          <w:lang w:eastAsia="en-PH"/>
        </w:rPr>
      </w:pPr>
      <w:proofErr w:type="spellStart"/>
      <w:r w:rsidRPr="0007519B">
        <w:rPr>
          <w:rFonts w:ascii="Times New Roman" w:eastAsia="Times New Roman" w:hAnsi="Times New Roman" w:cs="Times New Roman"/>
          <w:sz w:val="24"/>
          <w:szCs w:val="24"/>
          <w:lang w:eastAsia="en-PH"/>
        </w:rPr>
        <w:t>Ciampitti</w:t>
      </w:r>
      <w:proofErr w:type="spellEnd"/>
      <w:r w:rsidRPr="0007519B">
        <w:rPr>
          <w:rFonts w:ascii="Times New Roman" w:eastAsia="Times New Roman" w:hAnsi="Times New Roman" w:cs="Times New Roman"/>
          <w:sz w:val="24"/>
          <w:szCs w:val="24"/>
          <w:lang w:eastAsia="en-PH"/>
        </w:rPr>
        <w:t xml:space="preserve">, I. A., &amp; </w:t>
      </w:r>
      <w:proofErr w:type="spellStart"/>
      <w:r w:rsidRPr="0007519B">
        <w:rPr>
          <w:rFonts w:ascii="Times New Roman" w:eastAsia="Times New Roman" w:hAnsi="Times New Roman" w:cs="Times New Roman"/>
          <w:sz w:val="24"/>
          <w:szCs w:val="24"/>
          <w:lang w:eastAsia="en-PH"/>
        </w:rPr>
        <w:t>Vyn</w:t>
      </w:r>
      <w:proofErr w:type="spellEnd"/>
      <w:r w:rsidRPr="0007519B">
        <w:rPr>
          <w:rFonts w:ascii="Times New Roman" w:eastAsia="Times New Roman" w:hAnsi="Times New Roman" w:cs="Times New Roman"/>
          <w:sz w:val="24"/>
          <w:szCs w:val="24"/>
          <w:lang w:eastAsia="en-PH"/>
        </w:rPr>
        <w:t xml:space="preserve">, T. J. (2018). Physiological perspectives of changes over time in maize yield dependency on nitrogen uptake and associated nitrogen efficiencies: A review. </w:t>
      </w:r>
      <w:r w:rsidRPr="0007519B">
        <w:rPr>
          <w:rFonts w:ascii="Times New Roman" w:eastAsia="Times New Roman" w:hAnsi="Times New Roman" w:cs="Times New Roman"/>
          <w:i/>
          <w:iCs/>
          <w:sz w:val="24"/>
          <w:szCs w:val="24"/>
          <w:lang w:eastAsia="en-PH"/>
        </w:rPr>
        <w:t>Field Crops Research</w:t>
      </w:r>
      <w:r w:rsidRPr="0007519B">
        <w:rPr>
          <w:rFonts w:ascii="Times New Roman" w:eastAsia="Times New Roman" w:hAnsi="Times New Roman" w:cs="Times New Roman"/>
          <w:sz w:val="24"/>
          <w:szCs w:val="24"/>
          <w:lang w:eastAsia="en-PH"/>
        </w:rPr>
        <w:t>, 221, 67-74</w:t>
      </w:r>
      <w:r w:rsidRPr="00725782">
        <w:rPr>
          <w:rFonts w:ascii="Times New Roman" w:eastAsia="Times New Roman" w:hAnsi="Times New Roman" w:cs="Times New Roman"/>
          <w:color w:val="000000" w:themeColor="text1"/>
          <w:sz w:val="24"/>
          <w:szCs w:val="24"/>
          <w:lang w:eastAsia="en-PH"/>
        </w:rPr>
        <w:t xml:space="preserve">. </w:t>
      </w:r>
      <w:hyperlink r:id="rId9" w:history="1">
        <w:r w:rsidRPr="00725782">
          <w:rPr>
            <w:rStyle w:val="Hyperlink"/>
            <w:rFonts w:ascii="Times New Roman" w:eastAsia="Times New Roman" w:hAnsi="Times New Roman" w:cs="Times New Roman"/>
            <w:color w:val="000000" w:themeColor="text1"/>
            <w:sz w:val="24"/>
            <w:szCs w:val="24"/>
            <w:lang w:eastAsia="en-PH"/>
          </w:rPr>
          <w:t>https://doi.org/10.1016/j.fcr.2018.01.004</w:t>
        </w:r>
      </w:hyperlink>
    </w:p>
    <w:p w14:paraId="57C17B97" w14:textId="77777777" w:rsidR="007767E2" w:rsidRPr="00362FE8" w:rsidRDefault="007767E2" w:rsidP="007767E2">
      <w:pPr>
        <w:spacing w:after="0"/>
        <w:ind w:left="851" w:hanging="851"/>
        <w:jc w:val="both"/>
        <w:rPr>
          <w:rStyle w:val="Hyperlink"/>
          <w:rFonts w:ascii="Times New Roman" w:eastAsia="Times New Roman" w:hAnsi="Times New Roman" w:cs="Times New Roman"/>
          <w:sz w:val="28"/>
          <w:szCs w:val="28"/>
          <w:lang w:eastAsia="en-PH"/>
        </w:rPr>
      </w:pPr>
      <w:r w:rsidRPr="00362FE8">
        <w:rPr>
          <w:rFonts w:ascii="Times New Roman" w:hAnsi="Times New Roman" w:cs="Times New Roman"/>
          <w:sz w:val="24"/>
          <w:szCs w:val="24"/>
        </w:rPr>
        <w:t xml:space="preserve">Clark, R. B. (2021). </w:t>
      </w:r>
      <w:r w:rsidRPr="00362FE8">
        <w:rPr>
          <w:rStyle w:val="Emphasis"/>
          <w:rFonts w:ascii="Times New Roman" w:hAnsi="Times New Roman" w:cs="Times New Roman"/>
          <w:sz w:val="24"/>
          <w:szCs w:val="24"/>
        </w:rPr>
        <w:t>Genotypic differences in nutrient uptake and utilization in plants</w:t>
      </w:r>
      <w:r w:rsidRPr="00362FE8">
        <w:rPr>
          <w:rFonts w:ascii="Times New Roman" w:hAnsi="Times New Roman" w:cs="Times New Roman"/>
          <w:sz w:val="24"/>
          <w:szCs w:val="24"/>
        </w:rPr>
        <w:t xml:space="preserve">. In </w:t>
      </w:r>
      <w:r w:rsidRPr="00362FE8">
        <w:rPr>
          <w:rStyle w:val="Emphasis"/>
          <w:rFonts w:ascii="Times New Roman" w:hAnsi="Times New Roman" w:cs="Times New Roman"/>
          <w:sz w:val="24"/>
          <w:szCs w:val="24"/>
        </w:rPr>
        <w:t>Developments in Plant and Soil Sciences</w:t>
      </w:r>
      <w:r w:rsidRPr="00362FE8">
        <w:rPr>
          <w:rFonts w:ascii="Times New Roman" w:hAnsi="Times New Roman" w:cs="Times New Roman"/>
          <w:sz w:val="24"/>
          <w:szCs w:val="24"/>
        </w:rPr>
        <w:t xml:space="preserve"> (pp. 49-70). Springer. https://doi.org/10.1007/978-94-009-6836-3_5</w:t>
      </w:r>
    </w:p>
    <w:p w14:paraId="34AF3C34" w14:textId="77777777" w:rsidR="007767E2" w:rsidRPr="0007519B" w:rsidRDefault="007767E2" w:rsidP="007767E2">
      <w:pPr>
        <w:spacing w:after="0"/>
        <w:ind w:left="851" w:hanging="851"/>
        <w:jc w:val="both"/>
      </w:pPr>
    </w:p>
    <w:p w14:paraId="41A56365" w14:textId="77777777" w:rsidR="007767E2" w:rsidRPr="00362FE8" w:rsidRDefault="007767E2" w:rsidP="007767E2">
      <w:pPr>
        <w:spacing w:after="0"/>
        <w:ind w:left="851" w:hanging="851"/>
        <w:jc w:val="both"/>
        <w:rPr>
          <w:rFonts w:ascii="Times New Roman" w:hAnsi="Times New Roman" w:cs="Times New Roman"/>
          <w:sz w:val="28"/>
          <w:szCs w:val="28"/>
        </w:rPr>
      </w:pPr>
      <w:proofErr w:type="spellStart"/>
      <w:r w:rsidRPr="00362FE8">
        <w:rPr>
          <w:rFonts w:ascii="Times New Roman" w:hAnsi="Times New Roman" w:cs="Times New Roman"/>
          <w:sz w:val="24"/>
          <w:szCs w:val="24"/>
        </w:rPr>
        <w:lastRenderedPageBreak/>
        <w:t>Efthimiadou</w:t>
      </w:r>
      <w:proofErr w:type="spellEnd"/>
      <w:r w:rsidRPr="00362FE8">
        <w:rPr>
          <w:rFonts w:ascii="Times New Roman" w:hAnsi="Times New Roman" w:cs="Times New Roman"/>
          <w:sz w:val="24"/>
          <w:szCs w:val="24"/>
        </w:rPr>
        <w:t xml:space="preserve">, A., </w:t>
      </w:r>
      <w:proofErr w:type="spellStart"/>
      <w:r w:rsidRPr="00362FE8">
        <w:rPr>
          <w:rFonts w:ascii="Times New Roman" w:hAnsi="Times New Roman" w:cs="Times New Roman"/>
          <w:sz w:val="24"/>
          <w:szCs w:val="24"/>
        </w:rPr>
        <w:t>Tzortzakis</w:t>
      </w:r>
      <w:proofErr w:type="spellEnd"/>
      <w:r w:rsidRPr="00362FE8">
        <w:rPr>
          <w:rFonts w:ascii="Times New Roman" w:hAnsi="Times New Roman" w:cs="Times New Roman"/>
          <w:sz w:val="24"/>
          <w:szCs w:val="24"/>
        </w:rPr>
        <w:t xml:space="preserve">, N., &amp; </w:t>
      </w:r>
      <w:proofErr w:type="spellStart"/>
      <w:r w:rsidRPr="00362FE8">
        <w:rPr>
          <w:rFonts w:ascii="Times New Roman" w:hAnsi="Times New Roman" w:cs="Times New Roman"/>
          <w:sz w:val="24"/>
          <w:szCs w:val="24"/>
        </w:rPr>
        <w:t>Ntatsi</w:t>
      </w:r>
      <w:proofErr w:type="spellEnd"/>
      <w:r w:rsidRPr="00362FE8">
        <w:rPr>
          <w:rFonts w:ascii="Times New Roman" w:hAnsi="Times New Roman" w:cs="Times New Roman"/>
          <w:sz w:val="24"/>
          <w:szCs w:val="24"/>
        </w:rPr>
        <w:t xml:space="preserve">, G. (2009). </w:t>
      </w:r>
      <w:r w:rsidRPr="00362FE8">
        <w:rPr>
          <w:rStyle w:val="Emphasis"/>
          <w:rFonts w:ascii="Times New Roman" w:hAnsi="Times New Roman" w:cs="Times New Roman"/>
          <w:sz w:val="24"/>
          <w:szCs w:val="24"/>
        </w:rPr>
        <w:t>Effect of nitrogen fertilization on the growth and yield of sweet corn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 L. </w:t>
      </w:r>
      <w:proofErr w:type="spellStart"/>
      <w:r w:rsidRPr="00362FE8">
        <w:rPr>
          <w:rStyle w:val="Emphasis"/>
          <w:rFonts w:ascii="Times New Roman" w:hAnsi="Times New Roman" w:cs="Times New Roman"/>
          <w:sz w:val="24"/>
          <w:szCs w:val="24"/>
        </w:rPr>
        <w:t>saccharata</w:t>
      </w:r>
      <w:proofErr w:type="spellEnd"/>
      <w:r w:rsidRPr="00362FE8">
        <w:rPr>
          <w:rStyle w:val="Emphasis"/>
          <w:rFonts w:ascii="Times New Roman" w:hAnsi="Times New Roman" w:cs="Times New Roman"/>
          <w:sz w:val="24"/>
          <w:szCs w:val="24"/>
        </w:rPr>
        <w:t>)</w:t>
      </w:r>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Journal of Plant Nutrition</w:t>
      </w:r>
      <w:r w:rsidRPr="00362FE8">
        <w:rPr>
          <w:rFonts w:ascii="Times New Roman" w:hAnsi="Times New Roman" w:cs="Times New Roman"/>
          <w:sz w:val="24"/>
          <w:szCs w:val="24"/>
        </w:rPr>
        <w:t>, 32(4), 567-576. https://doi.org/10.1080/01904160902785568</w:t>
      </w:r>
    </w:p>
    <w:p w14:paraId="00E2DEA1" w14:textId="77777777" w:rsidR="007767E2" w:rsidRPr="00362FE8" w:rsidRDefault="007767E2" w:rsidP="007767E2">
      <w:pPr>
        <w:spacing w:after="0"/>
        <w:ind w:left="851" w:hanging="851"/>
        <w:jc w:val="both"/>
        <w:rPr>
          <w:rFonts w:ascii="Times New Roman" w:hAnsi="Times New Roman" w:cs="Times New Roman"/>
          <w:sz w:val="24"/>
          <w:szCs w:val="24"/>
        </w:rPr>
      </w:pPr>
    </w:p>
    <w:p w14:paraId="1A837E2A" w14:textId="77777777" w:rsidR="007767E2" w:rsidRPr="00362FE8" w:rsidRDefault="007767E2" w:rsidP="007767E2">
      <w:pPr>
        <w:spacing w:after="0"/>
        <w:ind w:left="851" w:hanging="851"/>
        <w:jc w:val="both"/>
        <w:rPr>
          <w:rFonts w:ascii="Times New Roman" w:hAnsi="Times New Roman" w:cs="Times New Roman"/>
          <w:sz w:val="28"/>
          <w:szCs w:val="28"/>
        </w:rPr>
      </w:pPr>
      <w:proofErr w:type="spellStart"/>
      <w:r w:rsidRPr="00362FE8">
        <w:rPr>
          <w:rFonts w:ascii="Times New Roman" w:hAnsi="Times New Roman" w:cs="Times New Roman"/>
          <w:sz w:val="24"/>
          <w:szCs w:val="24"/>
        </w:rPr>
        <w:t>Gransee</w:t>
      </w:r>
      <w:proofErr w:type="spellEnd"/>
      <w:r w:rsidRPr="00362FE8">
        <w:rPr>
          <w:rFonts w:ascii="Times New Roman" w:hAnsi="Times New Roman" w:cs="Times New Roman"/>
          <w:sz w:val="24"/>
          <w:szCs w:val="24"/>
        </w:rPr>
        <w:t xml:space="preserve">, A., &amp; </w:t>
      </w:r>
      <w:proofErr w:type="spellStart"/>
      <w:r w:rsidRPr="00362FE8">
        <w:rPr>
          <w:rFonts w:ascii="Times New Roman" w:hAnsi="Times New Roman" w:cs="Times New Roman"/>
          <w:sz w:val="24"/>
          <w:szCs w:val="24"/>
        </w:rPr>
        <w:t>Führs</w:t>
      </w:r>
      <w:proofErr w:type="spellEnd"/>
      <w:r w:rsidRPr="00362FE8">
        <w:rPr>
          <w:rFonts w:ascii="Times New Roman" w:hAnsi="Times New Roman" w:cs="Times New Roman"/>
          <w:sz w:val="24"/>
          <w:szCs w:val="24"/>
        </w:rPr>
        <w:t xml:space="preserve">, H. (2013). Magnesium mobility in soils as a challenge for soil and plant analysis, magnesium fertilization and root uptake under adverse growth conditions. </w:t>
      </w:r>
      <w:r w:rsidRPr="00362FE8">
        <w:rPr>
          <w:rStyle w:val="Emphasis"/>
          <w:rFonts w:ascii="Times New Roman" w:hAnsi="Times New Roman" w:cs="Times New Roman"/>
          <w:sz w:val="24"/>
          <w:szCs w:val="24"/>
        </w:rPr>
        <w:t>Plant and Soil</w:t>
      </w:r>
      <w:r w:rsidRPr="00362FE8">
        <w:rPr>
          <w:rFonts w:ascii="Times New Roman" w:hAnsi="Times New Roman" w:cs="Times New Roman"/>
          <w:sz w:val="24"/>
          <w:szCs w:val="24"/>
        </w:rPr>
        <w:t>, 368(1), 5-21. https://doi.org/10.1007/s11104-012-1567-y</w:t>
      </w:r>
    </w:p>
    <w:p w14:paraId="418BC329" w14:textId="77777777" w:rsidR="007767E2" w:rsidRPr="00362FE8" w:rsidRDefault="007767E2" w:rsidP="007767E2">
      <w:pPr>
        <w:spacing w:after="0"/>
        <w:ind w:left="851" w:hanging="851"/>
        <w:jc w:val="both"/>
        <w:rPr>
          <w:rFonts w:ascii="Times New Roman" w:hAnsi="Times New Roman" w:cs="Times New Roman"/>
          <w:sz w:val="24"/>
          <w:szCs w:val="24"/>
        </w:rPr>
      </w:pPr>
    </w:p>
    <w:p w14:paraId="29CAE030" w14:textId="77777777" w:rsidR="007767E2" w:rsidRPr="0007519B" w:rsidRDefault="007767E2" w:rsidP="007767E2">
      <w:pPr>
        <w:spacing w:after="0"/>
        <w:ind w:left="851" w:hanging="851"/>
        <w:jc w:val="both"/>
        <w:rPr>
          <w:rFonts w:ascii="Times New Roman" w:eastAsia="Times New Roman" w:hAnsi="Times New Roman" w:cs="Times New Roman"/>
          <w:sz w:val="24"/>
          <w:szCs w:val="24"/>
          <w:lang w:eastAsia="en-PH"/>
        </w:rPr>
      </w:pPr>
      <w:proofErr w:type="spellStart"/>
      <w:r w:rsidRPr="00362FE8">
        <w:rPr>
          <w:rFonts w:ascii="Times New Roman" w:hAnsi="Times New Roman" w:cs="Times New Roman"/>
          <w:sz w:val="24"/>
          <w:szCs w:val="24"/>
        </w:rPr>
        <w:t>Gregorich</w:t>
      </w:r>
      <w:proofErr w:type="spellEnd"/>
      <w:r w:rsidRPr="0007519B">
        <w:rPr>
          <w:rFonts w:ascii="Times New Roman" w:hAnsi="Times New Roman" w:cs="Times New Roman"/>
          <w:sz w:val="24"/>
          <w:szCs w:val="24"/>
        </w:rPr>
        <w:t xml:space="preserve">, E. G., &amp; Carter, M. R. (Eds.). (2007). </w:t>
      </w:r>
      <w:r w:rsidRPr="0007519B">
        <w:rPr>
          <w:rStyle w:val="Emphasis"/>
          <w:rFonts w:ascii="Times New Roman" w:hAnsi="Times New Roman" w:cs="Times New Roman"/>
          <w:sz w:val="24"/>
          <w:szCs w:val="24"/>
        </w:rPr>
        <w:t>Soil sampling and methods of analysis</w:t>
      </w:r>
      <w:r w:rsidRPr="0007519B">
        <w:rPr>
          <w:rFonts w:ascii="Times New Roman" w:hAnsi="Times New Roman" w:cs="Times New Roman"/>
          <w:sz w:val="24"/>
          <w:szCs w:val="24"/>
        </w:rPr>
        <w:t xml:space="preserve"> (2nd ed.). CRC Press.</w:t>
      </w:r>
    </w:p>
    <w:p w14:paraId="67075CF7" w14:textId="77777777" w:rsidR="007767E2" w:rsidRPr="0007519B" w:rsidRDefault="007767E2" w:rsidP="007767E2">
      <w:pPr>
        <w:spacing w:after="0"/>
        <w:jc w:val="both"/>
        <w:rPr>
          <w:rFonts w:ascii="Times New Roman" w:hAnsi="Times New Roman" w:cs="Times New Roman"/>
          <w:sz w:val="24"/>
          <w:szCs w:val="24"/>
        </w:rPr>
      </w:pPr>
    </w:p>
    <w:p w14:paraId="20864D2B" w14:textId="77777777" w:rsidR="007767E2" w:rsidRPr="00362FE8" w:rsidRDefault="007767E2" w:rsidP="007767E2">
      <w:pPr>
        <w:ind w:left="851" w:hanging="851"/>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Guan, W. (2016). Effects of nitrogen fertilizers on soil </w:t>
      </w:r>
      <w:proofErr w:type="spellStart"/>
      <w:r w:rsidRPr="00362FE8">
        <w:rPr>
          <w:rFonts w:ascii="Times New Roman" w:hAnsi="Times New Roman" w:cs="Times New Roman"/>
          <w:sz w:val="24"/>
          <w:szCs w:val="24"/>
        </w:rPr>
        <w:t>pH.</w:t>
      </w:r>
      <w:proofErr w:type="spellEnd"/>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Purdue University Vegetable Crops Hotline</w:t>
      </w:r>
      <w:r w:rsidRPr="00362FE8">
        <w:rPr>
          <w:rFonts w:ascii="Times New Roman" w:hAnsi="Times New Roman" w:cs="Times New Roman"/>
          <w:sz w:val="24"/>
          <w:szCs w:val="24"/>
        </w:rPr>
        <w:t>. Retrieved from https://vegcropshotline.org/article/effects-of-nitrogen-fertilizers-on-soil-ph/</w:t>
      </w:r>
    </w:p>
    <w:p w14:paraId="5B4B3180" w14:textId="77777777" w:rsidR="007767E2" w:rsidRPr="0007519B" w:rsidRDefault="007767E2" w:rsidP="007767E2">
      <w:pPr>
        <w:ind w:left="851" w:hanging="851"/>
        <w:jc w:val="both"/>
        <w:rPr>
          <w:rFonts w:ascii="Times New Roman" w:eastAsia="SimSun" w:hAnsi="Times New Roman" w:cs="Times New Roman"/>
          <w:sz w:val="24"/>
          <w:szCs w:val="24"/>
          <w:shd w:val="clear" w:color="auto" w:fill="FFFFFF"/>
        </w:rPr>
      </w:pPr>
      <w:proofErr w:type="spellStart"/>
      <w:r w:rsidRPr="0007519B">
        <w:rPr>
          <w:rFonts w:ascii="Times New Roman" w:eastAsia="SimSun" w:hAnsi="Times New Roman" w:cs="Times New Roman"/>
          <w:sz w:val="24"/>
          <w:szCs w:val="24"/>
          <w:shd w:val="clear" w:color="auto" w:fill="FFFFFF"/>
        </w:rPr>
        <w:t>Hartemink</w:t>
      </w:r>
      <w:proofErr w:type="spellEnd"/>
      <w:r w:rsidRPr="0007519B">
        <w:rPr>
          <w:rFonts w:ascii="Times New Roman" w:eastAsia="SimSun" w:hAnsi="Times New Roman" w:cs="Times New Roman"/>
          <w:sz w:val="24"/>
          <w:szCs w:val="24"/>
          <w:shd w:val="clear" w:color="auto" w:fill="FFFFFF"/>
        </w:rPr>
        <w:t>, A. E., &amp; Barrow, N. J. (2023). Soil pH-nutrient relationships: the diagram. </w:t>
      </w:r>
      <w:r w:rsidRPr="0007519B">
        <w:rPr>
          <w:rFonts w:ascii="Times New Roman" w:eastAsia="SimSun" w:hAnsi="Times New Roman" w:cs="Times New Roman"/>
          <w:i/>
          <w:iCs/>
          <w:sz w:val="24"/>
          <w:szCs w:val="24"/>
          <w:shd w:val="clear" w:color="auto" w:fill="FFFFFF"/>
        </w:rPr>
        <w:t>Plant and Soil</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486</w:t>
      </w:r>
      <w:r w:rsidRPr="0007519B">
        <w:rPr>
          <w:rFonts w:ascii="Times New Roman" w:eastAsia="SimSun" w:hAnsi="Times New Roman" w:cs="Times New Roman"/>
          <w:sz w:val="24"/>
          <w:szCs w:val="24"/>
          <w:shd w:val="clear" w:color="auto" w:fill="FFFFFF"/>
        </w:rPr>
        <w:t>(1), 209-215.</w:t>
      </w:r>
    </w:p>
    <w:p w14:paraId="6EB6F542" w14:textId="77777777" w:rsidR="007767E2" w:rsidRPr="0007519B" w:rsidRDefault="007767E2" w:rsidP="007767E2">
      <w:pPr>
        <w:ind w:left="851" w:hanging="851"/>
        <w:jc w:val="both"/>
        <w:rPr>
          <w:rFonts w:ascii="Times New Roman" w:eastAsia="SimSun" w:hAnsi="Times New Roman" w:cs="Times New Roman"/>
          <w:sz w:val="24"/>
          <w:szCs w:val="24"/>
          <w:shd w:val="clear" w:color="auto" w:fill="FFFFFF"/>
        </w:rPr>
      </w:pPr>
      <w:proofErr w:type="spellStart"/>
      <w:r w:rsidRPr="0007519B">
        <w:rPr>
          <w:rStyle w:val="Strong"/>
          <w:rFonts w:ascii="Times New Roman" w:hAnsi="Times New Roman"/>
          <w:b w:val="0"/>
          <w:bCs w:val="0"/>
          <w:sz w:val="24"/>
          <w:szCs w:val="24"/>
        </w:rPr>
        <w:t>Hawkesford</w:t>
      </w:r>
      <w:proofErr w:type="spellEnd"/>
      <w:r w:rsidRPr="0007519B">
        <w:rPr>
          <w:rStyle w:val="Strong"/>
          <w:rFonts w:ascii="Times New Roman" w:hAnsi="Times New Roman"/>
          <w:b w:val="0"/>
          <w:bCs w:val="0"/>
          <w:sz w:val="24"/>
          <w:szCs w:val="24"/>
        </w:rPr>
        <w:t>, M. J.</w:t>
      </w:r>
      <w:r w:rsidRPr="0007519B">
        <w:rPr>
          <w:rFonts w:ascii="Times New Roman" w:hAnsi="Times New Roman" w:cs="Times New Roman"/>
          <w:sz w:val="24"/>
          <w:szCs w:val="24"/>
        </w:rPr>
        <w:t xml:space="preserve"> (2012). The diversity of nitrogen use efficiency for different nitrogen forms in plants. </w:t>
      </w:r>
      <w:r w:rsidRPr="0007519B">
        <w:rPr>
          <w:rStyle w:val="Emphasis"/>
          <w:rFonts w:ascii="Times New Roman" w:hAnsi="Times New Roman" w:cs="Times New Roman"/>
          <w:sz w:val="24"/>
          <w:szCs w:val="24"/>
        </w:rPr>
        <w:t>Frontiers in Plant Science</w:t>
      </w:r>
      <w:r w:rsidRPr="0007519B">
        <w:rPr>
          <w:rFonts w:ascii="Times New Roman" w:hAnsi="Times New Roman" w:cs="Times New Roman"/>
          <w:sz w:val="24"/>
          <w:szCs w:val="24"/>
        </w:rPr>
        <w:t>, 3, 182. https://doi.org/10.3389/fpls.2012.00182</w:t>
      </w:r>
    </w:p>
    <w:p w14:paraId="7BEBC52E" w14:textId="77777777" w:rsidR="007767E2" w:rsidRPr="00725782" w:rsidRDefault="007767E2" w:rsidP="007767E2">
      <w:pPr>
        <w:ind w:left="993" w:hanging="993"/>
        <w:jc w:val="both"/>
        <w:rPr>
          <w:rStyle w:val="Hyperlink"/>
          <w:rFonts w:ascii="Times New Roman" w:hAnsi="Times New Roman" w:cs="Times New Roman"/>
          <w:color w:val="000000" w:themeColor="text1"/>
          <w:sz w:val="24"/>
          <w:szCs w:val="24"/>
        </w:rPr>
      </w:pPr>
      <w:r w:rsidRPr="0007519B">
        <w:rPr>
          <w:rFonts w:ascii="Times New Roman" w:hAnsi="Times New Roman" w:cs="Times New Roman"/>
          <w:sz w:val="24"/>
          <w:szCs w:val="24"/>
        </w:rPr>
        <w:t xml:space="preserve">Hussain, A., Iqbal, S., &amp; Nawaz, F. (2020). Effect of nitrogen source on root and shoot growth in maize. </w:t>
      </w:r>
      <w:r w:rsidRPr="0007519B">
        <w:rPr>
          <w:rStyle w:val="Emphasis"/>
          <w:rFonts w:ascii="Times New Roman" w:hAnsi="Times New Roman" w:cs="Times New Roman"/>
          <w:sz w:val="24"/>
          <w:szCs w:val="24"/>
        </w:rPr>
        <w:t>Agricultural Sciences</w:t>
      </w:r>
      <w:r w:rsidRPr="0007519B">
        <w:rPr>
          <w:rFonts w:ascii="Times New Roman" w:hAnsi="Times New Roman" w:cs="Times New Roman"/>
          <w:sz w:val="24"/>
          <w:szCs w:val="24"/>
        </w:rPr>
        <w:t xml:space="preserve">, 11(8), 686-693. </w:t>
      </w:r>
      <w:hyperlink r:id="rId10" w:history="1">
        <w:r w:rsidRPr="00725782">
          <w:rPr>
            <w:rStyle w:val="Hyperlink"/>
            <w:rFonts w:ascii="Times New Roman" w:hAnsi="Times New Roman" w:cs="Times New Roman"/>
            <w:color w:val="000000" w:themeColor="text1"/>
            <w:sz w:val="24"/>
            <w:szCs w:val="24"/>
          </w:rPr>
          <w:t>https://doi.org/10.4236/as.2020.118045</w:t>
        </w:r>
      </w:hyperlink>
    </w:p>
    <w:p w14:paraId="1EF87E9B" w14:textId="77777777" w:rsidR="007767E2" w:rsidRPr="00362FE8" w:rsidRDefault="007767E2" w:rsidP="007767E2">
      <w:pPr>
        <w:ind w:left="993" w:hanging="993"/>
        <w:jc w:val="both"/>
        <w:rPr>
          <w:rFonts w:ascii="Times New Roman" w:hAnsi="Times New Roman" w:cs="Times New Roman"/>
          <w:sz w:val="32"/>
          <w:szCs w:val="32"/>
        </w:rPr>
      </w:pPr>
      <w:r w:rsidRPr="00362FE8">
        <w:rPr>
          <w:rFonts w:ascii="Times New Roman" w:hAnsi="Times New Roman" w:cs="Times New Roman"/>
          <w:sz w:val="24"/>
          <w:szCs w:val="24"/>
        </w:rPr>
        <w:t xml:space="preserve">Kumar, A., Singh, R., &amp; Sharma, S. (2019). Effect of nitrogen fertilizer on root architecture and growth of maize. </w:t>
      </w:r>
      <w:r w:rsidRPr="00362FE8">
        <w:rPr>
          <w:rStyle w:val="Emphasis"/>
          <w:rFonts w:ascii="Times New Roman" w:hAnsi="Times New Roman" w:cs="Times New Roman"/>
          <w:sz w:val="24"/>
          <w:szCs w:val="24"/>
        </w:rPr>
        <w:t>Agricultural Research Journal</w:t>
      </w:r>
      <w:r w:rsidRPr="00362FE8">
        <w:rPr>
          <w:rFonts w:ascii="Times New Roman" w:hAnsi="Times New Roman" w:cs="Times New Roman"/>
          <w:sz w:val="24"/>
          <w:szCs w:val="24"/>
        </w:rPr>
        <w:t>, 56(3), 187-192.</w:t>
      </w:r>
    </w:p>
    <w:p w14:paraId="3E1DD4C1" w14:textId="77777777" w:rsidR="007767E2" w:rsidRPr="0007519B" w:rsidRDefault="007767E2" w:rsidP="007767E2">
      <w:pPr>
        <w:ind w:left="993" w:hanging="993"/>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 xml:space="preserve">Li, Lin, </w:t>
      </w:r>
      <w:proofErr w:type="spellStart"/>
      <w:r w:rsidRPr="0007519B">
        <w:rPr>
          <w:rFonts w:ascii="Times New Roman" w:eastAsia="SimSun" w:hAnsi="Times New Roman" w:cs="Times New Roman"/>
          <w:sz w:val="24"/>
          <w:szCs w:val="24"/>
          <w:shd w:val="clear" w:color="auto" w:fill="FFFFFF"/>
        </w:rPr>
        <w:t>Tiaoyan</w:t>
      </w:r>
      <w:proofErr w:type="spellEnd"/>
      <w:r w:rsidRPr="0007519B">
        <w:rPr>
          <w:rFonts w:ascii="Times New Roman" w:eastAsia="SimSun" w:hAnsi="Times New Roman" w:cs="Times New Roman"/>
          <w:sz w:val="24"/>
          <w:szCs w:val="24"/>
          <w:shd w:val="clear" w:color="auto" w:fill="FFFFFF"/>
        </w:rPr>
        <w:t xml:space="preserve"> Wu, Yusheng Li, Xu Hu, </w:t>
      </w:r>
      <w:proofErr w:type="spellStart"/>
      <w:r w:rsidRPr="0007519B">
        <w:rPr>
          <w:rFonts w:ascii="Times New Roman" w:eastAsia="SimSun" w:hAnsi="Times New Roman" w:cs="Times New Roman"/>
          <w:sz w:val="24"/>
          <w:szCs w:val="24"/>
          <w:shd w:val="clear" w:color="auto" w:fill="FFFFFF"/>
        </w:rPr>
        <w:t>Zhixiang</w:t>
      </w:r>
      <w:proofErr w:type="spellEnd"/>
      <w:r w:rsidRPr="0007519B">
        <w:rPr>
          <w:rFonts w:ascii="Times New Roman" w:eastAsia="SimSun" w:hAnsi="Times New Roman" w:cs="Times New Roman"/>
          <w:sz w:val="24"/>
          <w:szCs w:val="24"/>
          <w:shd w:val="clear" w:color="auto" w:fill="FFFFFF"/>
        </w:rPr>
        <w:t xml:space="preserve"> Wang, </w:t>
      </w:r>
      <w:proofErr w:type="spellStart"/>
      <w:r w:rsidRPr="0007519B">
        <w:rPr>
          <w:rFonts w:ascii="Times New Roman" w:eastAsia="SimSun" w:hAnsi="Times New Roman" w:cs="Times New Roman"/>
          <w:sz w:val="24"/>
          <w:szCs w:val="24"/>
          <w:shd w:val="clear" w:color="auto" w:fill="FFFFFF"/>
        </w:rPr>
        <w:t>Jinfang</w:t>
      </w:r>
      <w:proofErr w:type="spellEnd"/>
      <w:r w:rsidRPr="0007519B">
        <w:rPr>
          <w:rFonts w:ascii="Times New Roman" w:eastAsia="SimSun" w:hAnsi="Times New Roman" w:cs="Times New Roman"/>
          <w:sz w:val="24"/>
          <w:szCs w:val="24"/>
          <w:shd w:val="clear" w:color="auto" w:fill="FFFFFF"/>
        </w:rPr>
        <w:t xml:space="preserve"> Liu, Wei Qin, and Umair Ashraf. (2022) "Deep fertilization improves rice productivity and reduces ammonia emissions from rice fields in China; a meta-analysis." </w:t>
      </w:r>
      <w:r w:rsidRPr="0007519B">
        <w:rPr>
          <w:rFonts w:ascii="Times New Roman" w:eastAsia="SimSun" w:hAnsi="Times New Roman" w:cs="Times New Roman"/>
          <w:i/>
          <w:iCs/>
          <w:sz w:val="24"/>
          <w:szCs w:val="24"/>
          <w:shd w:val="clear" w:color="auto" w:fill="FFFFFF"/>
        </w:rPr>
        <w:t>Field Crops Research</w:t>
      </w:r>
      <w:r w:rsidRPr="0007519B">
        <w:rPr>
          <w:rFonts w:ascii="Times New Roman" w:eastAsia="SimSun" w:hAnsi="Times New Roman" w:cs="Times New Roman"/>
          <w:sz w:val="24"/>
          <w:szCs w:val="24"/>
          <w:shd w:val="clear" w:color="auto" w:fill="FFFFFF"/>
        </w:rPr>
        <w:t> 289: 108704.</w:t>
      </w:r>
    </w:p>
    <w:p w14:paraId="1977BECA" w14:textId="77777777" w:rsidR="007767E2" w:rsidRPr="00362FE8" w:rsidRDefault="007767E2" w:rsidP="007767E2">
      <w:pPr>
        <w:ind w:left="851" w:hanging="851"/>
        <w:jc w:val="both"/>
        <w:rPr>
          <w:rFonts w:ascii="Times New Roman" w:hAnsi="Times New Roman" w:cs="Times New Roman"/>
          <w:color w:val="FFFFFF" w:themeColor="background1"/>
          <w:sz w:val="28"/>
          <w:szCs w:val="28"/>
        </w:rPr>
      </w:pPr>
      <w:r w:rsidRPr="00362FE8">
        <w:rPr>
          <w:rFonts w:ascii="Times New Roman" w:hAnsi="Times New Roman" w:cs="Times New Roman"/>
          <w:sz w:val="24"/>
          <w:szCs w:val="24"/>
        </w:rPr>
        <w:t xml:space="preserve">Liu, H., Li, S., </w:t>
      </w:r>
      <w:proofErr w:type="spellStart"/>
      <w:r w:rsidRPr="00362FE8">
        <w:rPr>
          <w:rFonts w:ascii="Times New Roman" w:hAnsi="Times New Roman" w:cs="Times New Roman"/>
          <w:sz w:val="24"/>
          <w:szCs w:val="24"/>
        </w:rPr>
        <w:t>Qiang</w:t>
      </w:r>
      <w:proofErr w:type="spellEnd"/>
      <w:r w:rsidRPr="00362FE8">
        <w:rPr>
          <w:rFonts w:ascii="Times New Roman" w:hAnsi="Times New Roman" w:cs="Times New Roman"/>
          <w:sz w:val="24"/>
          <w:szCs w:val="24"/>
        </w:rPr>
        <w:t xml:space="preserve">, R., Lu, E., Li, C., &amp; Zhang, J. (2022). Response of soil microbial community structure to phosphate fertilizer reduction and combinations of microbial fertilizer. </w:t>
      </w:r>
      <w:r w:rsidRPr="00362FE8">
        <w:rPr>
          <w:rStyle w:val="Emphasis"/>
          <w:rFonts w:ascii="Times New Roman" w:hAnsi="Times New Roman" w:cs="Times New Roman"/>
          <w:sz w:val="24"/>
          <w:szCs w:val="24"/>
        </w:rPr>
        <w:t>Frontiers in Environmental Science, 10</w:t>
      </w:r>
      <w:r w:rsidRPr="00362FE8">
        <w:rPr>
          <w:rFonts w:ascii="Times New Roman" w:hAnsi="Times New Roman" w:cs="Times New Roman"/>
          <w:sz w:val="24"/>
          <w:szCs w:val="24"/>
        </w:rPr>
        <w:t>. https://doi.org/10.3389/fenvs.2022.899727</w:t>
      </w:r>
    </w:p>
    <w:p w14:paraId="21DF1A96" w14:textId="77777777" w:rsidR="007767E2" w:rsidRPr="00362FE8" w:rsidRDefault="007767E2" w:rsidP="007767E2">
      <w:pPr>
        <w:ind w:left="851" w:hanging="851"/>
        <w:jc w:val="both"/>
        <w:rPr>
          <w:rFonts w:ascii="Times New Roman" w:eastAsia="SimSun" w:hAnsi="Times New Roman" w:cs="Times New Roman"/>
          <w:sz w:val="24"/>
          <w:szCs w:val="24"/>
          <w:shd w:val="clear" w:color="auto" w:fill="FFFFFF"/>
        </w:rPr>
      </w:pPr>
      <w:r w:rsidRPr="00362FE8">
        <w:rPr>
          <w:rFonts w:ascii="Times New Roman" w:hAnsi="Times New Roman" w:cs="Times New Roman"/>
          <w:color w:val="FFFFFF" w:themeColor="background1"/>
          <w:sz w:val="24"/>
          <w:szCs w:val="24"/>
        </w:rPr>
        <w:t>Meena, H.,</w:t>
      </w:r>
      <w:r w:rsidRPr="0007519B">
        <w:rPr>
          <w:rFonts w:ascii="Times New Roman" w:hAnsi="Times New Roman" w:cs="Times New Roman"/>
          <w:color w:val="FFFFFF" w:themeColor="background1"/>
          <w:sz w:val="24"/>
          <w:szCs w:val="24"/>
        </w:rPr>
        <w:t xml:space="preserve"> </w:t>
      </w:r>
      <w:r w:rsidRPr="0007519B">
        <w:rPr>
          <w:rFonts w:ascii="Times New Roman" w:hAnsi="Times New Roman" w:cs="Times New Roman"/>
          <w:sz w:val="24"/>
          <w:szCs w:val="24"/>
        </w:rPr>
        <w:t xml:space="preserve">Sharma, G. L., </w:t>
      </w:r>
      <w:proofErr w:type="spellStart"/>
      <w:r w:rsidRPr="0007519B">
        <w:rPr>
          <w:rFonts w:ascii="Times New Roman" w:hAnsi="Times New Roman" w:cs="Times New Roman"/>
          <w:sz w:val="24"/>
          <w:szCs w:val="24"/>
        </w:rPr>
        <w:t>Golada</w:t>
      </w:r>
      <w:proofErr w:type="spellEnd"/>
      <w:r w:rsidRPr="0007519B">
        <w:rPr>
          <w:rFonts w:ascii="Times New Roman" w:hAnsi="Times New Roman" w:cs="Times New Roman"/>
          <w:sz w:val="24"/>
          <w:szCs w:val="24"/>
        </w:rPr>
        <w:t xml:space="preserve">, S. L., &amp; Bairwa, R. K. (2012). Effect of Integrated Nitrogen Management on Yield and Nitrogen Uptake by Sweet Corn. </w:t>
      </w:r>
      <w:r w:rsidRPr="0007519B">
        <w:rPr>
          <w:rStyle w:val="Emphasis"/>
          <w:rFonts w:ascii="Times New Roman" w:hAnsi="Times New Roman" w:cs="Times New Roman"/>
          <w:sz w:val="24"/>
          <w:szCs w:val="24"/>
        </w:rPr>
        <w:t>Madras Agricultural Journal</w:t>
      </w:r>
      <w:r w:rsidRPr="0007519B">
        <w:rPr>
          <w:rFonts w:ascii="Times New Roman" w:hAnsi="Times New Roman" w:cs="Times New Roman"/>
          <w:sz w:val="24"/>
          <w:szCs w:val="24"/>
        </w:rPr>
        <w:t>, 99(7-9), 503-506. Retrieved from https://pdfs.semanticscholar.org/a357/3c9433922ee11949a28cb844af177cbcff72.pdf</w:t>
      </w:r>
    </w:p>
    <w:p w14:paraId="070B9FBF" w14:textId="77777777" w:rsidR="007767E2" w:rsidRPr="00725782" w:rsidRDefault="007767E2" w:rsidP="007767E2">
      <w:pPr>
        <w:ind w:left="851" w:hanging="851"/>
        <w:jc w:val="both"/>
        <w:rPr>
          <w:rFonts w:ascii="Times New Roman" w:hAnsi="Times New Roman" w:cs="Times New Roman"/>
          <w:color w:val="000000" w:themeColor="text1"/>
          <w:sz w:val="24"/>
          <w:szCs w:val="24"/>
        </w:rPr>
      </w:pPr>
      <w:proofErr w:type="spellStart"/>
      <w:r w:rsidRPr="00362FE8">
        <w:rPr>
          <w:rFonts w:ascii="Times New Roman" w:hAnsi="Times New Roman" w:cs="Times New Roman"/>
          <w:sz w:val="24"/>
          <w:szCs w:val="24"/>
        </w:rPr>
        <w:t>Motasim</w:t>
      </w:r>
      <w:proofErr w:type="spellEnd"/>
      <w:r w:rsidRPr="00362FE8">
        <w:rPr>
          <w:rFonts w:ascii="Times New Roman" w:hAnsi="Times New Roman" w:cs="Times New Roman"/>
          <w:sz w:val="24"/>
          <w:szCs w:val="24"/>
        </w:rPr>
        <w:t xml:space="preserve">, A. M., Samsuri, A. W., </w:t>
      </w:r>
      <w:proofErr w:type="spellStart"/>
      <w:r w:rsidRPr="00362FE8">
        <w:rPr>
          <w:rFonts w:ascii="Times New Roman" w:hAnsi="Times New Roman" w:cs="Times New Roman"/>
          <w:sz w:val="24"/>
          <w:szCs w:val="24"/>
        </w:rPr>
        <w:t>Nabayi</w:t>
      </w:r>
      <w:proofErr w:type="spellEnd"/>
      <w:r w:rsidRPr="00362FE8">
        <w:rPr>
          <w:rFonts w:ascii="Times New Roman" w:hAnsi="Times New Roman" w:cs="Times New Roman"/>
          <w:sz w:val="24"/>
          <w:szCs w:val="24"/>
        </w:rPr>
        <w:t xml:space="preserve">, A., Akter, A., Haque, M. A., Abdul </w:t>
      </w:r>
      <w:proofErr w:type="spellStart"/>
      <w:r w:rsidRPr="00362FE8">
        <w:rPr>
          <w:rFonts w:ascii="Times New Roman" w:hAnsi="Times New Roman" w:cs="Times New Roman"/>
          <w:sz w:val="24"/>
          <w:szCs w:val="24"/>
        </w:rPr>
        <w:t>Sukor</w:t>
      </w:r>
      <w:proofErr w:type="spellEnd"/>
      <w:r w:rsidRPr="00362FE8">
        <w:rPr>
          <w:rFonts w:ascii="Times New Roman" w:hAnsi="Times New Roman" w:cs="Times New Roman"/>
          <w:sz w:val="24"/>
          <w:szCs w:val="24"/>
        </w:rPr>
        <w:t xml:space="preserve">, A. S., &amp; Adibah, A. M. (2024). Urea application in soil: Processes, losses, and alternatives—a review. </w:t>
      </w:r>
      <w:r w:rsidRPr="00362FE8">
        <w:rPr>
          <w:rStyle w:val="Emphasis"/>
          <w:rFonts w:ascii="Times New Roman" w:hAnsi="Times New Roman" w:cs="Times New Roman"/>
          <w:sz w:val="24"/>
          <w:szCs w:val="24"/>
        </w:rPr>
        <w:t>Discover Agriculture, 2</w:t>
      </w:r>
      <w:r w:rsidRPr="00362FE8">
        <w:rPr>
          <w:rFonts w:ascii="Times New Roman" w:hAnsi="Times New Roman" w:cs="Times New Roman"/>
          <w:sz w:val="24"/>
          <w:szCs w:val="24"/>
        </w:rPr>
        <w:t xml:space="preserve">, 42. </w:t>
      </w:r>
      <w:hyperlink r:id="rId11" w:history="1">
        <w:r w:rsidRPr="00725782">
          <w:rPr>
            <w:rStyle w:val="Hyperlink"/>
            <w:rFonts w:ascii="Times New Roman" w:hAnsi="Times New Roman" w:cs="Times New Roman"/>
            <w:color w:val="000000" w:themeColor="text1"/>
            <w:sz w:val="24"/>
            <w:szCs w:val="24"/>
          </w:rPr>
          <w:t>https://doi.org/10.1007/s44279-024-00060-z</w:t>
        </w:r>
      </w:hyperlink>
    </w:p>
    <w:p w14:paraId="63FC1F27" w14:textId="77777777" w:rsidR="007767E2" w:rsidRPr="00362FE8" w:rsidRDefault="007767E2" w:rsidP="007767E2">
      <w:pPr>
        <w:ind w:left="851" w:hanging="851"/>
        <w:jc w:val="both"/>
        <w:rPr>
          <w:rFonts w:ascii="Times New Roman" w:hAnsi="Times New Roman" w:cs="Times New Roman"/>
          <w:sz w:val="28"/>
          <w:szCs w:val="28"/>
        </w:rPr>
      </w:pPr>
      <w:proofErr w:type="spellStart"/>
      <w:r w:rsidRPr="00362FE8">
        <w:rPr>
          <w:rFonts w:ascii="Times New Roman" w:hAnsi="Times New Roman" w:cs="Times New Roman"/>
          <w:sz w:val="24"/>
          <w:szCs w:val="24"/>
        </w:rPr>
        <w:t>Nkongolo</w:t>
      </w:r>
      <w:proofErr w:type="spellEnd"/>
      <w:r w:rsidRPr="00362FE8">
        <w:rPr>
          <w:rFonts w:ascii="Times New Roman" w:hAnsi="Times New Roman" w:cs="Times New Roman"/>
          <w:sz w:val="24"/>
          <w:szCs w:val="24"/>
        </w:rPr>
        <w:t xml:space="preserve">, M., </w:t>
      </w:r>
      <w:proofErr w:type="spellStart"/>
      <w:r w:rsidRPr="00362FE8">
        <w:rPr>
          <w:rFonts w:ascii="Times New Roman" w:hAnsi="Times New Roman" w:cs="Times New Roman"/>
          <w:sz w:val="24"/>
          <w:szCs w:val="24"/>
        </w:rPr>
        <w:t>Lumpungu</w:t>
      </w:r>
      <w:proofErr w:type="spellEnd"/>
      <w:r w:rsidRPr="00362FE8">
        <w:rPr>
          <w:rFonts w:ascii="Times New Roman" w:hAnsi="Times New Roman" w:cs="Times New Roman"/>
          <w:sz w:val="24"/>
          <w:szCs w:val="24"/>
        </w:rPr>
        <w:t xml:space="preserve">, K., </w:t>
      </w:r>
      <w:proofErr w:type="spellStart"/>
      <w:r w:rsidRPr="00362FE8">
        <w:rPr>
          <w:rFonts w:ascii="Times New Roman" w:hAnsi="Times New Roman" w:cs="Times New Roman"/>
          <w:sz w:val="24"/>
          <w:szCs w:val="24"/>
        </w:rPr>
        <w:t>Kizungu</w:t>
      </w:r>
      <w:proofErr w:type="spellEnd"/>
      <w:r w:rsidRPr="00362FE8">
        <w:rPr>
          <w:rFonts w:ascii="Times New Roman" w:hAnsi="Times New Roman" w:cs="Times New Roman"/>
          <w:sz w:val="24"/>
          <w:szCs w:val="24"/>
        </w:rPr>
        <w:t xml:space="preserve">, V., </w:t>
      </w:r>
      <w:proofErr w:type="spellStart"/>
      <w:r w:rsidRPr="00362FE8">
        <w:rPr>
          <w:rFonts w:ascii="Times New Roman" w:hAnsi="Times New Roman" w:cs="Times New Roman"/>
          <w:sz w:val="24"/>
          <w:szCs w:val="24"/>
        </w:rPr>
        <w:t>Tshimbombo</w:t>
      </w:r>
      <w:proofErr w:type="spellEnd"/>
      <w:r w:rsidRPr="00362FE8">
        <w:rPr>
          <w:rFonts w:ascii="Times New Roman" w:hAnsi="Times New Roman" w:cs="Times New Roman"/>
          <w:sz w:val="24"/>
          <w:szCs w:val="24"/>
        </w:rPr>
        <w:t>, J., &amp; Mukendi, K. (2016). Evaluation of the effect of two forms (Dissolved and undissolved) comparative bat guano to Diammonium Phosphate (DAP) on the cultivation of corn (</w:t>
      </w:r>
      <w:proofErr w:type="spellStart"/>
      <w:r w:rsidRPr="00362FE8">
        <w:rPr>
          <w:rFonts w:ascii="Times New Roman" w:hAnsi="Times New Roman" w:cs="Times New Roman"/>
          <w:sz w:val="24"/>
          <w:szCs w:val="24"/>
        </w:rPr>
        <w:t>Zea</w:t>
      </w:r>
      <w:proofErr w:type="spellEnd"/>
      <w:r w:rsidRPr="00362FE8">
        <w:rPr>
          <w:rFonts w:ascii="Times New Roman" w:hAnsi="Times New Roman" w:cs="Times New Roman"/>
          <w:sz w:val="24"/>
          <w:szCs w:val="24"/>
        </w:rPr>
        <w:t xml:space="preserve"> mays L. Var </w:t>
      </w:r>
      <w:r w:rsidRPr="00362FE8">
        <w:rPr>
          <w:rFonts w:ascii="Times New Roman" w:hAnsi="Times New Roman" w:cs="Times New Roman"/>
          <w:sz w:val="24"/>
          <w:szCs w:val="24"/>
        </w:rPr>
        <w:lastRenderedPageBreak/>
        <w:t xml:space="preserve">Mus) in the humid tropics of the DRC (Region De </w:t>
      </w:r>
      <w:proofErr w:type="spellStart"/>
      <w:r w:rsidRPr="00362FE8">
        <w:rPr>
          <w:rFonts w:ascii="Times New Roman" w:hAnsi="Times New Roman" w:cs="Times New Roman"/>
          <w:sz w:val="24"/>
          <w:szCs w:val="24"/>
        </w:rPr>
        <w:t>Gandajika</w:t>
      </w:r>
      <w:proofErr w:type="spellEnd"/>
      <w:r w:rsidRPr="00362FE8">
        <w:rPr>
          <w:rFonts w:ascii="Times New Roman" w:hAnsi="Times New Roman" w:cs="Times New Roman"/>
          <w:sz w:val="24"/>
          <w:szCs w:val="24"/>
        </w:rPr>
        <w:t xml:space="preserve">). </w:t>
      </w:r>
      <w:r w:rsidRPr="00362FE8">
        <w:rPr>
          <w:rStyle w:val="Emphasis"/>
          <w:rFonts w:ascii="Times New Roman" w:hAnsi="Times New Roman" w:cs="Times New Roman"/>
          <w:sz w:val="24"/>
          <w:szCs w:val="24"/>
        </w:rPr>
        <w:t>European Journal of Biotechnology and Bioscience, 4</w:t>
      </w:r>
      <w:r w:rsidRPr="00362FE8">
        <w:rPr>
          <w:rFonts w:ascii="Times New Roman" w:hAnsi="Times New Roman" w:cs="Times New Roman"/>
          <w:sz w:val="24"/>
          <w:szCs w:val="24"/>
        </w:rPr>
        <w:t>(3), 01-05. Retrieved from Bioscience Journals.</w:t>
      </w:r>
    </w:p>
    <w:p w14:paraId="5A4400EB" w14:textId="77777777" w:rsidR="007767E2" w:rsidRPr="00362FE8" w:rsidRDefault="007767E2" w:rsidP="007767E2">
      <w:pPr>
        <w:ind w:left="851" w:hanging="851"/>
        <w:jc w:val="both"/>
        <w:rPr>
          <w:rFonts w:ascii="Times New Roman" w:hAnsi="Times New Roman" w:cs="Times New Roman"/>
          <w:sz w:val="28"/>
          <w:szCs w:val="28"/>
        </w:rPr>
      </w:pPr>
      <w:r w:rsidRPr="00362FE8">
        <w:rPr>
          <w:rFonts w:ascii="Times New Roman" w:hAnsi="Times New Roman" w:cs="Times New Roman"/>
          <w:color w:val="000000" w:themeColor="text1"/>
          <w:sz w:val="24"/>
          <w:szCs w:val="24"/>
        </w:rPr>
        <w:t xml:space="preserve">Pereira, N. </w:t>
      </w:r>
      <w:r w:rsidRPr="00362FE8">
        <w:rPr>
          <w:rFonts w:ascii="Times New Roman" w:hAnsi="Times New Roman" w:cs="Times New Roman"/>
          <w:sz w:val="24"/>
          <w:szCs w:val="24"/>
        </w:rPr>
        <w:t xml:space="preserve">C. M., Galindo, F. S., </w:t>
      </w:r>
      <w:proofErr w:type="spellStart"/>
      <w:r w:rsidRPr="00362FE8">
        <w:rPr>
          <w:rFonts w:ascii="Times New Roman" w:hAnsi="Times New Roman" w:cs="Times New Roman"/>
          <w:sz w:val="24"/>
          <w:szCs w:val="24"/>
        </w:rPr>
        <w:t>Gazola</w:t>
      </w:r>
      <w:proofErr w:type="spellEnd"/>
      <w:r w:rsidRPr="00362FE8">
        <w:rPr>
          <w:rFonts w:ascii="Times New Roman" w:hAnsi="Times New Roman" w:cs="Times New Roman"/>
          <w:sz w:val="24"/>
          <w:szCs w:val="24"/>
        </w:rPr>
        <w:t xml:space="preserve">, R. P. D., </w:t>
      </w:r>
      <w:proofErr w:type="spellStart"/>
      <w:r w:rsidRPr="00362FE8">
        <w:rPr>
          <w:rFonts w:ascii="Times New Roman" w:hAnsi="Times New Roman" w:cs="Times New Roman"/>
          <w:sz w:val="24"/>
          <w:szCs w:val="24"/>
        </w:rPr>
        <w:t>Dupas</w:t>
      </w:r>
      <w:proofErr w:type="spellEnd"/>
      <w:r w:rsidRPr="00362FE8">
        <w:rPr>
          <w:rFonts w:ascii="Times New Roman" w:hAnsi="Times New Roman" w:cs="Times New Roman"/>
          <w:sz w:val="24"/>
          <w:szCs w:val="24"/>
        </w:rPr>
        <w:t xml:space="preserve">, E., Rosa, P. A. L., </w:t>
      </w:r>
      <w:proofErr w:type="spellStart"/>
      <w:r w:rsidRPr="00362FE8">
        <w:rPr>
          <w:rFonts w:ascii="Times New Roman" w:hAnsi="Times New Roman" w:cs="Times New Roman"/>
          <w:sz w:val="24"/>
          <w:szCs w:val="24"/>
        </w:rPr>
        <w:t>Mortinho</w:t>
      </w:r>
      <w:proofErr w:type="spellEnd"/>
      <w:r w:rsidRPr="00362FE8">
        <w:rPr>
          <w:rFonts w:ascii="Times New Roman" w:hAnsi="Times New Roman" w:cs="Times New Roman"/>
          <w:sz w:val="24"/>
          <w:szCs w:val="24"/>
        </w:rPr>
        <w:t xml:space="preserve">, E. S., &amp; Teixeira Filho, M. C. M. (2020). Corn Yield and Phosphorus Use Efficiency Response to Phosphorus Rates Associated </w:t>
      </w:r>
      <w:proofErr w:type="gramStart"/>
      <w:r w:rsidRPr="00362FE8">
        <w:rPr>
          <w:rFonts w:ascii="Times New Roman" w:hAnsi="Times New Roman" w:cs="Times New Roman"/>
          <w:sz w:val="24"/>
          <w:szCs w:val="24"/>
        </w:rPr>
        <w:t>With</w:t>
      </w:r>
      <w:proofErr w:type="gramEnd"/>
      <w:r w:rsidRPr="00362FE8">
        <w:rPr>
          <w:rFonts w:ascii="Times New Roman" w:hAnsi="Times New Roman" w:cs="Times New Roman"/>
          <w:sz w:val="24"/>
          <w:szCs w:val="24"/>
        </w:rPr>
        <w:t xml:space="preserve"> Plant Growth Promoting Bacteria. </w:t>
      </w:r>
      <w:r w:rsidRPr="00362FE8">
        <w:rPr>
          <w:rStyle w:val="Emphasis"/>
          <w:rFonts w:ascii="Times New Roman" w:hAnsi="Times New Roman" w:cs="Times New Roman"/>
          <w:sz w:val="24"/>
          <w:szCs w:val="24"/>
        </w:rPr>
        <w:t>Frontiers in Environmental Science</w:t>
      </w:r>
      <w:r w:rsidRPr="00362FE8">
        <w:rPr>
          <w:rFonts w:ascii="Times New Roman" w:hAnsi="Times New Roman" w:cs="Times New Roman"/>
          <w:sz w:val="24"/>
          <w:szCs w:val="24"/>
        </w:rPr>
        <w:t>, 8, 40.</w:t>
      </w:r>
    </w:p>
    <w:p w14:paraId="7DE42AD5" w14:textId="77777777" w:rsidR="007767E2" w:rsidRPr="00362FE8" w:rsidRDefault="007767E2" w:rsidP="007767E2">
      <w:pPr>
        <w:ind w:left="851" w:hanging="851"/>
        <w:jc w:val="both"/>
        <w:rPr>
          <w:rStyle w:val="Strong"/>
          <w:rFonts w:ascii="Times New Roman" w:hAnsi="Times New Roman"/>
          <w:b w:val="0"/>
          <w:bCs w:val="0"/>
          <w:sz w:val="28"/>
          <w:szCs w:val="28"/>
        </w:rPr>
      </w:pPr>
      <w:r w:rsidRPr="00362FE8">
        <w:rPr>
          <w:rFonts w:ascii="Times New Roman" w:hAnsi="Times New Roman" w:cs="Times New Roman"/>
          <w:sz w:val="24"/>
          <w:szCs w:val="24"/>
        </w:rPr>
        <w:t xml:space="preserve">Raza, M. A. S., Feng, L. Y., Khan, I., Wasaya, A., Ansar, M., Hussain, A., ... &amp; Xiang, W. (2020). </w:t>
      </w:r>
      <w:r w:rsidRPr="00362FE8">
        <w:rPr>
          <w:rStyle w:val="Emphasis"/>
          <w:rFonts w:ascii="Times New Roman" w:hAnsi="Times New Roman" w:cs="Times New Roman"/>
          <w:sz w:val="24"/>
          <w:szCs w:val="24"/>
        </w:rPr>
        <w:t>Effect of nitrogen, phosphorus, and potassium fertilizers on growth, yield, and nutrient uptake of sweet corn</w:t>
      </w:r>
      <w:r w:rsidRPr="00362FE8">
        <w:rPr>
          <w:rFonts w:ascii="Times New Roman" w:hAnsi="Times New Roman" w:cs="Times New Roman"/>
          <w:sz w:val="24"/>
          <w:szCs w:val="24"/>
        </w:rPr>
        <w:t>. Agronomy, 10(6), 857. https://doi.org/10.3390/agronomy10060857</w:t>
      </w:r>
    </w:p>
    <w:p w14:paraId="354C2A10" w14:textId="77777777" w:rsidR="007767E2" w:rsidRPr="00362FE8" w:rsidRDefault="007767E2" w:rsidP="007767E2">
      <w:pPr>
        <w:ind w:left="851" w:hanging="851"/>
        <w:jc w:val="both"/>
        <w:rPr>
          <w:rFonts w:ascii="Times New Roman" w:eastAsia="SimSun" w:hAnsi="Times New Roman" w:cs="Times New Roman"/>
          <w:sz w:val="28"/>
          <w:szCs w:val="28"/>
          <w:shd w:val="clear" w:color="auto" w:fill="FFFFFF"/>
        </w:rPr>
      </w:pPr>
      <w:proofErr w:type="spellStart"/>
      <w:r w:rsidRPr="0007519B">
        <w:rPr>
          <w:rStyle w:val="Strong"/>
          <w:rFonts w:ascii="Times New Roman" w:hAnsi="Times New Roman"/>
          <w:b w:val="0"/>
          <w:bCs w:val="0"/>
          <w:sz w:val="24"/>
          <w:szCs w:val="24"/>
        </w:rPr>
        <w:t>Razaq</w:t>
      </w:r>
      <w:proofErr w:type="spellEnd"/>
      <w:r w:rsidRPr="0007519B">
        <w:rPr>
          <w:rStyle w:val="Strong"/>
          <w:rFonts w:ascii="Times New Roman" w:hAnsi="Times New Roman"/>
          <w:b w:val="0"/>
          <w:bCs w:val="0"/>
          <w:sz w:val="24"/>
          <w:szCs w:val="24"/>
        </w:rPr>
        <w:t>, M., Zhang, P., Shen, H.-L., &amp; Salahuddin, N.</w:t>
      </w:r>
      <w:r w:rsidRPr="0007519B">
        <w:rPr>
          <w:rFonts w:ascii="Times New Roman" w:hAnsi="Times New Roman" w:cs="Times New Roman"/>
          <w:sz w:val="24"/>
          <w:szCs w:val="24"/>
        </w:rPr>
        <w:t xml:space="preserve"> (2017). Influence of nitrogen and phosphorous on the growth and root morphology of Acer mono. </w:t>
      </w:r>
      <w:proofErr w:type="spellStart"/>
      <w:r w:rsidRPr="0007519B">
        <w:rPr>
          <w:rStyle w:val="Emphasis"/>
          <w:rFonts w:ascii="Times New Roman" w:hAnsi="Times New Roman" w:cs="Times New Roman"/>
          <w:sz w:val="24"/>
          <w:szCs w:val="24"/>
        </w:rPr>
        <w:t>PloS</w:t>
      </w:r>
      <w:proofErr w:type="spellEnd"/>
      <w:r w:rsidRPr="0007519B">
        <w:rPr>
          <w:rStyle w:val="Emphasis"/>
          <w:rFonts w:ascii="Times New Roman" w:hAnsi="Times New Roman" w:cs="Times New Roman"/>
          <w:sz w:val="24"/>
          <w:szCs w:val="24"/>
        </w:rPr>
        <w:t xml:space="preserve"> One</w:t>
      </w:r>
      <w:r w:rsidRPr="0007519B">
        <w:rPr>
          <w:rFonts w:ascii="Times New Roman" w:hAnsi="Times New Roman" w:cs="Times New Roman"/>
          <w:sz w:val="24"/>
          <w:szCs w:val="24"/>
        </w:rPr>
        <w:t>, 12(2), e0171321. https://doi.org/10.1371/journal.pone.0171321</w:t>
      </w:r>
    </w:p>
    <w:p w14:paraId="45F664E1" w14:textId="77777777" w:rsidR="007767E2" w:rsidRPr="00362FE8" w:rsidRDefault="007767E2" w:rsidP="007767E2">
      <w:pPr>
        <w:ind w:left="851" w:hanging="851"/>
        <w:rPr>
          <w:rFonts w:ascii="Times New Roman" w:hAnsi="Times New Roman" w:cs="Times New Roman"/>
          <w:sz w:val="28"/>
          <w:szCs w:val="28"/>
        </w:rPr>
      </w:pPr>
      <w:proofErr w:type="spellStart"/>
      <w:r w:rsidRPr="00362FE8">
        <w:rPr>
          <w:rFonts w:ascii="Times New Roman" w:hAnsi="Times New Roman" w:cs="Times New Roman"/>
          <w:sz w:val="24"/>
          <w:szCs w:val="24"/>
        </w:rPr>
        <w:t>Sainju</w:t>
      </w:r>
      <w:proofErr w:type="spellEnd"/>
      <w:r w:rsidRPr="00362FE8">
        <w:rPr>
          <w:rFonts w:ascii="Times New Roman" w:hAnsi="Times New Roman" w:cs="Times New Roman"/>
          <w:sz w:val="24"/>
          <w:szCs w:val="24"/>
        </w:rPr>
        <w:t xml:space="preserve">, U. M., Ghimire, R., &amp; Pradhan, G. P. (2019). Nitrogen fertilization: Impact on crop, soil, and environment. In </w:t>
      </w:r>
      <w:r w:rsidRPr="00362FE8">
        <w:rPr>
          <w:rStyle w:val="Emphasis"/>
          <w:rFonts w:ascii="Times New Roman" w:hAnsi="Times New Roman" w:cs="Times New Roman"/>
          <w:sz w:val="24"/>
          <w:szCs w:val="24"/>
        </w:rPr>
        <w:t>Nitrogen fixation</w:t>
      </w:r>
      <w:r w:rsidRPr="00362FE8">
        <w:rPr>
          <w:rFonts w:ascii="Times New Roman" w:hAnsi="Times New Roman" w:cs="Times New Roman"/>
          <w:sz w:val="24"/>
          <w:szCs w:val="24"/>
        </w:rPr>
        <w:t xml:space="preserve"> (pp. 1-20). </w:t>
      </w:r>
      <w:proofErr w:type="spellStart"/>
      <w:r w:rsidRPr="00362FE8">
        <w:rPr>
          <w:rFonts w:ascii="Times New Roman" w:hAnsi="Times New Roman" w:cs="Times New Roman"/>
          <w:sz w:val="24"/>
          <w:szCs w:val="24"/>
        </w:rPr>
        <w:t>IntechOpen</w:t>
      </w:r>
      <w:proofErr w:type="spellEnd"/>
      <w:r w:rsidRPr="00362FE8">
        <w:rPr>
          <w:rFonts w:ascii="Times New Roman" w:hAnsi="Times New Roman" w:cs="Times New Roman"/>
          <w:sz w:val="24"/>
          <w:szCs w:val="24"/>
        </w:rPr>
        <w:t>. https://doi.org/10.5772/intechopen.86028</w:t>
      </w:r>
    </w:p>
    <w:p w14:paraId="1888E701" w14:textId="77777777" w:rsidR="007767E2" w:rsidRPr="0007519B" w:rsidRDefault="007767E2" w:rsidP="007767E2">
      <w:pPr>
        <w:ind w:left="851" w:hanging="851"/>
        <w:rPr>
          <w:rFonts w:ascii="Times New Roman" w:eastAsia="SimSun" w:hAnsi="Times New Roman" w:cs="Times New Roman"/>
          <w:sz w:val="28"/>
          <w:szCs w:val="28"/>
          <w:shd w:val="clear" w:color="auto" w:fill="FFFFFF"/>
        </w:rPr>
      </w:pPr>
      <w:r w:rsidRPr="0007519B">
        <w:rPr>
          <w:rFonts w:ascii="Times New Roman" w:hAnsi="Times New Roman" w:cs="Times New Roman"/>
          <w:sz w:val="24"/>
          <w:szCs w:val="24"/>
        </w:rPr>
        <w:t xml:space="preserve">Sharma, A., &amp; Sharma, R. (2020). Influence of phosphorus on root morphology and yield traits in maize: A review. </w:t>
      </w:r>
      <w:r w:rsidRPr="0007519B">
        <w:rPr>
          <w:rStyle w:val="Emphasis"/>
          <w:rFonts w:ascii="Times New Roman" w:hAnsi="Times New Roman" w:cs="Times New Roman"/>
          <w:sz w:val="24"/>
          <w:szCs w:val="24"/>
        </w:rPr>
        <w:t>Journal of Plant Nutrition</w:t>
      </w:r>
      <w:r w:rsidRPr="0007519B">
        <w:rPr>
          <w:rFonts w:ascii="Times New Roman" w:hAnsi="Times New Roman" w:cs="Times New Roman"/>
          <w:sz w:val="24"/>
          <w:szCs w:val="24"/>
        </w:rPr>
        <w:t>, 43(12), 1751-1763. https://doi.org/10.1080/01904167.2020.1758305</w:t>
      </w:r>
    </w:p>
    <w:p w14:paraId="5712CDFB" w14:textId="77777777" w:rsidR="007767E2" w:rsidRPr="00362FE8" w:rsidRDefault="007767E2" w:rsidP="007767E2">
      <w:pPr>
        <w:ind w:left="709" w:hanging="709"/>
        <w:jc w:val="both"/>
        <w:rPr>
          <w:rFonts w:ascii="Times New Roman" w:eastAsia="SimSun" w:hAnsi="Times New Roman" w:cs="Times New Roman"/>
          <w:sz w:val="24"/>
          <w:szCs w:val="24"/>
          <w:shd w:val="clear" w:color="auto" w:fill="FFFFFF"/>
        </w:rPr>
      </w:pPr>
      <w:r w:rsidRPr="00362FE8">
        <w:rPr>
          <w:rFonts w:ascii="Times New Roman" w:hAnsi="Times New Roman" w:cs="Times New Roman"/>
          <w:sz w:val="24"/>
          <w:szCs w:val="24"/>
        </w:rPr>
        <w:t xml:space="preserve">Shen, J. (2012). Localized fertilization with P plus N elicits an ammonium-dependent enhancement of maize root growth and nutrient uptake. </w:t>
      </w:r>
      <w:r w:rsidRPr="00362FE8">
        <w:rPr>
          <w:rStyle w:val="Emphasis"/>
          <w:rFonts w:ascii="Times New Roman" w:hAnsi="Times New Roman" w:cs="Times New Roman"/>
          <w:sz w:val="24"/>
          <w:szCs w:val="24"/>
        </w:rPr>
        <w:t>Field Crops Research</w:t>
      </w:r>
      <w:r w:rsidRPr="00362FE8">
        <w:rPr>
          <w:rFonts w:ascii="Times New Roman" w:hAnsi="Times New Roman" w:cs="Times New Roman"/>
          <w:sz w:val="24"/>
          <w:szCs w:val="24"/>
        </w:rPr>
        <w:t>, 124, 123-132. https://doi.org/10.1016/j.fcr.2012.05.004</w:t>
      </w:r>
    </w:p>
    <w:p w14:paraId="0774EE01" w14:textId="77777777" w:rsidR="007767E2" w:rsidRPr="0007519B" w:rsidRDefault="007767E2" w:rsidP="007767E2">
      <w:pPr>
        <w:ind w:left="709" w:hanging="709"/>
        <w:jc w:val="both"/>
        <w:rPr>
          <w:rFonts w:ascii="Times New Roman" w:eastAsia="SimSun" w:hAnsi="Times New Roman" w:cs="Times New Roman"/>
          <w:sz w:val="24"/>
          <w:szCs w:val="24"/>
          <w:shd w:val="clear" w:color="auto" w:fill="FFFFFF"/>
        </w:rPr>
      </w:pPr>
      <w:r w:rsidRPr="0007519B">
        <w:rPr>
          <w:rFonts w:ascii="Times New Roman" w:eastAsia="SimSun" w:hAnsi="Times New Roman" w:cs="Times New Roman"/>
          <w:sz w:val="24"/>
          <w:szCs w:val="24"/>
          <w:shd w:val="clear" w:color="auto" w:fill="FFFFFF"/>
        </w:rPr>
        <w:t xml:space="preserve">Smith, D.L. &amp; </w:t>
      </w:r>
      <w:proofErr w:type="spellStart"/>
      <w:r w:rsidRPr="0007519B">
        <w:rPr>
          <w:rFonts w:ascii="Times New Roman" w:eastAsia="SimSun" w:hAnsi="Times New Roman" w:cs="Times New Roman"/>
          <w:sz w:val="24"/>
          <w:szCs w:val="24"/>
          <w:shd w:val="clear" w:color="auto" w:fill="FFFFFF"/>
        </w:rPr>
        <w:t>Msimbira</w:t>
      </w:r>
      <w:proofErr w:type="spellEnd"/>
      <w:r w:rsidRPr="0007519B">
        <w:rPr>
          <w:rFonts w:ascii="Times New Roman" w:eastAsia="SimSun" w:hAnsi="Times New Roman" w:cs="Times New Roman"/>
          <w:sz w:val="24"/>
          <w:szCs w:val="24"/>
          <w:shd w:val="clear" w:color="auto" w:fill="FFFFFF"/>
        </w:rPr>
        <w:t>, L. A., (2020). The roles of plant growth promoting microbes in enhancing plant tolerance to acidity and alkalinity stresses. </w:t>
      </w:r>
      <w:r w:rsidRPr="0007519B">
        <w:rPr>
          <w:rFonts w:ascii="Times New Roman" w:eastAsia="SimSun" w:hAnsi="Times New Roman" w:cs="Times New Roman"/>
          <w:i/>
          <w:iCs/>
          <w:sz w:val="24"/>
          <w:szCs w:val="24"/>
          <w:shd w:val="clear" w:color="auto" w:fill="FFFFFF"/>
        </w:rPr>
        <w:t>Frontiers in Sustainable Food Systems</w:t>
      </w:r>
      <w:r w:rsidRPr="0007519B">
        <w:rPr>
          <w:rFonts w:ascii="Times New Roman" w:eastAsia="SimSun" w:hAnsi="Times New Roman" w:cs="Times New Roman"/>
          <w:sz w:val="24"/>
          <w:szCs w:val="24"/>
          <w:shd w:val="clear" w:color="auto" w:fill="FFFFFF"/>
        </w:rPr>
        <w:t>, </w:t>
      </w:r>
      <w:r w:rsidRPr="0007519B">
        <w:rPr>
          <w:rFonts w:ascii="Times New Roman" w:eastAsia="SimSun" w:hAnsi="Times New Roman" w:cs="Times New Roman"/>
          <w:i/>
          <w:iCs/>
          <w:sz w:val="24"/>
          <w:szCs w:val="24"/>
          <w:shd w:val="clear" w:color="auto" w:fill="FFFFFF"/>
        </w:rPr>
        <w:t>4</w:t>
      </w:r>
      <w:r w:rsidRPr="0007519B">
        <w:rPr>
          <w:rFonts w:ascii="Times New Roman" w:eastAsia="SimSun" w:hAnsi="Times New Roman" w:cs="Times New Roman"/>
          <w:sz w:val="24"/>
          <w:szCs w:val="24"/>
          <w:shd w:val="clear" w:color="auto" w:fill="FFFFFF"/>
        </w:rPr>
        <w:t>, 106.</w:t>
      </w:r>
    </w:p>
    <w:p w14:paraId="2BDB4B58" w14:textId="77777777" w:rsidR="007767E2" w:rsidRPr="00362FE8" w:rsidRDefault="007767E2" w:rsidP="007767E2">
      <w:pPr>
        <w:ind w:left="709" w:hanging="709"/>
        <w:jc w:val="both"/>
        <w:rPr>
          <w:rFonts w:ascii="Times New Roman" w:eastAsia="SimSun" w:hAnsi="Times New Roman" w:cs="Times New Roman"/>
          <w:sz w:val="28"/>
          <w:szCs w:val="28"/>
          <w:shd w:val="clear" w:color="auto" w:fill="FFFFFF"/>
        </w:rPr>
      </w:pPr>
      <w:r w:rsidRPr="00362FE8">
        <w:rPr>
          <w:rFonts w:ascii="Times New Roman" w:hAnsi="Times New Roman" w:cs="Times New Roman"/>
          <w:sz w:val="24"/>
          <w:szCs w:val="24"/>
        </w:rPr>
        <w:t xml:space="preserve">Shweta, N., Upadhyay, N., &amp; Singh, H. C. (2020). Genetic analysis of sweet corn inbred lines and hybrids. </w:t>
      </w:r>
      <w:r w:rsidRPr="00362FE8">
        <w:rPr>
          <w:rStyle w:val="Emphasis"/>
          <w:rFonts w:ascii="Times New Roman" w:hAnsi="Times New Roman" w:cs="Times New Roman"/>
          <w:sz w:val="24"/>
          <w:szCs w:val="24"/>
        </w:rPr>
        <w:t>Journal of Pharmacognosy and Phytochemistry, 9</w:t>
      </w:r>
      <w:r w:rsidRPr="00362FE8">
        <w:rPr>
          <w:rFonts w:ascii="Times New Roman" w:hAnsi="Times New Roman" w:cs="Times New Roman"/>
          <w:sz w:val="24"/>
          <w:szCs w:val="24"/>
        </w:rPr>
        <w:t>(5), 920-924. https://doi.org/10.1186/s42269-020-00465-y</w:t>
      </w:r>
    </w:p>
    <w:p w14:paraId="16E6448A" w14:textId="77777777" w:rsidR="007767E2" w:rsidRPr="00362FE8" w:rsidRDefault="007767E2" w:rsidP="007767E2">
      <w:pPr>
        <w:ind w:left="709" w:hanging="709"/>
        <w:jc w:val="both"/>
        <w:rPr>
          <w:rFonts w:ascii="Times New Roman" w:hAnsi="Times New Roman" w:cs="Times New Roman"/>
          <w:sz w:val="28"/>
          <w:szCs w:val="28"/>
        </w:rPr>
      </w:pPr>
      <w:proofErr w:type="spellStart"/>
      <w:r w:rsidRPr="00362FE8">
        <w:rPr>
          <w:rFonts w:ascii="Times New Roman" w:hAnsi="Times New Roman" w:cs="Times New Roman"/>
          <w:sz w:val="24"/>
          <w:szCs w:val="24"/>
        </w:rPr>
        <w:t>Swify</w:t>
      </w:r>
      <w:proofErr w:type="spellEnd"/>
      <w:r w:rsidRPr="00362FE8">
        <w:rPr>
          <w:rFonts w:ascii="Times New Roman" w:hAnsi="Times New Roman" w:cs="Times New Roman"/>
          <w:sz w:val="24"/>
          <w:szCs w:val="24"/>
        </w:rPr>
        <w:t xml:space="preserve">, S., </w:t>
      </w:r>
      <w:proofErr w:type="spellStart"/>
      <w:r w:rsidRPr="00362FE8">
        <w:rPr>
          <w:rFonts w:ascii="Times New Roman" w:hAnsi="Times New Roman" w:cs="Times New Roman"/>
          <w:sz w:val="24"/>
          <w:szCs w:val="24"/>
        </w:rPr>
        <w:t>Mažeika</w:t>
      </w:r>
      <w:proofErr w:type="spellEnd"/>
      <w:r w:rsidRPr="00362FE8">
        <w:rPr>
          <w:rFonts w:ascii="Times New Roman" w:hAnsi="Times New Roman" w:cs="Times New Roman"/>
          <w:sz w:val="24"/>
          <w:szCs w:val="24"/>
        </w:rPr>
        <w:t xml:space="preserve">, R., </w:t>
      </w:r>
      <w:proofErr w:type="spellStart"/>
      <w:r w:rsidRPr="00362FE8">
        <w:rPr>
          <w:rFonts w:ascii="Times New Roman" w:hAnsi="Times New Roman" w:cs="Times New Roman"/>
          <w:sz w:val="24"/>
          <w:szCs w:val="24"/>
        </w:rPr>
        <w:t>Baltrusaitis</w:t>
      </w:r>
      <w:proofErr w:type="spellEnd"/>
      <w:r w:rsidRPr="00362FE8">
        <w:rPr>
          <w:rFonts w:ascii="Times New Roman" w:hAnsi="Times New Roman" w:cs="Times New Roman"/>
          <w:sz w:val="24"/>
          <w:szCs w:val="24"/>
        </w:rPr>
        <w:t xml:space="preserve">, J., </w:t>
      </w:r>
      <w:proofErr w:type="spellStart"/>
      <w:r w:rsidRPr="00362FE8">
        <w:rPr>
          <w:rFonts w:ascii="Times New Roman" w:hAnsi="Times New Roman" w:cs="Times New Roman"/>
          <w:sz w:val="24"/>
          <w:szCs w:val="24"/>
        </w:rPr>
        <w:t>Drapanauskaitė</w:t>
      </w:r>
      <w:proofErr w:type="spellEnd"/>
      <w:r w:rsidRPr="00362FE8">
        <w:rPr>
          <w:rFonts w:ascii="Times New Roman" w:hAnsi="Times New Roman" w:cs="Times New Roman"/>
          <w:sz w:val="24"/>
          <w:szCs w:val="24"/>
        </w:rPr>
        <w:t xml:space="preserve">, D., &amp; </w:t>
      </w:r>
      <w:proofErr w:type="spellStart"/>
      <w:r w:rsidRPr="00362FE8">
        <w:rPr>
          <w:rFonts w:ascii="Times New Roman" w:hAnsi="Times New Roman" w:cs="Times New Roman"/>
          <w:sz w:val="24"/>
          <w:szCs w:val="24"/>
        </w:rPr>
        <w:t>Barčauskaitė</w:t>
      </w:r>
      <w:proofErr w:type="spellEnd"/>
      <w:r w:rsidRPr="00362FE8">
        <w:rPr>
          <w:rFonts w:ascii="Times New Roman" w:hAnsi="Times New Roman" w:cs="Times New Roman"/>
          <w:sz w:val="24"/>
          <w:szCs w:val="24"/>
        </w:rPr>
        <w:t xml:space="preserve">, K. (2024). Review: Modified urea fertilizers and their effects on improving nitrogen use efficiency (NUE). </w:t>
      </w:r>
      <w:r w:rsidRPr="00362FE8">
        <w:rPr>
          <w:rStyle w:val="Emphasis"/>
          <w:rFonts w:ascii="Times New Roman" w:hAnsi="Times New Roman" w:cs="Times New Roman"/>
          <w:sz w:val="24"/>
          <w:szCs w:val="24"/>
        </w:rPr>
        <w:t>Sustainability, 16</w:t>
      </w:r>
      <w:r w:rsidRPr="00362FE8">
        <w:rPr>
          <w:rFonts w:ascii="Times New Roman" w:hAnsi="Times New Roman" w:cs="Times New Roman"/>
          <w:sz w:val="24"/>
          <w:szCs w:val="24"/>
        </w:rPr>
        <w:t>(1), 188. https://doi.org/10.3390/su16010188</w:t>
      </w:r>
    </w:p>
    <w:p w14:paraId="1AE0263F" w14:textId="77777777" w:rsidR="007767E2" w:rsidRPr="00362FE8" w:rsidRDefault="007767E2" w:rsidP="007767E2">
      <w:pPr>
        <w:ind w:left="709" w:hanging="709"/>
        <w:jc w:val="both"/>
        <w:rPr>
          <w:rFonts w:ascii="Times New Roman" w:hAnsi="Times New Roman" w:cs="Times New Roman"/>
          <w:sz w:val="28"/>
          <w:szCs w:val="28"/>
        </w:rPr>
      </w:pPr>
      <w:r w:rsidRPr="00362FE8">
        <w:rPr>
          <w:rFonts w:ascii="Times New Roman" w:hAnsi="Times New Roman" w:cs="Times New Roman"/>
          <w:sz w:val="24"/>
          <w:szCs w:val="24"/>
        </w:rPr>
        <w:t>Wani, S. H., Vijayan, R., Choudhary, M., Kumar, A., Zaid, A., Singh, V., Kumar, P., &amp; Yasin, J. K. (2021). Nitrogen use efficiency (NUE): elucidated mechanisms, mapped genes and gene networks in maize (</w:t>
      </w:r>
      <w:proofErr w:type="spellStart"/>
      <w:r w:rsidRPr="00362FE8">
        <w:rPr>
          <w:rStyle w:val="Emphasis"/>
          <w:rFonts w:ascii="Times New Roman" w:hAnsi="Times New Roman" w:cs="Times New Roman"/>
          <w:sz w:val="24"/>
          <w:szCs w:val="24"/>
        </w:rPr>
        <w:t>Zea</w:t>
      </w:r>
      <w:proofErr w:type="spellEnd"/>
      <w:r w:rsidRPr="00362FE8">
        <w:rPr>
          <w:rStyle w:val="Emphasis"/>
          <w:rFonts w:ascii="Times New Roman" w:hAnsi="Times New Roman" w:cs="Times New Roman"/>
          <w:sz w:val="24"/>
          <w:szCs w:val="24"/>
        </w:rPr>
        <w:t xml:space="preserve"> mays</w:t>
      </w:r>
      <w:r w:rsidRPr="00362FE8">
        <w:rPr>
          <w:rFonts w:ascii="Times New Roman" w:hAnsi="Times New Roman" w:cs="Times New Roman"/>
          <w:sz w:val="24"/>
          <w:szCs w:val="24"/>
        </w:rPr>
        <w:t xml:space="preserve"> L.). </w:t>
      </w:r>
      <w:r w:rsidRPr="00362FE8">
        <w:rPr>
          <w:rStyle w:val="Emphasis"/>
          <w:rFonts w:ascii="Times New Roman" w:hAnsi="Times New Roman" w:cs="Times New Roman"/>
          <w:sz w:val="24"/>
          <w:szCs w:val="24"/>
        </w:rPr>
        <w:t>Physiology and Molecular Biology of Plants</w:t>
      </w:r>
      <w:r w:rsidRPr="00362FE8">
        <w:rPr>
          <w:rFonts w:ascii="Times New Roman" w:hAnsi="Times New Roman" w:cs="Times New Roman"/>
          <w:sz w:val="24"/>
          <w:szCs w:val="24"/>
        </w:rPr>
        <w:t>, 27(12), 2875-2891. https://doi.org/10.1007/s12298-021-01113-z</w:t>
      </w:r>
    </w:p>
    <w:p w14:paraId="2427F6A3" w14:textId="3DBE9586" w:rsidR="007767E2" w:rsidRDefault="007767E2" w:rsidP="007767E2">
      <w:pPr>
        <w:ind w:left="567" w:hanging="567"/>
        <w:jc w:val="both"/>
        <w:rPr>
          <w:rFonts w:ascii="Times New Roman" w:hAnsi="Times New Roman" w:cs="Times New Roman"/>
          <w:sz w:val="24"/>
          <w:szCs w:val="24"/>
        </w:rPr>
      </w:pPr>
      <w:r w:rsidRPr="00362FE8">
        <w:rPr>
          <w:rFonts w:ascii="Times New Roman" w:hAnsi="Times New Roman" w:cs="Times New Roman"/>
          <w:sz w:val="24"/>
          <w:szCs w:val="24"/>
        </w:rPr>
        <w:t xml:space="preserve">Zhao, R., Liu, J., Xu, N., He, T., Meng, J., &amp; Liu, Z. (2022). Urea hydrolysis in different farmland soils as affected by long-term biochar application. </w:t>
      </w:r>
      <w:r w:rsidRPr="00362FE8">
        <w:rPr>
          <w:rStyle w:val="Emphasis"/>
          <w:rFonts w:ascii="Times New Roman" w:hAnsi="Times New Roman" w:cs="Times New Roman"/>
          <w:sz w:val="24"/>
          <w:szCs w:val="24"/>
        </w:rPr>
        <w:t>Frontiers in Environmental Science, 10</w:t>
      </w:r>
      <w:r w:rsidRPr="00362FE8">
        <w:rPr>
          <w:rFonts w:ascii="Times New Roman" w:hAnsi="Times New Roman" w:cs="Times New Roman"/>
          <w:sz w:val="24"/>
          <w:szCs w:val="24"/>
        </w:rPr>
        <w:t xml:space="preserve">, 950482. </w:t>
      </w:r>
      <w:hyperlink r:id="rId12" w:history="1">
        <w:r w:rsidR="004B0361" w:rsidRPr="00F61A7C">
          <w:rPr>
            <w:rStyle w:val="Hyperlink"/>
            <w:rFonts w:ascii="Times New Roman" w:hAnsi="Times New Roman" w:cs="Times New Roman"/>
            <w:sz w:val="24"/>
            <w:szCs w:val="24"/>
          </w:rPr>
          <w:t>https://doi.org/10.3389/fenvs.2022.950482</w:t>
        </w:r>
      </w:hyperlink>
    </w:p>
    <w:p w14:paraId="636C1A07" w14:textId="67BFB464" w:rsidR="004B0361" w:rsidRPr="00BA5F62" w:rsidRDefault="004B0361" w:rsidP="007767E2">
      <w:pPr>
        <w:ind w:left="567" w:hanging="567"/>
        <w:jc w:val="both"/>
        <w:rPr>
          <w:rFonts w:ascii="Times New Roman" w:eastAsia="SimSun" w:hAnsi="Times New Roman" w:cs="Times New Roman"/>
          <w:sz w:val="28"/>
          <w:szCs w:val="28"/>
          <w:highlight w:val="yellow"/>
          <w:shd w:val="clear" w:color="auto" w:fill="FFFFFF"/>
        </w:rPr>
      </w:pPr>
      <w:proofErr w:type="spellStart"/>
      <w:r w:rsidRPr="00BA5F62">
        <w:rPr>
          <w:rFonts w:ascii="Times New Roman" w:eastAsia="SimSun" w:hAnsi="Times New Roman" w:cs="Times New Roman"/>
          <w:sz w:val="28"/>
          <w:szCs w:val="28"/>
          <w:highlight w:val="yellow"/>
          <w:shd w:val="clear" w:color="auto" w:fill="FFFFFF"/>
        </w:rPr>
        <w:lastRenderedPageBreak/>
        <w:t>Walne</w:t>
      </w:r>
      <w:proofErr w:type="spellEnd"/>
      <w:r w:rsidRPr="00BA5F62">
        <w:rPr>
          <w:rFonts w:ascii="Times New Roman" w:eastAsia="SimSun" w:hAnsi="Times New Roman" w:cs="Times New Roman"/>
          <w:sz w:val="28"/>
          <w:szCs w:val="28"/>
          <w:highlight w:val="yellow"/>
          <w:shd w:val="clear" w:color="auto" w:fill="FFFFFF"/>
        </w:rPr>
        <w:t>, C. H., &amp; Reddy, K. R. (2022). Temperature effects on the shoot and root growth, development, and biomass accumulation of corn (</w:t>
      </w:r>
      <w:proofErr w:type="spellStart"/>
      <w:r w:rsidRPr="00BA5F62">
        <w:rPr>
          <w:rFonts w:ascii="Times New Roman" w:eastAsia="SimSun" w:hAnsi="Times New Roman" w:cs="Times New Roman"/>
          <w:sz w:val="28"/>
          <w:szCs w:val="28"/>
          <w:highlight w:val="yellow"/>
          <w:shd w:val="clear" w:color="auto" w:fill="FFFFFF"/>
        </w:rPr>
        <w:t>Zea</w:t>
      </w:r>
      <w:proofErr w:type="spellEnd"/>
      <w:r w:rsidRPr="00BA5F62">
        <w:rPr>
          <w:rFonts w:ascii="Times New Roman" w:eastAsia="SimSun" w:hAnsi="Times New Roman" w:cs="Times New Roman"/>
          <w:sz w:val="28"/>
          <w:szCs w:val="28"/>
          <w:highlight w:val="yellow"/>
          <w:shd w:val="clear" w:color="auto" w:fill="FFFFFF"/>
        </w:rPr>
        <w:t xml:space="preserve"> mays L.). Agriculture, 12(4), 443.</w:t>
      </w:r>
    </w:p>
    <w:p w14:paraId="40784748" w14:textId="40045E15" w:rsidR="00B30AB7" w:rsidRPr="00362FE8" w:rsidRDefault="00B30AB7" w:rsidP="007767E2">
      <w:pPr>
        <w:ind w:left="567" w:hanging="567"/>
        <w:jc w:val="both"/>
        <w:rPr>
          <w:rFonts w:ascii="Times New Roman" w:eastAsia="SimSun" w:hAnsi="Times New Roman" w:cs="Times New Roman"/>
          <w:sz w:val="28"/>
          <w:szCs w:val="28"/>
          <w:shd w:val="clear" w:color="auto" w:fill="FFFFFF"/>
        </w:rPr>
      </w:pPr>
      <w:proofErr w:type="spellStart"/>
      <w:r w:rsidRPr="00BA5F62">
        <w:rPr>
          <w:rFonts w:ascii="Times New Roman" w:eastAsia="SimSun" w:hAnsi="Times New Roman" w:cs="Times New Roman"/>
          <w:sz w:val="28"/>
          <w:szCs w:val="28"/>
          <w:highlight w:val="yellow"/>
          <w:shd w:val="clear" w:color="auto" w:fill="FFFFFF"/>
        </w:rPr>
        <w:t>Astiko</w:t>
      </w:r>
      <w:proofErr w:type="spellEnd"/>
      <w:r w:rsidRPr="00BA5F62">
        <w:rPr>
          <w:rFonts w:ascii="Times New Roman" w:eastAsia="SimSun" w:hAnsi="Times New Roman" w:cs="Times New Roman"/>
          <w:sz w:val="28"/>
          <w:szCs w:val="28"/>
          <w:highlight w:val="yellow"/>
          <w:shd w:val="clear" w:color="auto" w:fill="FFFFFF"/>
        </w:rPr>
        <w:t xml:space="preserve">, Wahyu, Sudirman, Mohamad </w:t>
      </w:r>
      <w:proofErr w:type="spellStart"/>
      <w:r w:rsidRPr="00BA5F62">
        <w:rPr>
          <w:rFonts w:ascii="Times New Roman" w:eastAsia="SimSun" w:hAnsi="Times New Roman" w:cs="Times New Roman"/>
          <w:sz w:val="28"/>
          <w:szCs w:val="28"/>
          <w:highlight w:val="yellow"/>
          <w:shd w:val="clear" w:color="auto" w:fill="FFFFFF"/>
        </w:rPr>
        <w:t>Taufik</w:t>
      </w:r>
      <w:proofErr w:type="spellEnd"/>
      <w:r w:rsidRPr="00BA5F62">
        <w:rPr>
          <w:rFonts w:ascii="Times New Roman" w:eastAsia="SimSun" w:hAnsi="Times New Roman" w:cs="Times New Roman"/>
          <w:sz w:val="28"/>
          <w:szCs w:val="28"/>
          <w:highlight w:val="yellow"/>
          <w:shd w:val="clear" w:color="auto" w:fill="FFFFFF"/>
        </w:rPr>
        <w:t xml:space="preserve"> </w:t>
      </w:r>
      <w:proofErr w:type="spellStart"/>
      <w:r w:rsidRPr="00BA5F62">
        <w:rPr>
          <w:rFonts w:ascii="Times New Roman" w:eastAsia="SimSun" w:hAnsi="Times New Roman" w:cs="Times New Roman"/>
          <w:sz w:val="28"/>
          <w:szCs w:val="28"/>
          <w:highlight w:val="yellow"/>
          <w:shd w:val="clear" w:color="auto" w:fill="FFFFFF"/>
        </w:rPr>
        <w:t>Fauzi</w:t>
      </w:r>
      <w:proofErr w:type="spellEnd"/>
      <w:r w:rsidRPr="00BA5F62">
        <w:rPr>
          <w:rFonts w:ascii="Times New Roman" w:eastAsia="SimSun" w:hAnsi="Times New Roman" w:cs="Times New Roman"/>
          <w:sz w:val="28"/>
          <w:szCs w:val="28"/>
          <w:highlight w:val="yellow"/>
          <w:shd w:val="clear" w:color="auto" w:fill="FFFFFF"/>
        </w:rPr>
        <w:t xml:space="preserve">, Ni Made </w:t>
      </w:r>
      <w:proofErr w:type="spellStart"/>
      <w:r w:rsidRPr="00BA5F62">
        <w:rPr>
          <w:rFonts w:ascii="Times New Roman" w:eastAsia="SimSun" w:hAnsi="Times New Roman" w:cs="Times New Roman"/>
          <w:sz w:val="28"/>
          <w:szCs w:val="28"/>
          <w:highlight w:val="yellow"/>
          <w:shd w:val="clear" w:color="auto" w:fill="FFFFFF"/>
        </w:rPr>
        <w:t>Laksmi</w:t>
      </w:r>
      <w:proofErr w:type="spellEnd"/>
      <w:r w:rsidRPr="00BA5F62">
        <w:rPr>
          <w:rFonts w:ascii="Times New Roman" w:eastAsia="SimSun" w:hAnsi="Times New Roman" w:cs="Times New Roman"/>
          <w:sz w:val="28"/>
          <w:szCs w:val="28"/>
          <w:highlight w:val="yellow"/>
          <w:shd w:val="clear" w:color="auto" w:fill="FFFFFF"/>
        </w:rPr>
        <w:t xml:space="preserve"> </w:t>
      </w:r>
      <w:proofErr w:type="spellStart"/>
      <w:r w:rsidRPr="00BA5F62">
        <w:rPr>
          <w:rFonts w:ascii="Times New Roman" w:eastAsia="SimSun" w:hAnsi="Times New Roman" w:cs="Times New Roman"/>
          <w:sz w:val="28"/>
          <w:szCs w:val="28"/>
          <w:highlight w:val="yellow"/>
          <w:shd w:val="clear" w:color="auto" w:fill="FFFFFF"/>
        </w:rPr>
        <w:t>Ernawati</w:t>
      </w:r>
      <w:proofErr w:type="spellEnd"/>
      <w:r w:rsidRPr="00BA5F62">
        <w:rPr>
          <w:rFonts w:ascii="Times New Roman" w:eastAsia="SimSun" w:hAnsi="Times New Roman" w:cs="Times New Roman"/>
          <w:sz w:val="28"/>
          <w:szCs w:val="28"/>
          <w:highlight w:val="yellow"/>
          <w:shd w:val="clear" w:color="auto" w:fill="FFFFFF"/>
        </w:rPr>
        <w:t xml:space="preserve">, and </w:t>
      </w:r>
      <w:proofErr w:type="spellStart"/>
      <w:r w:rsidRPr="00BA5F62">
        <w:rPr>
          <w:rFonts w:ascii="Times New Roman" w:eastAsia="SimSun" w:hAnsi="Times New Roman" w:cs="Times New Roman"/>
          <w:sz w:val="28"/>
          <w:szCs w:val="28"/>
          <w:highlight w:val="yellow"/>
          <w:shd w:val="clear" w:color="auto" w:fill="FFFFFF"/>
        </w:rPr>
        <w:t>Irwan</w:t>
      </w:r>
      <w:proofErr w:type="spellEnd"/>
      <w:r w:rsidRPr="00BA5F62">
        <w:rPr>
          <w:rFonts w:ascii="Times New Roman" w:eastAsia="SimSun" w:hAnsi="Times New Roman" w:cs="Times New Roman"/>
          <w:sz w:val="28"/>
          <w:szCs w:val="28"/>
          <w:highlight w:val="yellow"/>
          <w:shd w:val="clear" w:color="auto" w:fill="FFFFFF"/>
        </w:rPr>
        <w:t xml:space="preserve"> </w:t>
      </w:r>
      <w:proofErr w:type="spellStart"/>
      <w:r w:rsidRPr="00BA5F62">
        <w:rPr>
          <w:rFonts w:ascii="Times New Roman" w:eastAsia="SimSun" w:hAnsi="Times New Roman" w:cs="Times New Roman"/>
          <w:sz w:val="28"/>
          <w:szCs w:val="28"/>
          <w:highlight w:val="yellow"/>
          <w:shd w:val="clear" w:color="auto" w:fill="FFFFFF"/>
        </w:rPr>
        <w:t>Muthahanas</w:t>
      </w:r>
      <w:proofErr w:type="spellEnd"/>
      <w:r w:rsidRPr="00BA5F62">
        <w:rPr>
          <w:rFonts w:ascii="Times New Roman" w:eastAsia="SimSun" w:hAnsi="Times New Roman" w:cs="Times New Roman"/>
          <w:sz w:val="28"/>
          <w:szCs w:val="28"/>
          <w:highlight w:val="yellow"/>
          <w:shd w:val="clear" w:color="auto" w:fill="FFFFFF"/>
        </w:rPr>
        <w:t xml:space="preserve">. 2025. “Optimization of Growth and Yield of Glutinous Corn </w:t>
      </w:r>
      <w:proofErr w:type="gramStart"/>
      <w:r w:rsidRPr="00BA5F62">
        <w:rPr>
          <w:rFonts w:ascii="Times New Roman" w:eastAsia="SimSun" w:hAnsi="Times New Roman" w:cs="Times New Roman"/>
          <w:sz w:val="28"/>
          <w:szCs w:val="28"/>
          <w:highlight w:val="yellow"/>
          <w:shd w:val="clear" w:color="auto" w:fill="FFFFFF"/>
        </w:rPr>
        <w:t>With</w:t>
      </w:r>
      <w:proofErr w:type="gramEnd"/>
      <w:r w:rsidRPr="00BA5F62">
        <w:rPr>
          <w:rFonts w:ascii="Times New Roman" w:eastAsia="SimSun" w:hAnsi="Times New Roman" w:cs="Times New Roman"/>
          <w:sz w:val="28"/>
          <w:szCs w:val="28"/>
          <w:highlight w:val="yellow"/>
          <w:shd w:val="clear" w:color="auto" w:fill="FFFFFF"/>
        </w:rPr>
        <w:t xml:space="preserve"> the Application of </w:t>
      </w:r>
      <w:proofErr w:type="spellStart"/>
      <w:r w:rsidRPr="00BA5F62">
        <w:rPr>
          <w:rFonts w:ascii="Times New Roman" w:eastAsia="SimSun" w:hAnsi="Times New Roman" w:cs="Times New Roman"/>
          <w:sz w:val="28"/>
          <w:szCs w:val="28"/>
          <w:highlight w:val="yellow"/>
          <w:shd w:val="clear" w:color="auto" w:fill="FFFFFF"/>
        </w:rPr>
        <w:t>Amelioran</w:t>
      </w:r>
      <w:proofErr w:type="spellEnd"/>
      <w:r w:rsidRPr="00BA5F62">
        <w:rPr>
          <w:rFonts w:ascii="Times New Roman" w:eastAsia="SimSun" w:hAnsi="Times New Roman" w:cs="Times New Roman"/>
          <w:sz w:val="28"/>
          <w:szCs w:val="28"/>
          <w:highlight w:val="yellow"/>
          <w:shd w:val="clear" w:color="auto" w:fill="FFFFFF"/>
        </w:rPr>
        <w:t xml:space="preserve"> Formulation Plus </w:t>
      </w:r>
      <w:proofErr w:type="spellStart"/>
      <w:r w:rsidRPr="00BA5F62">
        <w:rPr>
          <w:rFonts w:ascii="Times New Roman" w:eastAsia="SimSun" w:hAnsi="Times New Roman" w:cs="Times New Roman"/>
          <w:sz w:val="28"/>
          <w:szCs w:val="28"/>
          <w:highlight w:val="yellow"/>
          <w:shd w:val="clear" w:color="auto" w:fill="FFFFFF"/>
        </w:rPr>
        <w:t>Mycorrhza</w:t>
      </w:r>
      <w:proofErr w:type="spellEnd"/>
      <w:r w:rsidRPr="00BA5F62">
        <w:rPr>
          <w:rFonts w:ascii="Times New Roman" w:eastAsia="SimSun" w:hAnsi="Times New Roman" w:cs="Times New Roman"/>
          <w:sz w:val="28"/>
          <w:szCs w:val="28"/>
          <w:highlight w:val="yellow"/>
          <w:shd w:val="clear" w:color="auto" w:fill="FFFFFF"/>
        </w:rPr>
        <w:t xml:space="preserve"> on Sandy Soil”. Asian Journal of Agricultural and Horticultural Research 12 (1):83-94. https://doi.org/10.9734/ajahr/2025/v12i1361.</w:t>
      </w:r>
    </w:p>
    <w:p w14:paraId="1E777BB3" w14:textId="77777777" w:rsidR="00BF5351" w:rsidRDefault="00BF5351">
      <w:pPr>
        <w:spacing w:line="360" w:lineRule="auto"/>
        <w:jc w:val="both"/>
      </w:pPr>
    </w:p>
    <w:sectPr w:rsidR="00BF53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95813" w16cex:dateUtc="2025-02-26T06:06:00Z"/>
  <w16cex:commentExtensible w16cex:durableId="2B6958E8" w16cex:dateUtc="2025-02-26T06:10:00Z"/>
  <w16cex:commentExtensible w16cex:durableId="2B695E99" w16cex:dateUtc="2025-02-26T06:34:00Z"/>
  <w16cex:commentExtensible w16cex:durableId="2B695A6B" w16cex:dateUtc="2025-02-26T06:16:00Z"/>
  <w16cex:commentExtensible w16cex:durableId="2B695FBD" w16cex:dateUtc="2025-02-26T06: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FBB67" w14:textId="77777777" w:rsidR="009747FB" w:rsidRDefault="009747FB">
      <w:pPr>
        <w:spacing w:line="240" w:lineRule="auto"/>
      </w:pPr>
      <w:r>
        <w:separator/>
      </w:r>
    </w:p>
  </w:endnote>
  <w:endnote w:type="continuationSeparator" w:id="0">
    <w:p w14:paraId="565F7633" w14:textId="77777777" w:rsidR="009747FB" w:rsidRDefault="00974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E596" w14:textId="77777777" w:rsidR="00F13D08" w:rsidRDefault="00F13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02C8" w14:textId="77777777" w:rsidR="00F13D08" w:rsidRDefault="00F13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4477" w14:textId="77777777" w:rsidR="00F13D08" w:rsidRDefault="00F1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52D4" w14:textId="77777777" w:rsidR="009747FB" w:rsidRDefault="009747FB">
      <w:pPr>
        <w:spacing w:after="0"/>
      </w:pPr>
      <w:r>
        <w:separator/>
      </w:r>
    </w:p>
  </w:footnote>
  <w:footnote w:type="continuationSeparator" w:id="0">
    <w:p w14:paraId="6BC1184A" w14:textId="77777777" w:rsidR="009747FB" w:rsidRDefault="009747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9CEF" w14:textId="542E74CC" w:rsidR="00F13D08" w:rsidRDefault="009747FB">
    <w:pPr>
      <w:pStyle w:val="Header"/>
    </w:pPr>
    <w:r>
      <w:rPr>
        <w:noProof/>
      </w:rPr>
      <w:pict w14:anchorId="5750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9B21" w14:textId="19A0301C" w:rsidR="00F13D08" w:rsidRDefault="009747FB">
    <w:pPr>
      <w:pStyle w:val="Header"/>
    </w:pPr>
    <w:r>
      <w:rPr>
        <w:noProof/>
      </w:rPr>
      <w:pict w14:anchorId="02553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8032" w14:textId="216F320D" w:rsidR="00F13D08" w:rsidRDefault="009747FB">
    <w:pPr>
      <w:pStyle w:val="Header"/>
    </w:pPr>
    <w:r>
      <w:rPr>
        <w:noProof/>
      </w:rPr>
      <w:pict w14:anchorId="7F2AA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09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30CFE"/>
    <w:multiLevelType w:val="multilevel"/>
    <w:tmpl w:val="34530CFE"/>
    <w:lvl w:ilvl="0">
      <w:start w:val="90"/>
      <w:numFmt w:val="bullet"/>
      <w:lvlText w:val=""/>
      <w:lvlJc w:val="left"/>
      <w:pPr>
        <w:ind w:left="720" w:hanging="360"/>
      </w:pPr>
      <w:rPr>
        <w:rFonts w:ascii="Symbol" w:eastAsiaTheme="minorHAns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WwMDU0NDWyNDQ1MDRV0lEKTi0uzszPAykwqgUA3U4yQSwAAAA="/>
  </w:docVars>
  <w:rsids>
    <w:rsidRoot w:val="00C33F74"/>
    <w:rsid w:val="000964ED"/>
    <w:rsid w:val="00097231"/>
    <w:rsid w:val="002715D7"/>
    <w:rsid w:val="002A5604"/>
    <w:rsid w:val="00306A30"/>
    <w:rsid w:val="00387D9C"/>
    <w:rsid w:val="00432EAA"/>
    <w:rsid w:val="00494104"/>
    <w:rsid w:val="004B0361"/>
    <w:rsid w:val="004F6B34"/>
    <w:rsid w:val="00564598"/>
    <w:rsid w:val="005A28C0"/>
    <w:rsid w:val="005B652B"/>
    <w:rsid w:val="00725782"/>
    <w:rsid w:val="00747A1F"/>
    <w:rsid w:val="00760CCC"/>
    <w:rsid w:val="0076613B"/>
    <w:rsid w:val="007767E2"/>
    <w:rsid w:val="007D31C9"/>
    <w:rsid w:val="008837B4"/>
    <w:rsid w:val="00946298"/>
    <w:rsid w:val="009644D9"/>
    <w:rsid w:val="009747FB"/>
    <w:rsid w:val="009A43DD"/>
    <w:rsid w:val="009C31F7"/>
    <w:rsid w:val="009E2369"/>
    <w:rsid w:val="00A01CB9"/>
    <w:rsid w:val="00A416C0"/>
    <w:rsid w:val="00AA0ADE"/>
    <w:rsid w:val="00B30AB7"/>
    <w:rsid w:val="00BA5F62"/>
    <w:rsid w:val="00BF5351"/>
    <w:rsid w:val="00C124D6"/>
    <w:rsid w:val="00C33F74"/>
    <w:rsid w:val="00C5411B"/>
    <w:rsid w:val="00D122E7"/>
    <w:rsid w:val="00D16EE3"/>
    <w:rsid w:val="00E15CDA"/>
    <w:rsid w:val="00E40CA6"/>
    <w:rsid w:val="00F13D08"/>
    <w:rsid w:val="00F24187"/>
    <w:rsid w:val="00F872E0"/>
    <w:rsid w:val="5B852E5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F3362"/>
  <w15:docId w15:val="{78B18F23-454A-4E28-ADCA-7719D6DD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7767E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767E2"/>
    <w:pPr>
      <w:keepNext/>
      <w:keepLines/>
      <w:spacing w:before="260" w:after="260" w:line="416" w:lineRule="auto"/>
      <w:outlineLvl w:val="1"/>
    </w:pPr>
    <w:rPr>
      <w:b/>
      <w:bCs/>
      <w:sz w:val="32"/>
      <w:szCs w:val="32"/>
    </w:rPr>
  </w:style>
  <w:style w:type="paragraph" w:styleId="Heading3">
    <w:name w:val="heading 3"/>
    <w:next w:val="Normal"/>
    <w:link w:val="Heading3Char"/>
    <w:uiPriority w:val="9"/>
    <w:semiHidden/>
    <w:unhideWhenUsed/>
    <w:qFormat/>
    <w:rsid w:val="007767E2"/>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basedOn w:val="Normal"/>
    <w:next w:val="Normal"/>
    <w:link w:val="Heading4Char"/>
    <w:uiPriority w:val="9"/>
    <w:unhideWhenUsed/>
    <w:qFormat/>
    <w:rsid w:val="007767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character" w:customStyle="1" w:styleId="CommentTextChar">
    <w:name w:val="Comment Text Char"/>
    <w:basedOn w:val="DefaultParagraphFont"/>
    <w:link w:val="CommentText"/>
    <w:uiPriority w:val="99"/>
    <w:qFormat/>
    <w:rPr>
      <w:kern w:val="0"/>
      <w:sz w:val="20"/>
      <w:szCs w:val="20"/>
      <w14:ligatures w14:val="none"/>
    </w:rPr>
  </w:style>
  <w:style w:type="character" w:customStyle="1" w:styleId="Heading1Char">
    <w:name w:val="Heading 1 Char"/>
    <w:basedOn w:val="DefaultParagraphFont"/>
    <w:link w:val="Heading1"/>
    <w:uiPriority w:val="9"/>
    <w:rsid w:val="007767E2"/>
    <w:rPr>
      <w:b/>
      <w:bCs/>
      <w:kern w:val="44"/>
      <w:sz w:val="44"/>
      <w:szCs w:val="44"/>
      <w:lang w:eastAsia="en-US"/>
    </w:rPr>
  </w:style>
  <w:style w:type="character" w:customStyle="1" w:styleId="Heading2Char">
    <w:name w:val="Heading 2 Char"/>
    <w:basedOn w:val="DefaultParagraphFont"/>
    <w:link w:val="Heading2"/>
    <w:uiPriority w:val="9"/>
    <w:rsid w:val="007767E2"/>
    <w:rPr>
      <w:b/>
      <w:bCs/>
      <w:sz w:val="32"/>
      <w:szCs w:val="32"/>
      <w:lang w:eastAsia="en-US"/>
    </w:rPr>
  </w:style>
  <w:style w:type="character" w:customStyle="1" w:styleId="Heading3Char">
    <w:name w:val="Heading 3 Char"/>
    <w:basedOn w:val="DefaultParagraphFont"/>
    <w:link w:val="Heading3"/>
    <w:uiPriority w:val="9"/>
    <w:semiHidden/>
    <w:rsid w:val="007767E2"/>
    <w:rPr>
      <w:rFonts w:ascii="SimSun" w:eastAsia="SimSun" w:hAnsi="SimSun" w:cs="Times New Roman"/>
      <w:b/>
      <w:bCs/>
      <w:sz w:val="27"/>
      <w:szCs w:val="27"/>
      <w:lang w:val="en-US" w:eastAsia="zh-CN"/>
    </w:rPr>
  </w:style>
  <w:style w:type="character" w:customStyle="1" w:styleId="Heading4Char">
    <w:name w:val="Heading 4 Char"/>
    <w:basedOn w:val="DefaultParagraphFont"/>
    <w:link w:val="Heading4"/>
    <w:uiPriority w:val="9"/>
    <w:qFormat/>
    <w:rsid w:val="007767E2"/>
    <w:rPr>
      <w:rFonts w:asciiTheme="majorHAnsi" w:eastAsiaTheme="majorEastAsia" w:hAnsiTheme="majorHAnsi" w:cstheme="majorBidi"/>
      <w:i/>
      <w:iCs/>
      <w:color w:val="2F5496" w:themeColor="accent1" w:themeShade="BF"/>
      <w:sz w:val="22"/>
      <w:szCs w:val="22"/>
      <w:lang w:eastAsia="en-US"/>
    </w:rPr>
  </w:style>
  <w:style w:type="paragraph" w:styleId="CommentSubject">
    <w:name w:val="annotation subject"/>
    <w:basedOn w:val="CommentText"/>
    <w:next w:val="CommentText"/>
    <w:link w:val="CommentSubjectChar"/>
    <w:uiPriority w:val="99"/>
    <w:semiHidden/>
    <w:unhideWhenUsed/>
    <w:qFormat/>
    <w:rsid w:val="007767E2"/>
    <w:rPr>
      <w:b/>
      <w:bCs/>
    </w:rPr>
  </w:style>
  <w:style w:type="character" w:customStyle="1" w:styleId="CommentSubjectChar">
    <w:name w:val="Comment Subject Char"/>
    <w:basedOn w:val="CommentTextChar"/>
    <w:link w:val="CommentSubject"/>
    <w:uiPriority w:val="99"/>
    <w:semiHidden/>
    <w:qFormat/>
    <w:rsid w:val="007767E2"/>
    <w:rPr>
      <w:b/>
      <w:bCs/>
      <w:kern w:val="0"/>
      <w:sz w:val="20"/>
      <w:szCs w:val="20"/>
      <w:lang w:eastAsia="en-US"/>
      <w14:ligatures w14:val="none"/>
    </w:rPr>
  </w:style>
  <w:style w:type="character" w:styleId="Emphasis">
    <w:name w:val="Emphasis"/>
    <w:basedOn w:val="DefaultParagraphFont"/>
    <w:uiPriority w:val="20"/>
    <w:qFormat/>
    <w:rsid w:val="007767E2"/>
    <w:rPr>
      <w:i/>
      <w:iCs/>
    </w:rPr>
  </w:style>
  <w:style w:type="paragraph" w:styleId="NormalWeb">
    <w:name w:val="Normal (Web)"/>
    <w:uiPriority w:val="99"/>
    <w:unhideWhenUsed/>
    <w:qFormat/>
    <w:rsid w:val="007767E2"/>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7767E2"/>
    <w:rPr>
      <w:b/>
      <w:bCs/>
    </w:rPr>
  </w:style>
  <w:style w:type="table" w:styleId="TableGrid">
    <w:name w:val="Table Grid"/>
    <w:basedOn w:val="TableNormal"/>
    <w:uiPriority w:val="39"/>
    <w:qFormat/>
    <w:rsid w:val="007767E2"/>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767E2"/>
    <w:rPr>
      <w:color w:val="605E5C"/>
      <w:shd w:val="clear" w:color="auto" w:fill="E1DFDD"/>
    </w:rPr>
  </w:style>
  <w:style w:type="paragraph" w:styleId="ListParagraph">
    <w:name w:val="List Paragraph"/>
    <w:basedOn w:val="Normal"/>
    <w:uiPriority w:val="99"/>
    <w:qFormat/>
    <w:rsid w:val="007767E2"/>
    <w:pPr>
      <w:ind w:left="720"/>
      <w:contextualSpacing/>
    </w:pPr>
  </w:style>
  <w:style w:type="character" w:customStyle="1" w:styleId="UnresolvedMention2">
    <w:name w:val="Unresolved Mention2"/>
    <w:basedOn w:val="DefaultParagraphFont"/>
    <w:uiPriority w:val="99"/>
    <w:semiHidden/>
    <w:unhideWhenUsed/>
    <w:qFormat/>
    <w:rsid w:val="007767E2"/>
    <w:rPr>
      <w:color w:val="605E5C"/>
      <w:shd w:val="clear" w:color="auto" w:fill="E1DFDD"/>
    </w:rPr>
  </w:style>
  <w:style w:type="paragraph" w:customStyle="1" w:styleId="Revision1">
    <w:name w:val="Revision1"/>
    <w:hidden/>
    <w:uiPriority w:val="99"/>
    <w:semiHidden/>
    <w:qFormat/>
    <w:rsid w:val="007767E2"/>
    <w:rPr>
      <w:sz w:val="22"/>
      <w:szCs w:val="22"/>
      <w:lang w:eastAsia="en-US"/>
    </w:rPr>
  </w:style>
  <w:style w:type="paragraph" w:customStyle="1" w:styleId="Revision2">
    <w:name w:val="Revision2"/>
    <w:hidden/>
    <w:uiPriority w:val="99"/>
    <w:semiHidden/>
    <w:qFormat/>
    <w:rsid w:val="007767E2"/>
    <w:rPr>
      <w:sz w:val="22"/>
      <w:szCs w:val="22"/>
      <w:lang w:eastAsia="en-US"/>
    </w:rPr>
  </w:style>
  <w:style w:type="character" w:customStyle="1" w:styleId="UnresolvedMention3">
    <w:name w:val="Unresolved Mention3"/>
    <w:basedOn w:val="DefaultParagraphFont"/>
    <w:uiPriority w:val="99"/>
    <w:semiHidden/>
    <w:unhideWhenUsed/>
    <w:qFormat/>
    <w:rsid w:val="007767E2"/>
    <w:rPr>
      <w:color w:val="605E5C"/>
      <w:shd w:val="clear" w:color="auto" w:fill="E1DFDD"/>
    </w:rPr>
  </w:style>
  <w:style w:type="paragraph" w:styleId="Revision">
    <w:name w:val="Revision"/>
    <w:hidden/>
    <w:uiPriority w:val="99"/>
    <w:semiHidden/>
    <w:rsid w:val="007767E2"/>
    <w:rPr>
      <w:sz w:val="22"/>
      <w:szCs w:val="22"/>
      <w:lang w:eastAsia="en-US"/>
    </w:rPr>
  </w:style>
  <w:style w:type="paragraph" w:styleId="Header">
    <w:name w:val="header"/>
    <w:basedOn w:val="Normal"/>
    <w:link w:val="HeaderChar"/>
    <w:uiPriority w:val="99"/>
    <w:unhideWhenUsed/>
    <w:rsid w:val="00776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E2"/>
    <w:rPr>
      <w:sz w:val="22"/>
      <w:szCs w:val="22"/>
      <w:lang w:eastAsia="en-US"/>
    </w:rPr>
  </w:style>
  <w:style w:type="paragraph" w:styleId="Footer">
    <w:name w:val="footer"/>
    <w:basedOn w:val="Normal"/>
    <w:link w:val="FooterChar"/>
    <w:uiPriority w:val="99"/>
    <w:unhideWhenUsed/>
    <w:rsid w:val="00776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E2"/>
    <w:rPr>
      <w:sz w:val="22"/>
      <w:szCs w:val="22"/>
      <w:lang w:eastAsia="en-US"/>
    </w:rPr>
  </w:style>
  <w:style w:type="character" w:styleId="UnresolvedMention">
    <w:name w:val="Unresolved Mention"/>
    <w:basedOn w:val="DefaultParagraphFont"/>
    <w:uiPriority w:val="99"/>
    <w:semiHidden/>
    <w:unhideWhenUsed/>
    <w:rsid w:val="007767E2"/>
    <w:rPr>
      <w:color w:val="605E5C"/>
      <w:shd w:val="clear" w:color="auto" w:fill="E1DFDD"/>
    </w:rPr>
  </w:style>
  <w:style w:type="paragraph" w:styleId="BalloonText">
    <w:name w:val="Balloon Text"/>
    <w:basedOn w:val="Normal"/>
    <w:link w:val="BalloonTextChar"/>
    <w:uiPriority w:val="99"/>
    <w:semiHidden/>
    <w:unhideWhenUsed/>
    <w:rsid w:val="00D12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E7"/>
    <w:rPr>
      <w:rFonts w:ascii="Segoe UI" w:hAnsi="Segoe UI" w:cs="Segoe UI"/>
      <w:sz w:val="18"/>
      <w:szCs w:val="18"/>
      <w:lang w:eastAsia="en-US"/>
    </w:rPr>
  </w:style>
  <w:style w:type="character" w:customStyle="1" w:styleId="html-italic">
    <w:name w:val="html-italic"/>
    <w:basedOn w:val="DefaultParagraphFont"/>
    <w:rsid w:val="00F1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91019">
      <w:bodyDiv w:val="1"/>
      <w:marLeft w:val="0"/>
      <w:marRight w:val="0"/>
      <w:marTop w:val="0"/>
      <w:marBottom w:val="0"/>
      <w:divBdr>
        <w:top w:val="none" w:sz="0" w:space="0" w:color="auto"/>
        <w:left w:val="none" w:sz="0" w:space="0" w:color="auto"/>
        <w:bottom w:val="none" w:sz="0" w:space="0" w:color="auto"/>
        <w:right w:val="none" w:sz="0" w:space="0" w:color="auto"/>
      </w:divBdr>
    </w:div>
    <w:div w:id="1380782603">
      <w:bodyDiv w:val="1"/>
      <w:marLeft w:val="0"/>
      <w:marRight w:val="0"/>
      <w:marTop w:val="0"/>
      <w:marBottom w:val="0"/>
      <w:divBdr>
        <w:top w:val="none" w:sz="0" w:space="0" w:color="auto"/>
        <w:left w:val="none" w:sz="0" w:space="0" w:color="auto"/>
        <w:bottom w:val="none" w:sz="0" w:space="0" w:color="auto"/>
        <w:right w:val="none" w:sz="0" w:space="0" w:color="auto"/>
      </w:divBdr>
      <w:divsChild>
        <w:div w:id="1222983583">
          <w:marLeft w:val="0"/>
          <w:marRight w:val="0"/>
          <w:marTop w:val="0"/>
          <w:marBottom w:val="0"/>
          <w:divBdr>
            <w:top w:val="none" w:sz="0" w:space="0" w:color="auto"/>
            <w:left w:val="none" w:sz="0" w:space="0" w:color="auto"/>
            <w:bottom w:val="none" w:sz="0" w:space="0" w:color="auto"/>
            <w:right w:val="none" w:sz="0" w:space="0" w:color="auto"/>
          </w:divBdr>
          <w:divsChild>
            <w:div w:id="100073520">
              <w:marLeft w:val="0"/>
              <w:marRight w:val="0"/>
              <w:marTop w:val="0"/>
              <w:marBottom w:val="0"/>
              <w:divBdr>
                <w:top w:val="none" w:sz="0" w:space="0" w:color="auto"/>
                <w:left w:val="none" w:sz="0" w:space="0" w:color="auto"/>
                <w:bottom w:val="none" w:sz="0" w:space="0" w:color="auto"/>
                <w:right w:val="none" w:sz="0" w:space="0" w:color="auto"/>
              </w:divBdr>
              <w:divsChild>
                <w:div w:id="1233274458">
                  <w:marLeft w:val="0"/>
                  <w:marRight w:val="0"/>
                  <w:marTop w:val="0"/>
                  <w:marBottom w:val="0"/>
                  <w:divBdr>
                    <w:top w:val="none" w:sz="0" w:space="0" w:color="auto"/>
                    <w:left w:val="none" w:sz="0" w:space="0" w:color="auto"/>
                    <w:bottom w:val="none" w:sz="0" w:space="0" w:color="auto"/>
                    <w:right w:val="none" w:sz="0" w:space="0" w:color="auto"/>
                  </w:divBdr>
                  <w:divsChild>
                    <w:div w:id="1016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cr.2018.03.0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pls.2019.00157" TargetMode="External"/><Relationship Id="rId12" Type="http://schemas.openxmlformats.org/officeDocument/2006/relationships/hyperlink" Target="https://doi.org/10.3389/fenvs.2022.950482"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4279-024-00060-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236/as.2020.1180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cr.2018.01.00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26</Pages>
  <Words>8820</Words>
  <Characters>50278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SDI PC New 16</cp:lastModifiedBy>
  <cp:revision>22</cp:revision>
  <dcterms:created xsi:type="dcterms:W3CDTF">2025-02-26T05:57:00Z</dcterms:created>
  <dcterms:modified xsi:type="dcterms:W3CDTF">2025-03-08T05:51:00Z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CA2DA67752674127AEDA48BA978D0146_12</vt:lpwstr>
  </property>
  <property fmtid="{D5CDD505-2E9C-101B-9397-08002B2CF9AE}" pid="4" name="MSIP_Label_6d1d33f3-3a73-47ee-92a5-c817f2c19325_Enabled">
    <vt:lpwstr>true</vt:lpwstr>
  </property>
  <property fmtid="{D5CDD505-2E9C-101B-9397-08002B2CF9AE}" pid="5" name="MSIP_Label_6d1d33f3-3a73-47ee-92a5-c817f2c19325_SetDate">
    <vt:lpwstr>2025-02-26T05:56:45Z</vt:lpwstr>
  </property>
  <property fmtid="{D5CDD505-2E9C-101B-9397-08002B2CF9AE}" pid="6" name="MSIP_Label_6d1d33f3-3a73-47ee-92a5-c817f2c19325_Method">
    <vt:lpwstr>Privileged</vt:lpwstr>
  </property>
  <property fmtid="{D5CDD505-2E9C-101B-9397-08002B2CF9AE}" pid="7" name="MSIP_Label_6d1d33f3-3a73-47ee-92a5-c817f2c19325_Name">
    <vt:lpwstr>6d1d33f3-3a73-47ee-92a5-c817f2c19325</vt:lpwstr>
  </property>
  <property fmtid="{D5CDD505-2E9C-101B-9397-08002B2CF9AE}" pid="8" name="MSIP_Label_6d1d33f3-3a73-47ee-92a5-c817f2c19325_SiteId">
    <vt:lpwstr>9e8a5334-497c-4d8a-a797-7997cf8cc763</vt:lpwstr>
  </property>
  <property fmtid="{D5CDD505-2E9C-101B-9397-08002B2CF9AE}" pid="9" name="MSIP_Label_6d1d33f3-3a73-47ee-92a5-c817f2c19325_ActionId">
    <vt:lpwstr>ae870fac-0eb5-4395-9b3c-d6b0b203b6fc</vt:lpwstr>
  </property>
  <property fmtid="{D5CDD505-2E9C-101B-9397-08002B2CF9AE}" pid="10" name="MSIP_Label_6d1d33f3-3a73-47ee-92a5-c817f2c19325_ContentBits">
    <vt:lpwstr>0</vt:lpwstr>
  </property>
</Properties>
</file>