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EE2B3" w14:textId="1D4F2916" w:rsidR="0021199A" w:rsidRDefault="00E21FE4" w:rsidP="00796EBF">
      <w:pPr>
        <w:spacing w:before="120" w:after="120" w:line="360" w:lineRule="auto"/>
        <w:jc w:val="center"/>
        <w:rPr>
          <w:rFonts w:ascii="Times New Roman" w:hAnsi="Times New Roman" w:cs="Times New Roman"/>
          <w:b/>
          <w:bCs/>
          <w:sz w:val="24"/>
          <w:szCs w:val="24"/>
        </w:rPr>
      </w:pPr>
      <w:r w:rsidRPr="00827AB1">
        <w:rPr>
          <w:rFonts w:ascii="Times New Roman" w:hAnsi="Times New Roman" w:cs="Times New Roman"/>
          <w:b/>
          <w:bCs/>
          <w:sz w:val="24"/>
          <w:szCs w:val="24"/>
        </w:rPr>
        <w:t>Harnessing Plant Growth-Promoting Microorganisms (PGPM) as Biofertilizers: A Pathway to Sustainable Crop Productivity and Soil Healt</w:t>
      </w:r>
      <w:r w:rsidR="00796EBF">
        <w:rPr>
          <w:rFonts w:ascii="Times New Roman" w:hAnsi="Times New Roman" w:cs="Times New Roman"/>
          <w:b/>
          <w:bCs/>
          <w:sz w:val="24"/>
          <w:szCs w:val="24"/>
        </w:rPr>
        <w:t>h</w:t>
      </w:r>
    </w:p>
    <w:p w14:paraId="02466936" w14:textId="77777777" w:rsidR="00D81C54" w:rsidRDefault="00D81C54" w:rsidP="000A4597">
      <w:pPr>
        <w:pStyle w:val="NormalWeb"/>
        <w:spacing w:line="360" w:lineRule="auto"/>
        <w:jc w:val="center"/>
        <w:rPr>
          <w:b/>
        </w:rPr>
      </w:pPr>
    </w:p>
    <w:p w14:paraId="252B87C6" w14:textId="77777777" w:rsidR="00D81C54" w:rsidRDefault="00D81C54" w:rsidP="000A4597">
      <w:pPr>
        <w:pStyle w:val="NormalWeb"/>
        <w:spacing w:line="360" w:lineRule="auto"/>
        <w:jc w:val="center"/>
        <w:rPr>
          <w:b/>
        </w:rPr>
      </w:pPr>
    </w:p>
    <w:p w14:paraId="4F224190" w14:textId="77777777" w:rsidR="00D81C54" w:rsidRDefault="00D81C54" w:rsidP="000A4597">
      <w:pPr>
        <w:pStyle w:val="NormalWeb"/>
        <w:spacing w:line="360" w:lineRule="auto"/>
        <w:jc w:val="center"/>
        <w:rPr>
          <w:b/>
        </w:rPr>
      </w:pPr>
    </w:p>
    <w:p w14:paraId="622BC4EB" w14:textId="12046EFB" w:rsidR="00D82FD3" w:rsidRPr="00D82FD3" w:rsidRDefault="00D82FD3" w:rsidP="000A4597">
      <w:pPr>
        <w:pStyle w:val="NormalWeb"/>
        <w:spacing w:line="360" w:lineRule="auto"/>
        <w:jc w:val="center"/>
        <w:rPr>
          <w:b/>
        </w:rPr>
      </w:pPr>
      <w:r w:rsidRPr="00D82FD3">
        <w:rPr>
          <w:b/>
        </w:rPr>
        <w:t>Abstract</w:t>
      </w:r>
    </w:p>
    <w:p w14:paraId="442E47AF" w14:textId="77777777" w:rsidR="00D82FD3" w:rsidRDefault="00D82FD3" w:rsidP="00D82FD3">
      <w:pPr>
        <w:pStyle w:val="NormalWeb"/>
        <w:spacing w:line="360" w:lineRule="auto"/>
        <w:jc w:val="both"/>
      </w:pPr>
      <w:r>
        <w:t xml:space="preserve">Plants face numerous biological and non-biological challenges throughout their life cycle, worsened by climate change. Strategies to address these stresses depend on various factors, including plant type, climate, and soil conditions. While chemical methods like fertilizers and pesticides are common, they rise environmental and health concerns. Eco-friendly alternatives, such as plant growth-promoting microorganisms (PGPM), offer a sustainable solution. PGPM can enhance plant growth, improve stress tolerance, and suppress harmful pathogens through mechanisms like nutrient uptake and the production of protective metabolites. One of </w:t>
      </w:r>
      <w:commentRangeStart w:id="0"/>
      <w:commentRangeStart w:id="1"/>
      <w:r>
        <w:t>PGPR’s</w:t>
      </w:r>
      <w:commentRangeEnd w:id="0"/>
      <w:r w:rsidR="001763C6">
        <w:rPr>
          <w:rStyle w:val="CommentReference"/>
          <w:rFonts w:asciiTheme="minorHAnsi" w:eastAsiaTheme="minorEastAsia" w:hAnsiTheme="minorHAnsi" w:cs="Mangal"/>
        </w:rPr>
        <w:commentReference w:id="0"/>
      </w:r>
      <w:commentRangeEnd w:id="1"/>
      <w:r w:rsidR="001763C6">
        <w:rPr>
          <w:rStyle w:val="CommentReference"/>
          <w:rFonts w:asciiTheme="minorHAnsi" w:eastAsiaTheme="minorEastAsia" w:hAnsiTheme="minorHAnsi" w:cs="Mangal"/>
        </w:rPr>
        <w:commentReference w:id="1"/>
      </w:r>
      <w:r>
        <w:t xml:space="preserve"> various roles in agroecosystems is to increase the synthesis of phytohormones and other metabolites, which have a direct impact on plant growth. Phytopathogens can be stopped in their tracks, a plant’s natural defenses can be bolstered, and so on. PGPR also helps clean up the soil through a process called bioremediation. </w:t>
      </w:r>
      <w:commentRangeStart w:id="2"/>
      <w:r>
        <w:t>The PGPR’s many functions include indole acetic acid (IAA) production, ammonia (NH3) production, hydrogen cyanide (HCN) production, catalase production, and more.</w:t>
      </w:r>
      <w:commentRangeEnd w:id="2"/>
      <w:r w:rsidR="001763C6">
        <w:rPr>
          <w:rStyle w:val="CommentReference"/>
          <w:rFonts w:asciiTheme="minorHAnsi" w:eastAsiaTheme="minorEastAsia" w:hAnsiTheme="minorHAnsi" w:cs="Mangal"/>
        </w:rPr>
        <w:commentReference w:id="2"/>
      </w:r>
      <w:r>
        <w:t xml:space="preserve"> In addition to </w:t>
      </w:r>
      <w:proofErr w:type="gramStart"/>
      <w:r>
        <w:t>aiding in</w:t>
      </w:r>
      <w:proofErr w:type="gramEnd"/>
      <w:r>
        <w:t xml:space="preserve"> nutrient uptake, PGPR controls the production of a hormone that increases root size and strength. Improving crop yield, decreasing environmental pollution, and guaranteeing food security are only some of the ecological and economic benefits of employing PGPR for sustainable agriculture. This review explores the impact of PGPM, focusing on plant growth-promoting bacteria (PGPB), and highlights areas for future research.</w:t>
      </w:r>
    </w:p>
    <w:p w14:paraId="0FAF17CC" w14:textId="77777777" w:rsidR="00B913F0" w:rsidRDefault="00B913F0" w:rsidP="00B913F0">
      <w:r w:rsidRPr="00B913F0">
        <w:rPr>
          <w:b/>
          <w:bCs/>
        </w:rPr>
        <w:t>Keywords</w:t>
      </w:r>
      <w:r>
        <w:rPr>
          <w:b/>
          <w:bCs/>
        </w:rPr>
        <w:t xml:space="preserve">: </w:t>
      </w:r>
      <w:r w:rsidRPr="003C2492">
        <w:t>PGPM, Biofertilizers, PGPR, Sustainable Agriculture, Soil Health, Phytohormones</w:t>
      </w:r>
      <w:r>
        <w:t xml:space="preserve"> and</w:t>
      </w:r>
      <w:r w:rsidRPr="003C2492">
        <w:t xml:space="preserve"> Crop Yield Enhancement</w:t>
      </w:r>
    </w:p>
    <w:p w14:paraId="004BAC01" w14:textId="77777777" w:rsidR="00D81C54" w:rsidRDefault="00D81C54" w:rsidP="00827AB1">
      <w:pPr>
        <w:spacing w:before="120" w:after="120" w:line="360" w:lineRule="auto"/>
        <w:jc w:val="both"/>
        <w:rPr>
          <w:rFonts w:ascii="Times New Roman" w:hAnsi="Times New Roman" w:cs="Times New Roman"/>
          <w:b/>
          <w:bCs/>
          <w:sz w:val="24"/>
          <w:szCs w:val="24"/>
        </w:rPr>
      </w:pPr>
    </w:p>
    <w:p w14:paraId="44A7A873" w14:textId="77777777" w:rsidR="00D81C54" w:rsidRDefault="00D81C54" w:rsidP="00827AB1">
      <w:pPr>
        <w:spacing w:before="120" w:after="120" w:line="360" w:lineRule="auto"/>
        <w:jc w:val="both"/>
        <w:rPr>
          <w:rFonts w:ascii="Times New Roman" w:hAnsi="Times New Roman" w:cs="Times New Roman"/>
          <w:b/>
          <w:bCs/>
          <w:sz w:val="24"/>
          <w:szCs w:val="24"/>
        </w:rPr>
      </w:pPr>
    </w:p>
    <w:p w14:paraId="3E80D606" w14:textId="7212572F"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lastRenderedPageBreak/>
        <w:t>Introduction</w:t>
      </w:r>
    </w:p>
    <w:p w14:paraId="2A691F81" w14:textId="53B52786" w:rsidR="00E21FE4" w:rsidRPr="00827AB1" w:rsidRDefault="00E21FE4" w:rsidP="00827AB1">
      <w:pPr>
        <w:spacing w:before="120" w:after="120" w:line="360" w:lineRule="auto"/>
        <w:jc w:val="both"/>
        <w:rPr>
          <w:rFonts w:ascii="Times New Roman" w:hAnsi="Times New Roman" w:cs="Times New Roman"/>
          <w:sz w:val="24"/>
          <w:szCs w:val="24"/>
        </w:rPr>
      </w:pPr>
      <w:r w:rsidRPr="00827AB1">
        <w:rPr>
          <w:rFonts w:ascii="Times New Roman" w:hAnsi="Times New Roman" w:cs="Times New Roman"/>
          <w:sz w:val="24"/>
          <w:szCs w:val="24"/>
        </w:rPr>
        <w:t>The global demand for sustainable agricultural practices is intensifying as the world's population continues to grow, projected to reach nearly 10 billion by 2050. This rapid population increase is placing unprecedented pressure on agricultural systems to produce sufficient food while conserving environmental resources</w:t>
      </w:r>
      <w:r w:rsidR="00B52300">
        <w:rPr>
          <w:rFonts w:ascii="Times New Roman" w:hAnsi="Times New Roman" w:cs="Times New Roman"/>
          <w:sz w:val="24"/>
          <w:szCs w:val="24"/>
        </w:rPr>
        <w:t xml:space="preserve"> </w:t>
      </w:r>
      <w:r w:rsidR="00B52300" w:rsidRPr="00F5374F">
        <w:rPr>
          <w:rFonts w:ascii="Times New Roman" w:hAnsi="Times New Roman" w:cs="Times New Roman"/>
          <w:sz w:val="24"/>
          <w:szCs w:val="24"/>
        </w:rPr>
        <w:t>(</w:t>
      </w:r>
      <w:r w:rsidR="00B52300" w:rsidRPr="00F96374">
        <w:rPr>
          <w:rFonts w:ascii="Times New Roman" w:eastAsia="Times New Roman" w:hAnsi="Times New Roman" w:cs="Times New Roman"/>
          <w:color w:val="222222"/>
          <w:sz w:val="24"/>
          <w:szCs w:val="24"/>
          <w:lang w:bidi="ar-SA"/>
        </w:rPr>
        <w:t>Schneider</w:t>
      </w:r>
      <w:r w:rsidR="00B52300" w:rsidRPr="00F5374F">
        <w:rPr>
          <w:rFonts w:ascii="Times New Roman" w:eastAsia="Times New Roman" w:hAnsi="Times New Roman" w:cs="Times New Roman"/>
          <w:color w:val="222222"/>
          <w:sz w:val="24"/>
          <w:szCs w:val="24"/>
          <w:lang w:bidi="ar-SA"/>
        </w:rPr>
        <w:t xml:space="preserve"> et al., 2020)</w:t>
      </w:r>
      <w:r w:rsidRPr="00F5374F">
        <w:rPr>
          <w:rFonts w:ascii="Times New Roman" w:hAnsi="Times New Roman" w:cs="Times New Roman"/>
          <w:sz w:val="24"/>
          <w:szCs w:val="24"/>
        </w:rPr>
        <w:t>.</w:t>
      </w:r>
      <w:r w:rsidRPr="00827AB1">
        <w:rPr>
          <w:rFonts w:ascii="Times New Roman" w:hAnsi="Times New Roman" w:cs="Times New Roman"/>
          <w:sz w:val="24"/>
          <w:szCs w:val="24"/>
        </w:rPr>
        <w:t xml:space="preserve"> However, conventional farming practices, which often rely heavily on chemical fertilizers, pesticides, and intensive irrigation, have led to significant challenges, including soil degradation, loss of biodiversity, and environmental pollution. Current estimates suggest that up to one-third of the world’s arable land is degraded, manifesting as nutrient depletion, erosion, salinization, and loss of soil structure</w:t>
      </w:r>
      <w:r w:rsidR="00B52300">
        <w:rPr>
          <w:rFonts w:ascii="Times New Roman" w:hAnsi="Times New Roman" w:cs="Times New Roman"/>
          <w:sz w:val="24"/>
          <w:szCs w:val="24"/>
        </w:rPr>
        <w:t xml:space="preserve"> (Li et al., 2024)</w:t>
      </w:r>
      <w:r w:rsidRPr="00827AB1">
        <w:rPr>
          <w:rFonts w:ascii="Times New Roman" w:hAnsi="Times New Roman" w:cs="Times New Roman"/>
          <w:sz w:val="24"/>
          <w:szCs w:val="24"/>
        </w:rPr>
        <w:t>.</w:t>
      </w:r>
      <w:r w:rsidR="00796EBF">
        <w:rPr>
          <w:rFonts w:ascii="Times New Roman" w:hAnsi="Times New Roman" w:cs="Times New Roman"/>
          <w:sz w:val="24"/>
          <w:szCs w:val="24"/>
        </w:rPr>
        <w:t xml:space="preserve"> </w:t>
      </w:r>
      <w:r w:rsidRPr="00827AB1">
        <w:rPr>
          <w:rFonts w:ascii="Times New Roman" w:hAnsi="Times New Roman" w:cs="Times New Roman"/>
          <w:sz w:val="24"/>
          <w:szCs w:val="24"/>
        </w:rPr>
        <w:t>Moreover, the excessive use of chemical fertilizers has not only contributed to the depletion of essential soil nutrients but also caused serious environmental problems, including water contamination, greenhouse gas emissions, and the destruction of beneficial microbial ecosystems</w:t>
      </w:r>
      <w:r w:rsidR="006B0CA7">
        <w:rPr>
          <w:rFonts w:ascii="Times New Roman" w:hAnsi="Times New Roman" w:cs="Times New Roman"/>
          <w:sz w:val="24"/>
          <w:szCs w:val="24"/>
        </w:rPr>
        <w:t xml:space="preserve"> (Ngalimat et al., 2021)</w:t>
      </w:r>
      <w:r w:rsidRPr="00827AB1">
        <w:rPr>
          <w:rFonts w:ascii="Times New Roman" w:hAnsi="Times New Roman" w:cs="Times New Roman"/>
          <w:sz w:val="24"/>
          <w:szCs w:val="24"/>
        </w:rPr>
        <w:t>. These issues underscore the need for innovative, sustainable agricultural solutions that maintain high levels of crop productivity while enhancing the long-term health of soils and ecosystems. In this context, biofertilizers, particularly those based on Plant Growth-Promoting Microorganisms (PGPM), have emerged as a promising alternative</w:t>
      </w:r>
      <w:r w:rsidR="006B0CA7">
        <w:rPr>
          <w:rFonts w:ascii="Times New Roman" w:hAnsi="Times New Roman" w:cs="Times New Roman"/>
          <w:sz w:val="24"/>
          <w:szCs w:val="24"/>
        </w:rPr>
        <w:t xml:space="preserve"> (Liu et al., 2022)</w:t>
      </w:r>
      <w:r w:rsidRPr="00827AB1">
        <w:rPr>
          <w:rFonts w:ascii="Times New Roman" w:hAnsi="Times New Roman" w:cs="Times New Roman"/>
          <w:sz w:val="24"/>
          <w:szCs w:val="24"/>
        </w:rPr>
        <w:t>.</w:t>
      </w:r>
      <w:r w:rsidR="00796EBF">
        <w:rPr>
          <w:rFonts w:ascii="Times New Roman" w:hAnsi="Times New Roman" w:cs="Times New Roman"/>
          <w:sz w:val="24"/>
          <w:szCs w:val="24"/>
        </w:rPr>
        <w:t xml:space="preserve"> </w:t>
      </w:r>
      <w:r w:rsidRPr="00827AB1">
        <w:rPr>
          <w:rFonts w:ascii="Times New Roman" w:hAnsi="Times New Roman" w:cs="Times New Roman"/>
          <w:sz w:val="24"/>
          <w:szCs w:val="24"/>
        </w:rPr>
        <w:t>Plant Growth-Promoting Microorganisms (PGPM) are naturally occurring soil microorganisms that form symbiotic relationships with plants, promoting growth through various mechanisms</w:t>
      </w:r>
      <w:r w:rsidR="006B0CA7">
        <w:rPr>
          <w:rFonts w:ascii="Times New Roman" w:hAnsi="Times New Roman" w:cs="Times New Roman"/>
          <w:sz w:val="24"/>
          <w:szCs w:val="24"/>
        </w:rPr>
        <w:t xml:space="preserve"> (Shang et al., 2024)</w:t>
      </w:r>
      <w:r w:rsidRPr="00827AB1">
        <w:rPr>
          <w:rFonts w:ascii="Times New Roman" w:hAnsi="Times New Roman" w:cs="Times New Roman"/>
          <w:sz w:val="24"/>
          <w:szCs w:val="24"/>
        </w:rPr>
        <w:t xml:space="preserve">. PGPMs function as microbial inoculants that enhance plant nutrient acquisition, produce growth-promoting phytohormones, suppress pathogens, and improve plant resilience to abiotic stresses. They include a diverse group of bacteria, fungi, and other microorganisms such as </w:t>
      </w:r>
      <w:r w:rsidRPr="00827AB1">
        <w:rPr>
          <w:rFonts w:ascii="Times New Roman" w:hAnsi="Times New Roman" w:cs="Times New Roman"/>
          <w:i/>
          <w:iCs/>
          <w:sz w:val="24"/>
          <w:szCs w:val="24"/>
        </w:rPr>
        <w:t>Rhizobium</w:t>
      </w:r>
      <w:r w:rsidRPr="00827AB1">
        <w:rPr>
          <w:rFonts w:ascii="Times New Roman" w:hAnsi="Times New Roman" w:cs="Times New Roman"/>
          <w:sz w:val="24"/>
          <w:szCs w:val="24"/>
        </w:rPr>
        <w:t xml:space="preserve">, </w:t>
      </w:r>
      <w:r w:rsidRPr="00827AB1">
        <w:rPr>
          <w:rFonts w:ascii="Times New Roman" w:hAnsi="Times New Roman" w:cs="Times New Roman"/>
          <w:i/>
          <w:iCs/>
          <w:sz w:val="24"/>
          <w:szCs w:val="24"/>
        </w:rPr>
        <w:t>Azospirillum</w:t>
      </w:r>
      <w:r w:rsidRPr="00827AB1">
        <w:rPr>
          <w:rFonts w:ascii="Times New Roman" w:hAnsi="Times New Roman" w:cs="Times New Roman"/>
          <w:sz w:val="24"/>
          <w:szCs w:val="24"/>
        </w:rPr>
        <w:t xml:space="preserve">, </w:t>
      </w:r>
      <w:r w:rsidRPr="00827AB1">
        <w:rPr>
          <w:rFonts w:ascii="Times New Roman" w:hAnsi="Times New Roman" w:cs="Times New Roman"/>
          <w:i/>
          <w:iCs/>
          <w:sz w:val="24"/>
          <w:szCs w:val="24"/>
        </w:rPr>
        <w:t>Pseudomonas</w:t>
      </w:r>
      <w:r w:rsidRPr="00827AB1">
        <w:rPr>
          <w:rFonts w:ascii="Times New Roman" w:hAnsi="Times New Roman" w:cs="Times New Roman"/>
          <w:sz w:val="24"/>
          <w:szCs w:val="24"/>
        </w:rPr>
        <w:t>, and mycorrhizal fungi</w:t>
      </w:r>
      <w:r w:rsidR="006B0CA7">
        <w:rPr>
          <w:rFonts w:ascii="Times New Roman" w:hAnsi="Times New Roman" w:cs="Times New Roman"/>
          <w:sz w:val="24"/>
          <w:szCs w:val="24"/>
        </w:rPr>
        <w:t xml:space="preserve"> (Chen et al., 2023)</w:t>
      </w:r>
      <w:r w:rsidRPr="00827AB1">
        <w:rPr>
          <w:rFonts w:ascii="Times New Roman" w:hAnsi="Times New Roman" w:cs="Times New Roman"/>
          <w:sz w:val="24"/>
          <w:szCs w:val="24"/>
        </w:rPr>
        <w:t>.</w:t>
      </w:r>
      <w:r w:rsidR="00796EBF">
        <w:rPr>
          <w:rFonts w:ascii="Times New Roman" w:hAnsi="Times New Roman" w:cs="Times New Roman"/>
          <w:sz w:val="24"/>
          <w:szCs w:val="24"/>
        </w:rPr>
        <w:t xml:space="preserve"> </w:t>
      </w:r>
      <w:r w:rsidRPr="00827AB1">
        <w:rPr>
          <w:rFonts w:ascii="Times New Roman" w:hAnsi="Times New Roman" w:cs="Times New Roman"/>
          <w:sz w:val="24"/>
          <w:szCs w:val="24"/>
        </w:rPr>
        <w:t>These microorganisms are widely recognized for their ability to improve nutrient cycling, especially through nitrogen fixation and phosphate solubilization. They enhance root growth and development, enabling plants to access nutrients and water more efficiently</w:t>
      </w:r>
      <w:r w:rsidR="006B0CA7">
        <w:rPr>
          <w:rFonts w:ascii="Times New Roman" w:hAnsi="Times New Roman" w:cs="Times New Roman"/>
          <w:sz w:val="24"/>
          <w:szCs w:val="24"/>
        </w:rPr>
        <w:t xml:space="preserve"> (Arouna et al., 2023)</w:t>
      </w:r>
      <w:r w:rsidRPr="00827AB1">
        <w:rPr>
          <w:rFonts w:ascii="Times New Roman" w:hAnsi="Times New Roman" w:cs="Times New Roman"/>
          <w:sz w:val="24"/>
          <w:szCs w:val="24"/>
        </w:rPr>
        <w:t>. In addition, PGPMs contribute to disease suppression by outcompeting harmful pathogens, producing antimicrobial compounds, and inducing systemic resistance in plants. As biofertilizers, PGPMs not only boost plant productivity but also play a critical role in restoring soil health by increasing microbial diversity and improving soil structure</w:t>
      </w:r>
      <w:r w:rsidR="006B0CA7">
        <w:rPr>
          <w:rFonts w:ascii="Times New Roman" w:hAnsi="Times New Roman" w:cs="Times New Roman"/>
          <w:sz w:val="24"/>
          <w:szCs w:val="24"/>
        </w:rPr>
        <w:t xml:space="preserve"> (Hajjar et al., 2023)</w:t>
      </w:r>
      <w:r w:rsidRPr="00827AB1">
        <w:rPr>
          <w:rFonts w:ascii="Times New Roman" w:hAnsi="Times New Roman" w:cs="Times New Roman"/>
          <w:sz w:val="24"/>
          <w:szCs w:val="24"/>
        </w:rPr>
        <w:t>.</w:t>
      </w:r>
      <w:r w:rsidR="00796EBF">
        <w:rPr>
          <w:rFonts w:ascii="Times New Roman" w:hAnsi="Times New Roman" w:cs="Times New Roman"/>
          <w:sz w:val="24"/>
          <w:szCs w:val="24"/>
        </w:rPr>
        <w:t xml:space="preserve"> </w:t>
      </w:r>
      <w:r w:rsidRPr="00827AB1">
        <w:rPr>
          <w:rFonts w:ascii="Times New Roman" w:hAnsi="Times New Roman" w:cs="Times New Roman"/>
          <w:sz w:val="24"/>
          <w:szCs w:val="24"/>
        </w:rPr>
        <w:t>The use of PGPM-based biofertilizers offers a sustainable alternative to synthetic fertilizers, which are often associated with environmental degradation and long-term soil health issues</w:t>
      </w:r>
      <w:r w:rsidR="006B0CA7">
        <w:rPr>
          <w:rFonts w:ascii="Times New Roman" w:hAnsi="Times New Roman" w:cs="Times New Roman"/>
          <w:sz w:val="24"/>
          <w:szCs w:val="24"/>
        </w:rPr>
        <w:t xml:space="preserve"> (Gogoi et al., </w:t>
      </w:r>
      <w:r w:rsidR="006B0CA7">
        <w:rPr>
          <w:rFonts w:ascii="Times New Roman" w:hAnsi="Times New Roman" w:cs="Times New Roman"/>
          <w:sz w:val="24"/>
          <w:szCs w:val="24"/>
        </w:rPr>
        <w:lastRenderedPageBreak/>
        <w:t>2024)</w:t>
      </w:r>
      <w:r w:rsidRPr="00827AB1">
        <w:rPr>
          <w:rFonts w:ascii="Times New Roman" w:hAnsi="Times New Roman" w:cs="Times New Roman"/>
          <w:sz w:val="24"/>
          <w:szCs w:val="24"/>
        </w:rPr>
        <w:t>. Biofertilizers, by leveraging natural microbial processes, reduce the need for chemical inputs, thereby minimizing the negative environmental impacts of conventional farming practices. PGPMs enhance nutrient availability in the soil, improve water retention, and contribute to overall soil fertility, leading to improved crop yields in a sustainable manner</w:t>
      </w:r>
      <w:r w:rsidR="006B0CA7">
        <w:rPr>
          <w:rFonts w:ascii="Times New Roman" w:hAnsi="Times New Roman" w:cs="Times New Roman"/>
          <w:sz w:val="24"/>
          <w:szCs w:val="24"/>
        </w:rPr>
        <w:t xml:space="preserve"> (Radha et al., 2023)</w:t>
      </w:r>
      <w:r w:rsidRPr="00827AB1">
        <w:rPr>
          <w:rFonts w:ascii="Times New Roman" w:hAnsi="Times New Roman" w:cs="Times New Roman"/>
          <w:sz w:val="24"/>
          <w:szCs w:val="24"/>
        </w:rPr>
        <w:t>.</w:t>
      </w:r>
      <w:r w:rsidR="00796EBF">
        <w:rPr>
          <w:rFonts w:ascii="Times New Roman" w:hAnsi="Times New Roman" w:cs="Times New Roman"/>
          <w:sz w:val="24"/>
          <w:szCs w:val="24"/>
        </w:rPr>
        <w:t xml:space="preserve"> </w:t>
      </w:r>
      <w:r w:rsidRPr="00827AB1">
        <w:rPr>
          <w:rFonts w:ascii="Times New Roman" w:hAnsi="Times New Roman" w:cs="Times New Roman"/>
          <w:sz w:val="24"/>
          <w:szCs w:val="24"/>
        </w:rPr>
        <w:t>This review focuses on the role of PGPM as microbial inoculants and biofertilizers in sustaining crop productivity and soil health. It examines the mechanisms through which PGPMs promote plant growth, evaluates the latest advancements in PGPM application, and addresses the challenges faced in translating laboratory findings into consistent field results</w:t>
      </w:r>
      <w:r w:rsidR="006B0CA7">
        <w:rPr>
          <w:rFonts w:ascii="Times New Roman" w:hAnsi="Times New Roman" w:cs="Times New Roman"/>
          <w:sz w:val="24"/>
          <w:szCs w:val="24"/>
        </w:rPr>
        <w:t xml:space="preserve"> (Dou et al., 2024)</w:t>
      </w:r>
      <w:r w:rsidRPr="00827AB1">
        <w:rPr>
          <w:rFonts w:ascii="Times New Roman" w:hAnsi="Times New Roman" w:cs="Times New Roman"/>
          <w:sz w:val="24"/>
          <w:szCs w:val="24"/>
        </w:rPr>
        <w:t>. Furthermore, the review explores future prospects for PGPM-based biofertilization, highlighting the potential of these microorganisms in driving the shift towards more sustainable and resilient agricultural practices. By analyzing recent research and innovations, this paper aims to provide a comprehensive overview of PGPM's role in promoting sustainable agriculture and ensuring long-term food security</w:t>
      </w:r>
      <w:r w:rsidR="006B0CA7">
        <w:rPr>
          <w:rFonts w:ascii="Times New Roman" w:hAnsi="Times New Roman" w:cs="Times New Roman"/>
          <w:sz w:val="24"/>
          <w:szCs w:val="24"/>
        </w:rPr>
        <w:t xml:space="preserve"> (Weifeng et al., 2022)</w:t>
      </w:r>
      <w:r w:rsidRPr="00827AB1">
        <w:rPr>
          <w:rFonts w:ascii="Times New Roman" w:hAnsi="Times New Roman" w:cs="Times New Roman"/>
          <w:sz w:val="24"/>
          <w:szCs w:val="24"/>
        </w:rPr>
        <w:t>.</w:t>
      </w:r>
    </w:p>
    <w:p w14:paraId="1DEA5216" w14:textId="77777777"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Nutrient Acquisition</w:t>
      </w:r>
    </w:p>
    <w:p w14:paraId="0294CD5C" w14:textId="77777777" w:rsid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 xml:space="preserve">Plant Growth-Promoting Microorganisms (PGPM) play a crucial role in enhancing nutrient availability to plants by facilitating key nutrient acquisition processes such as nitrogen fixation, phosphate solubilization, and potassium mobilization (Saberi Kamarposhti et al., 2024). Nitrogen fixation by PGPMs like </w:t>
      </w:r>
      <w:r w:rsidRPr="000A4597">
        <w:rPr>
          <w:rFonts w:ascii="Times New Roman" w:hAnsi="Times New Roman" w:cs="Times New Roman"/>
          <w:i/>
          <w:iCs/>
          <w:sz w:val="24"/>
          <w:szCs w:val="24"/>
        </w:rPr>
        <w:t>Rhizobium</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enables the conversion of atmospheric nitrogen into ammonia, which plants can readily absorb. Symbiotic nitrogen-fixing bacteria, such as </w:t>
      </w:r>
      <w:r w:rsidRPr="000A4597">
        <w:rPr>
          <w:rFonts w:ascii="Times New Roman" w:hAnsi="Times New Roman" w:cs="Times New Roman"/>
          <w:i/>
          <w:iCs/>
          <w:sz w:val="24"/>
          <w:szCs w:val="24"/>
        </w:rPr>
        <w:t>Rhizobium</w:t>
      </w:r>
      <w:r w:rsidRPr="000A4597">
        <w:rPr>
          <w:rFonts w:ascii="Times New Roman" w:hAnsi="Times New Roman" w:cs="Times New Roman"/>
          <w:sz w:val="24"/>
          <w:szCs w:val="24"/>
        </w:rPr>
        <w:t xml:space="preserve"> in legume root nodules, and free-living nitrogen fixers like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provide an eco-friendly alternative to synthetic fertilizers, reducing the environmental impact of excessive nitrogen application (Ma et al., 2024; Rios-Ruiz et al., 2020). Similarly, phosphate-solubilizing bacteria (PSB) like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Bacillus</w:t>
      </w:r>
      <w:r w:rsidRPr="000A4597">
        <w:rPr>
          <w:rFonts w:ascii="Times New Roman" w:hAnsi="Times New Roman" w:cs="Times New Roman"/>
          <w:sz w:val="24"/>
          <w:szCs w:val="24"/>
        </w:rPr>
        <w:t xml:space="preserve"> secrete organic acids, such as gluconic and citric acid, which solubilize inorganic phosphate, making phosphorus more accessible for plant uptake. Phosphorus is vital for energy transfer, root development, and overall plant vigor (Rios-Ruiz et al., 2024). Additionally, certain strains of </w:t>
      </w:r>
      <w:r w:rsidRPr="000A4597">
        <w:rPr>
          <w:rFonts w:ascii="Times New Roman" w:hAnsi="Times New Roman" w:cs="Times New Roman"/>
          <w:i/>
          <w:iCs/>
          <w:sz w:val="24"/>
          <w:szCs w:val="24"/>
        </w:rPr>
        <w:t>Bacillus</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aid in potassium mobilization from soil minerals, improving enzymatic activity, water regulation, and disease resistance in plants. This process enhances plant nutrition and stress resilience, particularly in potassium-deficient soils, thereby boosting crop productivity (Thepbandit and Athinuwat, 2024).</w:t>
      </w:r>
    </w:p>
    <w:p w14:paraId="5EB2DDDE" w14:textId="30031DA3"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Phytohormone Production</w:t>
      </w:r>
    </w:p>
    <w:p w14:paraId="24E8B3A9" w14:textId="77777777" w:rsid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lastRenderedPageBreak/>
        <w:t xml:space="preserve">Another vital mechanism by which PGPMs promote plant growth is through the production of phytohormones, which are natural plant growth regulators, including auxins, gibberellins, cytokinins, and ethylene. These hormones influence root and shoot development, cell division, and stress responses (Gui et al., 2023). PGPMs like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produce auxins, such as indole-3-acetic acid (IAA), which stimulate root elongation and branching, leading to an improved root system architecture that enhances water and nutrient absorption (Iqbal et al., 2023). Additionally, some PGPMs secrete gibberellins, which promote cell elongation and division, resulting in increased plant height, leaf expansion, and seed germination. For example,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species have been shown to produce gibberellins that enhance shoot growth and development (Li et al., 2023). Certain PGPMs also produce cytokinins, which regulate cell division, promote shoot formation, delay leaf senescence, and enhance lateral bud growth and nutrient mobilization, particularly under nutrient-limited conditions (Ajjiah et al., 2023).</w:t>
      </w:r>
    </w:p>
    <w:p w14:paraId="321E9162" w14:textId="0B3C572B"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Biocontrol and Disease Suppression</w:t>
      </w:r>
    </w:p>
    <w:p w14:paraId="3CB2A536" w14:textId="7DEC2B6C" w:rsidR="00C1492F" w:rsidRDefault="000A4597" w:rsidP="00827AB1">
      <w:pPr>
        <w:spacing w:before="120" w:after="120" w:line="360" w:lineRule="auto"/>
        <w:jc w:val="both"/>
        <w:rPr>
          <w:rFonts w:ascii="Times New Roman" w:hAnsi="Times New Roman" w:cs="Times New Roman"/>
          <w:b/>
          <w:bCs/>
          <w:sz w:val="24"/>
          <w:szCs w:val="24"/>
        </w:rPr>
      </w:pPr>
      <w:r w:rsidRPr="000A4597">
        <w:rPr>
          <w:rFonts w:ascii="Times New Roman" w:hAnsi="Times New Roman" w:cs="Times New Roman"/>
          <w:sz w:val="24"/>
          <w:szCs w:val="24"/>
        </w:rPr>
        <w:t xml:space="preserve">PGPMs contribute significantly to plant health by acting as biocontrol agents, suppressing plant pathogens through various mechanisms, including competition, production of antimicrobial compounds, and induced systemic resistance (ISR) (Jin et al., 2024). They compete for nutrients and space, as seen in Pseudomonas and Bacillus, which outcompete pathogenic microorganisms in the rhizosphere, preventing the establishment and spread of harmful pathogens (Jalal et al., 2024). Additionally, many PGPMs produce antimicrobial compounds such as antibiotics, enzymes, or secondary metabolites that inhibit pathogen growth (Danesh et al., 2024). For example, Trichoderma species produce antifungal compounds, while Pseudomonas fluorescens secretes siderophores that deprive pathogens of iron, a crucial nutrient for their survival (Deandrade et al., 2023). Furthermore, PGPMs enhance plant defense through ISR by triggering immune responses mediated by signaling molecules like jasmonic acid and ethylene, equipping </w:t>
      </w:r>
      <w:r w:rsidRPr="000A4597">
        <w:rPr>
          <w:rFonts w:ascii="Times New Roman" w:hAnsi="Times New Roman" w:cs="Times New Roman"/>
          <w:sz w:val="24"/>
          <w:szCs w:val="24"/>
        </w:rPr>
        <w:lastRenderedPageBreak/>
        <w:t>plants with improved resistance against future pathogen attacks (Redondo-Gomez et al., 2023).</w:t>
      </w:r>
      <w:r w:rsidR="00C1492F">
        <w:rPr>
          <w:rFonts w:ascii="Times New Roman" w:hAnsi="Times New Roman" w:cs="Times New Roman"/>
          <w:b/>
          <w:bCs/>
          <w:noProof/>
          <w:sz w:val="24"/>
          <w:szCs w:val="24"/>
          <w:lang w:bidi="ar-SA"/>
        </w:rPr>
        <w:drawing>
          <wp:inline distT="0" distB="0" distL="0" distR="0" wp14:anchorId="3FFABD00" wp14:editId="11318ED5">
            <wp:extent cx="5943600" cy="3669665"/>
            <wp:effectExtent l="19050" t="0" r="0" b="0"/>
            <wp:docPr id="1" name="Picture 0" descr="VFDAB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FDABD.png"/>
                    <pic:cNvPicPr/>
                  </pic:nvPicPr>
                  <pic:blipFill>
                    <a:blip r:embed="rId11"/>
                    <a:stretch>
                      <a:fillRect/>
                    </a:stretch>
                  </pic:blipFill>
                  <pic:spPr>
                    <a:xfrm>
                      <a:off x="0" y="0"/>
                      <a:ext cx="5943600" cy="3669665"/>
                    </a:xfrm>
                    <a:prstGeom prst="rect">
                      <a:avLst/>
                    </a:prstGeom>
                  </pic:spPr>
                </pic:pic>
              </a:graphicData>
            </a:graphic>
          </wp:inline>
        </w:drawing>
      </w:r>
    </w:p>
    <w:p w14:paraId="2C78EF1F" w14:textId="77777777" w:rsidR="00C1492F" w:rsidRDefault="00C1492F" w:rsidP="00C1492F">
      <w:pPr>
        <w:spacing w:before="120" w:after="120" w:line="360" w:lineRule="auto"/>
        <w:jc w:val="center"/>
        <w:rPr>
          <w:rFonts w:ascii="Times New Roman" w:hAnsi="Times New Roman" w:cs="Times New Roman"/>
          <w:b/>
          <w:bCs/>
          <w:sz w:val="24"/>
          <w:szCs w:val="24"/>
        </w:rPr>
      </w:pPr>
      <w:commentRangeStart w:id="3"/>
      <w:r>
        <w:rPr>
          <w:rFonts w:ascii="Times New Roman" w:hAnsi="Times New Roman" w:cs="Times New Roman"/>
          <w:b/>
          <w:bCs/>
          <w:sz w:val="24"/>
          <w:szCs w:val="24"/>
        </w:rPr>
        <w:t>Figure 1: Role of PGPMs in various aspects of plant growth and development</w:t>
      </w:r>
      <w:commentRangeEnd w:id="3"/>
      <w:r w:rsidR="001763C6">
        <w:rPr>
          <w:rStyle w:val="CommentReference"/>
        </w:rPr>
        <w:commentReference w:id="3"/>
      </w:r>
    </w:p>
    <w:p w14:paraId="367A3E52" w14:textId="77777777"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Stress Tolerance</w:t>
      </w:r>
    </w:p>
    <w:p w14:paraId="0D577D4E" w14:textId="77777777" w:rsid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 xml:space="preserve">In addition to improving nutrient acquisition and disease suppression, PGPMs also enhance plant resilience to various abiotic stresses, including drought, salinity, and temperature extremes (Kumar et al., 2022). Under water-limited conditions, PGPMs such as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help plants maintain water balance by improving root system architecture, enhancing water uptake, and producing exopolysaccharides that retain moisture around the root zone (Prusty et al., 2023). High salinity in soil can lead to ion toxicity and osmotic stress, impairing plant growth; however, PGPMs mitigate these effects by producing osmoprotectants like proline and glycine betaine, which help plants maintain cellular osmotic balance. Additionally, they improve ionic regulation by aiding in the exclusion or sequestration of harmful ions such as sodium (Wiggins et al., 2022). Temperature extremes, whether hot or cold, can adversely affect plant metabolism, but PGPMs assist in coping with these stresses by producing heat-shock or cold-stress proteins that stabilize cellular functions. Moreover, some PGPMs regulate the production of antioxidants, protecting plants from oxidative stress caused by temperature fluctuations (Abbas et al., 2024).</w:t>
      </w:r>
    </w:p>
    <w:p w14:paraId="5F1C0FD9" w14:textId="294669D9"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lastRenderedPageBreak/>
        <w:t>Types of PGPM Used as Biofertilizers</w:t>
      </w:r>
    </w:p>
    <w:p w14:paraId="5298E3E1" w14:textId="77777777"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Nitrogen-Fixing Bacteria</w:t>
      </w:r>
    </w:p>
    <w:p w14:paraId="28FC93D3" w14:textId="77777777" w:rsid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 xml:space="preserve">Nitrogen is a critical nutrient for plant growth, and nitrogen-fixing bacteria play an essential role in converting atmospheric nitrogen (N₂) into ammonia (NH₃), a form that plants can assimilate. This biological nitrogen fixation reduces the need for synthetic nitrogen fertilizers, which are energy-intensive to produce and can cause environmental pollution. Several genera of nitrogen-fixing bacteria, including </w:t>
      </w:r>
      <w:r w:rsidRPr="000A4597">
        <w:rPr>
          <w:rFonts w:ascii="Times New Roman" w:hAnsi="Times New Roman" w:cs="Times New Roman"/>
          <w:i/>
          <w:iCs/>
          <w:sz w:val="24"/>
          <w:szCs w:val="24"/>
        </w:rPr>
        <w:t>Rhizobium, Azotobacter</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are widely used as biofertilizers. </w:t>
      </w:r>
      <w:r w:rsidRPr="000A4597">
        <w:rPr>
          <w:rFonts w:ascii="Times New Roman" w:hAnsi="Times New Roman" w:cs="Times New Roman"/>
          <w:i/>
          <w:iCs/>
          <w:sz w:val="24"/>
          <w:szCs w:val="24"/>
        </w:rPr>
        <w:t>Rhizobium</w:t>
      </w:r>
      <w:r w:rsidRPr="000A4597">
        <w:rPr>
          <w:rFonts w:ascii="Times New Roman" w:hAnsi="Times New Roman" w:cs="Times New Roman"/>
          <w:sz w:val="24"/>
          <w:szCs w:val="24"/>
        </w:rPr>
        <w:t xml:space="preserve"> species are symbiotic nitrogen-fixing bacteria that form nodules on the roots of leguminous plants, where they convert atmospheric nitrogen into ammonia through the enzyme nitrogenase. This symbiotic relationship provides a continuous nitrogen supply, enhancing the growth, yield, and protein content of crops like soybeans, peas, and beans. In contrast, </w:t>
      </w:r>
      <w:r w:rsidRPr="000A4597">
        <w:rPr>
          <w:rFonts w:ascii="Times New Roman" w:hAnsi="Times New Roman" w:cs="Times New Roman"/>
          <w:i/>
          <w:iCs/>
          <w:sz w:val="24"/>
          <w:szCs w:val="24"/>
        </w:rPr>
        <w:t>Azotobacter</w:t>
      </w:r>
      <w:r w:rsidRPr="000A4597">
        <w:rPr>
          <w:rFonts w:ascii="Times New Roman" w:hAnsi="Times New Roman" w:cs="Times New Roman"/>
          <w:sz w:val="24"/>
          <w:szCs w:val="24"/>
        </w:rPr>
        <w:t xml:space="preserve"> species are free-living nitrogen-fixing bacteria found in the rhizosphere of various plants, including cereals and vegetables. Unlike </w:t>
      </w:r>
      <w:r w:rsidRPr="000A4597">
        <w:rPr>
          <w:rFonts w:ascii="Times New Roman" w:hAnsi="Times New Roman" w:cs="Times New Roman"/>
          <w:i/>
          <w:iCs/>
          <w:sz w:val="24"/>
          <w:szCs w:val="24"/>
        </w:rPr>
        <w:t>Rhizobium</w:t>
      </w:r>
      <w:r w:rsidRPr="000A4597">
        <w:rPr>
          <w:rFonts w:ascii="Times New Roman" w:hAnsi="Times New Roman" w:cs="Times New Roman"/>
          <w:sz w:val="24"/>
          <w:szCs w:val="24"/>
        </w:rPr>
        <w:t xml:space="preserve">, they do not require a specific host and also produce plant growth-promoting substances such as vitamins and phytohormones like auxins, further enhancing plant development.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species are associative nitrogen-fixers that colonize the root surface of non-leguminous crops, particularly cereals like wheat, maize, and rice. Besides nitrogen fixation,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improves root development, leading to better nutrient and water absorption, which contributes to increased crop yield and stress tolerance. Due to their multiple benefits, nitrogen-fixing bacteria serve as valuable biofertilizers for sustainable agriculture.</w:t>
      </w:r>
    </w:p>
    <w:p w14:paraId="76CCC35F" w14:textId="217BE493"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Phosphate-Solubilizing Bacteria</w:t>
      </w:r>
    </w:p>
    <w:p w14:paraId="25EC2702" w14:textId="77777777" w:rsid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 xml:space="preserve">Phosphorus is an essential macronutrient for plants, playing a crucial role in energy transfer, photosynthesis, and root development. However, much of the phosphorus in soil exists in insoluble forms, making it unavailable to plants (Veldez-Nunez et al., 2020). Phosphate-solubilizing bacteria (PSB), particularly species from the genera </w:t>
      </w:r>
      <w:r w:rsidRPr="000A4597">
        <w:rPr>
          <w:rFonts w:ascii="Times New Roman" w:hAnsi="Times New Roman" w:cs="Times New Roman"/>
          <w:i/>
          <w:iCs/>
          <w:sz w:val="24"/>
          <w:szCs w:val="24"/>
        </w:rPr>
        <w:t>Bacillus</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can convert these insoluble phosphates into soluble forms that plants can absorb (Ramos et al., 2020). </w:t>
      </w:r>
      <w:r w:rsidRPr="000A4597">
        <w:rPr>
          <w:rFonts w:ascii="Times New Roman" w:hAnsi="Times New Roman" w:cs="Times New Roman"/>
          <w:i/>
          <w:iCs/>
          <w:sz w:val="24"/>
          <w:szCs w:val="24"/>
        </w:rPr>
        <w:t>Bacillus</w:t>
      </w:r>
      <w:r w:rsidRPr="000A4597">
        <w:rPr>
          <w:rFonts w:ascii="Times New Roman" w:hAnsi="Times New Roman" w:cs="Times New Roman"/>
          <w:sz w:val="24"/>
          <w:szCs w:val="24"/>
        </w:rPr>
        <w:t xml:space="preserve"> species are well-known phosphate solubilizers, secreting organic acids such as gluconic acid and citric acid to dissolve calcium phosphate and other insoluble phosphate compounds, thereby enhancing phosphorus availability (Ning et al., 2024). Additionally, </w:t>
      </w:r>
      <w:r w:rsidRPr="000A4597">
        <w:rPr>
          <w:rFonts w:ascii="Times New Roman" w:hAnsi="Times New Roman" w:cs="Times New Roman"/>
          <w:i/>
          <w:iCs/>
          <w:sz w:val="24"/>
          <w:szCs w:val="24"/>
        </w:rPr>
        <w:t>Bacillus</w:t>
      </w:r>
      <w:r w:rsidRPr="000A4597">
        <w:rPr>
          <w:rFonts w:ascii="Times New Roman" w:hAnsi="Times New Roman" w:cs="Times New Roman"/>
          <w:sz w:val="24"/>
          <w:szCs w:val="24"/>
        </w:rPr>
        <w:t xml:space="preserve"> species promote plant growth by producing phytohormones and biocontrol agents that suppress soil-borne pathogens, making </w:t>
      </w:r>
      <w:r w:rsidRPr="000A4597">
        <w:rPr>
          <w:rFonts w:ascii="Times New Roman" w:hAnsi="Times New Roman" w:cs="Times New Roman"/>
          <w:sz w:val="24"/>
          <w:szCs w:val="24"/>
        </w:rPr>
        <w:lastRenderedPageBreak/>
        <w:t xml:space="preserve">them widely used in biofertilizers to improve phosphorus uptake and overall soil health (Mishra et al., 2024). Similarly,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species, particularly </w:t>
      </w:r>
      <w:r w:rsidRPr="000A4597">
        <w:rPr>
          <w:rFonts w:ascii="Times New Roman" w:hAnsi="Times New Roman" w:cs="Times New Roman"/>
          <w:i/>
          <w:iCs/>
          <w:sz w:val="24"/>
          <w:szCs w:val="24"/>
        </w:rPr>
        <w:t>Pseudomonas fluorescens</w:t>
      </w:r>
      <w:r w:rsidRPr="000A4597">
        <w:rPr>
          <w:rFonts w:ascii="Times New Roman" w:hAnsi="Times New Roman" w:cs="Times New Roman"/>
          <w:sz w:val="24"/>
          <w:szCs w:val="24"/>
        </w:rPr>
        <w:t xml:space="preserve">, release various organic acids and enzymes that break down insoluble phosphates (Valdiviezo-Saavedra et al., 2024). Beyond their role in nutrient solubilization,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species contribute to plant protection by producing secondary metabolites that suppress fungal pathogens and induce systemic resistance, making them valuable for integrated pest and nutrient management strategies (Quazi et al., 2024).</w:t>
      </w:r>
    </w:p>
    <w:p w14:paraId="654A4D4B" w14:textId="3F43C512"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Mycorrhizal Fungi</w:t>
      </w:r>
    </w:p>
    <w:p w14:paraId="334B69A7" w14:textId="77777777" w:rsid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Mycorrhizal fungi form mutualistic relationships with plant roots, playing a crucial role in enhancing nutrient and water uptake, especially under nutrient-poor conditions. The most studied group of mycorrhizal fungi in agriculture is the arbuscular mycorrhizal fungi (AMF) (Ngalimat et al., 2023). AMF penetrate plant root cells, forming arbuscules that facilitate nutrient exchange between the fungi and the host plant. By developing an extensive hyphal network in the soil, AMF significantly increase the surface area of the root system, enhancing the absorption of essential nutrients, particularly phosphorus and micronutrients like zinc and copper (Khaskheli et al., 2020). Additionally, AMF improve water uptake, aiding plant survival in drought-prone areas. Beyond nutrient and water absorption, they contribute to soil structure by producing glomalin, a glycoprotein that binds soil particles, enhancing soil aggregation and stability (Islam et al., 2024).</w:t>
      </w:r>
    </w:p>
    <w:p w14:paraId="32B5E746" w14:textId="14559BEC" w:rsidR="00E21FE4"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Other Microbial Inoculants</w:t>
      </w:r>
    </w:p>
    <w:p w14:paraId="125B1301" w14:textId="7E3CCCA8" w:rsidR="000A4597" w:rsidRP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 xml:space="preserve">In addition to nitrogen-fixing and phosphate-solubilizing bacteria, as well as mycorrhizal fungi, other microbial inoculants are gaining recognition for their ability to promote plant growth, suppress diseases, and enhance soil health. Among them, </w:t>
      </w:r>
      <w:r w:rsidRPr="000A4597">
        <w:rPr>
          <w:rFonts w:ascii="Times New Roman" w:hAnsi="Times New Roman" w:cs="Times New Roman"/>
          <w:i/>
          <w:iCs/>
          <w:sz w:val="24"/>
          <w:szCs w:val="24"/>
        </w:rPr>
        <w:t>Trichoderma</w:t>
      </w:r>
      <w:r w:rsidRPr="000A4597">
        <w:rPr>
          <w:rFonts w:ascii="Times New Roman" w:hAnsi="Times New Roman" w:cs="Times New Roman"/>
          <w:sz w:val="24"/>
          <w:szCs w:val="24"/>
        </w:rPr>
        <w:t xml:space="preserve"> spp. and </w:t>
      </w:r>
      <w:r w:rsidRPr="000A4597">
        <w:rPr>
          <w:rFonts w:ascii="Times New Roman" w:hAnsi="Times New Roman" w:cs="Times New Roman"/>
          <w:i/>
          <w:iCs/>
          <w:sz w:val="24"/>
          <w:szCs w:val="24"/>
        </w:rPr>
        <w:t>Bacillus subtilis</w:t>
      </w:r>
      <w:r w:rsidRPr="000A4597">
        <w:rPr>
          <w:rFonts w:ascii="Times New Roman" w:hAnsi="Times New Roman" w:cs="Times New Roman"/>
          <w:sz w:val="24"/>
          <w:szCs w:val="24"/>
        </w:rPr>
        <w:t xml:space="preserve"> are widely studied for their beneficial effects. </w:t>
      </w:r>
      <w:r w:rsidRPr="000A4597">
        <w:rPr>
          <w:rFonts w:ascii="Times New Roman" w:hAnsi="Times New Roman" w:cs="Times New Roman"/>
          <w:i/>
          <w:iCs/>
          <w:sz w:val="24"/>
          <w:szCs w:val="24"/>
        </w:rPr>
        <w:t>Trichoderma</w:t>
      </w:r>
      <w:r w:rsidRPr="000A4597">
        <w:rPr>
          <w:rFonts w:ascii="Times New Roman" w:hAnsi="Times New Roman" w:cs="Times New Roman"/>
          <w:sz w:val="24"/>
          <w:szCs w:val="24"/>
        </w:rPr>
        <w:t xml:space="preserve"> species are beneficial fungi known for their strong biocontrol properties, producing a wide range of enzymes and secondary metabolites that inhibit harmful pathogens such as </w:t>
      </w:r>
      <w:r w:rsidRPr="000A4597">
        <w:rPr>
          <w:rFonts w:ascii="Times New Roman" w:hAnsi="Times New Roman" w:cs="Times New Roman"/>
          <w:i/>
          <w:iCs/>
          <w:sz w:val="24"/>
          <w:szCs w:val="24"/>
        </w:rPr>
        <w:t>Fusarium</w:t>
      </w:r>
      <w:r w:rsidRPr="000A4597">
        <w:rPr>
          <w:rFonts w:ascii="Times New Roman" w:hAnsi="Times New Roman" w:cs="Times New Roman"/>
          <w:sz w:val="24"/>
          <w:szCs w:val="24"/>
        </w:rPr>
        <w:t xml:space="preserve">, </w:t>
      </w:r>
      <w:r w:rsidRPr="000A4597">
        <w:rPr>
          <w:rFonts w:ascii="Times New Roman" w:hAnsi="Times New Roman" w:cs="Times New Roman"/>
          <w:i/>
          <w:iCs/>
          <w:sz w:val="24"/>
          <w:szCs w:val="24"/>
        </w:rPr>
        <w:t>Rhizoctonia</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Sclerotinia</w:t>
      </w:r>
      <w:r w:rsidRPr="000A4597">
        <w:rPr>
          <w:rFonts w:ascii="Times New Roman" w:hAnsi="Times New Roman" w:cs="Times New Roman"/>
          <w:sz w:val="24"/>
          <w:szCs w:val="24"/>
        </w:rPr>
        <w:t xml:space="preserve"> (Raj et al., 2019). Beyond biocontrol, </w:t>
      </w:r>
      <w:r w:rsidRPr="000A4597">
        <w:rPr>
          <w:rFonts w:ascii="Times New Roman" w:hAnsi="Times New Roman" w:cs="Times New Roman"/>
          <w:i/>
          <w:iCs/>
          <w:sz w:val="24"/>
          <w:szCs w:val="24"/>
        </w:rPr>
        <w:t>Trichoderma</w:t>
      </w:r>
      <w:r w:rsidRPr="000A4597">
        <w:rPr>
          <w:rFonts w:ascii="Times New Roman" w:hAnsi="Times New Roman" w:cs="Times New Roman"/>
          <w:sz w:val="24"/>
          <w:szCs w:val="24"/>
        </w:rPr>
        <w:t xml:space="preserve"> enhances plant growth by colonizing the rhizosphere, improving nutrient uptake, and stimulating plant defense mechanisms, making it a valuable biofertilizer for sustainable agriculture (Bauenova et al., 2024). Similarly, </w:t>
      </w:r>
      <w:r w:rsidRPr="000A4597">
        <w:rPr>
          <w:rFonts w:ascii="Times New Roman" w:hAnsi="Times New Roman" w:cs="Times New Roman"/>
          <w:i/>
          <w:iCs/>
          <w:sz w:val="24"/>
          <w:szCs w:val="24"/>
        </w:rPr>
        <w:t>Bacillus subtilis</w:t>
      </w:r>
      <w:r w:rsidRPr="000A4597">
        <w:rPr>
          <w:rFonts w:ascii="Times New Roman" w:hAnsi="Times New Roman" w:cs="Times New Roman"/>
          <w:sz w:val="24"/>
          <w:szCs w:val="24"/>
        </w:rPr>
        <w:t xml:space="preserve"> is a versatile bacterium recognized for promoting plant growth and suppressing plant diseases through the production of antimicrobial compounds, enzymes, and volatile organic compounds (Chittapun et al., 2024). Its </w:t>
      </w:r>
      <w:r w:rsidRPr="000A4597">
        <w:rPr>
          <w:rFonts w:ascii="Times New Roman" w:hAnsi="Times New Roman" w:cs="Times New Roman"/>
          <w:sz w:val="24"/>
          <w:szCs w:val="24"/>
        </w:rPr>
        <w:lastRenderedPageBreak/>
        <w:t xml:space="preserve">ability to form endospores enables survival in harsh environmental conditions, ensuring its efficacy as a biofertilizer. By improving soil health and promoting nutrient cycling, </w:t>
      </w:r>
      <w:r w:rsidRPr="000A4597">
        <w:rPr>
          <w:rFonts w:ascii="Times New Roman" w:hAnsi="Times New Roman" w:cs="Times New Roman"/>
          <w:i/>
          <w:iCs/>
          <w:sz w:val="24"/>
          <w:szCs w:val="24"/>
        </w:rPr>
        <w:t>Bacillus subtilis</w:t>
      </w:r>
      <w:r w:rsidRPr="000A4597">
        <w:rPr>
          <w:rFonts w:ascii="Times New Roman" w:hAnsi="Times New Roman" w:cs="Times New Roman"/>
          <w:sz w:val="24"/>
          <w:szCs w:val="24"/>
        </w:rPr>
        <w:t xml:space="preserve"> enhances plant resilience and productivity, making it an essential component of integrated pest management (IPM) systems (Kumar et al., 2021).</w:t>
      </w:r>
    </w:p>
    <w:p w14:paraId="7263611E" w14:textId="77777777"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PGPM in Soil Fertility Management</w:t>
      </w:r>
    </w:p>
    <w:p w14:paraId="6991C085" w14:textId="77777777"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Enhancing Soil Nutrient Cycling</w:t>
      </w:r>
    </w:p>
    <w:p w14:paraId="4FE94B4B" w14:textId="7E20B12F" w:rsidR="00E21FE4" w:rsidRPr="00591900" w:rsidRDefault="007728C8" w:rsidP="007728C8">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Plant Growth-Promoting Microorganisms (PGPM) play a vital role in enhancing soil fertility by facilitating nutrient cycling, particularly in the carbon, nitrogen, and phosphorus cycles. In the carbon cycle, PGPMs contribute to the decomposition of organic matter, releasing nutrients back into the soil while promoting the formation of stable organic compounds like humus, which enriches soil fertility, improves soil structure, and enhances water retention (Schneider et al., 2020). Their activity also boosts microbial biomass, providing a continuous source of nutrients for plants upon decomposition (Li et al., 2024). In the nitrogen cycle, PGPMs significantly impact nitrogen availability through nitrogen fixation and nitrification. Nitrogen-fixing bacteria such as Rhizobium and Azospirillum convert atmospheric nitrogen into ammonia, which is further transformed into nitrate by nitrifying bacteria, ensuring a steady supply of bioavailable nitrogen for plant uptake (Liu et al., 2022). Additionally, PGPMs stimulate soil microbial activity, further enhancing nitrogen availability (Naglimat et al., 2021). Similarly, in the phosphorus cycle, phosphate-solubilizing bacteria (PSB) like Bacillus and Pseudomonas convert insoluble phosphorus into soluble forms, making it more accessible to plants and improving overall growth and yield (Shang et al., 2024). By facilitating the efficient cycling of essential nutrients, PGPMs ensure optimal plant growth while maintaining soil health and sustainability in agroecosystems (Chen et al., 2023; Arouna et al., 2023).</w:t>
      </w:r>
      <w:r w:rsidR="00E21FE4" w:rsidRPr="00591900">
        <w:rPr>
          <w:rFonts w:ascii="Times New Roman" w:hAnsi="Times New Roman" w:cs="Times New Roman"/>
          <w:sz w:val="24"/>
          <w:szCs w:val="24"/>
        </w:rPr>
        <w:t>.</w:t>
      </w:r>
    </w:p>
    <w:p w14:paraId="43FA55B6" w14:textId="77777777"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Improving Soil Structure and Organic Matter Content</w:t>
      </w:r>
    </w:p>
    <w:p w14:paraId="7705E649" w14:textId="77777777"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 xml:space="preserve">PGPMs significantly contribute to improving soil structure and increasing organic matter content, both of which are critical for maintaining soil fertility. These microorganisms aid in the decomposition of organic materials, leading to an increase in soil organic matter, which enhances fertility and serves as a food source for other soil organisms. Their metabolic activities produce various organic compounds that not only enrich the soil but also play a vital role in carbon sequestration, helping to mitigate climate change impacts (Hajjar et al., 2023). Additionally, </w:t>
      </w:r>
      <w:r w:rsidRPr="007728C8">
        <w:rPr>
          <w:rFonts w:ascii="Times New Roman" w:hAnsi="Times New Roman" w:cs="Times New Roman"/>
          <w:sz w:val="24"/>
          <w:szCs w:val="24"/>
        </w:rPr>
        <w:lastRenderedPageBreak/>
        <w:t>PGPMs promote soil aggregation through the production of exopolysaccharides and biofilms, improving soil structure by enhancing aeration, water infiltration, and root penetration. Well-aggregated soils are less prone to erosion and compaction, supporting healthier root development and better nutrient uptake (Gogoi et al., 2024). Furthermore, PGPMs contribute to increased microbial diversity, which is essential for the resilience and stability of soil ecosystems. A diverse microbial community enhances nutrient cycling, improves soil health, and strengthens the soil’s ability to adapt to environmental changes, ultimately promoting sustainable agricultural practices (Radha et al., 2023; Dou et al., 2024).</w:t>
      </w:r>
    </w:p>
    <w:p w14:paraId="36B1A230" w14:textId="05966DFB"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Restoring Degraded Soils</w:t>
      </w:r>
    </w:p>
    <w:p w14:paraId="4028E25D" w14:textId="77777777"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Microbial inoculants, including PGPMs, play a crucial role in rehabilitating degraded or nutrient-depleted soils by reintroducing beneficial microorganisms lost due to unsustainable agricultural practices (Weifeng et al., 2022). Degraded soils often lack the diversity and abundance of microorganisms necessary for healthy soil function, but PGPMs can restore these microbial communities as biofertilizers (Saberikumarposhti et al., 2024). For example, nitrogen-fixing bacteria replenish nitrogen levels, while phosphate-solubilizing bacteria improve phosphorus availability (Ma et al., 2024). By enhancing nutrient cycling, organic matter decomposition, and microbial diversity, PGPMs contribute to soil fertility restoration, creating a more balanced and productive ecosystem (Rois-roiz et al., 2023). Additionally, their application aids in soil structure recovery, increasing resilience against erosion and other forms of degradation. As microbial activity improves soil health, plant growth is supported, leading to a self-sustaining ecosystem (Thepdandit and Athinuwat, 2024). Through the strategic use of PGPMs, degraded and nutrient-depleted soils can be revitalized, fostering sustainable agricultural practices and enhancing overall ecosystem health.</w:t>
      </w:r>
    </w:p>
    <w:p w14:paraId="16B0C7B0" w14:textId="6A7C5DD7" w:rsidR="000675FA" w:rsidRDefault="000675FA" w:rsidP="00827AB1">
      <w:pPr>
        <w:spacing w:before="120" w:after="120" w:line="360" w:lineRule="auto"/>
        <w:jc w:val="both"/>
        <w:rPr>
          <w:rFonts w:ascii="Times New Roman" w:hAnsi="Times New Roman" w:cs="Times New Roman"/>
          <w:b/>
          <w:bCs/>
          <w:sz w:val="24"/>
          <w:szCs w:val="24"/>
        </w:rPr>
      </w:pPr>
      <w:r>
        <w:rPr>
          <w:rFonts w:ascii="Times New Roman" w:hAnsi="Times New Roman" w:cs="Times New Roman"/>
          <w:b/>
          <w:bCs/>
          <w:noProof/>
          <w:sz w:val="24"/>
          <w:szCs w:val="24"/>
          <w:lang w:bidi="ar-SA"/>
        </w:rPr>
        <w:lastRenderedPageBreak/>
        <w:drawing>
          <wp:inline distT="0" distB="0" distL="0" distR="0" wp14:anchorId="35412F16" wp14:editId="36208393">
            <wp:extent cx="5924550" cy="3667125"/>
            <wp:effectExtent l="95250" t="57150" r="95250" b="1047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6E9611D" w14:textId="77777777" w:rsidR="000675FA" w:rsidRDefault="000675FA" w:rsidP="000675FA">
      <w:pPr>
        <w:spacing w:before="120" w:after="120"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Figure 2: </w:t>
      </w:r>
      <w:commentRangeStart w:id="4"/>
      <w:r>
        <w:rPr>
          <w:rFonts w:ascii="Times New Roman" w:hAnsi="Times New Roman" w:cs="Times New Roman"/>
          <w:b/>
          <w:bCs/>
          <w:sz w:val="24"/>
          <w:szCs w:val="24"/>
        </w:rPr>
        <w:t>Environmental and agronomic applications of PGPMs</w:t>
      </w:r>
      <w:commentRangeEnd w:id="4"/>
      <w:r w:rsidR="00CC0C4E">
        <w:rPr>
          <w:rStyle w:val="CommentReference"/>
        </w:rPr>
        <w:commentReference w:id="4"/>
      </w:r>
    </w:p>
    <w:p w14:paraId="123F5587" w14:textId="77777777"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Reducing Reliance on Chemical Fertilizers</w:t>
      </w:r>
    </w:p>
    <w:p w14:paraId="2E0220A9" w14:textId="77777777"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 xml:space="preserve">The use of Plant Growth-Promoting Microorganisms (PGPM) as biofertilizers significantly reduces the need for synthetic fertilizers in agricultural practices (Gui et al., 2023). This shift towards biological nutrient sources offers multiple benefits, including minimizing environmental pollution, enhancing soil health, and improving cost-effectiveness. Chemical fertilizers, while effective in boosting crop yields, often contribute to environmental issues such as water pollution and soil degradation (Iqbal et al., 2023). Runoff from fertilized fields can lead to eutrophication, causing harmful algal blooms and deteriorating aquatic ecosystems. PGPM-based biofertilizers naturally provide essential nutrients, reducing chemical runoff and protecting water quality and biodiversity (Li et al., 2023). Additionally, continuous reliance on synthetic fertilizers can disrupt natural microbial communities in the soil, leading to diminished fertility over time (Ajijah et al., 2023). PGPMs help restore these communities, promoting a balanced ecosystem that supports nutrient cycling and improves soil structure, ultimately fostering resilient agricultural systems capable of sustaining productivity without excessive chemical inputs (Jin et al., 2024). </w:t>
      </w:r>
      <w:r w:rsidRPr="007728C8">
        <w:rPr>
          <w:rFonts w:ascii="Times New Roman" w:hAnsi="Times New Roman" w:cs="Times New Roman"/>
          <w:sz w:val="24"/>
          <w:szCs w:val="24"/>
        </w:rPr>
        <w:lastRenderedPageBreak/>
        <w:t>Furthermore, by decreasing dependence on synthetic fertilizers, farmers can lower input costs, making biofertilizers a more economically viable alternative, particularly when considering the environmental costs associated with chemical fertilizers (Jalal et al., 2024).</w:t>
      </w:r>
    </w:p>
    <w:p w14:paraId="59506628" w14:textId="3BF7D70F"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Supporting Organic Farming</w:t>
      </w:r>
    </w:p>
    <w:p w14:paraId="5480262B" w14:textId="77777777"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PGPM biofertilizers are particularly relevant in organic and low-input farming systems, where the use of synthetic fertilizers is restricted or prohibited. Organic farming emphasizes sustainable nutrient management by relying on natural inputs to maintain soil fertility and plant health (Danesh et al., 2024). PGPMs provide an eco-friendly alternative by enhancing nitrogen fixation, phosphorus solubilization, and overall soil health, aligning with the principles of organic agriculture that promote biodiversity and environmental stewardship (De-andrade et al., 2023). In addition to improving soil health, PGPMs contribute to crop quality by enhancing nutrient content and increasing resilience to diseases and pests, leading to higher-quality produce that meets organic standards (Redondo-Gomez et al., 2023). Furthermore, the application of PGPMs supports long-term soil fertility by increasing organic matter content and microbial diversity, ensuring sustainable productivity for future generations (Kumar et al., 2022).</w:t>
      </w:r>
    </w:p>
    <w:p w14:paraId="6A739022" w14:textId="6DBF0718"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Mitigating Greenhouse Gas Emissions</w:t>
      </w:r>
    </w:p>
    <w:p w14:paraId="7EF49994" w14:textId="77777777"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The application of PGPM-based biofertilizers holds significant potential for reducing greenhouse gas emissions, particularly those associated with nitrogen-based synthetic fertilizers. Nitrous oxide (N₂O), a potent greenhouse gas, is primarily released through microbial processes such as nitrification and denitrification during the application of nitrogen fertilizers (Prusty et al., 2023). By utilizing PGPMs that enhance nitrogen cycling and improve plant nitrogen uptake, the reliance on synthetic nitrogen fertilizers is reduced, thereby lowering overall N₂O emissions (Wiggins et al., 2022). Additionally, PGPMs contribute to carbon sequestration by promoting microbial activity that enhances organic matter decomposition and the formation of stable humic compounds, effectively storing carbon in the soil and mitigating climate change impacts (Abbas et al., 2024). Furthermore, integrating PGPMs into agricultural practices fosters sustainable and resilient farming methods, reducing dependence on fossil fuel-derived fertilizers while enhancing soil health and biodiversity, ultimately supporting long-term environmental sustainability (Habibi et al., 2023; Pieterse et al., 2021).</w:t>
      </w:r>
    </w:p>
    <w:p w14:paraId="5999E3CE" w14:textId="6D94C273"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Challenges in PGPM Application and Field Performance</w:t>
      </w:r>
    </w:p>
    <w:p w14:paraId="7FC53B0F" w14:textId="77777777"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lastRenderedPageBreak/>
        <w:t>Inconsistency in Field Performance</w:t>
      </w:r>
    </w:p>
    <w:p w14:paraId="2899AA3D" w14:textId="77777777"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One of the primary challenges in the application of PGPMs is the variability in their performance across different environmental and soil conditions. Environmental factors such as temperature, moisture, pH, and light can significantly influence the efficacy of PGPMs. Certain bacteria may thrive within specific temperature ranges but become less effective under extreme heat or cold, while fluctuations in soil moisture can impact microbial activity, leading to inconsistent results across different growing seasons (Siddika et al., 2024). Additionally, soil characteristics, including texture, structure, organic matter content, and nutrient availability, play a crucial role in PGPM performance. For instance, clayey soils may restrict root penetration and limit microbial colonization, whereas sandy soils may dry out too quickly, hindering microbial survival (Chompa et al., 2024). Consequently, PGPM effectiveness can vary widely depending on the local soil environment, making it difficult to predict outcomes across diverse agricultural settings (Jiang et al., 2024).</w:t>
      </w:r>
    </w:p>
    <w:p w14:paraId="16AB89CF" w14:textId="205644CA"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Formulation and Delivery</w:t>
      </w:r>
    </w:p>
    <w:p w14:paraId="24AF05CE" w14:textId="77777777"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Developing effective formulations and delivery systems for PGPM inoculants presents several challenges that impact their adoption and efficacy. PGPMs can be formulated in various forms, such as liquid, granular, or encapsulated, each with its own advantages and limitations (Janaki et al., 2024). While liquid formulations are easier to apply, they often have shorter shelf lives, whereas granular formulations can offer prolonged release but require specific application techniques. Striking the right balance between efficacy, stability, and user-friendliness is crucial for successful product development (Valdez-Nunez et al., 2020). Additionally, the method of application significantly influences PGPM effectiveness, as traditional approaches like seed coating or soil drenching may result in uneven distribution and inconsistent root colonization (Ramos et al., 2020). To address this, advanced delivery systems, such as controlled-release formulations and encapsulated PGPMs, are being explored; however, further research and development are needed to optimize their performance under field conditions (Ning et al., 2024).</w:t>
      </w:r>
    </w:p>
    <w:p w14:paraId="1CBEA9CE" w14:textId="64802F9A"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Survival and Colonization in Soil</w:t>
      </w:r>
    </w:p>
    <w:p w14:paraId="331E58BD" w14:textId="77777777" w:rsidR="00591900" w:rsidRDefault="00591900" w:rsidP="00827AB1">
      <w:pPr>
        <w:spacing w:before="120" w:after="120" w:line="360" w:lineRule="auto"/>
        <w:jc w:val="both"/>
        <w:rPr>
          <w:rFonts w:ascii="Times New Roman" w:hAnsi="Times New Roman" w:cs="Times New Roman"/>
          <w:sz w:val="24"/>
          <w:szCs w:val="24"/>
        </w:rPr>
      </w:pPr>
      <w:r w:rsidRPr="00591900">
        <w:rPr>
          <w:rFonts w:ascii="Times New Roman" w:hAnsi="Times New Roman" w:cs="Times New Roman"/>
          <w:sz w:val="24"/>
          <w:szCs w:val="24"/>
        </w:rPr>
        <w:t xml:space="preserve">The survival, colonization, and persistence of PGPMs in the rhizosphere are critical for their success as biofertilizers and are influenced by various factors. The rhizosphere is a dynamic environment teeming with native microbial populations, and when PGPMs are introduced, they </w:t>
      </w:r>
      <w:r w:rsidRPr="00591900">
        <w:rPr>
          <w:rFonts w:ascii="Times New Roman" w:hAnsi="Times New Roman" w:cs="Times New Roman"/>
          <w:sz w:val="24"/>
          <w:szCs w:val="24"/>
        </w:rPr>
        <w:lastRenderedPageBreak/>
        <w:t>must compete with these established microorganisms for resources and space. If native microbes are more efficient in utilizing available nutrients, PGPMs may struggle to establish and maintain their populations (Mishra et al., 2024; Valdiviezo-Saavedra et al., 2024). Additionally, environmental stressors such as drought, salinity, and soil acidity can negatively impact the survival and activity of PGPMs, leading to a decline in microbial populations and hindering their ability to colonize plant roots effectively (Quazi et al., 2024; Naglimat et al., 2023). Another crucial factor is the composition of root exudates secreted by plants, which play a significant role in attracting and supporting beneficial microbes. Variability in exudate composition among different plant species can affect the colonization success of specific PGPMs, posing challenges for their application in mixed cropping systems (Khaskheli et al., 2020; Islam and Mandal, 2024).</w:t>
      </w:r>
    </w:p>
    <w:p w14:paraId="78DEDA67" w14:textId="288FE3AE"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Regulatory and Commercial Barriers</w:t>
      </w:r>
    </w:p>
    <w:p w14:paraId="5CBC0BB7" w14:textId="77777777" w:rsidR="00591900" w:rsidRDefault="00591900" w:rsidP="00827AB1">
      <w:pPr>
        <w:spacing w:before="120" w:after="120" w:line="360" w:lineRule="auto"/>
        <w:jc w:val="both"/>
        <w:rPr>
          <w:rFonts w:ascii="Times New Roman" w:hAnsi="Times New Roman" w:cs="Times New Roman"/>
          <w:sz w:val="24"/>
          <w:szCs w:val="24"/>
        </w:rPr>
      </w:pPr>
      <w:r w:rsidRPr="00591900">
        <w:rPr>
          <w:rFonts w:ascii="Times New Roman" w:hAnsi="Times New Roman" w:cs="Times New Roman"/>
          <w:sz w:val="24"/>
          <w:szCs w:val="24"/>
        </w:rPr>
        <w:t>Recent advancements in the formulation of PGPM-based products are crucial for improving their stability, efficacy, and ease of use. Encapsulation technologies protect PGPMs from environmental stressors, such as UV radiation and desiccation, enhancing their survival during storage and application (Shang et al., 2024). These techniques also enable the controlled release of microorganisms, ensuring their viability and activity in the rhizosphere over extended periods (Chen et al., 2023). Similarly, innovations in controlled-release systems allow for the gradual delivery of PGPMs, synchronizing their activity with plant nutrient uptake (Arouna et al., 2023). By aligning microbial activity with plant growth stages, these systems improve nutrient efficiency and reduce the overall quantity of biofertilizers needed. Ongoing research in this area continues to enhance the practicality and effectiveness of PGPM applications across diverse agricultural settings (Hajjar et al., 2023).</w:t>
      </w:r>
    </w:p>
    <w:p w14:paraId="2037C74A" w14:textId="56A6EC17"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Future Prospects and Research Gaps</w:t>
      </w:r>
    </w:p>
    <w:p w14:paraId="16E5198F" w14:textId="77777777"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Advances in Biotechnology</w:t>
      </w:r>
    </w:p>
    <w:p w14:paraId="131723D2" w14:textId="77777777" w:rsidR="00591900" w:rsidRDefault="00591900" w:rsidP="00827AB1">
      <w:pPr>
        <w:spacing w:before="120" w:after="120" w:line="360" w:lineRule="auto"/>
        <w:jc w:val="both"/>
        <w:rPr>
          <w:rFonts w:ascii="Times New Roman" w:hAnsi="Times New Roman" w:cs="Times New Roman"/>
          <w:sz w:val="24"/>
          <w:szCs w:val="24"/>
        </w:rPr>
      </w:pPr>
      <w:r w:rsidRPr="00591900">
        <w:rPr>
          <w:rFonts w:ascii="Times New Roman" w:hAnsi="Times New Roman" w:cs="Times New Roman"/>
          <w:sz w:val="24"/>
          <w:szCs w:val="24"/>
        </w:rPr>
        <w:t xml:space="preserve">Emerging biotechnological tools are transforming the development of Plant Growth-Promoting Microorganism (PGPM) strains, enhancing their effectiveness as biofertilizers. Advances in genetic engineering enable the modification of PGPM strains to improve nitrogen fixation, nutrient solubilization, and stress tolerance by identifying and manipulating specific genes responsible for these functions (Schneider et al., 2020). This innovation allows for the creation of superior strains tailored to diverse environmental conditions, leading to more resilient and effective biofertilizers </w:t>
      </w:r>
      <w:r w:rsidRPr="00591900">
        <w:rPr>
          <w:rFonts w:ascii="Times New Roman" w:hAnsi="Times New Roman" w:cs="Times New Roman"/>
          <w:sz w:val="24"/>
          <w:szCs w:val="24"/>
        </w:rPr>
        <w:lastRenderedPageBreak/>
        <w:t>for specific crops and soils (Li et al., 2024). Additionally, synthetic biology offers a groundbreaking approach to designing and constructing microbial communities with enhanced capabilities (Naglimat et al., 2021). By engineering custom microbial consortia that synergistically promote plant growth, researchers can optimize nutrient uptake and disease resistance, revolutionizing biofertilizer development and application in agriculture (Liu et al., 2022).</w:t>
      </w:r>
    </w:p>
    <w:p w14:paraId="69A4BF57" w14:textId="4B22DA22"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Formulation Innovation</w:t>
      </w:r>
    </w:p>
    <w:p w14:paraId="51DBD31C" w14:textId="77777777" w:rsidR="00B913F0" w:rsidRDefault="00B913F0" w:rsidP="00827AB1">
      <w:pPr>
        <w:spacing w:before="120" w:after="120" w:line="360" w:lineRule="auto"/>
        <w:jc w:val="both"/>
        <w:rPr>
          <w:rFonts w:ascii="Times New Roman" w:hAnsi="Times New Roman" w:cs="Times New Roman"/>
          <w:sz w:val="24"/>
          <w:szCs w:val="24"/>
        </w:rPr>
      </w:pPr>
      <w:r w:rsidRPr="00B913F0">
        <w:rPr>
          <w:rFonts w:ascii="Times New Roman" w:hAnsi="Times New Roman" w:cs="Times New Roman"/>
          <w:sz w:val="24"/>
          <w:szCs w:val="24"/>
        </w:rPr>
        <w:t>Recent advancements in the formulation of PGPM-based products are crucial for improving their stability, efficacy, and ease of use. Encapsulation technologies protect PGPMs from environmental stressors such as UV radiation and desiccation, enhancing their survival during storage and application (Shang et al., 2024). These techniques also enable controlled release, ensuring that microorganisms remain viable and active in the rhizosphere over extended periods (Chen et al., 2023). Additionally, innovations in controlled-release systems allow for the gradual delivery of PGPMs, synchronizing their activity with plant nutrient uptake (Arouna et al., 2023). By aligning microbial activity with plant growth stages, these systems improve nutrient efficiency and reduce the overall quantity of biofertilizers required. Ongoing research in this area continues to enhance the practicality and effectiveness of PGPM applications in diverse agricultural settings (Hajjar et al., 2023).</w:t>
      </w:r>
    </w:p>
    <w:p w14:paraId="4BDD1A9C" w14:textId="08E4F01A"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Precision Agriculture and PGPM</w:t>
      </w:r>
    </w:p>
    <w:p w14:paraId="3C2DA7B6" w14:textId="77777777" w:rsidR="00591900" w:rsidRDefault="00591900" w:rsidP="00827AB1">
      <w:pPr>
        <w:spacing w:before="120" w:after="120" w:line="360" w:lineRule="auto"/>
        <w:jc w:val="both"/>
        <w:rPr>
          <w:rFonts w:ascii="Times New Roman" w:hAnsi="Times New Roman" w:cs="Times New Roman"/>
          <w:sz w:val="24"/>
          <w:szCs w:val="24"/>
        </w:rPr>
      </w:pPr>
      <w:r w:rsidRPr="00591900">
        <w:rPr>
          <w:rFonts w:ascii="Times New Roman" w:hAnsi="Times New Roman" w:cs="Times New Roman"/>
          <w:sz w:val="24"/>
          <w:szCs w:val="24"/>
        </w:rPr>
        <w:t>Recent advancements in the formulation of PGPM-based products are crucial for improving their stability, efficacy, and ease of use. Encapsulation technologies protect PGPMs from environmental stressors like UV radiation and desiccation, enhancing their survival during storage and application while also enabling controlled release, ensuring prolonged viability and activity in the rhizosphere (Shang et al., 2024; Chen et al., 2023). Similarly, innovations in controlled-release systems allow for the gradual delivery of PGPMs, synchronizing their activity with plant nutrient uptake and optimizing microbial interactions with plant growth stages (Arouna et al., 2023). By improving nutrient efficiency and reducing the overall quantity of biofertilizers needed, these advancements enhance the practicality and effectiveness of PGPM applications across diverse agricultural settings, paving the way for more sustainable and efficient crop production (Hajjar et al., 2023).</w:t>
      </w:r>
    </w:p>
    <w:p w14:paraId="7B055EBA" w14:textId="5208F1B6"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Long-Term Field Studies</w:t>
      </w:r>
    </w:p>
    <w:p w14:paraId="2D307138" w14:textId="32444A53" w:rsidR="00780DAB" w:rsidRDefault="00591900" w:rsidP="00827AB1">
      <w:pPr>
        <w:spacing w:before="120" w:after="120" w:line="360" w:lineRule="auto"/>
        <w:jc w:val="both"/>
        <w:outlineLvl w:val="2"/>
        <w:rPr>
          <w:rFonts w:ascii="Times New Roman" w:eastAsia="Times New Roman" w:hAnsi="Times New Roman" w:cs="Times New Roman"/>
          <w:b/>
          <w:bCs/>
          <w:sz w:val="24"/>
          <w:szCs w:val="24"/>
        </w:rPr>
      </w:pPr>
      <w:r w:rsidRPr="00591900">
        <w:rPr>
          <w:rFonts w:ascii="Times New Roman" w:hAnsi="Times New Roman" w:cs="Times New Roman"/>
          <w:sz w:val="24"/>
          <w:szCs w:val="24"/>
        </w:rPr>
        <w:lastRenderedPageBreak/>
        <w:t>To fully understand the potential of PGPMs as biofertilizers, there is a pressing need for more long-term, large-scale field trials. These studies can provide valuable insights into the efficacy of PGPM applications across various agroecological zones, helping determine optimal conditions for microbial performance, evaluating their impact on crop yields, and assessing changes in soil health over time (Weifeng et al., 2022; Saberi-Kamarposhti et al., 2024). Additionally, assessing the scalability of PGPM applications is crucial for promoting their adoption in diverse agricultural systems. Large-scale trials can help identify best practices for implementation, evaluate economic viability, and develop guidelines for farmers to maximize the benefits of PGPM-based biofertilizers (Ma et al., 2024). Moreover, long-term studies are essential for understanding the broader environmental impacts of PGPM applications, including their influence on soil carbon sequestration, biodiversity, and ecosystem health, thereby contributing to a more sustainable agricultural framework (Thepbandit and Athinuwat, 2024; Rios-Ruiz et al., 2020).</w:t>
      </w:r>
    </w:p>
    <w:p w14:paraId="36743B4D" w14:textId="77777777" w:rsidR="00827AB1" w:rsidRPr="00827AB1" w:rsidRDefault="00827AB1" w:rsidP="00827AB1">
      <w:pPr>
        <w:spacing w:before="120" w:after="120" w:line="360" w:lineRule="auto"/>
        <w:jc w:val="both"/>
        <w:outlineLvl w:val="2"/>
        <w:rPr>
          <w:rFonts w:ascii="Times New Roman" w:eastAsia="Times New Roman" w:hAnsi="Times New Roman" w:cs="Times New Roman"/>
          <w:b/>
          <w:bCs/>
          <w:sz w:val="24"/>
          <w:szCs w:val="24"/>
        </w:rPr>
      </w:pPr>
      <w:r w:rsidRPr="00827AB1">
        <w:rPr>
          <w:rFonts w:ascii="Times New Roman" w:eastAsia="Times New Roman" w:hAnsi="Times New Roman" w:cs="Times New Roman"/>
          <w:b/>
          <w:bCs/>
          <w:sz w:val="24"/>
          <w:szCs w:val="24"/>
        </w:rPr>
        <w:t>Conclusion</w:t>
      </w:r>
    </w:p>
    <w:p w14:paraId="2413B72A" w14:textId="77777777" w:rsidR="00827AB1" w:rsidRPr="00827AB1" w:rsidRDefault="00827AB1" w:rsidP="00827AB1">
      <w:pPr>
        <w:spacing w:before="120" w:after="120" w:line="360" w:lineRule="auto"/>
        <w:jc w:val="both"/>
        <w:rPr>
          <w:rFonts w:ascii="Times New Roman" w:eastAsia="Times New Roman" w:hAnsi="Times New Roman" w:cs="Times New Roman"/>
          <w:sz w:val="24"/>
          <w:szCs w:val="24"/>
        </w:rPr>
      </w:pPr>
      <w:r w:rsidRPr="00827AB1">
        <w:rPr>
          <w:rFonts w:ascii="Times New Roman" w:eastAsia="Times New Roman" w:hAnsi="Times New Roman" w:cs="Times New Roman"/>
          <w:sz w:val="24"/>
          <w:szCs w:val="24"/>
        </w:rPr>
        <w:t>Plant Growth-Promoting Microorganisms (PGPMs) represent a transformative approach to sustainable agriculture, offering numerous benefits that enhance both crop productivity and soil health. These beneficial microorganisms play a critical role in nutrient acquisition, improve soil structure, and promote resilience against biotic and abiotic stresses. By reducing reliance on synthetic fertilizers, PGPMs help mitigate environmental impacts, such as water pollution and greenhouse gas emissions, thereby fostering a more sustainable agricultural framework.</w:t>
      </w:r>
    </w:p>
    <w:p w14:paraId="236696F5" w14:textId="77777777" w:rsidR="00827AB1" w:rsidRPr="00827AB1" w:rsidRDefault="00827AB1" w:rsidP="00827AB1">
      <w:pPr>
        <w:spacing w:before="120" w:after="120" w:line="360" w:lineRule="auto"/>
        <w:jc w:val="both"/>
        <w:rPr>
          <w:rFonts w:ascii="Times New Roman" w:eastAsia="Times New Roman" w:hAnsi="Times New Roman" w:cs="Times New Roman"/>
          <w:sz w:val="24"/>
          <w:szCs w:val="24"/>
        </w:rPr>
      </w:pPr>
      <w:r w:rsidRPr="00827AB1">
        <w:rPr>
          <w:rFonts w:ascii="Times New Roman" w:eastAsia="Times New Roman" w:hAnsi="Times New Roman" w:cs="Times New Roman"/>
          <w:sz w:val="24"/>
          <w:szCs w:val="24"/>
        </w:rPr>
        <w:t>Despite their potential, several challenges remain in the application of PGPMs. Inconsistencies in field performance, formulation and delivery issues, and factors affecting microbial survival in diverse soil conditions need to be addressed through ongoing research and development. It is crucial to develop innovative formulations, improve microbial strains through biotechnological advancements, and conduct long-term field studies to assess efficacy and scalability across different agroecological zones.</w:t>
      </w:r>
    </w:p>
    <w:p w14:paraId="31BA0088" w14:textId="77777777" w:rsidR="00827AB1" w:rsidRPr="00827AB1" w:rsidRDefault="00827AB1" w:rsidP="00827AB1">
      <w:pPr>
        <w:spacing w:before="120" w:after="120" w:line="360" w:lineRule="auto"/>
        <w:jc w:val="both"/>
        <w:rPr>
          <w:rFonts w:ascii="Times New Roman" w:eastAsia="Times New Roman" w:hAnsi="Times New Roman" w:cs="Times New Roman"/>
          <w:sz w:val="24"/>
          <w:szCs w:val="24"/>
        </w:rPr>
      </w:pPr>
      <w:r w:rsidRPr="00827AB1">
        <w:rPr>
          <w:rFonts w:ascii="Times New Roman" w:eastAsia="Times New Roman" w:hAnsi="Times New Roman" w:cs="Times New Roman"/>
          <w:sz w:val="24"/>
          <w:szCs w:val="24"/>
        </w:rPr>
        <w:t xml:space="preserve">As we look to the future, biofertilizers, particularly PGPMs, will play an increasingly vital role in addressing global food security challenges while promoting environmental sustainability. By integrating these natural solutions into modern agricultural practices, we can create resilient food systems that not only meet the demands of a growing population but also protect and enhance our </w:t>
      </w:r>
      <w:r w:rsidRPr="00827AB1">
        <w:rPr>
          <w:rFonts w:ascii="Times New Roman" w:eastAsia="Times New Roman" w:hAnsi="Times New Roman" w:cs="Times New Roman"/>
          <w:sz w:val="24"/>
          <w:szCs w:val="24"/>
        </w:rPr>
        <w:lastRenderedPageBreak/>
        <w:t>planet's health. The path forward lies in harnessing the power of PGPMs, ultimately contributing to a sustainable and productive agricultural landscape for generations to come.</w:t>
      </w:r>
    </w:p>
    <w:p w14:paraId="47B33ED7" w14:textId="77777777" w:rsidR="00780DAB" w:rsidRPr="00780DAB" w:rsidRDefault="00780DAB" w:rsidP="00780DAB">
      <w:pPr>
        <w:shd w:val="clear" w:color="auto" w:fill="FFFFFF"/>
        <w:spacing w:before="240" w:after="0" w:line="360" w:lineRule="auto"/>
        <w:jc w:val="both"/>
        <w:rPr>
          <w:rFonts w:ascii="Times New Roman" w:eastAsia="Times New Roman" w:hAnsi="Times New Roman" w:cs="Times New Roman"/>
          <w:b/>
          <w:color w:val="222222"/>
          <w:sz w:val="24"/>
          <w:szCs w:val="24"/>
          <w:lang w:bidi="ar-SA"/>
        </w:rPr>
      </w:pPr>
      <w:r w:rsidRPr="00780DAB">
        <w:rPr>
          <w:rFonts w:ascii="Times New Roman" w:eastAsia="Times New Roman" w:hAnsi="Times New Roman" w:cs="Times New Roman"/>
          <w:b/>
          <w:color w:val="222222"/>
          <w:sz w:val="24"/>
          <w:szCs w:val="24"/>
          <w:lang w:bidi="ar-SA"/>
        </w:rPr>
        <w:t>References</w:t>
      </w:r>
    </w:p>
    <w:p w14:paraId="427EAB5A"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Abbas, S.R.; Shahid, I.; Javed, M.; Malik, K.A.; Mehnaz, S. Contribution of mineral mobilizing fluorescent pseudomonads in growth promotion of rice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in nutrient deficient soil. </w:t>
      </w:r>
      <w:r w:rsidRPr="000A4597">
        <w:rPr>
          <w:rFonts w:ascii="Times New Roman" w:eastAsia="Times New Roman" w:hAnsi="Times New Roman" w:cs="Times New Roman"/>
          <w:i/>
          <w:iCs/>
          <w:color w:val="222222"/>
          <w:sz w:val="24"/>
          <w:szCs w:val="24"/>
          <w:lang w:bidi="ar-SA"/>
        </w:rPr>
        <w:t>S. Afr. J. Bot.</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166</w:t>
      </w:r>
      <w:r w:rsidRPr="000A4597">
        <w:rPr>
          <w:rFonts w:ascii="Times New Roman" w:eastAsia="Times New Roman" w:hAnsi="Times New Roman" w:cs="Times New Roman"/>
          <w:color w:val="222222"/>
          <w:sz w:val="24"/>
          <w:szCs w:val="24"/>
          <w:lang w:bidi="ar-SA"/>
        </w:rPr>
        <w:t xml:space="preserve">, 88–96. </w:t>
      </w:r>
    </w:p>
    <w:p w14:paraId="10806F18"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Ajijah, N.; Fiodor, A.; Pandey, A.K.; Rana, A.; Pranaw, K. Plant growth-promoting bacteria (PGPB) with biofilm-forming ability: A multifaceted agent for sustainable agriculture. </w:t>
      </w:r>
      <w:r w:rsidRPr="000A4597">
        <w:rPr>
          <w:rFonts w:ascii="Times New Roman" w:eastAsia="Times New Roman" w:hAnsi="Times New Roman" w:cs="Times New Roman"/>
          <w:i/>
          <w:iCs/>
          <w:color w:val="222222"/>
          <w:sz w:val="24"/>
          <w:szCs w:val="24"/>
          <w:lang w:bidi="ar-SA"/>
        </w:rPr>
        <w:t>Diversity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15</w:t>
      </w:r>
      <w:r w:rsidRPr="000A4597">
        <w:rPr>
          <w:rFonts w:ascii="Times New Roman" w:eastAsia="Times New Roman" w:hAnsi="Times New Roman" w:cs="Times New Roman"/>
          <w:color w:val="222222"/>
          <w:sz w:val="24"/>
          <w:szCs w:val="24"/>
          <w:lang w:bidi="ar-SA"/>
        </w:rPr>
        <w:t>, 112</w:t>
      </w:r>
    </w:p>
    <w:p w14:paraId="2A32A591"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Arouna, A.; Dzomeku, I.K.; Shaibu, A.G.; Nurudeen, A.R. Water management for sustainable irrigation in rice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production: A review.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1522</w:t>
      </w:r>
    </w:p>
    <w:p w14:paraId="740667D7"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Bauenova, M.O.; Sarsekeyeva, F.K.; Sadvakasova, A.K.; Kossalbayev, B.D.; Mammadov, R.; Token, A.I.; Balouch, H.; Pashkovskiy, P.; Leong, Y.K.; Chang, J.S.; et al. Assessing the Efficacy of Cyanobacterial Strains as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Growth Biostimulants in Saline Environments. </w:t>
      </w:r>
      <w:r w:rsidRPr="000A4597">
        <w:rPr>
          <w:rFonts w:ascii="Times New Roman" w:eastAsia="Times New Roman" w:hAnsi="Times New Roman" w:cs="Times New Roman"/>
          <w:i/>
          <w:iCs/>
          <w:color w:val="222222"/>
          <w:sz w:val="24"/>
          <w:szCs w:val="24"/>
          <w:lang w:bidi="ar-SA"/>
        </w:rPr>
        <w:t>Plants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2504. </w:t>
      </w:r>
    </w:p>
    <w:p w14:paraId="34CA9DD7"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Chen, D.; Saeed, M.; Ali, M.N.H.A.; Raheel, M.; Ashraf, W.; Hassan, Z.; Hassan, M.Z.; Farooq, U.; Hakim, M.F.; Rao, M.J.; et al. Plant growth promoting rhizobacteria (PGPR) and arbuscular mycorrhizal fungi combined application reveals enhanced soil fertility and rice production.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550. </w:t>
      </w:r>
    </w:p>
    <w:p w14:paraId="5C1608F6"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Chittapun, S.; Lomphengthian, K.; Amnuaysin, N.; Piyapittayanun, C. Improvement of rice growth and yield by seedling pretreatment to induce the artificial coexistence of nitrogen-fixing cyanobacteria and root seedling. </w:t>
      </w:r>
      <w:r w:rsidRPr="000A4597">
        <w:rPr>
          <w:rFonts w:ascii="Times New Roman" w:eastAsia="Times New Roman" w:hAnsi="Times New Roman" w:cs="Times New Roman"/>
          <w:i/>
          <w:iCs/>
          <w:color w:val="222222"/>
          <w:sz w:val="24"/>
          <w:szCs w:val="24"/>
          <w:lang w:bidi="ar-SA"/>
        </w:rPr>
        <w:t>ScienceAsia</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50</w:t>
      </w:r>
      <w:r w:rsidRPr="000A4597">
        <w:rPr>
          <w:rFonts w:ascii="Times New Roman" w:eastAsia="Times New Roman" w:hAnsi="Times New Roman" w:cs="Times New Roman"/>
          <w:color w:val="222222"/>
          <w:sz w:val="24"/>
          <w:szCs w:val="24"/>
          <w:lang w:bidi="ar-SA"/>
        </w:rPr>
        <w:t xml:space="preserve">, 1. </w:t>
      </w:r>
    </w:p>
    <w:p w14:paraId="5462A6A0"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Chompa, S.S.; Zuan, A.T.K.; Amin, A.M.; Hun, T.G.; Ghazali, A.H.A.; Sadeq, B.M.; Akter, A.; Rahman, M.E.; Rashid, H.O. Growth and protein response of rice plant with plant growth-promoting rhizobacteria inoculations under salt stress conditions. </w:t>
      </w:r>
      <w:r w:rsidRPr="000A4597">
        <w:rPr>
          <w:rFonts w:ascii="Times New Roman" w:eastAsia="Times New Roman" w:hAnsi="Times New Roman" w:cs="Times New Roman"/>
          <w:i/>
          <w:iCs/>
          <w:color w:val="222222"/>
          <w:sz w:val="24"/>
          <w:szCs w:val="24"/>
          <w:lang w:bidi="ar-SA"/>
        </w:rPr>
        <w:t>Int. Microbiol.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27</w:t>
      </w:r>
      <w:r w:rsidRPr="000A4597">
        <w:rPr>
          <w:rFonts w:ascii="Times New Roman" w:eastAsia="Times New Roman" w:hAnsi="Times New Roman" w:cs="Times New Roman"/>
          <w:color w:val="222222"/>
          <w:sz w:val="24"/>
          <w:szCs w:val="24"/>
          <w:lang w:bidi="ar-SA"/>
        </w:rPr>
        <w:t xml:space="preserve">, 1151–1168. </w:t>
      </w:r>
    </w:p>
    <w:p w14:paraId="679F191F"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 xml:space="preserve">Danesh, Y.R.; Pellegrini, M.; Akköprü, A.; Farda, B.; Boyno, G.; Djebaili, R. Plant growth–promoting rhizobacteria: Their potential as biological control agents in sustainable </w:t>
      </w:r>
      <w:r w:rsidRPr="000A4597">
        <w:rPr>
          <w:rFonts w:ascii="Times New Roman" w:eastAsia="Times New Roman" w:hAnsi="Times New Roman" w:cs="Times New Roman"/>
          <w:color w:val="222222"/>
          <w:sz w:val="24"/>
          <w:szCs w:val="24"/>
          <w:lang w:bidi="ar-SA"/>
        </w:rPr>
        <w:lastRenderedPageBreak/>
        <w:t>agriculture. In </w:t>
      </w:r>
      <w:r w:rsidRPr="000A4597">
        <w:rPr>
          <w:rFonts w:ascii="Times New Roman" w:eastAsia="Times New Roman" w:hAnsi="Times New Roman" w:cs="Times New Roman"/>
          <w:i/>
          <w:iCs/>
          <w:color w:val="222222"/>
          <w:sz w:val="24"/>
          <w:szCs w:val="24"/>
          <w:lang w:bidi="ar-SA"/>
        </w:rPr>
        <w:t>Sustainable Agricultural Practices</w:t>
      </w:r>
      <w:r w:rsidRPr="000A4597">
        <w:rPr>
          <w:rFonts w:ascii="Times New Roman" w:eastAsia="Times New Roman" w:hAnsi="Times New Roman" w:cs="Times New Roman"/>
          <w:color w:val="222222"/>
          <w:sz w:val="24"/>
          <w:szCs w:val="24"/>
          <w:lang w:bidi="ar-SA"/>
        </w:rPr>
        <w:t xml:space="preserve">; Academic Press: Cambridge, MA, USA, 2024; pp. 145–159. </w:t>
      </w:r>
    </w:p>
    <w:p w14:paraId="5D93A1A9"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De-Andrade, L.A.; Santos, C.H.B.; Frezarin, E.T.; Sales, L.R.; Rigobelo, E.C. Plant growth-promoting rhizobacteria for sustainable agricultural production. </w:t>
      </w:r>
      <w:r w:rsidRPr="000A4597">
        <w:rPr>
          <w:rFonts w:ascii="Times New Roman" w:eastAsia="Times New Roman" w:hAnsi="Times New Roman" w:cs="Times New Roman"/>
          <w:i/>
          <w:iCs/>
          <w:color w:val="222222"/>
          <w:sz w:val="24"/>
          <w:szCs w:val="24"/>
          <w:lang w:bidi="ar-SA"/>
        </w:rPr>
        <w:t>Microorganisms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11</w:t>
      </w:r>
      <w:r w:rsidRPr="000A4597">
        <w:rPr>
          <w:rFonts w:ascii="Times New Roman" w:eastAsia="Times New Roman" w:hAnsi="Times New Roman" w:cs="Times New Roman"/>
          <w:color w:val="222222"/>
          <w:sz w:val="24"/>
          <w:szCs w:val="24"/>
          <w:lang w:bidi="ar-SA"/>
        </w:rPr>
        <w:t xml:space="preserve">, 1088. </w:t>
      </w:r>
    </w:p>
    <w:p w14:paraId="03ADC3B7"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Dou, Z.; Zhou, Y.; Zhang, Y.; Guo, W.; Xu, Q.; Gao, H. Influence of Nitrogen Applications during Grain-Filling Stage on Rice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Yield and Grain Quality under High Temperature.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14</w:t>
      </w:r>
      <w:r w:rsidRPr="000A4597">
        <w:rPr>
          <w:rFonts w:ascii="Times New Roman" w:eastAsia="Times New Roman" w:hAnsi="Times New Roman" w:cs="Times New Roman"/>
          <w:color w:val="222222"/>
          <w:sz w:val="24"/>
          <w:szCs w:val="24"/>
          <w:lang w:bidi="ar-SA"/>
        </w:rPr>
        <w:t xml:space="preserve">, 216. </w:t>
      </w:r>
    </w:p>
    <w:p w14:paraId="3C39E580"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Gogoi, B.; Das, R.; Nath, J.D.; Dutta, S.; Borah, M.; Talukdar, L.; Patgiri, D.K.; Pathak, K.; Valente, D.; Petrosillo, I.; et al. Long-term management of rice agroecosystem towards climate change mitigation. </w:t>
      </w:r>
      <w:r w:rsidRPr="000A4597">
        <w:rPr>
          <w:rFonts w:ascii="Times New Roman" w:eastAsia="Times New Roman" w:hAnsi="Times New Roman" w:cs="Times New Roman"/>
          <w:i/>
          <w:iCs/>
          <w:color w:val="222222"/>
          <w:sz w:val="24"/>
          <w:szCs w:val="24"/>
          <w:lang w:bidi="ar-SA"/>
        </w:rPr>
        <w:t>Ecol. Indic.</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160</w:t>
      </w:r>
      <w:r w:rsidRPr="000A4597">
        <w:rPr>
          <w:rFonts w:ascii="Times New Roman" w:eastAsia="Times New Roman" w:hAnsi="Times New Roman" w:cs="Times New Roman"/>
          <w:color w:val="222222"/>
          <w:sz w:val="24"/>
          <w:szCs w:val="24"/>
          <w:lang w:bidi="ar-SA"/>
        </w:rPr>
        <w:t xml:space="preserve">, 111876. </w:t>
      </w:r>
    </w:p>
    <w:p w14:paraId="142624D0"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Gui, Y.; Gu, C.; Xiao, X.; Gao, Y.; Zhao, Y. Microbial inoculations promoted the rice plant growth by regulating the root-zone bacterial community composition and potential function. </w:t>
      </w:r>
      <w:r w:rsidRPr="000A4597">
        <w:rPr>
          <w:rFonts w:ascii="Times New Roman" w:eastAsia="Times New Roman" w:hAnsi="Times New Roman" w:cs="Times New Roman"/>
          <w:i/>
          <w:iCs/>
          <w:color w:val="222222"/>
          <w:sz w:val="24"/>
          <w:szCs w:val="24"/>
          <w:lang w:bidi="ar-SA"/>
        </w:rPr>
        <w:t>J. Soil Sci. Plant Nutr.</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23</w:t>
      </w:r>
      <w:r w:rsidRPr="000A4597">
        <w:rPr>
          <w:rFonts w:ascii="Times New Roman" w:eastAsia="Times New Roman" w:hAnsi="Times New Roman" w:cs="Times New Roman"/>
          <w:color w:val="222222"/>
          <w:sz w:val="24"/>
          <w:szCs w:val="24"/>
          <w:lang w:bidi="ar-SA"/>
        </w:rPr>
        <w:t xml:space="preserve">, 5222–5232. </w:t>
      </w:r>
    </w:p>
    <w:p w14:paraId="165EF3B7"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Habibi, S.; Yokoyama, T.; Haidari, M.D.; Torii, A.; Yasuda, M.; Ohkama-Ohtsu, N. Analyzing single and combined cultures of plant growth-promoting rhizobacteria isolates from afghanistan as a potential biofertilizer for rice growth and development. </w:t>
      </w:r>
      <w:r w:rsidRPr="000A4597">
        <w:rPr>
          <w:rFonts w:ascii="Times New Roman" w:eastAsia="Times New Roman" w:hAnsi="Times New Roman" w:cs="Times New Roman"/>
          <w:i/>
          <w:iCs/>
          <w:color w:val="222222"/>
          <w:sz w:val="24"/>
          <w:szCs w:val="24"/>
          <w:lang w:bidi="ar-SA"/>
        </w:rPr>
        <w:t>Agriculture</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2252. </w:t>
      </w:r>
    </w:p>
    <w:p w14:paraId="53B87724"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Hajjar, M.J.; Ahmed, N.; Alhudaib, K.A.; Ullah, H. Integrated insect pest management techniques for rice. </w:t>
      </w:r>
      <w:r w:rsidRPr="000A4597">
        <w:rPr>
          <w:rFonts w:ascii="Times New Roman" w:eastAsia="Times New Roman" w:hAnsi="Times New Roman" w:cs="Times New Roman"/>
          <w:i/>
          <w:iCs/>
          <w:color w:val="222222"/>
          <w:sz w:val="24"/>
          <w:szCs w:val="24"/>
          <w:lang w:bidi="ar-SA"/>
        </w:rPr>
        <w:t>Sustainability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15</w:t>
      </w:r>
      <w:r w:rsidRPr="000A4597">
        <w:rPr>
          <w:rFonts w:ascii="Times New Roman" w:eastAsia="Times New Roman" w:hAnsi="Times New Roman" w:cs="Times New Roman"/>
          <w:color w:val="222222"/>
          <w:sz w:val="24"/>
          <w:szCs w:val="24"/>
          <w:lang w:bidi="ar-SA"/>
        </w:rPr>
        <w:t xml:space="preserve">, 4499. </w:t>
      </w:r>
    </w:p>
    <w:p w14:paraId="66BF7ABD"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Iqbal, J.; Yousaf, U.; Asgher, A.; Dilshad, R.; Qamar, F.M.; Bibi, S.; Rehman, S.U.; Haroon, M. Sustainable Rice Production Under Biotic and Abiotic Stress Challenges. In </w:t>
      </w:r>
      <w:r w:rsidRPr="000A4597">
        <w:rPr>
          <w:rFonts w:ascii="Times New Roman" w:eastAsia="Times New Roman" w:hAnsi="Times New Roman" w:cs="Times New Roman"/>
          <w:i/>
          <w:iCs/>
          <w:color w:val="222222"/>
          <w:sz w:val="24"/>
          <w:szCs w:val="24"/>
          <w:lang w:bidi="ar-SA"/>
        </w:rPr>
        <w:t>Sustainable Agriculture in the Era of the OMICs Revolution</w:t>
      </w:r>
      <w:r w:rsidRPr="000A4597">
        <w:rPr>
          <w:rFonts w:ascii="Times New Roman" w:eastAsia="Times New Roman" w:hAnsi="Times New Roman" w:cs="Times New Roman"/>
          <w:color w:val="222222"/>
          <w:sz w:val="24"/>
          <w:szCs w:val="24"/>
          <w:lang w:bidi="ar-SA"/>
        </w:rPr>
        <w:t xml:space="preserve">; Prakash, C.S., Fiaz, S., Nadeem, M.A., Baloch, F.S., Qayyum, A., Eds.; Springer: Cham, Switzerland, 2023; pp. 241–268. </w:t>
      </w:r>
    </w:p>
    <w:p w14:paraId="5AD49C9E"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Islam, M.M.; Mandal, S. Unveiling growth-promoting attributes of peanut root endophyte </w:t>
      </w:r>
      <w:r w:rsidRPr="000A4597">
        <w:rPr>
          <w:rFonts w:ascii="Times New Roman" w:eastAsia="Times New Roman" w:hAnsi="Times New Roman" w:cs="Times New Roman"/>
          <w:i/>
          <w:iCs/>
          <w:color w:val="222222"/>
          <w:sz w:val="24"/>
          <w:szCs w:val="24"/>
          <w:lang w:bidi="ar-SA"/>
        </w:rPr>
        <w:t>Micromonospora</w:t>
      </w:r>
      <w:r w:rsidRPr="000A4597">
        <w:rPr>
          <w:rFonts w:ascii="Times New Roman" w:eastAsia="Times New Roman" w:hAnsi="Times New Roman" w:cs="Times New Roman"/>
          <w:color w:val="222222"/>
          <w:sz w:val="24"/>
          <w:szCs w:val="24"/>
          <w:lang w:bidi="ar-SA"/>
        </w:rPr>
        <w:t> sp. </w:t>
      </w:r>
      <w:r w:rsidRPr="000A4597">
        <w:rPr>
          <w:rFonts w:ascii="Times New Roman" w:eastAsia="Times New Roman" w:hAnsi="Times New Roman" w:cs="Times New Roman"/>
          <w:i/>
          <w:iCs/>
          <w:color w:val="222222"/>
          <w:sz w:val="24"/>
          <w:szCs w:val="24"/>
          <w:lang w:bidi="ar-SA"/>
        </w:rPr>
        <w:t>Arch. Microbiol.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206</w:t>
      </w:r>
      <w:r w:rsidRPr="000A4597">
        <w:rPr>
          <w:rFonts w:ascii="Times New Roman" w:eastAsia="Times New Roman" w:hAnsi="Times New Roman" w:cs="Times New Roman"/>
          <w:color w:val="222222"/>
          <w:sz w:val="24"/>
          <w:szCs w:val="24"/>
          <w:lang w:bidi="ar-SA"/>
        </w:rPr>
        <w:t xml:space="preserve">, 182. </w:t>
      </w:r>
    </w:p>
    <w:p w14:paraId="2989522F"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Jalal, A.; Júnior, E.F.; Teixeira Filho, M.C.M. Interaction of zinc mineral nutrition and plant growth-promoting bacteria in tropical agricultural systems: A review. </w:t>
      </w:r>
      <w:r w:rsidRPr="000A4597">
        <w:rPr>
          <w:rFonts w:ascii="Times New Roman" w:eastAsia="Times New Roman" w:hAnsi="Times New Roman" w:cs="Times New Roman"/>
          <w:i/>
          <w:iCs/>
          <w:color w:val="222222"/>
          <w:sz w:val="24"/>
          <w:szCs w:val="24"/>
          <w:lang w:bidi="ar-SA"/>
        </w:rPr>
        <w:t>Plants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571</w:t>
      </w:r>
    </w:p>
    <w:p w14:paraId="1422A76C"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lastRenderedPageBreak/>
        <w:t>Janaki, M.; Sivadasan Unni, P.K.; Stanley-Raja, V.; Senthil-Nathan, S.; Almutairi, B.O.; Abdel-Megeed, A. Biocontrol Effect of </w:t>
      </w:r>
      <w:r w:rsidRPr="000A4597">
        <w:rPr>
          <w:rFonts w:ascii="Times New Roman" w:eastAsia="Times New Roman" w:hAnsi="Times New Roman" w:cs="Times New Roman"/>
          <w:i/>
          <w:iCs/>
          <w:color w:val="222222"/>
          <w:sz w:val="24"/>
          <w:szCs w:val="24"/>
          <w:lang w:bidi="ar-SA"/>
        </w:rPr>
        <w:t>Bacillus subtilis</w:t>
      </w:r>
      <w:r w:rsidRPr="000A4597">
        <w:rPr>
          <w:rFonts w:ascii="Times New Roman" w:eastAsia="Times New Roman" w:hAnsi="Times New Roman" w:cs="Times New Roman"/>
          <w:color w:val="222222"/>
          <w:sz w:val="24"/>
          <w:szCs w:val="24"/>
          <w:lang w:bidi="ar-SA"/>
        </w:rPr>
        <w:t> against </w:t>
      </w:r>
      <w:r w:rsidRPr="000A4597">
        <w:rPr>
          <w:rFonts w:ascii="Times New Roman" w:eastAsia="Times New Roman" w:hAnsi="Times New Roman" w:cs="Times New Roman"/>
          <w:i/>
          <w:iCs/>
          <w:color w:val="222222"/>
          <w:sz w:val="24"/>
          <w:szCs w:val="24"/>
          <w:lang w:bidi="ar-SA"/>
        </w:rPr>
        <w:t>Cnaphalocrocis medinalis</w:t>
      </w:r>
      <w:r w:rsidRPr="000A4597">
        <w:rPr>
          <w:rFonts w:ascii="Times New Roman" w:eastAsia="Times New Roman" w:hAnsi="Times New Roman" w:cs="Times New Roman"/>
          <w:color w:val="222222"/>
          <w:sz w:val="24"/>
          <w:szCs w:val="24"/>
          <w:lang w:bidi="ar-SA"/>
        </w:rPr>
        <w:t> (Guenèe) (Lepidoptera: Pyralidae): A Sustainable Approach to Rice Pest Management.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14</w:t>
      </w:r>
      <w:r w:rsidRPr="000A4597">
        <w:rPr>
          <w:rFonts w:ascii="Times New Roman" w:eastAsia="Times New Roman" w:hAnsi="Times New Roman" w:cs="Times New Roman"/>
          <w:color w:val="222222"/>
          <w:sz w:val="24"/>
          <w:szCs w:val="24"/>
          <w:lang w:bidi="ar-SA"/>
        </w:rPr>
        <w:t xml:space="preserve">, 310. </w:t>
      </w:r>
    </w:p>
    <w:p w14:paraId="107DA59E"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Jiang, W.; Liu, J.; He, Y.; Payizila, A.; Li, Y. Biological control ability and antifungal activities of </w:t>
      </w:r>
      <w:r w:rsidRPr="000A4597">
        <w:rPr>
          <w:rFonts w:ascii="Times New Roman" w:eastAsia="Times New Roman" w:hAnsi="Times New Roman" w:cs="Times New Roman"/>
          <w:i/>
          <w:iCs/>
          <w:color w:val="222222"/>
          <w:sz w:val="24"/>
          <w:szCs w:val="24"/>
          <w:lang w:bidi="ar-SA"/>
        </w:rPr>
        <w:t>Bacillus velezensis</w:t>
      </w:r>
      <w:r w:rsidRPr="000A4597">
        <w:rPr>
          <w:rFonts w:ascii="Times New Roman" w:eastAsia="Times New Roman" w:hAnsi="Times New Roman" w:cs="Times New Roman"/>
          <w:color w:val="222222"/>
          <w:sz w:val="24"/>
          <w:szCs w:val="24"/>
          <w:lang w:bidi="ar-SA"/>
        </w:rPr>
        <w:t> Bv S3 against </w:t>
      </w:r>
      <w:r w:rsidRPr="000A4597">
        <w:rPr>
          <w:rFonts w:ascii="Times New Roman" w:eastAsia="Times New Roman" w:hAnsi="Times New Roman" w:cs="Times New Roman"/>
          <w:i/>
          <w:iCs/>
          <w:color w:val="222222"/>
          <w:sz w:val="24"/>
          <w:szCs w:val="24"/>
          <w:lang w:bidi="ar-SA"/>
        </w:rPr>
        <w:t>Fusarium oxysporum</w:t>
      </w:r>
      <w:r w:rsidRPr="000A4597">
        <w:rPr>
          <w:rFonts w:ascii="Times New Roman" w:eastAsia="Times New Roman" w:hAnsi="Times New Roman" w:cs="Times New Roman"/>
          <w:color w:val="222222"/>
          <w:sz w:val="24"/>
          <w:szCs w:val="24"/>
          <w:lang w:bidi="ar-SA"/>
        </w:rPr>
        <w:t> that causes rice seedling blight.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14</w:t>
      </w:r>
      <w:r w:rsidRPr="000A4597">
        <w:rPr>
          <w:rFonts w:ascii="Times New Roman" w:eastAsia="Times New Roman" w:hAnsi="Times New Roman" w:cs="Times New Roman"/>
          <w:color w:val="222222"/>
          <w:sz w:val="24"/>
          <w:szCs w:val="24"/>
          <w:lang w:bidi="ar-SA"/>
        </w:rPr>
        <w:t xml:space="preserve">, 167. </w:t>
      </w:r>
    </w:p>
    <w:p w14:paraId="3F474789"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Jin, W.; Li, L.; Ma, G.; Wei, Z. Halotolerant Microorganism-Based Soil Conditioner Application Improved the Soil Properties, Yield, Quality and Starch Characteristics of Hybrid Rice under Higher Saline Conditions. </w:t>
      </w:r>
      <w:r w:rsidRPr="000A4597">
        <w:rPr>
          <w:rFonts w:ascii="Times New Roman" w:eastAsia="Times New Roman" w:hAnsi="Times New Roman" w:cs="Times New Roman"/>
          <w:i/>
          <w:iCs/>
          <w:color w:val="222222"/>
          <w:sz w:val="24"/>
          <w:szCs w:val="24"/>
          <w:lang w:bidi="ar-SA"/>
        </w:rPr>
        <w:t>Plants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2325. </w:t>
      </w:r>
    </w:p>
    <w:p w14:paraId="2C9021E5"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Khaskheli, M.A.; Wu, L.; Chen, G.; Chen, L.; Hussain, S.; Song, D.; Liu, S.; Feng, G. Isolation and characterization of root-associated bacterial endophytes and their biocontrol potential against major fungal phytopathogens of rice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w:t>
      </w:r>
      <w:r w:rsidRPr="000A4597">
        <w:rPr>
          <w:rFonts w:ascii="Times New Roman" w:eastAsia="Times New Roman" w:hAnsi="Times New Roman" w:cs="Times New Roman"/>
          <w:i/>
          <w:iCs/>
          <w:color w:val="222222"/>
          <w:sz w:val="24"/>
          <w:szCs w:val="24"/>
          <w:lang w:bidi="ar-SA"/>
        </w:rPr>
        <w:t>Pathogens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2020</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9</w:t>
      </w:r>
      <w:r w:rsidRPr="000A4597">
        <w:rPr>
          <w:rFonts w:ascii="Times New Roman" w:eastAsia="Times New Roman" w:hAnsi="Times New Roman" w:cs="Times New Roman"/>
          <w:color w:val="222222"/>
          <w:sz w:val="24"/>
          <w:szCs w:val="24"/>
          <w:lang w:bidi="ar-SA"/>
        </w:rPr>
        <w:t xml:space="preserve">, 172. </w:t>
      </w:r>
    </w:p>
    <w:p w14:paraId="307120D7"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Kumar, A.; Singh, S.; Mukherjee, A.; Rastogi, R.P.; Verma, J.P. Salt-tolerant plant growth-promoting </w:t>
      </w:r>
      <w:r w:rsidRPr="000A4597">
        <w:rPr>
          <w:rFonts w:ascii="Times New Roman" w:eastAsia="Times New Roman" w:hAnsi="Times New Roman" w:cs="Times New Roman"/>
          <w:i/>
          <w:iCs/>
          <w:color w:val="222222"/>
          <w:sz w:val="24"/>
          <w:szCs w:val="24"/>
          <w:lang w:bidi="ar-SA"/>
        </w:rPr>
        <w:t>Bacillus pumilus</w:t>
      </w:r>
      <w:r w:rsidRPr="000A4597">
        <w:rPr>
          <w:rFonts w:ascii="Times New Roman" w:eastAsia="Times New Roman" w:hAnsi="Times New Roman" w:cs="Times New Roman"/>
          <w:color w:val="222222"/>
          <w:sz w:val="24"/>
          <w:szCs w:val="24"/>
          <w:lang w:bidi="ar-SA"/>
        </w:rPr>
        <w:t> strain JPVS11 to enhance plant growth attributes of rice and improve soil health under salinity stress. </w:t>
      </w:r>
      <w:r w:rsidRPr="000A4597">
        <w:rPr>
          <w:rFonts w:ascii="Times New Roman" w:eastAsia="Times New Roman" w:hAnsi="Times New Roman" w:cs="Times New Roman"/>
          <w:i/>
          <w:iCs/>
          <w:color w:val="222222"/>
          <w:sz w:val="24"/>
          <w:szCs w:val="24"/>
          <w:lang w:bidi="ar-SA"/>
        </w:rPr>
        <w:t>Microbiol. Res.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2021</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242</w:t>
      </w:r>
      <w:r w:rsidRPr="000A4597">
        <w:rPr>
          <w:rFonts w:ascii="Times New Roman" w:eastAsia="Times New Roman" w:hAnsi="Times New Roman" w:cs="Times New Roman"/>
          <w:color w:val="222222"/>
          <w:sz w:val="24"/>
          <w:szCs w:val="24"/>
          <w:lang w:bidi="ar-SA"/>
        </w:rPr>
        <w:t xml:space="preserve">, 126616. </w:t>
      </w:r>
    </w:p>
    <w:p w14:paraId="7F0598FD"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Kumar, M.; Poonam; Ahmad, S.; Singh, R.P. Plant growth promoting microbes: Diverse roles for sustainable and ecofriendly agriculture. </w:t>
      </w:r>
      <w:r w:rsidRPr="000A4597">
        <w:rPr>
          <w:rFonts w:ascii="Times New Roman" w:eastAsia="Times New Roman" w:hAnsi="Times New Roman" w:cs="Times New Roman"/>
          <w:i/>
          <w:iCs/>
          <w:color w:val="222222"/>
          <w:sz w:val="24"/>
          <w:szCs w:val="24"/>
          <w:lang w:bidi="ar-SA"/>
        </w:rPr>
        <w:t>Energy Nexus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2022</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7</w:t>
      </w:r>
      <w:r w:rsidRPr="000A4597">
        <w:rPr>
          <w:rFonts w:ascii="Times New Roman" w:eastAsia="Times New Roman" w:hAnsi="Times New Roman" w:cs="Times New Roman"/>
          <w:color w:val="222222"/>
          <w:sz w:val="24"/>
          <w:szCs w:val="24"/>
          <w:lang w:bidi="ar-SA"/>
        </w:rPr>
        <w:t xml:space="preserve">, 100133. </w:t>
      </w:r>
    </w:p>
    <w:p w14:paraId="14CB2DA8"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Li, J.; Liu, K.L.; Chen, J.; Xie, J.; Jiang, Y.; Deng, G.Q.; Li, D.M.; Guan, X.J.; Liang, X.H.; Chen, X.M.; et al. New insights from soil microorganisms for sustainable double rice-cropping system with 37-year manure fertilization.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261. </w:t>
      </w:r>
    </w:p>
    <w:p w14:paraId="51A3305D"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Li, J.; Xiao, Q.; Wu, H.; Li, J. Unpacking the Global Rice Trade Network: Centrality, Structural Holes, and the Nexus of Food Insecurity. </w:t>
      </w:r>
      <w:r w:rsidRPr="000A4597">
        <w:rPr>
          <w:rFonts w:ascii="Times New Roman" w:eastAsia="Times New Roman" w:hAnsi="Times New Roman" w:cs="Times New Roman"/>
          <w:i/>
          <w:iCs/>
          <w:color w:val="222222"/>
          <w:sz w:val="24"/>
          <w:szCs w:val="24"/>
          <w:lang w:bidi="ar-SA"/>
        </w:rPr>
        <w:t>Foods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604. </w:t>
      </w:r>
    </w:p>
    <w:p w14:paraId="7C8351AC"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Liu, C.; Wang, Y.; Jiao, A.; Ma, X.; Cui, D.; Li, X.; Han, B.; Chen, H.; Ruan, R.; Xue, D.; et al. Effects of traditional ethnic minority food culture on genetic diversity in rice landraces in Guizhou Province, China.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2022</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12</w:t>
      </w:r>
      <w:r w:rsidRPr="000A4597">
        <w:rPr>
          <w:rFonts w:ascii="Times New Roman" w:eastAsia="Times New Roman" w:hAnsi="Times New Roman" w:cs="Times New Roman"/>
          <w:color w:val="222222"/>
          <w:sz w:val="24"/>
          <w:szCs w:val="24"/>
          <w:lang w:bidi="ar-SA"/>
        </w:rPr>
        <w:t xml:space="preserve">, 2308. </w:t>
      </w:r>
    </w:p>
    <w:p w14:paraId="54E13748"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Ma, N.; Liu, X.; Wang, L.; Liu, G. A meta-analysis on the mitigation measures of methane emissions in Chinese rice paddy. </w:t>
      </w:r>
      <w:r w:rsidRPr="000A4597">
        <w:rPr>
          <w:rFonts w:ascii="Times New Roman" w:eastAsia="Times New Roman" w:hAnsi="Times New Roman" w:cs="Times New Roman"/>
          <w:i/>
          <w:iCs/>
          <w:color w:val="222222"/>
          <w:sz w:val="24"/>
          <w:szCs w:val="24"/>
          <w:lang w:bidi="ar-SA"/>
        </w:rPr>
        <w:t>Resour. Conserv. Recycl.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202</w:t>
      </w:r>
      <w:r w:rsidRPr="000A4597">
        <w:rPr>
          <w:rFonts w:ascii="Times New Roman" w:eastAsia="Times New Roman" w:hAnsi="Times New Roman" w:cs="Times New Roman"/>
          <w:color w:val="222222"/>
          <w:sz w:val="24"/>
          <w:szCs w:val="24"/>
          <w:lang w:bidi="ar-SA"/>
        </w:rPr>
        <w:t xml:space="preserve">, 107379. </w:t>
      </w:r>
    </w:p>
    <w:p w14:paraId="5F12B27A"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 xml:space="preserve">Mishra, A.K.; Bhowmick, M.K.; Das, R.; Pidikiti, P.; Maurya, P.K.; Sharma, S.; Peramaiyan, P.; Singh, S. Potentials and Prospects of AMF for Soil Carbon Sequestration </w:t>
      </w:r>
      <w:r w:rsidRPr="000A4597">
        <w:rPr>
          <w:rFonts w:ascii="Times New Roman" w:eastAsia="Times New Roman" w:hAnsi="Times New Roman" w:cs="Times New Roman"/>
          <w:color w:val="222222"/>
          <w:sz w:val="24"/>
          <w:szCs w:val="24"/>
          <w:lang w:bidi="ar-SA"/>
        </w:rPr>
        <w:lastRenderedPageBreak/>
        <w:t>and Nutrient Cycling in Rice-Based Cropping System. In </w:t>
      </w:r>
      <w:r w:rsidRPr="000A4597">
        <w:rPr>
          <w:rFonts w:ascii="Times New Roman" w:eastAsia="Times New Roman" w:hAnsi="Times New Roman" w:cs="Times New Roman"/>
          <w:i/>
          <w:iCs/>
          <w:color w:val="222222"/>
          <w:sz w:val="24"/>
          <w:szCs w:val="24"/>
          <w:lang w:bidi="ar-SA"/>
        </w:rPr>
        <w:t>Arbuscular Mycorrhizal Fungi in Sustainable Agriculture: Nutrient and Crop Management</w:t>
      </w:r>
      <w:r w:rsidRPr="000A4597">
        <w:rPr>
          <w:rFonts w:ascii="Times New Roman" w:eastAsia="Times New Roman" w:hAnsi="Times New Roman" w:cs="Times New Roman"/>
          <w:color w:val="222222"/>
          <w:sz w:val="24"/>
          <w:szCs w:val="24"/>
          <w:lang w:bidi="ar-SA"/>
        </w:rPr>
        <w:t xml:space="preserve">; Parihar, M., Rakshit, A., Adholeya, A., Chen, Y., Eds.; Springer: Singapore, 2024. </w:t>
      </w:r>
    </w:p>
    <w:p w14:paraId="6B55CCAE"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Ngalimat, M.S.; Hata, E.M.; Zulperi, D.; Ismail, S.I.; Ismail, M.R.; Zainudin, N.A.I.M.; Saidi, N.B.; Yusof, M.T. Induction of systemic resistance in rice plants against </w:t>
      </w:r>
      <w:r w:rsidRPr="000A4597">
        <w:rPr>
          <w:rFonts w:ascii="Times New Roman" w:eastAsia="Times New Roman" w:hAnsi="Times New Roman" w:cs="Times New Roman"/>
          <w:i/>
          <w:iCs/>
          <w:color w:val="222222"/>
          <w:sz w:val="24"/>
          <w:szCs w:val="24"/>
          <w:lang w:bidi="ar-SA"/>
        </w:rPr>
        <w:t>Burkholderia glumae</w:t>
      </w:r>
      <w:r w:rsidRPr="000A4597">
        <w:rPr>
          <w:rFonts w:ascii="Times New Roman" w:eastAsia="Times New Roman" w:hAnsi="Times New Roman" w:cs="Times New Roman"/>
          <w:color w:val="222222"/>
          <w:sz w:val="24"/>
          <w:szCs w:val="24"/>
          <w:lang w:bidi="ar-SA"/>
        </w:rPr>
        <w:t> infection by bioformulation of </w:t>
      </w:r>
      <w:r w:rsidRPr="000A4597">
        <w:rPr>
          <w:rFonts w:ascii="Times New Roman" w:eastAsia="Times New Roman" w:hAnsi="Times New Roman" w:cs="Times New Roman"/>
          <w:i/>
          <w:iCs/>
          <w:color w:val="222222"/>
          <w:sz w:val="24"/>
          <w:szCs w:val="24"/>
          <w:lang w:bidi="ar-SA"/>
        </w:rPr>
        <w:t>Streptomyces</w:t>
      </w:r>
      <w:r w:rsidRPr="000A4597">
        <w:rPr>
          <w:rFonts w:ascii="Times New Roman" w:eastAsia="Times New Roman" w:hAnsi="Times New Roman" w:cs="Times New Roman"/>
          <w:color w:val="222222"/>
          <w:sz w:val="24"/>
          <w:szCs w:val="24"/>
          <w:lang w:bidi="ar-SA"/>
        </w:rPr>
        <w:t> spp. under greenhouse conditions. </w:t>
      </w:r>
      <w:r w:rsidRPr="000A4597">
        <w:rPr>
          <w:rFonts w:ascii="Times New Roman" w:eastAsia="Times New Roman" w:hAnsi="Times New Roman" w:cs="Times New Roman"/>
          <w:i/>
          <w:iCs/>
          <w:color w:val="222222"/>
          <w:sz w:val="24"/>
          <w:szCs w:val="24"/>
          <w:lang w:bidi="ar-SA"/>
        </w:rPr>
        <w:t>Biol. Control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184</w:t>
      </w:r>
      <w:r w:rsidRPr="000A4597">
        <w:rPr>
          <w:rFonts w:ascii="Times New Roman" w:eastAsia="Times New Roman" w:hAnsi="Times New Roman" w:cs="Times New Roman"/>
          <w:color w:val="222222"/>
          <w:sz w:val="24"/>
          <w:szCs w:val="24"/>
          <w:lang w:bidi="ar-SA"/>
        </w:rPr>
        <w:t xml:space="preserve">, 105286. </w:t>
      </w:r>
    </w:p>
    <w:p w14:paraId="559A31A9"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Ngalimat, M.S.; Mohd Hata, E.; Zulperi, D.; Ismail, S.I.; Ismail, M.R.; Mohd Zainudin, N.A.I.; Saidi, N.B.; Yusof, M.T. Plant growth-promoting bacteria as an emerging tool to manage bacterial rice pathogens. </w:t>
      </w:r>
      <w:r w:rsidRPr="000A4597">
        <w:rPr>
          <w:rFonts w:ascii="Times New Roman" w:eastAsia="Times New Roman" w:hAnsi="Times New Roman" w:cs="Times New Roman"/>
          <w:i/>
          <w:iCs/>
          <w:color w:val="222222"/>
          <w:sz w:val="24"/>
          <w:szCs w:val="24"/>
          <w:lang w:bidi="ar-SA"/>
        </w:rPr>
        <w:t>Microorganisms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2021</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9</w:t>
      </w:r>
      <w:r w:rsidRPr="000A4597">
        <w:rPr>
          <w:rFonts w:ascii="Times New Roman" w:eastAsia="Times New Roman" w:hAnsi="Times New Roman" w:cs="Times New Roman"/>
          <w:color w:val="222222"/>
          <w:sz w:val="24"/>
          <w:szCs w:val="24"/>
          <w:lang w:bidi="ar-SA"/>
        </w:rPr>
        <w:t xml:space="preserve">, 682. </w:t>
      </w:r>
    </w:p>
    <w:p w14:paraId="17700361"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Ning, Z.; Lin, K.; Gao, M.; Han, X.; Guan, Q.; Ji, X.; Yu, S.; Lu, L. Mitigation of Salt Stress in Rice by the Halotolerant Plant Growth-Promoting Bacterium </w:t>
      </w:r>
      <w:r w:rsidRPr="000A4597">
        <w:rPr>
          <w:rFonts w:ascii="Times New Roman" w:eastAsia="Times New Roman" w:hAnsi="Times New Roman" w:cs="Times New Roman"/>
          <w:i/>
          <w:iCs/>
          <w:color w:val="222222"/>
          <w:sz w:val="24"/>
          <w:szCs w:val="24"/>
          <w:lang w:bidi="ar-SA"/>
        </w:rPr>
        <w:t>Enterobacter asburiae</w:t>
      </w:r>
      <w:r w:rsidRPr="000A4597">
        <w:rPr>
          <w:rFonts w:ascii="Times New Roman" w:eastAsia="Times New Roman" w:hAnsi="Times New Roman" w:cs="Times New Roman"/>
          <w:color w:val="222222"/>
          <w:sz w:val="24"/>
          <w:szCs w:val="24"/>
          <w:lang w:bidi="ar-SA"/>
        </w:rPr>
        <w:t> D2. </w:t>
      </w:r>
      <w:r w:rsidRPr="000A4597">
        <w:rPr>
          <w:rFonts w:ascii="Times New Roman" w:eastAsia="Times New Roman" w:hAnsi="Times New Roman" w:cs="Times New Roman"/>
          <w:i/>
          <w:iCs/>
          <w:color w:val="222222"/>
          <w:sz w:val="24"/>
          <w:szCs w:val="24"/>
          <w:lang w:bidi="ar-SA"/>
        </w:rPr>
        <w:t>J. Xenobiot.</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14</w:t>
      </w:r>
      <w:r w:rsidRPr="000A4597">
        <w:rPr>
          <w:rFonts w:ascii="Times New Roman" w:eastAsia="Times New Roman" w:hAnsi="Times New Roman" w:cs="Times New Roman"/>
          <w:color w:val="222222"/>
          <w:sz w:val="24"/>
          <w:szCs w:val="24"/>
          <w:lang w:bidi="ar-SA"/>
        </w:rPr>
        <w:t xml:space="preserve">, 333–349. </w:t>
      </w:r>
    </w:p>
    <w:p w14:paraId="3F3E51B1"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Pathak, J.; Jaiswal, J.; Shukla, R.K.; Singh, D.K.; Sinha, R.P. Cyanobacterial/algal biofertilizers as plant growth stimulants for green sustainable agriculture. </w:t>
      </w:r>
      <w:r w:rsidRPr="000A4597">
        <w:rPr>
          <w:rFonts w:ascii="Times New Roman" w:eastAsia="Times New Roman" w:hAnsi="Times New Roman" w:cs="Times New Roman"/>
          <w:i/>
          <w:iCs/>
          <w:color w:val="222222"/>
          <w:sz w:val="24"/>
          <w:szCs w:val="24"/>
          <w:lang w:bidi="ar-SA"/>
        </w:rPr>
        <w:t>Crops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42</w:t>
      </w:r>
      <w:r w:rsidRPr="000A4597">
        <w:rPr>
          <w:rFonts w:ascii="Times New Roman" w:eastAsia="Times New Roman" w:hAnsi="Times New Roman" w:cs="Times New Roman"/>
          <w:color w:val="222222"/>
          <w:sz w:val="24"/>
          <w:szCs w:val="24"/>
          <w:lang w:bidi="ar-SA"/>
        </w:rPr>
        <w:t xml:space="preserve">, 43. </w:t>
      </w:r>
    </w:p>
    <w:p w14:paraId="54D0C8A5"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Pieterse, C.M.J.; Berendsen, R.L.; de Jonge, R.; Stringlis, I.A.; Van Dijken, A.J.H.; Van Pelt, J.A.; Van Wees, S.C.M.; Yu, K.; Zamioudis, C.; Bakker, P.A.H.M. </w:t>
      </w:r>
      <w:r w:rsidRPr="000A4597">
        <w:rPr>
          <w:rFonts w:ascii="Times New Roman" w:eastAsia="Times New Roman" w:hAnsi="Times New Roman" w:cs="Times New Roman"/>
          <w:i/>
          <w:iCs/>
          <w:color w:val="222222"/>
          <w:sz w:val="24"/>
          <w:szCs w:val="24"/>
          <w:lang w:bidi="ar-SA"/>
        </w:rPr>
        <w:t>Pseudomonas simiae</w:t>
      </w:r>
      <w:r w:rsidRPr="000A4597">
        <w:rPr>
          <w:rFonts w:ascii="Times New Roman" w:eastAsia="Times New Roman" w:hAnsi="Times New Roman" w:cs="Times New Roman"/>
          <w:color w:val="222222"/>
          <w:sz w:val="24"/>
          <w:szCs w:val="24"/>
          <w:lang w:bidi="ar-SA"/>
        </w:rPr>
        <w:t> WCS417: Star track of a model beneficial rhizobacterium. </w:t>
      </w:r>
      <w:r w:rsidRPr="000A4597">
        <w:rPr>
          <w:rFonts w:ascii="Times New Roman" w:eastAsia="Times New Roman" w:hAnsi="Times New Roman" w:cs="Times New Roman"/>
          <w:i/>
          <w:iCs/>
          <w:color w:val="222222"/>
          <w:sz w:val="24"/>
          <w:szCs w:val="24"/>
          <w:lang w:bidi="ar-SA"/>
        </w:rPr>
        <w:t>Plant Soil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2021</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461</w:t>
      </w:r>
      <w:r w:rsidRPr="000A4597">
        <w:rPr>
          <w:rFonts w:ascii="Times New Roman" w:eastAsia="Times New Roman" w:hAnsi="Times New Roman" w:cs="Times New Roman"/>
          <w:color w:val="222222"/>
          <w:sz w:val="24"/>
          <w:szCs w:val="24"/>
          <w:lang w:bidi="ar-SA"/>
        </w:rPr>
        <w:t xml:space="preserve">, 245–263. </w:t>
      </w:r>
    </w:p>
    <w:p w14:paraId="68AE3782"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Prusty, S.; Sahoo, R.K.; Sharaya, R.; Tuteja, N.; Gill, S.S. Unraveling the potential of native </w:t>
      </w:r>
      <w:r w:rsidRPr="000A4597">
        <w:rPr>
          <w:rFonts w:ascii="Times New Roman" w:eastAsia="Times New Roman" w:hAnsi="Times New Roman" w:cs="Times New Roman"/>
          <w:i/>
          <w:iCs/>
          <w:color w:val="222222"/>
          <w:sz w:val="24"/>
          <w:szCs w:val="24"/>
          <w:lang w:bidi="ar-SA"/>
        </w:rPr>
        <w:t>Azotobacter</w:t>
      </w:r>
      <w:r w:rsidRPr="000A4597">
        <w:rPr>
          <w:rFonts w:ascii="Times New Roman" w:eastAsia="Times New Roman" w:hAnsi="Times New Roman" w:cs="Times New Roman"/>
          <w:color w:val="222222"/>
          <w:sz w:val="24"/>
          <w:szCs w:val="24"/>
          <w:lang w:bidi="ar-SA"/>
        </w:rPr>
        <w:t> and </w:t>
      </w:r>
      <w:r w:rsidRPr="000A4597">
        <w:rPr>
          <w:rFonts w:ascii="Times New Roman" w:eastAsia="Times New Roman" w:hAnsi="Times New Roman" w:cs="Times New Roman"/>
          <w:i/>
          <w:iCs/>
          <w:color w:val="222222"/>
          <w:sz w:val="24"/>
          <w:szCs w:val="24"/>
          <w:lang w:bidi="ar-SA"/>
        </w:rPr>
        <w:t>Azospirillum</w:t>
      </w:r>
      <w:r w:rsidRPr="000A4597">
        <w:rPr>
          <w:rFonts w:ascii="Times New Roman" w:eastAsia="Times New Roman" w:hAnsi="Times New Roman" w:cs="Times New Roman"/>
          <w:color w:val="222222"/>
          <w:sz w:val="24"/>
          <w:szCs w:val="24"/>
          <w:lang w:bidi="ar-SA"/>
        </w:rPr>
        <w:t> spp. formulations for sustainable crop production of rice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var. Khandagiri). </w:t>
      </w:r>
      <w:r w:rsidRPr="000A4597">
        <w:rPr>
          <w:rFonts w:ascii="Times New Roman" w:eastAsia="Times New Roman" w:hAnsi="Times New Roman" w:cs="Times New Roman"/>
          <w:i/>
          <w:iCs/>
          <w:color w:val="222222"/>
          <w:sz w:val="24"/>
          <w:szCs w:val="24"/>
          <w:lang w:bidi="ar-SA"/>
        </w:rPr>
        <w:t>S. Afr. J. Bot.</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162</w:t>
      </w:r>
      <w:r w:rsidRPr="000A4597">
        <w:rPr>
          <w:rFonts w:ascii="Times New Roman" w:eastAsia="Times New Roman" w:hAnsi="Times New Roman" w:cs="Times New Roman"/>
          <w:color w:val="222222"/>
          <w:sz w:val="24"/>
          <w:szCs w:val="24"/>
          <w:lang w:bidi="ar-SA"/>
        </w:rPr>
        <w:t xml:space="preserve">, 10–19. </w:t>
      </w:r>
    </w:p>
    <w:p w14:paraId="7E9460B2"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Quazi, S.A.J.; Shozib, H.B.; Khaton, A.; Zaidi, N.W. Role of </w:t>
      </w:r>
      <w:r w:rsidRPr="000A4597">
        <w:rPr>
          <w:rFonts w:ascii="Times New Roman" w:eastAsia="Times New Roman" w:hAnsi="Times New Roman" w:cs="Times New Roman"/>
          <w:i/>
          <w:iCs/>
          <w:color w:val="222222"/>
          <w:sz w:val="24"/>
          <w:szCs w:val="24"/>
          <w:lang w:bidi="ar-SA"/>
        </w:rPr>
        <w:t>Trichoderma asperelloides</w:t>
      </w:r>
      <w:r w:rsidRPr="000A4597">
        <w:rPr>
          <w:rFonts w:ascii="Times New Roman" w:eastAsia="Times New Roman" w:hAnsi="Times New Roman" w:cs="Times New Roman"/>
          <w:color w:val="222222"/>
          <w:sz w:val="24"/>
          <w:szCs w:val="24"/>
          <w:lang w:bidi="ar-SA"/>
        </w:rPr>
        <w:t> and </w:t>
      </w:r>
      <w:r w:rsidRPr="000A4597">
        <w:rPr>
          <w:rFonts w:ascii="Times New Roman" w:eastAsia="Times New Roman" w:hAnsi="Times New Roman" w:cs="Times New Roman"/>
          <w:i/>
          <w:iCs/>
          <w:color w:val="222222"/>
          <w:sz w:val="24"/>
          <w:szCs w:val="24"/>
          <w:lang w:bidi="ar-SA"/>
        </w:rPr>
        <w:t>Trichoderma brevicompactum</w:t>
      </w:r>
      <w:r w:rsidRPr="000A4597">
        <w:rPr>
          <w:rFonts w:ascii="Times New Roman" w:eastAsia="Times New Roman" w:hAnsi="Times New Roman" w:cs="Times New Roman"/>
          <w:color w:val="222222"/>
          <w:sz w:val="24"/>
          <w:szCs w:val="24"/>
          <w:lang w:bidi="ar-SA"/>
        </w:rPr>
        <w:t> in improving drought tolerance in rice. </w:t>
      </w:r>
      <w:r w:rsidRPr="000A4597">
        <w:rPr>
          <w:rFonts w:ascii="Times New Roman" w:eastAsia="Times New Roman" w:hAnsi="Times New Roman" w:cs="Times New Roman"/>
          <w:i/>
          <w:iCs/>
          <w:color w:val="222222"/>
          <w:sz w:val="24"/>
          <w:szCs w:val="24"/>
          <w:lang w:bidi="ar-SA"/>
        </w:rPr>
        <w:t>Plant Stress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12</w:t>
      </w:r>
      <w:r w:rsidRPr="000A4597">
        <w:rPr>
          <w:rFonts w:ascii="Times New Roman" w:eastAsia="Times New Roman" w:hAnsi="Times New Roman" w:cs="Times New Roman"/>
          <w:color w:val="222222"/>
          <w:sz w:val="24"/>
          <w:szCs w:val="24"/>
          <w:lang w:bidi="ar-SA"/>
        </w:rPr>
        <w:t xml:space="preserve">, 100457. </w:t>
      </w:r>
    </w:p>
    <w:p w14:paraId="1D4E9124"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Radha, B.; Sunitha, N.C.; Sah, R.P.; TP, M.A.; Krishna, G.K.; Umesh, D.K.; Thomas, S.; Anilkumar, C.; Upadhyay, S.; Kumar, A.; et al. Physiological and molecular implications of multiple abiotic stresses on yield and quality of rice. </w:t>
      </w:r>
      <w:r w:rsidRPr="000A4597">
        <w:rPr>
          <w:rFonts w:ascii="Times New Roman" w:eastAsia="Times New Roman" w:hAnsi="Times New Roman" w:cs="Times New Roman"/>
          <w:i/>
          <w:iCs/>
          <w:color w:val="222222"/>
          <w:sz w:val="24"/>
          <w:szCs w:val="24"/>
          <w:lang w:bidi="ar-SA"/>
        </w:rPr>
        <w:t>Front. Plant Sci.</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996514. </w:t>
      </w:r>
    </w:p>
    <w:p w14:paraId="6A22CAF2"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lastRenderedPageBreak/>
        <w:t>Rai, A.N.; Singh, A.K.; Syiem, M.B. </w:t>
      </w:r>
      <w:r w:rsidRPr="000A4597">
        <w:rPr>
          <w:rFonts w:ascii="Times New Roman" w:eastAsia="Times New Roman" w:hAnsi="Times New Roman" w:cs="Times New Roman"/>
          <w:i/>
          <w:iCs/>
          <w:color w:val="222222"/>
          <w:sz w:val="24"/>
          <w:szCs w:val="24"/>
          <w:lang w:bidi="ar-SA"/>
        </w:rPr>
        <w:t>Chapter 23—Plant Growth-Promoting Abilities in Cyanobacteria, Cyanobacteria</w:t>
      </w:r>
      <w:r w:rsidRPr="000A4597">
        <w:rPr>
          <w:rFonts w:ascii="Times New Roman" w:eastAsia="Times New Roman" w:hAnsi="Times New Roman" w:cs="Times New Roman"/>
          <w:color w:val="222222"/>
          <w:sz w:val="24"/>
          <w:szCs w:val="24"/>
          <w:lang w:bidi="ar-SA"/>
        </w:rPr>
        <w:t xml:space="preserve">; Academic Press: Cambridge, MA, USA, 2019; pp. 459–476. </w:t>
      </w:r>
    </w:p>
    <w:p w14:paraId="53D0A0F2"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Ramos, A.C.; Melo, J.; de Souza, S.B.; Bertolazi, A.A.; Silva, R.A.; Rodrigues, W.P.; Campostrini, E.; Olivares, F.L.; Eutrópio, F.J.; Cruz, C.; et al. Inoculation with the endophytic bacterium </w:t>
      </w:r>
      <w:r w:rsidRPr="000A4597">
        <w:rPr>
          <w:rFonts w:ascii="Times New Roman" w:eastAsia="Times New Roman" w:hAnsi="Times New Roman" w:cs="Times New Roman"/>
          <w:i/>
          <w:iCs/>
          <w:color w:val="222222"/>
          <w:sz w:val="24"/>
          <w:szCs w:val="24"/>
          <w:lang w:bidi="ar-SA"/>
        </w:rPr>
        <w:t>Herbaspirillum seropedicae</w:t>
      </w:r>
      <w:r w:rsidRPr="000A4597">
        <w:rPr>
          <w:rFonts w:ascii="Times New Roman" w:eastAsia="Times New Roman" w:hAnsi="Times New Roman" w:cs="Times New Roman"/>
          <w:color w:val="222222"/>
          <w:sz w:val="24"/>
          <w:szCs w:val="24"/>
          <w:lang w:bidi="ar-SA"/>
        </w:rPr>
        <w:t> promotes growth, nutrient uptake and photosynthetic efficiency in rice. </w:t>
      </w:r>
      <w:r w:rsidRPr="000A4597">
        <w:rPr>
          <w:rFonts w:ascii="Times New Roman" w:eastAsia="Times New Roman" w:hAnsi="Times New Roman" w:cs="Times New Roman"/>
          <w:i/>
          <w:iCs/>
          <w:color w:val="222222"/>
          <w:sz w:val="24"/>
          <w:szCs w:val="24"/>
          <w:lang w:bidi="ar-SA"/>
        </w:rPr>
        <w:t>Planta</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2020</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252</w:t>
      </w:r>
      <w:r w:rsidRPr="000A4597">
        <w:rPr>
          <w:rFonts w:ascii="Times New Roman" w:eastAsia="Times New Roman" w:hAnsi="Times New Roman" w:cs="Times New Roman"/>
          <w:color w:val="222222"/>
          <w:sz w:val="24"/>
          <w:szCs w:val="24"/>
          <w:lang w:bidi="ar-SA"/>
        </w:rPr>
        <w:t xml:space="preserve">, 87. </w:t>
      </w:r>
    </w:p>
    <w:p w14:paraId="05BB477F"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Redondo-Gómez, S.; Mesa-Marín, J.; Pérez-Romero, J.A.; Mariscal, V.; Molina-Heredia, F.P.; Álvarez, C.; Pajuelo, E.; Rodríguez-Llorente, I.D.; Mateos-Naranjo, E. Plant Growth-Promoting Rhizobacteria Improve Rice Response to Climate Change Conditions. </w:t>
      </w:r>
      <w:r w:rsidRPr="000A4597">
        <w:rPr>
          <w:rFonts w:ascii="Times New Roman" w:eastAsia="Times New Roman" w:hAnsi="Times New Roman" w:cs="Times New Roman"/>
          <w:i/>
          <w:iCs/>
          <w:color w:val="222222"/>
          <w:sz w:val="24"/>
          <w:szCs w:val="24"/>
          <w:lang w:bidi="ar-SA"/>
        </w:rPr>
        <w:t>Plants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12</w:t>
      </w:r>
      <w:r w:rsidRPr="000A4597">
        <w:rPr>
          <w:rFonts w:ascii="Times New Roman" w:eastAsia="Times New Roman" w:hAnsi="Times New Roman" w:cs="Times New Roman"/>
          <w:color w:val="222222"/>
          <w:sz w:val="24"/>
          <w:szCs w:val="24"/>
          <w:lang w:bidi="ar-SA"/>
        </w:rPr>
        <w:t xml:space="preserve">, 2532. </w:t>
      </w:r>
    </w:p>
    <w:p w14:paraId="7CB295F8"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Ríos-Ruiz, W.F.; Torres-Chávez, E.E.; Torres-Delgado, J.; Rojas-García, J.C.; Bedmar, E.J.; Valdez-Nuñez, R.A. Inoculation of bacterial consortium increases rice yield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reducing applications of nitrogen fertilizer in San Martin region, Peru. </w:t>
      </w:r>
      <w:r w:rsidRPr="000A4597">
        <w:rPr>
          <w:rFonts w:ascii="Times New Roman" w:eastAsia="Times New Roman" w:hAnsi="Times New Roman" w:cs="Times New Roman"/>
          <w:i/>
          <w:iCs/>
          <w:color w:val="222222"/>
          <w:sz w:val="24"/>
          <w:szCs w:val="24"/>
          <w:lang w:bidi="ar-SA"/>
        </w:rPr>
        <w:t>Rhizosphere</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2020</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14</w:t>
      </w:r>
      <w:r w:rsidRPr="000A4597">
        <w:rPr>
          <w:rFonts w:ascii="Times New Roman" w:eastAsia="Times New Roman" w:hAnsi="Times New Roman" w:cs="Times New Roman"/>
          <w:color w:val="222222"/>
          <w:sz w:val="24"/>
          <w:szCs w:val="24"/>
          <w:lang w:bidi="ar-SA"/>
        </w:rPr>
        <w:t xml:space="preserve">, 100200. </w:t>
      </w:r>
    </w:p>
    <w:p w14:paraId="6A304C31"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Ríos-Ruiz, W.F.; Tuanama-Reátegui, C.; Huamán-Córdova, G.; Valdez-Nuñez, R.A. Co-Inoculation of Endophytes </w:t>
      </w:r>
      <w:r w:rsidRPr="000A4597">
        <w:rPr>
          <w:rFonts w:ascii="Times New Roman" w:eastAsia="Times New Roman" w:hAnsi="Times New Roman" w:cs="Times New Roman"/>
          <w:i/>
          <w:iCs/>
          <w:color w:val="222222"/>
          <w:sz w:val="24"/>
          <w:szCs w:val="24"/>
          <w:lang w:bidi="ar-SA"/>
        </w:rPr>
        <w:t>Bacillus siamensis</w:t>
      </w:r>
      <w:r w:rsidRPr="000A4597">
        <w:rPr>
          <w:rFonts w:ascii="Times New Roman" w:eastAsia="Times New Roman" w:hAnsi="Times New Roman" w:cs="Times New Roman"/>
          <w:color w:val="222222"/>
          <w:sz w:val="24"/>
          <w:szCs w:val="24"/>
          <w:lang w:bidi="ar-SA"/>
        </w:rPr>
        <w:t> TUR07-02b and </w:t>
      </w:r>
      <w:r w:rsidRPr="000A4597">
        <w:rPr>
          <w:rFonts w:ascii="Times New Roman" w:eastAsia="Times New Roman" w:hAnsi="Times New Roman" w:cs="Times New Roman"/>
          <w:i/>
          <w:iCs/>
          <w:color w:val="222222"/>
          <w:sz w:val="24"/>
          <w:szCs w:val="24"/>
          <w:lang w:bidi="ar-SA"/>
        </w:rPr>
        <w:t>Priestia megaterium</w:t>
      </w:r>
      <w:r w:rsidRPr="000A4597">
        <w:rPr>
          <w:rFonts w:ascii="Times New Roman" w:eastAsia="Times New Roman" w:hAnsi="Times New Roman" w:cs="Times New Roman"/>
          <w:color w:val="222222"/>
          <w:sz w:val="24"/>
          <w:szCs w:val="24"/>
          <w:lang w:bidi="ar-SA"/>
        </w:rPr>
        <w:t> SMBH14-02 Promotes Growth in Rice with Low Doses of Nitrogen Fertilizer. </w:t>
      </w:r>
      <w:r w:rsidRPr="000A4597">
        <w:rPr>
          <w:rFonts w:ascii="Times New Roman" w:eastAsia="Times New Roman" w:hAnsi="Times New Roman" w:cs="Times New Roman"/>
          <w:i/>
          <w:iCs/>
          <w:color w:val="222222"/>
          <w:sz w:val="24"/>
          <w:szCs w:val="24"/>
          <w:lang w:bidi="ar-SA"/>
        </w:rPr>
        <w:t>Plants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12</w:t>
      </w:r>
      <w:r w:rsidRPr="000A4597">
        <w:rPr>
          <w:rFonts w:ascii="Times New Roman" w:eastAsia="Times New Roman" w:hAnsi="Times New Roman" w:cs="Times New Roman"/>
          <w:color w:val="222222"/>
          <w:sz w:val="24"/>
          <w:szCs w:val="24"/>
          <w:lang w:bidi="ar-SA"/>
        </w:rPr>
        <w:t xml:space="preserve">, 524. </w:t>
      </w:r>
    </w:p>
    <w:p w14:paraId="59E7F2CE"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SaberiKamarposhti, M.; Why, N.K.; Yadollahi, M.; Kamyab, H.; Cheng, J.; Khorami, M. Cultivating a sustainable future in the artificial intelligence era: A comprehensive assessment of greenhouse gas emissions and removals in agriculture. </w:t>
      </w:r>
      <w:r w:rsidRPr="000A4597">
        <w:rPr>
          <w:rFonts w:ascii="Times New Roman" w:eastAsia="Times New Roman" w:hAnsi="Times New Roman" w:cs="Times New Roman"/>
          <w:i/>
          <w:iCs/>
          <w:color w:val="222222"/>
          <w:sz w:val="24"/>
          <w:szCs w:val="24"/>
          <w:lang w:bidi="ar-SA"/>
        </w:rPr>
        <w:t>Environ. Res.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250</w:t>
      </w:r>
      <w:r w:rsidRPr="000A4597">
        <w:rPr>
          <w:rFonts w:ascii="Times New Roman" w:eastAsia="Times New Roman" w:hAnsi="Times New Roman" w:cs="Times New Roman"/>
          <w:color w:val="222222"/>
          <w:sz w:val="24"/>
          <w:szCs w:val="24"/>
          <w:lang w:bidi="ar-SA"/>
        </w:rPr>
        <w:t>, 118528.</w:t>
      </w:r>
    </w:p>
    <w:p w14:paraId="325A9E1B"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Schneider, P.; Asch, F. Rice production and food security in Asian Mega deltas—A review on characteristics, vulnerabilities and agricultural adaptation options to cope with climate change. </w:t>
      </w:r>
      <w:r w:rsidRPr="000A4597">
        <w:rPr>
          <w:rFonts w:ascii="Times New Roman" w:eastAsia="Times New Roman" w:hAnsi="Times New Roman" w:cs="Times New Roman"/>
          <w:i/>
          <w:iCs/>
          <w:color w:val="222222"/>
          <w:sz w:val="24"/>
          <w:szCs w:val="24"/>
          <w:lang w:bidi="ar-SA"/>
        </w:rPr>
        <w:t>J. Agron. Crop Sci.</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2020</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206</w:t>
      </w:r>
      <w:r w:rsidRPr="000A4597">
        <w:rPr>
          <w:rFonts w:ascii="Times New Roman" w:eastAsia="Times New Roman" w:hAnsi="Times New Roman" w:cs="Times New Roman"/>
          <w:color w:val="222222"/>
          <w:sz w:val="24"/>
          <w:szCs w:val="24"/>
          <w:lang w:bidi="ar-SA"/>
        </w:rPr>
        <w:t xml:space="preserve">, 491–503. </w:t>
      </w:r>
    </w:p>
    <w:p w14:paraId="59704068"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Shang, Q.; Ling, N.; Feng, X.; Yang, X.; Wu, P.; Zou, J.; Shen, Q.; Guo, S. Soil fertility and its significance to crop productivity and sustainability in typical agroecosystem: A summary of long-term fertilizer experiments in China. </w:t>
      </w:r>
      <w:r w:rsidRPr="000A4597">
        <w:rPr>
          <w:rFonts w:ascii="Times New Roman" w:eastAsia="Times New Roman" w:hAnsi="Times New Roman" w:cs="Times New Roman"/>
          <w:i/>
          <w:iCs/>
          <w:color w:val="222222"/>
          <w:sz w:val="24"/>
          <w:szCs w:val="24"/>
          <w:lang w:bidi="ar-SA"/>
        </w:rPr>
        <w:t>Plant Soil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381</w:t>
      </w:r>
      <w:r w:rsidRPr="000A4597">
        <w:rPr>
          <w:rFonts w:ascii="Times New Roman" w:eastAsia="Times New Roman" w:hAnsi="Times New Roman" w:cs="Times New Roman"/>
          <w:color w:val="222222"/>
          <w:sz w:val="24"/>
          <w:szCs w:val="24"/>
          <w:lang w:bidi="ar-SA"/>
        </w:rPr>
        <w:t>, 13–23.</w:t>
      </w:r>
    </w:p>
    <w:p w14:paraId="4263C460"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Siddika, A.; Rashid, A.A.; Khan, S.N.; Khatun, A.; Karim, M.M.; Prasad, P.V.; Hasanuzzaman, M. Harnessing plant growth-promoting rhizobacteria, </w:t>
      </w:r>
      <w:r w:rsidRPr="000A4597">
        <w:rPr>
          <w:rFonts w:ascii="Times New Roman" w:eastAsia="Times New Roman" w:hAnsi="Times New Roman" w:cs="Times New Roman"/>
          <w:i/>
          <w:iCs/>
          <w:color w:val="222222"/>
          <w:sz w:val="24"/>
          <w:szCs w:val="24"/>
          <w:lang w:bidi="ar-SA"/>
        </w:rPr>
        <w:t xml:space="preserve">Bacillus </w:t>
      </w:r>
      <w:r w:rsidRPr="000A4597">
        <w:rPr>
          <w:rFonts w:ascii="Times New Roman" w:eastAsia="Times New Roman" w:hAnsi="Times New Roman" w:cs="Times New Roman"/>
          <w:i/>
          <w:iCs/>
          <w:color w:val="222222"/>
          <w:sz w:val="24"/>
          <w:szCs w:val="24"/>
          <w:lang w:bidi="ar-SA"/>
        </w:rPr>
        <w:lastRenderedPageBreak/>
        <w:t>subtilis</w:t>
      </w:r>
      <w:r w:rsidRPr="000A4597">
        <w:rPr>
          <w:rFonts w:ascii="Times New Roman" w:eastAsia="Times New Roman" w:hAnsi="Times New Roman" w:cs="Times New Roman"/>
          <w:color w:val="222222"/>
          <w:sz w:val="24"/>
          <w:szCs w:val="24"/>
          <w:lang w:bidi="ar-SA"/>
        </w:rPr>
        <w:t> and </w:t>
      </w:r>
      <w:r w:rsidRPr="000A4597">
        <w:rPr>
          <w:rFonts w:ascii="Times New Roman" w:eastAsia="Times New Roman" w:hAnsi="Times New Roman" w:cs="Times New Roman"/>
          <w:i/>
          <w:iCs/>
          <w:color w:val="222222"/>
          <w:sz w:val="24"/>
          <w:szCs w:val="24"/>
          <w:lang w:bidi="ar-SA"/>
        </w:rPr>
        <w:t>B. aryabhattai</w:t>
      </w:r>
      <w:r w:rsidRPr="000A4597">
        <w:rPr>
          <w:rFonts w:ascii="Times New Roman" w:eastAsia="Times New Roman" w:hAnsi="Times New Roman" w:cs="Times New Roman"/>
          <w:color w:val="222222"/>
          <w:sz w:val="24"/>
          <w:szCs w:val="24"/>
          <w:lang w:bidi="ar-SA"/>
        </w:rPr>
        <w:t> to combat salt stress in rice: A study on the regulation of antioxidant defense, ion homeostasis, and photosynthetic parameters. </w:t>
      </w:r>
      <w:r w:rsidRPr="000A4597">
        <w:rPr>
          <w:rFonts w:ascii="Times New Roman" w:eastAsia="Times New Roman" w:hAnsi="Times New Roman" w:cs="Times New Roman"/>
          <w:i/>
          <w:iCs/>
          <w:color w:val="222222"/>
          <w:sz w:val="24"/>
          <w:szCs w:val="24"/>
          <w:lang w:bidi="ar-SA"/>
        </w:rPr>
        <w:t>Front. Plant Sci.</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15</w:t>
      </w:r>
      <w:r w:rsidRPr="000A4597">
        <w:rPr>
          <w:rFonts w:ascii="Times New Roman" w:eastAsia="Times New Roman" w:hAnsi="Times New Roman" w:cs="Times New Roman"/>
          <w:color w:val="222222"/>
          <w:sz w:val="24"/>
          <w:szCs w:val="24"/>
          <w:lang w:bidi="ar-SA"/>
        </w:rPr>
        <w:t xml:space="preserve">, 1419764. </w:t>
      </w:r>
    </w:p>
    <w:p w14:paraId="0871749D"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Thepbandit, W.; Athinuwat, D. Rhizosphere microorganisms supply availability of soil nutrients and induce plant defense. </w:t>
      </w:r>
      <w:r w:rsidRPr="000A4597">
        <w:rPr>
          <w:rFonts w:ascii="Times New Roman" w:eastAsia="Times New Roman" w:hAnsi="Times New Roman" w:cs="Times New Roman"/>
          <w:i/>
          <w:iCs/>
          <w:color w:val="222222"/>
          <w:sz w:val="24"/>
          <w:szCs w:val="24"/>
          <w:lang w:bidi="ar-SA"/>
        </w:rPr>
        <w:t>Microorganisms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12</w:t>
      </w:r>
      <w:r w:rsidRPr="000A4597">
        <w:rPr>
          <w:rFonts w:ascii="Times New Roman" w:eastAsia="Times New Roman" w:hAnsi="Times New Roman" w:cs="Times New Roman"/>
          <w:color w:val="222222"/>
          <w:sz w:val="24"/>
          <w:szCs w:val="24"/>
          <w:lang w:bidi="ar-SA"/>
        </w:rPr>
        <w:t xml:space="preserve">, 558. </w:t>
      </w:r>
    </w:p>
    <w:p w14:paraId="0393676E"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Valdez-Nuñez, R.A.; Ríos-Ruiz, W.F.; Ormeño-Orrillo, E.; Torres Chávez, E.E.; Torres-Delgado, J. Caracterización genética de bacterias endofíticas de arroz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con actividad antimicrobiana contra </w:t>
      </w:r>
      <w:r w:rsidRPr="000A4597">
        <w:rPr>
          <w:rFonts w:ascii="Times New Roman" w:eastAsia="Times New Roman" w:hAnsi="Times New Roman" w:cs="Times New Roman"/>
          <w:i/>
          <w:iCs/>
          <w:color w:val="222222"/>
          <w:sz w:val="24"/>
          <w:szCs w:val="24"/>
          <w:lang w:bidi="ar-SA"/>
        </w:rPr>
        <w:t>Burkholderia glumae</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Rev. Argent. Microbiol.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2020</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52</w:t>
      </w:r>
      <w:r w:rsidRPr="000A4597">
        <w:rPr>
          <w:rFonts w:ascii="Times New Roman" w:eastAsia="Times New Roman" w:hAnsi="Times New Roman" w:cs="Times New Roman"/>
          <w:color w:val="222222"/>
          <w:sz w:val="24"/>
          <w:szCs w:val="24"/>
          <w:lang w:bidi="ar-SA"/>
        </w:rPr>
        <w:t xml:space="preserve">, 51–60. </w:t>
      </w:r>
    </w:p>
    <w:p w14:paraId="48F3A9DF"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Valdiviezo-Saavedra, L.E.; Ríos-Ruiz, W.F.; Rojas García, J.C.; Sandoval-Flores, D.T. El desarrollo de leguminosas de cobertura por hongos micorrízicos arbusculares depende del grado de especificidad de los simbiontes. </w:t>
      </w:r>
      <w:r w:rsidRPr="000A4597">
        <w:rPr>
          <w:rFonts w:ascii="Times New Roman" w:eastAsia="Times New Roman" w:hAnsi="Times New Roman" w:cs="Times New Roman"/>
          <w:i/>
          <w:iCs/>
          <w:color w:val="222222"/>
          <w:sz w:val="24"/>
          <w:szCs w:val="24"/>
          <w:lang w:bidi="ar-SA"/>
        </w:rPr>
        <w:t>Manglar</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21</w:t>
      </w:r>
      <w:r w:rsidRPr="000A4597">
        <w:rPr>
          <w:rFonts w:ascii="Times New Roman" w:eastAsia="Times New Roman" w:hAnsi="Times New Roman" w:cs="Times New Roman"/>
          <w:color w:val="222222"/>
          <w:sz w:val="24"/>
          <w:szCs w:val="24"/>
          <w:lang w:bidi="ar-SA"/>
        </w:rPr>
        <w:t xml:space="preserve">, 279–286. </w:t>
      </w:r>
    </w:p>
    <w:p w14:paraId="46C8B1B8"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Weifeng, S.; Aiping, S.; Jiai, L.; Wenchong, S.; Mingcong, L.; Wenxue, Z.; Zuzhang, L.; Guangrong, L.; Fusheng, Y.; Shuxin, Z.; et al. Effects of long-term fertilization with different substitution ratios of organic fertilizer on paddy soil. </w:t>
      </w:r>
      <w:r w:rsidRPr="000A4597">
        <w:rPr>
          <w:rFonts w:ascii="Times New Roman" w:eastAsia="Times New Roman" w:hAnsi="Times New Roman" w:cs="Times New Roman"/>
          <w:i/>
          <w:iCs/>
          <w:color w:val="222222"/>
          <w:sz w:val="24"/>
          <w:szCs w:val="24"/>
          <w:lang w:bidi="ar-SA"/>
        </w:rPr>
        <w:t>Pedosphere</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2022</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32</w:t>
      </w:r>
      <w:r w:rsidRPr="000A4597">
        <w:rPr>
          <w:rFonts w:ascii="Times New Roman" w:eastAsia="Times New Roman" w:hAnsi="Times New Roman" w:cs="Times New Roman"/>
          <w:color w:val="222222"/>
          <w:sz w:val="24"/>
          <w:szCs w:val="24"/>
          <w:lang w:bidi="ar-SA"/>
        </w:rPr>
        <w:t xml:space="preserve">, 637–648. </w:t>
      </w:r>
    </w:p>
    <w:p w14:paraId="1C56B44A"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Wiggins, G.; Thomas, J.; Rahmatallah, Y.; Deen, C.; Haynes, A.; Degon, Z.; Glazko, G.; Mukherjee, A. Common gene expression patterns are observed in rice roots during associations with plant growth-promoting bacteria, </w:t>
      </w:r>
      <w:r w:rsidRPr="000A4597">
        <w:rPr>
          <w:rFonts w:ascii="Times New Roman" w:eastAsia="Times New Roman" w:hAnsi="Times New Roman" w:cs="Times New Roman"/>
          <w:i/>
          <w:iCs/>
          <w:color w:val="222222"/>
          <w:sz w:val="24"/>
          <w:szCs w:val="24"/>
          <w:lang w:bidi="ar-SA"/>
        </w:rPr>
        <w:t>Herbaspirillum seropedicae</w:t>
      </w:r>
      <w:r w:rsidRPr="000A4597">
        <w:rPr>
          <w:rFonts w:ascii="Times New Roman" w:eastAsia="Times New Roman" w:hAnsi="Times New Roman" w:cs="Times New Roman"/>
          <w:color w:val="222222"/>
          <w:sz w:val="24"/>
          <w:szCs w:val="24"/>
          <w:lang w:bidi="ar-SA"/>
        </w:rPr>
        <w:t> and </w:t>
      </w:r>
      <w:r w:rsidRPr="000A4597">
        <w:rPr>
          <w:rFonts w:ascii="Times New Roman" w:eastAsia="Times New Roman" w:hAnsi="Times New Roman" w:cs="Times New Roman"/>
          <w:i/>
          <w:iCs/>
          <w:color w:val="222222"/>
          <w:sz w:val="24"/>
          <w:szCs w:val="24"/>
          <w:lang w:bidi="ar-SA"/>
        </w:rPr>
        <w:t>Azospirillum brasilense</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Sci. Rep.</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2022</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12</w:t>
      </w:r>
      <w:r w:rsidRPr="000A4597">
        <w:rPr>
          <w:rFonts w:ascii="Times New Roman" w:eastAsia="Times New Roman" w:hAnsi="Times New Roman" w:cs="Times New Roman"/>
          <w:color w:val="222222"/>
          <w:sz w:val="24"/>
          <w:szCs w:val="24"/>
          <w:lang w:bidi="ar-SA"/>
        </w:rPr>
        <w:t xml:space="preserve">, 8827. </w:t>
      </w:r>
    </w:p>
    <w:p w14:paraId="454F498F" w14:textId="77777777" w:rsidR="00F96374" w:rsidRPr="00F96374" w:rsidRDefault="00F96374" w:rsidP="00F96374">
      <w:pPr>
        <w:shd w:val="clear" w:color="auto" w:fill="FFFFFF"/>
        <w:spacing w:after="0" w:line="240" w:lineRule="auto"/>
        <w:jc w:val="both"/>
        <w:rPr>
          <w:rFonts w:ascii="Arial" w:eastAsia="Times New Roman" w:hAnsi="Arial" w:cs="Arial"/>
          <w:color w:val="222222"/>
          <w:sz w:val="20"/>
          <w:lang w:bidi="ar-SA"/>
        </w:rPr>
      </w:pPr>
    </w:p>
    <w:p w14:paraId="0DC5C227" w14:textId="77777777" w:rsidR="00827AB1" w:rsidRPr="00827AB1" w:rsidRDefault="00827AB1" w:rsidP="00827AB1">
      <w:pPr>
        <w:spacing w:before="120" w:after="120" w:line="360" w:lineRule="auto"/>
        <w:jc w:val="both"/>
        <w:rPr>
          <w:rFonts w:ascii="Times New Roman" w:hAnsi="Times New Roman" w:cs="Times New Roman"/>
          <w:sz w:val="24"/>
          <w:szCs w:val="24"/>
        </w:rPr>
      </w:pPr>
    </w:p>
    <w:p w14:paraId="76B6056A" w14:textId="77777777" w:rsidR="00E21FE4" w:rsidRPr="00827AB1" w:rsidRDefault="00E21FE4" w:rsidP="00827AB1">
      <w:pPr>
        <w:spacing w:before="120" w:after="120" w:line="360" w:lineRule="auto"/>
        <w:jc w:val="both"/>
        <w:rPr>
          <w:rFonts w:ascii="Times New Roman" w:hAnsi="Times New Roman" w:cs="Times New Roman"/>
          <w:sz w:val="24"/>
          <w:szCs w:val="24"/>
        </w:rPr>
      </w:pPr>
    </w:p>
    <w:sectPr w:rsidR="00E21FE4" w:rsidRPr="00827AB1" w:rsidSect="0021199A">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s my name" w:date="2025-03-24T09:23:00Z" w:initials="AMN">
    <w:p w14:paraId="0FEFE2CF" w14:textId="77777777" w:rsidR="001763C6" w:rsidRDefault="001763C6" w:rsidP="001763C6">
      <w:pPr>
        <w:pStyle w:val="CommentText"/>
      </w:pPr>
      <w:r>
        <w:rPr>
          <w:rStyle w:val="CommentReference"/>
        </w:rPr>
        <w:annotationRef/>
      </w:r>
      <w:r>
        <w:rPr>
          <w:lang w:val="en-MY"/>
        </w:rPr>
        <w:t xml:space="preserve">The author should introduce what PGPR is </w:t>
      </w:r>
    </w:p>
  </w:comment>
  <w:comment w:id="1" w:author="As my name" w:date="2025-03-24T09:24:00Z" w:initials="AMN">
    <w:p w14:paraId="24E89010" w14:textId="77777777" w:rsidR="001763C6" w:rsidRDefault="001763C6" w:rsidP="001763C6">
      <w:pPr>
        <w:pStyle w:val="CommentText"/>
      </w:pPr>
      <w:r>
        <w:rPr>
          <w:rStyle w:val="CommentReference"/>
        </w:rPr>
        <w:annotationRef/>
      </w:r>
      <w:r>
        <w:rPr>
          <w:lang w:val="en-MY"/>
        </w:rPr>
        <w:t>Is there same between PGPM and PGPR?</w:t>
      </w:r>
    </w:p>
  </w:comment>
  <w:comment w:id="2" w:author="As my name" w:date="2025-03-24T09:21:00Z" w:initials="AMN">
    <w:p w14:paraId="6728DB32" w14:textId="3A7AE443" w:rsidR="001763C6" w:rsidRDefault="001763C6" w:rsidP="001763C6">
      <w:pPr>
        <w:pStyle w:val="CommentText"/>
      </w:pPr>
      <w:r>
        <w:rPr>
          <w:rStyle w:val="CommentReference"/>
        </w:rPr>
        <w:annotationRef/>
      </w:r>
      <w:r>
        <w:rPr>
          <w:lang w:val="en-MY"/>
        </w:rPr>
        <w:t>Please revise this sentence for more precise information.</w:t>
      </w:r>
    </w:p>
  </w:comment>
  <w:comment w:id="3" w:author="As my name" w:date="2025-03-24T09:28:00Z" w:initials="AMN">
    <w:p w14:paraId="1793B8EE" w14:textId="77777777" w:rsidR="001763C6" w:rsidRDefault="001763C6" w:rsidP="001763C6">
      <w:pPr>
        <w:pStyle w:val="CommentText"/>
      </w:pPr>
      <w:r>
        <w:rPr>
          <w:rStyle w:val="CommentReference"/>
        </w:rPr>
        <w:annotationRef/>
      </w:r>
      <w:r>
        <w:rPr>
          <w:lang w:val="en-MY"/>
        </w:rPr>
        <w:t xml:space="preserve">Is this figure originally created by the author? Consider adding citations in each segment to credit previous studies. </w:t>
      </w:r>
    </w:p>
  </w:comment>
  <w:comment w:id="4" w:author="As my name" w:date="2025-03-23T15:38:00Z" w:initials="AMN">
    <w:p w14:paraId="170147FC" w14:textId="27A0A92C" w:rsidR="00CC0C4E" w:rsidRDefault="00CC0C4E" w:rsidP="00CC0C4E">
      <w:pPr>
        <w:pStyle w:val="CommentText"/>
      </w:pPr>
      <w:r>
        <w:rPr>
          <w:rStyle w:val="CommentReference"/>
        </w:rPr>
        <w:annotationRef/>
      </w:r>
      <w:r>
        <w:rPr>
          <w:lang w:val="en-MY"/>
        </w:rPr>
        <w:t>Please give a citation for each contribution in the infographic figure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FEFE2CF" w15:done="0"/>
  <w15:commentEx w15:paraId="24E89010" w15:paraIdParent="0FEFE2CF" w15:done="0"/>
  <w15:commentEx w15:paraId="6728DB32" w15:done="0"/>
  <w15:commentEx w15:paraId="1793B8EE" w15:done="0"/>
  <w15:commentEx w15:paraId="170147F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4EA5891" w16cex:dateUtc="2025-03-24T01:23:00Z"/>
  <w16cex:commentExtensible w16cex:durableId="324C1386" w16cex:dateUtc="2025-03-24T01:24:00Z"/>
  <w16cex:commentExtensible w16cex:durableId="640A485B" w16cex:dateUtc="2025-03-24T01:21:00Z"/>
  <w16cex:commentExtensible w16cex:durableId="528EEFBE" w16cex:dateUtc="2025-03-24T01:28:00Z"/>
  <w16cex:commentExtensible w16cex:durableId="628D36F2" w16cex:dateUtc="2025-03-23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FEFE2CF" w16cid:durableId="74EA5891"/>
  <w16cid:commentId w16cid:paraId="24E89010" w16cid:durableId="324C1386"/>
  <w16cid:commentId w16cid:paraId="6728DB32" w16cid:durableId="640A485B"/>
  <w16cid:commentId w16cid:paraId="1793B8EE" w16cid:durableId="528EEFBE"/>
  <w16cid:commentId w16cid:paraId="170147FC" w16cid:durableId="628D36F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AF7BD" w14:textId="77777777" w:rsidR="005249B7" w:rsidRDefault="005249B7" w:rsidP="00D81C54">
      <w:pPr>
        <w:spacing w:after="0" w:line="240" w:lineRule="auto"/>
      </w:pPr>
      <w:r>
        <w:separator/>
      </w:r>
    </w:p>
  </w:endnote>
  <w:endnote w:type="continuationSeparator" w:id="0">
    <w:p w14:paraId="60AD0729" w14:textId="77777777" w:rsidR="005249B7" w:rsidRDefault="005249B7" w:rsidP="00D81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5DC0D" w14:textId="77777777" w:rsidR="00D81C54" w:rsidRDefault="00D81C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67A1B" w14:textId="77777777" w:rsidR="00D81C54" w:rsidRDefault="00D81C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76996" w14:textId="77777777" w:rsidR="00D81C54" w:rsidRDefault="00D81C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1A966" w14:textId="77777777" w:rsidR="005249B7" w:rsidRDefault="005249B7" w:rsidP="00D81C54">
      <w:pPr>
        <w:spacing w:after="0" w:line="240" w:lineRule="auto"/>
      </w:pPr>
      <w:r>
        <w:separator/>
      </w:r>
    </w:p>
  </w:footnote>
  <w:footnote w:type="continuationSeparator" w:id="0">
    <w:p w14:paraId="7A6F247E" w14:textId="77777777" w:rsidR="005249B7" w:rsidRDefault="005249B7" w:rsidP="00D81C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06CD2" w14:textId="379B7BBC" w:rsidR="00D81C54" w:rsidRDefault="00A97455">
    <w:pPr>
      <w:pStyle w:val="Header"/>
    </w:pPr>
    <w:r>
      <w:rPr>
        <w:noProof/>
      </w:rPr>
      <w:pict w14:anchorId="2424EC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0720672" o:spid="_x0000_s1026" type="#_x0000_t136" style="position:absolute;margin-left:0;margin-top:0;width:555.6pt;height:104.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F22B7" w14:textId="6A713D3A" w:rsidR="00D81C54" w:rsidRDefault="00A97455">
    <w:pPr>
      <w:pStyle w:val="Header"/>
    </w:pPr>
    <w:r>
      <w:rPr>
        <w:noProof/>
      </w:rPr>
      <w:pict w14:anchorId="7032DD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0720673" o:spid="_x0000_s1027" type="#_x0000_t136" style="position:absolute;margin-left:0;margin-top:0;width:555.6pt;height:104.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5BC7E" w14:textId="20221C5D" w:rsidR="00D81C54" w:rsidRDefault="00A97455">
    <w:pPr>
      <w:pStyle w:val="Header"/>
    </w:pPr>
    <w:r>
      <w:rPr>
        <w:noProof/>
      </w:rPr>
      <w:pict w14:anchorId="55CC77F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0720671" o:spid="_x0000_s1025" type="#_x0000_t136" style="position:absolute;margin-left:0;margin-top:0;width:555.6pt;height:104.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9F2"/>
    <w:multiLevelType w:val="multilevel"/>
    <w:tmpl w:val="37C4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E2EA3"/>
    <w:multiLevelType w:val="multilevel"/>
    <w:tmpl w:val="BD341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A12955"/>
    <w:multiLevelType w:val="multilevel"/>
    <w:tmpl w:val="CBC87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207029"/>
    <w:multiLevelType w:val="multilevel"/>
    <w:tmpl w:val="4C804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D73F5C"/>
    <w:multiLevelType w:val="multilevel"/>
    <w:tmpl w:val="E6B4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D6738B"/>
    <w:multiLevelType w:val="multilevel"/>
    <w:tmpl w:val="D7324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5105E8"/>
    <w:multiLevelType w:val="multilevel"/>
    <w:tmpl w:val="8826A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86372D"/>
    <w:multiLevelType w:val="multilevel"/>
    <w:tmpl w:val="0AF6D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3609A9"/>
    <w:multiLevelType w:val="hybridMultilevel"/>
    <w:tmpl w:val="8D48ADA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AA34265"/>
    <w:multiLevelType w:val="multilevel"/>
    <w:tmpl w:val="D4E0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C056F5"/>
    <w:multiLevelType w:val="multilevel"/>
    <w:tmpl w:val="710C3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CA0327"/>
    <w:multiLevelType w:val="multilevel"/>
    <w:tmpl w:val="21C27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BA7B36"/>
    <w:multiLevelType w:val="multilevel"/>
    <w:tmpl w:val="305E1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4F0DDE"/>
    <w:multiLevelType w:val="multilevel"/>
    <w:tmpl w:val="5972D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127F75"/>
    <w:multiLevelType w:val="multilevel"/>
    <w:tmpl w:val="DF4E6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AB654D"/>
    <w:multiLevelType w:val="multilevel"/>
    <w:tmpl w:val="14267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B96DC6"/>
    <w:multiLevelType w:val="multilevel"/>
    <w:tmpl w:val="1502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520C58"/>
    <w:multiLevelType w:val="multilevel"/>
    <w:tmpl w:val="98FA1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680FED"/>
    <w:multiLevelType w:val="multilevel"/>
    <w:tmpl w:val="6AE0B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D73E1E"/>
    <w:multiLevelType w:val="multilevel"/>
    <w:tmpl w:val="8C4C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9B5B72"/>
    <w:multiLevelType w:val="multilevel"/>
    <w:tmpl w:val="C8E2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B93968"/>
    <w:multiLevelType w:val="multilevel"/>
    <w:tmpl w:val="EF9E0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BC3CEA"/>
    <w:multiLevelType w:val="multilevel"/>
    <w:tmpl w:val="2C008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0E2C53"/>
    <w:multiLevelType w:val="multilevel"/>
    <w:tmpl w:val="67AA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110931"/>
    <w:multiLevelType w:val="multilevel"/>
    <w:tmpl w:val="B2ECA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4868869">
    <w:abstractNumId w:val="11"/>
  </w:num>
  <w:num w:numId="2" w16cid:durableId="2123961148">
    <w:abstractNumId w:val="9"/>
  </w:num>
  <w:num w:numId="3" w16cid:durableId="2004578532">
    <w:abstractNumId w:val="7"/>
  </w:num>
  <w:num w:numId="4" w16cid:durableId="86584213">
    <w:abstractNumId w:val="19"/>
  </w:num>
  <w:num w:numId="5" w16cid:durableId="145051711">
    <w:abstractNumId w:val="1"/>
  </w:num>
  <w:num w:numId="6" w16cid:durableId="1904174369">
    <w:abstractNumId w:val="5"/>
  </w:num>
  <w:num w:numId="7" w16cid:durableId="556088684">
    <w:abstractNumId w:val="21"/>
  </w:num>
  <w:num w:numId="8" w16cid:durableId="912738396">
    <w:abstractNumId w:val="14"/>
  </w:num>
  <w:num w:numId="9" w16cid:durableId="463743759">
    <w:abstractNumId w:val="24"/>
  </w:num>
  <w:num w:numId="10" w16cid:durableId="1841191265">
    <w:abstractNumId w:val="0"/>
  </w:num>
  <w:num w:numId="11" w16cid:durableId="165443898">
    <w:abstractNumId w:val="20"/>
  </w:num>
  <w:num w:numId="12" w16cid:durableId="881016670">
    <w:abstractNumId w:val="16"/>
  </w:num>
  <w:num w:numId="13" w16cid:durableId="389891123">
    <w:abstractNumId w:val="10"/>
  </w:num>
  <w:num w:numId="14" w16cid:durableId="754597749">
    <w:abstractNumId w:val="4"/>
  </w:num>
  <w:num w:numId="15" w16cid:durableId="1904413433">
    <w:abstractNumId w:val="3"/>
  </w:num>
  <w:num w:numId="16" w16cid:durableId="1416592902">
    <w:abstractNumId w:val="13"/>
  </w:num>
  <w:num w:numId="17" w16cid:durableId="253756081">
    <w:abstractNumId w:val="23"/>
  </w:num>
  <w:num w:numId="18" w16cid:durableId="1514759818">
    <w:abstractNumId w:val="12"/>
  </w:num>
  <w:num w:numId="19" w16cid:durableId="1827431377">
    <w:abstractNumId w:val="15"/>
  </w:num>
  <w:num w:numId="20" w16cid:durableId="818770140">
    <w:abstractNumId w:val="22"/>
  </w:num>
  <w:num w:numId="21" w16cid:durableId="1222324434">
    <w:abstractNumId w:val="6"/>
  </w:num>
  <w:num w:numId="22" w16cid:durableId="150173839">
    <w:abstractNumId w:val="2"/>
  </w:num>
  <w:num w:numId="23" w16cid:durableId="652683920">
    <w:abstractNumId w:val="17"/>
  </w:num>
  <w:num w:numId="24" w16cid:durableId="1661034031">
    <w:abstractNumId w:val="18"/>
  </w:num>
  <w:num w:numId="25" w16cid:durableId="1132212661">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s my name">
    <w15:presenceInfo w15:providerId="None" w15:userId="As my nam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FE4"/>
    <w:rsid w:val="000675FA"/>
    <w:rsid w:val="000A4597"/>
    <w:rsid w:val="000A4686"/>
    <w:rsid w:val="001763C6"/>
    <w:rsid w:val="001D4B23"/>
    <w:rsid w:val="001F187B"/>
    <w:rsid w:val="0021199A"/>
    <w:rsid w:val="002C279A"/>
    <w:rsid w:val="002D65AD"/>
    <w:rsid w:val="003F47D5"/>
    <w:rsid w:val="005249B7"/>
    <w:rsid w:val="00591900"/>
    <w:rsid w:val="006B0CA7"/>
    <w:rsid w:val="007728C8"/>
    <w:rsid w:val="00780DAB"/>
    <w:rsid w:val="00796EBF"/>
    <w:rsid w:val="008163B5"/>
    <w:rsid w:val="00827AB1"/>
    <w:rsid w:val="008428D2"/>
    <w:rsid w:val="009232A2"/>
    <w:rsid w:val="00A55D5A"/>
    <w:rsid w:val="00A97455"/>
    <w:rsid w:val="00B52300"/>
    <w:rsid w:val="00B913F0"/>
    <w:rsid w:val="00BC02A7"/>
    <w:rsid w:val="00C1492F"/>
    <w:rsid w:val="00CC0C4E"/>
    <w:rsid w:val="00CF74EB"/>
    <w:rsid w:val="00D104D4"/>
    <w:rsid w:val="00D81C54"/>
    <w:rsid w:val="00D82FD3"/>
    <w:rsid w:val="00E21FE4"/>
    <w:rsid w:val="00E2433C"/>
    <w:rsid w:val="00F5374F"/>
    <w:rsid w:val="00F96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4E3BF3"/>
  <w15:docId w15:val="{DB0543FA-D737-4417-8DD0-90C1BA1F8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99A"/>
    <w:rPr>
      <w:rFonts w:cs="Mangal"/>
    </w:rPr>
  </w:style>
  <w:style w:type="paragraph" w:styleId="Heading3">
    <w:name w:val="heading 3"/>
    <w:basedOn w:val="Normal"/>
    <w:link w:val="Heading3Char"/>
    <w:uiPriority w:val="9"/>
    <w:qFormat/>
    <w:rsid w:val="00827A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27AB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27AB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1492F"/>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C1492F"/>
    <w:rPr>
      <w:rFonts w:ascii="Tahoma" w:hAnsi="Tahoma" w:cs="Mangal"/>
      <w:sz w:val="16"/>
      <w:szCs w:val="14"/>
    </w:rPr>
  </w:style>
  <w:style w:type="character" w:customStyle="1" w:styleId="html-italic">
    <w:name w:val="html-italic"/>
    <w:basedOn w:val="DefaultParagraphFont"/>
    <w:rsid w:val="00F96374"/>
  </w:style>
  <w:style w:type="character" w:styleId="Hyperlink">
    <w:name w:val="Hyperlink"/>
    <w:basedOn w:val="DefaultParagraphFont"/>
    <w:uiPriority w:val="99"/>
    <w:unhideWhenUsed/>
    <w:rsid w:val="00F96374"/>
    <w:rPr>
      <w:color w:val="0000FF"/>
      <w:u w:val="single"/>
    </w:rPr>
  </w:style>
  <w:style w:type="character" w:styleId="FollowedHyperlink">
    <w:name w:val="FollowedHyperlink"/>
    <w:basedOn w:val="DefaultParagraphFont"/>
    <w:uiPriority w:val="99"/>
    <w:semiHidden/>
    <w:unhideWhenUsed/>
    <w:rsid w:val="00F96374"/>
    <w:rPr>
      <w:color w:val="800080"/>
      <w:u w:val="single"/>
    </w:rPr>
  </w:style>
  <w:style w:type="paragraph" w:styleId="ListParagraph">
    <w:name w:val="List Paragraph"/>
    <w:basedOn w:val="Normal"/>
    <w:uiPriority w:val="34"/>
    <w:qFormat/>
    <w:rsid w:val="000A4597"/>
    <w:pPr>
      <w:ind w:left="720"/>
      <w:contextualSpacing/>
    </w:pPr>
  </w:style>
  <w:style w:type="paragraph" w:customStyle="1" w:styleId="Normal1">
    <w:name w:val="Normal1"/>
    <w:rsid w:val="00B913F0"/>
    <w:rPr>
      <w:rFonts w:ascii="Calibri" w:eastAsia="Calibri" w:hAnsi="Calibri" w:cs="Calibri"/>
      <w:szCs w:val="22"/>
      <w:lang w:bidi="ar-SA"/>
    </w:rPr>
  </w:style>
  <w:style w:type="character" w:styleId="UnresolvedMention">
    <w:name w:val="Unresolved Mention"/>
    <w:basedOn w:val="DefaultParagraphFont"/>
    <w:uiPriority w:val="99"/>
    <w:semiHidden/>
    <w:unhideWhenUsed/>
    <w:rsid w:val="00B913F0"/>
    <w:rPr>
      <w:color w:val="605E5C"/>
      <w:shd w:val="clear" w:color="auto" w:fill="E1DFDD"/>
    </w:rPr>
  </w:style>
  <w:style w:type="paragraph" w:styleId="Header">
    <w:name w:val="header"/>
    <w:basedOn w:val="Normal"/>
    <w:link w:val="HeaderChar"/>
    <w:uiPriority w:val="99"/>
    <w:unhideWhenUsed/>
    <w:rsid w:val="00D81C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1C54"/>
    <w:rPr>
      <w:rFonts w:cs="Mangal"/>
    </w:rPr>
  </w:style>
  <w:style w:type="paragraph" w:styleId="Footer">
    <w:name w:val="footer"/>
    <w:basedOn w:val="Normal"/>
    <w:link w:val="FooterChar"/>
    <w:uiPriority w:val="99"/>
    <w:unhideWhenUsed/>
    <w:rsid w:val="00D81C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1C54"/>
    <w:rPr>
      <w:rFonts w:cs="Mangal"/>
    </w:rPr>
  </w:style>
  <w:style w:type="character" w:styleId="CommentReference">
    <w:name w:val="annotation reference"/>
    <w:basedOn w:val="DefaultParagraphFont"/>
    <w:uiPriority w:val="99"/>
    <w:semiHidden/>
    <w:unhideWhenUsed/>
    <w:rsid w:val="00CC0C4E"/>
    <w:rPr>
      <w:sz w:val="16"/>
      <w:szCs w:val="16"/>
    </w:rPr>
  </w:style>
  <w:style w:type="paragraph" w:styleId="CommentText">
    <w:name w:val="annotation text"/>
    <w:basedOn w:val="Normal"/>
    <w:link w:val="CommentTextChar"/>
    <w:uiPriority w:val="99"/>
    <w:unhideWhenUsed/>
    <w:rsid w:val="00CC0C4E"/>
    <w:pPr>
      <w:spacing w:line="240" w:lineRule="auto"/>
    </w:pPr>
    <w:rPr>
      <w:sz w:val="20"/>
      <w:szCs w:val="18"/>
    </w:rPr>
  </w:style>
  <w:style w:type="character" w:customStyle="1" w:styleId="CommentTextChar">
    <w:name w:val="Comment Text Char"/>
    <w:basedOn w:val="DefaultParagraphFont"/>
    <w:link w:val="CommentText"/>
    <w:uiPriority w:val="99"/>
    <w:rsid w:val="00CC0C4E"/>
    <w:rPr>
      <w:rFonts w:cs="Mangal"/>
      <w:sz w:val="20"/>
      <w:szCs w:val="18"/>
    </w:rPr>
  </w:style>
  <w:style w:type="paragraph" w:styleId="CommentSubject">
    <w:name w:val="annotation subject"/>
    <w:basedOn w:val="CommentText"/>
    <w:next w:val="CommentText"/>
    <w:link w:val="CommentSubjectChar"/>
    <w:uiPriority w:val="99"/>
    <w:semiHidden/>
    <w:unhideWhenUsed/>
    <w:rsid w:val="00CC0C4E"/>
    <w:rPr>
      <w:b/>
      <w:bCs/>
    </w:rPr>
  </w:style>
  <w:style w:type="character" w:customStyle="1" w:styleId="CommentSubjectChar">
    <w:name w:val="Comment Subject Char"/>
    <w:basedOn w:val="CommentTextChar"/>
    <w:link w:val="CommentSubject"/>
    <w:uiPriority w:val="99"/>
    <w:semiHidden/>
    <w:rsid w:val="00CC0C4E"/>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104768">
      <w:bodyDiv w:val="1"/>
      <w:marLeft w:val="0"/>
      <w:marRight w:val="0"/>
      <w:marTop w:val="0"/>
      <w:marBottom w:val="0"/>
      <w:divBdr>
        <w:top w:val="none" w:sz="0" w:space="0" w:color="auto"/>
        <w:left w:val="none" w:sz="0" w:space="0" w:color="auto"/>
        <w:bottom w:val="none" w:sz="0" w:space="0" w:color="auto"/>
        <w:right w:val="none" w:sz="0" w:space="0" w:color="auto"/>
      </w:divBdr>
    </w:div>
    <w:div w:id="362170172">
      <w:bodyDiv w:val="1"/>
      <w:marLeft w:val="0"/>
      <w:marRight w:val="0"/>
      <w:marTop w:val="0"/>
      <w:marBottom w:val="0"/>
      <w:divBdr>
        <w:top w:val="none" w:sz="0" w:space="0" w:color="auto"/>
        <w:left w:val="none" w:sz="0" w:space="0" w:color="auto"/>
        <w:bottom w:val="none" w:sz="0" w:space="0" w:color="auto"/>
        <w:right w:val="none" w:sz="0" w:space="0" w:color="auto"/>
      </w:divBdr>
      <w:divsChild>
        <w:div w:id="221407968">
          <w:marLeft w:val="0"/>
          <w:marRight w:val="0"/>
          <w:marTop w:val="0"/>
          <w:marBottom w:val="0"/>
          <w:divBdr>
            <w:top w:val="none" w:sz="0" w:space="0" w:color="auto"/>
            <w:left w:val="none" w:sz="0" w:space="0" w:color="auto"/>
            <w:bottom w:val="none" w:sz="0" w:space="0" w:color="auto"/>
            <w:right w:val="none" w:sz="0" w:space="0" w:color="auto"/>
          </w:divBdr>
          <w:divsChild>
            <w:div w:id="787359353">
              <w:marLeft w:val="0"/>
              <w:marRight w:val="0"/>
              <w:marTop w:val="0"/>
              <w:marBottom w:val="0"/>
              <w:divBdr>
                <w:top w:val="none" w:sz="0" w:space="0" w:color="auto"/>
                <w:left w:val="none" w:sz="0" w:space="0" w:color="auto"/>
                <w:bottom w:val="none" w:sz="0" w:space="0" w:color="auto"/>
                <w:right w:val="none" w:sz="0" w:space="0" w:color="auto"/>
              </w:divBdr>
              <w:divsChild>
                <w:div w:id="1797799691">
                  <w:marLeft w:val="0"/>
                  <w:marRight w:val="0"/>
                  <w:marTop w:val="0"/>
                  <w:marBottom w:val="0"/>
                  <w:divBdr>
                    <w:top w:val="none" w:sz="0" w:space="0" w:color="auto"/>
                    <w:left w:val="none" w:sz="0" w:space="0" w:color="auto"/>
                    <w:bottom w:val="none" w:sz="0" w:space="0" w:color="auto"/>
                    <w:right w:val="none" w:sz="0" w:space="0" w:color="auto"/>
                  </w:divBdr>
                  <w:divsChild>
                    <w:div w:id="274944559">
                      <w:marLeft w:val="0"/>
                      <w:marRight w:val="0"/>
                      <w:marTop w:val="0"/>
                      <w:marBottom w:val="0"/>
                      <w:divBdr>
                        <w:top w:val="none" w:sz="0" w:space="0" w:color="auto"/>
                        <w:left w:val="none" w:sz="0" w:space="0" w:color="auto"/>
                        <w:bottom w:val="none" w:sz="0" w:space="0" w:color="auto"/>
                        <w:right w:val="none" w:sz="0" w:space="0" w:color="auto"/>
                      </w:divBdr>
                      <w:divsChild>
                        <w:div w:id="1275819457">
                          <w:marLeft w:val="0"/>
                          <w:marRight w:val="0"/>
                          <w:marTop w:val="0"/>
                          <w:marBottom w:val="0"/>
                          <w:divBdr>
                            <w:top w:val="none" w:sz="0" w:space="0" w:color="auto"/>
                            <w:left w:val="none" w:sz="0" w:space="0" w:color="auto"/>
                            <w:bottom w:val="none" w:sz="0" w:space="0" w:color="auto"/>
                            <w:right w:val="none" w:sz="0" w:space="0" w:color="auto"/>
                          </w:divBdr>
                          <w:divsChild>
                            <w:div w:id="660618910">
                              <w:marLeft w:val="0"/>
                              <w:marRight w:val="0"/>
                              <w:marTop w:val="0"/>
                              <w:marBottom w:val="0"/>
                              <w:divBdr>
                                <w:top w:val="none" w:sz="0" w:space="0" w:color="auto"/>
                                <w:left w:val="none" w:sz="0" w:space="0" w:color="auto"/>
                                <w:bottom w:val="none" w:sz="0" w:space="0" w:color="auto"/>
                                <w:right w:val="none" w:sz="0" w:space="0" w:color="auto"/>
                              </w:divBdr>
                              <w:divsChild>
                                <w:div w:id="1639384956">
                                  <w:marLeft w:val="0"/>
                                  <w:marRight w:val="0"/>
                                  <w:marTop w:val="0"/>
                                  <w:marBottom w:val="0"/>
                                  <w:divBdr>
                                    <w:top w:val="none" w:sz="0" w:space="0" w:color="auto"/>
                                    <w:left w:val="none" w:sz="0" w:space="0" w:color="auto"/>
                                    <w:bottom w:val="none" w:sz="0" w:space="0" w:color="auto"/>
                                    <w:right w:val="none" w:sz="0" w:space="0" w:color="auto"/>
                                  </w:divBdr>
                                  <w:divsChild>
                                    <w:div w:id="1905986169">
                                      <w:marLeft w:val="0"/>
                                      <w:marRight w:val="0"/>
                                      <w:marTop w:val="0"/>
                                      <w:marBottom w:val="0"/>
                                      <w:divBdr>
                                        <w:top w:val="none" w:sz="0" w:space="0" w:color="auto"/>
                                        <w:left w:val="none" w:sz="0" w:space="0" w:color="auto"/>
                                        <w:bottom w:val="none" w:sz="0" w:space="0" w:color="auto"/>
                                        <w:right w:val="none" w:sz="0" w:space="0" w:color="auto"/>
                                      </w:divBdr>
                                      <w:divsChild>
                                        <w:div w:id="103379402">
                                          <w:marLeft w:val="0"/>
                                          <w:marRight w:val="0"/>
                                          <w:marTop w:val="0"/>
                                          <w:marBottom w:val="0"/>
                                          <w:divBdr>
                                            <w:top w:val="none" w:sz="0" w:space="0" w:color="auto"/>
                                            <w:left w:val="none" w:sz="0" w:space="0" w:color="auto"/>
                                            <w:bottom w:val="none" w:sz="0" w:space="0" w:color="auto"/>
                                            <w:right w:val="none" w:sz="0" w:space="0" w:color="auto"/>
                                          </w:divBdr>
                                          <w:divsChild>
                                            <w:div w:id="86774853">
                                              <w:marLeft w:val="0"/>
                                              <w:marRight w:val="0"/>
                                              <w:marTop w:val="0"/>
                                              <w:marBottom w:val="0"/>
                                              <w:divBdr>
                                                <w:top w:val="none" w:sz="0" w:space="0" w:color="auto"/>
                                                <w:left w:val="none" w:sz="0" w:space="0" w:color="auto"/>
                                                <w:bottom w:val="none" w:sz="0" w:space="0" w:color="auto"/>
                                                <w:right w:val="none" w:sz="0" w:space="0" w:color="auto"/>
                                              </w:divBdr>
                                              <w:divsChild>
                                                <w:div w:id="1528837748">
                                                  <w:marLeft w:val="0"/>
                                                  <w:marRight w:val="0"/>
                                                  <w:marTop w:val="0"/>
                                                  <w:marBottom w:val="0"/>
                                                  <w:divBdr>
                                                    <w:top w:val="none" w:sz="0" w:space="0" w:color="auto"/>
                                                    <w:left w:val="none" w:sz="0" w:space="0" w:color="auto"/>
                                                    <w:bottom w:val="none" w:sz="0" w:space="0" w:color="auto"/>
                                                    <w:right w:val="none" w:sz="0" w:space="0" w:color="auto"/>
                                                  </w:divBdr>
                                                  <w:divsChild>
                                                    <w:div w:id="1481654629">
                                                      <w:marLeft w:val="0"/>
                                                      <w:marRight w:val="0"/>
                                                      <w:marTop w:val="0"/>
                                                      <w:marBottom w:val="0"/>
                                                      <w:divBdr>
                                                        <w:top w:val="none" w:sz="0" w:space="0" w:color="auto"/>
                                                        <w:left w:val="none" w:sz="0" w:space="0" w:color="auto"/>
                                                        <w:bottom w:val="none" w:sz="0" w:space="0" w:color="auto"/>
                                                        <w:right w:val="none" w:sz="0" w:space="0" w:color="auto"/>
                                                      </w:divBdr>
                                                      <w:divsChild>
                                                        <w:div w:id="67122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250989">
                                              <w:marLeft w:val="0"/>
                                              <w:marRight w:val="0"/>
                                              <w:marTop w:val="0"/>
                                              <w:marBottom w:val="0"/>
                                              <w:divBdr>
                                                <w:top w:val="none" w:sz="0" w:space="0" w:color="auto"/>
                                                <w:left w:val="none" w:sz="0" w:space="0" w:color="auto"/>
                                                <w:bottom w:val="none" w:sz="0" w:space="0" w:color="auto"/>
                                                <w:right w:val="none" w:sz="0" w:space="0" w:color="auto"/>
                                              </w:divBdr>
                                              <w:divsChild>
                                                <w:div w:id="279848738">
                                                  <w:marLeft w:val="0"/>
                                                  <w:marRight w:val="0"/>
                                                  <w:marTop w:val="0"/>
                                                  <w:marBottom w:val="0"/>
                                                  <w:divBdr>
                                                    <w:top w:val="none" w:sz="0" w:space="0" w:color="auto"/>
                                                    <w:left w:val="none" w:sz="0" w:space="0" w:color="auto"/>
                                                    <w:bottom w:val="none" w:sz="0" w:space="0" w:color="auto"/>
                                                    <w:right w:val="none" w:sz="0" w:space="0" w:color="auto"/>
                                                  </w:divBdr>
                                                  <w:divsChild>
                                                    <w:div w:id="369454565">
                                                      <w:marLeft w:val="0"/>
                                                      <w:marRight w:val="0"/>
                                                      <w:marTop w:val="0"/>
                                                      <w:marBottom w:val="0"/>
                                                      <w:divBdr>
                                                        <w:top w:val="none" w:sz="0" w:space="0" w:color="auto"/>
                                                        <w:left w:val="none" w:sz="0" w:space="0" w:color="auto"/>
                                                        <w:bottom w:val="none" w:sz="0" w:space="0" w:color="auto"/>
                                                        <w:right w:val="none" w:sz="0" w:space="0" w:color="auto"/>
                                                      </w:divBdr>
                                                      <w:divsChild>
                                                        <w:div w:id="87126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4590666">
          <w:marLeft w:val="0"/>
          <w:marRight w:val="0"/>
          <w:marTop w:val="0"/>
          <w:marBottom w:val="0"/>
          <w:divBdr>
            <w:top w:val="none" w:sz="0" w:space="0" w:color="auto"/>
            <w:left w:val="none" w:sz="0" w:space="0" w:color="auto"/>
            <w:bottom w:val="none" w:sz="0" w:space="0" w:color="auto"/>
            <w:right w:val="none" w:sz="0" w:space="0" w:color="auto"/>
          </w:divBdr>
          <w:divsChild>
            <w:div w:id="57947070">
              <w:marLeft w:val="0"/>
              <w:marRight w:val="0"/>
              <w:marTop w:val="0"/>
              <w:marBottom w:val="0"/>
              <w:divBdr>
                <w:top w:val="none" w:sz="0" w:space="0" w:color="auto"/>
                <w:left w:val="none" w:sz="0" w:space="0" w:color="auto"/>
                <w:bottom w:val="none" w:sz="0" w:space="0" w:color="auto"/>
                <w:right w:val="none" w:sz="0" w:space="0" w:color="auto"/>
              </w:divBdr>
              <w:divsChild>
                <w:div w:id="1268662930">
                  <w:marLeft w:val="0"/>
                  <w:marRight w:val="0"/>
                  <w:marTop w:val="0"/>
                  <w:marBottom w:val="0"/>
                  <w:divBdr>
                    <w:top w:val="none" w:sz="0" w:space="0" w:color="auto"/>
                    <w:left w:val="none" w:sz="0" w:space="0" w:color="auto"/>
                    <w:bottom w:val="none" w:sz="0" w:space="0" w:color="auto"/>
                    <w:right w:val="none" w:sz="0" w:space="0" w:color="auto"/>
                  </w:divBdr>
                  <w:divsChild>
                    <w:div w:id="122679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053785">
      <w:bodyDiv w:val="1"/>
      <w:marLeft w:val="0"/>
      <w:marRight w:val="0"/>
      <w:marTop w:val="0"/>
      <w:marBottom w:val="0"/>
      <w:divBdr>
        <w:top w:val="none" w:sz="0" w:space="0" w:color="auto"/>
        <w:left w:val="none" w:sz="0" w:space="0" w:color="auto"/>
        <w:bottom w:val="none" w:sz="0" w:space="0" w:color="auto"/>
        <w:right w:val="none" w:sz="0" w:space="0" w:color="auto"/>
      </w:divBdr>
    </w:div>
    <w:div w:id="468131386">
      <w:bodyDiv w:val="1"/>
      <w:marLeft w:val="0"/>
      <w:marRight w:val="0"/>
      <w:marTop w:val="0"/>
      <w:marBottom w:val="0"/>
      <w:divBdr>
        <w:top w:val="none" w:sz="0" w:space="0" w:color="auto"/>
        <w:left w:val="none" w:sz="0" w:space="0" w:color="auto"/>
        <w:bottom w:val="none" w:sz="0" w:space="0" w:color="auto"/>
        <w:right w:val="none" w:sz="0" w:space="0" w:color="auto"/>
      </w:divBdr>
    </w:div>
    <w:div w:id="495457157">
      <w:bodyDiv w:val="1"/>
      <w:marLeft w:val="0"/>
      <w:marRight w:val="0"/>
      <w:marTop w:val="0"/>
      <w:marBottom w:val="0"/>
      <w:divBdr>
        <w:top w:val="none" w:sz="0" w:space="0" w:color="auto"/>
        <w:left w:val="none" w:sz="0" w:space="0" w:color="auto"/>
        <w:bottom w:val="none" w:sz="0" w:space="0" w:color="auto"/>
        <w:right w:val="none" w:sz="0" w:space="0" w:color="auto"/>
      </w:divBdr>
    </w:div>
    <w:div w:id="509756321">
      <w:bodyDiv w:val="1"/>
      <w:marLeft w:val="0"/>
      <w:marRight w:val="0"/>
      <w:marTop w:val="0"/>
      <w:marBottom w:val="0"/>
      <w:divBdr>
        <w:top w:val="none" w:sz="0" w:space="0" w:color="auto"/>
        <w:left w:val="none" w:sz="0" w:space="0" w:color="auto"/>
        <w:bottom w:val="none" w:sz="0" w:space="0" w:color="auto"/>
        <w:right w:val="none" w:sz="0" w:space="0" w:color="auto"/>
      </w:divBdr>
    </w:div>
    <w:div w:id="680089526">
      <w:bodyDiv w:val="1"/>
      <w:marLeft w:val="0"/>
      <w:marRight w:val="0"/>
      <w:marTop w:val="0"/>
      <w:marBottom w:val="0"/>
      <w:divBdr>
        <w:top w:val="none" w:sz="0" w:space="0" w:color="auto"/>
        <w:left w:val="none" w:sz="0" w:space="0" w:color="auto"/>
        <w:bottom w:val="none" w:sz="0" w:space="0" w:color="auto"/>
        <w:right w:val="none" w:sz="0" w:space="0" w:color="auto"/>
      </w:divBdr>
      <w:divsChild>
        <w:div w:id="948124340">
          <w:marLeft w:val="0"/>
          <w:marRight w:val="0"/>
          <w:marTop w:val="0"/>
          <w:marBottom w:val="0"/>
          <w:divBdr>
            <w:top w:val="none" w:sz="0" w:space="0" w:color="auto"/>
            <w:left w:val="none" w:sz="0" w:space="0" w:color="auto"/>
            <w:bottom w:val="none" w:sz="0" w:space="0" w:color="auto"/>
            <w:right w:val="none" w:sz="0" w:space="0" w:color="auto"/>
          </w:divBdr>
          <w:divsChild>
            <w:div w:id="1445881891">
              <w:marLeft w:val="0"/>
              <w:marRight w:val="0"/>
              <w:marTop w:val="0"/>
              <w:marBottom w:val="0"/>
              <w:divBdr>
                <w:top w:val="none" w:sz="0" w:space="0" w:color="auto"/>
                <w:left w:val="none" w:sz="0" w:space="0" w:color="auto"/>
                <w:bottom w:val="none" w:sz="0" w:space="0" w:color="auto"/>
                <w:right w:val="none" w:sz="0" w:space="0" w:color="auto"/>
              </w:divBdr>
              <w:divsChild>
                <w:div w:id="467867572">
                  <w:marLeft w:val="0"/>
                  <w:marRight w:val="0"/>
                  <w:marTop w:val="0"/>
                  <w:marBottom w:val="0"/>
                  <w:divBdr>
                    <w:top w:val="none" w:sz="0" w:space="0" w:color="auto"/>
                    <w:left w:val="none" w:sz="0" w:space="0" w:color="auto"/>
                    <w:bottom w:val="none" w:sz="0" w:space="0" w:color="auto"/>
                    <w:right w:val="none" w:sz="0" w:space="0" w:color="auto"/>
                  </w:divBdr>
                  <w:divsChild>
                    <w:div w:id="24268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419964">
      <w:bodyDiv w:val="1"/>
      <w:marLeft w:val="0"/>
      <w:marRight w:val="0"/>
      <w:marTop w:val="0"/>
      <w:marBottom w:val="0"/>
      <w:divBdr>
        <w:top w:val="none" w:sz="0" w:space="0" w:color="auto"/>
        <w:left w:val="none" w:sz="0" w:space="0" w:color="auto"/>
        <w:bottom w:val="none" w:sz="0" w:space="0" w:color="auto"/>
        <w:right w:val="none" w:sz="0" w:space="0" w:color="auto"/>
      </w:divBdr>
      <w:divsChild>
        <w:div w:id="1173454825">
          <w:marLeft w:val="0"/>
          <w:marRight w:val="0"/>
          <w:marTop w:val="0"/>
          <w:marBottom w:val="0"/>
          <w:divBdr>
            <w:top w:val="none" w:sz="0" w:space="0" w:color="auto"/>
            <w:left w:val="none" w:sz="0" w:space="0" w:color="auto"/>
            <w:bottom w:val="none" w:sz="0" w:space="0" w:color="auto"/>
            <w:right w:val="none" w:sz="0" w:space="0" w:color="auto"/>
          </w:divBdr>
          <w:divsChild>
            <w:div w:id="1312905047">
              <w:marLeft w:val="0"/>
              <w:marRight w:val="0"/>
              <w:marTop w:val="0"/>
              <w:marBottom w:val="0"/>
              <w:divBdr>
                <w:top w:val="none" w:sz="0" w:space="0" w:color="auto"/>
                <w:left w:val="none" w:sz="0" w:space="0" w:color="auto"/>
                <w:bottom w:val="none" w:sz="0" w:space="0" w:color="auto"/>
                <w:right w:val="none" w:sz="0" w:space="0" w:color="auto"/>
              </w:divBdr>
              <w:divsChild>
                <w:div w:id="1496260672">
                  <w:marLeft w:val="0"/>
                  <w:marRight w:val="0"/>
                  <w:marTop w:val="0"/>
                  <w:marBottom w:val="0"/>
                  <w:divBdr>
                    <w:top w:val="none" w:sz="0" w:space="0" w:color="auto"/>
                    <w:left w:val="none" w:sz="0" w:space="0" w:color="auto"/>
                    <w:bottom w:val="none" w:sz="0" w:space="0" w:color="auto"/>
                    <w:right w:val="none" w:sz="0" w:space="0" w:color="auto"/>
                  </w:divBdr>
                  <w:divsChild>
                    <w:div w:id="56387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627767">
      <w:bodyDiv w:val="1"/>
      <w:marLeft w:val="0"/>
      <w:marRight w:val="0"/>
      <w:marTop w:val="0"/>
      <w:marBottom w:val="0"/>
      <w:divBdr>
        <w:top w:val="none" w:sz="0" w:space="0" w:color="auto"/>
        <w:left w:val="none" w:sz="0" w:space="0" w:color="auto"/>
        <w:bottom w:val="none" w:sz="0" w:space="0" w:color="auto"/>
        <w:right w:val="none" w:sz="0" w:space="0" w:color="auto"/>
      </w:divBdr>
    </w:div>
    <w:div w:id="853029746">
      <w:bodyDiv w:val="1"/>
      <w:marLeft w:val="0"/>
      <w:marRight w:val="0"/>
      <w:marTop w:val="0"/>
      <w:marBottom w:val="0"/>
      <w:divBdr>
        <w:top w:val="none" w:sz="0" w:space="0" w:color="auto"/>
        <w:left w:val="none" w:sz="0" w:space="0" w:color="auto"/>
        <w:bottom w:val="none" w:sz="0" w:space="0" w:color="auto"/>
        <w:right w:val="none" w:sz="0" w:space="0" w:color="auto"/>
      </w:divBdr>
      <w:divsChild>
        <w:div w:id="820001347">
          <w:marLeft w:val="0"/>
          <w:marRight w:val="0"/>
          <w:marTop w:val="0"/>
          <w:marBottom w:val="0"/>
          <w:divBdr>
            <w:top w:val="none" w:sz="0" w:space="0" w:color="auto"/>
            <w:left w:val="none" w:sz="0" w:space="0" w:color="auto"/>
            <w:bottom w:val="none" w:sz="0" w:space="0" w:color="auto"/>
            <w:right w:val="none" w:sz="0" w:space="0" w:color="auto"/>
          </w:divBdr>
          <w:divsChild>
            <w:div w:id="1467317101">
              <w:marLeft w:val="0"/>
              <w:marRight w:val="0"/>
              <w:marTop w:val="0"/>
              <w:marBottom w:val="0"/>
              <w:divBdr>
                <w:top w:val="none" w:sz="0" w:space="0" w:color="auto"/>
                <w:left w:val="none" w:sz="0" w:space="0" w:color="auto"/>
                <w:bottom w:val="none" w:sz="0" w:space="0" w:color="auto"/>
                <w:right w:val="none" w:sz="0" w:space="0" w:color="auto"/>
              </w:divBdr>
              <w:divsChild>
                <w:div w:id="830104285">
                  <w:marLeft w:val="0"/>
                  <w:marRight w:val="0"/>
                  <w:marTop w:val="0"/>
                  <w:marBottom w:val="0"/>
                  <w:divBdr>
                    <w:top w:val="none" w:sz="0" w:space="0" w:color="auto"/>
                    <w:left w:val="none" w:sz="0" w:space="0" w:color="auto"/>
                    <w:bottom w:val="none" w:sz="0" w:space="0" w:color="auto"/>
                    <w:right w:val="none" w:sz="0" w:space="0" w:color="auto"/>
                  </w:divBdr>
                  <w:divsChild>
                    <w:div w:id="189604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8201533">
      <w:bodyDiv w:val="1"/>
      <w:marLeft w:val="0"/>
      <w:marRight w:val="0"/>
      <w:marTop w:val="0"/>
      <w:marBottom w:val="0"/>
      <w:divBdr>
        <w:top w:val="none" w:sz="0" w:space="0" w:color="auto"/>
        <w:left w:val="none" w:sz="0" w:space="0" w:color="auto"/>
        <w:bottom w:val="none" w:sz="0" w:space="0" w:color="auto"/>
        <w:right w:val="none" w:sz="0" w:space="0" w:color="auto"/>
      </w:divBdr>
    </w:div>
    <w:div w:id="914047643">
      <w:bodyDiv w:val="1"/>
      <w:marLeft w:val="0"/>
      <w:marRight w:val="0"/>
      <w:marTop w:val="0"/>
      <w:marBottom w:val="0"/>
      <w:divBdr>
        <w:top w:val="none" w:sz="0" w:space="0" w:color="auto"/>
        <w:left w:val="none" w:sz="0" w:space="0" w:color="auto"/>
        <w:bottom w:val="none" w:sz="0" w:space="0" w:color="auto"/>
        <w:right w:val="none" w:sz="0" w:space="0" w:color="auto"/>
      </w:divBdr>
      <w:divsChild>
        <w:div w:id="302269637">
          <w:marLeft w:val="0"/>
          <w:marRight w:val="0"/>
          <w:marTop w:val="0"/>
          <w:marBottom w:val="0"/>
          <w:divBdr>
            <w:top w:val="none" w:sz="0" w:space="0" w:color="auto"/>
            <w:left w:val="none" w:sz="0" w:space="0" w:color="auto"/>
            <w:bottom w:val="none" w:sz="0" w:space="0" w:color="auto"/>
            <w:right w:val="none" w:sz="0" w:space="0" w:color="auto"/>
          </w:divBdr>
          <w:divsChild>
            <w:div w:id="1965770030">
              <w:marLeft w:val="0"/>
              <w:marRight w:val="0"/>
              <w:marTop w:val="0"/>
              <w:marBottom w:val="0"/>
              <w:divBdr>
                <w:top w:val="none" w:sz="0" w:space="0" w:color="auto"/>
                <w:left w:val="none" w:sz="0" w:space="0" w:color="auto"/>
                <w:bottom w:val="none" w:sz="0" w:space="0" w:color="auto"/>
                <w:right w:val="none" w:sz="0" w:space="0" w:color="auto"/>
              </w:divBdr>
              <w:divsChild>
                <w:div w:id="384061562">
                  <w:marLeft w:val="0"/>
                  <w:marRight w:val="0"/>
                  <w:marTop w:val="0"/>
                  <w:marBottom w:val="0"/>
                  <w:divBdr>
                    <w:top w:val="none" w:sz="0" w:space="0" w:color="auto"/>
                    <w:left w:val="none" w:sz="0" w:space="0" w:color="auto"/>
                    <w:bottom w:val="none" w:sz="0" w:space="0" w:color="auto"/>
                    <w:right w:val="none" w:sz="0" w:space="0" w:color="auto"/>
                  </w:divBdr>
                  <w:divsChild>
                    <w:div w:id="176191177">
                      <w:marLeft w:val="0"/>
                      <w:marRight w:val="0"/>
                      <w:marTop w:val="0"/>
                      <w:marBottom w:val="0"/>
                      <w:divBdr>
                        <w:top w:val="none" w:sz="0" w:space="0" w:color="auto"/>
                        <w:left w:val="none" w:sz="0" w:space="0" w:color="auto"/>
                        <w:bottom w:val="none" w:sz="0" w:space="0" w:color="auto"/>
                        <w:right w:val="none" w:sz="0" w:space="0" w:color="auto"/>
                      </w:divBdr>
                      <w:divsChild>
                        <w:div w:id="1987464401">
                          <w:marLeft w:val="0"/>
                          <w:marRight w:val="0"/>
                          <w:marTop w:val="0"/>
                          <w:marBottom w:val="0"/>
                          <w:divBdr>
                            <w:top w:val="none" w:sz="0" w:space="0" w:color="auto"/>
                            <w:left w:val="none" w:sz="0" w:space="0" w:color="auto"/>
                            <w:bottom w:val="none" w:sz="0" w:space="0" w:color="auto"/>
                            <w:right w:val="none" w:sz="0" w:space="0" w:color="auto"/>
                          </w:divBdr>
                          <w:divsChild>
                            <w:div w:id="1200780673">
                              <w:marLeft w:val="0"/>
                              <w:marRight w:val="0"/>
                              <w:marTop w:val="0"/>
                              <w:marBottom w:val="0"/>
                              <w:divBdr>
                                <w:top w:val="none" w:sz="0" w:space="0" w:color="auto"/>
                                <w:left w:val="none" w:sz="0" w:space="0" w:color="auto"/>
                                <w:bottom w:val="none" w:sz="0" w:space="0" w:color="auto"/>
                                <w:right w:val="none" w:sz="0" w:space="0" w:color="auto"/>
                              </w:divBdr>
                              <w:divsChild>
                                <w:div w:id="2034964096">
                                  <w:marLeft w:val="0"/>
                                  <w:marRight w:val="0"/>
                                  <w:marTop w:val="0"/>
                                  <w:marBottom w:val="0"/>
                                  <w:divBdr>
                                    <w:top w:val="none" w:sz="0" w:space="0" w:color="auto"/>
                                    <w:left w:val="none" w:sz="0" w:space="0" w:color="auto"/>
                                    <w:bottom w:val="none" w:sz="0" w:space="0" w:color="auto"/>
                                    <w:right w:val="none" w:sz="0" w:space="0" w:color="auto"/>
                                  </w:divBdr>
                                  <w:divsChild>
                                    <w:div w:id="986131726">
                                      <w:marLeft w:val="0"/>
                                      <w:marRight w:val="0"/>
                                      <w:marTop w:val="0"/>
                                      <w:marBottom w:val="0"/>
                                      <w:divBdr>
                                        <w:top w:val="none" w:sz="0" w:space="0" w:color="auto"/>
                                        <w:left w:val="none" w:sz="0" w:space="0" w:color="auto"/>
                                        <w:bottom w:val="none" w:sz="0" w:space="0" w:color="auto"/>
                                        <w:right w:val="none" w:sz="0" w:space="0" w:color="auto"/>
                                      </w:divBdr>
                                      <w:divsChild>
                                        <w:div w:id="1993829772">
                                          <w:marLeft w:val="0"/>
                                          <w:marRight w:val="0"/>
                                          <w:marTop w:val="0"/>
                                          <w:marBottom w:val="0"/>
                                          <w:divBdr>
                                            <w:top w:val="none" w:sz="0" w:space="0" w:color="auto"/>
                                            <w:left w:val="none" w:sz="0" w:space="0" w:color="auto"/>
                                            <w:bottom w:val="none" w:sz="0" w:space="0" w:color="auto"/>
                                            <w:right w:val="none" w:sz="0" w:space="0" w:color="auto"/>
                                          </w:divBdr>
                                          <w:divsChild>
                                            <w:div w:id="1589385514">
                                              <w:marLeft w:val="0"/>
                                              <w:marRight w:val="0"/>
                                              <w:marTop w:val="0"/>
                                              <w:marBottom w:val="0"/>
                                              <w:divBdr>
                                                <w:top w:val="none" w:sz="0" w:space="0" w:color="auto"/>
                                                <w:left w:val="none" w:sz="0" w:space="0" w:color="auto"/>
                                                <w:bottom w:val="none" w:sz="0" w:space="0" w:color="auto"/>
                                                <w:right w:val="none" w:sz="0" w:space="0" w:color="auto"/>
                                              </w:divBdr>
                                              <w:divsChild>
                                                <w:div w:id="1276255870">
                                                  <w:marLeft w:val="0"/>
                                                  <w:marRight w:val="0"/>
                                                  <w:marTop w:val="0"/>
                                                  <w:marBottom w:val="0"/>
                                                  <w:divBdr>
                                                    <w:top w:val="none" w:sz="0" w:space="0" w:color="auto"/>
                                                    <w:left w:val="none" w:sz="0" w:space="0" w:color="auto"/>
                                                    <w:bottom w:val="none" w:sz="0" w:space="0" w:color="auto"/>
                                                    <w:right w:val="none" w:sz="0" w:space="0" w:color="auto"/>
                                                  </w:divBdr>
                                                  <w:divsChild>
                                                    <w:div w:id="1823502302">
                                                      <w:marLeft w:val="0"/>
                                                      <w:marRight w:val="0"/>
                                                      <w:marTop w:val="0"/>
                                                      <w:marBottom w:val="0"/>
                                                      <w:divBdr>
                                                        <w:top w:val="none" w:sz="0" w:space="0" w:color="auto"/>
                                                        <w:left w:val="none" w:sz="0" w:space="0" w:color="auto"/>
                                                        <w:bottom w:val="none" w:sz="0" w:space="0" w:color="auto"/>
                                                        <w:right w:val="none" w:sz="0" w:space="0" w:color="auto"/>
                                                      </w:divBdr>
                                                      <w:divsChild>
                                                        <w:div w:id="20475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208984">
                                              <w:marLeft w:val="0"/>
                                              <w:marRight w:val="0"/>
                                              <w:marTop w:val="0"/>
                                              <w:marBottom w:val="0"/>
                                              <w:divBdr>
                                                <w:top w:val="none" w:sz="0" w:space="0" w:color="auto"/>
                                                <w:left w:val="none" w:sz="0" w:space="0" w:color="auto"/>
                                                <w:bottom w:val="none" w:sz="0" w:space="0" w:color="auto"/>
                                                <w:right w:val="none" w:sz="0" w:space="0" w:color="auto"/>
                                              </w:divBdr>
                                              <w:divsChild>
                                                <w:div w:id="1867671565">
                                                  <w:marLeft w:val="0"/>
                                                  <w:marRight w:val="0"/>
                                                  <w:marTop w:val="0"/>
                                                  <w:marBottom w:val="0"/>
                                                  <w:divBdr>
                                                    <w:top w:val="none" w:sz="0" w:space="0" w:color="auto"/>
                                                    <w:left w:val="none" w:sz="0" w:space="0" w:color="auto"/>
                                                    <w:bottom w:val="none" w:sz="0" w:space="0" w:color="auto"/>
                                                    <w:right w:val="none" w:sz="0" w:space="0" w:color="auto"/>
                                                  </w:divBdr>
                                                  <w:divsChild>
                                                    <w:div w:id="538204442">
                                                      <w:marLeft w:val="0"/>
                                                      <w:marRight w:val="0"/>
                                                      <w:marTop w:val="0"/>
                                                      <w:marBottom w:val="0"/>
                                                      <w:divBdr>
                                                        <w:top w:val="none" w:sz="0" w:space="0" w:color="auto"/>
                                                        <w:left w:val="none" w:sz="0" w:space="0" w:color="auto"/>
                                                        <w:bottom w:val="none" w:sz="0" w:space="0" w:color="auto"/>
                                                        <w:right w:val="none" w:sz="0" w:space="0" w:color="auto"/>
                                                      </w:divBdr>
                                                      <w:divsChild>
                                                        <w:div w:id="104833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2956272">
          <w:marLeft w:val="0"/>
          <w:marRight w:val="0"/>
          <w:marTop w:val="0"/>
          <w:marBottom w:val="0"/>
          <w:divBdr>
            <w:top w:val="none" w:sz="0" w:space="0" w:color="auto"/>
            <w:left w:val="none" w:sz="0" w:space="0" w:color="auto"/>
            <w:bottom w:val="none" w:sz="0" w:space="0" w:color="auto"/>
            <w:right w:val="none" w:sz="0" w:space="0" w:color="auto"/>
          </w:divBdr>
          <w:divsChild>
            <w:div w:id="1688483398">
              <w:marLeft w:val="0"/>
              <w:marRight w:val="0"/>
              <w:marTop w:val="0"/>
              <w:marBottom w:val="0"/>
              <w:divBdr>
                <w:top w:val="none" w:sz="0" w:space="0" w:color="auto"/>
                <w:left w:val="none" w:sz="0" w:space="0" w:color="auto"/>
                <w:bottom w:val="none" w:sz="0" w:space="0" w:color="auto"/>
                <w:right w:val="none" w:sz="0" w:space="0" w:color="auto"/>
              </w:divBdr>
              <w:divsChild>
                <w:div w:id="1569995956">
                  <w:marLeft w:val="0"/>
                  <w:marRight w:val="0"/>
                  <w:marTop w:val="0"/>
                  <w:marBottom w:val="0"/>
                  <w:divBdr>
                    <w:top w:val="none" w:sz="0" w:space="0" w:color="auto"/>
                    <w:left w:val="none" w:sz="0" w:space="0" w:color="auto"/>
                    <w:bottom w:val="none" w:sz="0" w:space="0" w:color="auto"/>
                    <w:right w:val="none" w:sz="0" w:space="0" w:color="auto"/>
                  </w:divBdr>
                  <w:divsChild>
                    <w:div w:id="128222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715575">
      <w:bodyDiv w:val="1"/>
      <w:marLeft w:val="0"/>
      <w:marRight w:val="0"/>
      <w:marTop w:val="0"/>
      <w:marBottom w:val="0"/>
      <w:divBdr>
        <w:top w:val="none" w:sz="0" w:space="0" w:color="auto"/>
        <w:left w:val="none" w:sz="0" w:space="0" w:color="auto"/>
        <w:bottom w:val="none" w:sz="0" w:space="0" w:color="auto"/>
        <w:right w:val="none" w:sz="0" w:space="0" w:color="auto"/>
      </w:divBdr>
    </w:div>
    <w:div w:id="1060977602">
      <w:bodyDiv w:val="1"/>
      <w:marLeft w:val="0"/>
      <w:marRight w:val="0"/>
      <w:marTop w:val="0"/>
      <w:marBottom w:val="0"/>
      <w:divBdr>
        <w:top w:val="none" w:sz="0" w:space="0" w:color="auto"/>
        <w:left w:val="none" w:sz="0" w:space="0" w:color="auto"/>
        <w:bottom w:val="none" w:sz="0" w:space="0" w:color="auto"/>
        <w:right w:val="none" w:sz="0" w:space="0" w:color="auto"/>
      </w:divBdr>
    </w:div>
    <w:div w:id="1373917614">
      <w:bodyDiv w:val="1"/>
      <w:marLeft w:val="0"/>
      <w:marRight w:val="0"/>
      <w:marTop w:val="0"/>
      <w:marBottom w:val="0"/>
      <w:divBdr>
        <w:top w:val="none" w:sz="0" w:space="0" w:color="auto"/>
        <w:left w:val="none" w:sz="0" w:space="0" w:color="auto"/>
        <w:bottom w:val="none" w:sz="0" w:space="0" w:color="auto"/>
        <w:right w:val="none" w:sz="0" w:space="0" w:color="auto"/>
      </w:divBdr>
    </w:div>
    <w:div w:id="1410347579">
      <w:bodyDiv w:val="1"/>
      <w:marLeft w:val="0"/>
      <w:marRight w:val="0"/>
      <w:marTop w:val="0"/>
      <w:marBottom w:val="0"/>
      <w:divBdr>
        <w:top w:val="none" w:sz="0" w:space="0" w:color="auto"/>
        <w:left w:val="none" w:sz="0" w:space="0" w:color="auto"/>
        <w:bottom w:val="none" w:sz="0" w:space="0" w:color="auto"/>
        <w:right w:val="none" w:sz="0" w:space="0" w:color="auto"/>
      </w:divBdr>
    </w:div>
    <w:div w:id="1622805809">
      <w:bodyDiv w:val="1"/>
      <w:marLeft w:val="0"/>
      <w:marRight w:val="0"/>
      <w:marTop w:val="0"/>
      <w:marBottom w:val="0"/>
      <w:divBdr>
        <w:top w:val="none" w:sz="0" w:space="0" w:color="auto"/>
        <w:left w:val="none" w:sz="0" w:space="0" w:color="auto"/>
        <w:bottom w:val="none" w:sz="0" w:space="0" w:color="auto"/>
        <w:right w:val="none" w:sz="0" w:space="0" w:color="auto"/>
      </w:divBdr>
    </w:div>
    <w:div w:id="1859149977">
      <w:bodyDiv w:val="1"/>
      <w:marLeft w:val="0"/>
      <w:marRight w:val="0"/>
      <w:marTop w:val="0"/>
      <w:marBottom w:val="0"/>
      <w:divBdr>
        <w:top w:val="none" w:sz="0" w:space="0" w:color="auto"/>
        <w:left w:val="none" w:sz="0" w:space="0" w:color="auto"/>
        <w:bottom w:val="none" w:sz="0" w:space="0" w:color="auto"/>
        <w:right w:val="none" w:sz="0" w:space="0" w:color="auto"/>
      </w:divBdr>
    </w:div>
    <w:div w:id="1918710568">
      <w:bodyDiv w:val="1"/>
      <w:marLeft w:val="0"/>
      <w:marRight w:val="0"/>
      <w:marTop w:val="0"/>
      <w:marBottom w:val="0"/>
      <w:divBdr>
        <w:top w:val="none" w:sz="0" w:space="0" w:color="auto"/>
        <w:left w:val="none" w:sz="0" w:space="0" w:color="auto"/>
        <w:bottom w:val="none" w:sz="0" w:space="0" w:color="auto"/>
        <w:right w:val="none" w:sz="0" w:space="0" w:color="auto"/>
      </w:divBdr>
    </w:div>
    <w:div w:id="2109541455">
      <w:bodyDiv w:val="1"/>
      <w:marLeft w:val="0"/>
      <w:marRight w:val="0"/>
      <w:marTop w:val="0"/>
      <w:marBottom w:val="0"/>
      <w:divBdr>
        <w:top w:val="none" w:sz="0" w:space="0" w:color="auto"/>
        <w:left w:val="none" w:sz="0" w:space="0" w:color="auto"/>
        <w:bottom w:val="none" w:sz="0" w:space="0" w:color="auto"/>
        <w:right w:val="none" w:sz="0" w:space="0" w:color="auto"/>
      </w:divBdr>
      <w:divsChild>
        <w:div w:id="434600418">
          <w:marLeft w:val="0"/>
          <w:marRight w:val="0"/>
          <w:marTop w:val="0"/>
          <w:marBottom w:val="0"/>
          <w:divBdr>
            <w:top w:val="none" w:sz="0" w:space="0" w:color="auto"/>
            <w:left w:val="none" w:sz="0" w:space="0" w:color="auto"/>
            <w:bottom w:val="none" w:sz="0" w:space="0" w:color="auto"/>
            <w:right w:val="none" w:sz="0" w:space="0" w:color="auto"/>
          </w:divBdr>
          <w:divsChild>
            <w:div w:id="1977757443">
              <w:marLeft w:val="0"/>
              <w:marRight w:val="0"/>
              <w:marTop w:val="0"/>
              <w:marBottom w:val="0"/>
              <w:divBdr>
                <w:top w:val="none" w:sz="0" w:space="0" w:color="auto"/>
                <w:left w:val="none" w:sz="0" w:space="0" w:color="auto"/>
                <w:bottom w:val="none" w:sz="0" w:space="0" w:color="auto"/>
                <w:right w:val="none" w:sz="0" w:space="0" w:color="auto"/>
              </w:divBdr>
              <w:divsChild>
                <w:div w:id="2138986215">
                  <w:marLeft w:val="0"/>
                  <w:marRight w:val="0"/>
                  <w:marTop w:val="0"/>
                  <w:marBottom w:val="0"/>
                  <w:divBdr>
                    <w:top w:val="none" w:sz="0" w:space="0" w:color="auto"/>
                    <w:left w:val="none" w:sz="0" w:space="0" w:color="auto"/>
                    <w:bottom w:val="none" w:sz="0" w:space="0" w:color="auto"/>
                    <w:right w:val="none" w:sz="0" w:space="0" w:color="auto"/>
                  </w:divBdr>
                  <w:divsChild>
                    <w:div w:id="35299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comments" Target="comments.xml"/><Relationship Id="rId12" Type="http://schemas.openxmlformats.org/officeDocument/2006/relationships/diagramData" Target="diagrams/data1.xm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fontTable" Target="fontTable.xml"/><Relationship Id="rId10" Type="http://schemas.microsoft.com/office/2018/08/relationships/commentsExtensible" Target="commentsExtensible.xml"/><Relationship Id="rId19" Type="http://schemas.openxmlformats.org/officeDocument/2006/relationships/footer" Target="foot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diagramQuickStyle" Target="diagrams/quickStyle1.xml"/><Relationship Id="rId22"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374D82-454D-446E-A2EC-0672E2FCDC31}" type="doc">
      <dgm:prSet loTypeId="urn:microsoft.com/office/officeart/2005/8/layout/matrix1" loCatId="matrix" qsTypeId="urn:microsoft.com/office/officeart/2005/8/quickstyle/simple5" qsCatId="simple" csTypeId="urn:microsoft.com/office/officeart/2005/8/colors/colorful3" csCatId="colorful" phldr="1"/>
      <dgm:spPr/>
      <dgm:t>
        <a:bodyPr/>
        <a:lstStyle/>
        <a:p>
          <a:endParaRPr lang="en-US"/>
        </a:p>
      </dgm:t>
    </dgm:pt>
    <dgm:pt modelId="{2B6DD4B0-ED23-4D56-AD11-525D62E71107}">
      <dgm:prSet phldrT="[Text]" custT="1"/>
      <dgm:spPr/>
      <dgm:t>
        <a:bodyPr/>
        <a:lstStyle/>
        <a:p>
          <a:r>
            <a:rPr lang="en-US" sz="2200"/>
            <a:t>PGPM</a:t>
          </a:r>
        </a:p>
      </dgm:t>
    </dgm:pt>
    <dgm:pt modelId="{543986D4-E3EC-4C3D-960F-436400A9AC6A}" type="parTrans" cxnId="{71A9F37B-5B8B-437B-87C8-AAB3D4CF39BD}">
      <dgm:prSet/>
      <dgm:spPr/>
      <dgm:t>
        <a:bodyPr/>
        <a:lstStyle/>
        <a:p>
          <a:endParaRPr lang="en-US" sz="1400"/>
        </a:p>
      </dgm:t>
    </dgm:pt>
    <dgm:pt modelId="{68E104D5-E2C7-4C7F-9A9F-06A768D1165F}" type="sibTrans" cxnId="{71A9F37B-5B8B-437B-87C8-AAB3D4CF39BD}">
      <dgm:prSet/>
      <dgm:spPr/>
      <dgm:t>
        <a:bodyPr/>
        <a:lstStyle/>
        <a:p>
          <a:endParaRPr lang="en-US" sz="1400"/>
        </a:p>
      </dgm:t>
    </dgm:pt>
    <dgm:pt modelId="{896EF24F-099E-4C92-B2DC-6056B8B5D27F}">
      <dgm:prSet phldrT="[Text]" custT="1"/>
      <dgm:spPr/>
      <dgm:t>
        <a:bodyPr/>
        <a:lstStyle/>
        <a:p>
          <a:r>
            <a:rPr lang="en-US" sz="1400"/>
            <a:t>Rhizo-remediators</a:t>
          </a:r>
        </a:p>
        <a:p>
          <a:r>
            <a:rPr lang="en-US" sz="1400"/>
            <a:t>Help in reducing adverse impact of heavy metal and pollutants</a:t>
          </a:r>
        </a:p>
      </dgm:t>
    </dgm:pt>
    <dgm:pt modelId="{8F685643-ED9D-4CC2-A534-36402A7C12EF}" type="parTrans" cxnId="{22D13E2C-6919-4B82-A4A9-185ABCD319B2}">
      <dgm:prSet/>
      <dgm:spPr/>
      <dgm:t>
        <a:bodyPr/>
        <a:lstStyle/>
        <a:p>
          <a:endParaRPr lang="en-US" sz="1400"/>
        </a:p>
      </dgm:t>
    </dgm:pt>
    <dgm:pt modelId="{D557EB8A-A7A5-4AFB-BE71-973BFE433713}" type="sibTrans" cxnId="{22D13E2C-6919-4B82-A4A9-185ABCD319B2}">
      <dgm:prSet/>
      <dgm:spPr/>
      <dgm:t>
        <a:bodyPr/>
        <a:lstStyle/>
        <a:p>
          <a:endParaRPr lang="en-US" sz="1400"/>
        </a:p>
      </dgm:t>
    </dgm:pt>
    <dgm:pt modelId="{BE361D37-2A94-4906-93F9-D0A6499EB94E}">
      <dgm:prSet phldrT="[Text]" custT="1"/>
      <dgm:spPr/>
      <dgm:t>
        <a:bodyPr/>
        <a:lstStyle/>
        <a:p>
          <a:r>
            <a:rPr lang="en-US" sz="1400"/>
            <a:t>Biofertilizers</a:t>
          </a:r>
        </a:p>
        <a:p>
          <a:r>
            <a:rPr lang="en-US" sz="1400"/>
            <a:t>Capture, solubilize and mobilize nutrients</a:t>
          </a:r>
        </a:p>
        <a:p>
          <a:r>
            <a:rPr lang="en-US" sz="1400"/>
            <a:t>Make nutrients available for uptake by plants</a:t>
          </a:r>
        </a:p>
      </dgm:t>
    </dgm:pt>
    <dgm:pt modelId="{3E7F67AF-F540-4C6D-9440-BC390550DCBF}" type="parTrans" cxnId="{A94F2569-D9F3-4AC4-BA0F-1CCC011A7D4C}">
      <dgm:prSet/>
      <dgm:spPr/>
      <dgm:t>
        <a:bodyPr/>
        <a:lstStyle/>
        <a:p>
          <a:endParaRPr lang="en-US" sz="1400"/>
        </a:p>
      </dgm:t>
    </dgm:pt>
    <dgm:pt modelId="{518CD3C7-4C2E-4B4B-A61C-91713197D095}" type="sibTrans" cxnId="{A94F2569-D9F3-4AC4-BA0F-1CCC011A7D4C}">
      <dgm:prSet/>
      <dgm:spPr/>
      <dgm:t>
        <a:bodyPr/>
        <a:lstStyle/>
        <a:p>
          <a:endParaRPr lang="en-US" sz="1400"/>
        </a:p>
      </dgm:t>
    </dgm:pt>
    <dgm:pt modelId="{1401E03A-5E9B-458B-A4CC-D75B2C7EB6AD}">
      <dgm:prSet phldrT="[Text]" custT="1"/>
      <dgm:spPr/>
      <dgm:t>
        <a:bodyPr/>
        <a:lstStyle/>
        <a:p>
          <a:r>
            <a:rPr lang="en-US" sz="1400"/>
            <a:t>Biopesticides</a:t>
          </a:r>
        </a:p>
        <a:p>
          <a:r>
            <a:rPr lang="en-US" sz="1400"/>
            <a:t>Show antagonistic effect on pests-diseases by secretion of antibiotics, antifungal metabolites &amp; synthesis of extracellular enzymes</a:t>
          </a:r>
        </a:p>
      </dgm:t>
    </dgm:pt>
    <dgm:pt modelId="{A09C0F34-FB28-495D-B6FA-5582C8139F68}" type="parTrans" cxnId="{9908F275-7A15-4969-B664-F5FF776AAEF2}">
      <dgm:prSet/>
      <dgm:spPr/>
      <dgm:t>
        <a:bodyPr/>
        <a:lstStyle/>
        <a:p>
          <a:endParaRPr lang="en-US" sz="1400"/>
        </a:p>
      </dgm:t>
    </dgm:pt>
    <dgm:pt modelId="{307CC72B-873D-4722-B3AF-FD32649FA9BE}" type="sibTrans" cxnId="{9908F275-7A15-4969-B664-F5FF776AAEF2}">
      <dgm:prSet/>
      <dgm:spPr/>
      <dgm:t>
        <a:bodyPr/>
        <a:lstStyle/>
        <a:p>
          <a:endParaRPr lang="en-US" sz="1400"/>
        </a:p>
      </dgm:t>
    </dgm:pt>
    <dgm:pt modelId="{CD1592EF-32E2-4359-A707-F69317CAE4A8}">
      <dgm:prSet phldrT="[Text]" custT="1"/>
      <dgm:spPr/>
      <dgm:t>
        <a:bodyPr/>
        <a:lstStyle/>
        <a:p>
          <a:r>
            <a:rPr lang="en-US" sz="1400"/>
            <a:t>Phyto-stimulators</a:t>
          </a:r>
        </a:p>
        <a:p>
          <a:r>
            <a:rPr lang="en-US" sz="1400"/>
            <a:t>They secrete some plant growth promoting hormones like gibrellic acid, indole acetic acid.</a:t>
          </a:r>
        </a:p>
      </dgm:t>
    </dgm:pt>
    <dgm:pt modelId="{CFB2859C-5697-4769-92D0-C45358C7D1D7}" type="parTrans" cxnId="{6B78295D-9958-4D36-BD63-A0731838E2B5}">
      <dgm:prSet/>
      <dgm:spPr/>
      <dgm:t>
        <a:bodyPr/>
        <a:lstStyle/>
        <a:p>
          <a:endParaRPr lang="en-US" sz="1400"/>
        </a:p>
      </dgm:t>
    </dgm:pt>
    <dgm:pt modelId="{F6B13BD2-39CA-414D-B2F1-1D0C27DD20B4}" type="sibTrans" cxnId="{6B78295D-9958-4D36-BD63-A0731838E2B5}">
      <dgm:prSet/>
      <dgm:spPr/>
      <dgm:t>
        <a:bodyPr/>
        <a:lstStyle/>
        <a:p>
          <a:endParaRPr lang="en-US" sz="1400"/>
        </a:p>
      </dgm:t>
    </dgm:pt>
    <dgm:pt modelId="{793B85DF-ED66-43F5-8833-D2F378AFCA24}" type="pres">
      <dgm:prSet presAssocID="{BF374D82-454D-446E-A2EC-0672E2FCDC31}" presName="diagram" presStyleCnt="0">
        <dgm:presLayoutVars>
          <dgm:chMax val="1"/>
          <dgm:dir/>
          <dgm:animLvl val="ctr"/>
          <dgm:resizeHandles val="exact"/>
        </dgm:presLayoutVars>
      </dgm:prSet>
      <dgm:spPr/>
    </dgm:pt>
    <dgm:pt modelId="{F135D6FF-DC43-49E6-ABE3-266F520EFB09}" type="pres">
      <dgm:prSet presAssocID="{BF374D82-454D-446E-A2EC-0672E2FCDC31}" presName="matrix" presStyleCnt="0"/>
      <dgm:spPr/>
    </dgm:pt>
    <dgm:pt modelId="{0FEEC2C7-3B05-4B25-896C-24D40E7355E7}" type="pres">
      <dgm:prSet presAssocID="{BF374D82-454D-446E-A2EC-0672E2FCDC31}" presName="tile1" presStyleLbl="node1" presStyleIdx="0" presStyleCnt="4"/>
      <dgm:spPr/>
    </dgm:pt>
    <dgm:pt modelId="{B8CB66C1-B5B7-4B0B-B70F-5DE0DB99C07B}" type="pres">
      <dgm:prSet presAssocID="{BF374D82-454D-446E-A2EC-0672E2FCDC31}" presName="tile1text" presStyleLbl="node1" presStyleIdx="0" presStyleCnt="4">
        <dgm:presLayoutVars>
          <dgm:chMax val="0"/>
          <dgm:chPref val="0"/>
          <dgm:bulletEnabled val="1"/>
        </dgm:presLayoutVars>
      </dgm:prSet>
      <dgm:spPr/>
    </dgm:pt>
    <dgm:pt modelId="{676B4998-40DC-43EE-A6B6-959C23FF79FD}" type="pres">
      <dgm:prSet presAssocID="{BF374D82-454D-446E-A2EC-0672E2FCDC31}" presName="tile2" presStyleLbl="node1" presStyleIdx="1" presStyleCnt="4"/>
      <dgm:spPr/>
    </dgm:pt>
    <dgm:pt modelId="{31C0C53A-4554-4711-BBA3-C0C60D07614F}" type="pres">
      <dgm:prSet presAssocID="{BF374D82-454D-446E-A2EC-0672E2FCDC31}" presName="tile2text" presStyleLbl="node1" presStyleIdx="1" presStyleCnt="4">
        <dgm:presLayoutVars>
          <dgm:chMax val="0"/>
          <dgm:chPref val="0"/>
          <dgm:bulletEnabled val="1"/>
        </dgm:presLayoutVars>
      </dgm:prSet>
      <dgm:spPr/>
    </dgm:pt>
    <dgm:pt modelId="{848D1435-CF03-430E-98AE-3373E6640224}" type="pres">
      <dgm:prSet presAssocID="{BF374D82-454D-446E-A2EC-0672E2FCDC31}" presName="tile3" presStyleLbl="node1" presStyleIdx="2" presStyleCnt="4"/>
      <dgm:spPr/>
    </dgm:pt>
    <dgm:pt modelId="{A10428F2-656C-465C-9ACD-C300365DA1E3}" type="pres">
      <dgm:prSet presAssocID="{BF374D82-454D-446E-A2EC-0672E2FCDC31}" presName="tile3text" presStyleLbl="node1" presStyleIdx="2" presStyleCnt="4">
        <dgm:presLayoutVars>
          <dgm:chMax val="0"/>
          <dgm:chPref val="0"/>
          <dgm:bulletEnabled val="1"/>
        </dgm:presLayoutVars>
      </dgm:prSet>
      <dgm:spPr/>
    </dgm:pt>
    <dgm:pt modelId="{E7EC47E8-FEA6-4A1C-863A-328C0AFDBD0C}" type="pres">
      <dgm:prSet presAssocID="{BF374D82-454D-446E-A2EC-0672E2FCDC31}" presName="tile4" presStyleLbl="node1" presStyleIdx="3" presStyleCnt="4"/>
      <dgm:spPr/>
    </dgm:pt>
    <dgm:pt modelId="{5E0AFFB3-74DA-4217-A60B-10221FA13054}" type="pres">
      <dgm:prSet presAssocID="{BF374D82-454D-446E-A2EC-0672E2FCDC31}" presName="tile4text" presStyleLbl="node1" presStyleIdx="3" presStyleCnt="4">
        <dgm:presLayoutVars>
          <dgm:chMax val="0"/>
          <dgm:chPref val="0"/>
          <dgm:bulletEnabled val="1"/>
        </dgm:presLayoutVars>
      </dgm:prSet>
      <dgm:spPr/>
    </dgm:pt>
    <dgm:pt modelId="{7A8DA19A-534C-46F6-AE6B-62A7CDFABAD1}" type="pres">
      <dgm:prSet presAssocID="{BF374D82-454D-446E-A2EC-0672E2FCDC31}" presName="centerTile" presStyleLbl="fgShp" presStyleIdx="0" presStyleCnt="1">
        <dgm:presLayoutVars>
          <dgm:chMax val="0"/>
          <dgm:chPref val="0"/>
        </dgm:presLayoutVars>
      </dgm:prSet>
      <dgm:spPr/>
    </dgm:pt>
  </dgm:ptLst>
  <dgm:cxnLst>
    <dgm:cxn modelId="{A7E52628-9BD1-45FB-86B4-BB86EEDFD74B}" type="presOf" srcId="{CD1592EF-32E2-4359-A707-F69317CAE4A8}" destId="{5E0AFFB3-74DA-4217-A60B-10221FA13054}" srcOrd="1" destOrd="0" presId="urn:microsoft.com/office/officeart/2005/8/layout/matrix1"/>
    <dgm:cxn modelId="{22D13E2C-6919-4B82-A4A9-185ABCD319B2}" srcId="{2B6DD4B0-ED23-4D56-AD11-525D62E71107}" destId="{896EF24F-099E-4C92-B2DC-6056B8B5D27F}" srcOrd="0" destOrd="0" parTransId="{8F685643-ED9D-4CC2-A534-36402A7C12EF}" sibTransId="{D557EB8A-A7A5-4AFB-BE71-973BFE433713}"/>
    <dgm:cxn modelId="{4C4CDC30-5AA0-4858-B072-00A4C7E7FE4A}" type="presOf" srcId="{CD1592EF-32E2-4359-A707-F69317CAE4A8}" destId="{E7EC47E8-FEA6-4A1C-863A-328C0AFDBD0C}" srcOrd="0" destOrd="0" presId="urn:microsoft.com/office/officeart/2005/8/layout/matrix1"/>
    <dgm:cxn modelId="{6B78295D-9958-4D36-BD63-A0731838E2B5}" srcId="{2B6DD4B0-ED23-4D56-AD11-525D62E71107}" destId="{CD1592EF-32E2-4359-A707-F69317CAE4A8}" srcOrd="3" destOrd="0" parTransId="{CFB2859C-5697-4769-92D0-C45358C7D1D7}" sibTransId="{F6B13BD2-39CA-414D-B2F1-1D0C27DD20B4}"/>
    <dgm:cxn modelId="{A94F2569-D9F3-4AC4-BA0F-1CCC011A7D4C}" srcId="{2B6DD4B0-ED23-4D56-AD11-525D62E71107}" destId="{BE361D37-2A94-4906-93F9-D0A6499EB94E}" srcOrd="1" destOrd="0" parTransId="{3E7F67AF-F540-4C6D-9440-BC390550DCBF}" sibTransId="{518CD3C7-4C2E-4B4B-A61C-91713197D095}"/>
    <dgm:cxn modelId="{2D72144A-53EB-4FCE-831D-50997C97FF70}" type="presOf" srcId="{896EF24F-099E-4C92-B2DC-6056B8B5D27F}" destId="{0FEEC2C7-3B05-4B25-896C-24D40E7355E7}" srcOrd="0" destOrd="0" presId="urn:microsoft.com/office/officeart/2005/8/layout/matrix1"/>
    <dgm:cxn modelId="{3C685852-9A82-4DB2-8489-E9FE8A492394}" type="presOf" srcId="{BF374D82-454D-446E-A2EC-0672E2FCDC31}" destId="{793B85DF-ED66-43F5-8833-D2F378AFCA24}" srcOrd="0" destOrd="0" presId="urn:microsoft.com/office/officeart/2005/8/layout/matrix1"/>
    <dgm:cxn modelId="{9908F275-7A15-4969-B664-F5FF776AAEF2}" srcId="{2B6DD4B0-ED23-4D56-AD11-525D62E71107}" destId="{1401E03A-5E9B-458B-A4CC-D75B2C7EB6AD}" srcOrd="2" destOrd="0" parTransId="{A09C0F34-FB28-495D-B6FA-5582C8139F68}" sibTransId="{307CC72B-873D-4722-B3AF-FD32649FA9BE}"/>
    <dgm:cxn modelId="{71A9F37B-5B8B-437B-87C8-AAB3D4CF39BD}" srcId="{BF374D82-454D-446E-A2EC-0672E2FCDC31}" destId="{2B6DD4B0-ED23-4D56-AD11-525D62E71107}" srcOrd="0" destOrd="0" parTransId="{543986D4-E3EC-4C3D-960F-436400A9AC6A}" sibTransId="{68E104D5-E2C7-4C7F-9A9F-06A768D1165F}"/>
    <dgm:cxn modelId="{61B47898-2D76-4A69-928C-4355194709C6}" type="presOf" srcId="{1401E03A-5E9B-458B-A4CC-D75B2C7EB6AD}" destId="{A10428F2-656C-465C-9ACD-C300365DA1E3}" srcOrd="1" destOrd="0" presId="urn:microsoft.com/office/officeart/2005/8/layout/matrix1"/>
    <dgm:cxn modelId="{6F176CA5-22C4-46D9-B45A-AF1E869307CB}" type="presOf" srcId="{BE361D37-2A94-4906-93F9-D0A6499EB94E}" destId="{676B4998-40DC-43EE-A6B6-959C23FF79FD}" srcOrd="0" destOrd="0" presId="urn:microsoft.com/office/officeart/2005/8/layout/matrix1"/>
    <dgm:cxn modelId="{19FEC5AA-4DC0-4C0F-9393-EF6B627FECAA}" type="presOf" srcId="{2B6DD4B0-ED23-4D56-AD11-525D62E71107}" destId="{7A8DA19A-534C-46F6-AE6B-62A7CDFABAD1}" srcOrd="0" destOrd="0" presId="urn:microsoft.com/office/officeart/2005/8/layout/matrix1"/>
    <dgm:cxn modelId="{269522B2-5A84-44F5-A652-525E74D1435F}" type="presOf" srcId="{1401E03A-5E9B-458B-A4CC-D75B2C7EB6AD}" destId="{848D1435-CF03-430E-98AE-3373E6640224}" srcOrd="0" destOrd="0" presId="urn:microsoft.com/office/officeart/2005/8/layout/matrix1"/>
    <dgm:cxn modelId="{19FA5DC3-6C74-4BBD-A14B-512135B02C34}" type="presOf" srcId="{896EF24F-099E-4C92-B2DC-6056B8B5D27F}" destId="{B8CB66C1-B5B7-4B0B-B70F-5DE0DB99C07B}" srcOrd="1" destOrd="0" presId="urn:microsoft.com/office/officeart/2005/8/layout/matrix1"/>
    <dgm:cxn modelId="{BEB40DE5-9B36-412E-BA6B-6D691AB75BF5}" type="presOf" srcId="{BE361D37-2A94-4906-93F9-D0A6499EB94E}" destId="{31C0C53A-4554-4711-BBA3-C0C60D07614F}" srcOrd="1" destOrd="0" presId="urn:microsoft.com/office/officeart/2005/8/layout/matrix1"/>
    <dgm:cxn modelId="{E050DD9E-C41E-4D06-846B-A6BAC68FC53B}" type="presParOf" srcId="{793B85DF-ED66-43F5-8833-D2F378AFCA24}" destId="{F135D6FF-DC43-49E6-ABE3-266F520EFB09}" srcOrd="0" destOrd="0" presId="urn:microsoft.com/office/officeart/2005/8/layout/matrix1"/>
    <dgm:cxn modelId="{76C15762-DCA6-4C5F-BB87-5E511D952E81}" type="presParOf" srcId="{F135D6FF-DC43-49E6-ABE3-266F520EFB09}" destId="{0FEEC2C7-3B05-4B25-896C-24D40E7355E7}" srcOrd="0" destOrd="0" presId="urn:microsoft.com/office/officeart/2005/8/layout/matrix1"/>
    <dgm:cxn modelId="{847147BC-D8CF-40CF-B8D3-D8948F12C564}" type="presParOf" srcId="{F135D6FF-DC43-49E6-ABE3-266F520EFB09}" destId="{B8CB66C1-B5B7-4B0B-B70F-5DE0DB99C07B}" srcOrd="1" destOrd="0" presId="urn:microsoft.com/office/officeart/2005/8/layout/matrix1"/>
    <dgm:cxn modelId="{2BAEF5C7-78D5-4644-869A-8901D43AEBD5}" type="presParOf" srcId="{F135D6FF-DC43-49E6-ABE3-266F520EFB09}" destId="{676B4998-40DC-43EE-A6B6-959C23FF79FD}" srcOrd="2" destOrd="0" presId="urn:microsoft.com/office/officeart/2005/8/layout/matrix1"/>
    <dgm:cxn modelId="{923A0DC4-B286-433D-BD17-81CBBDAA5C0B}" type="presParOf" srcId="{F135D6FF-DC43-49E6-ABE3-266F520EFB09}" destId="{31C0C53A-4554-4711-BBA3-C0C60D07614F}" srcOrd="3" destOrd="0" presId="urn:microsoft.com/office/officeart/2005/8/layout/matrix1"/>
    <dgm:cxn modelId="{FD620ADF-E87F-412F-93C3-728701BAD687}" type="presParOf" srcId="{F135D6FF-DC43-49E6-ABE3-266F520EFB09}" destId="{848D1435-CF03-430E-98AE-3373E6640224}" srcOrd="4" destOrd="0" presId="urn:microsoft.com/office/officeart/2005/8/layout/matrix1"/>
    <dgm:cxn modelId="{C58C2D22-98D9-4C6B-9865-00C819716027}" type="presParOf" srcId="{F135D6FF-DC43-49E6-ABE3-266F520EFB09}" destId="{A10428F2-656C-465C-9ACD-C300365DA1E3}" srcOrd="5" destOrd="0" presId="urn:microsoft.com/office/officeart/2005/8/layout/matrix1"/>
    <dgm:cxn modelId="{F2FBB85C-1EAC-4E29-BBC2-4660E7437BC8}" type="presParOf" srcId="{F135D6FF-DC43-49E6-ABE3-266F520EFB09}" destId="{E7EC47E8-FEA6-4A1C-863A-328C0AFDBD0C}" srcOrd="6" destOrd="0" presId="urn:microsoft.com/office/officeart/2005/8/layout/matrix1"/>
    <dgm:cxn modelId="{ED21743E-86E9-4853-B3F1-BA876C52B1A3}" type="presParOf" srcId="{F135D6FF-DC43-49E6-ABE3-266F520EFB09}" destId="{5E0AFFB3-74DA-4217-A60B-10221FA13054}" srcOrd="7" destOrd="0" presId="urn:microsoft.com/office/officeart/2005/8/layout/matrix1"/>
    <dgm:cxn modelId="{96CF872E-5E18-40D2-B0CF-700F4D13D3C0}" type="presParOf" srcId="{793B85DF-ED66-43F5-8833-D2F378AFCA24}" destId="{7A8DA19A-534C-46F6-AE6B-62A7CDFABAD1}" srcOrd="1" destOrd="0" presId="urn:microsoft.com/office/officeart/2005/8/layout/matrix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EEC2C7-3B05-4B25-896C-24D40E7355E7}">
      <dsp:nvSpPr>
        <dsp:cNvPr id="0" name=""/>
        <dsp:cNvSpPr/>
      </dsp:nvSpPr>
      <dsp:spPr>
        <a:xfrm rot="16200000">
          <a:off x="564356" y="-564356"/>
          <a:ext cx="1833562" cy="2962275"/>
        </a:xfrm>
        <a:prstGeom prst="round1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Rhizo-remediators</a:t>
          </a:r>
        </a:p>
        <a:p>
          <a:pPr marL="0" lvl="0" indent="0" algn="ctr" defTabSz="622300">
            <a:lnSpc>
              <a:spcPct val="90000"/>
            </a:lnSpc>
            <a:spcBef>
              <a:spcPct val="0"/>
            </a:spcBef>
            <a:spcAft>
              <a:spcPct val="35000"/>
            </a:spcAft>
            <a:buNone/>
          </a:pPr>
          <a:r>
            <a:rPr lang="en-US" sz="1400" kern="1200"/>
            <a:t>Help in reducing adverse impact of heavy metal and pollutants</a:t>
          </a:r>
        </a:p>
      </dsp:txBody>
      <dsp:txXfrm rot="5400000">
        <a:off x="-1" y="1"/>
        <a:ext cx="2962275" cy="1375171"/>
      </dsp:txXfrm>
    </dsp:sp>
    <dsp:sp modelId="{676B4998-40DC-43EE-A6B6-959C23FF79FD}">
      <dsp:nvSpPr>
        <dsp:cNvPr id="0" name=""/>
        <dsp:cNvSpPr/>
      </dsp:nvSpPr>
      <dsp:spPr>
        <a:xfrm>
          <a:off x="2962275" y="0"/>
          <a:ext cx="2962275" cy="1833562"/>
        </a:xfrm>
        <a:prstGeom prst="round1Rect">
          <a:avLst/>
        </a:prstGeom>
        <a:gradFill rotWithShape="0">
          <a:gsLst>
            <a:gs pos="0">
              <a:schemeClr val="accent3">
                <a:hueOff val="3750088"/>
                <a:satOff val="-5627"/>
                <a:lumOff val="-915"/>
                <a:alphaOff val="0"/>
                <a:shade val="51000"/>
                <a:satMod val="130000"/>
              </a:schemeClr>
            </a:gs>
            <a:gs pos="80000">
              <a:schemeClr val="accent3">
                <a:hueOff val="3750088"/>
                <a:satOff val="-5627"/>
                <a:lumOff val="-915"/>
                <a:alphaOff val="0"/>
                <a:shade val="93000"/>
                <a:satMod val="130000"/>
              </a:schemeClr>
            </a:gs>
            <a:gs pos="100000">
              <a:schemeClr val="accent3">
                <a:hueOff val="3750088"/>
                <a:satOff val="-5627"/>
                <a:lumOff val="-91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Biofertilizers</a:t>
          </a:r>
        </a:p>
        <a:p>
          <a:pPr marL="0" lvl="0" indent="0" algn="ctr" defTabSz="622300">
            <a:lnSpc>
              <a:spcPct val="90000"/>
            </a:lnSpc>
            <a:spcBef>
              <a:spcPct val="0"/>
            </a:spcBef>
            <a:spcAft>
              <a:spcPct val="35000"/>
            </a:spcAft>
            <a:buNone/>
          </a:pPr>
          <a:r>
            <a:rPr lang="en-US" sz="1400" kern="1200"/>
            <a:t>Capture, solubilize and mobilize nutrients</a:t>
          </a:r>
        </a:p>
        <a:p>
          <a:pPr marL="0" lvl="0" indent="0" algn="ctr" defTabSz="622300">
            <a:lnSpc>
              <a:spcPct val="90000"/>
            </a:lnSpc>
            <a:spcBef>
              <a:spcPct val="0"/>
            </a:spcBef>
            <a:spcAft>
              <a:spcPct val="35000"/>
            </a:spcAft>
            <a:buNone/>
          </a:pPr>
          <a:r>
            <a:rPr lang="en-US" sz="1400" kern="1200"/>
            <a:t>Make nutrients available for uptake by plants</a:t>
          </a:r>
        </a:p>
      </dsp:txBody>
      <dsp:txXfrm>
        <a:off x="2962275" y="0"/>
        <a:ext cx="2962275" cy="1375171"/>
      </dsp:txXfrm>
    </dsp:sp>
    <dsp:sp modelId="{848D1435-CF03-430E-98AE-3373E6640224}">
      <dsp:nvSpPr>
        <dsp:cNvPr id="0" name=""/>
        <dsp:cNvSpPr/>
      </dsp:nvSpPr>
      <dsp:spPr>
        <a:xfrm rot="10800000">
          <a:off x="0" y="1833562"/>
          <a:ext cx="2962275" cy="1833562"/>
        </a:xfrm>
        <a:prstGeom prst="round1Rect">
          <a:avLst/>
        </a:prstGeom>
        <a:gradFill rotWithShape="0">
          <a:gsLst>
            <a:gs pos="0">
              <a:schemeClr val="accent3">
                <a:hueOff val="7500176"/>
                <a:satOff val="-11253"/>
                <a:lumOff val="-1830"/>
                <a:alphaOff val="0"/>
                <a:shade val="51000"/>
                <a:satMod val="130000"/>
              </a:schemeClr>
            </a:gs>
            <a:gs pos="80000">
              <a:schemeClr val="accent3">
                <a:hueOff val="7500176"/>
                <a:satOff val="-11253"/>
                <a:lumOff val="-1830"/>
                <a:alphaOff val="0"/>
                <a:shade val="93000"/>
                <a:satMod val="130000"/>
              </a:schemeClr>
            </a:gs>
            <a:gs pos="100000">
              <a:schemeClr val="accent3">
                <a:hueOff val="7500176"/>
                <a:satOff val="-11253"/>
                <a:lumOff val="-183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Biopesticides</a:t>
          </a:r>
        </a:p>
        <a:p>
          <a:pPr marL="0" lvl="0" indent="0" algn="ctr" defTabSz="622300">
            <a:lnSpc>
              <a:spcPct val="90000"/>
            </a:lnSpc>
            <a:spcBef>
              <a:spcPct val="0"/>
            </a:spcBef>
            <a:spcAft>
              <a:spcPct val="35000"/>
            </a:spcAft>
            <a:buNone/>
          </a:pPr>
          <a:r>
            <a:rPr lang="en-US" sz="1400" kern="1200"/>
            <a:t>Show antagonistic effect on pests-diseases by secretion of antibiotics, antifungal metabolites &amp; synthesis of extracellular enzymes</a:t>
          </a:r>
        </a:p>
      </dsp:txBody>
      <dsp:txXfrm rot="10800000">
        <a:off x="0" y="2291953"/>
        <a:ext cx="2962275" cy="1375171"/>
      </dsp:txXfrm>
    </dsp:sp>
    <dsp:sp modelId="{E7EC47E8-FEA6-4A1C-863A-328C0AFDBD0C}">
      <dsp:nvSpPr>
        <dsp:cNvPr id="0" name=""/>
        <dsp:cNvSpPr/>
      </dsp:nvSpPr>
      <dsp:spPr>
        <a:xfrm rot="5400000">
          <a:off x="3526631" y="1269206"/>
          <a:ext cx="1833562" cy="2962275"/>
        </a:xfrm>
        <a:prstGeom prst="round1Rect">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Phyto-stimulators</a:t>
          </a:r>
        </a:p>
        <a:p>
          <a:pPr marL="0" lvl="0" indent="0" algn="ctr" defTabSz="622300">
            <a:lnSpc>
              <a:spcPct val="90000"/>
            </a:lnSpc>
            <a:spcBef>
              <a:spcPct val="0"/>
            </a:spcBef>
            <a:spcAft>
              <a:spcPct val="35000"/>
            </a:spcAft>
            <a:buNone/>
          </a:pPr>
          <a:r>
            <a:rPr lang="en-US" sz="1400" kern="1200"/>
            <a:t>They secrete some plant growth promoting hormones like gibrellic acid, indole acetic acid.</a:t>
          </a:r>
        </a:p>
      </dsp:txBody>
      <dsp:txXfrm rot="-5400000">
        <a:off x="2962274" y="2291953"/>
        <a:ext cx="2962275" cy="1375171"/>
      </dsp:txXfrm>
    </dsp:sp>
    <dsp:sp modelId="{7A8DA19A-534C-46F6-AE6B-62A7CDFABAD1}">
      <dsp:nvSpPr>
        <dsp:cNvPr id="0" name=""/>
        <dsp:cNvSpPr/>
      </dsp:nvSpPr>
      <dsp:spPr>
        <a:xfrm>
          <a:off x="2073592" y="1375171"/>
          <a:ext cx="1777365" cy="916781"/>
        </a:xfrm>
        <a:prstGeom prst="roundRect">
          <a:avLst/>
        </a:prstGeom>
        <a:gradFill rotWithShape="0">
          <a:gsLst>
            <a:gs pos="0">
              <a:schemeClr val="accent3">
                <a:tint val="40000"/>
                <a:hueOff val="0"/>
                <a:satOff val="0"/>
                <a:lumOff val="0"/>
                <a:alphaOff val="0"/>
                <a:shade val="51000"/>
                <a:satMod val="130000"/>
              </a:schemeClr>
            </a:gs>
            <a:gs pos="80000">
              <a:schemeClr val="accent3">
                <a:tint val="40000"/>
                <a:hueOff val="0"/>
                <a:satOff val="0"/>
                <a:lumOff val="0"/>
                <a:alphaOff val="0"/>
                <a:shade val="93000"/>
                <a:satMod val="130000"/>
              </a:schemeClr>
            </a:gs>
            <a:gs pos="100000">
              <a:schemeClr val="accent3">
                <a:tint val="4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US" sz="2200" kern="1200"/>
            <a:t>PGPM</a:t>
          </a:r>
        </a:p>
      </dsp:txBody>
      <dsp:txXfrm>
        <a:off x="2118346" y="1419925"/>
        <a:ext cx="1687857" cy="827273"/>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21</Pages>
  <Words>6448</Words>
  <Characters>41076</Characters>
  <Application>Microsoft Office Word</Application>
  <DocSecurity>0</DocSecurity>
  <Lines>578</Lines>
  <Paragraphs>127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Abhay</dc:creator>
  <cp:keywords/>
  <dc:description/>
  <cp:lastModifiedBy>As my name</cp:lastModifiedBy>
  <cp:revision>2</cp:revision>
  <dcterms:created xsi:type="dcterms:W3CDTF">2025-03-20T19:04:00Z</dcterms:created>
  <dcterms:modified xsi:type="dcterms:W3CDTF">2025-03-24T01:29:00Z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87f1cdb21c2855fd7c8fc71c5add9b16f8796e89a380f5c8d2bad9dfdbab142a</vt:lpwstr>
  </property>
</Properties>
</file>